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highlight w:val="none"/>
        </w:rPr>
      </w:pPr>
      <w:bookmarkStart w:id="526" w:name="_GoBack"/>
    </w:p>
    <w:p>
      <w:pPr>
        <w:rPr>
          <w:rFonts w:hint="eastAsia" w:ascii="仿宋" w:hAnsi="仿宋" w:eastAsia="仿宋" w:cs="仿宋"/>
          <w:color w:val="auto"/>
          <w:highlight w:val="none"/>
        </w:rPr>
      </w:pPr>
    </w:p>
    <w:p>
      <w:pPr>
        <w:keepNext w:val="0"/>
        <w:keepLines w:val="0"/>
        <w:pageBreakBefore w:val="0"/>
        <w:widowControl/>
        <w:kinsoku/>
        <w:wordWrap/>
        <w:overflowPunct/>
        <w:topLinePunct w:val="0"/>
        <w:autoSpaceDE/>
        <w:autoSpaceDN/>
        <w:bidi w:val="0"/>
        <w:adjustRightInd/>
        <w:spacing w:after="0"/>
        <w:jc w:val="center"/>
        <w:textAlignment w:val="auto"/>
        <w:rPr>
          <w:rFonts w:hint="eastAsia" w:ascii="仿宋" w:hAnsi="仿宋" w:eastAsia="仿宋" w:cs="仿宋"/>
          <w:color w:val="auto"/>
          <w:sz w:val="44"/>
          <w:szCs w:val="32"/>
          <w:highlight w:val="none"/>
          <w:lang w:eastAsia="zh-CN"/>
        </w:rPr>
      </w:pPr>
      <w:r>
        <w:rPr>
          <w:rFonts w:hint="eastAsia" w:cs="仿宋"/>
          <w:color w:val="auto"/>
          <w:sz w:val="44"/>
          <w:szCs w:val="32"/>
          <w:highlight w:val="none"/>
          <w:lang w:eastAsia="zh-CN"/>
        </w:rPr>
        <w:t>宁围街道高教园区环卫保洁等服务采购项目</w:t>
      </w:r>
    </w:p>
    <w:p>
      <w:pPr>
        <w:keepNext w:val="0"/>
        <w:keepLines w:val="0"/>
        <w:pageBreakBefore w:val="0"/>
        <w:widowControl/>
        <w:kinsoku/>
        <w:wordWrap/>
        <w:overflowPunct/>
        <w:topLinePunct w:val="0"/>
        <w:autoSpaceDE/>
        <w:autoSpaceDN/>
        <w:bidi w:val="0"/>
        <w:adjustRightInd/>
        <w:spacing w:after="0"/>
        <w:jc w:val="center"/>
        <w:textAlignment w:val="auto"/>
        <w:rPr>
          <w:rFonts w:hint="eastAsia" w:ascii="仿宋" w:hAnsi="仿宋" w:eastAsia="仿宋" w:cs="仿宋"/>
          <w:color w:val="auto"/>
          <w:sz w:val="40"/>
          <w:highlight w:val="none"/>
        </w:rPr>
      </w:pPr>
    </w:p>
    <w:p>
      <w:pPr>
        <w:keepNext w:val="0"/>
        <w:keepLines w:val="0"/>
        <w:pageBreakBefore w:val="0"/>
        <w:widowControl/>
        <w:kinsoku/>
        <w:wordWrap/>
        <w:overflowPunct/>
        <w:topLinePunct w:val="0"/>
        <w:autoSpaceDE/>
        <w:autoSpaceDN/>
        <w:bidi w:val="0"/>
        <w:adjustRightInd/>
        <w:spacing w:after="0"/>
        <w:jc w:val="center"/>
        <w:textAlignment w:val="auto"/>
        <w:rPr>
          <w:rFonts w:hint="eastAsia" w:ascii="仿宋" w:hAnsi="仿宋" w:eastAsia="仿宋" w:cs="仿宋"/>
          <w:color w:val="auto"/>
          <w:sz w:val="44"/>
          <w:szCs w:val="28"/>
          <w:highlight w:val="none"/>
        </w:rPr>
      </w:pPr>
    </w:p>
    <w:p>
      <w:pPr>
        <w:keepNext w:val="0"/>
        <w:keepLines w:val="0"/>
        <w:pageBreakBefore w:val="0"/>
        <w:widowControl/>
        <w:kinsoku/>
        <w:wordWrap/>
        <w:overflowPunct/>
        <w:topLinePunct w:val="0"/>
        <w:autoSpaceDE/>
        <w:autoSpaceDN/>
        <w:bidi w:val="0"/>
        <w:adjustRightInd/>
        <w:spacing w:after="0"/>
        <w:jc w:val="center"/>
        <w:textAlignment w:val="auto"/>
        <w:rPr>
          <w:rFonts w:hint="eastAsia" w:ascii="仿宋" w:hAnsi="仿宋" w:eastAsia="仿宋" w:cs="仿宋"/>
          <w:color w:val="auto"/>
          <w:sz w:val="44"/>
          <w:szCs w:val="28"/>
          <w:highlight w:val="none"/>
        </w:rPr>
      </w:pPr>
      <w:r>
        <w:rPr>
          <w:rFonts w:hint="eastAsia" w:ascii="仿宋" w:hAnsi="仿宋" w:eastAsia="仿宋" w:cs="仿宋"/>
          <w:color w:val="auto"/>
          <w:sz w:val="44"/>
          <w:szCs w:val="28"/>
          <w:highlight w:val="none"/>
        </w:rPr>
        <w:t>招标文件</w:t>
      </w:r>
    </w:p>
    <w:p>
      <w:pPr>
        <w:pStyle w:val="2"/>
        <w:rPr>
          <w:rFonts w:hint="eastAsia"/>
          <w:color w:val="auto"/>
          <w:highlight w:val="none"/>
        </w:rPr>
      </w:pPr>
    </w:p>
    <w:p>
      <w:pPr>
        <w:keepNext w:val="0"/>
        <w:keepLines w:val="0"/>
        <w:pageBreakBefore w:val="0"/>
        <w:widowControl/>
        <w:kinsoku/>
        <w:wordWrap/>
        <w:overflowPunct/>
        <w:topLinePunct w:val="0"/>
        <w:autoSpaceDE/>
        <w:autoSpaceDN/>
        <w:bidi w:val="0"/>
        <w:adjustRightInd/>
        <w:spacing w:after="0"/>
        <w:jc w:val="center"/>
        <w:textAlignment w:val="auto"/>
        <w:rPr>
          <w:rFonts w:hint="eastAsia" w:ascii="仿宋" w:hAnsi="仿宋" w:eastAsia="仿宋" w:cs="仿宋"/>
          <w:color w:val="auto"/>
          <w:sz w:val="40"/>
          <w:highlight w:val="none"/>
        </w:rPr>
      </w:pPr>
      <w:r>
        <w:rPr>
          <w:rFonts w:hint="eastAsia" w:ascii="仿宋" w:hAnsi="仿宋" w:eastAsia="仿宋" w:cs="仿宋"/>
          <w:color w:val="auto"/>
          <w:sz w:val="40"/>
          <w:highlight w:val="none"/>
        </w:rPr>
        <w:t>（电子招投标）</w:t>
      </w:r>
    </w:p>
    <w:p>
      <w:pPr>
        <w:keepNext w:val="0"/>
        <w:keepLines w:val="0"/>
        <w:pageBreakBefore w:val="0"/>
        <w:widowControl/>
        <w:kinsoku/>
        <w:wordWrap/>
        <w:overflowPunct/>
        <w:topLinePunct w:val="0"/>
        <w:autoSpaceDE/>
        <w:autoSpaceDN/>
        <w:bidi w:val="0"/>
        <w:adjustRightInd/>
        <w:spacing w:after="0"/>
        <w:jc w:val="center"/>
        <w:textAlignment w:val="auto"/>
        <w:rPr>
          <w:rFonts w:hint="eastAsia" w:ascii="仿宋" w:hAnsi="仿宋" w:eastAsia="仿宋" w:cs="仿宋"/>
          <w:color w:val="auto"/>
          <w:sz w:val="36"/>
          <w:highlight w:val="none"/>
        </w:rPr>
      </w:pPr>
    </w:p>
    <w:p>
      <w:pPr>
        <w:keepNext w:val="0"/>
        <w:keepLines w:val="0"/>
        <w:pageBreakBefore w:val="0"/>
        <w:widowControl/>
        <w:kinsoku/>
        <w:wordWrap/>
        <w:overflowPunct/>
        <w:topLinePunct w:val="0"/>
        <w:autoSpaceDE/>
        <w:autoSpaceDN/>
        <w:bidi w:val="0"/>
        <w:adjustRightInd/>
        <w:spacing w:after="0"/>
        <w:jc w:val="center"/>
        <w:textAlignment w:val="auto"/>
        <w:rPr>
          <w:rFonts w:hint="default" w:ascii="仿宋" w:hAnsi="仿宋" w:eastAsia="仿宋" w:cs="仿宋"/>
          <w:color w:val="auto"/>
          <w:sz w:val="36"/>
          <w:highlight w:val="none"/>
          <w:lang w:val="en-US" w:eastAsia="zh-CN"/>
        </w:rPr>
      </w:pPr>
      <w:r>
        <w:rPr>
          <w:rFonts w:hint="eastAsia" w:ascii="仿宋" w:hAnsi="仿宋" w:eastAsia="仿宋" w:cs="仿宋"/>
          <w:color w:val="auto"/>
          <w:sz w:val="36"/>
          <w:highlight w:val="none"/>
        </w:rPr>
        <w:t>编号:</w:t>
      </w:r>
      <w:r>
        <w:rPr>
          <w:rFonts w:hint="eastAsia" w:ascii="仿宋" w:hAnsi="仿宋" w:eastAsia="仿宋" w:cs="仿宋"/>
          <w:color w:val="auto"/>
          <w:highlight w:val="none"/>
        </w:rPr>
        <w:t xml:space="preserve"> </w:t>
      </w:r>
      <w:r>
        <w:rPr>
          <w:rFonts w:hint="eastAsia" w:ascii="仿宋" w:hAnsi="仿宋" w:eastAsia="仿宋" w:cs="仿宋"/>
          <w:color w:val="auto"/>
          <w:sz w:val="36"/>
          <w:highlight w:val="none"/>
        </w:rPr>
        <w:t>XZCGDL2022-GK-ZCY0</w:t>
      </w:r>
      <w:r>
        <w:rPr>
          <w:rFonts w:hint="eastAsia" w:cs="仿宋"/>
          <w:color w:val="auto"/>
          <w:sz w:val="36"/>
          <w:highlight w:val="none"/>
          <w:lang w:val="en-US" w:eastAsia="zh-CN"/>
        </w:rPr>
        <w:t>08</w:t>
      </w:r>
    </w:p>
    <w:p>
      <w:pPr>
        <w:keepNext w:val="0"/>
        <w:keepLines w:val="0"/>
        <w:pageBreakBefore w:val="0"/>
        <w:widowControl/>
        <w:kinsoku/>
        <w:wordWrap/>
        <w:overflowPunct/>
        <w:topLinePunct w:val="0"/>
        <w:autoSpaceDE/>
        <w:autoSpaceDN/>
        <w:bidi w:val="0"/>
        <w:adjustRightInd/>
        <w:spacing w:after="0"/>
        <w:jc w:val="center"/>
        <w:textAlignment w:val="auto"/>
        <w:rPr>
          <w:rFonts w:hint="eastAsia" w:ascii="仿宋" w:hAnsi="仿宋" w:eastAsia="仿宋" w:cs="仿宋"/>
          <w:color w:val="auto"/>
          <w:sz w:val="36"/>
          <w:highlight w:val="none"/>
        </w:rPr>
      </w:pPr>
    </w:p>
    <w:p>
      <w:pPr>
        <w:keepNext w:val="0"/>
        <w:keepLines w:val="0"/>
        <w:pageBreakBefore w:val="0"/>
        <w:widowControl/>
        <w:kinsoku/>
        <w:wordWrap/>
        <w:overflowPunct/>
        <w:topLinePunct w:val="0"/>
        <w:autoSpaceDE/>
        <w:autoSpaceDN/>
        <w:bidi w:val="0"/>
        <w:adjustRightInd/>
        <w:spacing w:after="0"/>
        <w:jc w:val="center"/>
        <w:textAlignment w:val="auto"/>
        <w:rPr>
          <w:rFonts w:hint="eastAsia" w:ascii="仿宋" w:hAnsi="仿宋" w:eastAsia="仿宋" w:cs="仿宋"/>
          <w:color w:val="auto"/>
          <w:sz w:val="36"/>
          <w:highlight w:val="none"/>
        </w:rPr>
      </w:pPr>
    </w:p>
    <w:p>
      <w:pPr>
        <w:keepNext w:val="0"/>
        <w:keepLines w:val="0"/>
        <w:pageBreakBefore w:val="0"/>
        <w:widowControl/>
        <w:kinsoku/>
        <w:wordWrap/>
        <w:overflowPunct/>
        <w:topLinePunct w:val="0"/>
        <w:autoSpaceDE/>
        <w:autoSpaceDN/>
        <w:bidi w:val="0"/>
        <w:adjustRightInd/>
        <w:spacing w:after="0"/>
        <w:jc w:val="center"/>
        <w:textAlignment w:val="auto"/>
        <w:rPr>
          <w:rFonts w:hint="eastAsia" w:ascii="仿宋" w:hAnsi="仿宋" w:eastAsia="仿宋" w:cs="仿宋"/>
          <w:color w:val="auto"/>
          <w:sz w:val="36"/>
          <w:highlight w:val="none"/>
        </w:rPr>
      </w:pPr>
    </w:p>
    <w:p>
      <w:pPr>
        <w:keepNext w:val="0"/>
        <w:keepLines w:val="0"/>
        <w:pageBreakBefore w:val="0"/>
        <w:widowControl/>
        <w:kinsoku/>
        <w:wordWrap/>
        <w:overflowPunct/>
        <w:topLinePunct w:val="0"/>
        <w:autoSpaceDE/>
        <w:autoSpaceDN/>
        <w:bidi w:val="0"/>
        <w:adjustRightInd/>
        <w:spacing w:after="0"/>
        <w:jc w:val="center"/>
        <w:textAlignment w:val="auto"/>
        <w:rPr>
          <w:rFonts w:hint="eastAsia" w:ascii="仿宋" w:hAnsi="仿宋" w:eastAsia="仿宋" w:cs="仿宋"/>
          <w:color w:val="auto"/>
          <w:sz w:val="36"/>
          <w:highlight w:val="none"/>
        </w:rPr>
      </w:pPr>
    </w:p>
    <w:p>
      <w:pPr>
        <w:keepNext w:val="0"/>
        <w:keepLines w:val="0"/>
        <w:pageBreakBefore w:val="0"/>
        <w:widowControl/>
        <w:kinsoku/>
        <w:wordWrap/>
        <w:overflowPunct/>
        <w:topLinePunct w:val="0"/>
        <w:autoSpaceDE/>
        <w:autoSpaceDN/>
        <w:bidi w:val="0"/>
        <w:adjustRightInd/>
        <w:spacing w:after="0"/>
        <w:textAlignment w:val="auto"/>
        <w:rPr>
          <w:rFonts w:hint="eastAsia" w:ascii="仿宋" w:hAnsi="仿宋" w:eastAsia="仿宋" w:cs="仿宋"/>
          <w:color w:val="auto"/>
          <w:highlight w:val="none"/>
        </w:rPr>
      </w:pPr>
    </w:p>
    <w:p>
      <w:pPr>
        <w:keepNext w:val="0"/>
        <w:keepLines w:val="0"/>
        <w:pageBreakBefore w:val="0"/>
        <w:widowControl/>
        <w:kinsoku/>
        <w:wordWrap/>
        <w:overflowPunct/>
        <w:topLinePunct w:val="0"/>
        <w:autoSpaceDE/>
        <w:autoSpaceDN/>
        <w:bidi w:val="0"/>
        <w:adjustRightInd/>
        <w:spacing w:after="0"/>
        <w:jc w:val="center"/>
        <w:textAlignment w:val="auto"/>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keepNext w:val="0"/>
        <w:keepLines w:val="0"/>
        <w:pageBreakBefore w:val="0"/>
        <w:widowControl/>
        <w:kinsoku/>
        <w:wordWrap/>
        <w:overflowPunct/>
        <w:topLinePunct w:val="0"/>
        <w:autoSpaceDE/>
        <w:autoSpaceDN/>
        <w:bidi w:val="0"/>
        <w:adjustRightInd/>
        <w:spacing w:after="0" w:line="360" w:lineRule="auto"/>
        <w:jc w:val="center"/>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杭州市萧山区人民政府宁围街道办事处</w:t>
      </w:r>
    </w:p>
    <w:p>
      <w:pPr>
        <w:keepNext w:val="0"/>
        <w:keepLines w:val="0"/>
        <w:pageBreakBefore w:val="0"/>
        <w:widowControl/>
        <w:kinsoku/>
        <w:wordWrap/>
        <w:overflowPunct/>
        <w:topLinePunct w:val="0"/>
        <w:autoSpaceDE/>
        <w:autoSpaceDN/>
        <w:bidi w:val="0"/>
        <w:adjustRightInd/>
        <w:snapToGrid w:val="0"/>
        <w:spacing w:after="0" w:line="360" w:lineRule="auto"/>
        <w:jc w:val="center"/>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浙江佳诚工程咨询股份有限公司</w:t>
      </w:r>
    </w:p>
    <w:p>
      <w:pPr>
        <w:keepNext w:val="0"/>
        <w:keepLines w:val="0"/>
        <w:pageBreakBefore w:val="0"/>
        <w:widowControl/>
        <w:kinsoku/>
        <w:wordWrap/>
        <w:overflowPunct/>
        <w:topLinePunct w:val="0"/>
        <w:autoSpaceDE/>
        <w:autoSpaceDN/>
        <w:bidi w:val="0"/>
        <w:adjustRightInd/>
        <w:snapToGrid w:val="0"/>
        <w:spacing w:after="0" w:line="360" w:lineRule="auto"/>
        <w:jc w:val="center"/>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2022年</w:t>
      </w:r>
      <w:r>
        <w:rPr>
          <w:rFonts w:hint="eastAsia" w:cs="仿宋"/>
          <w:bCs/>
          <w:color w:val="auto"/>
          <w:sz w:val="32"/>
          <w:szCs w:val="32"/>
          <w:highlight w:val="none"/>
          <w:lang w:val="en-US" w:eastAsia="zh-CN"/>
        </w:rPr>
        <w:t>09</w:t>
      </w:r>
      <w:r>
        <w:rPr>
          <w:rFonts w:hint="eastAsia" w:ascii="仿宋" w:hAnsi="仿宋" w:eastAsia="仿宋" w:cs="仿宋"/>
          <w:bCs/>
          <w:color w:val="auto"/>
          <w:sz w:val="32"/>
          <w:szCs w:val="32"/>
          <w:highlight w:val="none"/>
        </w:rPr>
        <w:t>月</w:t>
      </w:r>
      <w:r>
        <w:rPr>
          <w:rFonts w:hint="eastAsia" w:cs="仿宋"/>
          <w:bCs/>
          <w:color w:val="auto"/>
          <w:sz w:val="32"/>
          <w:szCs w:val="32"/>
          <w:highlight w:val="none"/>
          <w:lang w:val="en-US" w:eastAsia="zh-CN"/>
        </w:rPr>
        <w:t>30</w:t>
      </w:r>
      <w:r>
        <w:rPr>
          <w:rFonts w:hint="eastAsia" w:ascii="仿宋" w:hAnsi="仿宋" w:eastAsia="仿宋" w:cs="仿宋"/>
          <w:bCs/>
          <w:color w:val="auto"/>
          <w:sz w:val="32"/>
          <w:szCs w:val="32"/>
          <w:highlight w:val="none"/>
        </w:rPr>
        <w:t>日</w:t>
      </w:r>
    </w:p>
    <w:p>
      <w:pPr>
        <w:spacing w:line="276"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pPr>
        <w:pStyle w:val="4"/>
        <w:rPr>
          <w:rFonts w:hint="eastAsia" w:ascii="仿宋" w:hAnsi="仿宋" w:eastAsia="仿宋" w:cs="仿宋"/>
          <w:color w:val="auto"/>
          <w:highlight w:val="none"/>
        </w:rPr>
      </w:pPr>
      <w:r>
        <w:rPr>
          <w:rFonts w:hint="eastAsia" w:ascii="仿宋" w:hAnsi="仿宋" w:eastAsia="仿宋" w:cs="仿宋"/>
          <w:color w:val="auto"/>
          <w:highlight w:val="none"/>
        </w:rPr>
        <w:t>目  录</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第一部分      招标公告</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第二部分      投标人须知</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第三部分      采购需求</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第四部分      评标办法</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第五部分      拟签订的合同文本</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第六部分      应提交的有关格式范例</w:t>
      </w:r>
    </w:p>
    <w:p>
      <w:pPr>
        <w:spacing w:line="276" w:lineRule="auto"/>
        <w:rPr>
          <w:rFonts w:hint="eastAsia" w:ascii="仿宋" w:hAnsi="仿宋" w:eastAsia="仿宋" w:cs="仿宋"/>
          <w:color w:val="auto"/>
          <w:sz w:val="32"/>
          <w:highlight w:val="none"/>
        </w:rPr>
      </w:pPr>
    </w:p>
    <w:p>
      <w:pPr>
        <w:spacing w:line="276"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pPr>
        <w:pStyle w:val="4"/>
        <w:rPr>
          <w:rFonts w:hint="eastAsia" w:ascii="仿宋" w:hAnsi="仿宋" w:eastAsia="仿宋" w:cs="仿宋"/>
          <w:color w:val="auto"/>
          <w:highlight w:val="none"/>
        </w:rPr>
      </w:pPr>
      <w:r>
        <w:rPr>
          <w:rFonts w:hint="eastAsia" w:ascii="仿宋" w:hAnsi="仿宋" w:eastAsia="仿宋" w:cs="仿宋"/>
          <w:color w:val="auto"/>
          <w:highlight w:val="none"/>
        </w:rPr>
        <w:t>第一部分 招标公告</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rFonts w:hint="eastAsia" w:ascii="仿宋" w:hAnsi="仿宋" w:eastAsia="仿宋" w:cs="仿宋"/>
                <w:color w:val="auto"/>
                <w:highlight w:val="none"/>
              </w:rPr>
            </w:pPr>
            <w:r>
              <w:rPr>
                <w:rFonts w:hint="eastAsia" w:ascii="仿宋" w:hAnsi="仿宋" w:eastAsia="仿宋" w:cs="仿宋"/>
                <w:color w:val="auto"/>
                <w:highlight w:val="none"/>
              </w:rPr>
              <w:t>项目概况</w:t>
            </w:r>
          </w:p>
          <w:p>
            <w:pPr>
              <w:spacing w:after="0"/>
              <w:rPr>
                <w:rFonts w:hint="eastAsia" w:ascii="仿宋" w:hAnsi="仿宋" w:eastAsia="仿宋" w:cs="仿宋"/>
                <w:color w:val="auto"/>
                <w:highlight w:val="none"/>
              </w:rPr>
            </w:pPr>
            <w:r>
              <w:rPr>
                <w:rFonts w:hint="eastAsia" w:cs="仿宋"/>
                <w:color w:val="auto"/>
                <w:highlight w:val="none"/>
                <w:u w:val="single"/>
                <w:lang w:eastAsia="zh-CN"/>
              </w:rPr>
              <w:t>宁围街道高教园区环卫保洁等服务采购项目</w:t>
            </w:r>
            <w:r>
              <w:rPr>
                <w:rFonts w:hint="eastAsia" w:ascii="仿宋" w:hAnsi="仿宋" w:eastAsia="仿宋" w:cs="仿宋"/>
                <w:color w:val="auto"/>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https://www.zcygov.cn/）获取（下载）招标文件，并于202</w:t>
            </w:r>
            <w:r>
              <w:rPr>
                <w:rFonts w:hint="eastAsia" w:cs="仿宋"/>
                <w:color w:val="auto"/>
                <w:highlight w:val="none"/>
                <w:lang w:val="en-US" w:eastAsia="zh-CN"/>
              </w:rPr>
              <w:t>2</w:t>
            </w:r>
            <w:r>
              <w:rPr>
                <w:rFonts w:hint="eastAsia" w:ascii="仿宋" w:hAnsi="仿宋" w:eastAsia="仿宋" w:cs="仿宋"/>
                <w:color w:val="auto"/>
                <w:highlight w:val="none"/>
              </w:rPr>
              <w:t>年</w:t>
            </w:r>
            <w:r>
              <w:rPr>
                <w:rFonts w:hint="eastAsia" w:cs="仿宋"/>
                <w:color w:val="auto"/>
                <w:highlight w:val="none"/>
                <w:u w:val="single"/>
                <w:lang w:val="en-US" w:eastAsia="zh-CN"/>
              </w:rPr>
              <w:t>10</w:t>
            </w:r>
            <w:r>
              <w:rPr>
                <w:rFonts w:hint="eastAsia" w:ascii="仿宋" w:hAnsi="仿宋" w:eastAsia="仿宋" w:cs="仿宋"/>
                <w:color w:val="auto"/>
                <w:highlight w:val="none"/>
              </w:rPr>
              <w:t>月</w:t>
            </w:r>
            <w:r>
              <w:rPr>
                <w:rFonts w:hint="eastAsia" w:cs="仿宋"/>
                <w:color w:val="auto"/>
                <w:highlight w:val="none"/>
                <w:u w:val="single"/>
                <w:lang w:val="en-US" w:eastAsia="zh-CN"/>
              </w:rPr>
              <w:t>24</w:t>
            </w:r>
            <w:r>
              <w:rPr>
                <w:rFonts w:hint="eastAsia" w:ascii="仿宋" w:hAnsi="仿宋" w:eastAsia="仿宋" w:cs="仿宋"/>
                <w:color w:val="auto"/>
                <w:highlight w:val="none"/>
              </w:rPr>
              <w:t>日</w:t>
            </w:r>
            <w:r>
              <w:rPr>
                <w:rFonts w:hint="eastAsia" w:cs="仿宋"/>
                <w:color w:val="auto"/>
                <w:highlight w:val="none"/>
                <w:u w:val="single"/>
                <w:lang w:val="en-US" w:eastAsia="zh-CN"/>
              </w:rPr>
              <w:t>09</w:t>
            </w:r>
            <w:r>
              <w:rPr>
                <w:rFonts w:hint="eastAsia" w:ascii="仿宋" w:hAnsi="仿宋" w:eastAsia="仿宋" w:cs="仿宋"/>
                <w:color w:val="auto"/>
                <w:highlight w:val="none"/>
              </w:rPr>
              <w:t>点</w:t>
            </w:r>
            <w:r>
              <w:rPr>
                <w:rFonts w:hint="eastAsia" w:cs="仿宋"/>
                <w:color w:val="auto"/>
                <w:highlight w:val="none"/>
                <w:u w:val="single"/>
                <w:lang w:val="en-US" w:eastAsia="zh-CN"/>
              </w:rPr>
              <w:t>00</w:t>
            </w:r>
            <w:r>
              <w:rPr>
                <w:rFonts w:hint="eastAsia" w:ascii="仿宋" w:hAnsi="仿宋" w:eastAsia="仿宋" w:cs="仿宋"/>
                <w:color w:val="auto"/>
                <w:highlight w:val="none"/>
              </w:rPr>
              <w:t>分00秒</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rPr>
              <w:t>（北京时间）前</w:t>
            </w:r>
            <w:r>
              <w:rPr>
                <w:rFonts w:hint="eastAsia" w:ascii="仿宋" w:hAnsi="仿宋" w:eastAsia="仿宋" w:cs="仿宋"/>
                <w:color w:val="auto"/>
                <w:highlight w:val="none"/>
              </w:rPr>
              <w:t>递交（上传）投标文件。</w:t>
            </w:r>
          </w:p>
        </w:tc>
      </w:tr>
    </w:tbl>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一、项目基本情况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项目编号：XZCGDL2022-GK-ZCY008</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cs="仿宋"/>
          <w:color w:val="auto"/>
          <w:highlight w:val="none"/>
          <w:lang w:eastAsia="zh-CN"/>
        </w:rPr>
        <w:t>宁围街道高教园区环卫保洁等服务采购项目</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预算金额（元）：</w:t>
      </w:r>
      <w:r>
        <w:rPr>
          <w:rFonts w:hint="eastAsia" w:cs="仿宋"/>
          <w:color w:val="auto"/>
          <w:highlight w:val="none"/>
          <w:lang w:val="en-US" w:eastAsia="zh-CN"/>
        </w:rPr>
        <w:t>15000000</w:t>
      </w:r>
      <w:r>
        <w:rPr>
          <w:rFonts w:hint="eastAsia" w:ascii="仿宋" w:hAnsi="仿宋" w:eastAsia="仿宋" w:cs="仿宋"/>
          <w:color w:val="auto"/>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最高限价（元）：</w:t>
      </w:r>
      <w:r>
        <w:rPr>
          <w:rFonts w:hint="eastAsia" w:cs="仿宋"/>
          <w:color w:val="auto"/>
          <w:highlight w:val="none"/>
          <w:lang w:val="en-US" w:eastAsia="zh-CN"/>
        </w:rPr>
        <w:t>14765098</w:t>
      </w:r>
      <w:r>
        <w:rPr>
          <w:rFonts w:hint="eastAsia" w:ascii="仿宋" w:hAnsi="仿宋" w:eastAsia="仿宋" w:cs="仿宋"/>
          <w:color w:val="auto"/>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highlight w:val="none"/>
        </w:rPr>
        <w:t>采购需求：</w:t>
      </w:r>
      <w:r>
        <w:rPr>
          <w:rFonts w:hint="eastAsia" w:ascii="仿宋" w:hAnsi="仿宋" w:eastAsia="仿宋" w:cs="仿宋"/>
          <w:color w:val="auto"/>
          <w:sz w:val="24"/>
          <w:szCs w:val="28"/>
          <w:highlight w:val="none"/>
        </w:rPr>
        <w:t>具体要求详见招标需求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主要内容：高教园区环卫保洁、河道保洁等。详见招标文件第三部分采购需求。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合同履约期限：详见招标文件第三部分采购需求。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本项目接受联合体投标：（√）是；（ ）否。</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二、申请人的资格要求</w:t>
      </w:r>
      <w:r>
        <w:rPr>
          <w:rFonts w:hint="eastAsia" w:ascii="仿宋" w:hAnsi="仿宋" w:eastAsia="仿宋" w:cs="仿宋"/>
          <w:color w:val="auto"/>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2.落实政府采购政策需满足的资格要求：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（√）无；</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）专门面向中小企业</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）货物全部由符合政策要求的中小企业制造，提供中小企业声明函；</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）货物全部由符合政策要求的小微企业制造，提供中小企业声明函；</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）服务全部由符合政策要求的中小企业承接，提供中小企业声明函；</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）服务全部由符合政策要求的小微企业承接，提供中小企业声明函；</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3.本项目的特定资格要求：无；</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三、获取招标文件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时间：/至202</w:t>
      </w:r>
      <w:r>
        <w:rPr>
          <w:rFonts w:hint="eastAsia" w:cs="仿宋"/>
          <w:color w:val="auto"/>
          <w:highlight w:val="none"/>
          <w:lang w:val="en-US" w:eastAsia="zh-CN"/>
        </w:rPr>
        <w:t>2</w:t>
      </w:r>
      <w:r>
        <w:rPr>
          <w:rFonts w:hint="eastAsia" w:ascii="仿宋" w:hAnsi="仿宋" w:eastAsia="仿宋" w:cs="仿宋"/>
          <w:color w:val="auto"/>
          <w:highlight w:val="none"/>
        </w:rPr>
        <w:t>年</w:t>
      </w:r>
      <w:r>
        <w:rPr>
          <w:rFonts w:hint="eastAsia" w:cs="仿宋"/>
          <w:color w:val="auto"/>
          <w:highlight w:val="none"/>
          <w:lang w:val="en-US" w:eastAsia="zh-CN"/>
        </w:rPr>
        <w:t>10</w:t>
      </w:r>
      <w:r>
        <w:rPr>
          <w:rFonts w:hint="eastAsia" w:ascii="仿宋" w:hAnsi="仿宋" w:eastAsia="仿宋" w:cs="仿宋"/>
          <w:color w:val="auto"/>
          <w:highlight w:val="none"/>
        </w:rPr>
        <w:t>月</w:t>
      </w:r>
      <w:r>
        <w:rPr>
          <w:rFonts w:hint="eastAsia" w:cs="仿宋"/>
          <w:color w:val="auto"/>
          <w:highlight w:val="none"/>
          <w:lang w:val="en-US" w:eastAsia="zh-CN"/>
        </w:rPr>
        <w:t>24</w:t>
      </w:r>
      <w:r>
        <w:rPr>
          <w:rFonts w:hint="eastAsia" w:ascii="仿宋" w:hAnsi="仿宋" w:eastAsia="仿宋" w:cs="仿宋"/>
          <w:color w:val="auto"/>
          <w:highlight w:val="none"/>
        </w:rPr>
        <w:t>日，每天上午00:00至12:00 ，下午12:00至23:59（北京时间，线上获取法定节假日均可，线下获取文件法定节假日除外）</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地点（网址）：政采云平台（https://www.zcygov.cn/）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方式：供应商登录政采云平台https://www.zcygov.cn/在线申请获取采购文件（进入“项目采购”应用，在获取采购文件菜单中选择项目，申请获取采购文件）。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售价（元）：0 </w:t>
      </w:r>
      <w:r>
        <w:rPr>
          <w:rFonts w:hint="eastAsia" w:ascii="仿宋" w:hAnsi="仿宋" w:eastAsia="仿宋" w:cs="仿宋"/>
          <w:color w:val="auto"/>
          <w:highlight w:val="none"/>
        </w:rPr>
        <w:tab/>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四、提交投标文件截止时间、开标时间和地点</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提交投标文件截止时间：202</w:t>
      </w:r>
      <w:r>
        <w:rPr>
          <w:rFonts w:hint="eastAsia" w:cs="仿宋"/>
          <w:color w:val="auto"/>
          <w:highlight w:val="none"/>
          <w:lang w:val="en-US" w:eastAsia="zh-CN"/>
        </w:rPr>
        <w:t>2</w:t>
      </w:r>
      <w:r>
        <w:rPr>
          <w:rFonts w:hint="eastAsia" w:ascii="仿宋" w:hAnsi="仿宋" w:eastAsia="仿宋" w:cs="仿宋"/>
          <w:color w:val="auto"/>
          <w:highlight w:val="none"/>
        </w:rPr>
        <w:t>年</w:t>
      </w:r>
      <w:r>
        <w:rPr>
          <w:rFonts w:hint="eastAsia" w:cs="仿宋"/>
          <w:color w:val="auto"/>
          <w:highlight w:val="none"/>
          <w:lang w:val="en-US" w:eastAsia="zh-CN"/>
        </w:rPr>
        <w:t>10</w:t>
      </w:r>
      <w:r>
        <w:rPr>
          <w:rFonts w:hint="eastAsia" w:ascii="仿宋" w:hAnsi="仿宋" w:eastAsia="仿宋" w:cs="仿宋"/>
          <w:color w:val="auto"/>
          <w:highlight w:val="none"/>
        </w:rPr>
        <w:t>月</w:t>
      </w:r>
      <w:r>
        <w:rPr>
          <w:rFonts w:hint="eastAsia" w:cs="仿宋"/>
          <w:color w:val="auto"/>
          <w:highlight w:val="none"/>
          <w:lang w:val="en-US" w:eastAsia="zh-CN"/>
        </w:rPr>
        <w:t>24</w:t>
      </w:r>
      <w:r>
        <w:rPr>
          <w:rFonts w:hint="eastAsia" w:ascii="仿宋" w:hAnsi="仿宋" w:eastAsia="仿宋" w:cs="仿宋"/>
          <w:color w:val="auto"/>
          <w:highlight w:val="none"/>
        </w:rPr>
        <w:t>日</w:t>
      </w:r>
      <w:r>
        <w:rPr>
          <w:rFonts w:hint="eastAsia" w:cs="仿宋"/>
          <w:color w:val="auto"/>
          <w:highlight w:val="none"/>
          <w:lang w:val="en-US" w:eastAsia="zh-CN"/>
        </w:rPr>
        <w:t>09</w:t>
      </w:r>
      <w:r>
        <w:rPr>
          <w:rFonts w:hint="eastAsia" w:ascii="仿宋" w:hAnsi="仿宋" w:eastAsia="仿宋" w:cs="仿宋"/>
          <w:color w:val="auto"/>
          <w:highlight w:val="none"/>
        </w:rPr>
        <w:t>点</w:t>
      </w:r>
      <w:r>
        <w:rPr>
          <w:rFonts w:hint="eastAsia" w:cs="仿宋"/>
          <w:color w:val="auto"/>
          <w:highlight w:val="none"/>
          <w:lang w:val="en-US" w:eastAsia="zh-CN"/>
        </w:rPr>
        <w:t>00</w:t>
      </w:r>
      <w:r>
        <w:rPr>
          <w:rFonts w:hint="eastAsia" w:ascii="仿宋" w:hAnsi="仿宋" w:eastAsia="仿宋" w:cs="仿宋"/>
          <w:color w:val="auto"/>
          <w:highlight w:val="none"/>
        </w:rPr>
        <w:t>分（北京时间）</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投标地点（网址）：政采云平台（https://www.zcygov.cn/）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开标时间：202</w:t>
      </w:r>
      <w:r>
        <w:rPr>
          <w:rFonts w:hint="eastAsia" w:cs="仿宋"/>
          <w:color w:val="auto"/>
          <w:highlight w:val="none"/>
          <w:lang w:val="en-US" w:eastAsia="zh-CN"/>
        </w:rPr>
        <w:t>2</w:t>
      </w:r>
      <w:r>
        <w:rPr>
          <w:rFonts w:hint="eastAsia" w:ascii="仿宋" w:hAnsi="仿宋" w:eastAsia="仿宋" w:cs="仿宋"/>
          <w:color w:val="auto"/>
          <w:highlight w:val="none"/>
        </w:rPr>
        <w:t>年</w:t>
      </w:r>
      <w:r>
        <w:rPr>
          <w:rFonts w:hint="eastAsia" w:cs="仿宋"/>
          <w:color w:val="auto"/>
          <w:highlight w:val="none"/>
          <w:lang w:val="en-US" w:eastAsia="zh-CN"/>
        </w:rPr>
        <w:t>10</w:t>
      </w:r>
      <w:r>
        <w:rPr>
          <w:rFonts w:hint="eastAsia" w:ascii="仿宋" w:hAnsi="仿宋" w:eastAsia="仿宋" w:cs="仿宋"/>
          <w:color w:val="auto"/>
          <w:highlight w:val="none"/>
        </w:rPr>
        <w:t>月</w:t>
      </w:r>
      <w:r>
        <w:rPr>
          <w:rFonts w:hint="eastAsia" w:cs="仿宋"/>
          <w:color w:val="auto"/>
          <w:highlight w:val="none"/>
          <w:lang w:val="en-US" w:eastAsia="zh-CN"/>
        </w:rPr>
        <w:t>24</w:t>
      </w:r>
      <w:r>
        <w:rPr>
          <w:rFonts w:hint="eastAsia" w:ascii="仿宋" w:hAnsi="仿宋" w:eastAsia="仿宋" w:cs="仿宋"/>
          <w:color w:val="auto"/>
          <w:highlight w:val="none"/>
        </w:rPr>
        <w:t>日</w:t>
      </w:r>
      <w:r>
        <w:rPr>
          <w:rFonts w:hint="eastAsia" w:cs="仿宋"/>
          <w:color w:val="auto"/>
          <w:highlight w:val="none"/>
          <w:lang w:val="en-US" w:eastAsia="zh-CN"/>
        </w:rPr>
        <w:t>09</w:t>
      </w:r>
      <w:r>
        <w:rPr>
          <w:rFonts w:hint="eastAsia" w:ascii="仿宋" w:hAnsi="仿宋" w:eastAsia="仿宋" w:cs="仿宋"/>
          <w:color w:val="auto"/>
          <w:highlight w:val="none"/>
        </w:rPr>
        <w:t>点</w:t>
      </w:r>
      <w:r>
        <w:rPr>
          <w:rFonts w:hint="eastAsia" w:cs="仿宋"/>
          <w:color w:val="auto"/>
          <w:highlight w:val="none"/>
          <w:lang w:val="en-US" w:eastAsia="zh-CN"/>
        </w:rPr>
        <w:t>00</w:t>
      </w:r>
      <w:r>
        <w:rPr>
          <w:rFonts w:hint="eastAsia" w:ascii="仿宋" w:hAnsi="仿宋" w:eastAsia="仿宋" w:cs="仿宋"/>
          <w:color w:val="auto"/>
          <w:highlight w:val="none"/>
        </w:rPr>
        <w:t xml:space="preserve">分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开标地点（网址）：政采云平台（https://www.zcygov.cn/）</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五、公告期限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自本公告发布之日起5个工作日。</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六、其他补充事宜</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七、对本次采购提出询问、质疑、投诉，请按以下方式联系</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1.采购人信息</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bookmarkStart w:id="0" w:name="_Toc28359086"/>
      <w:bookmarkStart w:id="1" w:name="_Toc28359009"/>
      <w:r>
        <w:rPr>
          <w:rFonts w:hint="eastAsia" w:ascii="仿宋" w:hAnsi="仿宋" w:eastAsia="仿宋" w:cs="仿宋"/>
          <w:color w:val="auto"/>
          <w:highlight w:val="none"/>
        </w:rPr>
        <w:t>名称：杭州市萧山区人民政府宁围街道办事处</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地址：萧山区宁围街道振宁路228号</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项目联系人（询问）：陈主任</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项目联系方式（询问）：0571-82864527</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质疑联系人：倪陆扬</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质疑联系方式：13958155423</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2.采购代理机构信息</w:t>
      </w:r>
      <w:bookmarkEnd w:id="0"/>
      <w:bookmarkEnd w:id="1"/>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名称：浙江佳诚工程咨询股份有限公司</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地址：杭州市萧山区宁围街道富业巷1号A座12楼</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项目联系人（询问）：周立军</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项目联系方式（询问）：18329091063</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质疑联系人：翁林刚</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质疑联系方式：18106537718</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3.同级政府采购监督管理部门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名    称：萧山区财政局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地    址：萧山区人民路318号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传   真：0571-82756122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联系人 ：汤先生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监督投诉电话：0571-82756122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CA问题联系电话（人工）：汇信CA 400-888-4636；天谷CA 400-087-8198。</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rPr>
          <w:rFonts w:hint="eastAsia" w:ascii="仿宋" w:hAnsi="仿宋" w:eastAsia="仿宋" w:cs="仿宋"/>
          <w:color w:val="auto"/>
          <w:highlight w:val="none"/>
        </w:rPr>
      </w:pPr>
      <w:r>
        <w:rPr>
          <w:rFonts w:hint="eastAsia" w:ascii="仿宋" w:hAnsi="仿宋" w:eastAsia="仿宋" w:cs="仿宋"/>
          <w:color w:val="auto"/>
          <w:highlight w:val="none"/>
        </w:rPr>
        <w:t>第二部分 投标人须知</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23"/>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822"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事项</w:t>
            </w:r>
          </w:p>
        </w:tc>
        <w:tc>
          <w:tcPr>
            <w:tcW w:w="3867"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822"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项目属性与核心产品</w:t>
            </w:r>
          </w:p>
        </w:tc>
        <w:tc>
          <w:tcPr>
            <w:tcW w:w="3867" w:type="pct"/>
            <w:vAlign w:val="center"/>
          </w:tcPr>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)A货物类，单一产品或核心产品为：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w:t>
            </w:r>
          </w:p>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822"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采购标的对应的中小企业划分标准所属行业</w:t>
            </w:r>
          </w:p>
        </w:tc>
        <w:tc>
          <w:tcPr>
            <w:tcW w:w="3867" w:type="pct"/>
            <w:vAlign w:val="center"/>
          </w:tcPr>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（1）标的：</w:t>
            </w:r>
            <w:r>
              <w:rPr>
                <w:rFonts w:hint="eastAsia" w:cs="仿宋"/>
                <w:b w:val="0"/>
                <w:bCs w:val="0"/>
                <w:color w:val="auto"/>
                <w:sz w:val="22"/>
                <w:szCs w:val="22"/>
                <w:highlight w:val="none"/>
                <w:lang w:eastAsia="zh-CN"/>
              </w:rPr>
              <w:t>宁围街道高教园区环卫保洁等服务采购项目</w:t>
            </w:r>
            <w:r>
              <w:rPr>
                <w:rFonts w:hint="eastAsia" w:ascii="仿宋" w:hAnsi="仿宋" w:eastAsia="仿宋" w:cs="仿宋"/>
                <w:b w:val="0"/>
                <w:bCs w:val="0"/>
                <w:color w:val="auto"/>
                <w:sz w:val="22"/>
                <w:szCs w:val="22"/>
                <w:highlight w:val="none"/>
              </w:rPr>
              <w:t>，属于其他未列明行业行业；</w:t>
            </w:r>
          </w:p>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rPr>
              <w:t>行业划分标准：《关于印发中小企业划型标准规定的通知》工信部联企业〔2011〕300号</w:t>
            </w:r>
            <w:r>
              <w:rPr>
                <w:rFonts w:hint="eastAsia" w:cs="仿宋"/>
                <w:b w:val="0"/>
                <w:bCs w:val="0"/>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822"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是否允许采购进口产品</w:t>
            </w:r>
          </w:p>
        </w:tc>
        <w:tc>
          <w:tcPr>
            <w:tcW w:w="3867" w:type="pct"/>
            <w:vAlign w:val="center"/>
          </w:tcPr>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(√)本项目不允许采购进口产品。</w:t>
            </w:r>
          </w:p>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)可以就</w:t>
            </w:r>
            <w:r>
              <w:rPr>
                <w:rFonts w:hint="eastAsia" w:ascii="仿宋" w:hAnsi="仿宋" w:eastAsia="仿宋" w:cs="仿宋"/>
                <w:b w:val="0"/>
                <w:bCs w:val="0"/>
                <w:color w:val="auto"/>
                <w:sz w:val="22"/>
                <w:szCs w:val="22"/>
                <w:highlight w:val="none"/>
                <w:u w:val="single"/>
              </w:rPr>
              <w:t xml:space="preserve">  </w:t>
            </w:r>
            <w:r>
              <w:rPr>
                <w:rFonts w:hint="eastAsia" w:cs="仿宋"/>
                <w:b w:val="0"/>
                <w:bCs w:val="0"/>
                <w:color w:val="auto"/>
                <w:sz w:val="22"/>
                <w:szCs w:val="22"/>
                <w:highlight w:val="none"/>
                <w:u w:val="single"/>
                <w:lang w:val="en-US" w:eastAsia="zh-CN"/>
              </w:rPr>
              <w:t>/</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rPr>
              <w:t>采购进口产品。</w:t>
            </w:r>
          </w:p>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822"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联合体和分包</w:t>
            </w:r>
          </w:p>
        </w:tc>
        <w:tc>
          <w:tcPr>
            <w:tcW w:w="3867" w:type="pct"/>
            <w:vAlign w:val="center"/>
          </w:tcPr>
          <w:p>
            <w:pPr>
              <w:keepNext w:val="0"/>
              <w:keepLines w:val="0"/>
              <w:pageBreakBefore w:val="0"/>
              <w:kinsoku/>
              <w:wordWrap/>
              <w:overflowPunct/>
              <w:topLinePunct w:val="0"/>
              <w:autoSpaceDE/>
              <w:autoSpaceDN/>
              <w:bidi w:val="0"/>
              <w:snapToGrid w:val="0"/>
              <w:spacing w:after="0" w:line="240" w:lineRule="auto"/>
              <w:ind w:left="0"/>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（√）A同意将非主体、非关键性的</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rPr>
              <w:t>工作分包。</w:t>
            </w:r>
          </w:p>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w:t>
            </w:r>
            <w:r>
              <w:rPr>
                <w:rFonts w:hint="eastAsia" w:cs="仿宋"/>
                <w:b w:val="0"/>
                <w:bCs w:val="0"/>
                <w:color w:val="auto"/>
                <w:sz w:val="22"/>
                <w:szCs w:val="22"/>
                <w:highlight w:val="none"/>
                <w:lang w:val="en-US" w:eastAsia="zh-CN"/>
              </w:rPr>
              <w:t xml:space="preserve"> </w:t>
            </w:r>
            <w:r>
              <w:rPr>
                <w:rFonts w:hint="eastAsia" w:ascii="仿宋" w:hAnsi="仿宋" w:eastAsia="仿宋" w:cs="仿宋"/>
                <w:b w:val="0"/>
                <w:bCs w:val="0"/>
                <w:color w:val="auto"/>
                <w:sz w:val="22"/>
                <w:szCs w:val="22"/>
                <w:highlight w:val="none"/>
              </w:rPr>
              <w:t xml:space="preserve"> ）B不同意分包。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822"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开标前答疑会或现场考察</w:t>
            </w:r>
          </w:p>
        </w:tc>
        <w:tc>
          <w:tcPr>
            <w:tcW w:w="3867" w:type="pct"/>
            <w:vAlign w:val="center"/>
          </w:tcPr>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（√）A不组织。</w:t>
            </w:r>
          </w:p>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）B组织，时间：</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rPr>
              <w:t>,地点：</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rPr>
              <w:t>，</w:t>
            </w:r>
          </w:p>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联系人：</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822"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样品提供</w:t>
            </w:r>
          </w:p>
        </w:tc>
        <w:tc>
          <w:tcPr>
            <w:tcW w:w="3867" w:type="pct"/>
            <w:vAlign w:val="center"/>
          </w:tcPr>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（√）A不要求提供。</w:t>
            </w:r>
          </w:p>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  ）B要求提供，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822"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方案讲解演示</w:t>
            </w:r>
          </w:p>
        </w:tc>
        <w:tc>
          <w:tcPr>
            <w:tcW w:w="3867" w:type="pct"/>
            <w:vAlign w:val="center"/>
          </w:tcPr>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w:t>
            </w:r>
            <w:r>
              <w:rPr>
                <w:rFonts w:hint="eastAsia" w:ascii="仿宋" w:hAnsi="仿宋" w:eastAsia="仿宋" w:cs="仿宋"/>
                <w:b w:val="0"/>
                <w:bCs w:val="0"/>
                <w:color w:val="auto"/>
                <w:sz w:val="22"/>
                <w:szCs w:val="22"/>
                <w:highlight w:val="none"/>
              </w:rPr>
              <w:t>√</w:t>
            </w:r>
            <w:r>
              <w:rPr>
                <w:rFonts w:hint="eastAsia" w:ascii="仿宋" w:hAnsi="仿宋" w:eastAsia="仿宋" w:cs="仿宋"/>
                <w:bCs/>
                <w:color w:val="auto"/>
                <w:sz w:val="22"/>
                <w:szCs w:val="22"/>
                <w:highlight w:val="none"/>
              </w:rPr>
              <w:t>）A不要求。</w:t>
            </w:r>
          </w:p>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  ）B要求演示，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w:t>
            </w:r>
          </w:p>
        </w:tc>
        <w:tc>
          <w:tcPr>
            <w:tcW w:w="822"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投标人应当提供的资格、资信证明文件</w:t>
            </w:r>
          </w:p>
        </w:tc>
        <w:tc>
          <w:tcPr>
            <w:tcW w:w="3867" w:type="pct"/>
            <w:vAlign w:val="center"/>
          </w:tcPr>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（1）资格证明文件：见招标文件第二部分11.1。</w:t>
            </w:r>
          </w:p>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投标人未提供有效的资格证明文件的，视为投标人不具备招标文件中规定的资格要求，投标无效。</w:t>
            </w:r>
          </w:p>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w:t>
            </w:r>
          </w:p>
        </w:tc>
        <w:tc>
          <w:tcPr>
            <w:tcW w:w="822"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节能产品、环境标志产品</w:t>
            </w:r>
          </w:p>
        </w:tc>
        <w:tc>
          <w:tcPr>
            <w:tcW w:w="3867" w:type="pct"/>
            <w:vAlign w:val="center"/>
          </w:tcPr>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822"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报价要求</w:t>
            </w:r>
          </w:p>
        </w:tc>
        <w:tc>
          <w:tcPr>
            <w:tcW w:w="3867" w:type="pct"/>
            <w:vAlign w:val="center"/>
          </w:tcPr>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lang w:val="zh-CN"/>
              </w:rPr>
              <w:t>有关本项目实施所需的所有费用（含税费）均计入报价。</w:t>
            </w:r>
            <w:r>
              <w:rPr>
                <w:rFonts w:hint="eastAsia" w:ascii="仿宋" w:hAnsi="仿宋" w:eastAsia="仿宋" w:cs="仿宋"/>
                <w:bCs/>
                <w:color w:val="auto"/>
                <w:sz w:val="22"/>
                <w:szCs w:val="22"/>
                <w:highlight w:val="none"/>
              </w:rPr>
              <w:t>开标一览表（报价表）是报价的唯一载体</w:t>
            </w:r>
            <w:r>
              <w:rPr>
                <w:rFonts w:hint="eastAsia" w:ascii="仿宋" w:hAnsi="仿宋" w:eastAsia="仿宋" w:cs="仿宋"/>
                <w:bCs/>
                <w:color w:val="auto"/>
                <w:sz w:val="22"/>
                <w:szCs w:val="22"/>
                <w:highlight w:val="none"/>
                <w:lang w:val="zh-CN"/>
              </w:rPr>
              <w:t>。投标文件中价格全部采用人民币报价。招标文件未列明，而投标人认为必需的费用也需列入报价。提醒：验收时检测费用由采购人承担，不包含在投标总价中。</w:t>
            </w:r>
          </w:p>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lang w:val="zh-CN"/>
              </w:rPr>
              <w:t>投标报价出现下列情形的，投标无效：</w:t>
            </w:r>
          </w:p>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lang w:val="zh-CN"/>
              </w:rPr>
              <w:t>投标文件出现不是唯一的、有选择性投标报价的；</w:t>
            </w:r>
          </w:p>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lang w:val="zh-CN"/>
              </w:rPr>
              <w:t>投标报价超过招标文件中规定的预算金额或者最高限价的;</w:t>
            </w:r>
          </w:p>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投标人对根据修正原则修正后的报价不确认的。</w:t>
            </w:r>
          </w:p>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w:t>
            </w:r>
          </w:p>
        </w:tc>
        <w:tc>
          <w:tcPr>
            <w:tcW w:w="822"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中小企业信用融资</w:t>
            </w:r>
          </w:p>
        </w:tc>
        <w:tc>
          <w:tcPr>
            <w:tcW w:w="3867" w:type="pct"/>
            <w:vAlign w:val="center"/>
          </w:tcPr>
          <w:p>
            <w:pPr>
              <w:keepNext w:val="0"/>
              <w:keepLines w:val="0"/>
              <w:pageBreakBefore w:val="0"/>
              <w:kinsoku/>
              <w:wordWrap/>
              <w:overflowPunct/>
              <w:topLinePunct w:val="0"/>
              <w:autoSpaceDE/>
              <w:autoSpaceDN/>
              <w:bidi w:val="0"/>
              <w:snapToGrid w:val="0"/>
              <w:spacing w:after="0" w:line="240" w:lineRule="auto"/>
              <w:ind w:left="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本项目支持《杭州市萧山区政府采购支持中小企业信用融资暂行办法》。</w:t>
            </w:r>
          </w:p>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"http://www.xiaoshan.gov.cn/art/2018/12/20/art_1229293109_1559514.html" </w:instrText>
            </w:r>
            <w:r>
              <w:rPr>
                <w:rFonts w:hint="eastAsia" w:ascii="仿宋" w:hAnsi="仿宋" w:eastAsia="仿宋" w:cs="仿宋"/>
                <w:color w:val="auto"/>
                <w:sz w:val="22"/>
                <w:szCs w:val="22"/>
                <w:highlight w:val="none"/>
              </w:rPr>
              <w:fldChar w:fldCharType="separate"/>
            </w:r>
            <w:r>
              <w:rPr>
                <w:rStyle w:val="27"/>
                <w:rFonts w:hint="eastAsia" w:ascii="仿宋" w:hAnsi="仿宋" w:eastAsia="仿宋" w:cs="仿宋"/>
                <w:snapToGrid/>
                <w:color w:val="auto"/>
                <w:sz w:val="22"/>
                <w:szCs w:val="22"/>
                <w:highlight w:val="none"/>
              </w:rPr>
              <w:t>http://www.xiaoshan.gov.cn/art/2018/12/20/art_1229293109_1559514.html</w:t>
            </w:r>
            <w:r>
              <w:rPr>
                <w:rStyle w:val="27"/>
                <w:rFonts w:hint="eastAsia" w:ascii="仿宋" w:hAnsi="仿宋" w:eastAsia="仿宋" w:cs="仿宋"/>
                <w:snapToGrid/>
                <w:color w:val="auto"/>
                <w:sz w:val="22"/>
                <w:szCs w:val="22"/>
                <w:highlight w:val="none"/>
              </w:rPr>
              <w:fldChar w:fldCharType="end"/>
            </w:r>
          </w:p>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color w:val="auto"/>
                <w:sz w:val="22"/>
                <w:szCs w:val="22"/>
                <w:highlight w:val="none"/>
              </w:rPr>
            </w:pPr>
          </w:p>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color w:val="auto"/>
                <w:sz w:val="22"/>
                <w:szCs w:val="22"/>
                <w:highlight w:val="none"/>
              </w:rPr>
            </w:pPr>
            <w:r>
              <w:rPr>
                <w:rFonts w:hint="eastAsia" w:ascii="仿宋" w:hAnsi="仿宋" w:eastAsia="仿宋" w:cs="仿宋"/>
                <w:snapToGrid w:val="0"/>
                <w:color w:val="auto"/>
                <w:kern w:val="28"/>
                <w:sz w:val="22"/>
                <w:szCs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w:t>
            </w:r>
          </w:p>
        </w:tc>
        <w:tc>
          <w:tcPr>
            <w:tcW w:w="822"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备份投标文件</w:t>
            </w:r>
          </w:p>
        </w:tc>
        <w:tc>
          <w:tcPr>
            <w:tcW w:w="3867" w:type="pct"/>
            <w:vAlign w:val="center"/>
          </w:tcPr>
          <w:p>
            <w:pPr>
              <w:pStyle w:val="16"/>
              <w:keepNext w:val="0"/>
              <w:keepLines w:val="0"/>
              <w:pageBreakBefore w:val="0"/>
              <w:kinsoku/>
              <w:wordWrap/>
              <w:overflowPunct/>
              <w:topLinePunct w:val="0"/>
              <w:autoSpaceDE/>
              <w:autoSpaceDN/>
              <w:bidi w:val="0"/>
              <w:spacing w:line="240" w:lineRule="auto"/>
              <w:ind w:left="0"/>
              <w:textAlignment w:val="auto"/>
              <w:rPr>
                <w:rFonts w:hint="eastAsia" w:ascii="仿宋" w:hAnsi="仿宋" w:eastAsia="仿宋" w:cs="仿宋"/>
                <w:color w:val="auto"/>
                <w:kern w:val="28"/>
                <w:sz w:val="22"/>
                <w:szCs w:val="22"/>
                <w:highlight w:val="none"/>
              </w:rPr>
            </w:pPr>
            <w:r>
              <w:rPr>
                <w:rFonts w:hint="eastAsia" w:ascii="仿宋" w:hAnsi="仿宋" w:eastAsia="仿宋" w:cs="仿宋"/>
                <w:color w:val="auto"/>
                <w:kern w:val="28"/>
                <w:sz w:val="22"/>
                <w:szCs w:val="22"/>
                <w:highlight w:val="none"/>
              </w:rPr>
              <w:t>备份文件是否收取：可提交备份</w:t>
            </w:r>
          </w:p>
          <w:p>
            <w:pPr>
              <w:pStyle w:val="16"/>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kern w:val="28"/>
                <w:sz w:val="22"/>
                <w:szCs w:val="22"/>
                <w:highlight w:val="none"/>
              </w:rPr>
            </w:pPr>
            <w:r>
              <w:rPr>
                <w:rFonts w:hint="eastAsia" w:ascii="仿宋" w:hAnsi="仿宋" w:eastAsia="仿宋" w:cs="仿宋"/>
                <w:color w:val="auto"/>
                <w:kern w:val="28"/>
                <w:sz w:val="22"/>
                <w:szCs w:val="22"/>
                <w:highlight w:val="none"/>
              </w:rPr>
              <w:t>备份投标文件送达地点：</w:t>
            </w:r>
            <w:r>
              <w:rPr>
                <w:rFonts w:hint="eastAsia" w:ascii="仿宋" w:hAnsi="仿宋" w:eastAsia="仿宋" w:cs="仿宋"/>
                <w:color w:val="auto"/>
                <w:sz w:val="22"/>
                <w:szCs w:val="22"/>
                <w:highlight w:val="none"/>
                <w:u w:val="single"/>
              </w:rPr>
              <w:t>杭州市萧山区宁围街道富业巷1号A座12楼</w:t>
            </w:r>
            <w:r>
              <w:rPr>
                <w:rFonts w:hint="eastAsia" w:ascii="仿宋" w:hAnsi="仿宋" w:eastAsia="仿宋" w:cs="仿宋"/>
                <w:color w:val="auto"/>
                <w:kern w:val="28"/>
                <w:sz w:val="22"/>
                <w:szCs w:val="22"/>
                <w:highlight w:val="none"/>
              </w:rPr>
              <w:t>；</w:t>
            </w:r>
          </w:p>
          <w:p>
            <w:pPr>
              <w:pStyle w:val="16"/>
              <w:keepNext w:val="0"/>
              <w:keepLines w:val="0"/>
              <w:pageBreakBefore w:val="0"/>
              <w:kinsoku/>
              <w:wordWrap/>
              <w:overflowPunct/>
              <w:topLinePunct w:val="0"/>
              <w:autoSpaceDE/>
              <w:autoSpaceDN/>
              <w:bidi w:val="0"/>
              <w:spacing w:line="240" w:lineRule="auto"/>
              <w:ind w:left="0" w:hanging="880" w:hangingChars="400"/>
              <w:textAlignment w:val="auto"/>
              <w:rPr>
                <w:rFonts w:hint="eastAsia" w:ascii="仿宋" w:hAnsi="仿宋" w:eastAsia="仿宋" w:cs="仿宋"/>
                <w:color w:val="auto"/>
                <w:sz w:val="22"/>
                <w:szCs w:val="22"/>
                <w:highlight w:val="none"/>
              </w:rPr>
            </w:pPr>
            <w:r>
              <w:rPr>
                <w:rFonts w:hint="eastAsia" w:ascii="仿宋" w:hAnsi="仿宋" w:eastAsia="仿宋" w:cs="仿宋"/>
                <w:color w:val="auto"/>
                <w:kern w:val="28"/>
                <w:sz w:val="22"/>
                <w:szCs w:val="22"/>
                <w:highlight w:val="none"/>
              </w:rPr>
              <w:t>备份投标文件签收人员联系电话：</w:t>
            </w:r>
            <w:r>
              <w:rPr>
                <w:rFonts w:hint="eastAsia" w:ascii="仿宋" w:hAnsi="仿宋" w:eastAsia="仿宋" w:cs="仿宋"/>
                <w:color w:val="auto"/>
                <w:sz w:val="22"/>
                <w:szCs w:val="22"/>
                <w:highlight w:val="none"/>
                <w:u w:val="single"/>
                <w:lang w:val="en-US" w:eastAsia="zh-CN"/>
              </w:rPr>
              <w:t>周立军19906716509</w:t>
            </w:r>
            <w:r>
              <w:rPr>
                <w:rFonts w:hint="eastAsia" w:ascii="仿宋" w:hAnsi="仿宋" w:eastAsia="仿宋" w:cs="仿宋"/>
                <w:color w:val="auto"/>
                <w:sz w:val="22"/>
                <w:szCs w:val="22"/>
                <w:highlight w:val="none"/>
              </w:rPr>
              <w:t>。</w:t>
            </w:r>
          </w:p>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w:t>
            </w:r>
          </w:p>
        </w:tc>
        <w:tc>
          <w:tcPr>
            <w:tcW w:w="822"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采购机构代理费用</w:t>
            </w:r>
          </w:p>
        </w:tc>
        <w:tc>
          <w:tcPr>
            <w:tcW w:w="3867" w:type="pct"/>
            <w:vAlign w:val="center"/>
          </w:tcPr>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采购代理服务费以中标价为基数按国家计委【计价格[2011]534号】文件规定标准</w:t>
            </w:r>
            <w:r>
              <w:rPr>
                <w:rFonts w:hint="eastAsia" w:cs="仿宋"/>
                <w:color w:val="auto"/>
                <w:sz w:val="22"/>
                <w:szCs w:val="22"/>
                <w:highlight w:val="none"/>
                <w:lang w:val="en-US" w:eastAsia="zh-CN"/>
              </w:rPr>
              <w:t>的50%</w:t>
            </w:r>
            <w:r>
              <w:rPr>
                <w:rFonts w:hint="eastAsia" w:ascii="仿宋" w:hAnsi="仿宋" w:eastAsia="仿宋" w:cs="仿宋"/>
                <w:color w:val="auto"/>
                <w:sz w:val="22"/>
                <w:szCs w:val="22"/>
                <w:highlight w:val="none"/>
              </w:rPr>
              <w:t>计取。不足</w:t>
            </w:r>
            <w:r>
              <w:rPr>
                <w:rFonts w:hint="eastAsia" w:cs="仿宋"/>
                <w:color w:val="auto"/>
                <w:sz w:val="22"/>
                <w:szCs w:val="22"/>
                <w:highlight w:val="none"/>
                <w:lang w:val="en-US" w:eastAsia="zh-CN"/>
              </w:rPr>
              <w:t>2000</w:t>
            </w:r>
            <w:r>
              <w:rPr>
                <w:rFonts w:hint="eastAsia" w:ascii="仿宋" w:hAnsi="仿宋" w:eastAsia="仿宋" w:cs="仿宋"/>
                <w:color w:val="auto"/>
                <w:sz w:val="22"/>
                <w:szCs w:val="22"/>
                <w:highlight w:val="none"/>
              </w:rPr>
              <w:t>元按</w:t>
            </w:r>
            <w:r>
              <w:rPr>
                <w:rFonts w:hint="eastAsia" w:cs="仿宋"/>
                <w:color w:val="auto"/>
                <w:sz w:val="22"/>
                <w:szCs w:val="22"/>
                <w:highlight w:val="none"/>
                <w:lang w:val="en-US" w:eastAsia="zh-CN"/>
              </w:rPr>
              <w:t>20</w:t>
            </w:r>
            <w:r>
              <w:rPr>
                <w:rFonts w:hint="eastAsia" w:ascii="仿宋" w:hAnsi="仿宋" w:eastAsia="仿宋" w:cs="仿宋"/>
                <w:color w:val="auto"/>
                <w:sz w:val="22"/>
                <w:szCs w:val="22"/>
                <w:highlight w:val="none"/>
              </w:rPr>
              <w:t>00元计取。中标人应在接到中标通知书后两个工作日内向采购代理机构支付采购代理服务费。采购代理服务费须包含在投标报价中，并以人民币方式支付。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w:t>
            </w:r>
          </w:p>
        </w:tc>
        <w:tc>
          <w:tcPr>
            <w:tcW w:w="822"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履约保证金</w:t>
            </w:r>
          </w:p>
        </w:tc>
        <w:tc>
          <w:tcPr>
            <w:tcW w:w="3867" w:type="pct"/>
            <w:vAlign w:val="center"/>
          </w:tcPr>
          <w:p>
            <w:pPr>
              <w:pStyle w:val="16"/>
              <w:keepNext w:val="0"/>
              <w:keepLines w:val="0"/>
              <w:pageBreakBefore w:val="0"/>
              <w:kinsoku/>
              <w:wordWrap/>
              <w:overflowPunct/>
              <w:topLinePunct w:val="0"/>
              <w:autoSpaceDE/>
              <w:autoSpaceDN/>
              <w:bidi w:val="0"/>
              <w:spacing w:line="240" w:lineRule="auto"/>
              <w:ind w:left="0" w:hanging="4"/>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履约保证金：</w:t>
            </w:r>
            <w:r>
              <w:rPr>
                <w:rFonts w:hint="eastAsia" w:ascii="仿宋" w:hAnsi="仿宋" w:eastAsia="仿宋" w:cs="仿宋"/>
                <w:color w:val="auto"/>
                <w:sz w:val="22"/>
                <w:szCs w:val="22"/>
                <w:highlight w:val="none"/>
                <w:lang w:val="en-US" w:eastAsia="zh-CN"/>
              </w:rPr>
              <w:t>收取年度金额的1%</w:t>
            </w:r>
            <w:r>
              <w:rPr>
                <w:rFonts w:hint="eastAsia" w:ascii="仿宋" w:hAnsi="仿宋" w:eastAsia="仿宋" w:cs="仿宋"/>
                <w:color w:val="auto"/>
                <w:sz w:val="22"/>
                <w:szCs w:val="22"/>
                <w:highlight w:val="none"/>
              </w:rPr>
              <w:t>，合同签订后支付，履约完成后无息退还。供应商应当以支票、汇票、本票或者金融机构、担保机构出具的保函等非现金形式提交。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w:t>
            </w:r>
          </w:p>
        </w:tc>
        <w:tc>
          <w:tcPr>
            <w:tcW w:w="822"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资格审查和信用信息审查</w:t>
            </w:r>
          </w:p>
        </w:tc>
        <w:tc>
          <w:tcPr>
            <w:tcW w:w="3867" w:type="pct"/>
            <w:vAlign w:val="center"/>
          </w:tcPr>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本项目由采购人/采购机构进行资格文件及信用信息查询。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w:t>
            </w:r>
          </w:p>
        </w:tc>
        <w:tc>
          <w:tcPr>
            <w:tcW w:w="822"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质疑接收人及答复</w:t>
            </w:r>
          </w:p>
        </w:tc>
        <w:tc>
          <w:tcPr>
            <w:tcW w:w="3867" w:type="pct"/>
            <w:vAlign w:val="center"/>
          </w:tcPr>
          <w:p>
            <w:pPr>
              <w:keepNext w:val="0"/>
              <w:keepLines w:val="0"/>
              <w:pageBreakBefore w:val="0"/>
              <w:kinsoku/>
              <w:wordWrap/>
              <w:overflowPunct/>
              <w:topLinePunct w:val="0"/>
              <w:autoSpaceDE/>
              <w:autoSpaceDN/>
              <w:bidi w:val="0"/>
              <w:snapToGrid w:val="0"/>
              <w:spacing w:after="0" w:line="240" w:lineRule="auto"/>
              <w:ind w:left="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采购人、采购机构质疑接收人、联系方式：详见公告</w:t>
            </w:r>
          </w:p>
          <w:p>
            <w:pPr>
              <w:keepNext w:val="0"/>
              <w:keepLines w:val="0"/>
              <w:pageBreakBefore w:val="0"/>
              <w:kinsoku/>
              <w:wordWrap/>
              <w:overflowPunct/>
              <w:topLinePunct w:val="0"/>
              <w:autoSpaceDE/>
              <w:autoSpaceDN/>
              <w:bidi w:val="0"/>
              <w:snapToGrid w:val="0"/>
              <w:spacing w:after="0" w:line="240" w:lineRule="auto"/>
              <w:ind w:left="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线上提交质疑方式：政采云线上质疑路径：项目采购-询问质疑投诉-质疑列表。请使用ca签章在每一页质疑文件中加盖电子公章，上传完整附件。</w:t>
            </w:r>
          </w:p>
          <w:p>
            <w:pPr>
              <w:keepNext w:val="0"/>
              <w:keepLines w:val="0"/>
              <w:pageBreakBefore w:val="0"/>
              <w:kinsoku/>
              <w:wordWrap/>
              <w:overflowPunct/>
              <w:topLinePunct w:val="0"/>
              <w:autoSpaceDE/>
              <w:autoSpaceDN/>
              <w:bidi w:val="0"/>
              <w:snapToGrid w:val="0"/>
              <w:spacing w:after="0" w:line="240" w:lineRule="auto"/>
              <w:ind w:left="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本项目涉及资格条件、采购需求、评分办法及采购过程中有关现场考察或开标前答疑会等事项由采购人进行答复。</w:t>
            </w:r>
          </w:p>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w:t>
            </w:r>
          </w:p>
        </w:tc>
        <w:tc>
          <w:tcPr>
            <w:tcW w:w="822" w:type="pct"/>
            <w:vAlign w:val="center"/>
          </w:tcPr>
          <w:p>
            <w:pPr>
              <w:keepNext w:val="0"/>
              <w:keepLines w:val="0"/>
              <w:pageBreakBefore w:val="0"/>
              <w:kinsoku/>
              <w:wordWrap/>
              <w:overflowPunct/>
              <w:topLinePunct w:val="0"/>
              <w:autoSpaceDE/>
              <w:autoSpaceDN/>
              <w:bidi w:val="0"/>
              <w:spacing w:after="0" w:line="240" w:lineRule="auto"/>
              <w:ind w:left="0"/>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特别说明</w:t>
            </w:r>
          </w:p>
        </w:tc>
        <w:tc>
          <w:tcPr>
            <w:tcW w:w="3867" w:type="pct"/>
            <w:vAlign w:val="center"/>
          </w:tcPr>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严格执行预算限价，项目如涉及办公用房装修、通用办公设备家具的不得超限额标准。</w:t>
            </w:r>
          </w:p>
          <w:p>
            <w:pPr>
              <w:keepNext w:val="0"/>
              <w:keepLines w:val="0"/>
              <w:pageBreakBefore w:val="0"/>
              <w:kinsoku/>
              <w:wordWrap/>
              <w:overflowPunct/>
              <w:topLinePunct w:val="0"/>
              <w:autoSpaceDE/>
              <w:autoSpaceDN/>
              <w:bidi w:val="0"/>
              <w:spacing w:after="0" w:line="240" w:lineRule="auto"/>
              <w:ind w:left="0"/>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本项目通用总则条款与前附表等专用特别规定有冲突之处，以专用条款（特别规定）为准</w:t>
            </w:r>
          </w:p>
        </w:tc>
      </w:tr>
    </w:tbl>
    <w:p>
      <w:pPr>
        <w:rPr>
          <w:rFonts w:hint="eastAsia" w:ascii="仿宋" w:hAnsi="仿宋" w:eastAsia="仿宋" w:cs="仿宋"/>
          <w:color w:val="auto"/>
          <w:highlight w:val="none"/>
        </w:rPr>
      </w:pP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一、总则</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 适用范围</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本招标文件适用于该项目的招标、投标、开标、资格审查及信用信息查询、评标、定标、合同、验收等行为（法律、法规另有规定的，从其规定）。</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2.定义</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 “采购人”系指招标公告中载明的本项目的采购人。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2.2 “采购机构”系指招标公告中载明的本项目的采购机构。</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2.3 “投标人”系指是指响应招标、参加投标竞争的法人、其他组织或者自然人。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2.4 “负责人”系指法人企业的法定负责人，或其他组织为法律、行政法规规定代表单位行使职权的主要负责人，或自然人本人。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2.6“电子交易平台”是指本项目政府采购活动所依托的政府采购云平台（https://www.zcygov.cn/）。</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 “▲” 系指实质性要求条款，“（√）” 系指适用本项目的要求，“（  ）”系指不适用本项目的要求。</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 采购项目需要落实的政府采购政策</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3.2 支持绿色发展</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3.3.2在政府采购活动中，投标人提供的货物、工程或者服务符合下列情形的，享受中小企业扶持政策：</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3.3.2.2在工程采购项目中，工程由中小企业承建，即工程施工单位为中小企业；</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3.3.2.3在服务采购项目中，服务由中小企业承接，即提供服务的人员为中小企业依照《中华人民共和国劳动合同法》订立劳动合同的从业人员。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3.4支持创新发展</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 采购人优先采购被认定为首台套产品和“制造精品”的自主创新产品。</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 询问、质疑、投诉</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4.1供应商询问</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4.2供应商质疑</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4.2.1提出质疑的供应商应当是参与所质疑项目采购活动的供应商。潜在供应商已依法获取其可质疑的招标文件的，可以对该文件提出质疑。</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4.2.2.1对招标文件提出质疑的，质疑期限为供应商获得招标文件之日或者招标文件公告期限届满之日起计算。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4.2.2.2对采购过程提出质疑的，质疑期限为各采购程序环节结束之日起计算。对同一采购程序环节的质疑，供应商须一次性提出。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4.2.2.3对采购结果提出质疑的，质疑期限自采购结果公告期限届满之日起计算。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4.2.3供应商提出质疑应当提交质疑函和必要的证明材料。质疑函应当包括下列内容：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4.2.3.1供应商的姓名或者名称、地址、邮编、联系人及联系电话；</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4.2.3.2质疑项目的名称、编号；</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4.2.3.3具体、明确的质疑事项和与质疑事项相关的请求；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4.2.3.4事实依据；</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4.2.3.5必要的法律依据；</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4.2.3.6提出质疑的日期。</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4.2.5询问或者质疑事项可能影响采购结果的，采购人应当暂停签订合同，已经签订合同的，应当中止履行合同。</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4.3供应商投诉</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4.3.2供应商投诉的事项不得超出已质疑事项的范围，基于质疑答复内容提出的投诉事项除外。</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4.3.4 以联合体形式参加政府采购活动的，其投诉应当由组成联合体的所有供应商共同提出。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5"/>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二、招标文件的构成、澄清、修改</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5．招标文件的构成</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5.1 招标文件包括下列文件及附件：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5.1.1招标公告；</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5.1.2投标人须知；</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5.1.3采购需求；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5.1.4评标办法；</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5.1.5拟签订的合同文本；</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5.1.6应提交的有关格式范例。</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5.2与本项目有关的澄清或者修改的内容为招标文件的组成部分。</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 招标文件的澄清、修改</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三、投标</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 招标文件的获取</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详见招标公告中获取招标文件的时间期限、地点、方式及招标文件售价。</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8.开标前答疑会或现场考察</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采购人组织潜在投标人现场考察或者召开开标前答疑会的，潜在投标人按第二部分投标人须知前附表的规定参加现场考察或者开标前答疑会。</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9.投标保证金</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本项目不需缴纳投标保证金。</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10. 投标文件的语言</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投标文件及投标人与采购有关的来往通知、函件和文件均应使用中文。</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 投标文件的组成</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11.1资格文件：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11.1.1符合参加政府采购活动应当具备的一般条件的承诺函；</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11.1.2落实政府采购政策需满足的资格要求；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11.1.3本项目的特定资格要求。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11.2 商务技术文件：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11.2.1投标函；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11.2.2授权委托书或法定代表人（单位负责人、自然人本人）身份证明；</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11.2.3联合协议；</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11.2.4分包意向协议；</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11.2.5符合性审查资料；</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11.2.6评标标准相应的商务技术资料；</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11.2.7投标标的清单；</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11.2.8商务技术偏离表；</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11.2.9政府采购供应商廉洁自律承诺书；</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11.3报价文件：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11.3.1开标一览表（报价表）；</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11.3.2中小企业声明函。</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投标文件含有采购人不能接受的附加条件的，投标无效；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投标人提供虚假材料投标的，投标无效。</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12. 投标文件的编制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12.3使用“政采云电子交易客户端”需要提前申领CA数字证书，申领流程请自行前往“浙江政府采购网-下载专区-电子交易客户端-CA驱动和申领流程”进行查阅。</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13.投标文件的签署、盖章</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13.1投标文件按照招标文件第六部分格式要求进行签署、盖章。▲投标人的投标文件未按照招标文件要求签署、盖章的，其投标无效。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14. 投标文件的提交、补充、修改、撤回</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14.3采购人、采购机构可以视情况延长投标文件提交的截止时间。在上述情况下，采购机构与投标人以前在投标截止期方面的全部权利、责任和义务，将适用于延长至新的投标截止期。</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15.备份投标文件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15.3直接提交备份投标文件的，投标人应于投标截止时间前在招标公告中载明的开标地点将备份投标文件提交给采购机构，采购机构将拒绝接受逾期送达的备份投标文件。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15.5投标人仅提交备份投标文件，未在电子交易平台传输递交投标文件的，投标无效。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16.投标文件的无效处理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17.投标有效期</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17.1投标有效期为从提交投标文件的截止之日起90天。▲投标人的投标文件中承诺的投标有效期少于招标文件中载明的投标有效期的，投标无效。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5"/>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四、开标、资格审查与信用信息查询</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18.开标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18.1采购机构按照招标文件规定的时间通过电子交易平台组织开标，所有投标人均应当准时在线参加。投标人不足3家的，不得开标。</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18.2开标时，电子交易平台按开标时间自动提取所有投标文件。采购机构依托电子交易平台发起开始解密指令，投标人按照平台提示和招标文件的规定在半小时内完成在线解密。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18.3投标文件未按时解密，投标人提供了备份投标文件的，以备份投标文件作为依据，否则视为投标文件撤回。投标文件已按时解密的，备份投标文件自动失效。</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19、资格审查</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19.1开标后，采购人或采购机构将依法对投标人的资格进行审查。</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19.2采购人或采购机构依据法律法规和招标文件的规定，对投标人的基本资格条件、特定资格条件进行审查。</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19.3投标人未按照招标文件要求提供与基本资格条件、特定资格条件相应的有效资格证明材料的，视为投标人不具备招标文件中规定的资格要求，其投标无效。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19.4对未通过资格审查的投标人，采购人或采购机构告知其未通过的原因。</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19.5合格投标人不足3家的，不再评标。</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20、信用信息查询</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20.1信用信息查询渠道及截止时间：采购机构将通过“信用中国”网站(www.creditchina.gov.cn)、中国政府采购网(www.ccgp.gov.cn)渠道查询投标人投标截止时间当天的信用记录。</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20.2信用信息查询记录和证据留存的具体方式：现场查询的投标人的信用记录、查询结果经确认后将与采购文件一起存档。</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20.3信用信息的使用规则：经查询列入失信被执行人名单、重大税收违法案件当事人名单（税收违法黑名单）、政府采购严重违法失信行为记录名单的投标人将被拒绝参与政府采购活动。</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五、评标</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 评标</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5"/>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六、定 标</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22. 确定中标供应商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采购人将自收到评审报告之日起5个工作日内通过电子交易平台在评审报告推荐的中标候选人中按顺序确定中标供应商。</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23. 中标通知与中标结果公告</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23.1自中标人确定之日起2个工作日内，采购机构通过电子交易平台向中标人发出中标通知书，同时编制发布采购结果公告。采购机构也可以以纸质形式进行中标通知。</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23.3公告期限为1个工作日。</w:t>
      </w:r>
    </w:p>
    <w:p>
      <w:pPr>
        <w:pStyle w:val="5"/>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七、合同授予</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24. 合同主要条款详见第五部分拟签订的合同文本。</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 合同的签订</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25.1 采购人与中标人应当通过电子交易平台在中标通知书发出之日起三十日内，按照招标文件确定的事项签订政府采购合同，并在合同签订之日起2个工作日内依法发布合同公告。</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25.2中标人按规定的日期、时间、地点，由法定代表人或其授权代表与采购人代表签订合同。如中标人为联合体的，由联合体成员各方法定代表人或其授权代表与采购人代表签订合同。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26. 履约保证金</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政府采购货物和服务项目中，采购单位可根据杭州市政府采购网公布的供应商履约评价情况减免履约保证金。供应商履约验收评价总分为100分的，采购单位应当免收履约保证金；</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smallCaps/>
          <w:color w:val="auto"/>
          <w:sz w:val="28"/>
          <w:szCs w:val="28"/>
          <w:highlight w:val="none"/>
        </w:rPr>
      </w:pPr>
      <w:r>
        <w:rPr>
          <w:rFonts w:hint="eastAsia" w:ascii="仿宋" w:hAnsi="仿宋" w:eastAsia="仿宋" w:cs="仿宋"/>
          <w:color w:val="auto"/>
          <w:highlight w:val="none"/>
        </w:rPr>
        <w:br w:type="page"/>
      </w:r>
    </w:p>
    <w:p>
      <w:pPr>
        <w:pStyle w:val="5"/>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八、电子交易活动的中止</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 电子交易活动的中止。</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5"/>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九、验收</w:t>
      </w:r>
    </w:p>
    <w:p>
      <w:pPr>
        <w:pStyle w:val="6"/>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29.验收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联系电话: 0571-83587785/0571-82816012  联系地址: 萧山区通惠北路2-1号302室</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rPr>
          <w:rFonts w:hint="eastAsia" w:ascii="仿宋" w:hAnsi="仿宋" w:eastAsia="仿宋" w:cs="仿宋"/>
          <w:color w:val="auto"/>
          <w:highlight w:val="none"/>
        </w:rPr>
      </w:pPr>
      <w:r>
        <w:rPr>
          <w:rFonts w:hint="eastAsia" w:ascii="仿宋" w:hAnsi="仿宋" w:eastAsia="仿宋" w:cs="仿宋"/>
          <w:color w:val="auto"/>
          <w:highlight w:val="none"/>
        </w:rPr>
        <w:t>第三部分   采购需求</w:t>
      </w:r>
    </w:p>
    <w:p>
      <w:pPr>
        <w:snapToGrid w:val="0"/>
        <w:rPr>
          <w:rStyle w:val="47"/>
          <w:rFonts w:hint="eastAsia" w:ascii="仿宋" w:hAnsi="仿宋" w:eastAsia="仿宋" w:cs="仿宋"/>
          <w:i w:val="0"/>
          <w:iCs w:val="0"/>
          <w:color w:val="auto"/>
          <w:highlight w:val="none"/>
        </w:rPr>
      </w:pPr>
      <w:r>
        <w:rPr>
          <w:rStyle w:val="47"/>
          <w:rFonts w:hint="eastAsia" w:ascii="仿宋" w:hAnsi="仿宋" w:eastAsia="仿宋" w:cs="仿宋"/>
          <w:i w:val="0"/>
          <w:iCs w:val="0"/>
          <w:color w:val="auto"/>
          <w:highlight w:val="none"/>
        </w:rPr>
        <w:t>属于实质性要求条款的，请用符号“▲”标明，否则属于非实质性要求。</w:t>
      </w:r>
    </w:p>
    <w:p>
      <w:pPr>
        <w:numPr>
          <w:ilvl w:val="0"/>
          <w:numId w:val="1"/>
        </w:numPr>
        <w:autoSpaceDE w:val="0"/>
        <w:autoSpaceDN w:val="0"/>
        <w:spacing w:afterLines="50"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招标一览表</w:t>
      </w:r>
    </w:p>
    <w:p>
      <w:pPr>
        <w:autoSpaceDE w:val="0"/>
        <w:autoSpaceDN w:val="0"/>
        <w:spacing w:afterLines="50"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标项：</w:t>
      </w:r>
    </w:p>
    <w:tbl>
      <w:tblPr>
        <w:tblStyle w:val="22"/>
        <w:tblpPr w:leftFromText="180" w:rightFromText="180" w:vertAnchor="text" w:tblpY="1"/>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6"/>
        <w:gridCol w:w="2208"/>
        <w:gridCol w:w="1207"/>
        <w:gridCol w:w="834"/>
        <w:gridCol w:w="598"/>
        <w:gridCol w:w="1072"/>
        <w:gridCol w:w="1116"/>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66" w:type="dxa"/>
            <w:tcMar>
              <w:top w:w="15" w:type="dxa"/>
              <w:left w:w="15" w:type="dxa"/>
              <w:bottom w:w="0" w:type="dxa"/>
              <w:right w:w="15" w:type="dxa"/>
            </w:tcMar>
            <w:vAlign w:val="center"/>
          </w:tcPr>
          <w:p>
            <w:pPr>
              <w:pStyle w:val="16"/>
              <w:keepNext w:val="0"/>
              <w:keepLines w:val="0"/>
              <w:pageBreakBefore w:val="0"/>
              <w:kinsoku/>
              <w:wordWrap/>
              <w:overflowPunct/>
              <w:topLinePunct w:val="0"/>
              <w:autoSpaceDE/>
              <w:autoSpaceDN/>
              <w:bidi w:val="0"/>
              <w:snapToGrid w:val="0"/>
              <w:spacing w:after="0"/>
              <w:jc w:val="center"/>
              <w:textAlignment w:val="auto"/>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标项</w:t>
            </w:r>
          </w:p>
        </w:tc>
        <w:tc>
          <w:tcPr>
            <w:tcW w:w="2208"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after="0"/>
              <w:jc w:val="center"/>
              <w:textAlignment w:val="auto"/>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名称</w:t>
            </w:r>
          </w:p>
        </w:tc>
        <w:tc>
          <w:tcPr>
            <w:tcW w:w="1207"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after="0"/>
              <w:jc w:val="center"/>
              <w:textAlignment w:val="auto"/>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具体服务要求内容</w:t>
            </w:r>
          </w:p>
        </w:tc>
        <w:tc>
          <w:tcPr>
            <w:tcW w:w="834"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after="0"/>
              <w:jc w:val="center"/>
              <w:textAlignment w:val="auto"/>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单位</w:t>
            </w:r>
          </w:p>
        </w:tc>
        <w:tc>
          <w:tcPr>
            <w:tcW w:w="598"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after="0"/>
              <w:jc w:val="center"/>
              <w:textAlignment w:val="auto"/>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数量</w:t>
            </w:r>
          </w:p>
        </w:tc>
        <w:tc>
          <w:tcPr>
            <w:tcW w:w="1072" w:type="dxa"/>
            <w:vAlign w:val="center"/>
          </w:tcPr>
          <w:p>
            <w:pPr>
              <w:keepNext w:val="0"/>
              <w:keepLines w:val="0"/>
              <w:pageBreakBefore w:val="0"/>
              <w:kinsoku/>
              <w:wordWrap/>
              <w:overflowPunct/>
              <w:topLinePunct w:val="0"/>
              <w:autoSpaceDE/>
              <w:autoSpaceDN/>
              <w:bidi w:val="0"/>
              <w:spacing w:after="0"/>
              <w:jc w:val="center"/>
              <w:textAlignment w:val="auto"/>
              <w:rPr>
                <w:rFonts w:hint="default" w:ascii="仿宋" w:hAnsi="仿宋" w:eastAsia="仿宋" w:cs="仿宋"/>
                <w:color w:val="auto"/>
                <w:position w:val="-6"/>
                <w:sz w:val="24"/>
                <w:highlight w:val="none"/>
                <w:lang w:val="en-US" w:eastAsia="zh-CN"/>
              </w:rPr>
            </w:pPr>
            <w:r>
              <w:rPr>
                <w:rFonts w:hint="eastAsia" w:ascii="仿宋" w:hAnsi="仿宋" w:eastAsia="仿宋" w:cs="仿宋"/>
                <w:color w:val="auto"/>
                <w:position w:val="-6"/>
                <w:sz w:val="24"/>
                <w:highlight w:val="none"/>
                <w:lang w:val="en-US" w:eastAsia="zh-CN"/>
              </w:rPr>
              <w:t>招标金额</w:t>
            </w:r>
          </w:p>
        </w:tc>
        <w:tc>
          <w:tcPr>
            <w:tcW w:w="1116" w:type="dxa"/>
            <w:vAlign w:val="center"/>
          </w:tcPr>
          <w:p>
            <w:pPr>
              <w:keepNext w:val="0"/>
              <w:keepLines w:val="0"/>
              <w:pageBreakBefore w:val="0"/>
              <w:kinsoku/>
              <w:wordWrap/>
              <w:overflowPunct/>
              <w:topLinePunct w:val="0"/>
              <w:autoSpaceDE/>
              <w:autoSpaceDN/>
              <w:bidi w:val="0"/>
              <w:spacing w:after="0"/>
              <w:jc w:val="center"/>
              <w:textAlignment w:val="auto"/>
              <w:rPr>
                <w:rFonts w:hint="default" w:ascii="仿宋" w:hAnsi="仿宋" w:eastAsia="仿宋" w:cs="仿宋"/>
                <w:color w:val="auto"/>
                <w:position w:val="-6"/>
                <w:sz w:val="24"/>
                <w:highlight w:val="none"/>
                <w:lang w:val="en-US" w:eastAsia="zh-CN"/>
              </w:rPr>
            </w:pPr>
            <w:r>
              <w:rPr>
                <w:rFonts w:hint="eastAsia" w:ascii="仿宋" w:hAnsi="仿宋" w:eastAsia="仿宋" w:cs="仿宋"/>
                <w:color w:val="auto"/>
                <w:position w:val="-6"/>
                <w:sz w:val="24"/>
                <w:highlight w:val="none"/>
                <w:lang w:val="en-US" w:eastAsia="zh-CN"/>
              </w:rPr>
              <w:t>最高限价</w:t>
            </w:r>
          </w:p>
        </w:tc>
        <w:tc>
          <w:tcPr>
            <w:tcW w:w="609" w:type="dxa"/>
            <w:vAlign w:val="center"/>
          </w:tcPr>
          <w:p>
            <w:pPr>
              <w:keepNext w:val="0"/>
              <w:keepLines w:val="0"/>
              <w:pageBreakBefore w:val="0"/>
              <w:kinsoku/>
              <w:wordWrap/>
              <w:overflowPunct/>
              <w:topLinePunct w:val="0"/>
              <w:autoSpaceDE/>
              <w:autoSpaceDN/>
              <w:bidi w:val="0"/>
              <w:spacing w:after="0"/>
              <w:jc w:val="center"/>
              <w:textAlignment w:val="auto"/>
              <w:rPr>
                <w:rFonts w:hint="default" w:ascii="仿宋" w:hAnsi="仿宋" w:eastAsia="仿宋" w:cs="仿宋"/>
                <w:color w:val="auto"/>
                <w:position w:val="-6"/>
                <w:sz w:val="24"/>
                <w:highlight w:val="none"/>
                <w:lang w:val="en-US" w:eastAsia="zh-CN"/>
              </w:rPr>
            </w:pPr>
            <w:r>
              <w:rPr>
                <w:rFonts w:hint="eastAsia" w:ascii="仿宋" w:hAnsi="仿宋" w:eastAsia="仿宋" w:cs="仿宋"/>
                <w:color w:val="auto"/>
                <w:position w:val="-6"/>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2" w:hRule="atLeast"/>
        </w:trPr>
        <w:tc>
          <w:tcPr>
            <w:tcW w:w="666"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after="0"/>
              <w:jc w:val="center"/>
              <w:textAlignment w:val="auto"/>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1</w:t>
            </w:r>
          </w:p>
        </w:tc>
        <w:tc>
          <w:tcPr>
            <w:tcW w:w="2208"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color w:val="auto"/>
                <w:position w:val="-6"/>
                <w:sz w:val="24"/>
                <w:highlight w:val="none"/>
                <w:lang w:eastAsia="zh-CN"/>
              </w:rPr>
            </w:pPr>
            <w:r>
              <w:rPr>
                <w:rFonts w:hint="eastAsia" w:cs="仿宋"/>
                <w:bCs/>
                <w:color w:val="auto"/>
                <w:sz w:val="24"/>
                <w:highlight w:val="none"/>
                <w:lang w:eastAsia="zh-CN"/>
              </w:rPr>
              <w:t>宁围街道高教园区环卫保洁等服务采购项目</w:t>
            </w:r>
          </w:p>
        </w:tc>
        <w:tc>
          <w:tcPr>
            <w:tcW w:w="1207"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after="0"/>
              <w:jc w:val="center"/>
              <w:textAlignment w:val="auto"/>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详见招标需求</w:t>
            </w:r>
          </w:p>
        </w:tc>
        <w:tc>
          <w:tcPr>
            <w:tcW w:w="834"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after="0"/>
              <w:jc w:val="center"/>
              <w:textAlignment w:val="auto"/>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lang w:val="en-US" w:eastAsia="zh-CN"/>
              </w:rPr>
              <w:t>年</w:t>
            </w:r>
          </w:p>
        </w:tc>
        <w:tc>
          <w:tcPr>
            <w:tcW w:w="598" w:type="dxa"/>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color w:val="auto"/>
                <w:position w:val="-6"/>
                <w:sz w:val="24"/>
                <w:highlight w:val="none"/>
                <w:lang w:eastAsia="zh-CN"/>
              </w:rPr>
            </w:pPr>
            <w:r>
              <w:rPr>
                <w:rFonts w:hint="eastAsia" w:ascii="仿宋" w:hAnsi="仿宋" w:eastAsia="仿宋" w:cs="仿宋"/>
                <w:color w:val="auto"/>
                <w:position w:val="-6"/>
                <w:sz w:val="24"/>
                <w:highlight w:val="none"/>
                <w:lang w:val="en-US" w:eastAsia="zh-CN"/>
              </w:rPr>
              <w:t>2</w:t>
            </w:r>
          </w:p>
        </w:tc>
        <w:tc>
          <w:tcPr>
            <w:tcW w:w="1072" w:type="dxa"/>
            <w:vAlign w:val="center"/>
          </w:tcPr>
          <w:p>
            <w:pPr>
              <w:keepNext w:val="0"/>
              <w:keepLines w:val="0"/>
              <w:pageBreakBefore w:val="0"/>
              <w:kinsoku/>
              <w:wordWrap/>
              <w:overflowPunct/>
              <w:topLinePunct w:val="0"/>
              <w:autoSpaceDE/>
              <w:autoSpaceDN/>
              <w:bidi w:val="0"/>
              <w:spacing w:after="0"/>
              <w:jc w:val="center"/>
              <w:textAlignment w:val="auto"/>
              <w:rPr>
                <w:rFonts w:hint="eastAsia" w:cs="仿宋"/>
                <w:color w:val="auto"/>
                <w:position w:val="-6"/>
                <w:sz w:val="24"/>
                <w:highlight w:val="none"/>
                <w:lang w:val="en-US" w:eastAsia="zh-CN"/>
              </w:rPr>
            </w:pPr>
            <w:r>
              <w:rPr>
                <w:rFonts w:hint="eastAsia" w:cs="仿宋"/>
                <w:color w:val="auto"/>
                <w:position w:val="-6"/>
                <w:sz w:val="24"/>
                <w:highlight w:val="none"/>
                <w:lang w:val="en-US" w:eastAsia="zh-CN"/>
              </w:rPr>
              <w:t>1500</w:t>
            </w:r>
          </w:p>
          <w:p>
            <w:pPr>
              <w:keepNext w:val="0"/>
              <w:keepLines w:val="0"/>
              <w:pageBreakBefore w:val="0"/>
              <w:kinsoku/>
              <w:wordWrap/>
              <w:overflowPunct/>
              <w:topLinePunct w:val="0"/>
              <w:autoSpaceDE/>
              <w:autoSpaceDN/>
              <w:bidi w:val="0"/>
              <w:spacing w:after="0"/>
              <w:jc w:val="center"/>
              <w:textAlignment w:val="auto"/>
              <w:rPr>
                <w:rFonts w:hint="default" w:ascii="仿宋" w:hAnsi="仿宋" w:eastAsia="仿宋" w:cs="仿宋"/>
                <w:color w:val="auto"/>
                <w:position w:val="-6"/>
                <w:sz w:val="24"/>
                <w:highlight w:val="none"/>
                <w:lang w:val="en-US" w:eastAsia="zh-CN"/>
              </w:rPr>
            </w:pPr>
            <w:r>
              <w:rPr>
                <w:rFonts w:hint="eastAsia" w:ascii="仿宋" w:hAnsi="仿宋" w:eastAsia="仿宋" w:cs="仿宋"/>
                <w:color w:val="auto"/>
                <w:position w:val="-6"/>
                <w:sz w:val="24"/>
                <w:highlight w:val="none"/>
                <w:lang w:val="en-US" w:eastAsia="zh-CN"/>
              </w:rPr>
              <w:t>万元</w:t>
            </w:r>
          </w:p>
        </w:tc>
        <w:tc>
          <w:tcPr>
            <w:tcW w:w="1116" w:type="dxa"/>
            <w:vAlign w:val="center"/>
          </w:tcPr>
          <w:p>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color w:val="auto"/>
                <w:position w:val="-6"/>
                <w:sz w:val="24"/>
                <w:highlight w:val="none"/>
                <w:lang w:val="en-US" w:eastAsia="zh-CN"/>
              </w:rPr>
            </w:pPr>
            <w:r>
              <w:rPr>
                <w:rFonts w:hint="eastAsia" w:cs="仿宋"/>
                <w:color w:val="auto"/>
                <w:position w:val="-6"/>
                <w:sz w:val="24"/>
                <w:highlight w:val="none"/>
                <w:lang w:val="en-US" w:eastAsia="zh-CN"/>
              </w:rPr>
              <w:t>1476.5098</w:t>
            </w:r>
            <w:r>
              <w:rPr>
                <w:rFonts w:hint="eastAsia" w:ascii="仿宋" w:hAnsi="仿宋" w:eastAsia="仿宋" w:cs="仿宋"/>
                <w:color w:val="auto"/>
                <w:position w:val="-6"/>
                <w:sz w:val="24"/>
                <w:highlight w:val="none"/>
                <w:lang w:val="en-US" w:eastAsia="zh-CN"/>
              </w:rPr>
              <w:t>万元</w:t>
            </w:r>
          </w:p>
        </w:tc>
        <w:tc>
          <w:tcPr>
            <w:tcW w:w="609" w:type="dxa"/>
            <w:vAlign w:val="center"/>
          </w:tcPr>
          <w:p>
            <w:pPr>
              <w:keepNext w:val="0"/>
              <w:keepLines w:val="0"/>
              <w:pageBreakBefore w:val="0"/>
              <w:kinsoku/>
              <w:wordWrap/>
              <w:overflowPunct/>
              <w:topLinePunct w:val="0"/>
              <w:autoSpaceDE/>
              <w:autoSpaceDN/>
              <w:bidi w:val="0"/>
              <w:spacing w:after="0"/>
              <w:jc w:val="center"/>
              <w:textAlignment w:val="auto"/>
              <w:rPr>
                <w:rFonts w:ascii="仿宋" w:hAnsi="仿宋" w:eastAsia="仿宋" w:cs="仿宋"/>
                <w:color w:val="auto"/>
                <w:position w:val="-6"/>
                <w:sz w:val="24"/>
                <w:highlight w:val="none"/>
              </w:rPr>
            </w:pPr>
          </w:p>
        </w:tc>
      </w:tr>
    </w:tbl>
    <w:p>
      <w:pPr>
        <w:numPr>
          <w:ilvl w:val="0"/>
          <w:numId w:val="2"/>
        </w:num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招标需求</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1、技术需求</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一、项目概况</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textAlignment w:val="auto"/>
        <w:rPr>
          <w:rFonts w:hint="eastAsia" w:ascii="仿宋" w:hAnsi="仿宋" w:eastAsia="仿宋" w:cs="仿宋"/>
          <w:color w:val="auto"/>
          <w:kern w:val="44"/>
          <w:sz w:val="24"/>
          <w:szCs w:val="24"/>
          <w:highlight w:val="none"/>
        </w:rPr>
      </w:pPr>
      <w:r>
        <w:rPr>
          <w:rFonts w:hint="eastAsia" w:ascii="仿宋" w:hAnsi="仿宋" w:eastAsia="仿宋" w:cs="仿宋"/>
          <w:bCs/>
          <w:color w:val="auto"/>
          <w:sz w:val="24"/>
          <w:highlight w:val="none"/>
        </w:rPr>
        <w:t>高教园区</w:t>
      </w:r>
      <w:r>
        <w:rPr>
          <w:rFonts w:hint="eastAsia" w:ascii="仿宋" w:hAnsi="仿宋" w:eastAsia="仿宋" w:cs="仿宋"/>
          <w:color w:val="auto"/>
          <w:kern w:val="44"/>
          <w:sz w:val="24"/>
          <w:szCs w:val="24"/>
          <w:highlight w:val="none"/>
        </w:rPr>
        <w:t>区域内环卫保洁等</w:t>
      </w:r>
      <w:r>
        <w:rPr>
          <w:rFonts w:hint="eastAsia" w:ascii="仿宋" w:hAnsi="仿宋" w:eastAsia="仿宋" w:cs="仿宋"/>
          <w:color w:val="auto"/>
          <w:sz w:val="24"/>
          <w:szCs w:val="24"/>
          <w:highlight w:val="none"/>
        </w:rPr>
        <w:t>范围详见（附件1、2），考核办法详见（附件</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二、环卫保洁要求及标准</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服务内容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对辖区范围内的道路、部分区域等按要求开展保洁等相关服务事项。</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zh-CN"/>
        </w:rPr>
        <w:t>保洁人员</w:t>
      </w:r>
      <w:r>
        <w:rPr>
          <w:rFonts w:hint="eastAsia" w:ascii="仿宋" w:hAnsi="仿宋" w:eastAsia="仿宋" w:cs="仿宋"/>
          <w:b/>
          <w:bCs/>
          <w:color w:val="auto"/>
          <w:sz w:val="24"/>
          <w:szCs w:val="24"/>
          <w:highlight w:val="none"/>
          <w:lang w:val="zh-CN" w:eastAsia="zh-CN"/>
        </w:rPr>
        <w:t>、设备</w:t>
      </w:r>
      <w:r>
        <w:rPr>
          <w:rFonts w:hint="eastAsia" w:ascii="仿宋" w:hAnsi="仿宋" w:eastAsia="仿宋" w:cs="仿宋"/>
          <w:b/>
          <w:bCs/>
          <w:color w:val="auto"/>
          <w:sz w:val="24"/>
          <w:szCs w:val="24"/>
          <w:highlight w:val="none"/>
          <w:lang w:val="zh-CN"/>
        </w:rPr>
        <w:t>要求</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道路</w:t>
      </w:r>
      <w:r>
        <w:rPr>
          <w:rFonts w:hint="eastAsia" w:cs="仿宋"/>
          <w:color w:val="auto"/>
          <w:sz w:val="24"/>
          <w:szCs w:val="24"/>
          <w:highlight w:val="none"/>
          <w:lang w:val="en-US" w:eastAsia="zh-CN"/>
        </w:rPr>
        <w:t>等</w:t>
      </w:r>
      <w:r>
        <w:rPr>
          <w:rFonts w:hint="eastAsia" w:ascii="仿宋" w:hAnsi="仿宋" w:eastAsia="仿宋" w:cs="仿宋"/>
          <w:color w:val="auto"/>
          <w:sz w:val="24"/>
          <w:szCs w:val="24"/>
          <w:highlight w:val="none"/>
        </w:rPr>
        <w:t>保洁人员不得少于</w:t>
      </w:r>
      <w:r>
        <w:rPr>
          <w:rFonts w:hint="eastAsia" w:cs="仿宋"/>
          <w:color w:val="auto"/>
          <w:sz w:val="24"/>
          <w:szCs w:val="24"/>
          <w:highlight w:val="none"/>
          <w:lang w:val="en-US" w:eastAsia="zh-CN"/>
        </w:rPr>
        <w:t>60</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rPr>
        <w:t>除专职保洁人员以外，供应商应根据项目保洁的实际需要配备项目负责人、管理人员、机械车辆驾驶人员等，所需费用应考虑在投标总价中。</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）人员用工必须符合《中华人民共和国劳动合同法》等法规的相关规定，如因违法、违规并造成不良后果的，其责任由供应商自行承担。</w:t>
      </w:r>
    </w:p>
    <w:p>
      <w:pPr>
        <w:pStyle w:val="2"/>
        <w:keepNext w:val="0"/>
        <w:keepLines w:val="0"/>
        <w:pageBreakBefore w:val="0"/>
        <w:kinsoku/>
        <w:wordWrap/>
        <w:overflowPunct/>
        <w:topLinePunct w:val="0"/>
        <w:bidi w:val="0"/>
        <w:spacing w:after="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扫路车、洒水车、护栏清洗车、多功能抑尘车、垃圾直运压缩车</w:t>
      </w:r>
      <w:r>
        <w:rPr>
          <w:rFonts w:hint="eastAsia" w:ascii="仿宋" w:hAnsi="仿宋" w:eastAsia="仿宋" w:cs="仿宋"/>
          <w:color w:val="auto"/>
          <w:sz w:val="24"/>
          <w:szCs w:val="24"/>
          <w:highlight w:val="none"/>
          <w:lang w:eastAsia="zh-CN"/>
        </w:rPr>
        <w:t>、雾炮</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机动车至少各1辆,</w:t>
      </w:r>
      <w:r>
        <w:rPr>
          <w:rFonts w:hint="eastAsia" w:ascii="仿宋" w:hAnsi="仿宋" w:eastAsia="仿宋" w:cs="仿宋"/>
          <w:color w:val="auto"/>
          <w:sz w:val="24"/>
          <w:szCs w:val="24"/>
          <w:highlight w:val="none"/>
          <w:lang w:eastAsia="zh-CN"/>
        </w:rPr>
        <w:t>装备齐全并符合</w:t>
      </w:r>
      <w:r>
        <w:rPr>
          <w:rFonts w:hint="eastAsia" w:ascii="仿宋" w:hAnsi="仿宋" w:eastAsia="仿宋" w:cs="仿宋"/>
          <w:color w:val="auto"/>
          <w:sz w:val="24"/>
          <w:szCs w:val="24"/>
          <w:highlight w:val="none"/>
          <w:lang w:val="en-US" w:eastAsia="zh-CN"/>
        </w:rPr>
        <w:t>保洁</w:t>
      </w:r>
      <w:r>
        <w:rPr>
          <w:rFonts w:hint="eastAsia" w:ascii="仿宋" w:hAnsi="仿宋" w:eastAsia="仿宋" w:cs="仿宋"/>
          <w:color w:val="auto"/>
          <w:sz w:val="24"/>
          <w:szCs w:val="24"/>
          <w:highlight w:val="none"/>
          <w:lang w:eastAsia="zh-CN"/>
        </w:rPr>
        <w:t>要求，</w:t>
      </w:r>
      <w:r>
        <w:rPr>
          <w:rFonts w:hint="eastAsia" w:ascii="仿宋" w:hAnsi="仿宋" w:eastAsia="仿宋" w:cs="仿宋"/>
          <w:color w:val="auto"/>
          <w:sz w:val="24"/>
          <w:szCs w:val="24"/>
          <w:highlight w:val="none"/>
        </w:rPr>
        <w:t>在本项目服务期间，上述车辆保证只用于该项目的实施并应根据项目需要足额车辆保障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甲方有权要求根据实际情况增加</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lang w:val="en-US" w:eastAsia="zh-CN"/>
        </w:rPr>
        <w:t>设备</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保洁基本要求</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（1）保洁时间要求：一类道路</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小时(4:30-2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:30)，每日洒水频次不低于５次，每日机械化清扫频次不低于３次，道路清洗每周不低于2次，每日雾炮不少于4次</w:t>
      </w:r>
      <w:r>
        <w:rPr>
          <w:rFonts w:hint="eastAsia" w:ascii="仿宋" w:hAnsi="仿宋" w:eastAsia="仿宋" w:cs="仿宋"/>
          <w:color w:val="auto"/>
          <w:sz w:val="24"/>
          <w:szCs w:val="24"/>
          <w:highlight w:val="none"/>
          <w:lang w:eastAsia="zh-CN"/>
        </w:rPr>
        <w:t>，每日普扫不少于</w:t>
      </w:r>
      <w:r>
        <w:rPr>
          <w:rFonts w:hint="eastAsia" w:ascii="仿宋" w:hAnsi="仿宋" w:eastAsia="仿宋" w:cs="仿宋"/>
          <w:color w:val="auto"/>
          <w:sz w:val="24"/>
          <w:szCs w:val="24"/>
          <w:highlight w:val="none"/>
          <w:lang w:val="en-US" w:eastAsia="zh-CN"/>
        </w:rPr>
        <w:t>3次</w:t>
      </w:r>
      <w:r>
        <w:rPr>
          <w:rFonts w:hint="eastAsia" w:ascii="仿宋" w:hAnsi="仿宋" w:eastAsia="仿宋" w:cs="仿宋"/>
          <w:color w:val="auto"/>
          <w:sz w:val="24"/>
          <w:szCs w:val="24"/>
          <w:highlight w:val="none"/>
        </w:rPr>
        <w:t>；二类道路不低于1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小时(4:30-20:30)，每日洒水频次不低于4次，每日机械化清扫频次不低于3次，道路清洗每周不低于1次，每日雾炮不少于4次</w:t>
      </w:r>
      <w:r>
        <w:rPr>
          <w:rFonts w:hint="eastAsia" w:ascii="仿宋" w:hAnsi="仿宋" w:eastAsia="仿宋" w:cs="仿宋"/>
          <w:color w:val="auto"/>
          <w:sz w:val="24"/>
          <w:szCs w:val="24"/>
          <w:highlight w:val="none"/>
          <w:lang w:eastAsia="zh-CN"/>
        </w:rPr>
        <w:t>，每日普扫不少于</w:t>
      </w:r>
      <w:r>
        <w:rPr>
          <w:rFonts w:hint="eastAsia" w:ascii="仿宋" w:hAnsi="仿宋" w:eastAsia="仿宋" w:cs="仿宋"/>
          <w:color w:val="auto"/>
          <w:sz w:val="24"/>
          <w:szCs w:val="24"/>
          <w:highlight w:val="none"/>
          <w:lang w:val="en-US" w:eastAsia="zh-CN"/>
        </w:rPr>
        <w:t>3次</w:t>
      </w:r>
      <w:r>
        <w:rPr>
          <w:rFonts w:hint="eastAsia" w:ascii="仿宋" w:hAnsi="仿宋" w:eastAsia="仿宋" w:cs="仿宋"/>
          <w:color w:val="auto"/>
          <w:sz w:val="24"/>
          <w:szCs w:val="24"/>
          <w:highlight w:val="none"/>
        </w:rPr>
        <w:t>；三类道路不低于1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小时(4:30-18:30)，每日洒水频次不低于4次，每日机械化清扫频次不低于3次，道路清洗每月不低于2次，每日雾炮不少于</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次</w:t>
      </w:r>
      <w:r>
        <w:rPr>
          <w:rFonts w:hint="eastAsia" w:ascii="仿宋" w:hAnsi="仿宋" w:eastAsia="仿宋" w:cs="仿宋"/>
          <w:color w:val="auto"/>
          <w:sz w:val="24"/>
          <w:szCs w:val="24"/>
          <w:highlight w:val="none"/>
          <w:lang w:eastAsia="zh-CN"/>
        </w:rPr>
        <w:t>，每日普扫不少于</w:t>
      </w:r>
      <w:r>
        <w:rPr>
          <w:rFonts w:hint="eastAsia" w:ascii="仿宋" w:hAnsi="仿宋" w:eastAsia="仿宋" w:cs="仿宋"/>
          <w:color w:val="auto"/>
          <w:sz w:val="24"/>
          <w:szCs w:val="24"/>
          <w:highlight w:val="none"/>
          <w:lang w:val="en-US" w:eastAsia="zh-CN"/>
        </w:rPr>
        <w:t>2次</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（2）应做到文明、清洁、安全和有序，最大限度地减少对环境的污染和对公众生活的影响。</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及时清除道路沿线</w:t>
      </w:r>
      <w:r>
        <w:rPr>
          <w:rFonts w:hint="eastAsia" w:ascii="仿宋" w:hAnsi="仿宋" w:eastAsia="仿宋" w:cs="仿宋"/>
          <w:color w:val="auto"/>
          <w:sz w:val="24"/>
          <w:szCs w:val="24"/>
          <w:highlight w:val="none"/>
        </w:rPr>
        <w:t>及其余保洁范围内的</w:t>
      </w:r>
      <w:r>
        <w:rPr>
          <w:rFonts w:hint="eastAsia" w:ascii="仿宋" w:hAnsi="仿宋" w:eastAsia="仿宋" w:cs="仿宋"/>
          <w:color w:val="auto"/>
          <w:sz w:val="24"/>
          <w:szCs w:val="24"/>
          <w:highlight w:val="none"/>
          <w:lang w:val="zh-CN"/>
        </w:rPr>
        <w:t>“牛皮癣”，</w:t>
      </w:r>
      <w:r>
        <w:rPr>
          <w:rFonts w:hint="eastAsia" w:ascii="仿宋" w:hAnsi="仿宋" w:eastAsia="仿宋" w:cs="仿宋"/>
          <w:color w:val="auto"/>
          <w:sz w:val="24"/>
          <w:szCs w:val="24"/>
          <w:highlight w:val="none"/>
        </w:rPr>
        <w:t>清除时使用合理方式，不得破坏原部位</w:t>
      </w:r>
      <w:r>
        <w:rPr>
          <w:rFonts w:hint="eastAsia" w:ascii="仿宋" w:hAnsi="仿宋" w:eastAsia="仿宋" w:cs="仿宋"/>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4）合理安排作业计划。在清晨或深夜在居民住宅小区或周边道路进行环卫作业时，不得大声喧哗，并应注意控制机具噪音。组织机械化清扫、洒水、清洗作业应避开工作日交通高峰时段（7：00—9：00，16：30—18：30）。</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5）下雪及雪后应根据需要，及时进行路面除雪作业，消除路面积雪、结冰，为道路交通畅通创造良好通行条件。清雪作业以机械化清雪为主，人工清雪为辅。清理的积雪不得堆放在雨水井口，禁止向道路路面、绿化带、绿地抛撒积雪。</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（6）日常</w:t>
      </w:r>
      <w:r>
        <w:rPr>
          <w:rFonts w:hint="eastAsia" w:ascii="仿宋" w:hAnsi="仿宋" w:eastAsia="仿宋" w:cs="仿宋"/>
          <w:color w:val="auto"/>
          <w:sz w:val="24"/>
          <w:szCs w:val="24"/>
          <w:highlight w:val="none"/>
        </w:rPr>
        <w:t>保洁时间内</w:t>
      </w:r>
      <w:r>
        <w:rPr>
          <w:rFonts w:hint="eastAsia" w:ascii="仿宋" w:hAnsi="仿宋" w:eastAsia="仿宋" w:cs="仿宋"/>
          <w:bCs/>
          <w:color w:val="auto"/>
          <w:sz w:val="24"/>
          <w:szCs w:val="24"/>
          <w:highlight w:val="none"/>
        </w:rPr>
        <w:t>保洁单位需确保</w:t>
      </w:r>
      <w:r>
        <w:rPr>
          <w:rFonts w:hint="eastAsia" w:ascii="仿宋" w:hAnsi="仿宋" w:eastAsia="仿宋" w:cs="仿宋"/>
          <w:color w:val="auto"/>
          <w:sz w:val="24"/>
          <w:szCs w:val="24"/>
          <w:highlight w:val="none"/>
        </w:rPr>
        <w:t>保洁范围干净，如有无主垃圾或其它垃圾，应加强监管，及时劝导并主动清理干净。</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（7）人工辅助清扫、清洗机动车道、非机动车道或清洗机动车道交通隔离栏时，应在距清扫点来车方向100M处设置警示标识，使用荧光锥形筒等警示标识围护清扫保洁区域，面向来车方向清扫，注意车辆动态。</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洗扫车、扫路车、洒水车、清洗车等车尾应按照相关交通法规设置荧光标宽标识（或警示灯）。夜间作业时或雨雾天气等能见度较低的天气，必须启用警示灯光。环卫电动作业车辆、保洁车等小型作业车辆车身设置荧光条，车后部或车顶设置警示灯。</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（9）本项目环卫作业车辆须有固定场所停放，严禁停放在消防通道、公交车站、盲道等影响车辆和行人通行的公共通道。</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 xml:space="preserve">保洁作业规范 </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1道路普扫次数和时间</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（1）普扫作业每日不少于3次。</w:t>
      </w:r>
      <w:r>
        <w:rPr>
          <w:rFonts w:hint="eastAsia" w:cs="仿宋"/>
          <w:color w:val="auto"/>
          <w:sz w:val="24"/>
          <w:szCs w:val="24"/>
          <w:highlight w:val="none"/>
          <w:lang w:val="en-US" w:eastAsia="zh-CN"/>
        </w:rPr>
        <w:t>5月至10月</w:t>
      </w:r>
      <w:r>
        <w:rPr>
          <w:rFonts w:hint="eastAsia" w:ascii="仿宋" w:hAnsi="仿宋" w:eastAsia="仿宋" w:cs="仿宋"/>
          <w:color w:val="auto"/>
          <w:sz w:val="24"/>
          <w:szCs w:val="24"/>
          <w:highlight w:val="none"/>
        </w:rPr>
        <w:t>第一次普扫应在6：30前完成，</w:t>
      </w:r>
      <w:r>
        <w:rPr>
          <w:rFonts w:hint="eastAsia" w:cs="仿宋"/>
          <w:color w:val="auto"/>
          <w:sz w:val="24"/>
          <w:szCs w:val="24"/>
          <w:highlight w:val="none"/>
          <w:lang w:val="en-US" w:eastAsia="zh-CN"/>
        </w:rPr>
        <w:t>11月至次年4月</w:t>
      </w:r>
      <w:r>
        <w:rPr>
          <w:rFonts w:hint="eastAsia" w:ascii="仿宋" w:hAnsi="仿宋" w:eastAsia="仿宋" w:cs="仿宋"/>
          <w:color w:val="auto"/>
          <w:sz w:val="24"/>
          <w:szCs w:val="24"/>
          <w:highlight w:val="none"/>
        </w:rPr>
        <w:t>在7：00前完成；第二次普扫在</w:t>
      </w:r>
      <w:r>
        <w:rPr>
          <w:rFonts w:hint="eastAsia" w:cs="仿宋"/>
          <w:color w:val="auto"/>
          <w:sz w:val="24"/>
          <w:szCs w:val="24"/>
          <w:highlight w:val="none"/>
          <w:lang w:val="en-US" w:eastAsia="zh-CN"/>
        </w:rPr>
        <w:t>14:30</w:t>
      </w:r>
      <w:r>
        <w:rPr>
          <w:rFonts w:hint="eastAsia" w:ascii="仿宋" w:hAnsi="仿宋" w:eastAsia="仿宋" w:cs="仿宋"/>
          <w:color w:val="auto"/>
          <w:sz w:val="24"/>
          <w:szCs w:val="24"/>
          <w:highlight w:val="none"/>
        </w:rPr>
        <w:t>前完成；第三次普扫在</w:t>
      </w:r>
      <w:r>
        <w:rPr>
          <w:rFonts w:hint="eastAsia" w:cs="仿宋"/>
          <w:color w:val="auto"/>
          <w:sz w:val="24"/>
          <w:szCs w:val="24"/>
          <w:highlight w:val="none"/>
          <w:lang w:val="en-US" w:eastAsia="zh-CN"/>
        </w:rPr>
        <w:t>20:30</w:t>
      </w:r>
      <w:r>
        <w:rPr>
          <w:rFonts w:hint="eastAsia" w:ascii="仿宋" w:hAnsi="仿宋" w:eastAsia="仿宋" w:cs="仿宋"/>
          <w:color w:val="auto"/>
          <w:sz w:val="24"/>
          <w:szCs w:val="24"/>
          <w:highlight w:val="none"/>
        </w:rPr>
        <w:t>前完成。</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（2）应根据重大活动保障、落叶旺季等因素适时增加每日普扫频次。 </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4、2</w:t>
      </w:r>
      <w:r>
        <w:rPr>
          <w:rFonts w:hint="eastAsia" w:ascii="仿宋" w:hAnsi="仿宋" w:eastAsia="仿宋" w:cs="仿宋"/>
          <w:b/>
          <w:color w:val="auto"/>
          <w:sz w:val="24"/>
          <w:szCs w:val="24"/>
          <w:highlight w:val="none"/>
        </w:rPr>
        <w:t>洒水（清洗）</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（1）洒水时，洒水车车速不得超过25km/h；清洗时，高压清洗车车速不得超过10km/h。</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（2）洒水时，应调整好洒水车水压和水幅，保持车行道全路段路面湿润。途经地铁站、公交站、人行横道等人流量集中的地点应注意放慢车速，避让行人，调整启闭装置，避免将水洒到行人身上。</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（3）晚22时以后，洒水作业时禁止播放洒水提示音乐。中、高考等重要考试期间，洒水车途经考场周边道路时应及时关闭洒水提示音乐，夏季中午时间（12时-14时）适当降低洒水提示音量。</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（4）小雨及以下雨量时，按计划保持洒水作业；中雨及以上雨量或雷阵雨期间，暂停道路洒水和清洗作业。</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（5）春秋季（3月—5月、9月—11月），每日道路洒水频次作为基准遍次，即</w:t>
      </w:r>
      <w:r>
        <w:rPr>
          <w:rFonts w:hint="eastAsia" w:ascii="仿宋" w:hAnsi="仿宋" w:eastAsia="仿宋" w:cs="仿宋"/>
          <w:bCs/>
          <w:color w:val="auto"/>
          <w:sz w:val="24"/>
          <w:szCs w:val="24"/>
          <w:highlight w:val="none"/>
          <w:lang w:val="en-US" w:eastAsia="zh-CN"/>
        </w:rPr>
        <w:t>一</w:t>
      </w:r>
      <w:r>
        <w:rPr>
          <w:rFonts w:hint="eastAsia" w:ascii="仿宋" w:hAnsi="仿宋" w:eastAsia="仿宋" w:cs="仿宋"/>
          <w:bCs/>
          <w:color w:val="auto"/>
          <w:sz w:val="24"/>
          <w:szCs w:val="24"/>
          <w:highlight w:val="none"/>
        </w:rPr>
        <w:t>类道路每日5次，</w:t>
      </w:r>
      <w:r>
        <w:rPr>
          <w:rFonts w:hint="eastAsia" w:ascii="仿宋" w:hAnsi="仿宋" w:eastAsia="仿宋" w:cs="仿宋"/>
          <w:bCs/>
          <w:color w:val="auto"/>
          <w:sz w:val="24"/>
          <w:szCs w:val="24"/>
          <w:highlight w:val="none"/>
          <w:lang w:val="en-US" w:eastAsia="zh-CN"/>
        </w:rPr>
        <w:t>二</w:t>
      </w:r>
      <w:r>
        <w:rPr>
          <w:rFonts w:hint="eastAsia" w:ascii="仿宋" w:hAnsi="仿宋" w:eastAsia="仿宋" w:cs="仿宋"/>
          <w:bCs/>
          <w:color w:val="auto"/>
          <w:sz w:val="24"/>
          <w:szCs w:val="24"/>
          <w:highlight w:val="none"/>
        </w:rPr>
        <w:t>类</w:t>
      </w:r>
      <w:r>
        <w:rPr>
          <w:rFonts w:hint="eastAsia" w:cs="仿宋"/>
          <w:bCs/>
          <w:color w:val="auto"/>
          <w:sz w:val="24"/>
          <w:szCs w:val="24"/>
          <w:highlight w:val="none"/>
          <w:lang w:eastAsia="zh-CN"/>
        </w:rPr>
        <w:t>、</w:t>
      </w:r>
      <w:r>
        <w:rPr>
          <w:rFonts w:hint="eastAsia" w:cs="仿宋"/>
          <w:bCs/>
          <w:color w:val="auto"/>
          <w:sz w:val="24"/>
          <w:szCs w:val="24"/>
          <w:highlight w:val="none"/>
          <w:lang w:val="en-US" w:eastAsia="zh-CN"/>
        </w:rPr>
        <w:t>三类</w:t>
      </w:r>
      <w:r>
        <w:rPr>
          <w:rFonts w:hint="eastAsia" w:ascii="仿宋" w:hAnsi="仿宋" w:eastAsia="仿宋" w:cs="仿宋"/>
          <w:bCs/>
          <w:color w:val="auto"/>
          <w:sz w:val="24"/>
          <w:szCs w:val="24"/>
          <w:highlight w:val="none"/>
        </w:rPr>
        <w:t>道路每日4次。</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（6）气温低于2摄氏度时应停止清洗和洒水。</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（7）根据清雪作业应急保障需要，可使用洒水车、清洗车冲刷路面积雪，并使用清雪车、扫路车等专业车辆或人工辅助，及时清除路面积水、积雪。</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3机械化清扫</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（1）机械化清扫范围主要为机动车道，及便于使用机械化装备清洁机动车道的交通隔离栏。</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（2）湿扫车或洗扫车应加足水，根据路面状况调整好扫路车侧刷和吸口，喷雾洁扫无扬尘，在规定时间和路线进行机械化清扫作业。</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（3）机械化清扫作业时，扫路车或洗扫车车速不得超过10km/h。</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（4）每日道路机扫频次作为基准遍次，即</w:t>
      </w:r>
      <w:r>
        <w:rPr>
          <w:rFonts w:hint="eastAsia" w:ascii="仿宋" w:hAnsi="仿宋" w:eastAsia="仿宋" w:cs="仿宋"/>
          <w:bCs/>
          <w:color w:val="auto"/>
          <w:sz w:val="24"/>
          <w:szCs w:val="24"/>
          <w:highlight w:val="none"/>
          <w:lang w:val="en-US" w:eastAsia="zh-CN"/>
        </w:rPr>
        <w:t>一</w:t>
      </w:r>
      <w:r>
        <w:rPr>
          <w:rFonts w:hint="eastAsia" w:ascii="仿宋" w:hAnsi="仿宋" w:eastAsia="仿宋" w:cs="仿宋"/>
          <w:bCs/>
          <w:color w:val="auto"/>
          <w:sz w:val="24"/>
          <w:szCs w:val="24"/>
          <w:highlight w:val="none"/>
        </w:rPr>
        <w:t>类</w:t>
      </w:r>
      <w:r>
        <w:rPr>
          <w:rFonts w:hint="eastAsia" w:cs="仿宋"/>
          <w:bCs/>
          <w:color w:val="auto"/>
          <w:sz w:val="24"/>
          <w:szCs w:val="24"/>
          <w:highlight w:val="none"/>
          <w:lang w:eastAsia="zh-CN"/>
        </w:rPr>
        <w:t>、</w:t>
      </w:r>
      <w:r>
        <w:rPr>
          <w:rFonts w:hint="eastAsia" w:cs="仿宋"/>
          <w:bCs/>
          <w:color w:val="auto"/>
          <w:sz w:val="24"/>
          <w:szCs w:val="24"/>
          <w:highlight w:val="none"/>
          <w:lang w:val="en-US" w:eastAsia="zh-CN"/>
        </w:rPr>
        <w:t>二类、三类</w:t>
      </w:r>
      <w:r>
        <w:rPr>
          <w:rFonts w:hint="eastAsia" w:ascii="仿宋" w:hAnsi="仿宋" w:eastAsia="仿宋" w:cs="仿宋"/>
          <w:bCs/>
          <w:color w:val="auto"/>
          <w:sz w:val="24"/>
          <w:szCs w:val="24"/>
          <w:highlight w:val="none"/>
        </w:rPr>
        <w:t>道路每日3次。</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（5）清扫时应注意观察路面清扫质量和路面障碍情况，对机械化清扫不能清除的大件垃圾或硬物，在确保作业安全的前提下，及时下车清除。</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（6）当日清扫结束后，应在指定地点卸空机械化清扫车辆中的垃圾。</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（7）机械化清扫车辆所用的扫把丝等消耗品应根据使用状况及时更换。</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.4人工普扫</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（1）清扫时，在距清扫点适当位置设置安全警示标识。</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（3）清扫的街面垃圾、沿街果皮箱中的垃圾应密闭化运至指定地点，运输过程不得抛洒滴漏。</w:t>
      </w:r>
    </w:p>
    <w:p>
      <w:pPr>
        <w:keepNext w:val="0"/>
        <w:keepLines w:val="0"/>
        <w:pageBreakBefore w:val="0"/>
        <w:widowControl w:val="0"/>
        <w:kinsoku/>
        <w:wordWrap/>
        <w:overflowPunct/>
        <w:topLinePunct w:val="0"/>
        <w:autoSpaceDE/>
        <w:autoSpaceDN/>
        <w:bidi w:val="0"/>
        <w:adjustRightInd w:val="0"/>
        <w:snapToGrid/>
        <w:spacing w:after="0"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.5人工保洁</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（1）普扫结束后，应按照规定的责任保洁区域、保洁时间组织巡回保洁。落实责任保洁区域边界管理，保洁时应向保洁边界以外适当延伸，不留保洁盲区和空白点。</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（2）应定时清运沿街果皮箱中的垃圾，做到垃圾不落地、不积存，日产日清。</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（3）突发性环境卫生污染现场清理时，应严格按照应急处置方案进行保洁，及时消除污染物，恢复路面清洁。</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（4）环卫专用车辆应在非机动车道顺向行驶，不得超载，且行驶速度不得超过20Km/h。</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（5）保洁作业结束后，作业工具应在规定地点摆放，不得在道路路面、墙角、绿化带、绿地中存放。</w:t>
      </w:r>
    </w:p>
    <w:p>
      <w:pPr>
        <w:keepNext w:val="0"/>
        <w:keepLines w:val="0"/>
        <w:pageBreakBefore w:val="0"/>
        <w:widowControl w:val="0"/>
        <w:kinsoku/>
        <w:wordWrap/>
        <w:overflowPunct/>
        <w:topLinePunct w:val="0"/>
        <w:autoSpaceDE/>
        <w:autoSpaceDN/>
        <w:bidi w:val="0"/>
        <w:adjustRightInd w:val="0"/>
        <w:snapToGrid/>
        <w:spacing w:after="0" w:line="360" w:lineRule="auto"/>
        <w:ind w:firstLine="482" w:firstLineChars="200"/>
        <w:jc w:val="lef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5、保洁作业质量要求</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保洁要做到道路路面干净：道路两侧</w:t>
      </w:r>
      <w:r>
        <w:rPr>
          <w:rFonts w:hint="eastAsia" w:ascii="仿宋" w:hAnsi="仿宋" w:eastAsia="仿宋" w:cs="仿宋"/>
          <w:color w:val="auto"/>
          <w:sz w:val="24"/>
          <w:szCs w:val="24"/>
          <w:highlight w:val="none"/>
          <w:lang w:eastAsia="zh-CN"/>
        </w:rPr>
        <w:t>（含绿化带）</w:t>
      </w:r>
      <w:r>
        <w:rPr>
          <w:rFonts w:hint="eastAsia" w:ascii="仿宋" w:hAnsi="仿宋" w:eastAsia="仿宋" w:cs="仿宋"/>
          <w:color w:val="auto"/>
          <w:sz w:val="24"/>
          <w:szCs w:val="24"/>
          <w:highlight w:val="none"/>
        </w:rPr>
        <w:t>及机动车道绿化隔离带内无各类垃圾及枯枝残叶（包括公园、绿化）；路面树圈无痰迹烟蒂；晴天地面无积水；侧石无积泥积沙、无污迹；无窨井堵塞；人行道、树圈无杂草无各类垃圾及残枝枯叶；果壳箱外表整洁、箱内无积存垃圾；道路沿线靠近河道绿化带、人行道（铺砖、道地等）、绿化（包括砌石点位等）等统计在上述范围内，要求保持干净整洁、无各类垃圾、残枝枯叶等。及时制止偷乱倒垃圾行为，保洁区域内的基建垃圾、装修垃圾和渣土等非生活垃圾包含在招标内容内，要求各作业单位及时发现并清除。</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车行道、人行道不得漏扫或反扫到交叉路口、里弄口内侧、喇叭口；也不得扫入窨井和绿化带内；树穴应无杂草清扫彻底；交叉口及未通车、未建成的道口等生活垃圾和建筑垃圾（包括集镇保洁范围内的偷倒生活和建筑垃圾）应及时组织人员清理。</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cs="仿宋"/>
          <w:bCs/>
          <w:color w:val="auto"/>
          <w:sz w:val="24"/>
          <w:szCs w:val="24"/>
          <w:highlight w:val="none"/>
          <w:lang w:val="en-US" w:eastAsia="zh-CN"/>
        </w:rPr>
        <w:t>3</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清扫垃圾倒入指定地点，</w:t>
      </w:r>
      <w:r>
        <w:rPr>
          <w:rFonts w:hint="eastAsia" w:ascii="仿宋" w:hAnsi="仿宋" w:eastAsia="仿宋" w:cs="仿宋"/>
          <w:color w:val="auto"/>
          <w:sz w:val="24"/>
          <w:szCs w:val="24"/>
          <w:highlight w:val="none"/>
          <w:lang w:eastAsia="zh-CN"/>
        </w:rPr>
        <w:t>并进行规范运输、处置，</w:t>
      </w:r>
      <w:r>
        <w:rPr>
          <w:rFonts w:hint="eastAsia" w:ascii="仿宋" w:hAnsi="仿宋" w:eastAsia="仿宋" w:cs="仿宋"/>
          <w:color w:val="auto"/>
          <w:sz w:val="24"/>
          <w:szCs w:val="24"/>
          <w:highlight w:val="none"/>
        </w:rPr>
        <w:t>不得随处乱倒和焚烧垃圾。</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w:t>
      </w:r>
      <w:r>
        <w:rPr>
          <w:rFonts w:hint="eastAsia" w:cs="仿宋"/>
          <w:bCs/>
          <w:color w:val="auto"/>
          <w:sz w:val="24"/>
          <w:szCs w:val="24"/>
          <w:highlight w:val="none"/>
          <w:lang w:val="en-US" w:eastAsia="zh-CN"/>
        </w:rPr>
        <w:t>4</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道路清扫作业人员必须穿统一服装和反光背心上岗，保洁三轮车辆保持车容整洁，装贴反光警示条，车外不得吊挂杂物，做到密闭化运输</w:t>
      </w:r>
      <w:r>
        <w:rPr>
          <w:rFonts w:hint="eastAsia" w:ascii="仿宋" w:hAnsi="仿宋" w:eastAsia="仿宋" w:cs="仿宋"/>
          <w:color w:val="auto"/>
          <w:sz w:val="24"/>
          <w:szCs w:val="24"/>
          <w:highlight w:val="none"/>
          <w:lang w:eastAsia="zh-CN"/>
        </w:rPr>
        <w:t>；同时加强日常安全知识教育培训。</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cs="仿宋"/>
          <w:bCs/>
          <w:color w:val="auto"/>
          <w:sz w:val="24"/>
          <w:szCs w:val="24"/>
          <w:highlight w:val="none"/>
          <w:lang w:val="en-US" w:eastAsia="zh-CN"/>
        </w:rPr>
        <w:t>5</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道路日常洒水作业，如路面有“抛、洒、滴、漏”现象，承包单位必须组织人员及时清除并冲洗受污路面，冲洗作业中，应注意避让行人，规范使用警示灯。</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cs="仿宋"/>
          <w:bCs/>
          <w:color w:val="auto"/>
          <w:sz w:val="24"/>
          <w:szCs w:val="24"/>
          <w:highlight w:val="none"/>
          <w:lang w:val="en-US" w:eastAsia="zh-CN"/>
        </w:rPr>
        <w:t>6</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洒水结束后机扫车、人工洗刷相互配合，清除路面、侧石、交通隔离墩（栅）以及道路相关公共设施周围的积泥、沙石、积水，直至路面见本色。</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cs="仿宋"/>
          <w:bCs/>
          <w:color w:val="auto"/>
          <w:sz w:val="24"/>
          <w:szCs w:val="24"/>
          <w:highlight w:val="none"/>
          <w:lang w:val="en-US" w:eastAsia="zh-CN"/>
        </w:rPr>
        <w:t>7</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道路冲洗方式：高压冲洗以不大于6千米/小时的速度清洗，同时人工清扫，做到机动车道、非机动车道、人行道（含店前道路）路面见本色，无污迹。</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cs="仿宋"/>
          <w:bCs/>
          <w:color w:val="auto"/>
          <w:sz w:val="24"/>
          <w:szCs w:val="24"/>
          <w:highlight w:val="none"/>
          <w:lang w:val="en-US" w:eastAsia="zh-CN"/>
        </w:rPr>
        <w:t>8</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果壳箱要求套垃圾袋使用，无积存垃圾、无垃圾满溢，并巡回检查，发现满溢及时清理；果壳箱每日清洗；果壳箱内外整洁、无歪斜、无破损、周围地面清洁(果壳箱破损及时修复)。</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cs="仿宋"/>
          <w:bCs/>
          <w:color w:val="auto"/>
          <w:sz w:val="24"/>
          <w:szCs w:val="24"/>
          <w:highlight w:val="none"/>
          <w:lang w:val="en-US" w:eastAsia="zh-CN"/>
        </w:rPr>
        <w:t>9</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绿地保洁要求无散落垃圾无堆积物、城市家具（花箱、公交站牌、交通护栏、垃圾桶箱等）要求每</w:t>
      </w:r>
      <w:r>
        <w:rPr>
          <w:rFonts w:hint="eastAsia" w:ascii="仿宋" w:hAnsi="仿宋" w:eastAsia="仿宋" w:cs="仿宋"/>
          <w:color w:val="auto"/>
          <w:sz w:val="24"/>
          <w:szCs w:val="24"/>
          <w:highlight w:val="none"/>
          <w:lang w:val="en-US" w:eastAsia="zh-CN"/>
        </w:rPr>
        <w:t>2天</w:t>
      </w:r>
      <w:r>
        <w:rPr>
          <w:rFonts w:hint="eastAsia" w:ascii="仿宋" w:hAnsi="仿宋" w:eastAsia="仿宋" w:cs="仿宋"/>
          <w:color w:val="auto"/>
          <w:sz w:val="24"/>
          <w:szCs w:val="24"/>
          <w:highlight w:val="none"/>
        </w:rPr>
        <w:t>保洁</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次以上，墙面、杆子等“牛皮癣”清理干净。</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cs="仿宋"/>
          <w:bCs/>
          <w:color w:val="auto"/>
          <w:sz w:val="24"/>
          <w:szCs w:val="24"/>
          <w:highlight w:val="none"/>
          <w:lang w:val="en-US" w:eastAsia="zh-CN"/>
        </w:rPr>
        <w:t>0</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作业时必须遵守交通管理法规，文明作业，出现意外事故情况，由承包者自行负责解决。</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cs="仿宋"/>
          <w:bCs/>
          <w:color w:val="auto"/>
          <w:sz w:val="24"/>
          <w:szCs w:val="24"/>
          <w:highlight w:val="none"/>
          <w:lang w:val="en-US" w:eastAsia="zh-CN"/>
        </w:rPr>
        <w:t>1</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lang w:eastAsia="zh-CN"/>
        </w:rPr>
        <w:t>保洁范围内</w:t>
      </w:r>
      <w:r>
        <w:rPr>
          <w:rFonts w:hint="eastAsia" w:ascii="仿宋" w:hAnsi="仿宋" w:eastAsia="仿宋" w:cs="仿宋"/>
          <w:color w:val="auto"/>
          <w:sz w:val="24"/>
          <w:szCs w:val="24"/>
          <w:highlight w:val="none"/>
        </w:rPr>
        <w:t>的堆积物清理、河道垃圾清运包含在本次招标范围内。</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、应急保障措施</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rPr>
        <w:t>应急保障服务承诺书</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（1）日常工作</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在日常管理工作中，所有工作人员实行上下班打卡制度。</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业主单位有紧急任务时，必须在接到通知后15分钟内，人员、机械到位。</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（2）重大节日、重大活动、自然灾害等</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遇有重大节日、重大活动、自然灾害等情况时，应立即成立应急小组，并承诺必须在接到通知后15分钟内，人员、机械到位。</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（3）当遇到紧急情况，在社会抢险、救灾时，必须无条件的响应政府有关部门的号召，积极的配合有关部门工作。</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rPr>
        <w:t>应急保障管理制度</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（1）制定重大活动、重要上级检查、工作量猛增、抗高温、抗台风、抗积雪各类应急预案，在必要时应启动应急预案。</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（2）人员配置：成立突发事件应急领导小组和应急保障队伍，按相关规定做好准备工作。</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（3）建立信息畅通、反应快捷的处理突发事件通讯网络，做好信息上下沟通，横向协调工作，确保及时反馈信息，及时了解突发事件的发展情况。</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（4）做好人员、车辆、设备、材料防护设施的保障。</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（5）根据突发事件的性质，在保洁公司领导的指挥下，安排突发事件小组人员随时采取可行的方法进行处理。日常工作中随时做好准备工作，并准备必须的应急设备，将突发事件的损失降低到最低限度。</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(6)遇有突发事件不要慌乱，组织到位，保障人身安全，确保工作环境安全可靠，电话24小时畅通，应急分队人员随叫随到，有专人负责。</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(7)接到通知后，调动突发事件小组成员备好车辆、工具、防护措施齐全，到达突发地点处理，在紧急情况下，可采取边报告边处理的办法，把问题降到最小程度。</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szCs w:val="24"/>
          <w:highlight w:val="none"/>
        </w:rPr>
        <w:t>突发事件、应急事件处理预案</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1、台风、暴雨应急处理程序</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（1）在每年的台风季来临前，做好相应的应急物资储备，确保各项应急物品的正常使用。</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（2）检查窨井、沙井、雨水井沟眼等，有无沙泥杂物堵塞，落实人员清扫，确保其畅通。</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（3）把散放在外围的垃圾桶放置在被风位置，并要放置重物予以固定。</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（4）通知沿街店面做好防风、防雨措施。</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（5）员工为本身之安全应避免逗留在空旷地方，如参加抢险工作时，要注意自身安全，采取适当的安全措施，并通知其他员工。</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（6）在台风讯号减低时，应及时进行检查及填报台风损毁报告，保洁员迅速清理由台风所造成的垃圾淤塞渠道。</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2、雪天应急处理程序</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（1）在冬季来临前必须储备足够的扫雪装备（竹扫把、铁锹等）。</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（2）车辆必须加强保养，特别要注意在低温天气时防止汽车无法启动。</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（3）机械推雪推不倒的路段，按质量要求安排人工及时清理积雪，先减少地面（存）雪量，再适量的是洒（撒）环保型融雪剂。</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（4）白天降雪、停雪时，要做到“2小时融通，4小时打透”的要求作业。夜间降雪、停雪时，各清扫作业单位保证在次日上午6点前完成全部除雪作业。</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（5）对于非机动车道上的积雪要清除出1/2—2/3的路面，供自行车通行，根据气温情况可将积雪堆放在向阳处自然蒸发或清运干净。</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（6）下雪后，在有绿地的地方可将没使用融雪剂处理的积雪撒入绿地，严禁将使用过的融雪剂处理的积雪撒入绿地；在没有绿地的地方可将积雪倒入污水井及工地。</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3、重大交通事故应急处理预案</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（1）发生重大交通事故时，保洁公司经理必须第一时间赶到现场。</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（2）在交通管理部分的处理完毕后并在民警配合下，方可进入现场，安排组织人员、车辆进行现场处理。</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（3）对有燃油泄漏的，作业时必须要注意安全，先使用沙或锯木沫等覆盖，然后再清扫和冲洗。</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（4）对有血迹的，必须要安排人员及时冲洗。</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（5）现场清理时必须要设置安全警示标志。</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4、道路抛洒的紧急处理</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（1）发生道路抛洒事故后必须要安排人员及时清理，在清理的过程中要向交警和城管执法部门报告。</w:t>
      </w:r>
    </w:p>
    <w:p>
      <w:pPr>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（2）及时安排车辆对马路进行冲洗，清扫的垃圾按规定处理，不得乱倒、乱丢。</w:t>
      </w:r>
    </w:p>
    <w:p>
      <w:pPr>
        <w:keepNext w:val="0"/>
        <w:keepLines w:val="0"/>
        <w:pageBreakBefore w:val="0"/>
        <w:kinsoku/>
        <w:wordWrap/>
        <w:overflowPunct/>
        <w:topLinePunct w:val="0"/>
        <w:bidi w:val="0"/>
        <w:adjustRightInd w:val="0"/>
        <w:spacing w:after="0" w:line="360" w:lineRule="auto"/>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lang w:eastAsia="zh-CN"/>
        </w:rPr>
        <w:t>关于区域内垃圾清运问题</w:t>
      </w:r>
    </w:p>
    <w:p>
      <w:pPr>
        <w:pStyle w:val="2"/>
        <w:keepNext w:val="0"/>
        <w:keepLines w:val="0"/>
        <w:pageBreakBefore w:val="0"/>
        <w:kinsoku/>
        <w:wordWrap/>
        <w:overflowPunct/>
        <w:topLinePunct w:val="0"/>
        <w:bidi w:val="0"/>
        <w:spacing w:after="0"/>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（1）由中标单位负责区域内的其他垃圾清运，办理相关手续，完成街道减量指标；</w:t>
      </w:r>
    </w:p>
    <w:p>
      <w:pPr>
        <w:pStyle w:val="2"/>
        <w:keepNext w:val="0"/>
        <w:keepLines w:val="0"/>
        <w:pageBreakBefore w:val="0"/>
        <w:kinsoku/>
        <w:wordWrap/>
        <w:overflowPunct/>
        <w:topLinePunct w:val="0"/>
        <w:bidi w:val="0"/>
        <w:spacing w:after="0"/>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（2）清运作业严格按照区相关部门的文明作业要求，清运车辆上路前及时将污水排空，杜绝车辆运输过程中出现抛、洒、漏等现象，确保车辆干净、整洁、文明运输；</w:t>
      </w:r>
    </w:p>
    <w:p>
      <w:pPr>
        <w:pStyle w:val="3"/>
        <w:keepNext w:val="0"/>
        <w:keepLines w:val="0"/>
        <w:pageBreakBefore w:val="0"/>
        <w:kinsoku/>
        <w:wordWrap/>
        <w:overflowPunct/>
        <w:topLinePunct w:val="0"/>
        <w:bidi w:val="0"/>
        <w:spacing w:after="0"/>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（3）收运价格由中标单位按市场原则自行协商定价，但不得高于周边市场行情价，对未按规定执行的，街道有权收回其清运权利，落实其他单位执行。</w:t>
      </w:r>
    </w:p>
    <w:p>
      <w:pPr>
        <w:keepNext w:val="0"/>
        <w:keepLines w:val="0"/>
        <w:pageBreakBefore w:val="0"/>
        <w:kinsoku/>
        <w:wordWrap/>
        <w:overflowPunct/>
        <w:topLinePunct w:val="0"/>
        <w:bidi w:val="0"/>
        <w:adjustRightInd w:val="0"/>
        <w:spacing w:after="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、其他</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（1）投标人所投标项的设备上不得投入其他标项或项目内使用，因设备故障或维修，经采购人同意，</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可更换同类型设备。</w:t>
      </w:r>
    </w:p>
    <w:p>
      <w:pPr>
        <w:keepNext w:val="0"/>
        <w:keepLines w:val="0"/>
        <w:pageBreakBefore w:val="0"/>
        <w:kinsoku/>
        <w:wordWrap/>
        <w:overflowPunct/>
        <w:topLinePunct w:val="0"/>
        <w:bidi w:val="0"/>
        <w:adjustRightInd w:val="0"/>
        <w:spacing w:after="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（2）中标单位项目负责人或现场管理员必须为本项目专职负责人，不得参与本标项外其他项目且在合同期内未经业主同意，中标单位不得更换项目负责人或现场管理员</w:t>
      </w:r>
      <w:r>
        <w:rPr>
          <w:rFonts w:hint="eastAsia" w:cs="仿宋"/>
          <w:color w:val="auto"/>
          <w:sz w:val="24"/>
          <w:szCs w:val="24"/>
          <w:highlight w:val="none"/>
          <w:lang w:eastAsia="zh-CN"/>
        </w:rPr>
        <w:t>，</w:t>
      </w:r>
      <w:r>
        <w:rPr>
          <w:rFonts w:hint="eastAsia" w:cs="仿宋"/>
          <w:color w:val="auto"/>
          <w:sz w:val="24"/>
          <w:szCs w:val="24"/>
          <w:highlight w:val="none"/>
          <w:lang w:val="en-US" w:eastAsia="zh-CN"/>
        </w:rPr>
        <w:t>为工作需要，中标人需准备一辆用于日常检查的四轮汽车，车辆要求以签订合同为准。</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（3）各投标人投标时需提供道路保洁时间段的人员和机械化作业排班明细。</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发包</w:t>
      </w:r>
      <w:r>
        <w:rPr>
          <w:rFonts w:hint="eastAsia" w:ascii="仿宋" w:hAnsi="仿宋" w:eastAsia="仿宋" w:cs="仿宋"/>
          <w:color w:val="auto"/>
          <w:sz w:val="24"/>
          <w:szCs w:val="24"/>
          <w:highlight w:val="none"/>
        </w:rPr>
        <w:t>方式：本次招标项目采用清扫保洁作业暂定总价承包，最终费用按实调整结算，中标单位不得将本项目分包、转包、内部经济承包及变相经济转承包，一经发现，采购人有权责令其停止作业并取消承包资格，作违约处理，并承担由此引起的法律责任及一切经济损失。</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（5）在服务期内中标单位能严格履行合同，如中标单位在服务期内违反合同约定，采购人有权提前终止合同，中标单位下年度不得参与投标。合同履行完毕后，在未找到</w:t>
      </w:r>
      <w:r>
        <w:rPr>
          <w:rFonts w:hint="eastAsia" w:ascii="仿宋" w:hAnsi="仿宋" w:eastAsia="仿宋" w:cs="仿宋"/>
          <w:color w:val="auto"/>
          <w:sz w:val="24"/>
          <w:szCs w:val="24"/>
          <w:highlight w:val="none"/>
          <w:lang w:val="en-US" w:eastAsia="zh-CN"/>
        </w:rPr>
        <w:t>下一家</w:t>
      </w:r>
      <w:r>
        <w:rPr>
          <w:rFonts w:hint="eastAsia" w:ascii="仿宋" w:hAnsi="仿宋" w:eastAsia="仿宋" w:cs="仿宋"/>
          <w:color w:val="auto"/>
          <w:sz w:val="24"/>
          <w:szCs w:val="24"/>
          <w:highlight w:val="none"/>
        </w:rPr>
        <w:t>保洁公司前，中标单位应延续</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具体按实际情况无条件服从业主要求，</w:t>
      </w:r>
      <w:r>
        <w:rPr>
          <w:rFonts w:hint="eastAsia" w:ascii="仿宋" w:hAnsi="仿宋" w:eastAsia="仿宋" w:cs="仿宋"/>
          <w:color w:val="auto"/>
          <w:sz w:val="24"/>
          <w:szCs w:val="24"/>
          <w:highlight w:val="none"/>
        </w:rPr>
        <w:t>费用按原合同签订的保洁费用标准和方式支付。合同期满后，妥善处理退场移交、人员安置，如果出现劳资纠纷，责任在中标单位。</w:t>
      </w:r>
    </w:p>
    <w:p>
      <w:pPr>
        <w:pStyle w:val="3"/>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（6）承包期内，因工作不力，未达到保洁作业</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质量要求的，由下列情况之一的，采购人有权终止协议，同时没收履约保证金：①两次及以上突击检查保洁工作做得不到位的，</w:t>
      </w:r>
      <w:r>
        <w:rPr>
          <w:rFonts w:hint="eastAsia" w:ascii="仿宋" w:hAnsi="仿宋" w:eastAsia="仿宋" w:cs="仿宋"/>
          <w:bCs/>
          <w:color w:val="auto"/>
          <w:sz w:val="24"/>
          <w:szCs w:val="24"/>
          <w:highlight w:val="none"/>
        </w:rPr>
        <w:t>限期整改未完成的</w:t>
      </w:r>
      <w:r>
        <w:rPr>
          <w:rFonts w:hint="eastAsia" w:ascii="仿宋" w:hAnsi="仿宋" w:eastAsia="仿宋" w:cs="仿宋"/>
          <w:color w:val="auto"/>
          <w:sz w:val="24"/>
          <w:szCs w:val="24"/>
          <w:highlight w:val="none"/>
        </w:rPr>
        <w:t>；②连续两个月在</w:t>
      </w:r>
      <w:r>
        <w:rPr>
          <w:rFonts w:hint="eastAsia" w:ascii="仿宋" w:hAnsi="仿宋" w:eastAsia="仿宋" w:cs="仿宋"/>
          <w:color w:val="auto"/>
          <w:sz w:val="24"/>
          <w:szCs w:val="24"/>
          <w:highlight w:val="none"/>
          <w:lang w:eastAsia="zh-CN"/>
        </w:rPr>
        <w:t>区长效管理考核专项</w:t>
      </w:r>
      <w:r>
        <w:rPr>
          <w:rFonts w:hint="eastAsia" w:ascii="仿宋" w:hAnsi="仿宋" w:eastAsia="仿宋" w:cs="仿宋"/>
          <w:color w:val="auto"/>
          <w:sz w:val="24"/>
          <w:szCs w:val="24"/>
          <w:highlight w:val="none"/>
        </w:rPr>
        <w:t>评比中排名后3位的；③连续两个月</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rPr>
        <w:t>萧山区洁化考核评比排名后3位的；</w:t>
      </w:r>
      <w:r>
        <w:rPr>
          <w:rFonts w:hint="eastAsia" w:ascii="仿宋" w:hAnsi="仿宋" w:eastAsia="仿宋" w:cs="仿宋"/>
          <w:color w:val="auto"/>
          <w:sz w:val="24"/>
          <w:szCs w:val="24"/>
          <w:highlight w:val="none"/>
        </w:rPr>
        <w:sym w:font="Wingdings" w:char="F084"/>
      </w:r>
      <w:r>
        <w:rPr>
          <w:rFonts w:hint="eastAsia" w:ascii="仿宋" w:hAnsi="仿宋" w:eastAsia="仿宋" w:cs="仿宋"/>
          <w:color w:val="auto"/>
          <w:sz w:val="24"/>
          <w:szCs w:val="24"/>
          <w:highlight w:val="none"/>
        </w:rPr>
        <w:t>社会各界反响强烈，对中标单位保洁满意度低于60%的；</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5 \* GB3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⑤</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t>车辆和人员配备未按招标文件足额配置，限期整改未完成的</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 6 \* GB3 \* MERGEFORMAT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⑥</w:t>
      </w:r>
      <w:r>
        <w:rPr>
          <w:rFonts w:hint="eastAsia" w:ascii="仿宋" w:hAnsi="仿宋" w:eastAsia="仿宋" w:cs="仿宋"/>
          <w:bCs/>
          <w:color w:val="auto"/>
          <w:sz w:val="24"/>
          <w:szCs w:val="24"/>
          <w:highlight w:val="none"/>
        </w:rPr>
        <w:fldChar w:fldCharType="end"/>
      </w:r>
      <w:r>
        <w:rPr>
          <w:rFonts w:hint="eastAsia" w:ascii="仿宋" w:hAnsi="仿宋" w:eastAsia="仿宋" w:cs="仿宋"/>
          <w:bCs/>
          <w:color w:val="auto"/>
          <w:sz w:val="24"/>
          <w:szCs w:val="24"/>
          <w:highlight w:val="none"/>
          <w:lang w:eastAsia="zh-CN"/>
        </w:rPr>
        <w:t>其他情况，经街道班子会议讨论，综合考虑后需要解除协议的。</w:t>
      </w:r>
    </w:p>
    <w:p>
      <w:pPr>
        <w:keepNext w:val="0"/>
        <w:keepLines w:val="0"/>
        <w:pageBreakBefore w:val="0"/>
        <w:kinsoku/>
        <w:wordWrap/>
        <w:overflowPunct/>
        <w:topLinePunct w:val="0"/>
        <w:bidi w:val="0"/>
        <w:adjustRightInd w:val="0"/>
        <w:snapToGrid w:val="0"/>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（7）投标单位所提供的相关资料必须真实可靠，如有弄虚作假情况，一经查实，取消该投标单位中标资格，并承担由此对发包方产生的经济损失。</w:t>
      </w:r>
    </w:p>
    <w:p>
      <w:pPr>
        <w:keepNext w:val="0"/>
        <w:keepLines w:val="0"/>
        <w:pageBreakBefore w:val="0"/>
        <w:kinsoku/>
        <w:wordWrap/>
        <w:overflowPunct/>
        <w:topLinePunct w:val="0"/>
        <w:bidi w:val="0"/>
        <w:adjustRightInd w:val="0"/>
        <w:snapToGrid w:val="0"/>
        <w:spacing w:after="0" w:line="360" w:lineRule="auto"/>
        <w:ind w:firstLine="480" w:firstLineChars="200"/>
        <w:jc w:val="left"/>
        <w:rPr>
          <w:rFonts w:hint="eastAsia" w:ascii="仿宋" w:hAnsi="仿宋" w:eastAsia="仿宋" w:cs="仿宋"/>
          <w:bCs/>
          <w:color w:val="auto"/>
          <w:sz w:val="24"/>
          <w:szCs w:val="24"/>
          <w:highlight w:val="none"/>
        </w:rPr>
      </w:pPr>
      <w:r>
        <w:rPr>
          <w:rFonts w:hint="eastAsia" w:cs="仿宋"/>
          <w:bCs/>
          <w:color w:val="auto"/>
          <w:sz w:val="24"/>
          <w:szCs w:val="24"/>
          <w:highlight w:val="none"/>
          <w:lang w:eastAsia="zh-CN"/>
        </w:rPr>
        <w:t>（</w:t>
      </w:r>
      <w:r>
        <w:rPr>
          <w:rFonts w:hint="eastAsia" w:cs="仿宋"/>
          <w:bCs/>
          <w:color w:val="auto"/>
          <w:sz w:val="24"/>
          <w:szCs w:val="24"/>
          <w:highlight w:val="none"/>
          <w:lang w:val="en-US" w:eastAsia="zh-CN"/>
        </w:rPr>
        <w:t>8</w:t>
      </w:r>
      <w:r>
        <w:rPr>
          <w:rFonts w:hint="eastAsia" w:cs="仿宋"/>
          <w:bCs/>
          <w:color w:val="auto"/>
          <w:sz w:val="24"/>
          <w:szCs w:val="24"/>
          <w:highlight w:val="none"/>
          <w:lang w:eastAsia="zh-CN"/>
        </w:rPr>
        <w:t>）</w:t>
      </w:r>
      <w:r>
        <w:rPr>
          <w:rFonts w:hint="eastAsia" w:ascii="仿宋" w:hAnsi="仿宋" w:eastAsia="仿宋" w:cs="仿宋"/>
          <w:bCs/>
          <w:color w:val="auto"/>
          <w:sz w:val="24"/>
          <w:szCs w:val="24"/>
          <w:highlight w:val="none"/>
        </w:rPr>
        <w:t>投标单位新能源或清洁能源车辆须达到车辆总数30%以上；若现有车辆数量达不到30%要求，需提供年度车辆采购计划，计划中新增或更新车辆必须为新能源或清洁能源车辆。</w:t>
      </w:r>
    </w:p>
    <w:p>
      <w:pPr>
        <w:keepNext w:val="0"/>
        <w:keepLines w:val="0"/>
        <w:pageBreakBefore w:val="0"/>
        <w:kinsoku/>
        <w:wordWrap/>
        <w:overflowPunct/>
        <w:topLinePunct w:val="0"/>
        <w:bidi w:val="0"/>
        <w:adjustRightInd w:val="0"/>
        <w:spacing w:after="0" w:line="360" w:lineRule="auto"/>
        <w:ind w:firstLine="482" w:firstLineChars="200"/>
        <w:rPr>
          <w:rFonts w:hint="eastAsia" w:ascii="仿宋" w:hAnsi="仿宋" w:eastAsia="仿宋" w:cs="仿宋"/>
          <w:b/>
          <w:color w:val="auto"/>
          <w:sz w:val="24"/>
          <w:szCs w:val="24"/>
          <w:highlight w:val="none"/>
        </w:rPr>
      </w:pPr>
      <w:r>
        <w:rPr>
          <w:rFonts w:hint="eastAsia" w:cs="仿宋"/>
          <w:b/>
          <w:color w:val="auto"/>
          <w:sz w:val="24"/>
          <w:szCs w:val="24"/>
          <w:highlight w:val="none"/>
          <w:lang w:val="en-US" w:eastAsia="zh-CN"/>
        </w:rPr>
        <w:t>三</w:t>
      </w:r>
      <w:r>
        <w:rPr>
          <w:rFonts w:hint="eastAsia" w:ascii="仿宋" w:hAnsi="仿宋" w:eastAsia="仿宋" w:cs="仿宋"/>
          <w:b/>
          <w:color w:val="auto"/>
          <w:sz w:val="24"/>
          <w:szCs w:val="24"/>
          <w:highlight w:val="none"/>
        </w:rPr>
        <w:t>、绿化</w:t>
      </w:r>
      <w:r>
        <w:rPr>
          <w:rFonts w:hint="eastAsia" w:ascii="仿宋" w:hAnsi="仿宋" w:eastAsia="仿宋" w:cs="仿宋"/>
          <w:b/>
          <w:color w:val="auto"/>
          <w:sz w:val="24"/>
          <w:szCs w:val="24"/>
          <w:highlight w:val="none"/>
          <w:lang w:eastAsia="zh-CN"/>
        </w:rPr>
        <w:t>管养</w:t>
      </w:r>
      <w:r>
        <w:rPr>
          <w:rFonts w:hint="eastAsia" w:ascii="仿宋" w:hAnsi="仿宋" w:eastAsia="仿宋" w:cs="仿宋"/>
          <w:b/>
          <w:color w:val="auto"/>
          <w:sz w:val="24"/>
          <w:szCs w:val="24"/>
          <w:highlight w:val="none"/>
        </w:rPr>
        <w:t>要求及标准</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质量标准与</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要求</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养护标准为：</w:t>
      </w:r>
      <w:r>
        <w:rPr>
          <w:rFonts w:hint="eastAsia" w:ascii="仿宋" w:hAnsi="仿宋" w:eastAsia="仿宋" w:cs="仿宋"/>
          <w:color w:val="auto"/>
          <w:sz w:val="24"/>
          <w:szCs w:val="24"/>
          <w:highlight w:val="none"/>
        </w:rPr>
        <w:t>重点</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区达到</w:t>
      </w:r>
      <w:r>
        <w:rPr>
          <w:rFonts w:hint="eastAsia" w:ascii="仿宋" w:hAnsi="仿宋" w:eastAsia="仿宋" w:cs="仿宋"/>
          <w:color w:val="auto"/>
          <w:sz w:val="24"/>
          <w:szCs w:val="24"/>
          <w:highlight w:val="none"/>
          <w:lang w:val="en-US" w:eastAsia="zh-CN"/>
        </w:rPr>
        <w:t>主管部门要求</w:t>
      </w:r>
      <w:r>
        <w:rPr>
          <w:rFonts w:hint="eastAsia" w:ascii="仿宋" w:hAnsi="仿宋" w:eastAsia="仿宋" w:cs="仿宋"/>
          <w:color w:val="auto"/>
          <w:sz w:val="24"/>
          <w:szCs w:val="24"/>
          <w:highlight w:val="none"/>
        </w:rPr>
        <w:t>中一级</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标准与采购人要求；其他</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区达到二级及以上</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标准与采购人要求）。并做到：</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区域内的林木（苗木）、草坪、时花等在</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期内应确保达到98%以上成活率，时花应保持良好观赏性，并按采购人要求更换。</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（2）绿地内各类地被植物覆盖完好，覆盖率达到100%，植株缺损必须在5天内补种，补种苗木的品种和原苗木相同，日常做好杂草的清除工作，保证</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范围内的美观和平整，服务期内做好补种苗木的</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工作，涉及的一切费用由</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承担。</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（3）乔灌木的修剪按</w:t>
      </w:r>
      <w:r>
        <w:rPr>
          <w:rFonts w:hint="eastAsia" w:ascii="仿宋" w:hAnsi="仿宋" w:eastAsia="仿宋" w:cs="仿宋"/>
          <w:color w:val="auto"/>
          <w:sz w:val="24"/>
          <w:szCs w:val="24"/>
          <w:highlight w:val="none"/>
          <w:lang w:val="en-US" w:eastAsia="zh-CN"/>
        </w:rPr>
        <w:t>主管部门要求</w:t>
      </w:r>
      <w:r>
        <w:rPr>
          <w:rFonts w:hint="eastAsia" w:ascii="仿宋" w:hAnsi="仿宋" w:eastAsia="仿宋" w:cs="仿宋"/>
          <w:color w:val="auto"/>
          <w:sz w:val="24"/>
          <w:szCs w:val="24"/>
          <w:highlight w:val="none"/>
        </w:rPr>
        <w:t>进行操作，香樟等乔木或大型花灌木冬季必须刷白，及时防治病虫害，发现枯枝、死枝必须24小时内处理完毕；对花灌木应随时修剪，球型灌木应常年保持形态完整，色块灌木应控制高度及宽度，色块之间界限分明、线条清晰流畅，无缺株、无空洞。对枯死的树木应连同根部在24小时内挖除，并在5天内补种完毕，补种苗木的规格、品种和原来苗木基本相同，特殊情况无法补种原规格苗木的，需经采购人同意后，另行补种。</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草坪随时修剪，草坪草高度不超过8cm（常绿草高度不超过6cm），树木周围和草坪边缘应及时切边。常绿草四季应保持绿色，草坪纯洁度在98%以上，无空秃、黄化现象。对被人为损坏和已发生病害的常绿草坪5天内切除调换，补种时确保草坪的美观和平整。</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（5）植保员应每天检查绿地病虫害发生情况，发现病虫害应在2天内治理完毕，并做好病虫害防治工作台帐。要求园林植物常年无明显病虫害（重点</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区要求食叶性害虫危害的叶片每株小于5%，刺吸性害虫危害的叶片每株小于10%，并要求做到无蛀干性害虫的危害）。</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做好绿地保洁工作，树木修剪、滚草、枯死枝及白色污染物等绿地的垃圾定时清理，滞留绿地时间不超过2天（重点</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区要求每天巡查，垃圾当天清理，保证</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区设施与卫生完好、无损、整洁）。</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（7）所有植物一年不少于四次施肥（视实际需要合理增加频次），肥料为复合肥或饼肥，施肥时间应定于行人稀少的时间段，并通知甲方，以甲方验收为准，</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应按合同约定进行施肥、沤肥不得造成绿化景观和周边污染。</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（8）所有植物根据天气及实际需求，合理安排浇水及遮阳工作。</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（9）建立日常巡查制度，巡查人员对所</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的绿地每2天巡查不少于一次（重点</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区要求每天巡查不少于一次），发现问题时应及时整改。建立</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管理工作台账（台帐应明确人员、机械、气候等内容），并建立</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工作日报、月报与年报制度，健全</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档案制度。</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2、抗灾应急等要求：</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（1）制定灾害性天气应急预案，建立应急救灾队伍，将应急预案和人员名单上报甲方备案。</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（2）建立应急备货制，备货的内容有：（1）抗旱、防汛、抗台、抗寒、抗雪等物资（钢管、毛竹、水泵等）；（2）容器苗木，主要是夏季易干枯的灌木品种。</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（3）遇灾害性天气，听从甲方统一指挥，及时组织人员夏季抗旱浇水、防台护绿，冬季防雪保绿等工作措施。遇到树木斜倒时，根据甲方要求，做好清障扶正工作。</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（4）遇灾害性天气，应及时组织人员进行应急工作。</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（5）做好防台树木支撑工作，在市气象台发出台风预警信号以后，立即做好树木支撑工作，要求无断桩、坏桩，具体要求参照《杭州市城区绿化防台树木支撑工作方案》及采购人要求执行。</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3、安全防范：</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（1）在从事喷洒农药、控制有害生物、修剪树木、清理园区、防台防汛等工作时应自行采取相应的安全防护措施。除双方另有约定外,安全防护费用由</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自行承担。</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土壤进行消毒或防治病虫害时,应使用符合环保要求的药剂,不得使用国家禁止使用的剧毒、高残留或可能造成其它公害的药剂。残留药剂和容器,乙方应按规定妥善收集和处理。乙方未按规定使用药剂,造成的责任由乙方自行承担。</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5、其他要求：</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rPr>
        <w:t>不得随意更改绿地性质和植物品种，如确需更改的应报经采购人同意。</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（2）施工现场用水、用电、施工便道等由中标单位自行解决，费用自理。</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6、采购人将严格按上述要求，对</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定期不定期的进行检查与考核，如发现</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未能按上述要求执行的，作违约处理，由承包人承担由此造成的一切经济损失与法律责任。采购人另将视情节轻重，对</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按考核细则等酌情扣减</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费用，直至取消合同并全额扣除履约保证金。</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期间如遇国家征迁、建设用地等需要，或其它不可预见等原因须收回绿地的，采购人可根据实际绿地</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面积，结合中标单价，调整</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费用，按实计算。</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8、投标人根据此次招标范围自行踏勘现场，</w:t>
      </w:r>
      <w:r>
        <w:rPr>
          <w:rFonts w:hint="eastAsia" w:ascii="仿宋" w:hAnsi="仿宋" w:eastAsia="仿宋" w:cs="仿宋"/>
          <w:color w:val="auto"/>
          <w:sz w:val="24"/>
          <w:szCs w:val="24"/>
          <w:highlight w:val="none"/>
          <w:lang w:val="en-US" w:eastAsia="zh-CN"/>
        </w:rPr>
        <w:t>如实际管养区域有调整按一次性包干</w:t>
      </w:r>
      <w:r>
        <w:rPr>
          <w:rFonts w:hint="eastAsia" w:ascii="仿宋" w:hAnsi="仿宋" w:eastAsia="仿宋" w:cs="仿宋"/>
          <w:color w:val="auto"/>
          <w:sz w:val="24"/>
          <w:szCs w:val="24"/>
          <w:highlight w:val="none"/>
        </w:rPr>
        <w:t>，费用已包含在本次招标</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费用中。</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9、绿化</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人员：各投标人根据采购需求自行配备。</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（二）安全文明施工要求</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1、必须严格遵守安全文明施工的操作规程，完善相关措施，做好自身的保险工作。</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2、本项目凡涉及治安、市政、市容、环保、交通、计划生育、所在地村民关系协调等发生的问题和费用均由</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负责解决并承担经济支出。</w:t>
      </w:r>
    </w:p>
    <w:p>
      <w:pPr>
        <w:keepNext w:val="0"/>
        <w:keepLines w:val="0"/>
        <w:pageBreakBefore w:val="0"/>
        <w:kinsoku/>
        <w:wordWrap/>
        <w:overflowPunct/>
        <w:topLinePunct w:val="0"/>
        <w:bidi w:val="0"/>
        <w:adjustRightInd w:val="0"/>
        <w:spacing w:after="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2、商务需求</w:t>
      </w:r>
    </w:p>
    <w:p>
      <w:pPr>
        <w:keepNext w:val="0"/>
        <w:keepLines w:val="0"/>
        <w:pageBreakBefore w:val="0"/>
        <w:kinsoku/>
        <w:wordWrap/>
        <w:overflowPunct/>
        <w:topLinePunct w:val="0"/>
        <w:bidi w:val="0"/>
        <w:adjustRightInd w:val="0"/>
        <w:spacing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▲2.1服务期：</w:t>
      </w:r>
      <w:r>
        <w:rPr>
          <w:rFonts w:hint="eastAsia" w:ascii="仿宋" w:hAnsi="仿宋" w:eastAsia="仿宋" w:cs="仿宋"/>
          <w:color w:val="auto"/>
          <w:sz w:val="24"/>
          <w:szCs w:val="24"/>
          <w:highlight w:val="none"/>
        </w:rPr>
        <w:t>2年，服务期限从2022年</w:t>
      </w:r>
      <w:r>
        <w:rPr>
          <w:rFonts w:hint="eastAsia" w:cs="仿宋"/>
          <w:color w:val="auto"/>
          <w:sz w:val="24"/>
          <w:szCs w:val="24"/>
          <w:highlight w:val="none"/>
          <w:lang w:val="en-US" w:eastAsia="zh-CN"/>
        </w:rPr>
        <w:t>10</w:t>
      </w:r>
      <w:r>
        <w:rPr>
          <w:rFonts w:hint="eastAsia" w:ascii="仿宋" w:hAnsi="仿宋" w:eastAsia="仿宋" w:cs="仿宋"/>
          <w:color w:val="auto"/>
          <w:sz w:val="24"/>
          <w:szCs w:val="24"/>
          <w:highlight w:val="none"/>
        </w:rPr>
        <w:t>月至 2024年</w:t>
      </w:r>
      <w:r>
        <w:rPr>
          <w:rFonts w:hint="eastAsia" w:cs="仿宋"/>
          <w:color w:val="auto"/>
          <w:sz w:val="24"/>
          <w:szCs w:val="24"/>
          <w:highlight w:val="none"/>
          <w:lang w:val="en-US" w:eastAsia="zh-CN"/>
        </w:rPr>
        <w:t>9</w:t>
      </w:r>
      <w:r>
        <w:rPr>
          <w:rFonts w:hint="eastAsia" w:ascii="仿宋" w:hAnsi="仿宋" w:eastAsia="仿宋" w:cs="仿宋"/>
          <w:color w:val="auto"/>
          <w:sz w:val="24"/>
          <w:szCs w:val="24"/>
          <w:highlight w:val="none"/>
        </w:rPr>
        <w:t>月（具体起止日期从合同签订之日起算）。在服务期内</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必须严格履行合同，如</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在服务期内违反合同约定，经考核不合格，采购单位有权提前终止合同。合同期满后，妥善处理退场移交、人员安置，如果出现劳资纠纷，责任在中标单位，与采购单位无关。</w:t>
      </w:r>
    </w:p>
    <w:p>
      <w:pPr>
        <w:keepNext w:val="0"/>
        <w:keepLines w:val="0"/>
        <w:pageBreakBefore w:val="0"/>
        <w:kinsoku/>
        <w:wordWrap/>
        <w:overflowPunct/>
        <w:topLinePunct w:val="0"/>
        <w:bidi w:val="0"/>
        <w:adjustRightInd w:val="0"/>
        <w:spacing w:after="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2.2服务质量承诺</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（1）为确保服务质量及与采购人沟通联络，</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须设置专职主管，负责对承包项目、范围、服务质量的检查监督及与采购人日常业务联系；</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需提供员工管理服务规范要求及确保服务质量达标的具体措施；</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需向采购人提供服务承诺；</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须主动接受采购人的指导、检查、监督及协调；</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（5）现有服务范围内，由于调整而增加的工作量，不再增加费用。</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r>
        <w:rPr>
          <w:rFonts w:hint="eastAsia" w:ascii="仿宋" w:hAnsi="仿宋" w:eastAsia="仿宋" w:cs="仿宋"/>
          <w:color w:val="auto"/>
          <w:kern w:val="0"/>
          <w:sz w:val="24"/>
          <w:szCs w:val="24"/>
          <w:highlight w:val="none"/>
        </w:rPr>
        <w:t>承包方式：包工包料</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2.4本项目投标人一旦中标，不得分包转包，一经发现</w:t>
      </w:r>
      <w:r>
        <w:rPr>
          <w:rFonts w:hint="eastAsia" w:ascii="仿宋" w:hAnsi="仿宋" w:eastAsia="仿宋" w:cs="仿宋"/>
          <w:color w:val="auto"/>
          <w:kern w:val="0"/>
          <w:sz w:val="24"/>
          <w:szCs w:val="24"/>
          <w:highlight w:val="none"/>
          <w:lang w:eastAsia="zh-CN"/>
        </w:rPr>
        <w:t>中标单位</w:t>
      </w:r>
      <w:r>
        <w:rPr>
          <w:rFonts w:hint="eastAsia" w:ascii="仿宋" w:hAnsi="仿宋" w:eastAsia="仿宋" w:cs="仿宋"/>
          <w:color w:val="auto"/>
          <w:kern w:val="0"/>
          <w:sz w:val="24"/>
          <w:szCs w:val="24"/>
          <w:highlight w:val="none"/>
        </w:rPr>
        <w:t>存在分包转包的行为，本项目合同立即自动中止，同时采购人有权没收投标单位履约保证金。</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▲2.5付款方式</w:t>
      </w:r>
    </w:p>
    <w:p>
      <w:pPr>
        <w:keepNext w:val="0"/>
        <w:keepLines w:val="0"/>
        <w:pageBreakBefore w:val="0"/>
        <w:kinsoku/>
        <w:wordWrap/>
        <w:overflowPunct/>
        <w:topLinePunct w:val="0"/>
        <w:bidi w:val="0"/>
        <w:adjustRightIn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w:t>
      </w:r>
      <w:r>
        <w:rPr>
          <w:rFonts w:hint="eastAsia" w:ascii="仿宋" w:hAnsi="仿宋" w:eastAsia="仿宋" w:cs="仿宋"/>
          <w:color w:val="auto"/>
          <w:sz w:val="24"/>
          <w:szCs w:val="24"/>
          <w:highlight w:val="none"/>
          <w:lang w:val="en-US" w:eastAsia="zh-CN"/>
        </w:rPr>
        <w:t>后七个工作日内</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缴纳年度金额的</w:t>
      </w: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rPr>
        <w:t>%履约保证金后，每</w:t>
      </w:r>
      <w:r>
        <w:rPr>
          <w:rFonts w:hint="eastAsia" w:ascii="仿宋" w:hAnsi="仿宋" w:eastAsia="仿宋" w:cs="仿宋"/>
          <w:color w:val="auto"/>
          <w:sz w:val="24"/>
          <w:szCs w:val="24"/>
          <w:highlight w:val="none"/>
          <w:lang w:val="en-US" w:eastAsia="zh-CN"/>
        </w:rPr>
        <w:t>季度</w:t>
      </w:r>
      <w:r>
        <w:rPr>
          <w:rFonts w:hint="eastAsia" w:ascii="仿宋" w:hAnsi="仿宋" w:eastAsia="仿宋" w:cs="仿宋"/>
          <w:color w:val="auto"/>
          <w:sz w:val="24"/>
          <w:szCs w:val="24"/>
          <w:highlight w:val="none"/>
        </w:rPr>
        <w:t>支付一次（支付金额为年合同总价的25%并根据考核结果扣除相应费用）。</w:t>
      </w:r>
    </w:p>
    <w:p>
      <w:pPr>
        <w:rPr>
          <w:color w:val="auto"/>
          <w:highlight w:val="none"/>
        </w:rPr>
      </w:pPr>
    </w:p>
    <w:p>
      <w:pPr>
        <w:pStyle w:val="2"/>
        <w:rPr>
          <w:color w:val="auto"/>
          <w:highlight w:val="none"/>
        </w:rPr>
      </w:pPr>
    </w:p>
    <w:p>
      <w:pPr>
        <w:pStyle w:val="6"/>
        <w:numPr>
          <w:ilvl w:val="2"/>
          <w:numId w:val="0"/>
        </w:numPr>
        <w:spacing w:before="0" w:after="0" w:line="24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附件1：高教园区道路及其他保洁范围</w:t>
      </w:r>
    </w:p>
    <w:tbl>
      <w:tblPr>
        <w:tblStyle w:val="22"/>
        <w:tblW w:w="8978"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74"/>
        <w:gridCol w:w="507"/>
        <w:gridCol w:w="1240"/>
        <w:gridCol w:w="654"/>
        <w:gridCol w:w="654"/>
        <w:gridCol w:w="812"/>
        <w:gridCol w:w="767"/>
        <w:gridCol w:w="1207"/>
        <w:gridCol w:w="857"/>
        <w:gridCol w:w="824"/>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8" w:hRule="atLeast"/>
        </w:trPr>
        <w:tc>
          <w:tcPr>
            <w:tcW w:w="474"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507"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科目</w:t>
            </w:r>
          </w:p>
        </w:tc>
        <w:tc>
          <w:tcPr>
            <w:tcW w:w="1240"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道路名称</w:t>
            </w:r>
          </w:p>
        </w:tc>
        <w:tc>
          <w:tcPr>
            <w:tcW w:w="2887" w:type="dxa"/>
            <w:gridSpan w:val="4"/>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道路</w:t>
            </w:r>
          </w:p>
        </w:tc>
        <w:tc>
          <w:tcPr>
            <w:tcW w:w="2064" w:type="dxa"/>
            <w:gridSpan w:val="2"/>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绿化带</w:t>
            </w:r>
          </w:p>
        </w:tc>
        <w:tc>
          <w:tcPr>
            <w:tcW w:w="824"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总面积</w:t>
            </w:r>
            <w:r>
              <w:rPr>
                <w:rFonts w:hint="eastAsia" w:ascii="仿宋" w:hAnsi="仿宋" w:eastAsia="仿宋" w:cs="仿宋"/>
                <w:b/>
                <w:bCs/>
                <w:i w:val="0"/>
                <w:iCs w:val="0"/>
                <w:color w:val="auto"/>
                <w:kern w:val="0"/>
                <w:sz w:val="21"/>
                <w:szCs w:val="21"/>
                <w:highlight w:val="none"/>
                <w:u w:val="none"/>
                <w:lang w:val="en-US" w:eastAsia="zh-CN" w:bidi="ar"/>
              </w:rPr>
              <w:br w:type="textWrapping"/>
            </w:r>
            <w:r>
              <w:rPr>
                <w:rFonts w:hint="eastAsia" w:ascii="仿宋" w:hAnsi="仿宋" w:eastAsia="仿宋" w:cs="仿宋"/>
                <w:b/>
                <w:bCs/>
                <w:i w:val="0"/>
                <w:iCs w:val="0"/>
                <w:color w:val="auto"/>
                <w:kern w:val="0"/>
                <w:sz w:val="21"/>
                <w:szCs w:val="21"/>
                <w:highlight w:val="none"/>
                <w:u w:val="none"/>
                <w:lang w:val="en-US" w:eastAsia="zh-CN" w:bidi="ar"/>
              </w:rPr>
              <w:t>（m²）</w:t>
            </w:r>
          </w:p>
        </w:tc>
        <w:tc>
          <w:tcPr>
            <w:tcW w:w="982"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44" w:hRule="atLeast"/>
        </w:trPr>
        <w:tc>
          <w:tcPr>
            <w:tcW w:w="474"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b/>
                <w:bCs/>
                <w:i w:val="0"/>
                <w:iCs w:val="0"/>
                <w:color w:val="auto"/>
                <w:sz w:val="21"/>
                <w:szCs w:val="21"/>
                <w:highlight w:val="none"/>
                <w:u w:val="none"/>
              </w:rPr>
            </w:pPr>
          </w:p>
        </w:tc>
        <w:tc>
          <w:tcPr>
            <w:tcW w:w="507"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b/>
                <w:bCs/>
                <w:i w:val="0"/>
                <w:iCs w:val="0"/>
                <w:color w:val="auto"/>
                <w:sz w:val="21"/>
                <w:szCs w:val="21"/>
                <w:highlight w:val="none"/>
                <w:u w:val="none"/>
              </w:rPr>
            </w:pPr>
          </w:p>
        </w:tc>
        <w:tc>
          <w:tcPr>
            <w:tcW w:w="124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b/>
                <w:bCs/>
                <w:i w:val="0"/>
                <w:iCs w:val="0"/>
                <w:color w:val="auto"/>
                <w:sz w:val="21"/>
                <w:szCs w:val="21"/>
                <w:highlight w:val="none"/>
                <w:u w:val="none"/>
              </w:rPr>
            </w:pPr>
          </w:p>
        </w:tc>
        <w:tc>
          <w:tcPr>
            <w:tcW w:w="65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长度（米）</w:t>
            </w:r>
          </w:p>
        </w:tc>
        <w:tc>
          <w:tcPr>
            <w:tcW w:w="65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宽度（米）</w:t>
            </w:r>
          </w:p>
        </w:tc>
        <w:tc>
          <w:tcPr>
            <w:tcW w:w="81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道路总面积</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（m²）</w:t>
            </w:r>
          </w:p>
        </w:tc>
        <w:tc>
          <w:tcPr>
            <w:tcW w:w="76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道路保洁面积</w:t>
            </w:r>
          </w:p>
        </w:tc>
        <w:tc>
          <w:tcPr>
            <w:tcW w:w="120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其中道路人行道、机动车道等绿化面积</w:t>
            </w:r>
          </w:p>
        </w:tc>
        <w:tc>
          <w:tcPr>
            <w:tcW w:w="85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绿色保洁总面积（m²）</w:t>
            </w:r>
          </w:p>
        </w:tc>
        <w:tc>
          <w:tcPr>
            <w:tcW w:w="824"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b/>
                <w:bCs/>
                <w:i w:val="0"/>
                <w:iCs w:val="0"/>
                <w:color w:val="auto"/>
                <w:sz w:val="21"/>
                <w:szCs w:val="21"/>
                <w:highlight w:val="none"/>
                <w:u w:val="none"/>
              </w:rPr>
            </w:pPr>
          </w:p>
        </w:tc>
        <w:tc>
          <w:tcPr>
            <w:tcW w:w="982"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b/>
                <w:bCs/>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4" w:hRule="atLeast"/>
        </w:trPr>
        <w:tc>
          <w:tcPr>
            <w:tcW w:w="47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507"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道路保洁</w:t>
            </w:r>
          </w:p>
        </w:tc>
        <w:tc>
          <w:tcPr>
            <w:tcW w:w="124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水博大道(耕文路至水博园）</w:t>
            </w:r>
          </w:p>
        </w:tc>
        <w:tc>
          <w:tcPr>
            <w:tcW w:w="65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794.258</w:t>
            </w:r>
          </w:p>
        </w:tc>
        <w:tc>
          <w:tcPr>
            <w:tcW w:w="65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81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14632.74</w:t>
            </w:r>
          </w:p>
        </w:tc>
        <w:tc>
          <w:tcPr>
            <w:tcW w:w="76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14632.74</w:t>
            </w:r>
          </w:p>
        </w:tc>
        <w:tc>
          <w:tcPr>
            <w:tcW w:w="120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c>
          <w:tcPr>
            <w:tcW w:w="85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575.00</w:t>
            </w:r>
          </w:p>
        </w:tc>
        <w:tc>
          <w:tcPr>
            <w:tcW w:w="82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15207.74</w:t>
            </w:r>
          </w:p>
        </w:tc>
        <w:tc>
          <w:tcPr>
            <w:tcW w:w="982"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一类道路（</w:t>
            </w:r>
            <w:r>
              <w:rPr>
                <w:rFonts w:hint="eastAsia" w:cs="仿宋"/>
                <w:i w:val="0"/>
                <w:iCs w:val="0"/>
                <w:color w:val="auto"/>
                <w:kern w:val="0"/>
                <w:sz w:val="21"/>
                <w:szCs w:val="21"/>
                <w:highlight w:val="none"/>
                <w:u w:val="none"/>
                <w:lang w:val="en-US" w:eastAsia="zh-CN" w:bidi="ar"/>
              </w:rPr>
              <w:t>18</w:t>
            </w:r>
            <w:r>
              <w:rPr>
                <w:rFonts w:hint="eastAsia" w:ascii="仿宋" w:hAnsi="仿宋" w:eastAsia="仿宋" w:cs="仿宋"/>
                <w:i w:val="0"/>
                <w:iCs w:val="0"/>
                <w:color w:val="auto"/>
                <w:kern w:val="0"/>
                <w:sz w:val="21"/>
                <w:szCs w:val="21"/>
                <w:highlight w:val="none"/>
                <w:u w:val="none"/>
                <w:lang w:val="en-US" w:eastAsia="zh-CN" w:bidi="ar"/>
              </w:rPr>
              <w:t>小时保洁,要求日洒水5次，日机扫3次，周道路清洗2次，日雾炮4次</w:t>
            </w:r>
            <w:r>
              <w:rPr>
                <w:rFonts w:hint="eastAsia" w:cs="仿宋"/>
                <w:i w:val="0"/>
                <w:iCs w:val="0"/>
                <w:color w:val="auto"/>
                <w:kern w:val="0"/>
                <w:sz w:val="21"/>
                <w:szCs w:val="21"/>
                <w:highlight w:val="none"/>
                <w:u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每日普扫不少于3次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4" w:hRule="atLeast"/>
        </w:trPr>
        <w:tc>
          <w:tcPr>
            <w:tcW w:w="47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507"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c>
          <w:tcPr>
            <w:tcW w:w="124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耕文路（学知路至滨江一路）</w:t>
            </w:r>
          </w:p>
        </w:tc>
        <w:tc>
          <w:tcPr>
            <w:tcW w:w="65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2969.31</w:t>
            </w:r>
          </w:p>
        </w:tc>
        <w:tc>
          <w:tcPr>
            <w:tcW w:w="65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43</w:t>
            </w:r>
          </w:p>
        </w:tc>
        <w:tc>
          <w:tcPr>
            <w:tcW w:w="81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127456.32</w:t>
            </w:r>
          </w:p>
        </w:tc>
        <w:tc>
          <w:tcPr>
            <w:tcW w:w="76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115688.09</w:t>
            </w:r>
          </w:p>
        </w:tc>
        <w:tc>
          <w:tcPr>
            <w:tcW w:w="120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11768.23</w:t>
            </w:r>
          </w:p>
        </w:tc>
        <w:tc>
          <w:tcPr>
            <w:tcW w:w="85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27442.18</w:t>
            </w:r>
          </w:p>
        </w:tc>
        <w:tc>
          <w:tcPr>
            <w:tcW w:w="82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154898.50</w:t>
            </w:r>
          </w:p>
        </w:tc>
        <w:tc>
          <w:tcPr>
            <w:tcW w:w="982"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4" w:hRule="atLeast"/>
        </w:trPr>
        <w:tc>
          <w:tcPr>
            <w:tcW w:w="47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507"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c>
          <w:tcPr>
            <w:tcW w:w="124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学知路（弘慧路至长山直河）</w:t>
            </w:r>
          </w:p>
        </w:tc>
        <w:tc>
          <w:tcPr>
            <w:tcW w:w="65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1480.643</w:t>
            </w:r>
          </w:p>
        </w:tc>
        <w:tc>
          <w:tcPr>
            <w:tcW w:w="65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w:t>
            </w:r>
          </w:p>
        </w:tc>
        <w:tc>
          <w:tcPr>
            <w:tcW w:w="81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50866</w:t>
            </w:r>
          </w:p>
        </w:tc>
        <w:tc>
          <w:tcPr>
            <w:tcW w:w="76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47653.09</w:t>
            </w:r>
          </w:p>
        </w:tc>
        <w:tc>
          <w:tcPr>
            <w:tcW w:w="120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3212.91</w:t>
            </w:r>
          </w:p>
        </w:tc>
        <w:tc>
          <w:tcPr>
            <w:tcW w:w="85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24252.03</w:t>
            </w:r>
          </w:p>
        </w:tc>
        <w:tc>
          <w:tcPr>
            <w:tcW w:w="82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75118.03</w:t>
            </w:r>
          </w:p>
        </w:tc>
        <w:tc>
          <w:tcPr>
            <w:tcW w:w="982"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4" w:hRule="atLeast"/>
        </w:trPr>
        <w:tc>
          <w:tcPr>
            <w:tcW w:w="47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507"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c>
          <w:tcPr>
            <w:tcW w:w="124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弘慧路（通城高架至顺坝北生路端）</w:t>
            </w:r>
          </w:p>
        </w:tc>
        <w:tc>
          <w:tcPr>
            <w:tcW w:w="65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3230.974</w:t>
            </w:r>
          </w:p>
        </w:tc>
        <w:tc>
          <w:tcPr>
            <w:tcW w:w="65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46</w:t>
            </w:r>
          </w:p>
        </w:tc>
        <w:tc>
          <w:tcPr>
            <w:tcW w:w="81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148066.63</w:t>
            </w:r>
          </w:p>
        </w:tc>
        <w:tc>
          <w:tcPr>
            <w:tcW w:w="76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127272.45</w:t>
            </w:r>
          </w:p>
        </w:tc>
        <w:tc>
          <w:tcPr>
            <w:tcW w:w="120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20794.18</w:t>
            </w:r>
          </w:p>
        </w:tc>
        <w:tc>
          <w:tcPr>
            <w:tcW w:w="85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54132.34</w:t>
            </w:r>
          </w:p>
        </w:tc>
        <w:tc>
          <w:tcPr>
            <w:tcW w:w="82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202198.97</w:t>
            </w:r>
          </w:p>
        </w:tc>
        <w:tc>
          <w:tcPr>
            <w:tcW w:w="982"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4" w:hRule="atLeast"/>
        </w:trPr>
        <w:tc>
          <w:tcPr>
            <w:tcW w:w="47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507"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c>
          <w:tcPr>
            <w:tcW w:w="124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奔竞大道（九堡通城高架至弘慧路）</w:t>
            </w:r>
          </w:p>
        </w:tc>
        <w:tc>
          <w:tcPr>
            <w:tcW w:w="65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648.226</w:t>
            </w:r>
          </w:p>
        </w:tc>
        <w:tc>
          <w:tcPr>
            <w:tcW w:w="65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w:t>
            </w:r>
          </w:p>
        </w:tc>
        <w:tc>
          <w:tcPr>
            <w:tcW w:w="81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16625.15</w:t>
            </w:r>
          </w:p>
        </w:tc>
        <w:tc>
          <w:tcPr>
            <w:tcW w:w="76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15162.04</w:t>
            </w:r>
          </w:p>
        </w:tc>
        <w:tc>
          <w:tcPr>
            <w:tcW w:w="120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1463.11</w:t>
            </w:r>
          </w:p>
        </w:tc>
        <w:tc>
          <w:tcPr>
            <w:tcW w:w="85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21106.05</w:t>
            </w:r>
          </w:p>
        </w:tc>
        <w:tc>
          <w:tcPr>
            <w:tcW w:w="82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37731.20</w:t>
            </w:r>
          </w:p>
        </w:tc>
        <w:tc>
          <w:tcPr>
            <w:tcW w:w="982"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atLeast"/>
        </w:trPr>
        <w:tc>
          <w:tcPr>
            <w:tcW w:w="47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小计</w:t>
            </w:r>
          </w:p>
        </w:tc>
        <w:tc>
          <w:tcPr>
            <w:tcW w:w="50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c>
          <w:tcPr>
            <w:tcW w:w="124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c>
          <w:tcPr>
            <w:tcW w:w="654"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c>
          <w:tcPr>
            <w:tcW w:w="654"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c>
          <w:tcPr>
            <w:tcW w:w="81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357647</w:t>
            </w:r>
          </w:p>
        </w:tc>
        <w:tc>
          <w:tcPr>
            <w:tcW w:w="76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320408</w:t>
            </w:r>
          </w:p>
        </w:tc>
        <w:tc>
          <w:tcPr>
            <w:tcW w:w="120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c>
          <w:tcPr>
            <w:tcW w:w="85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127507.60</w:t>
            </w:r>
          </w:p>
        </w:tc>
        <w:tc>
          <w:tcPr>
            <w:tcW w:w="82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485154.44</w:t>
            </w:r>
          </w:p>
        </w:tc>
        <w:tc>
          <w:tcPr>
            <w:tcW w:w="982"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r>
    </w:tbl>
    <w:p>
      <w:pPr>
        <w:pStyle w:val="6"/>
        <w:numPr>
          <w:ilvl w:val="2"/>
          <w:numId w:val="0"/>
        </w:numPr>
        <w:spacing w:before="0" w:after="0" w:line="24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：高教园区绿化</w:t>
      </w:r>
      <w:r>
        <w:rPr>
          <w:rFonts w:hint="eastAsia" w:ascii="仿宋" w:hAnsi="仿宋" w:eastAsia="仿宋" w:cs="仿宋"/>
          <w:color w:val="auto"/>
          <w:sz w:val="24"/>
          <w:szCs w:val="24"/>
          <w:highlight w:val="none"/>
          <w:lang w:val="en-US" w:eastAsia="zh-CN"/>
        </w:rPr>
        <w:t>管养</w:t>
      </w:r>
      <w:r>
        <w:rPr>
          <w:rFonts w:hint="eastAsia" w:ascii="仿宋" w:hAnsi="仿宋" w:eastAsia="仿宋" w:cs="仿宋"/>
          <w:color w:val="auto"/>
          <w:sz w:val="24"/>
          <w:szCs w:val="24"/>
          <w:highlight w:val="none"/>
        </w:rPr>
        <w:t>范围</w:t>
      </w:r>
    </w:p>
    <w:tbl>
      <w:tblPr>
        <w:tblStyle w:val="22"/>
        <w:tblW w:w="8999" w:type="dxa"/>
        <w:tblInd w:w="-2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485"/>
        <w:gridCol w:w="496"/>
        <w:gridCol w:w="3542"/>
        <w:gridCol w:w="789"/>
        <w:gridCol w:w="1027"/>
        <w:gridCol w:w="857"/>
        <w:gridCol w:w="1128"/>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科目</w:t>
            </w:r>
          </w:p>
        </w:tc>
        <w:tc>
          <w:tcPr>
            <w:tcW w:w="354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名称</w:t>
            </w: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行树</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两侧绿化（m²）</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总面积</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（m²）</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cs="仿宋"/>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7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b/>
                <w:bCs/>
                <w:i w:val="0"/>
                <w:iCs w:val="0"/>
                <w:color w:val="auto"/>
                <w:sz w:val="21"/>
                <w:szCs w:val="21"/>
                <w:highlight w:val="none"/>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b/>
                <w:bCs/>
                <w:i w:val="0"/>
                <w:iCs w:val="0"/>
                <w:color w:val="auto"/>
                <w:sz w:val="21"/>
                <w:szCs w:val="21"/>
                <w:highlight w:val="none"/>
                <w:u w:val="none"/>
              </w:rPr>
            </w:pPr>
          </w:p>
        </w:tc>
        <w:tc>
          <w:tcPr>
            <w:tcW w:w="35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b/>
                <w:bCs/>
                <w:i w:val="0"/>
                <w:iCs w:val="0"/>
                <w:color w:val="auto"/>
                <w:sz w:val="21"/>
                <w:szCs w:val="21"/>
                <w:highlight w:val="none"/>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棵数</w:t>
            </w:r>
          </w:p>
        </w:tc>
        <w:tc>
          <w:tcPr>
            <w:tcW w:w="1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折合面积（m</w:t>
            </w:r>
            <w:r>
              <w:rPr>
                <w:rStyle w:val="77"/>
                <w:rFonts w:hint="eastAsia" w:ascii="仿宋" w:hAnsi="仿宋" w:eastAsia="仿宋" w:cs="仿宋"/>
                <w:color w:val="auto"/>
                <w:sz w:val="21"/>
                <w:szCs w:val="21"/>
                <w:highlight w:val="none"/>
                <w:lang w:val="en-US" w:eastAsia="zh-CN" w:bidi="ar"/>
              </w:rPr>
              <w:t>²</w:t>
            </w:r>
            <w:r>
              <w:rPr>
                <w:rFonts w:hint="eastAsia" w:ascii="仿宋" w:hAnsi="仿宋" w:eastAsia="仿宋" w:cs="仿宋"/>
                <w:b/>
                <w:bCs/>
                <w:i w:val="0"/>
                <w:iCs w:val="0"/>
                <w:color w:val="auto"/>
                <w:kern w:val="0"/>
                <w:sz w:val="21"/>
                <w:szCs w:val="21"/>
                <w:highlight w:val="none"/>
                <w:u w:val="none"/>
                <w:lang w:val="en-US" w:eastAsia="zh-CN" w:bidi="ar"/>
              </w:rPr>
              <w:t>）</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b/>
                <w:bCs/>
                <w:i w:val="0"/>
                <w:iCs w:val="0"/>
                <w:color w:val="auto"/>
                <w:sz w:val="21"/>
                <w:szCs w:val="21"/>
                <w:highlight w:val="none"/>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b/>
                <w:bCs/>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4" w:hRule="atLeast"/>
        </w:trPr>
        <w:tc>
          <w:tcPr>
            <w:tcW w:w="4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绿化</w:t>
            </w:r>
            <w:r>
              <w:rPr>
                <w:rFonts w:hint="eastAsia" w:cs="仿宋"/>
                <w:i w:val="0"/>
                <w:iCs w:val="0"/>
                <w:color w:val="auto"/>
                <w:kern w:val="0"/>
                <w:sz w:val="21"/>
                <w:szCs w:val="21"/>
                <w:highlight w:val="none"/>
                <w:u w:val="none"/>
                <w:lang w:val="en-US" w:eastAsia="zh-CN" w:bidi="ar"/>
              </w:rPr>
              <w:t>管养</w:t>
            </w:r>
          </w:p>
        </w:tc>
        <w:tc>
          <w:tcPr>
            <w:tcW w:w="35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水博大道（水博园-水博大道与耕文路交叉口）</w:t>
            </w: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193</w:t>
            </w:r>
          </w:p>
        </w:tc>
        <w:tc>
          <w:tcPr>
            <w:tcW w:w="1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278</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575</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852.91</w:t>
            </w:r>
          </w:p>
        </w:tc>
        <w:tc>
          <w:tcPr>
            <w:tcW w:w="675" w:type="dxa"/>
            <w:vMerge w:val="restart"/>
            <w:tcBorders>
              <w:top w:val="single" w:color="000000" w:sz="4" w:space="0"/>
              <w:left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4" w:hRule="atLeast"/>
        </w:trPr>
        <w:tc>
          <w:tcPr>
            <w:tcW w:w="4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耕文路（耕文路-耕文路于学知路交叉口）</w:t>
            </w: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1093</w:t>
            </w:r>
          </w:p>
        </w:tc>
        <w:tc>
          <w:tcPr>
            <w:tcW w:w="1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1574</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27797</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29370.56</w:t>
            </w:r>
          </w:p>
        </w:tc>
        <w:tc>
          <w:tcPr>
            <w:tcW w:w="675" w:type="dxa"/>
            <w:vMerge w:val="continue"/>
            <w:tcBorders>
              <w:left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4" w:hRule="atLeast"/>
        </w:trPr>
        <w:tc>
          <w:tcPr>
            <w:tcW w:w="4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学知路（学知路与弘慧路交叉口-学知路与长山直河交叉）</w:t>
            </w: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430</w:t>
            </w:r>
          </w:p>
        </w:tc>
        <w:tc>
          <w:tcPr>
            <w:tcW w:w="1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619</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23538</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24157.22</w:t>
            </w:r>
          </w:p>
        </w:tc>
        <w:tc>
          <w:tcPr>
            <w:tcW w:w="675" w:type="dxa"/>
            <w:vMerge w:val="continue"/>
            <w:tcBorders>
              <w:left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4" w:hRule="atLeast"/>
        </w:trPr>
        <w:tc>
          <w:tcPr>
            <w:tcW w:w="4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弘慧路（弘慧路与东塘河交叉-弘慧路于杭甬高速交叉口）</w:t>
            </w: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543</w:t>
            </w:r>
          </w:p>
        </w:tc>
        <w:tc>
          <w:tcPr>
            <w:tcW w:w="1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782</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53649</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54430.55</w:t>
            </w:r>
          </w:p>
        </w:tc>
        <w:tc>
          <w:tcPr>
            <w:tcW w:w="675" w:type="dxa"/>
            <w:vMerge w:val="continue"/>
            <w:tcBorders>
              <w:left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4" w:hRule="atLeast"/>
        </w:trPr>
        <w:tc>
          <w:tcPr>
            <w:tcW w:w="4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奔竞大道（奔竞大道与通城高架交叉口-奔竞大道与弘慧路交叉口）</w:t>
            </w: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c>
          <w:tcPr>
            <w:tcW w:w="1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21106</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21106.06</w:t>
            </w:r>
          </w:p>
        </w:tc>
        <w:tc>
          <w:tcPr>
            <w:tcW w:w="675" w:type="dxa"/>
            <w:vMerge w:val="continue"/>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4" w:hRule="atLeast"/>
        </w:trPr>
        <w:tc>
          <w:tcPr>
            <w:tcW w:w="485"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cs="仿宋"/>
                <w:i w:val="0"/>
                <w:iCs w:val="0"/>
                <w:color w:val="auto"/>
                <w:kern w:val="0"/>
                <w:sz w:val="21"/>
                <w:szCs w:val="21"/>
                <w:highlight w:val="none"/>
                <w:u w:val="none"/>
                <w:lang w:val="en-US" w:eastAsia="zh-CN" w:bidi="ar"/>
              </w:rPr>
              <w:t>6</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c>
          <w:tcPr>
            <w:tcW w:w="3542"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钱宁线（钱宁线与顺坝村入村桥交叉口-南至钱宁线与奔竞大道交叉口）</w:t>
            </w:r>
          </w:p>
        </w:tc>
        <w:tc>
          <w:tcPr>
            <w:tcW w:w="789"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c>
          <w:tcPr>
            <w:tcW w:w="1027"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c>
          <w:tcPr>
            <w:tcW w:w="857"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1745</w:t>
            </w:r>
          </w:p>
        </w:tc>
        <w:tc>
          <w:tcPr>
            <w:tcW w:w="1128"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1744.95</w:t>
            </w:r>
          </w:p>
        </w:tc>
        <w:tc>
          <w:tcPr>
            <w:tcW w:w="675"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4" w:hRule="atLeast"/>
        </w:trPr>
        <w:tc>
          <w:tcPr>
            <w:tcW w:w="4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小计</w:t>
            </w:r>
          </w:p>
        </w:tc>
        <w:tc>
          <w:tcPr>
            <w:tcW w:w="4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2259</w:t>
            </w:r>
          </w:p>
        </w:tc>
        <w:tc>
          <w:tcPr>
            <w:tcW w:w="1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3252.96</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1745</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4997.91</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1"/>
                <w:szCs w:val="21"/>
                <w:highlight w:val="none"/>
                <w:u w:val="none"/>
              </w:rPr>
            </w:pPr>
          </w:p>
        </w:tc>
      </w:tr>
    </w:tbl>
    <w:p>
      <w:pPr>
        <w:ind w:firstLine="435"/>
        <w:jc w:val="center"/>
        <w:rPr>
          <w:rFonts w:ascii="仿宋" w:hAnsi="仿宋" w:eastAsia="仿宋" w:cs="仿宋"/>
          <w:b/>
          <w:color w:val="auto"/>
          <w:sz w:val="24"/>
          <w:highlight w:val="none"/>
        </w:rPr>
      </w:pPr>
    </w:p>
    <w:p>
      <w:pPr>
        <w:pStyle w:val="2"/>
        <w:rPr>
          <w:color w:val="auto"/>
          <w:highlight w:val="none"/>
        </w:rPr>
      </w:pPr>
    </w:p>
    <w:p>
      <w:pPr>
        <w:keepNext w:val="0"/>
        <w:keepLines w:val="0"/>
        <w:pageBreakBefore w:val="0"/>
        <w:widowControl/>
        <w:kinsoku/>
        <w:wordWrap/>
        <w:overflowPunct/>
        <w:topLinePunct w:val="0"/>
        <w:autoSpaceDE/>
        <w:autoSpaceDN/>
        <w:bidi w:val="0"/>
        <w:adjustRightInd w:val="0"/>
        <w:snapToGrid/>
        <w:spacing w:after="0"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附件</w:t>
      </w:r>
      <w:r>
        <w:rPr>
          <w:rFonts w:hint="eastAsia" w:cs="仿宋"/>
          <w:b/>
          <w:color w:val="auto"/>
          <w:sz w:val="24"/>
          <w:highlight w:val="none"/>
          <w:lang w:val="en-US" w:eastAsia="zh-CN"/>
        </w:rPr>
        <w:t>3</w:t>
      </w:r>
      <w:r>
        <w:rPr>
          <w:rFonts w:hint="eastAsia" w:ascii="仿宋" w:hAnsi="仿宋" w:eastAsia="仿宋" w:cs="仿宋"/>
          <w:b/>
          <w:color w:val="auto"/>
          <w:sz w:val="24"/>
          <w:highlight w:val="none"/>
        </w:rPr>
        <w:t>：</w:t>
      </w:r>
      <w:r>
        <w:rPr>
          <w:rFonts w:hint="eastAsia" w:cs="仿宋"/>
          <w:b/>
          <w:color w:val="auto"/>
          <w:sz w:val="24"/>
          <w:highlight w:val="none"/>
          <w:lang w:eastAsia="zh-CN"/>
        </w:rPr>
        <w:t>宁围街道高教园区环卫保洁等服务采购项目</w:t>
      </w:r>
      <w:r>
        <w:rPr>
          <w:rFonts w:hint="eastAsia" w:ascii="仿宋" w:hAnsi="仿宋" w:eastAsia="仿宋" w:cs="仿宋"/>
          <w:b/>
          <w:color w:val="auto"/>
          <w:sz w:val="24"/>
          <w:highlight w:val="none"/>
        </w:rPr>
        <w:t>考核办法</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一、考核对象</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在承包期间，甲方有权对乙方的作业情况进行检查考核。乙方道路</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保洁由宁围街道公共服务办公室负责进行检查考核、绿化</w:t>
      </w:r>
      <w:r>
        <w:rPr>
          <w:rFonts w:hint="eastAsia" w:ascii="仿宋" w:hAnsi="仿宋" w:eastAsia="仿宋" w:cs="仿宋"/>
          <w:color w:val="auto"/>
          <w:sz w:val="24"/>
          <w:highlight w:val="none"/>
          <w:lang w:eastAsia="zh-CN"/>
        </w:rPr>
        <w:t>管养</w:t>
      </w:r>
      <w:r>
        <w:rPr>
          <w:rFonts w:hint="eastAsia" w:ascii="仿宋" w:hAnsi="仿宋" w:eastAsia="仿宋" w:cs="仿宋"/>
          <w:color w:val="auto"/>
          <w:sz w:val="24"/>
          <w:highlight w:val="none"/>
        </w:rPr>
        <w:t>由城市建设和管理办公室负责进行检查考核、河道保洁由</w:t>
      </w:r>
      <w:r>
        <w:rPr>
          <w:rFonts w:hint="eastAsia" w:ascii="仿宋" w:hAnsi="仿宋" w:eastAsia="仿宋" w:cs="仿宋"/>
          <w:color w:val="auto"/>
          <w:sz w:val="24"/>
          <w:highlight w:val="none"/>
          <w:lang w:eastAsia="zh-CN"/>
        </w:rPr>
        <w:t>社区管理</w:t>
      </w:r>
      <w:r>
        <w:rPr>
          <w:rFonts w:hint="eastAsia" w:ascii="仿宋" w:hAnsi="仿宋" w:eastAsia="仿宋" w:cs="仿宋"/>
          <w:color w:val="auto"/>
          <w:sz w:val="24"/>
          <w:highlight w:val="none"/>
        </w:rPr>
        <w:t>办公室负责进行检查考核。</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二、合同终止：甲方对乙方作业情况分办公室进行检查考核，其中有任意2个及以上办公室通过考核认定予以终止合同的，采购人有权单方终止合同，乙方须无条件配合。乙方单方面终止合同则履约保证金不予归还并承担相关损失。</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三、各项目考核标准及办法</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（一）环卫保洁项目</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1、考核标准</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甲方对乙方作业情况进行检查考核的方式分为日常巡查</w:t>
      </w:r>
      <w:r>
        <w:rPr>
          <w:rFonts w:hint="eastAsia" w:ascii="仿宋" w:hAnsi="仿宋" w:eastAsia="仿宋" w:cs="仿宋"/>
          <w:color w:val="auto"/>
          <w:sz w:val="24"/>
          <w:highlight w:val="none"/>
          <w:lang w:eastAsia="zh-CN"/>
        </w:rPr>
        <w:t>、月考核、季汇总、市区抄告等</w:t>
      </w:r>
      <w:r>
        <w:rPr>
          <w:rFonts w:hint="eastAsia" w:ascii="仿宋" w:hAnsi="仿宋" w:eastAsia="仿宋" w:cs="仿宋"/>
          <w:color w:val="auto"/>
          <w:sz w:val="24"/>
          <w:highlight w:val="none"/>
        </w:rPr>
        <w:t>形式。甲方对检查中发现的问题以下发的《巡查考核整改处罚告知单》形式及时告知乙方限期整改，按考核评比标准扣分，并根据考核成绩在承包经费中对乙方进行扣罚。</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2、考核分值及合同终止</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甲方对乙方作业情况分项目</w:t>
      </w:r>
      <w:r>
        <w:rPr>
          <w:rFonts w:hint="eastAsia" w:ascii="仿宋" w:hAnsi="仿宋" w:eastAsia="仿宋" w:cs="仿宋"/>
          <w:color w:val="auto"/>
          <w:sz w:val="24"/>
          <w:highlight w:val="none"/>
          <w:lang w:eastAsia="zh-CN"/>
        </w:rPr>
        <w:t>每月</w:t>
      </w:r>
      <w:r>
        <w:rPr>
          <w:rFonts w:hint="eastAsia" w:ascii="仿宋" w:hAnsi="仿宋" w:eastAsia="仿宋" w:cs="仿宋"/>
          <w:color w:val="auto"/>
          <w:sz w:val="24"/>
          <w:highlight w:val="none"/>
        </w:rPr>
        <w:t>实行百分考核（详见评分标准）。每季度考核</w:t>
      </w:r>
      <w:r>
        <w:rPr>
          <w:rFonts w:hint="eastAsia" w:ascii="仿宋" w:hAnsi="仿宋" w:eastAsia="仿宋" w:cs="仿宋"/>
          <w:color w:val="auto"/>
          <w:sz w:val="24"/>
          <w:highlight w:val="none"/>
          <w:lang w:eastAsia="zh-CN"/>
        </w:rPr>
        <w:t>汇总，每月</w:t>
      </w:r>
      <w:r>
        <w:rPr>
          <w:rFonts w:hint="eastAsia" w:ascii="仿宋" w:hAnsi="仿宋" w:eastAsia="仿宋" w:cs="仿宋"/>
          <w:color w:val="auto"/>
          <w:sz w:val="24"/>
          <w:highlight w:val="none"/>
        </w:rPr>
        <w:t>90分及以上为达标。第一季度考核</w:t>
      </w:r>
      <w:r>
        <w:rPr>
          <w:rFonts w:hint="eastAsia" w:ascii="仿宋" w:hAnsi="仿宋" w:eastAsia="仿宋" w:cs="仿宋"/>
          <w:color w:val="auto"/>
          <w:sz w:val="24"/>
          <w:highlight w:val="none"/>
          <w:lang w:eastAsia="zh-CN"/>
        </w:rPr>
        <w:t>平均</w:t>
      </w:r>
      <w:r>
        <w:rPr>
          <w:rFonts w:hint="eastAsia" w:ascii="仿宋" w:hAnsi="仿宋" w:eastAsia="仿宋" w:cs="仿宋"/>
          <w:color w:val="auto"/>
          <w:sz w:val="24"/>
          <w:highlight w:val="none"/>
        </w:rPr>
        <w:t>分低于70分的予以告诫处理，第二季度仍低于70分的采购人有权单方终止合同（包括存在其他重大问题，不宜继续履行合同的）。乙方单方面终止合同则履约保证金不予归还并承担相关损失。</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3、评分标准及考核办法</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（1）发现的问题，由业务部门下发《巡查抄告单》并按评分标准给予扣分。责任单位应限期完成整改，</w:t>
      </w:r>
      <w:r>
        <w:rPr>
          <w:rFonts w:hint="eastAsia" w:ascii="仿宋" w:hAnsi="仿宋" w:eastAsia="仿宋" w:cs="仿宋"/>
          <w:color w:val="auto"/>
          <w:sz w:val="24"/>
          <w:highlight w:val="none"/>
          <w:lang w:eastAsia="zh-CN"/>
        </w:rPr>
        <w:t>限期</w:t>
      </w:r>
      <w:r>
        <w:rPr>
          <w:rFonts w:hint="eastAsia" w:ascii="仿宋" w:hAnsi="仿宋" w:eastAsia="仿宋" w:cs="仿宋"/>
          <w:color w:val="auto"/>
          <w:sz w:val="24"/>
          <w:highlight w:val="none"/>
        </w:rPr>
        <w:t>未整改的扣2分；同一问题二次抄告的扣4分，三次以上抄告的翻倍扣分。每</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rPr>
        <w:t>在90分（含）以上的，每失1分扣</w:t>
      </w:r>
      <w:r>
        <w:rPr>
          <w:rFonts w:hint="eastAsia" w:cs="仿宋"/>
          <w:color w:val="auto"/>
          <w:sz w:val="24"/>
          <w:highlight w:val="none"/>
          <w:lang w:val="en-US" w:eastAsia="zh-CN"/>
        </w:rPr>
        <w:t>2000</w:t>
      </w:r>
      <w:r>
        <w:rPr>
          <w:rFonts w:hint="eastAsia" w:ascii="仿宋" w:hAnsi="仿宋" w:eastAsia="仿宋" w:cs="仿宋"/>
          <w:color w:val="auto"/>
          <w:sz w:val="24"/>
          <w:highlight w:val="none"/>
        </w:rPr>
        <w:t>元；每</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rPr>
        <w:t>总分在90分以下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80分以上</w:t>
      </w:r>
      <w:r>
        <w:rPr>
          <w:rFonts w:hint="eastAsia" w:ascii="仿宋" w:hAnsi="仿宋" w:eastAsia="仿宋" w:cs="仿宋"/>
          <w:color w:val="auto"/>
          <w:sz w:val="24"/>
          <w:highlight w:val="none"/>
        </w:rPr>
        <w:t>的，每失1分扣</w:t>
      </w:r>
      <w:r>
        <w:rPr>
          <w:rFonts w:hint="eastAsia" w:cs="仿宋"/>
          <w:color w:val="auto"/>
          <w:sz w:val="24"/>
          <w:highlight w:val="none"/>
          <w:lang w:val="en-US" w:eastAsia="zh-CN"/>
        </w:rPr>
        <w:t>3000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每月度总分在70分（含）以上的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80分以下的，</w:t>
      </w:r>
      <w:r>
        <w:rPr>
          <w:rFonts w:hint="eastAsia" w:ascii="仿宋" w:hAnsi="仿宋" w:eastAsia="仿宋" w:cs="仿宋"/>
          <w:color w:val="auto"/>
          <w:sz w:val="24"/>
          <w:highlight w:val="none"/>
        </w:rPr>
        <w:t>每失1分扣</w:t>
      </w:r>
      <w:r>
        <w:rPr>
          <w:rFonts w:hint="eastAsia" w:cs="仿宋"/>
          <w:color w:val="auto"/>
          <w:sz w:val="24"/>
          <w:highlight w:val="none"/>
          <w:lang w:val="en-US" w:eastAsia="zh-CN"/>
        </w:rPr>
        <w:t>4000</w:t>
      </w:r>
      <w:r>
        <w:rPr>
          <w:rFonts w:hint="eastAsia" w:ascii="仿宋" w:hAnsi="仿宋" w:eastAsia="仿宋" w:cs="仿宋"/>
          <w:color w:val="auto"/>
          <w:sz w:val="24"/>
          <w:highlight w:val="none"/>
        </w:rPr>
        <w:t>元；70分以下的扣除当月服务费的10%。</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抄告、曝光的</w:t>
      </w:r>
      <w:r>
        <w:rPr>
          <w:rFonts w:hint="eastAsia" w:ascii="仿宋" w:hAnsi="仿宋" w:eastAsia="仿宋" w:cs="仿宋"/>
          <w:color w:val="auto"/>
          <w:sz w:val="24"/>
          <w:highlight w:val="none"/>
        </w:rPr>
        <w:t>问题，</w:t>
      </w:r>
      <w:r>
        <w:rPr>
          <w:rFonts w:hint="eastAsia" w:ascii="仿宋" w:hAnsi="仿宋" w:eastAsia="仿宋" w:cs="仿宋"/>
          <w:color w:val="auto"/>
          <w:sz w:val="24"/>
          <w:highlight w:val="none"/>
          <w:lang w:eastAsia="zh-CN"/>
        </w:rPr>
        <w:t>被街道抄告的，每张扣</w:t>
      </w:r>
      <w:r>
        <w:rPr>
          <w:rFonts w:hint="eastAsia" w:cs="仿宋"/>
          <w:color w:val="auto"/>
          <w:sz w:val="24"/>
          <w:highlight w:val="none"/>
          <w:lang w:val="en-US" w:eastAsia="zh-CN"/>
        </w:rPr>
        <w:t>600</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lang w:eastAsia="zh-CN"/>
        </w:rPr>
        <w:t>区级单位抄告的，每张扣</w:t>
      </w:r>
      <w:r>
        <w:rPr>
          <w:rFonts w:hint="eastAsia" w:cs="仿宋"/>
          <w:color w:val="auto"/>
          <w:sz w:val="24"/>
          <w:highlight w:val="none"/>
          <w:lang w:val="en-US" w:eastAsia="zh-CN"/>
        </w:rPr>
        <w:t>1200</w:t>
      </w:r>
      <w:r>
        <w:rPr>
          <w:rFonts w:hint="eastAsia" w:ascii="仿宋" w:hAnsi="仿宋" w:eastAsia="仿宋" w:cs="仿宋"/>
          <w:color w:val="auto"/>
          <w:sz w:val="24"/>
          <w:highlight w:val="none"/>
          <w:lang w:val="en-US" w:eastAsia="zh-CN"/>
        </w:rPr>
        <w:t>元，区级复查未通过的每张扣</w:t>
      </w:r>
      <w:r>
        <w:rPr>
          <w:rFonts w:hint="eastAsia" w:cs="仿宋"/>
          <w:color w:val="auto"/>
          <w:sz w:val="24"/>
          <w:highlight w:val="none"/>
          <w:lang w:val="en-US" w:eastAsia="zh-CN"/>
        </w:rPr>
        <w:t>2000元</w:t>
      </w:r>
      <w:r>
        <w:rPr>
          <w:rFonts w:hint="eastAsia" w:ascii="仿宋" w:hAnsi="仿宋" w:eastAsia="仿宋" w:cs="仿宋"/>
          <w:color w:val="auto"/>
          <w:sz w:val="24"/>
          <w:highlight w:val="none"/>
          <w:lang w:val="en-US" w:eastAsia="zh-CN"/>
        </w:rPr>
        <w:t>，市级抄告每张扣2000</w:t>
      </w:r>
      <w:r>
        <w:rPr>
          <w:rFonts w:hint="eastAsia" w:cs="仿宋"/>
          <w:color w:val="auto"/>
          <w:sz w:val="24"/>
          <w:highlight w:val="none"/>
          <w:lang w:val="en-US" w:eastAsia="zh-CN"/>
        </w:rPr>
        <w:t>元</w:t>
      </w:r>
      <w:r>
        <w:rPr>
          <w:rFonts w:hint="eastAsia" w:ascii="仿宋" w:hAnsi="仿宋" w:eastAsia="仿宋" w:cs="仿宋"/>
          <w:color w:val="auto"/>
          <w:sz w:val="24"/>
          <w:highlight w:val="none"/>
          <w:lang w:val="en-US" w:eastAsia="zh-CN"/>
        </w:rPr>
        <w:t>，市级复查未通过的每张扣</w:t>
      </w:r>
      <w:r>
        <w:rPr>
          <w:rFonts w:hint="eastAsia" w:cs="仿宋"/>
          <w:color w:val="auto"/>
          <w:sz w:val="24"/>
          <w:highlight w:val="none"/>
          <w:lang w:val="en-US" w:eastAsia="zh-CN"/>
        </w:rPr>
        <w:t>5000</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rPr>
        <w:t>被</w:t>
      </w:r>
      <w:r>
        <w:rPr>
          <w:rFonts w:hint="eastAsia" w:ascii="仿宋" w:hAnsi="仿宋" w:eastAsia="仿宋" w:cs="仿宋"/>
          <w:color w:val="auto"/>
          <w:sz w:val="24"/>
          <w:highlight w:val="none"/>
          <w:lang w:eastAsia="zh-CN"/>
        </w:rPr>
        <w:t>区级</w:t>
      </w:r>
      <w:r>
        <w:rPr>
          <w:rFonts w:hint="eastAsia" w:ascii="仿宋" w:hAnsi="仿宋" w:eastAsia="仿宋" w:cs="仿宋"/>
          <w:color w:val="auto"/>
          <w:sz w:val="24"/>
          <w:highlight w:val="none"/>
        </w:rPr>
        <w:t>新闻单位</w:t>
      </w:r>
      <w:r>
        <w:rPr>
          <w:rFonts w:hint="eastAsia" w:ascii="仿宋" w:hAnsi="仿宋" w:eastAsia="仿宋" w:cs="仿宋"/>
          <w:color w:val="auto"/>
          <w:sz w:val="24"/>
          <w:highlight w:val="none"/>
          <w:lang w:eastAsia="zh-CN"/>
        </w:rPr>
        <w:t>或职能单位</w:t>
      </w:r>
      <w:r>
        <w:rPr>
          <w:rFonts w:hint="eastAsia" w:ascii="仿宋" w:hAnsi="仿宋" w:eastAsia="仿宋" w:cs="仿宋"/>
          <w:color w:val="auto"/>
          <w:sz w:val="24"/>
          <w:highlight w:val="none"/>
        </w:rPr>
        <w:t>曝光的，每次扣</w:t>
      </w:r>
      <w:r>
        <w:rPr>
          <w:rFonts w:hint="eastAsia" w:ascii="仿宋" w:hAnsi="仿宋" w:eastAsia="仿宋" w:cs="仿宋"/>
          <w:color w:val="auto"/>
          <w:sz w:val="24"/>
          <w:highlight w:val="none"/>
          <w:lang w:val="en-US" w:eastAsia="zh-CN"/>
        </w:rPr>
        <w:t>5000</w:t>
      </w:r>
      <w:r>
        <w:rPr>
          <w:rFonts w:hint="eastAsia" w:ascii="仿宋" w:hAnsi="仿宋" w:eastAsia="仿宋" w:cs="仿宋"/>
          <w:color w:val="auto"/>
          <w:sz w:val="24"/>
          <w:highlight w:val="none"/>
        </w:rPr>
        <w:t>元；被</w:t>
      </w:r>
      <w:r>
        <w:rPr>
          <w:rFonts w:hint="eastAsia" w:ascii="仿宋" w:hAnsi="仿宋" w:eastAsia="仿宋" w:cs="仿宋"/>
          <w:color w:val="auto"/>
          <w:sz w:val="24"/>
          <w:highlight w:val="none"/>
          <w:lang w:eastAsia="zh-CN"/>
        </w:rPr>
        <w:t>市级</w:t>
      </w:r>
      <w:r>
        <w:rPr>
          <w:rFonts w:hint="eastAsia" w:ascii="仿宋" w:hAnsi="仿宋" w:eastAsia="仿宋" w:cs="仿宋"/>
          <w:color w:val="auto"/>
          <w:sz w:val="24"/>
          <w:highlight w:val="none"/>
        </w:rPr>
        <w:t>新闻单位</w:t>
      </w:r>
      <w:r>
        <w:rPr>
          <w:rFonts w:hint="eastAsia" w:ascii="仿宋" w:hAnsi="仿宋" w:eastAsia="仿宋" w:cs="仿宋"/>
          <w:color w:val="auto"/>
          <w:sz w:val="24"/>
          <w:highlight w:val="none"/>
          <w:lang w:eastAsia="zh-CN"/>
        </w:rPr>
        <w:t>或职能单位</w:t>
      </w:r>
      <w:r>
        <w:rPr>
          <w:rFonts w:hint="eastAsia" w:ascii="仿宋" w:hAnsi="仿宋" w:eastAsia="仿宋" w:cs="仿宋"/>
          <w:color w:val="auto"/>
          <w:sz w:val="24"/>
          <w:highlight w:val="none"/>
        </w:rPr>
        <w:t>曝光的，每次扣</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00</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被</w:t>
      </w:r>
      <w:r>
        <w:rPr>
          <w:rFonts w:hint="eastAsia" w:ascii="仿宋" w:hAnsi="仿宋" w:eastAsia="仿宋" w:cs="仿宋"/>
          <w:color w:val="auto"/>
          <w:sz w:val="24"/>
          <w:highlight w:val="none"/>
          <w:lang w:eastAsia="zh-CN"/>
        </w:rPr>
        <w:t>省级</w:t>
      </w:r>
      <w:r>
        <w:rPr>
          <w:rFonts w:hint="eastAsia" w:ascii="仿宋" w:hAnsi="仿宋" w:eastAsia="仿宋" w:cs="仿宋"/>
          <w:color w:val="auto"/>
          <w:sz w:val="24"/>
          <w:highlight w:val="none"/>
        </w:rPr>
        <w:t>新闻单位</w:t>
      </w:r>
      <w:r>
        <w:rPr>
          <w:rFonts w:hint="eastAsia" w:ascii="仿宋" w:hAnsi="仿宋" w:eastAsia="仿宋" w:cs="仿宋"/>
          <w:color w:val="auto"/>
          <w:sz w:val="24"/>
          <w:highlight w:val="none"/>
          <w:lang w:eastAsia="zh-CN"/>
        </w:rPr>
        <w:t>或职能单位</w:t>
      </w:r>
      <w:r>
        <w:rPr>
          <w:rFonts w:hint="eastAsia" w:ascii="仿宋" w:hAnsi="仿宋" w:eastAsia="仿宋" w:cs="仿宋"/>
          <w:color w:val="auto"/>
          <w:sz w:val="24"/>
          <w:highlight w:val="none"/>
        </w:rPr>
        <w:t>曝光的，每次扣</w:t>
      </w:r>
      <w:r>
        <w:rPr>
          <w:rFonts w:hint="eastAsia" w:ascii="仿宋" w:hAnsi="仿宋" w:eastAsia="仿宋" w:cs="仿宋"/>
          <w:color w:val="auto"/>
          <w:sz w:val="24"/>
          <w:highlight w:val="none"/>
          <w:lang w:val="en-US" w:eastAsia="zh-CN"/>
        </w:rPr>
        <w:t>20000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，相关考核扣分另行计算。</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（3）环卫保洁考核评分标准：</w:t>
      </w:r>
    </w:p>
    <w:tbl>
      <w:tblPr>
        <w:tblStyle w:val="22"/>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420"/>
        <w:gridCol w:w="4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考核内容及要求</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台帐资料</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分</w:t>
            </w: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1.层层落实管理责任制。</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1.未落实责任制的扣1分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2.按行业要求建好台帐。</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2.台帐每缺一项扣0.5分。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3.集体财产登记造册</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3.未登记造册扣1分。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管理指标落实情况15分</w:t>
            </w: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4.按照行业标准化管理指标</w:t>
            </w:r>
            <w:r>
              <w:rPr>
                <w:rFonts w:hint="eastAsia" w:ascii="仿宋" w:hAnsi="仿宋" w:eastAsia="仿宋" w:cs="仿宋"/>
                <w:color w:val="auto"/>
                <w:sz w:val="24"/>
                <w:highlight w:val="none"/>
                <w:lang w:eastAsia="zh-CN"/>
              </w:rPr>
              <w:t>及街道</w:t>
            </w:r>
            <w:r>
              <w:rPr>
                <w:rFonts w:hint="eastAsia" w:ascii="仿宋" w:hAnsi="仿宋" w:eastAsia="仿宋" w:cs="仿宋"/>
                <w:color w:val="auto"/>
                <w:sz w:val="24"/>
                <w:highlight w:val="none"/>
              </w:rPr>
              <w:t>要求落实道路保洁时间</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4.道路保洁时间未达到规定时间要求的，每条道路每次扣0.5分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5.按照行业标准化管理指标</w:t>
            </w:r>
            <w:r>
              <w:rPr>
                <w:rFonts w:hint="eastAsia" w:ascii="仿宋" w:hAnsi="仿宋" w:eastAsia="仿宋" w:cs="仿宋"/>
                <w:color w:val="auto"/>
                <w:sz w:val="24"/>
                <w:highlight w:val="none"/>
                <w:lang w:eastAsia="zh-CN"/>
              </w:rPr>
              <w:t>及街道规定</w:t>
            </w:r>
            <w:r>
              <w:rPr>
                <w:rFonts w:hint="eastAsia" w:ascii="仿宋" w:hAnsi="仿宋" w:eastAsia="仿宋" w:cs="仿宋"/>
                <w:color w:val="auto"/>
                <w:sz w:val="24"/>
                <w:highlight w:val="none"/>
              </w:rPr>
              <w:t>要求落实道路扫路</w:t>
            </w:r>
            <w:r>
              <w:rPr>
                <w:rFonts w:hint="eastAsia" w:ascii="仿宋" w:hAnsi="仿宋" w:eastAsia="仿宋" w:cs="仿宋"/>
                <w:color w:val="auto"/>
                <w:sz w:val="24"/>
                <w:highlight w:val="none"/>
                <w:lang w:eastAsia="zh-CN"/>
              </w:rPr>
              <w:t>、清洗、洒水、雾炮等</w:t>
            </w:r>
            <w:r>
              <w:rPr>
                <w:rFonts w:hint="eastAsia" w:ascii="仿宋" w:hAnsi="仿宋" w:eastAsia="仿宋" w:cs="仿宋"/>
                <w:color w:val="auto"/>
                <w:sz w:val="24"/>
                <w:highlight w:val="none"/>
              </w:rPr>
              <w:t>作业频次，</w:t>
            </w:r>
            <w:r>
              <w:rPr>
                <w:rFonts w:hint="eastAsia" w:ascii="仿宋" w:hAnsi="仿宋" w:eastAsia="仿宋" w:cs="仿宋"/>
                <w:color w:val="auto"/>
                <w:sz w:val="24"/>
                <w:highlight w:val="none"/>
                <w:lang w:eastAsia="zh-CN"/>
              </w:rPr>
              <w:t>相关</w:t>
            </w:r>
            <w:r>
              <w:rPr>
                <w:rFonts w:hint="eastAsia" w:ascii="仿宋" w:hAnsi="仿宋" w:eastAsia="仿宋" w:cs="仿宋"/>
                <w:color w:val="auto"/>
                <w:sz w:val="24"/>
                <w:highlight w:val="none"/>
              </w:rPr>
              <w:t>作业应实行全路段。</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5.道路机扫</w:t>
            </w:r>
            <w:r>
              <w:rPr>
                <w:rFonts w:hint="eastAsia" w:ascii="仿宋" w:hAnsi="仿宋" w:eastAsia="仿宋" w:cs="仿宋"/>
                <w:color w:val="auto"/>
                <w:sz w:val="24"/>
                <w:highlight w:val="none"/>
                <w:lang w:eastAsia="zh-CN"/>
              </w:rPr>
              <w:t>、清洗、洒水、雾炮等作业</w:t>
            </w:r>
            <w:r>
              <w:rPr>
                <w:rFonts w:hint="eastAsia" w:ascii="仿宋" w:hAnsi="仿宋" w:eastAsia="仿宋" w:cs="仿宋"/>
                <w:color w:val="auto"/>
                <w:sz w:val="24"/>
                <w:highlight w:val="none"/>
              </w:rPr>
              <w:t>频次未达到规定要求的，每条道路每曰</w:t>
            </w:r>
            <w:r>
              <w:rPr>
                <w:rFonts w:hint="eastAsia" w:ascii="仿宋" w:hAnsi="仿宋" w:eastAsia="仿宋" w:cs="仿宋"/>
                <w:color w:val="auto"/>
                <w:sz w:val="24"/>
                <w:highlight w:val="none"/>
                <w:lang w:eastAsia="zh-CN"/>
              </w:rPr>
              <w:t>每项作业</w:t>
            </w:r>
            <w:r>
              <w:rPr>
                <w:rFonts w:hint="eastAsia" w:ascii="仿宋" w:hAnsi="仿宋" w:eastAsia="仿宋" w:cs="仿宋"/>
                <w:color w:val="auto"/>
                <w:sz w:val="24"/>
                <w:highlight w:val="none"/>
              </w:rPr>
              <w:t>频次每少1次扣0.5分，空驶的每次扣0.5分，作业未覆盖全路段的扣</w:t>
            </w:r>
            <w:r>
              <w:rPr>
                <w:rFonts w:hint="eastAsia" w:ascii="仿宋" w:hAnsi="仿宋" w:eastAsia="仿宋" w:cs="仿宋"/>
                <w:color w:val="auto"/>
                <w:sz w:val="24"/>
                <w:highlight w:val="none"/>
                <w:lang w:eastAsia="zh-CN"/>
              </w:rPr>
              <w:t>每项</w:t>
            </w:r>
            <w:r>
              <w:rPr>
                <w:rFonts w:hint="eastAsia" w:ascii="仿宋" w:hAnsi="仿宋" w:eastAsia="仿宋" w:cs="仿宋"/>
                <w:color w:val="auto"/>
                <w:sz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道路保洁质量情况</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sz w:val="24"/>
                <w:highlight w:val="none"/>
              </w:rPr>
            </w:pPr>
            <w:r>
              <w:rPr>
                <w:rFonts w:hint="eastAsia" w:cs="仿宋"/>
                <w:color w:val="auto"/>
                <w:sz w:val="24"/>
                <w:highlight w:val="none"/>
                <w:lang w:val="en-US" w:eastAsia="zh-CN"/>
              </w:rPr>
              <w:t>38</w:t>
            </w:r>
            <w:r>
              <w:rPr>
                <w:rFonts w:hint="eastAsia" w:ascii="仿宋" w:hAnsi="仿宋" w:eastAsia="仿宋" w:cs="仿宋"/>
                <w:color w:val="auto"/>
                <w:sz w:val="24"/>
                <w:highlight w:val="none"/>
              </w:rPr>
              <w:t>分</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6.路面无垃圾、无杂物、无积泥(沙石)，晴天无积水。雨水井沟眼畅通干净，树圈清洁无杂物和垃圾，人行道板及各类井盖缝隙无垃圾、杂物</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6.路面有色垃圾、杂物&lt;3M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的每处扣O．2分，≥3M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的每处扣0.4分，有成堆垃圾的每处扣0.5分。</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雨水井沟眼有积泥(嵌石)的每处扣0.2分，树圈有杂物、垃圾的每处扣0.2分。</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道路积泥(沙石)长度&lt;2米的每处扣0.2分，≥2米的每处扣0.5分。</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道路晴天积水&lt;3M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的每处扣0．2分，≥3M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的每处扣0.5分，冬季路面积水导致路面结冰的每处扣0.5分，导致有责交通事故的每次扣1分。</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人行道板间、人行道各类井盖间的缝隙有垃圾、杂物的每次扣0.2分。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7.道路绿地(含车道绿化隔离带、人行道绿地)保洁应与道路保洁同步，做到绿化带内无杂物、无垃圾</w:t>
            </w:r>
            <w:r>
              <w:rPr>
                <w:rFonts w:hint="eastAsia" w:ascii="仿宋" w:hAnsi="仿宋" w:eastAsia="仿宋" w:cs="仿宋"/>
                <w:color w:val="auto"/>
                <w:sz w:val="24"/>
                <w:highlight w:val="none"/>
                <w:lang w:eastAsia="zh-CN"/>
              </w:rPr>
              <w:t>、无卫生死角</w:t>
            </w:r>
            <w:r>
              <w:rPr>
                <w:rFonts w:hint="eastAsia" w:ascii="仿宋" w:hAnsi="仿宋" w:eastAsia="仿宋" w:cs="仿宋"/>
                <w:color w:val="auto"/>
                <w:sz w:val="24"/>
                <w:highlight w:val="none"/>
              </w:rPr>
              <w:t>。</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7.道路绿地内有杂物、垃圾的每处扣0.2分，有成堆积存垃圾的每处扣0．5分。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8.沿街果壳箱无歪斜、无破损，无积存垃圾，沿街垃圾桶无破损，垃圾日产日清。果壳箱、垃圾桶、垃圾房内外清洁无污垢、无垃圾满溢现象，无箱(桶、房)外暴露垃圾。关闭果壳箱门。</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沿街果壳箱歪斜的每只扣0.1分，倾斜、破损、缺失未及时上报的每只扣0.2分，垃圾未日产日清的每只扣0.2分。果壳箱、垃圾桶不洁有污垢的每处扣0.2分，垃圾满溢的每处扣0.5分，周围路面不洁有暴露垃圾、垃圾包和污水的每处扣0.5分。垃圾收集后垃圾桶未放回原处的每只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9.道路清洗要做到机动车道、非机动车道、人行道(含店前道路)路面见本色，无污迹，沿街果壳箱(垃圾箱、桶)等环卫设施无污垢、无积尘、无污水。</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9.机动车道、非机动车道、人行道(含店前道路)路面污迹&lt;1M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的每处扣0.2分，≥1M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的每处扣0.5分。沿街果壳箱(垃圾箱、桶)等环卫设施清洗质量未达标，有污迹，积尘的每处扣0.1分。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作业规范执行情况26分</w:t>
            </w: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10.严格按规定在每日上午7：</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eastAsia="zh-CN"/>
              </w:rPr>
              <w:t>（夏季</w:t>
            </w:r>
            <w:r>
              <w:rPr>
                <w:rFonts w:hint="eastAsia" w:ascii="仿宋" w:hAnsi="仿宋" w:eastAsia="仿宋" w:cs="仿宋"/>
                <w:color w:val="auto"/>
                <w:sz w:val="24"/>
                <w:highlight w:val="none"/>
                <w:lang w:val="en-US" w:eastAsia="zh-CN"/>
              </w:rPr>
              <w:t>6:30</w:t>
            </w:r>
            <w:r>
              <w:rPr>
                <w:rFonts w:hint="eastAsia" w:ascii="仿宋" w:hAnsi="仿宋" w:eastAsia="仿宋" w:cs="仿宋"/>
                <w:color w:val="auto"/>
                <w:sz w:val="24"/>
                <w:highlight w:val="none"/>
                <w:lang w:eastAsia="zh-CN"/>
              </w:rPr>
              <w:t>）前</w:t>
            </w:r>
            <w:r>
              <w:rPr>
                <w:rFonts w:hint="eastAsia" w:ascii="仿宋" w:hAnsi="仿宋" w:eastAsia="仿宋" w:cs="仿宋"/>
                <w:color w:val="auto"/>
                <w:sz w:val="24"/>
                <w:highlight w:val="none"/>
              </w:rPr>
              <w:t>完成第一遍普扫和做好巡回保洁工作。作业期间保洁人员不得有立岗、脱岗、坐岗等现象。</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10.未在规定时间内完成第一遍普扫的每条道路扣0.5分，未巡回保洁的每条道路扫0.3分，清扫保洁人员立岗、脱岗、坐岗的每项扣0.3分。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11.人工保洁作业时，道路、人行道(含店前道路)不得漏扫、反扫，垃圾应归拢、归堆并清除彻底，垃圾不得扫入窨井、河道。</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11.道路、人行道(含店前道路)漏扫、反扫的每处扣0．2分，垃圾归拢、归堆未清除的每处扣0.2分，清除不彻底的每处扣0.2分，垃圾扫入窨井、河道</w:t>
            </w:r>
            <w:r>
              <w:rPr>
                <w:rFonts w:hint="eastAsia" w:ascii="仿宋" w:hAnsi="仿宋" w:eastAsia="仿宋" w:cs="仿宋"/>
                <w:color w:val="auto"/>
                <w:sz w:val="24"/>
                <w:highlight w:val="none"/>
                <w:lang w:eastAsia="zh-CN"/>
              </w:rPr>
              <w:t>、绿化带等区域</w:t>
            </w:r>
            <w:r>
              <w:rPr>
                <w:rFonts w:hint="eastAsia" w:ascii="仿宋" w:hAnsi="仿宋" w:eastAsia="仿宋" w:cs="仿宋"/>
                <w:color w:val="auto"/>
                <w:sz w:val="24"/>
                <w:highlight w:val="none"/>
              </w:rPr>
              <w:t>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12.垃圾应倾倒在规定地点，不得焚烧垃圾、树叶。落叶旺季做到及时清扫，并按指定地点堆放和转运。</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12.垃圾未倾倒在规定地点或焚烧垃圾、树叶的每次扣1分。落叶旺季未及时清扫落叶的每条道路扣0.5分，未按指定必堆放转运树叶的每次扣0.5分。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13.扫路车作业时车速≤10km／h，清扫时必须启用警示灯，清扫时须喷水压尘，无扬尘。</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13.扫路车作业时车速&gt;10km／h的每车／次扣0.5分，扫路车清扫时未开启警灯的每车／次扣0.5分，扬尘的每车／次扣0.5分。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14.专业车辆外观整洁</w:t>
            </w:r>
            <w:r>
              <w:rPr>
                <w:rFonts w:hint="eastAsia" w:ascii="仿宋" w:hAnsi="仿宋" w:eastAsia="仿宋" w:cs="仿宋"/>
                <w:color w:val="auto"/>
                <w:sz w:val="24"/>
                <w:highlight w:val="none"/>
                <w:lang w:eastAsia="zh-CN"/>
              </w:rPr>
              <w:t>，并按上级要求统一标识</w:t>
            </w:r>
            <w:r>
              <w:rPr>
                <w:rFonts w:hint="eastAsia" w:ascii="仿宋" w:hAnsi="仿宋" w:eastAsia="仿宋" w:cs="仿宋"/>
                <w:color w:val="auto"/>
                <w:sz w:val="24"/>
                <w:highlight w:val="none"/>
              </w:rPr>
              <w:t>。垃圾清运车(含机动车、非机动车)实行密闭运输，无破损、无垃圾抛洒、无污水滴漏、车厢外无吊挂。人力清扫专用的车厢后栏板处设置规范的荧光交通警示标志。</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14.专用车辆外观不洁</w:t>
            </w:r>
            <w:r>
              <w:rPr>
                <w:rFonts w:hint="eastAsia" w:ascii="仿宋" w:hAnsi="仿宋" w:eastAsia="仿宋" w:cs="仿宋"/>
                <w:color w:val="auto"/>
                <w:sz w:val="24"/>
                <w:highlight w:val="none"/>
                <w:lang w:eastAsia="zh-CN"/>
              </w:rPr>
              <w:t>或未及时更新外观标识的，</w:t>
            </w:r>
            <w:r>
              <w:rPr>
                <w:rFonts w:hint="eastAsia" w:ascii="仿宋" w:hAnsi="仿宋" w:eastAsia="仿宋" w:cs="仿宋"/>
                <w:color w:val="auto"/>
                <w:sz w:val="24"/>
                <w:highlight w:val="none"/>
              </w:rPr>
              <w:t>每</w:t>
            </w:r>
            <w:r>
              <w:rPr>
                <w:rFonts w:hint="eastAsia" w:ascii="仿宋" w:hAnsi="仿宋" w:eastAsia="仿宋" w:cs="仿宋"/>
                <w:color w:val="auto"/>
                <w:sz w:val="24"/>
                <w:highlight w:val="none"/>
                <w:lang w:eastAsia="zh-CN"/>
              </w:rPr>
              <w:t>辆</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次</w:t>
            </w:r>
            <w:r>
              <w:rPr>
                <w:rFonts w:hint="eastAsia" w:ascii="仿宋" w:hAnsi="仿宋" w:eastAsia="仿宋" w:cs="仿宋"/>
                <w:color w:val="auto"/>
                <w:sz w:val="24"/>
                <w:highlight w:val="none"/>
              </w:rPr>
              <w:t>扣0．5分。垃圾清运车未实行密闭运输发生抛洒滴漏污染路面的、车辆破损的、车厢外有吊挂的每</w:t>
            </w:r>
            <w:r>
              <w:rPr>
                <w:rFonts w:hint="eastAsia" w:ascii="仿宋" w:hAnsi="仿宋" w:eastAsia="仿宋" w:cs="仿宋"/>
                <w:color w:val="auto"/>
                <w:sz w:val="24"/>
                <w:highlight w:val="none"/>
                <w:lang w:eastAsia="zh-CN"/>
              </w:rPr>
              <w:t>辆</w:t>
            </w:r>
            <w:r>
              <w:rPr>
                <w:rFonts w:hint="eastAsia" w:ascii="仿宋" w:hAnsi="仿宋" w:eastAsia="仿宋" w:cs="仿宋"/>
                <w:color w:val="auto"/>
                <w:sz w:val="24"/>
                <w:highlight w:val="none"/>
              </w:rPr>
              <w:t>／次扣0.5分。人力清扫专用车的车厢后栏板处未设置规范的荧光交通警示标志的每</w:t>
            </w:r>
            <w:r>
              <w:rPr>
                <w:rFonts w:hint="eastAsia" w:ascii="仿宋" w:hAnsi="仿宋" w:eastAsia="仿宋" w:cs="仿宋"/>
                <w:color w:val="auto"/>
                <w:sz w:val="24"/>
                <w:highlight w:val="none"/>
                <w:lang w:eastAsia="zh-CN"/>
              </w:rPr>
              <w:t>辆</w:t>
            </w:r>
            <w:r>
              <w:rPr>
                <w:rFonts w:hint="eastAsia" w:ascii="仿宋" w:hAnsi="仿宋" w:eastAsia="仿宋" w:cs="仿宋"/>
                <w:color w:val="auto"/>
                <w:sz w:val="24"/>
                <w:highlight w:val="none"/>
              </w:rPr>
              <w:t>／次扣0.5分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15.保洁人员在道路清扫保洁作业时须穿反光安全背心，并佩证上岗</w:t>
            </w:r>
            <w:r>
              <w:rPr>
                <w:rFonts w:hint="eastAsia" w:ascii="仿宋" w:hAnsi="仿宋" w:eastAsia="仿宋" w:cs="仿宋"/>
                <w:color w:val="auto"/>
                <w:sz w:val="24"/>
                <w:highlight w:val="none"/>
                <w:lang w:eastAsia="zh-CN"/>
              </w:rPr>
              <w:t>，同时注意规范安全作业。</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15.保洁人员作业时未穿反光安全背心的每人／次扣0．2分，未佩证上岗的每人／次扣0．1分。快保人员驾驶电动三轮保洁车未佩戴头盔的每人/次扣0.5分，快保车、保洁人员未有特殊情况在机动车道作业的每人/次扣0.5分。上下班时间驾驶电动车有闯红灯、逆行、未佩戴头盔等情况的每人/次扣0.5分。</w:t>
            </w:r>
            <w:r>
              <w:rPr>
                <w:rFonts w:hint="eastAsia" w:ascii="仿宋" w:hAnsi="仿宋" w:eastAsia="仿宋" w:cs="仿宋"/>
                <w:color w:val="auto"/>
                <w:sz w:val="24"/>
                <w:highlight w:val="none"/>
                <w:lang w:eastAsia="zh-CN"/>
              </w:rPr>
              <w:t>不贵范作业，导致交通事故的，每起扣</w:t>
            </w:r>
            <w:r>
              <w:rPr>
                <w:rFonts w:hint="eastAsia" w:ascii="仿宋" w:hAnsi="仿宋" w:eastAsia="仿宋" w:cs="仿宋"/>
                <w:color w:val="auto"/>
                <w:sz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16.日常管理人员及保洁作业人员人数应与预定方案相符。</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16.日常管理人员及保洁作业人员与预定方案不符，每少1人扣O．5分。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其他18分</w:t>
            </w: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cs="仿宋"/>
                <w:color w:val="auto"/>
                <w:sz w:val="24"/>
                <w:highlight w:val="none"/>
                <w:lang w:val="en-US" w:eastAsia="zh-CN"/>
              </w:rPr>
              <w:t>7</w:t>
            </w:r>
            <w:r>
              <w:rPr>
                <w:rFonts w:hint="eastAsia" w:ascii="仿宋" w:hAnsi="仿宋" w:eastAsia="仿宋" w:cs="仿宋"/>
                <w:color w:val="auto"/>
                <w:sz w:val="24"/>
                <w:highlight w:val="none"/>
              </w:rPr>
              <w:t>.抄告问题及整改处置</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cs="仿宋"/>
                <w:color w:val="auto"/>
                <w:sz w:val="24"/>
                <w:highlight w:val="none"/>
                <w:lang w:val="en-US" w:eastAsia="zh-CN"/>
              </w:rPr>
              <w:t>7</w:t>
            </w:r>
            <w:r>
              <w:rPr>
                <w:rFonts w:hint="eastAsia" w:ascii="仿宋" w:hAnsi="仿宋" w:eastAsia="仿宋" w:cs="仿宋"/>
                <w:color w:val="auto"/>
                <w:sz w:val="24"/>
                <w:highlight w:val="none"/>
              </w:rPr>
              <w:t>.对抄告问题不及时整改或整改不力的，酌情扣3—5分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cs="仿宋"/>
                <w:color w:val="auto"/>
                <w:sz w:val="24"/>
                <w:highlight w:val="none"/>
                <w:lang w:val="en-US" w:eastAsia="zh-CN"/>
              </w:rPr>
              <w:t>8</w:t>
            </w:r>
            <w:r>
              <w:rPr>
                <w:rFonts w:hint="eastAsia" w:ascii="仿宋" w:hAnsi="仿宋" w:eastAsia="仿宋" w:cs="仿宋"/>
                <w:color w:val="auto"/>
                <w:sz w:val="24"/>
                <w:highlight w:val="none"/>
              </w:rPr>
              <w:t>.无有责投诉(包括电话、信访、市长公开电话等)，有责投诉后处置及时</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cs="仿宋"/>
                <w:color w:val="auto"/>
                <w:sz w:val="24"/>
                <w:highlight w:val="none"/>
                <w:lang w:val="en-US" w:eastAsia="zh-CN"/>
              </w:rPr>
              <w:t>8</w:t>
            </w:r>
            <w:r>
              <w:rPr>
                <w:rFonts w:hint="eastAsia" w:ascii="仿宋" w:hAnsi="仿宋" w:eastAsia="仿宋" w:cs="仿宋"/>
                <w:color w:val="auto"/>
                <w:sz w:val="24"/>
                <w:highlight w:val="none"/>
              </w:rPr>
              <w:t>.出现一次有责投诉扣0．5分，不及时处理的扣1分。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cs="仿宋"/>
                <w:color w:val="auto"/>
                <w:sz w:val="24"/>
                <w:highlight w:val="none"/>
                <w:lang w:val="en-US" w:eastAsia="zh-CN"/>
              </w:rPr>
              <w:t>19</w:t>
            </w:r>
            <w:r>
              <w:rPr>
                <w:rFonts w:hint="eastAsia" w:ascii="仿宋" w:hAnsi="仿宋" w:eastAsia="仿宋" w:cs="仿宋"/>
                <w:color w:val="auto"/>
                <w:sz w:val="24"/>
                <w:highlight w:val="none"/>
              </w:rPr>
              <w:t>.无新闻媒体曝光</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cs="仿宋"/>
                <w:color w:val="auto"/>
                <w:sz w:val="24"/>
                <w:highlight w:val="none"/>
                <w:lang w:val="en-US" w:eastAsia="zh-CN"/>
              </w:rPr>
              <w:t>19</w:t>
            </w:r>
            <w:r>
              <w:rPr>
                <w:rFonts w:hint="eastAsia" w:ascii="仿宋" w:hAnsi="仿宋" w:eastAsia="仿宋" w:cs="仿宋"/>
                <w:color w:val="auto"/>
                <w:sz w:val="24"/>
                <w:highlight w:val="none"/>
              </w:rPr>
              <w:t>.新闻媒体曝光查实有责的每次扣2分，不及时处理的扣3—5分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cs="仿宋"/>
                <w:color w:val="auto"/>
                <w:sz w:val="24"/>
                <w:highlight w:val="none"/>
                <w:lang w:val="en-US" w:eastAsia="zh-CN"/>
              </w:rPr>
              <w:t>0</w:t>
            </w:r>
            <w:r>
              <w:rPr>
                <w:rFonts w:hint="eastAsia" w:ascii="仿宋" w:hAnsi="仿宋" w:eastAsia="仿宋" w:cs="仿宋"/>
                <w:color w:val="auto"/>
                <w:sz w:val="24"/>
                <w:highlight w:val="none"/>
              </w:rPr>
              <w:t>.区级以上检查不失责任分</w:t>
            </w:r>
          </w:p>
        </w:tc>
        <w:tc>
          <w:tcPr>
            <w:tcW w:w="4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cs="仿宋"/>
                <w:color w:val="auto"/>
                <w:sz w:val="24"/>
                <w:highlight w:val="none"/>
                <w:lang w:val="en-US" w:eastAsia="zh-CN"/>
              </w:rPr>
              <w:t>0</w:t>
            </w:r>
            <w:r>
              <w:rPr>
                <w:rFonts w:hint="eastAsia" w:ascii="仿宋" w:hAnsi="仿宋" w:eastAsia="仿宋" w:cs="仿宋"/>
                <w:color w:val="auto"/>
                <w:sz w:val="24"/>
                <w:highlight w:val="none"/>
              </w:rPr>
              <w:t>.失责任分将根据情况扣3—5分</w:t>
            </w:r>
          </w:p>
        </w:tc>
      </w:tr>
    </w:tbl>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（二）绿化</w:t>
      </w:r>
      <w:r>
        <w:rPr>
          <w:rFonts w:hint="eastAsia" w:ascii="仿宋" w:hAnsi="仿宋" w:eastAsia="仿宋" w:cs="仿宋"/>
          <w:color w:val="auto"/>
          <w:sz w:val="24"/>
          <w:highlight w:val="none"/>
          <w:lang w:eastAsia="zh-CN"/>
        </w:rPr>
        <w:t>管养</w:t>
      </w:r>
      <w:r>
        <w:rPr>
          <w:rFonts w:hint="eastAsia" w:ascii="仿宋" w:hAnsi="仿宋" w:eastAsia="仿宋" w:cs="仿宋"/>
          <w:color w:val="auto"/>
          <w:sz w:val="24"/>
          <w:highlight w:val="none"/>
        </w:rPr>
        <w:t>项目</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1、修剪苗木，要求做到整齐划一，绿篱每年4次、检查中有不符合要求的，每平方扣2分，每少修剪1次的扣5分；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2、清除杂草每年12次，要求常年无杂草，检查中有不符合要求的，每平方扣2分，每少清除1次的扣5分；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3、综合性防病治虫每年4次，要求无病虫害现象，检查中发现有不符合要求的，每处扣2分，每少防治1次的扣5分；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4、全面施肥4次，要求绿化生长健壮，每平方扣2分，每少施肥1次的扣5分；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5、根据季节性温度需要，及时做好浇水护绿工作，要求无枯死、枯黄现象，绿化带每平方扣2分，出现大面积枯死的扣5分；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6、每年入冬做好防冻保暖工作，检查中发现不符合要求的，每平方扣2分，出现大面积未防冻保暖的扣5分；行道树每株未保暖的扣2分；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7、对采购人提出的零星调整、移栽、补种等应保质保量、及时完成，不按要求的每次扣5分；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8、日常绿化带内的垃圾、杂物等保洁工作，保持绿化带内整洁、无垃圾、无杂物，检查中发现的不符合要求的，每平方扣2分，重复发现的扣5分；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9、因绿化</w:t>
      </w:r>
      <w:r>
        <w:rPr>
          <w:rFonts w:hint="eastAsia" w:ascii="仿宋" w:hAnsi="仿宋" w:eastAsia="仿宋" w:cs="仿宋"/>
          <w:color w:val="auto"/>
          <w:sz w:val="24"/>
          <w:highlight w:val="none"/>
          <w:lang w:eastAsia="zh-CN"/>
        </w:rPr>
        <w:t>管养</w:t>
      </w:r>
      <w:r>
        <w:rPr>
          <w:rFonts w:hint="eastAsia" w:ascii="仿宋" w:hAnsi="仿宋" w:eastAsia="仿宋" w:cs="仿宋"/>
          <w:color w:val="auto"/>
          <w:sz w:val="24"/>
          <w:highlight w:val="none"/>
        </w:rPr>
        <w:t>不到位，导致树木死亡或绿化带大面积死亡的，由承包单位承担重新种植费用的100%。</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上述考核分数按照每分100元进行计算，考核扣除的费用每年结算时从承包费用扣除。</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注：</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1、除标注的参考品牌外，欢迎其它能满足本项目技术需求且性能与所注品牌相当的产品参与。</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2、如有附图，仅作参考。</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3、打▲内容为实质性要求，不允许有负偏离，否则将以涉及无效投标条款作无效投标。</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4、中标人所提供的货物、服务须与投标承诺一致，不得以次充好、偷工减料，若在项目验收中发现有上述情况，将向有关部门举报，根据相关规定进行处理。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rPr>
          <w:rFonts w:hint="eastAsia" w:ascii="仿宋" w:hAnsi="仿宋" w:eastAsia="仿宋" w:cs="仿宋"/>
          <w:color w:val="auto"/>
          <w:highlight w:val="none"/>
        </w:rPr>
      </w:pPr>
      <w:r>
        <w:rPr>
          <w:rFonts w:hint="eastAsia" w:ascii="仿宋" w:hAnsi="仿宋" w:eastAsia="仿宋" w:cs="仿宋"/>
          <w:color w:val="auto"/>
          <w:highlight w:val="none"/>
        </w:rPr>
        <w:t xml:space="preserve">第四部分   </w:t>
      </w:r>
      <w:bookmarkStart w:id="2" w:name="_Toc184313280"/>
      <w:bookmarkEnd w:id="2"/>
      <w:bookmarkStart w:id="3" w:name="_Toc184313286"/>
      <w:bookmarkEnd w:id="3"/>
      <w:bookmarkStart w:id="4" w:name="_Toc184310337"/>
      <w:bookmarkEnd w:id="4"/>
      <w:bookmarkStart w:id="5" w:name="_Toc184310292"/>
      <w:bookmarkEnd w:id="5"/>
      <w:bookmarkStart w:id="6" w:name="_Toc184310291"/>
      <w:bookmarkEnd w:id="6"/>
      <w:bookmarkStart w:id="7" w:name="_Toc184314413"/>
      <w:bookmarkEnd w:id="7"/>
      <w:bookmarkStart w:id="8" w:name="_Toc184310313"/>
      <w:bookmarkEnd w:id="8"/>
      <w:bookmarkStart w:id="9" w:name="_Toc184313251"/>
      <w:bookmarkEnd w:id="9"/>
      <w:bookmarkStart w:id="10" w:name="_Toc184310274"/>
      <w:bookmarkEnd w:id="10"/>
      <w:bookmarkStart w:id="11" w:name="_Toc184310333"/>
      <w:bookmarkEnd w:id="11"/>
      <w:bookmarkStart w:id="12" w:name="_Toc184310285"/>
      <w:bookmarkEnd w:id="12"/>
      <w:bookmarkStart w:id="13" w:name="_Toc184312101"/>
      <w:bookmarkEnd w:id="13"/>
      <w:bookmarkStart w:id="14" w:name="_Toc184313262"/>
      <w:bookmarkEnd w:id="14"/>
      <w:bookmarkStart w:id="15" w:name="_Toc184312078"/>
      <w:bookmarkEnd w:id="15"/>
      <w:bookmarkStart w:id="16" w:name="_Toc184308036"/>
      <w:bookmarkEnd w:id="16"/>
      <w:bookmarkStart w:id="17" w:name="_Toc184308074"/>
      <w:bookmarkEnd w:id="17"/>
      <w:bookmarkStart w:id="18" w:name="_Toc184310342"/>
      <w:bookmarkEnd w:id="18"/>
      <w:bookmarkStart w:id="19" w:name="_Toc184310312"/>
      <w:bookmarkEnd w:id="19"/>
      <w:bookmarkStart w:id="20" w:name="_Toc184312135"/>
      <w:bookmarkEnd w:id="20"/>
      <w:bookmarkStart w:id="21" w:name="_Toc184310303"/>
      <w:bookmarkEnd w:id="21"/>
      <w:bookmarkStart w:id="22" w:name="_Toc184310339"/>
      <w:bookmarkEnd w:id="22"/>
      <w:bookmarkStart w:id="23" w:name="_Toc184310279"/>
      <w:bookmarkEnd w:id="23"/>
      <w:bookmarkStart w:id="24" w:name="_Toc184312073"/>
      <w:bookmarkEnd w:id="24"/>
      <w:bookmarkStart w:id="25" w:name="_Toc184313297"/>
      <w:bookmarkEnd w:id="25"/>
      <w:bookmarkStart w:id="26" w:name="_Toc184308088"/>
      <w:bookmarkEnd w:id="26"/>
      <w:bookmarkStart w:id="27" w:name="_Toc184314464"/>
      <w:bookmarkEnd w:id="27"/>
      <w:bookmarkStart w:id="28" w:name="_Toc184308059"/>
      <w:bookmarkEnd w:id="28"/>
      <w:bookmarkStart w:id="29" w:name="_Toc184314456"/>
      <w:bookmarkEnd w:id="29"/>
      <w:bookmarkStart w:id="30" w:name="_Toc184312074"/>
      <w:bookmarkEnd w:id="30"/>
      <w:bookmarkStart w:id="31" w:name="_Toc184314455"/>
      <w:bookmarkEnd w:id="31"/>
      <w:bookmarkStart w:id="32" w:name="_Toc184312120"/>
      <w:bookmarkEnd w:id="32"/>
      <w:bookmarkStart w:id="33" w:name="_Toc184314438"/>
      <w:bookmarkEnd w:id="33"/>
      <w:bookmarkStart w:id="34" w:name="_Toc184314416"/>
      <w:bookmarkEnd w:id="34"/>
      <w:bookmarkStart w:id="35" w:name="_Toc184308107"/>
      <w:bookmarkEnd w:id="35"/>
      <w:bookmarkStart w:id="36" w:name="_Toc184312085"/>
      <w:bookmarkEnd w:id="36"/>
      <w:bookmarkStart w:id="37" w:name="_Toc184312104"/>
      <w:bookmarkEnd w:id="37"/>
      <w:bookmarkStart w:id="38" w:name="_Toc184314472"/>
      <w:bookmarkEnd w:id="38"/>
      <w:bookmarkStart w:id="39" w:name="_Toc184310330"/>
      <w:bookmarkEnd w:id="39"/>
      <w:bookmarkStart w:id="40" w:name="_Toc184312086"/>
      <w:bookmarkEnd w:id="40"/>
      <w:bookmarkStart w:id="41" w:name="_Toc184313254"/>
      <w:bookmarkEnd w:id="41"/>
      <w:bookmarkStart w:id="42" w:name="_Toc184313295"/>
      <w:bookmarkEnd w:id="42"/>
      <w:bookmarkStart w:id="43" w:name="_Toc184308098"/>
      <w:bookmarkEnd w:id="43"/>
      <w:bookmarkStart w:id="44" w:name="_Toc184308079"/>
      <w:bookmarkEnd w:id="44"/>
      <w:bookmarkStart w:id="45" w:name="_Toc184308062"/>
      <w:bookmarkEnd w:id="45"/>
      <w:bookmarkStart w:id="46" w:name="_Toc184312133"/>
      <w:bookmarkEnd w:id="46"/>
      <w:bookmarkStart w:id="47" w:name="_Toc184312106"/>
      <w:bookmarkEnd w:id="47"/>
      <w:bookmarkStart w:id="48" w:name="_Toc184308070"/>
      <w:bookmarkEnd w:id="48"/>
      <w:bookmarkStart w:id="49" w:name="_Toc184312111"/>
      <w:bookmarkEnd w:id="49"/>
      <w:bookmarkStart w:id="50" w:name="_Toc184312138"/>
      <w:bookmarkEnd w:id="50"/>
      <w:bookmarkStart w:id="51" w:name="_Toc184310294"/>
      <w:bookmarkEnd w:id="51"/>
      <w:bookmarkStart w:id="52" w:name="_Toc184310327"/>
      <w:bookmarkEnd w:id="52"/>
      <w:bookmarkStart w:id="53" w:name="_Toc184310287"/>
      <w:bookmarkEnd w:id="53"/>
      <w:bookmarkStart w:id="54" w:name="_Toc184314454"/>
      <w:bookmarkEnd w:id="54"/>
      <w:bookmarkStart w:id="55" w:name="_Toc184310298"/>
      <w:bookmarkEnd w:id="55"/>
      <w:bookmarkStart w:id="56" w:name="_Toc184313258"/>
      <w:bookmarkEnd w:id="56"/>
      <w:bookmarkStart w:id="57" w:name="_Toc184310324"/>
      <w:bookmarkEnd w:id="57"/>
      <w:bookmarkStart w:id="58" w:name="_Toc184312119"/>
      <w:bookmarkEnd w:id="58"/>
      <w:bookmarkStart w:id="59" w:name="_Toc184312132"/>
      <w:bookmarkEnd w:id="59"/>
      <w:bookmarkStart w:id="60" w:name="_Toc184310321"/>
      <w:bookmarkEnd w:id="60"/>
      <w:bookmarkStart w:id="61" w:name="_Toc184314427"/>
      <w:bookmarkEnd w:id="61"/>
      <w:bookmarkStart w:id="62" w:name="_Toc184313246"/>
      <w:bookmarkEnd w:id="62"/>
      <w:bookmarkStart w:id="63" w:name="_Toc184314461"/>
      <w:bookmarkEnd w:id="63"/>
      <w:bookmarkStart w:id="64" w:name="_Toc184313271"/>
      <w:bookmarkEnd w:id="64"/>
      <w:bookmarkStart w:id="65" w:name="_Toc184310297"/>
      <w:bookmarkEnd w:id="65"/>
      <w:bookmarkStart w:id="66" w:name="_Toc184308078"/>
      <w:bookmarkEnd w:id="66"/>
      <w:bookmarkStart w:id="67" w:name="_Toc184313302"/>
      <w:bookmarkEnd w:id="67"/>
      <w:bookmarkStart w:id="68" w:name="_Toc184308103"/>
      <w:bookmarkEnd w:id="68"/>
      <w:bookmarkStart w:id="69" w:name="_Toc184313277"/>
      <w:bookmarkEnd w:id="69"/>
      <w:bookmarkStart w:id="70" w:name="_Toc184314448"/>
      <w:bookmarkEnd w:id="70"/>
      <w:bookmarkStart w:id="71" w:name="_Toc184313244"/>
      <w:bookmarkEnd w:id="71"/>
      <w:bookmarkStart w:id="72" w:name="_Toc184313252"/>
      <w:bookmarkEnd w:id="72"/>
      <w:bookmarkStart w:id="73" w:name="_Toc184312093"/>
      <w:bookmarkEnd w:id="73"/>
      <w:bookmarkStart w:id="74" w:name="_Toc184308045"/>
      <w:bookmarkEnd w:id="74"/>
      <w:bookmarkStart w:id="75" w:name="_Toc184313239"/>
      <w:bookmarkEnd w:id="75"/>
      <w:bookmarkStart w:id="76" w:name="_Toc184314428"/>
      <w:bookmarkEnd w:id="76"/>
      <w:bookmarkStart w:id="77" w:name="_Toc184308051"/>
      <w:bookmarkEnd w:id="77"/>
      <w:bookmarkStart w:id="78" w:name="_Toc184313301"/>
      <w:bookmarkEnd w:id="78"/>
      <w:bookmarkStart w:id="79" w:name="_Toc184308091"/>
      <w:bookmarkEnd w:id="79"/>
      <w:bookmarkStart w:id="80" w:name="_Toc184312097"/>
      <w:bookmarkEnd w:id="80"/>
      <w:bookmarkStart w:id="81" w:name="_Toc184308099"/>
      <w:bookmarkEnd w:id="81"/>
      <w:bookmarkStart w:id="82" w:name="_Toc184313303"/>
      <w:bookmarkEnd w:id="82"/>
      <w:bookmarkStart w:id="83" w:name="_Toc184310293"/>
      <w:bookmarkEnd w:id="83"/>
      <w:bookmarkStart w:id="84" w:name="_Toc184312118"/>
      <w:bookmarkEnd w:id="84"/>
      <w:bookmarkStart w:id="85" w:name="_Toc184314460"/>
      <w:bookmarkEnd w:id="85"/>
      <w:bookmarkStart w:id="86" w:name="_Toc184310307"/>
      <w:bookmarkEnd w:id="86"/>
      <w:bookmarkStart w:id="87" w:name="_Toc184308049"/>
      <w:bookmarkEnd w:id="87"/>
      <w:bookmarkStart w:id="88" w:name="_Toc184313268"/>
      <w:bookmarkEnd w:id="88"/>
      <w:bookmarkStart w:id="89" w:name="_Toc184313281"/>
      <w:bookmarkEnd w:id="89"/>
      <w:bookmarkStart w:id="90" w:name="_Toc184312102"/>
      <w:bookmarkEnd w:id="90"/>
      <w:bookmarkStart w:id="91" w:name="_Toc184314442"/>
      <w:bookmarkEnd w:id="91"/>
      <w:bookmarkStart w:id="92" w:name="_Toc184313296"/>
      <w:bookmarkEnd w:id="92"/>
      <w:bookmarkStart w:id="93" w:name="_Toc184314473"/>
      <w:bookmarkEnd w:id="93"/>
      <w:bookmarkStart w:id="94" w:name="_Toc184313260"/>
      <w:bookmarkEnd w:id="94"/>
      <w:bookmarkStart w:id="95" w:name="_Toc184312067"/>
      <w:bookmarkEnd w:id="95"/>
      <w:bookmarkStart w:id="96" w:name="_Toc184308057"/>
      <w:bookmarkEnd w:id="96"/>
      <w:bookmarkStart w:id="97" w:name="_Toc184310311"/>
      <w:bookmarkEnd w:id="97"/>
      <w:bookmarkStart w:id="98" w:name="_Toc184313264"/>
      <w:bookmarkEnd w:id="98"/>
      <w:bookmarkStart w:id="99" w:name="_Toc184310317"/>
      <w:bookmarkEnd w:id="99"/>
      <w:bookmarkStart w:id="100" w:name="_Toc184313307"/>
      <w:bookmarkEnd w:id="100"/>
      <w:bookmarkStart w:id="101" w:name="_Toc184308064"/>
      <w:bookmarkEnd w:id="101"/>
      <w:bookmarkStart w:id="102" w:name="_Toc184313266"/>
      <w:bookmarkEnd w:id="102"/>
      <w:bookmarkStart w:id="103" w:name="_Toc184308105"/>
      <w:bookmarkEnd w:id="103"/>
      <w:bookmarkStart w:id="104" w:name="_Toc184314465"/>
      <w:bookmarkEnd w:id="104"/>
      <w:bookmarkStart w:id="105" w:name="_Toc184310326"/>
      <w:bookmarkEnd w:id="105"/>
      <w:bookmarkStart w:id="106" w:name="_Toc184312112"/>
      <w:bookmarkEnd w:id="106"/>
      <w:bookmarkStart w:id="107" w:name="_Toc184314451"/>
      <w:bookmarkEnd w:id="107"/>
      <w:bookmarkStart w:id="108" w:name="_Toc184310281"/>
      <w:bookmarkEnd w:id="108"/>
      <w:bookmarkStart w:id="109" w:name="_Toc184308037"/>
      <w:bookmarkEnd w:id="109"/>
      <w:bookmarkStart w:id="110" w:name="_Toc184308044"/>
      <w:bookmarkEnd w:id="110"/>
      <w:bookmarkStart w:id="111" w:name="_Toc184314433"/>
      <w:bookmarkEnd w:id="111"/>
      <w:bookmarkStart w:id="112" w:name="_Toc184308039"/>
      <w:bookmarkEnd w:id="112"/>
      <w:bookmarkStart w:id="113" w:name="_Toc184314445"/>
      <w:bookmarkEnd w:id="113"/>
      <w:bookmarkStart w:id="114" w:name="_Toc184313292"/>
      <w:bookmarkEnd w:id="114"/>
      <w:bookmarkStart w:id="115" w:name="_Toc184310288"/>
      <w:bookmarkEnd w:id="115"/>
      <w:bookmarkStart w:id="116" w:name="_Toc184310278"/>
      <w:bookmarkEnd w:id="116"/>
      <w:bookmarkStart w:id="117" w:name="_Toc184314458"/>
      <w:bookmarkEnd w:id="117"/>
      <w:bookmarkStart w:id="118" w:name="_Toc184312113"/>
      <w:bookmarkEnd w:id="118"/>
      <w:bookmarkStart w:id="119" w:name="_Toc184312136"/>
      <w:bookmarkEnd w:id="119"/>
      <w:bookmarkStart w:id="120" w:name="_Toc184314482"/>
      <w:bookmarkEnd w:id="120"/>
      <w:bookmarkStart w:id="121" w:name="_Toc184314467"/>
      <w:bookmarkEnd w:id="121"/>
      <w:bookmarkStart w:id="122" w:name="_Toc184314450"/>
      <w:bookmarkEnd w:id="122"/>
      <w:bookmarkStart w:id="123" w:name="_Toc184310341"/>
      <w:bookmarkEnd w:id="123"/>
      <w:bookmarkStart w:id="124" w:name="_Toc184310305"/>
      <w:bookmarkEnd w:id="124"/>
      <w:bookmarkStart w:id="125" w:name="_Toc184314469"/>
      <w:bookmarkEnd w:id="125"/>
      <w:bookmarkStart w:id="126" w:name="_Toc184312128"/>
      <w:bookmarkEnd w:id="126"/>
      <w:bookmarkStart w:id="127" w:name="_Toc184314446"/>
      <w:bookmarkEnd w:id="127"/>
      <w:bookmarkStart w:id="128" w:name="_Toc184313243"/>
      <w:bookmarkEnd w:id="128"/>
      <w:bookmarkStart w:id="129" w:name="_Toc184308104"/>
      <w:bookmarkEnd w:id="129"/>
      <w:bookmarkStart w:id="130" w:name="_Toc184312092"/>
      <w:bookmarkEnd w:id="130"/>
      <w:bookmarkStart w:id="131" w:name="_Toc184314440"/>
      <w:bookmarkEnd w:id="131"/>
      <w:bookmarkStart w:id="132" w:name="_Toc184314412"/>
      <w:bookmarkEnd w:id="132"/>
      <w:bookmarkStart w:id="133" w:name="_Toc184310338"/>
      <w:bookmarkEnd w:id="133"/>
      <w:bookmarkStart w:id="134" w:name="_Toc184314434"/>
      <w:bookmarkEnd w:id="134"/>
      <w:bookmarkStart w:id="135" w:name="_Toc184308055"/>
      <w:bookmarkEnd w:id="135"/>
      <w:bookmarkStart w:id="136" w:name="_Toc184313256"/>
      <w:bookmarkEnd w:id="136"/>
      <w:bookmarkStart w:id="137" w:name="_Toc184313306"/>
      <w:bookmarkEnd w:id="137"/>
      <w:bookmarkStart w:id="138" w:name="_Toc184310318"/>
      <w:bookmarkEnd w:id="138"/>
      <w:bookmarkStart w:id="139" w:name="_Toc184308072"/>
      <w:bookmarkEnd w:id="139"/>
      <w:bookmarkStart w:id="140" w:name="_Toc184310277"/>
      <w:bookmarkEnd w:id="140"/>
      <w:bookmarkStart w:id="141" w:name="_Toc184314437"/>
      <w:bookmarkEnd w:id="141"/>
      <w:bookmarkStart w:id="142" w:name="_Toc184310319"/>
      <w:bookmarkEnd w:id="142"/>
      <w:bookmarkStart w:id="143" w:name="_Toc184314436"/>
      <w:bookmarkEnd w:id="143"/>
      <w:bookmarkStart w:id="144" w:name="_Toc184308046"/>
      <w:bookmarkEnd w:id="144"/>
      <w:bookmarkStart w:id="145" w:name="_Toc184313282"/>
      <w:bookmarkEnd w:id="145"/>
      <w:bookmarkStart w:id="146" w:name="_Toc184308086"/>
      <w:bookmarkEnd w:id="146"/>
      <w:bookmarkStart w:id="147" w:name="_Toc184308082"/>
      <w:bookmarkEnd w:id="147"/>
      <w:bookmarkStart w:id="148" w:name="_Toc184308094"/>
      <w:bookmarkEnd w:id="148"/>
      <w:bookmarkStart w:id="149" w:name="_Toc184308077"/>
      <w:bookmarkEnd w:id="149"/>
      <w:bookmarkStart w:id="150" w:name="_Toc184310286"/>
      <w:bookmarkEnd w:id="150"/>
      <w:bookmarkStart w:id="151" w:name="_Toc184313261"/>
      <w:bookmarkEnd w:id="151"/>
      <w:bookmarkStart w:id="152" w:name="_Toc184313242"/>
      <w:bookmarkEnd w:id="152"/>
      <w:bookmarkStart w:id="153" w:name="_Toc184312096"/>
      <w:bookmarkEnd w:id="153"/>
      <w:bookmarkStart w:id="154" w:name="_Toc184314474"/>
      <w:bookmarkEnd w:id="154"/>
      <w:bookmarkStart w:id="155" w:name="_Toc184313288"/>
      <w:bookmarkEnd w:id="155"/>
      <w:bookmarkStart w:id="156" w:name="_Toc184308090"/>
      <w:bookmarkEnd w:id="156"/>
      <w:bookmarkStart w:id="157" w:name="_Toc184312127"/>
      <w:bookmarkEnd w:id="157"/>
      <w:bookmarkStart w:id="158" w:name="_Toc184308102"/>
      <w:bookmarkEnd w:id="158"/>
      <w:bookmarkStart w:id="159" w:name="_Toc184313290"/>
      <w:bookmarkEnd w:id="159"/>
      <w:bookmarkStart w:id="160" w:name="_Toc184314468"/>
      <w:bookmarkEnd w:id="160"/>
      <w:bookmarkStart w:id="161" w:name="_Toc184308108"/>
      <w:bookmarkEnd w:id="161"/>
      <w:bookmarkStart w:id="162" w:name="_Toc184314471"/>
      <w:bookmarkEnd w:id="162"/>
      <w:bookmarkStart w:id="163" w:name="_Toc184313294"/>
      <w:bookmarkEnd w:id="163"/>
      <w:bookmarkStart w:id="164" w:name="_Toc184313269"/>
      <w:bookmarkEnd w:id="164"/>
      <w:bookmarkStart w:id="165" w:name="_Toc184313270"/>
      <w:bookmarkEnd w:id="165"/>
      <w:bookmarkStart w:id="166" w:name="_Toc184314439"/>
      <w:bookmarkEnd w:id="166"/>
      <w:bookmarkStart w:id="167" w:name="_Toc184313250"/>
      <w:bookmarkEnd w:id="167"/>
      <w:bookmarkStart w:id="168" w:name="_Toc184314414"/>
      <w:bookmarkEnd w:id="168"/>
      <w:bookmarkStart w:id="169" w:name="_Toc184312098"/>
      <w:bookmarkEnd w:id="169"/>
      <w:bookmarkStart w:id="170" w:name="_Toc184310296"/>
      <w:bookmarkEnd w:id="170"/>
      <w:bookmarkStart w:id="171" w:name="_Toc184314432"/>
      <w:bookmarkEnd w:id="171"/>
      <w:bookmarkStart w:id="172" w:name="_Toc184308087"/>
      <w:bookmarkEnd w:id="172"/>
      <w:bookmarkStart w:id="173" w:name="_Toc184313284"/>
      <w:bookmarkEnd w:id="173"/>
      <w:bookmarkStart w:id="174" w:name="_Toc184312094"/>
      <w:bookmarkEnd w:id="174"/>
      <w:bookmarkStart w:id="175" w:name="_Toc184312069"/>
      <w:bookmarkEnd w:id="175"/>
      <w:bookmarkStart w:id="176" w:name="_Toc184308084"/>
      <w:bookmarkEnd w:id="176"/>
      <w:bookmarkStart w:id="177" w:name="_Toc184312134"/>
      <w:bookmarkEnd w:id="177"/>
      <w:bookmarkStart w:id="178" w:name="_Toc184313245"/>
      <w:bookmarkEnd w:id="178"/>
      <w:bookmarkStart w:id="179" w:name="_Toc184313240"/>
      <w:bookmarkEnd w:id="179"/>
      <w:bookmarkStart w:id="180" w:name="_Toc184313274"/>
      <w:bookmarkEnd w:id="180"/>
      <w:bookmarkStart w:id="181" w:name="_Toc184313247"/>
      <w:bookmarkEnd w:id="181"/>
      <w:bookmarkStart w:id="182" w:name="_Toc184308097"/>
      <w:bookmarkEnd w:id="182"/>
      <w:bookmarkStart w:id="183" w:name="_Toc184310331"/>
      <w:bookmarkEnd w:id="183"/>
      <w:bookmarkStart w:id="184" w:name="_Toc184313241"/>
      <w:bookmarkEnd w:id="184"/>
      <w:bookmarkStart w:id="185" w:name="_Toc184310325"/>
      <w:bookmarkEnd w:id="185"/>
      <w:bookmarkStart w:id="186" w:name="_Toc184308042"/>
      <w:bookmarkEnd w:id="186"/>
      <w:bookmarkStart w:id="187" w:name="_Toc184314480"/>
      <w:bookmarkEnd w:id="187"/>
      <w:bookmarkStart w:id="188" w:name="_Toc184310290"/>
      <w:bookmarkEnd w:id="188"/>
      <w:bookmarkStart w:id="189" w:name="_Toc184308054"/>
      <w:bookmarkEnd w:id="189"/>
      <w:bookmarkStart w:id="190" w:name="_Toc184312121"/>
      <w:bookmarkEnd w:id="190"/>
      <w:bookmarkStart w:id="191" w:name="_Toc184308085"/>
      <w:bookmarkEnd w:id="191"/>
      <w:bookmarkStart w:id="192" w:name="_Toc184312099"/>
      <w:bookmarkEnd w:id="192"/>
      <w:bookmarkStart w:id="193" w:name="_Toc184313287"/>
      <w:bookmarkEnd w:id="193"/>
      <w:bookmarkStart w:id="194" w:name="_Toc184314475"/>
      <w:bookmarkEnd w:id="194"/>
      <w:bookmarkStart w:id="195" w:name="_Toc184310328"/>
      <w:bookmarkEnd w:id="195"/>
      <w:bookmarkStart w:id="196" w:name="_Toc184310284"/>
      <w:bookmarkEnd w:id="196"/>
      <w:bookmarkStart w:id="197" w:name="_Toc184310310"/>
      <w:bookmarkEnd w:id="197"/>
      <w:bookmarkStart w:id="198" w:name="_Toc184310322"/>
      <w:bookmarkEnd w:id="198"/>
      <w:bookmarkStart w:id="199" w:name="_Toc184313257"/>
      <w:bookmarkEnd w:id="199"/>
      <w:bookmarkStart w:id="200" w:name="_Toc184310304"/>
      <w:bookmarkEnd w:id="200"/>
      <w:bookmarkStart w:id="201" w:name="_Toc184314466"/>
      <w:bookmarkEnd w:id="201"/>
      <w:bookmarkStart w:id="202" w:name="_Toc184310300"/>
      <w:bookmarkEnd w:id="202"/>
      <w:bookmarkStart w:id="203" w:name="_Toc184312109"/>
      <w:bookmarkEnd w:id="203"/>
      <w:bookmarkStart w:id="204" w:name="_Toc184314423"/>
      <w:bookmarkEnd w:id="204"/>
      <w:bookmarkStart w:id="205" w:name="_Toc184310340"/>
      <w:bookmarkEnd w:id="205"/>
      <w:bookmarkStart w:id="206" w:name="_Toc184310308"/>
      <w:bookmarkEnd w:id="206"/>
      <w:bookmarkStart w:id="207" w:name="_Toc184308096"/>
      <w:bookmarkEnd w:id="207"/>
      <w:bookmarkStart w:id="208" w:name="_Toc184313285"/>
      <w:bookmarkEnd w:id="208"/>
      <w:bookmarkStart w:id="209" w:name="_Toc184313276"/>
      <w:bookmarkEnd w:id="209"/>
      <w:bookmarkStart w:id="210" w:name="_Toc184308067"/>
      <w:bookmarkEnd w:id="210"/>
      <w:bookmarkStart w:id="211" w:name="_Toc184310272"/>
      <w:bookmarkEnd w:id="211"/>
      <w:bookmarkStart w:id="212" w:name="_Toc184314452"/>
      <w:bookmarkEnd w:id="212"/>
      <w:bookmarkStart w:id="213" w:name="_Toc184314417"/>
      <w:bookmarkEnd w:id="213"/>
      <w:bookmarkStart w:id="214" w:name="_Toc184310334"/>
      <w:bookmarkEnd w:id="214"/>
      <w:bookmarkStart w:id="215" w:name="_Toc184308068"/>
      <w:bookmarkEnd w:id="215"/>
      <w:bookmarkStart w:id="216" w:name="_Toc184308040"/>
      <w:bookmarkEnd w:id="216"/>
      <w:bookmarkStart w:id="217" w:name="_Toc184314447"/>
      <w:bookmarkEnd w:id="217"/>
      <w:bookmarkStart w:id="218" w:name="_Toc184312123"/>
      <w:bookmarkEnd w:id="218"/>
      <w:bookmarkStart w:id="219" w:name="_Toc184314459"/>
      <w:bookmarkEnd w:id="219"/>
      <w:bookmarkStart w:id="220" w:name="_Toc184313304"/>
      <w:bookmarkEnd w:id="220"/>
      <w:bookmarkStart w:id="221" w:name="_Toc184312088"/>
      <w:bookmarkEnd w:id="221"/>
      <w:bookmarkStart w:id="222" w:name="_Toc184312071"/>
      <w:bookmarkEnd w:id="222"/>
      <w:bookmarkStart w:id="223" w:name="_Toc184313253"/>
      <w:bookmarkEnd w:id="223"/>
      <w:bookmarkStart w:id="224" w:name="_Toc184312072"/>
      <w:bookmarkEnd w:id="224"/>
      <w:bookmarkStart w:id="225" w:name="_Toc184313310"/>
      <w:bookmarkEnd w:id="225"/>
      <w:bookmarkStart w:id="226" w:name="_Toc184314476"/>
      <w:bookmarkEnd w:id="226"/>
      <w:bookmarkStart w:id="227" w:name="_Toc184310329"/>
      <w:bookmarkEnd w:id="227"/>
      <w:bookmarkStart w:id="228" w:name="_Toc184312117"/>
      <w:bookmarkEnd w:id="228"/>
      <w:bookmarkStart w:id="229" w:name="_Toc184308089"/>
      <w:bookmarkEnd w:id="229"/>
      <w:bookmarkStart w:id="230" w:name="_Toc184308047"/>
      <w:bookmarkEnd w:id="230"/>
      <w:bookmarkStart w:id="231" w:name="_Toc184312068"/>
      <w:bookmarkEnd w:id="231"/>
      <w:bookmarkStart w:id="232" w:name="_Toc184312129"/>
      <w:bookmarkEnd w:id="232"/>
      <w:bookmarkStart w:id="233" w:name="_Toc184310320"/>
      <w:bookmarkEnd w:id="233"/>
      <w:bookmarkStart w:id="234" w:name="_Toc184313278"/>
      <w:bookmarkEnd w:id="234"/>
      <w:bookmarkStart w:id="235" w:name="_Toc184314470"/>
      <w:bookmarkEnd w:id="235"/>
      <w:bookmarkStart w:id="236" w:name="_Toc184312126"/>
      <w:bookmarkEnd w:id="236"/>
      <w:bookmarkStart w:id="237" w:name="_Toc184310306"/>
      <w:bookmarkEnd w:id="237"/>
      <w:bookmarkStart w:id="238" w:name="_Toc184313263"/>
      <w:bookmarkEnd w:id="238"/>
      <w:bookmarkStart w:id="239" w:name="_Toc184308056"/>
      <w:bookmarkEnd w:id="239"/>
      <w:bookmarkStart w:id="240" w:name="_Toc184313299"/>
      <w:bookmarkEnd w:id="240"/>
      <w:bookmarkStart w:id="241" w:name="_Toc184314421"/>
      <w:bookmarkEnd w:id="241"/>
      <w:bookmarkStart w:id="242" w:name="_Toc184314425"/>
      <w:bookmarkEnd w:id="242"/>
      <w:bookmarkStart w:id="243" w:name="_Toc184313298"/>
      <w:bookmarkEnd w:id="243"/>
      <w:bookmarkStart w:id="244" w:name="_Toc184310280"/>
      <w:bookmarkEnd w:id="244"/>
      <w:bookmarkStart w:id="245" w:name="_Toc184314424"/>
      <w:bookmarkEnd w:id="245"/>
      <w:bookmarkStart w:id="246" w:name="_Toc184312103"/>
      <w:bookmarkEnd w:id="246"/>
      <w:bookmarkStart w:id="247" w:name="_Toc184313305"/>
      <w:bookmarkEnd w:id="247"/>
      <w:bookmarkStart w:id="248" w:name="_Toc184314410"/>
      <w:bookmarkEnd w:id="248"/>
      <w:bookmarkStart w:id="249" w:name="_Toc184312087"/>
      <w:bookmarkEnd w:id="249"/>
      <w:bookmarkStart w:id="250" w:name="_Toc184314419"/>
      <w:bookmarkEnd w:id="250"/>
      <w:bookmarkStart w:id="251" w:name="_Toc184312125"/>
      <w:bookmarkEnd w:id="251"/>
      <w:bookmarkStart w:id="252" w:name="_Toc184313249"/>
      <w:bookmarkEnd w:id="252"/>
      <w:bookmarkStart w:id="253" w:name="_Toc184310309"/>
      <w:bookmarkEnd w:id="253"/>
      <w:bookmarkStart w:id="254" w:name="_Toc184308050"/>
      <w:bookmarkEnd w:id="254"/>
      <w:bookmarkStart w:id="255" w:name="_Toc184310316"/>
      <w:bookmarkEnd w:id="255"/>
      <w:bookmarkStart w:id="256" w:name="_Toc184312116"/>
      <w:bookmarkEnd w:id="256"/>
      <w:bookmarkStart w:id="257" w:name="_Toc184312137"/>
      <w:bookmarkEnd w:id="257"/>
      <w:bookmarkStart w:id="258" w:name="_Toc184308065"/>
      <w:bookmarkEnd w:id="258"/>
      <w:bookmarkStart w:id="259" w:name="_Toc184312095"/>
      <w:bookmarkEnd w:id="259"/>
      <w:bookmarkStart w:id="260" w:name="_Toc184312122"/>
      <w:bookmarkEnd w:id="260"/>
      <w:bookmarkStart w:id="261" w:name="_Toc184314418"/>
      <w:bookmarkEnd w:id="261"/>
      <w:bookmarkStart w:id="262" w:name="_Toc184314479"/>
      <w:bookmarkEnd w:id="262"/>
      <w:bookmarkStart w:id="263" w:name="_Toc184312076"/>
      <w:bookmarkEnd w:id="263"/>
      <w:bookmarkStart w:id="264" w:name="_Toc184314441"/>
      <w:bookmarkEnd w:id="264"/>
      <w:bookmarkStart w:id="265" w:name="_Toc184314481"/>
      <w:bookmarkEnd w:id="265"/>
      <w:bookmarkStart w:id="266" w:name="_Toc184312070"/>
      <w:bookmarkEnd w:id="266"/>
      <w:bookmarkStart w:id="267" w:name="_Toc184312124"/>
      <w:bookmarkEnd w:id="267"/>
      <w:bookmarkStart w:id="268" w:name="_Toc184308083"/>
      <w:bookmarkEnd w:id="268"/>
      <w:bookmarkStart w:id="269" w:name="_Toc184313308"/>
      <w:bookmarkEnd w:id="269"/>
      <w:bookmarkStart w:id="270" w:name="_Toc184314443"/>
      <w:bookmarkEnd w:id="270"/>
      <w:bookmarkStart w:id="271" w:name="_Toc184312084"/>
      <w:bookmarkEnd w:id="271"/>
      <w:bookmarkStart w:id="272" w:name="_Toc184312082"/>
      <w:bookmarkEnd w:id="272"/>
      <w:bookmarkStart w:id="273" w:name="_Toc184312100"/>
      <w:bookmarkEnd w:id="273"/>
      <w:bookmarkStart w:id="274" w:name="_Toc184313279"/>
      <w:bookmarkEnd w:id="274"/>
      <w:bookmarkStart w:id="275" w:name="_Toc184314463"/>
      <w:bookmarkEnd w:id="275"/>
      <w:bookmarkStart w:id="276" w:name="_Toc184310276"/>
      <w:bookmarkEnd w:id="276"/>
      <w:bookmarkStart w:id="277" w:name="_Toc184308095"/>
      <w:bookmarkEnd w:id="277"/>
      <w:bookmarkStart w:id="278" w:name="_Toc184308063"/>
      <w:bookmarkEnd w:id="278"/>
      <w:bookmarkStart w:id="279" w:name="_Toc184314426"/>
      <w:bookmarkEnd w:id="279"/>
      <w:bookmarkStart w:id="280" w:name="_Toc184308038"/>
      <w:bookmarkEnd w:id="280"/>
      <w:bookmarkStart w:id="281" w:name="_Toc184308093"/>
      <w:bookmarkEnd w:id="281"/>
      <w:bookmarkStart w:id="282" w:name="_Toc184313300"/>
      <w:bookmarkEnd w:id="282"/>
      <w:bookmarkStart w:id="283" w:name="_Toc184310282"/>
      <w:bookmarkEnd w:id="283"/>
      <w:bookmarkStart w:id="284" w:name="_Toc184313283"/>
      <w:bookmarkEnd w:id="284"/>
      <w:bookmarkStart w:id="285" w:name="_Toc184314429"/>
      <w:bookmarkEnd w:id="285"/>
      <w:bookmarkStart w:id="286" w:name="_Toc184310315"/>
      <w:bookmarkEnd w:id="286"/>
      <w:bookmarkStart w:id="287" w:name="_Toc184308061"/>
      <w:bookmarkEnd w:id="287"/>
      <w:bookmarkStart w:id="288" w:name="_Toc184310336"/>
      <w:bookmarkEnd w:id="288"/>
      <w:bookmarkStart w:id="289" w:name="_Toc184310299"/>
      <w:bookmarkEnd w:id="289"/>
      <w:bookmarkStart w:id="290" w:name="_Toc184313272"/>
      <w:bookmarkEnd w:id="290"/>
      <w:bookmarkStart w:id="291" w:name="_Toc184308092"/>
      <w:bookmarkEnd w:id="291"/>
      <w:bookmarkStart w:id="292" w:name="_Toc184310344"/>
      <w:bookmarkEnd w:id="292"/>
      <w:bookmarkStart w:id="293" w:name="_Toc184310295"/>
      <w:bookmarkEnd w:id="293"/>
      <w:bookmarkStart w:id="294" w:name="_Toc184312091"/>
      <w:bookmarkEnd w:id="294"/>
      <w:bookmarkStart w:id="295" w:name="_Toc184314420"/>
      <w:bookmarkEnd w:id="295"/>
      <w:bookmarkStart w:id="296" w:name="_Toc184312081"/>
      <w:bookmarkEnd w:id="296"/>
      <w:bookmarkStart w:id="297" w:name="_Toc184308043"/>
      <w:bookmarkEnd w:id="297"/>
      <w:bookmarkStart w:id="298" w:name="_Toc184312108"/>
      <w:bookmarkEnd w:id="298"/>
      <w:bookmarkStart w:id="299" w:name="_Toc184313267"/>
      <w:bookmarkEnd w:id="299"/>
      <w:bookmarkStart w:id="300" w:name="_Toc184308048"/>
      <w:bookmarkEnd w:id="300"/>
      <w:bookmarkStart w:id="301" w:name="_Toc184310343"/>
      <w:bookmarkEnd w:id="301"/>
      <w:bookmarkStart w:id="302" w:name="_Toc184308100"/>
      <w:bookmarkEnd w:id="302"/>
      <w:bookmarkStart w:id="303" w:name="_Toc184312110"/>
      <w:bookmarkEnd w:id="303"/>
      <w:bookmarkStart w:id="304" w:name="_Toc184308071"/>
      <w:bookmarkEnd w:id="304"/>
      <w:bookmarkStart w:id="305" w:name="_Toc184313248"/>
      <w:bookmarkEnd w:id="305"/>
      <w:bookmarkStart w:id="306" w:name="_Toc184312090"/>
      <w:bookmarkEnd w:id="306"/>
      <w:bookmarkStart w:id="307" w:name="_Toc184310275"/>
      <w:bookmarkEnd w:id="307"/>
      <w:bookmarkStart w:id="308" w:name="_Toc184312083"/>
      <w:bookmarkEnd w:id="308"/>
      <w:bookmarkStart w:id="309" w:name="_Toc184312115"/>
      <w:bookmarkEnd w:id="309"/>
      <w:bookmarkStart w:id="310" w:name="_Toc184308053"/>
      <w:bookmarkEnd w:id="310"/>
      <w:bookmarkStart w:id="311" w:name="_Toc184310302"/>
      <w:bookmarkEnd w:id="311"/>
      <w:bookmarkStart w:id="312" w:name="_Toc184308052"/>
      <w:bookmarkEnd w:id="312"/>
      <w:bookmarkStart w:id="313" w:name="_Toc184308106"/>
      <w:bookmarkEnd w:id="313"/>
      <w:bookmarkStart w:id="314" w:name="_Toc184312089"/>
      <w:bookmarkEnd w:id="314"/>
      <w:bookmarkStart w:id="315" w:name="_Toc184314477"/>
      <w:bookmarkEnd w:id="315"/>
      <w:bookmarkStart w:id="316" w:name="_Toc184313293"/>
      <w:bookmarkEnd w:id="316"/>
      <w:bookmarkStart w:id="317" w:name="_Toc184312079"/>
      <w:bookmarkEnd w:id="317"/>
      <w:bookmarkStart w:id="318" w:name="_Toc184313309"/>
      <w:bookmarkEnd w:id="318"/>
      <w:bookmarkStart w:id="319" w:name="_Toc184310283"/>
      <w:bookmarkEnd w:id="319"/>
      <w:bookmarkStart w:id="320" w:name="_Toc184312105"/>
      <w:bookmarkEnd w:id="320"/>
      <w:bookmarkStart w:id="321" w:name="_Toc184310335"/>
      <w:bookmarkEnd w:id="321"/>
      <w:bookmarkStart w:id="322" w:name="_Toc184310273"/>
      <w:bookmarkEnd w:id="322"/>
      <w:bookmarkStart w:id="323" w:name="_Toc184314435"/>
      <w:bookmarkEnd w:id="323"/>
      <w:bookmarkStart w:id="324" w:name="_Toc184310314"/>
      <w:bookmarkEnd w:id="324"/>
      <w:bookmarkStart w:id="325" w:name="_Toc184313275"/>
      <w:bookmarkEnd w:id="325"/>
      <w:bookmarkStart w:id="326" w:name="_Toc184308069"/>
      <w:bookmarkEnd w:id="326"/>
      <w:bookmarkStart w:id="327" w:name="_Toc184313291"/>
      <w:bookmarkEnd w:id="327"/>
      <w:bookmarkStart w:id="328" w:name="_Toc184310332"/>
      <w:bookmarkEnd w:id="328"/>
      <w:bookmarkStart w:id="329" w:name="_Toc184310301"/>
      <w:bookmarkEnd w:id="329"/>
      <w:bookmarkStart w:id="330" w:name="_Toc184312080"/>
      <w:bookmarkEnd w:id="330"/>
      <w:bookmarkStart w:id="331" w:name="_Toc184308060"/>
      <w:bookmarkEnd w:id="331"/>
      <w:bookmarkStart w:id="332" w:name="_Toc184314430"/>
      <w:bookmarkEnd w:id="332"/>
      <w:bookmarkStart w:id="333" w:name="_Toc184313238"/>
      <w:bookmarkEnd w:id="333"/>
      <w:bookmarkStart w:id="334" w:name="_Toc184308101"/>
      <w:bookmarkEnd w:id="334"/>
      <w:bookmarkStart w:id="335" w:name="_Toc184314422"/>
      <w:bookmarkEnd w:id="335"/>
      <w:bookmarkStart w:id="336" w:name="_Toc184308066"/>
      <w:bookmarkEnd w:id="336"/>
      <w:bookmarkStart w:id="337" w:name="_Toc184314478"/>
      <w:bookmarkEnd w:id="337"/>
      <w:bookmarkStart w:id="338" w:name="_Toc184314457"/>
      <w:bookmarkEnd w:id="338"/>
      <w:bookmarkStart w:id="339" w:name="_Toc184312139"/>
      <w:bookmarkEnd w:id="339"/>
      <w:bookmarkStart w:id="340" w:name="_Toc184308076"/>
      <w:bookmarkEnd w:id="340"/>
      <w:bookmarkStart w:id="341" w:name="_Toc184310323"/>
      <w:bookmarkEnd w:id="341"/>
      <w:bookmarkStart w:id="342" w:name="_Toc184313289"/>
      <w:bookmarkEnd w:id="342"/>
      <w:bookmarkStart w:id="343" w:name="_Toc184313255"/>
      <w:bookmarkEnd w:id="343"/>
      <w:bookmarkStart w:id="344" w:name="_Toc184312130"/>
      <w:bookmarkEnd w:id="344"/>
      <w:bookmarkStart w:id="345" w:name="_Toc184308041"/>
      <w:bookmarkEnd w:id="345"/>
      <w:bookmarkStart w:id="346" w:name="_Toc184308080"/>
      <w:bookmarkEnd w:id="346"/>
      <w:bookmarkStart w:id="347" w:name="_Toc184313259"/>
      <w:bookmarkEnd w:id="347"/>
      <w:bookmarkStart w:id="348" w:name="_Toc184314431"/>
      <w:bookmarkEnd w:id="348"/>
      <w:bookmarkStart w:id="349" w:name="_Toc184308081"/>
      <w:bookmarkEnd w:id="349"/>
      <w:bookmarkStart w:id="350" w:name="_Toc184310289"/>
      <w:bookmarkEnd w:id="350"/>
      <w:bookmarkStart w:id="351" w:name="_Toc184308058"/>
      <w:bookmarkEnd w:id="351"/>
      <w:bookmarkStart w:id="352" w:name="_Toc184312107"/>
      <w:bookmarkEnd w:id="352"/>
      <w:bookmarkStart w:id="353" w:name="_Toc184313265"/>
      <w:bookmarkEnd w:id="353"/>
      <w:bookmarkStart w:id="354" w:name="_Toc184312077"/>
      <w:bookmarkEnd w:id="354"/>
      <w:bookmarkStart w:id="355" w:name="_Toc184312075"/>
      <w:bookmarkEnd w:id="355"/>
      <w:bookmarkStart w:id="356" w:name="_Toc184308073"/>
      <w:bookmarkEnd w:id="356"/>
      <w:bookmarkStart w:id="357" w:name="_Toc184312131"/>
      <w:bookmarkEnd w:id="357"/>
      <w:bookmarkStart w:id="358" w:name="_Toc184312114"/>
      <w:bookmarkEnd w:id="358"/>
      <w:bookmarkStart w:id="359" w:name="_Toc184314462"/>
      <w:bookmarkEnd w:id="359"/>
      <w:bookmarkStart w:id="360" w:name="_Toc184308075"/>
      <w:bookmarkEnd w:id="360"/>
      <w:bookmarkStart w:id="361" w:name="_Toc184313273"/>
      <w:bookmarkEnd w:id="361"/>
      <w:bookmarkStart w:id="362" w:name="_Toc184314449"/>
      <w:bookmarkEnd w:id="362"/>
      <w:bookmarkStart w:id="363" w:name="_Toc184314444"/>
      <w:bookmarkEnd w:id="363"/>
      <w:bookmarkStart w:id="364" w:name="_Toc184314411"/>
      <w:bookmarkEnd w:id="364"/>
      <w:bookmarkStart w:id="365" w:name="_Toc184314453"/>
      <w:bookmarkEnd w:id="365"/>
      <w:bookmarkStart w:id="366" w:name="_Toc184314415"/>
      <w:bookmarkEnd w:id="366"/>
      <w:r>
        <w:rPr>
          <w:rFonts w:hint="eastAsia" w:ascii="仿宋" w:hAnsi="仿宋" w:eastAsia="仿宋" w:cs="仿宋"/>
          <w:color w:val="auto"/>
          <w:highlight w:val="none"/>
        </w:rPr>
        <w:t>评标办法</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评标办法前附表</w:t>
      </w:r>
    </w:p>
    <w:p>
      <w:pPr>
        <w:keepNext w:val="0"/>
        <w:keepLines w:val="0"/>
        <w:pageBreakBefore w:val="0"/>
        <w:widowControl/>
        <w:kinsoku/>
        <w:wordWrap/>
        <w:overflowPunct/>
        <w:topLinePunct w:val="0"/>
        <w:autoSpaceDE/>
        <w:autoSpaceDN/>
        <w:bidi w:val="0"/>
        <w:adjustRightInd/>
        <w:snapToGrid/>
        <w:spacing w:after="0"/>
        <w:jc w:val="lef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1、商务</w:t>
      </w:r>
      <w:r>
        <w:rPr>
          <w:rFonts w:hint="eastAsia" w:cs="仿宋"/>
          <w:b/>
          <w:bCs/>
          <w:color w:val="auto"/>
          <w:sz w:val="24"/>
          <w:highlight w:val="none"/>
          <w:lang w:val="en-US" w:eastAsia="zh-CN"/>
        </w:rPr>
        <w:t>技术分</w:t>
      </w:r>
      <w:r>
        <w:rPr>
          <w:rFonts w:hint="eastAsia" w:ascii="仿宋" w:hAnsi="仿宋" w:eastAsia="仿宋" w:cs="仿宋"/>
          <w:b/>
          <w:bCs/>
          <w:color w:val="auto"/>
          <w:sz w:val="24"/>
          <w:highlight w:val="none"/>
        </w:rPr>
        <w:t>（</w:t>
      </w:r>
      <w:r>
        <w:rPr>
          <w:rFonts w:hint="eastAsia" w:cs="仿宋"/>
          <w:b/>
          <w:bCs/>
          <w:color w:val="auto"/>
          <w:sz w:val="24"/>
          <w:highlight w:val="none"/>
          <w:lang w:val="en-US" w:eastAsia="zh-CN"/>
        </w:rPr>
        <w:t>80</w:t>
      </w:r>
      <w:r>
        <w:rPr>
          <w:rFonts w:hint="eastAsia" w:ascii="仿宋" w:hAnsi="仿宋" w:eastAsia="仿宋" w:cs="仿宋"/>
          <w:b/>
          <w:bCs/>
          <w:color w:val="auto"/>
          <w:sz w:val="24"/>
          <w:highlight w:val="none"/>
        </w:rPr>
        <w:t>分）</w:t>
      </w:r>
    </w:p>
    <w:tbl>
      <w:tblPr>
        <w:tblStyle w:val="22"/>
        <w:tblpPr w:leftFromText="180" w:rightFromText="180" w:vertAnchor="text" w:horzAnchor="margin" w:tblpX="104" w:tblpY="381"/>
        <w:tblOverlap w:val="never"/>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11"/>
        <w:gridCol w:w="4838"/>
        <w:gridCol w:w="880"/>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项目</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4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评分内容和标准</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分值</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区间</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4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商务资信（10分）</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48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cs="仿宋"/>
                <w:color w:val="auto"/>
                <w:sz w:val="24"/>
                <w:highlight w:val="none"/>
                <w:lang w:eastAsia="zh-CN"/>
              </w:rPr>
              <w:t>投标单位</w:t>
            </w:r>
            <w:r>
              <w:rPr>
                <w:rFonts w:hint="eastAsia" w:ascii="仿宋" w:hAnsi="仿宋" w:eastAsia="仿宋" w:cs="仿宋"/>
                <w:color w:val="auto"/>
                <w:sz w:val="24"/>
                <w:highlight w:val="none"/>
              </w:rPr>
              <w:t>自201</w:t>
            </w:r>
            <w:r>
              <w:rPr>
                <w:rFonts w:hint="eastAsia" w:cs="仿宋"/>
                <w:color w:val="auto"/>
                <w:sz w:val="24"/>
                <w:highlight w:val="none"/>
                <w:lang w:val="en-US" w:eastAsia="zh-CN"/>
              </w:rPr>
              <w:t>9</w:t>
            </w:r>
            <w:r>
              <w:rPr>
                <w:rFonts w:hint="eastAsia" w:ascii="仿宋" w:hAnsi="仿宋" w:eastAsia="仿宋" w:cs="仿宋"/>
                <w:color w:val="auto"/>
                <w:sz w:val="24"/>
                <w:highlight w:val="none"/>
              </w:rPr>
              <w:t>年1月1日起有类似本项目内容的镇街业绩，</w:t>
            </w:r>
            <w:r>
              <w:rPr>
                <w:rFonts w:hint="eastAsia" w:ascii="仿宋" w:hAnsi="仿宋" w:eastAsia="仿宋" w:cs="仿宋"/>
                <w:color w:val="auto"/>
                <w:sz w:val="24"/>
                <w:highlight w:val="none"/>
              </w:rPr>
              <w:t>每个得0.3分，最</w:t>
            </w:r>
            <w:r>
              <w:rPr>
                <w:rFonts w:hint="eastAsia" w:ascii="仿宋" w:hAnsi="仿宋" w:eastAsia="仿宋" w:cs="仿宋"/>
                <w:color w:val="auto"/>
                <w:sz w:val="24"/>
                <w:highlight w:val="none"/>
              </w:rPr>
              <w:t>高得1.5分。（投标文件中提供业绩汇总表、合同、中标通知书复印件，同一个项目不累计得分）</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rPr>
              <w:t>0-1.5分</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kern w:val="0"/>
                <w:sz w:val="24"/>
                <w:highlight w:val="none"/>
              </w:rPr>
            </w:pP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2</w:t>
            </w:r>
          </w:p>
        </w:tc>
        <w:tc>
          <w:tcPr>
            <w:tcW w:w="48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r>
              <w:rPr>
                <w:rFonts w:hint="eastAsia" w:cs="仿宋"/>
                <w:color w:val="auto"/>
                <w:sz w:val="24"/>
                <w:highlight w:val="none"/>
                <w:lang w:eastAsia="zh-CN"/>
              </w:rPr>
              <w:t>投标单位</w:t>
            </w:r>
            <w:r>
              <w:rPr>
                <w:rFonts w:hint="eastAsia" w:ascii="仿宋" w:hAnsi="仿宋" w:eastAsia="仿宋" w:cs="仿宋"/>
                <w:color w:val="auto"/>
                <w:sz w:val="24"/>
                <w:highlight w:val="none"/>
              </w:rPr>
              <w:t>自2018年1月1日获得省级及以上政府部门颁发的环卫荣誉的得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分，获得市级政府部门颁发的环卫荣誉的得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分，获得区级政府部门颁发的环卫荣誉的得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分，没有的不得分。（</w:t>
            </w:r>
            <w:r>
              <w:rPr>
                <w:rFonts w:hint="eastAsia" w:cs="仿宋"/>
                <w:color w:val="auto"/>
                <w:sz w:val="24"/>
                <w:highlight w:val="none"/>
                <w:lang w:val="en-US" w:eastAsia="zh-CN"/>
              </w:rPr>
              <w:t>同一类型按最高标准计取，不累计加分</w:t>
            </w:r>
            <w:r>
              <w:rPr>
                <w:rFonts w:hint="eastAsia" w:cs="仿宋"/>
                <w:color w:val="auto"/>
                <w:sz w:val="24"/>
                <w:highlight w:val="none"/>
                <w:lang w:eastAsia="zh-CN"/>
              </w:rPr>
              <w:t>。</w:t>
            </w:r>
            <w:r>
              <w:rPr>
                <w:rFonts w:hint="eastAsia" w:ascii="仿宋" w:hAnsi="仿宋" w:eastAsia="仿宋" w:cs="仿宋"/>
                <w:color w:val="auto"/>
                <w:sz w:val="24"/>
                <w:highlight w:val="none"/>
              </w:rPr>
              <w:t>投标文件中提供复印件）</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r>
              <w:rPr>
                <w:rFonts w:hint="eastAsia" w:cs="仿宋"/>
                <w:color w:val="auto"/>
                <w:sz w:val="24"/>
                <w:highlight w:val="none"/>
                <w:lang w:eastAsia="zh-CN"/>
              </w:rPr>
              <w:t>投标单位</w:t>
            </w:r>
            <w:r>
              <w:rPr>
                <w:rFonts w:hint="eastAsia" w:ascii="仿宋" w:hAnsi="仿宋" w:eastAsia="仿宋" w:cs="仿宋"/>
                <w:color w:val="auto"/>
                <w:sz w:val="24"/>
                <w:highlight w:val="none"/>
              </w:rPr>
              <w:t>自2018年1月1日获得省级及以上政府部门颁发的信用类</w:t>
            </w:r>
            <w:r>
              <w:rPr>
                <w:rFonts w:hint="eastAsia" w:cs="仿宋"/>
                <w:color w:val="auto"/>
                <w:sz w:val="24"/>
                <w:highlight w:val="none"/>
                <w:lang w:eastAsia="zh-CN"/>
              </w:rPr>
              <w:t>证书</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分，获得市级政府部门颁发的信用类</w:t>
            </w:r>
            <w:r>
              <w:rPr>
                <w:rFonts w:hint="eastAsia" w:cs="仿宋"/>
                <w:color w:val="auto"/>
                <w:sz w:val="24"/>
                <w:highlight w:val="none"/>
                <w:lang w:eastAsia="zh-CN"/>
              </w:rPr>
              <w:t>证书</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分，获得区级政府部门颁发的信用类</w:t>
            </w:r>
            <w:r>
              <w:rPr>
                <w:rFonts w:hint="eastAsia" w:cs="仿宋"/>
                <w:color w:val="auto"/>
                <w:sz w:val="24"/>
                <w:highlight w:val="none"/>
                <w:lang w:eastAsia="zh-CN"/>
              </w:rPr>
              <w:t>证书</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分，没有的不得分。（</w:t>
            </w:r>
            <w:r>
              <w:rPr>
                <w:rFonts w:hint="eastAsia" w:cs="仿宋"/>
                <w:color w:val="auto"/>
                <w:sz w:val="24"/>
                <w:highlight w:val="none"/>
                <w:lang w:val="en-US" w:eastAsia="zh-CN"/>
              </w:rPr>
              <w:t>同一类型按最高标准计取，不累计加分</w:t>
            </w:r>
            <w:r>
              <w:rPr>
                <w:rFonts w:hint="eastAsia" w:cs="仿宋"/>
                <w:color w:val="auto"/>
                <w:sz w:val="24"/>
                <w:highlight w:val="none"/>
                <w:lang w:eastAsia="zh-CN"/>
              </w:rPr>
              <w:t>。</w:t>
            </w:r>
            <w:r>
              <w:rPr>
                <w:rFonts w:hint="eastAsia" w:ascii="仿宋" w:hAnsi="仿宋" w:eastAsia="仿宋" w:cs="仿宋"/>
                <w:color w:val="auto"/>
                <w:sz w:val="24"/>
                <w:highlight w:val="none"/>
              </w:rPr>
              <w:t>投标文件中提供</w:t>
            </w:r>
            <w:r>
              <w:rPr>
                <w:rFonts w:hint="eastAsia" w:cs="仿宋"/>
                <w:color w:val="auto"/>
                <w:sz w:val="24"/>
                <w:highlight w:val="none"/>
                <w:lang w:eastAsia="zh-CN"/>
              </w:rPr>
              <w:t>证书</w:t>
            </w:r>
            <w:r>
              <w:rPr>
                <w:rFonts w:hint="eastAsia" w:ascii="仿宋" w:hAnsi="仿宋" w:eastAsia="仿宋" w:cs="仿宋"/>
                <w:color w:val="auto"/>
                <w:sz w:val="24"/>
                <w:highlight w:val="none"/>
              </w:rPr>
              <w:t>材料复印件）</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kern w:val="0"/>
                <w:sz w:val="24"/>
                <w:highlight w:val="none"/>
              </w:rPr>
            </w:pP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48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cs="仿宋"/>
                <w:color w:val="auto"/>
                <w:sz w:val="24"/>
                <w:highlight w:val="none"/>
                <w:lang w:eastAsia="zh-CN"/>
              </w:rPr>
              <w:t>投标单位</w:t>
            </w:r>
            <w:r>
              <w:rPr>
                <w:rFonts w:ascii="仿宋" w:hAnsi="仿宋" w:eastAsia="仿宋" w:cs="仿宋"/>
                <w:color w:val="auto"/>
                <w:sz w:val="24"/>
                <w:highlight w:val="none"/>
              </w:rPr>
              <w:t>具有有效期内的质量管理体系认证证书，得</w:t>
            </w:r>
            <w:r>
              <w:rPr>
                <w:rFonts w:hint="eastAsia" w:ascii="仿宋" w:hAnsi="仿宋" w:eastAsia="仿宋" w:cs="仿宋"/>
                <w:color w:val="auto"/>
                <w:sz w:val="24"/>
                <w:highlight w:val="none"/>
              </w:rPr>
              <w:t>0.5</w:t>
            </w:r>
            <w:r>
              <w:rPr>
                <w:rFonts w:ascii="仿宋" w:hAnsi="仿宋" w:eastAsia="仿宋" w:cs="仿宋"/>
                <w:color w:val="auto"/>
                <w:sz w:val="24"/>
                <w:highlight w:val="none"/>
              </w:rPr>
              <w:t>分；具有有效期内环境管理体系认证证书，得</w:t>
            </w:r>
            <w:r>
              <w:rPr>
                <w:rFonts w:hint="eastAsia" w:ascii="仿宋" w:hAnsi="仿宋" w:eastAsia="仿宋" w:cs="仿宋"/>
                <w:color w:val="auto"/>
                <w:sz w:val="24"/>
                <w:highlight w:val="none"/>
              </w:rPr>
              <w:t>0.5</w:t>
            </w:r>
            <w:r>
              <w:rPr>
                <w:rFonts w:ascii="仿宋" w:hAnsi="仿宋" w:eastAsia="仿宋" w:cs="仿宋"/>
                <w:color w:val="auto"/>
                <w:sz w:val="24"/>
                <w:highlight w:val="none"/>
              </w:rPr>
              <w:t>分；具有有效期内职业健康安全管理体系认证证书，得</w:t>
            </w:r>
            <w:r>
              <w:rPr>
                <w:rFonts w:hint="eastAsia" w:ascii="仿宋" w:hAnsi="仿宋" w:eastAsia="仿宋" w:cs="仿宋"/>
                <w:color w:val="auto"/>
                <w:sz w:val="24"/>
                <w:highlight w:val="none"/>
              </w:rPr>
              <w:t>0.5</w:t>
            </w:r>
            <w:r>
              <w:rPr>
                <w:rFonts w:ascii="仿宋" w:hAnsi="仿宋" w:eastAsia="仿宋" w:cs="仿宋"/>
                <w:color w:val="auto"/>
                <w:sz w:val="24"/>
                <w:highlight w:val="none"/>
              </w:rPr>
              <w:t>分。</w:t>
            </w:r>
            <w:r>
              <w:rPr>
                <w:rFonts w:hint="eastAsia" w:ascii="仿宋" w:hAnsi="仿宋" w:eastAsia="仿宋" w:cs="仿宋"/>
                <w:color w:val="auto"/>
                <w:sz w:val="24"/>
                <w:highlight w:val="none"/>
              </w:rPr>
              <w:t>（提供证书复印件，证书需在有效期内，不提供不得分）</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rPr>
              <w:t>0-1.5分</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kern w:val="0"/>
                <w:sz w:val="24"/>
                <w:highlight w:val="none"/>
              </w:rPr>
            </w:pP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48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rPr>
            </w:pPr>
            <w:r>
              <w:rPr>
                <w:rFonts w:hint="eastAsia" w:cs="仿宋"/>
                <w:color w:val="auto"/>
                <w:sz w:val="24"/>
                <w:highlight w:val="none"/>
                <w:lang w:eastAsia="zh-CN"/>
              </w:rPr>
              <w:t>投标单位</w:t>
            </w:r>
            <w:r>
              <w:rPr>
                <w:rFonts w:hint="eastAsia" w:ascii="仿宋" w:hAnsi="仿宋" w:eastAsia="仿宋" w:cs="仿宋"/>
                <w:color w:val="auto"/>
                <w:sz w:val="24"/>
                <w:highlight w:val="none"/>
                <w:lang w:val="en-US" w:eastAsia="zh-CN"/>
              </w:rPr>
              <w:t>建立</w:t>
            </w:r>
            <w:r>
              <w:rPr>
                <w:rFonts w:hint="eastAsia" w:ascii="仿宋" w:hAnsi="仿宋" w:eastAsia="仿宋" w:cs="仿宋"/>
                <w:bCs/>
                <w:color w:val="auto"/>
                <w:sz w:val="24"/>
                <w:highlight w:val="none"/>
              </w:rPr>
              <w:t>党组织的得</w:t>
            </w:r>
            <w:r>
              <w:rPr>
                <w:rFonts w:hint="eastAsia" w:ascii="仿宋" w:hAnsi="仿宋" w:eastAsia="仿宋" w:cs="仿宋"/>
                <w:bCs/>
                <w:color w:val="auto"/>
                <w:sz w:val="24"/>
                <w:highlight w:val="none"/>
                <w:lang w:val="en-US" w:eastAsia="zh-CN"/>
              </w:rPr>
              <w:t>0.5</w:t>
            </w:r>
            <w:r>
              <w:rPr>
                <w:rFonts w:hint="eastAsia" w:ascii="仿宋" w:hAnsi="仿宋" w:eastAsia="仿宋" w:cs="仿宋"/>
                <w:bCs/>
                <w:color w:val="auto"/>
                <w:sz w:val="24"/>
                <w:highlight w:val="none"/>
              </w:rPr>
              <w:t>分；</w:t>
            </w:r>
            <w:r>
              <w:rPr>
                <w:rFonts w:hint="eastAsia" w:cs="仿宋"/>
                <w:bCs/>
                <w:color w:val="auto"/>
                <w:sz w:val="24"/>
                <w:highlight w:val="none"/>
                <w:lang w:eastAsia="zh-CN"/>
              </w:rPr>
              <w:t>投标单位</w:t>
            </w:r>
            <w:r>
              <w:rPr>
                <w:rFonts w:hint="eastAsia" w:ascii="仿宋" w:hAnsi="仿宋" w:eastAsia="仿宋" w:cs="仿宋"/>
                <w:bCs/>
                <w:color w:val="auto"/>
                <w:sz w:val="24"/>
                <w:highlight w:val="none"/>
                <w:lang w:val="en-US" w:eastAsia="zh-CN"/>
              </w:rPr>
              <w:t>建立</w:t>
            </w:r>
            <w:r>
              <w:rPr>
                <w:rFonts w:hint="eastAsia" w:ascii="仿宋" w:hAnsi="仿宋" w:eastAsia="仿宋" w:cs="仿宋"/>
                <w:bCs/>
                <w:color w:val="auto"/>
                <w:sz w:val="24"/>
                <w:highlight w:val="none"/>
              </w:rPr>
              <w:t>工会组织的得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w:t>
            </w:r>
            <w:r>
              <w:rPr>
                <w:rFonts w:hint="eastAsia" w:cs="仿宋"/>
                <w:color w:val="auto"/>
                <w:sz w:val="24"/>
                <w:highlight w:val="none"/>
                <w:lang w:eastAsia="zh-CN"/>
              </w:rPr>
              <w:t>（</w:t>
            </w:r>
            <w:r>
              <w:rPr>
                <w:rFonts w:hint="eastAsia" w:ascii="仿宋" w:hAnsi="仿宋" w:eastAsia="仿宋" w:cs="仿宋"/>
                <w:color w:val="auto"/>
                <w:sz w:val="24"/>
                <w:highlight w:val="none"/>
              </w:rPr>
              <w:t>投标文件中提供党组织成立相关批文证明材料和工会组织成立相关批文</w:t>
            </w:r>
            <w:r>
              <w:rPr>
                <w:rFonts w:hint="eastAsia" w:cs="仿宋"/>
                <w:color w:val="auto"/>
                <w:sz w:val="24"/>
                <w:highlight w:val="none"/>
                <w:lang w:eastAsia="zh-CN"/>
              </w:rPr>
              <w:t>等</w:t>
            </w:r>
            <w:r>
              <w:rPr>
                <w:rFonts w:hint="eastAsia" w:ascii="仿宋" w:hAnsi="仿宋" w:eastAsia="仿宋" w:cs="仿宋"/>
                <w:color w:val="auto"/>
                <w:sz w:val="24"/>
                <w:highlight w:val="none"/>
              </w:rPr>
              <w:t>证明材料。未提供不得分</w:t>
            </w:r>
            <w:r>
              <w:rPr>
                <w:rFonts w:hint="eastAsia" w:cs="仿宋"/>
                <w:color w:val="auto"/>
                <w:sz w:val="24"/>
                <w:highlight w:val="none"/>
                <w:lang w:eastAsia="zh-CN"/>
              </w:rPr>
              <w:t>）</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6"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术</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分）</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lang w:eastAsia="zh-CN"/>
              </w:rPr>
            </w:pPr>
            <w:r>
              <w:rPr>
                <w:rFonts w:hint="eastAsia" w:cs="仿宋"/>
                <w:color w:val="auto"/>
                <w:sz w:val="24"/>
                <w:szCs w:val="24"/>
                <w:highlight w:val="none"/>
                <w:lang w:val="en-US" w:eastAsia="zh-CN"/>
              </w:rPr>
              <w:t>5</w:t>
            </w:r>
          </w:p>
        </w:tc>
        <w:tc>
          <w:tcPr>
            <w:tcW w:w="48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cs="仿宋"/>
                <w:color w:val="auto"/>
                <w:sz w:val="24"/>
                <w:highlight w:val="none"/>
                <w:lang w:eastAsia="zh-CN"/>
              </w:rPr>
            </w:pPr>
            <w:r>
              <w:rPr>
                <w:rFonts w:hint="eastAsia" w:ascii="仿宋" w:hAnsi="仿宋" w:eastAsia="仿宋" w:cs="仿宋"/>
                <w:color w:val="auto"/>
                <w:highlight w:val="none"/>
              </w:rPr>
              <w:t>根据</w:t>
            </w:r>
            <w:r>
              <w:rPr>
                <w:rFonts w:hint="eastAsia" w:cs="仿宋"/>
                <w:color w:val="auto"/>
                <w:highlight w:val="none"/>
                <w:lang w:eastAsia="zh-CN"/>
              </w:rPr>
              <w:t>投标单位</w:t>
            </w:r>
            <w:r>
              <w:rPr>
                <w:rFonts w:hint="eastAsia" w:ascii="仿宋" w:hAnsi="仿宋" w:eastAsia="仿宋" w:cs="仿宋"/>
                <w:color w:val="auto"/>
                <w:highlight w:val="none"/>
              </w:rPr>
              <w:t>对本项目的理解：包括作业情况分析、组织实施措施</w:t>
            </w:r>
            <w:r>
              <w:rPr>
                <w:rFonts w:hint="eastAsia" w:cs="仿宋"/>
                <w:color w:val="auto"/>
                <w:highlight w:val="none"/>
                <w:lang w:eastAsia="zh-CN"/>
              </w:rPr>
              <w:t>、</w:t>
            </w:r>
            <w:r>
              <w:rPr>
                <w:rFonts w:hint="eastAsia" w:ascii="仿宋" w:hAnsi="仿宋" w:eastAsia="仿宋" w:cs="仿宋"/>
                <w:color w:val="auto"/>
                <w:highlight w:val="none"/>
              </w:rPr>
              <w:t>预期管理目标、管理服务理念、管理及运作流程、各类管理机制、管理优势</w:t>
            </w:r>
            <w:r>
              <w:rPr>
                <w:rFonts w:hint="eastAsia" w:ascii="仿宋" w:hAnsi="仿宋" w:cs="仿宋"/>
                <w:color w:val="auto"/>
                <w:highlight w:val="none"/>
                <w:lang w:eastAsia="zh-CN"/>
              </w:rPr>
              <w:t>，</w:t>
            </w:r>
            <w:r>
              <w:rPr>
                <w:rFonts w:hint="eastAsia" w:ascii="仿宋" w:hAnsi="仿宋" w:eastAsia="仿宋" w:cs="仿宋"/>
                <w:color w:val="auto"/>
                <w:kern w:val="0"/>
                <w:sz w:val="24"/>
                <w:szCs w:val="24"/>
                <w:highlight w:val="none"/>
                <w:shd w:val="clear" w:color="auto" w:fill="auto"/>
                <w:lang w:val="en-US" w:eastAsia="zh-CN"/>
              </w:rPr>
              <w:t>根据提供的内容的完整性、与项目的匹配性进行评分。内容完整且与项目匹配度好的得5分；内容基本完整且与项目匹配度较好的得4分；内容存在欠缺或与项目匹配度一般的得2分；内容缺失严重或与项目不匹配的不得分</w:t>
            </w:r>
            <w:r>
              <w:rPr>
                <w:rFonts w:hint="eastAsia" w:ascii="仿宋" w:hAnsi="仿宋" w:eastAsia="仿宋" w:cs="仿宋"/>
                <w:color w:val="auto"/>
                <w:highlight w:val="none"/>
                <w:lang w:val="zh-CN"/>
              </w:rPr>
              <w:t>。</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rPr>
            </w:pPr>
            <w:r>
              <w:rPr>
                <w:rFonts w:hint="eastAsia"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kern w:val="0"/>
                <w:sz w:val="24"/>
                <w:highlight w:val="none"/>
              </w:rPr>
            </w:pP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rPr>
            </w:pPr>
            <w:r>
              <w:rPr>
                <w:rFonts w:hint="eastAsia" w:cs="仿宋"/>
                <w:color w:val="auto"/>
                <w:sz w:val="24"/>
                <w:szCs w:val="24"/>
                <w:highlight w:val="none"/>
                <w:lang w:val="en-US" w:eastAsia="zh-CN"/>
              </w:rPr>
              <w:t>6</w:t>
            </w:r>
          </w:p>
        </w:tc>
        <w:tc>
          <w:tcPr>
            <w:tcW w:w="4838" w:type="dxa"/>
            <w:tcBorders>
              <w:top w:val="single" w:color="auto" w:sz="4" w:space="0"/>
              <w:left w:val="single" w:color="auto" w:sz="4" w:space="0"/>
              <w:bottom w:val="single" w:color="auto" w:sz="4" w:space="0"/>
              <w:right w:val="single" w:color="auto" w:sz="4" w:space="0"/>
            </w:tcBorders>
            <w:shd w:val="clear" w:color="auto" w:fill="FFFFFF"/>
            <w:vAlign w:val="center"/>
          </w:tcPr>
          <w:p>
            <w:pPr>
              <w:jc w:val="both"/>
              <w:rPr>
                <w:rFonts w:hint="eastAsia" w:cs="仿宋"/>
                <w:color w:val="auto"/>
                <w:sz w:val="24"/>
                <w:highlight w:val="none"/>
                <w:lang w:eastAsia="zh-CN"/>
              </w:rPr>
            </w:pPr>
            <w:r>
              <w:rPr>
                <w:rFonts w:hint="eastAsia" w:ascii="仿宋" w:hAnsi="仿宋" w:eastAsia="仿宋" w:cs="仿宋"/>
                <w:color w:val="auto"/>
                <w:highlight w:val="none"/>
              </w:rPr>
              <w:t>根据</w:t>
            </w:r>
            <w:r>
              <w:rPr>
                <w:rFonts w:hint="eastAsia" w:ascii="仿宋" w:hAnsi="仿宋" w:eastAsia="仿宋" w:cs="仿宋"/>
                <w:color w:val="auto"/>
                <w:highlight w:val="none"/>
                <w:lang w:val="zh-CN"/>
              </w:rPr>
              <w:t>道路</w:t>
            </w:r>
            <w:r>
              <w:rPr>
                <w:rFonts w:hint="eastAsia" w:ascii="仿宋" w:hAnsi="仿宋" w:eastAsia="仿宋" w:cs="仿宋"/>
                <w:color w:val="auto"/>
                <w:highlight w:val="none"/>
              </w:rPr>
              <w:t>清扫</w:t>
            </w:r>
            <w:r>
              <w:rPr>
                <w:rFonts w:hint="eastAsia" w:ascii="仿宋" w:hAnsi="仿宋" w:eastAsia="仿宋" w:cs="仿宋"/>
                <w:color w:val="auto"/>
                <w:highlight w:val="none"/>
                <w:lang w:val="zh-CN"/>
              </w:rPr>
              <w:t>保洁</w:t>
            </w:r>
            <w:r>
              <w:rPr>
                <w:rFonts w:hint="eastAsia" w:cs="仿宋"/>
                <w:color w:val="auto"/>
                <w:highlight w:val="none"/>
                <w:lang w:val="en-US" w:eastAsia="zh-CN"/>
              </w:rPr>
              <w:t>要求提供</w:t>
            </w:r>
            <w:r>
              <w:rPr>
                <w:rFonts w:hint="eastAsia" w:ascii="仿宋" w:hAnsi="仿宋" w:eastAsia="仿宋" w:cs="仿宋"/>
                <w:color w:val="auto"/>
                <w:highlight w:val="none"/>
              </w:rPr>
              <w:t>拟投入的清扫保洁人员组织、机具设备、时间安排、不同类别道路的清扫解决方案</w:t>
            </w:r>
            <w:r>
              <w:rPr>
                <w:rFonts w:hint="eastAsia" w:ascii="仿宋" w:hAnsi="仿宋" w:cs="仿宋"/>
                <w:color w:val="auto"/>
                <w:highlight w:val="none"/>
                <w:lang w:eastAsia="zh-CN"/>
              </w:rPr>
              <w:t>，</w:t>
            </w:r>
            <w:r>
              <w:rPr>
                <w:rFonts w:hint="eastAsia" w:ascii="仿宋" w:hAnsi="仿宋" w:eastAsia="仿宋" w:cs="仿宋"/>
                <w:color w:val="auto"/>
                <w:kern w:val="0"/>
                <w:sz w:val="24"/>
                <w:szCs w:val="24"/>
                <w:highlight w:val="none"/>
                <w:shd w:val="clear" w:color="auto" w:fill="auto"/>
                <w:lang w:val="en-US" w:eastAsia="zh-CN"/>
              </w:rPr>
              <w:t>根据提供的</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内容的完整性、与项目的匹配性进行评分。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内容完整且与项目匹配度好的得5分；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内容基本完整且与项目匹配度较好的得4分；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内容存在欠缺或与项目匹配度一般的得2分；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内容缺失严重或与项目不匹配的不得分</w:t>
            </w:r>
            <w:r>
              <w:rPr>
                <w:rFonts w:hint="eastAsia" w:ascii="仿宋" w:hAnsi="仿宋" w:eastAsia="仿宋" w:cs="仿宋"/>
                <w:color w:val="auto"/>
                <w:highlight w:val="none"/>
                <w:lang w:val="zh-CN"/>
              </w:rPr>
              <w:t>。</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rPr>
            </w:pPr>
            <w:r>
              <w:rPr>
                <w:rFonts w:hint="eastAsia"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kern w:val="0"/>
                <w:sz w:val="24"/>
                <w:highlight w:val="none"/>
              </w:rPr>
            </w:pP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rPr>
            </w:pPr>
            <w:r>
              <w:rPr>
                <w:rFonts w:hint="eastAsia" w:cs="仿宋"/>
                <w:color w:val="auto"/>
                <w:sz w:val="24"/>
                <w:szCs w:val="24"/>
                <w:highlight w:val="none"/>
                <w:lang w:val="en-US" w:eastAsia="zh-CN"/>
              </w:rPr>
              <w:t>7</w:t>
            </w:r>
          </w:p>
        </w:tc>
        <w:tc>
          <w:tcPr>
            <w:tcW w:w="48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cs="仿宋"/>
                <w:color w:val="auto"/>
                <w:sz w:val="24"/>
                <w:highlight w:val="none"/>
                <w:lang w:eastAsia="zh-CN"/>
              </w:rPr>
            </w:pPr>
            <w:r>
              <w:rPr>
                <w:rFonts w:hint="eastAsia" w:ascii="仿宋" w:hAnsi="仿宋" w:eastAsia="仿宋" w:cs="仿宋"/>
                <w:color w:val="auto"/>
                <w:highlight w:val="none"/>
              </w:rPr>
              <w:t>根据绿化</w:t>
            </w:r>
            <w:r>
              <w:rPr>
                <w:rFonts w:hint="eastAsia" w:cs="仿宋"/>
                <w:color w:val="auto"/>
                <w:highlight w:val="none"/>
                <w:lang w:val="en-US" w:eastAsia="zh-CN"/>
              </w:rPr>
              <w:t>管养要求提供</w:t>
            </w:r>
            <w:r>
              <w:rPr>
                <w:rFonts w:hint="eastAsia" w:ascii="仿宋" w:hAnsi="仿宋" w:eastAsia="仿宋" w:cs="仿宋"/>
                <w:color w:val="auto"/>
                <w:highlight w:val="none"/>
              </w:rPr>
              <w:t>拟投入的管养人员组织、设施设备</w:t>
            </w:r>
            <w:r>
              <w:rPr>
                <w:rFonts w:hint="eastAsia" w:cs="仿宋"/>
                <w:color w:val="auto"/>
                <w:highlight w:val="none"/>
                <w:lang w:eastAsia="zh-CN"/>
              </w:rPr>
              <w:t>、</w:t>
            </w:r>
            <w:r>
              <w:rPr>
                <w:rFonts w:hint="eastAsia" w:ascii="仿宋" w:hAnsi="仿宋" w:eastAsia="仿宋" w:cs="仿宋"/>
                <w:color w:val="auto"/>
                <w:highlight w:val="none"/>
              </w:rPr>
              <w:t>时间安排、不同类别绿化管养的解决方案</w:t>
            </w:r>
            <w:r>
              <w:rPr>
                <w:rFonts w:hint="eastAsia" w:ascii="仿宋" w:hAnsi="仿宋" w:cs="仿宋"/>
                <w:color w:val="auto"/>
                <w:highlight w:val="none"/>
                <w:lang w:eastAsia="zh-CN"/>
              </w:rPr>
              <w:t>，</w:t>
            </w:r>
            <w:r>
              <w:rPr>
                <w:rFonts w:hint="eastAsia" w:ascii="仿宋" w:hAnsi="仿宋" w:eastAsia="仿宋" w:cs="仿宋"/>
                <w:color w:val="auto"/>
                <w:kern w:val="0"/>
                <w:sz w:val="24"/>
                <w:szCs w:val="24"/>
                <w:highlight w:val="none"/>
                <w:shd w:val="clear" w:color="auto" w:fill="auto"/>
                <w:lang w:val="en-US" w:eastAsia="zh-CN"/>
              </w:rPr>
              <w:t>根据提供的</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内容的完整性、与项目的匹配性进行评分。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内容完整且与项目匹配度好的得5分；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内容基本完整且与项目匹配度较好的得4分；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内容存在欠缺或与项目匹配度一般的得2分；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内容缺失严重或与项目不匹配的不得分</w:t>
            </w:r>
            <w:r>
              <w:rPr>
                <w:rFonts w:hint="eastAsia" w:ascii="仿宋" w:hAnsi="仿宋" w:eastAsia="仿宋" w:cs="仿宋"/>
                <w:color w:val="auto"/>
                <w:highlight w:val="none"/>
                <w:lang w:val="zh-CN"/>
              </w:rPr>
              <w:t>。</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rPr>
            </w:pPr>
            <w:r>
              <w:rPr>
                <w:rFonts w:hint="eastAsia"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kern w:val="0"/>
                <w:sz w:val="24"/>
                <w:highlight w:val="none"/>
              </w:rPr>
            </w:pP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rPr>
            </w:pPr>
            <w:r>
              <w:rPr>
                <w:rFonts w:hint="eastAsia" w:cs="仿宋"/>
                <w:color w:val="auto"/>
                <w:sz w:val="24"/>
                <w:szCs w:val="24"/>
                <w:highlight w:val="none"/>
                <w:lang w:val="en-US" w:eastAsia="zh-CN"/>
              </w:rPr>
              <w:t>8</w:t>
            </w:r>
          </w:p>
        </w:tc>
        <w:tc>
          <w:tcPr>
            <w:tcW w:w="4838"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cs="仿宋"/>
                <w:color w:val="auto"/>
                <w:sz w:val="24"/>
                <w:highlight w:val="none"/>
                <w:lang w:eastAsia="zh-CN"/>
              </w:rPr>
            </w:pPr>
            <w:r>
              <w:rPr>
                <w:rFonts w:hint="eastAsia" w:cs="仿宋"/>
                <w:color w:val="auto"/>
                <w:highlight w:val="none"/>
                <w:lang w:val="en-US" w:eastAsia="zh-CN"/>
              </w:rPr>
              <w:t>根据要求制定巡回保洁方案和区域内其他垃圾清运方案，落实</w:t>
            </w:r>
            <w:r>
              <w:rPr>
                <w:rFonts w:hint="eastAsia" w:ascii="仿宋" w:hAnsi="仿宋" w:eastAsia="仿宋" w:cs="仿宋"/>
                <w:color w:val="auto"/>
                <w:highlight w:val="none"/>
              </w:rPr>
              <w:t>专职</w:t>
            </w:r>
            <w:r>
              <w:rPr>
                <w:rFonts w:hint="eastAsia" w:ascii="仿宋" w:hAnsi="仿宋" w:eastAsia="仿宋" w:cs="仿宋"/>
                <w:color w:val="auto"/>
                <w:highlight w:val="none"/>
                <w:lang w:val="zh-CN"/>
              </w:rPr>
              <w:t>巡查</w:t>
            </w:r>
            <w:r>
              <w:rPr>
                <w:rFonts w:hint="eastAsia" w:ascii="仿宋" w:hAnsi="仿宋" w:eastAsia="仿宋" w:cs="仿宋"/>
                <w:color w:val="auto"/>
                <w:highlight w:val="none"/>
              </w:rPr>
              <w:t>人</w:t>
            </w:r>
            <w:r>
              <w:rPr>
                <w:rFonts w:hint="eastAsia" w:ascii="仿宋" w:hAnsi="仿宋" w:eastAsia="仿宋" w:cs="仿宋"/>
                <w:color w:val="auto"/>
                <w:highlight w:val="none"/>
                <w:lang w:val="zh-CN"/>
              </w:rPr>
              <w:t>员，建立</w:t>
            </w:r>
            <w:r>
              <w:rPr>
                <w:rFonts w:hint="eastAsia" w:ascii="仿宋" w:hAnsi="仿宋" w:eastAsia="仿宋" w:cs="仿宋"/>
                <w:color w:val="auto"/>
                <w:highlight w:val="none"/>
              </w:rPr>
              <w:t>完善的</w:t>
            </w:r>
            <w:r>
              <w:rPr>
                <w:rFonts w:hint="eastAsia" w:ascii="仿宋" w:hAnsi="仿宋" w:eastAsia="仿宋" w:cs="仿宋"/>
                <w:color w:val="auto"/>
                <w:highlight w:val="none"/>
                <w:lang w:val="zh-CN"/>
              </w:rPr>
              <w:t>考核</w:t>
            </w:r>
            <w:r>
              <w:rPr>
                <w:rFonts w:hint="eastAsia" w:cs="仿宋"/>
                <w:color w:val="auto"/>
                <w:highlight w:val="none"/>
                <w:lang w:val="zh-CN"/>
              </w:rPr>
              <w:t>监督</w:t>
            </w:r>
            <w:r>
              <w:rPr>
                <w:rFonts w:hint="eastAsia" w:ascii="仿宋" w:hAnsi="仿宋" w:eastAsia="仿宋" w:cs="仿宋"/>
                <w:color w:val="auto"/>
                <w:highlight w:val="none"/>
                <w:lang w:val="zh-CN"/>
              </w:rPr>
              <w:t>机制</w:t>
            </w:r>
            <w:r>
              <w:rPr>
                <w:rFonts w:hint="eastAsia" w:ascii="仿宋" w:hAnsi="仿宋" w:cs="仿宋"/>
                <w:color w:val="auto"/>
                <w:highlight w:val="none"/>
                <w:lang w:eastAsia="zh-CN"/>
              </w:rPr>
              <w:t>，</w:t>
            </w:r>
            <w:r>
              <w:rPr>
                <w:rFonts w:hint="eastAsia" w:ascii="仿宋" w:hAnsi="仿宋" w:eastAsia="仿宋" w:cs="仿宋"/>
                <w:color w:val="auto"/>
                <w:kern w:val="0"/>
                <w:sz w:val="24"/>
                <w:szCs w:val="24"/>
                <w:highlight w:val="none"/>
                <w:shd w:val="clear" w:color="auto" w:fill="auto"/>
                <w:lang w:val="en-US" w:eastAsia="zh-CN"/>
              </w:rPr>
              <w:t>根据提供的</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内容的完整性、与项目的匹配性进行评分。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内容完整且与项目匹配度好的得5分；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内容基本完整且与项目匹配度较好的得4分；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内容存在欠缺或与项目匹配度一般的得2分；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内容缺失严重或与项目不匹配的不得分</w:t>
            </w:r>
            <w:r>
              <w:rPr>
                <w:rFonts w:hint="eastAsia" w:ascii="仿宋" w:hAnsi="仿宋" w:eastAsia="仿宋" w:cs="仿宋"/>
                <w:color w:val="auto"/>
                <w:highlight w:val="none"/>
                <w:lang w:val="zh-CN"/>
              </w:rPr>
              <w:t>。</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rPr>
            </w:pPr>
            <w:r>
              <w:rPr>
                <w:rFonts w:hint="eastAsia"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kern w:val="0"/>
                <w:sz w:val="24"/>
                <w:highlight w:val="none"/>
              </w:rPr>
            </w:pP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rPr>
            </w:pPr>
            <w:r>
              <w:rPr>
                <w:rFonts w:hint="eastAsia" w:cs="仿宋"/>
                <w:color w:val="auto"/>
                <w:sz w:val="24"/>
                <w:szCs w:val="24"/>
                <w:highlight w:val="none"/>
                <w:lang w:val="en-US" w:eastAsia="zh-CN"/>
              </w:rPr>
              <w:t>9</w:t>
            </w:r>
          </w:p>
        </w:tc>
        <w:tc>
          <w:tcPr>
            <w:tcW w:w="48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cs="仿宋"/>
                <w:color w:val="auto"/>
                <w:sz w:val="24"/>
                <w:highlight w:val="none"/>
                <w:lang w:eastAsia="zh-CN"/>
              </w:rPr>
            </w:pPr>
            <w:r>
              <w:rPr>
                <w:rFonts w:hint="eastAsia" w:ascii="仿宋" w:hAnsi="仿宋" w:eastAsia="仿宋" w:cs="仿宋"/>
                <w:color w:val="auto"/>
                <w:highlight w:val="none"/>
              </w:rPr>
              <w:t>平稳交接过渡方案；道路保洁服务平稳过渡交接，制定相关的平稳过渡交接实施措施的合理性，</w:t>
            </w:r>
            <w:r>
              <w:rPr>
                <w:rFonts w:hint="eastAsia" w:ascii="仿宋" w:hAnsi="仿宋" w:eastAsia="仿宋" w:cs="仿宋"/>
                <w:color w:val="auto"/>
                <w:kern w:val="0"/>
                <w:sz w:val="24"/>
                <w:szCs w:val="24"/>
                <w:highlight w:val="none"/>
                <w:shd w:val="clear" w:color="auto" w:fill="auto"/>
                <w:lang w:val="en-US" w:eastAsia="zh-CN"/>
              </w:rPr>
              <w:t>根据提供的内容的完整性、与项目的匹配性进行评分。内容完整且与项目匹配度好的得5分；内容基本完整且与项目匹配度较好的得4分；内容存在欠缺或与项目匹配度一般的得2分；内容缺失严重或与项目不匹配的不得分</w:t>
            </w:r>
            <w:r>
              <w:rPr>
                <w:rFonts w:hint="eastAsia" w:ascii="仿宋" w:hAnsi="仿宋" w:eastAsia="仿宋" w:cs="仿宋"/>
                <w:color w:val="auto"/>
                <w:highlight w:val="none"/>
              </w:rPr>
              <w:t>。</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rPr>
            </w:pPr>
            <w:r>
              <w:rPr>
                <w:rFonts w:hint="eastAsia"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kern w:val="0"/>
                <w:sz w:val="24"/>
                <w:highlight w:val="none"/>
              </w:rPr>
            </w:pP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highlight w:val="none"/>
                <w:lang w:val="en-US"/>
              </w:rPr>
            </w:pPr>
            <w:r>
              <w:rPr>
                <w:rFonts w:hint="eastAsia" w:cs="仿宋"/>
                <w:color w:val="auto"/>
                <w:sz w:val="24"/>
                <w:szCs w:val="24"/>
                <w:highlight w:val="none"/>
                <w:lang w:val="en-US" w:eastAsia="zh-CN"/>
              </w:rPr>
              <w:t>10</w:t>
            </w:r>
          </w:p>
        </w:tc>
        <w:tc>
          <w:tcPr>
            <w:tcW w:w="48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cs="仿宋"/>
                <w:color w:val="auto"/>
                <w:sz w:val="24"/>
                <w:highlight w:val="none"/>
                <w:lang w:eastAsia="zh-CN"/>
              </w:rPr>
            </w:pPr>
            <w:r>
              <w:rPr>
                <w:rFonts w:hint="eastAsia" w:ascii="仿宋" w:hAnsi="仿宋" w:eastAsia="仿宋" w:cs="仿宋"/>
                <w:color w:val="auto"/>
                <w:sz w:val="24"/>
                <w:highlight w:val="none"/>
              </w:rPr>
              <w:t>服务质量保证情况</w:t>
            </w:r>
            <w:r>
              <w:rPr>
                <w:rFonts w:hint="eastAsia" w:cs="仿宋"/>
                <w:color w:val="auto"/>
                <w:sz w:val="24"/>
                <w:highlight w:val="none"/>
                <w:lang w:eastAsia="zh-CN"/>
              </w:rPr>
              <w:t>，</w:t>
            </w:r>
            <w:r>
              <w:rPr>
                <w:rFonts w:hint="eastAsia" w:ascii="仿宋" w:hAnsi="仿宋" w:eastAsia="仿宋" w:cs="仿宋"/>
                <w:color w:val="auto"/>
                <w:sz w:val="24"/>
                <w:highlight w:val="none"/>
              </w:rPr>
              <w:t>根据可实现程度、提供优惠等</w:t>
            </w:r>
            <w:r>
              <w:rPr>
                <w:rFonts w:hint="eastAsia" w:cs="仿宋"/>
                <w:color w:val="auto"/>
                <w:sz w:val="24"/>
                <w:highlight w:val="none"/>
                <w:lang w:val="en-US" w:eastAsia="zh-CN"/>
              </w:rPr>
              <w:t>内容</w:t>
            </w:r>
            <w:r>
              <w:rPr>
                <w:rFonts w:hint="eastAsia" w:ascii="仿宋" w:hAnsi="仿宋" w:cs="仿宋"/>
                <w:color w:val="auto"/>
                <w:highlight w:val="none"/>
                <w:lang w:val="zh-CN"/>
              </w:rPr>
              <w:t>，</w:t>
            </w:r>
            <w:r>
              <w:rPr>
                <w:rFonts w:hint="eastAsia" w:ascii="仿宋" w:hAnsi="仿宋" w:eastAsia="仿宋" w:cs="仿宋"/>
                <w:color w:val="auto"/>
                <w:kern w:val="0"/>
                <w:sz w:val="24"/>
                <w:szCs w:val="24"/>
                <w:highlight w:val="none"/>
                <w:shd w:val="clear" w:color="auto" w:fill="auto"/>
                <w:lang w:val="en-US" w:eastAsia="zh-CN"/>
              </w:rPr>
              <w:t>提供的内容的完整性、与项目的匹配性进行评分。内容完整且与项目匹配度好的得5分；内容基本完整且与项目匹配度较好的得4分；内容存在欠缺或与项目匹配度一般的得2分；内容缺失严重或与项目不匹配的不得分</w:t>
            </w:r>
            <w:r>
              <w:rPr>
                <w:rFonts w:hint="eastAsia" w:ascii="仿宋" w:hAnsi="仿宋" w:eastAsia="仿宋" w:cs="仿宋"/>
                <w:color w:val="auto"/>
                <w:highlight w:val="none"/>
              </w:rPr>
              <w:t>。</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rPr>
            </w:pPr>
            <w:r>
              <w:rPr>
                <w:rFonts w:hint="eastAsia"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kern w:val="0"/>
                <w:sz w:val="24"/>
                <w:highlight w:val="none"/>
              </w:rPr>
            </w:pP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highlight w:val="none"/>
                <w:lang w:val="en-US"/>
              </w:rPr>
            </w:pPr>
            <w:r>
              <w:rPr>
                <w:rFonts w:hint="eastAsia" w:cs="仿宋"/>
                <w:color w:val="auto"/>
                <w:sz w:val="24"/>
                <w:szCs w:val="24"/>
                <w:highlight w:val="none"/>
                <w:lang w:val="en-US" w:eastAsia="zh-CN"/>
              </w:rPr>
              <w:t>11</w:t>
            </w:r>
          </w:p>
        </w:tc>
        <w:tc>
          <w:tcPr>
            <w:tcW w:w="48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cs="仿宋"/>
                <w:color w:val="auto"/>
                <w:sz w:val="24"/>
                <w:highlight w:val="none"/>
                <w:lang w:eastAsia="zh-CN"/>
              </w:rPr>
            </w:pPr>
            <w:r>
              <w:rPr>
                <w:rFonts w:hint="eastAsia" w:cs="仿宋"/>
                <w:color w:val="auto"/>
                <w:highlight w:val="none"/>
                <w:lang w:eastAsia="zh-CN"/>
              </w:rPr>
              <w:t>投标单位</w:t>
            </w:r>
            <w:r>
              <w:rPr>
                <w:rFonts w:hint="eastAsia" w:ascii="仿宋" w:hAnsi="仿宋" w:eastAsia="仿宋" w:cs="仿宋"/>
                <w:color w:val="auto"/>
                <w:highlight w:val="none"/>
                <w:lang w:val="zh-CN"/>
              </w:rPr>
              <w:t>有完善的应急管理方案，能及时响应城市应急（气象灾害、防汛抗台、抗雪防冻）和项目实施过程中各类应急保障任务，</w:t>
            </w:r>
            <w:r>
              <w:rPr>
                <w:rFonts w:hint="eastAsia" w:ascii="仿宋" w:hAnsi="仿宋" w:eastAsia="仿宋" w:cs="仿宋"/>
                <w:color w:val="auto"/>
                <w:kern w:val="0"/>
                <w:sz w:val="24"/>
                <w:szCs w:val="24"/>
                <w:highlight w:val="none"/>
                <w:shd w:val="clear" w:color="auto" w:fill="auto"/>
                <w:lang w:val="en-US" w:eastAsia="zh-CN"/>
              </w:rPr>
              <w:t>根据提供的</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内容的完整性、与项目的匹配性进行评分。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内容完整且与项目匹配度好的得5分；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内容基本完整且与项目匹配度较好的得4分；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内容存在欠缺或与项目匹配度一般的得2分；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内容缺失严重或与项目不匹配的不得分</w:t>
            </w:r>
            <w:r>
              <w:rPr>
                <w:rFonts w:hint="eastAsia" w:ascii="仿宋" w:hAnsi="仿宋" w:eastAsia="仿宋" w:cs="仿宋"/>
                <w:color w:val="auto"/>
                <w:highlight w:val="none"/>
              </w:rPr>
              <w:t>。</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rPr>
            </w:pPr>
            <w:r>
              <w:rPr>
                <w:rFonts w:hint="eastAsia"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kern w:val="0"/>
                <w:sz w:val="24"/>
                <w:highlight w:val="none"/>
              </w:rPr>
            </w:pP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highlight w:val="none"/>
                <w:lang w:val="en-US"/>
              </w:rPr>
            </w:pPr>
            <w:r>
              <w:rPr>
                <w:rFonts w:hint="eastAsia" w:cs="仿宋"/>
                <w:color w:val="auto"/>
                <w:sz w:val="24"/>
                <w:szCs w:val="24"/>
                <w:highlight w:val="none"/>
                <w:lang w:val="en-US" w:eastAsia="zh-CN"/>
              </w:rPr>
              <w:t>12</w:t>
            </w:r>
          </w:p>
        </w:tc>
        <w:tc>
          <w:tcPr>
            <w:tcW w:w="48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cs="仿宋"/>
                <w:color w:val="auto"/>
                <w:sz w:val="24"/>
                <w:highlight w:val="none"/>
                <w:lang w:eastAsia="zh-CN"/>
              </w:rPr>
            </w:pPr>
            <w:r>
              <w:rPr>
                <w:rFonts w:hint="eastAsia" w:ascii="仿宋" w:hAnsi="仿宋" w:eastAsia="仿宋" w:cs="仿宋"/>
                <w:bCs/>
                <w:color w:val="auto"/>
                <w:sz w:val="24"/>
                <w:szCs w:val="24"/>
                <w:highlight w:val="none"/>
              </w:rPr>
              <w:t>投标单位对于本项目保洁内容重难点分析</w:t>
            </w:r>
            <w:r>
              <w:rPr>
                <w:rFonts w:hint="eastAsia" w:cs="仿宋"/>
                <w:bCs/>
                <w:color w:val="auto"/>
                <w:sz w:val="24"/>
                <w:szCs w:val="24"/>
                <w:highlight w:val="none"/>
                <w:lang w:val="en-US" w:eastAsia="zh-CN"/>
              </w:rPr>
              <w:t>及应对</w:t>
            </w:r>
            <w:r>
              <w:rPr>
                <w:rFonts w:hint="eastAsia" w:ascii="仿宋" w:hAnsi="仿宋" w:eastAsia="仿宋" w:cs="仿宋"/>
                <w:bCs/>
                <w:color w:val="auto"/>
                <w:sz w:val="24"/>
                <w:szCs w:val="24"/>
                <w:highlight w:val="none"/>
              </w:rPr>
              <w:t>；分析</w:t>
            </w:r>
            <w:r>
              <w:rPr>
                <w:rFonts w:hint="eastAsia" w:cs="仿宋"/>
                <w:bCs/>
                <w:color w:val="auto"/>
                <w:sz w:val="24"/>
                <w:szCs w:val="24"/>
                <w:highlight w:val="none"/>
                <w:lang w:val="en-US" w:eastAsia="zh-CN"/>
              </w:rPr>
              <w:t>及应对</w:t>
            </w:r>
            <w:r>
              <w:rPr>
                <w:rFonts w:hint="eastAsia" w:ascii="仿宋" w:hAnsi="仿宋" w:eastAsia="仿宋" w:cs="仿宋"/>
                <w:color w:val="auto"/>
                <w:kern w:val="0"/>
                <w:sz w:val="24"/>
                <w:szCs w:val="24"/>
                <w:highlight w:val="none"/>
                <w:shd w:val="clear" w:color="auto" w:fill="auto"/>
                <w:lang w:val="en-US" w:eastAsia="zh-CN"/>
              </w:rPr>
              <w:t>内容的完整性、与项目的匹配性进行评分。</w:t>
            </w:r>
            <w:r>
              <w:rPr>
                <w:rFonts w:hint="eastAsia" w:ascii="仿宋" w:hAnsi="仿宋" w:eastAsia="仿宋" w:cs="仿宋"/>
                <w:bCs/>
                <w:color w:val="auto"/>
                <w:sz w:val="24"/>
                <w:szCs w:val="24"/>
                <w:highlight w:val="none"/>
              </w:rPr>
              <w:t>分析</w:t>
            </w:r>
            <w:r>
              <w:rPr>
                <w:rFonts w:hint="eastAsia" w:cs="仿宋"/>
                <w:bCs/>
                <w:color w:val="auto"/>
                <w:sz w:val="24"/>
                <w:szCs w:val="24"/>
                <w:highlight w:val="none"/>
                <w:lang w:val="en-US" w:eastAsia="zh-CN"/>
              </w:rPr>
              <w:t>及应对</w:t>
            </w:r>
            <w:r>
              <w:rPr>
                <w:rFonts w:hint="eastAsia" w:ascii="仿宋" w:hAnsi="仿宋" w:eastAsia="仿宋" w:cs="仿宋"/>
                <w:color w:val="auto"/>
                <w:kern w:val="0"/>
                <w:sz w:val="24"/>
                <w:szCs w:val="24"/>
                <w:highlight w:val="none"/>
                <w:shd w:val="clear" w:color="auto" w:fill="auto"/>
                <w:lang w:val="en-US" w:eastAsia="zh-CN"/>
              </w:rPr>
              <w:t>内容完整且与项目匹配度好的得5分；</w:t>
            </w:r>
            <w:r>
              <w:rPr>
                <w:rFonts w:hint="eastAsia" w:ascii="仿宋" w:hAnsi="仿宋" w:eastAsia="仿宋" w:cs="仿宋"/>
                <w:bCs/>
                <w:color w:val="auto"/>
                <w:sz w:val="24"/>
                <w:szCs w:val="24"/>
                <w:highlight w:val="none"/>
              </w:rPr>
              <w:t>分析</w:t>
            </w:r>
            <w:r>
              <w:rPr>
                <w:rFonts w:hint="eastAsia" w:cs="仿宋"/>
                <w:bCs/>
                <w:color w:val="auto"/>
                <w:sz w:val="24"/>
                <w:szCs w:val="24"/>
                <w:highlight w:val="none"/>
                <w:lang w:val="en-US" w:eastAsia="zh-CN"/>
              </w:rPr>
              <w:t>及应对</w:t>
            </w:r>
            <w:r>
              <w:rPr>
                <w:rFonts w:hint="eastAsia" w:ascii="仿宋" w:hAnsi="仿宋" w:eastAsia="仿宋" w:cs="仿宋"/>
                <w:color w:val="auto"/>
                <w:kern w:val="0"/>
                <w:sz w:val="24"/>
                <w:szCs w:val="24"/>
                <w:highlight w:val="none"/>
                <w:shd w:val="clear" w:color="auto" w:fill="auto"/>
                <w:lang w:val="en-US" w:eastAsia="zh-CN"/>
              </w:rPr>
              <w:t>内容基本完整且与项目匹配度较好的得4分；</w:t>
            </w:r>
            <w:r>
              <w:rPr>
                <w:rFonts w:hint="eastAsia" w:ascii="仿宋" w:hAnsi="仿宋" w:eastAsia="仿宋" w:cs="仿宋"/>
                <w:bCs/>
                <w:color w:val="auto"/>
                <w:sz w:val="24"/>
                <w:szCs w:val="24"/>
                <w:highlight w:val="none"/>
              </w:rPr>
              <w:t>分析</w:t>
            </w:r>
            <w:r>
              <w:rPr>
                <w:rFonts w:hint="eastAsia" w:cs="仿宋"/>
                <w:bCs/>
                <w:color w:val="auto"/>
                <w:sz w:val="24"/>
                <w:szCs w:val="24"/>
                <w:highlight w:val="none"/>
                <w:lang w:val="en-US" w:eastAsia="zh-CN"/>
              </w:rPr>
              <w:t>及应对</w:t>
            </w:r>
            <w:r>
              <w:rPr>
                <w:rFonts w:hint="eastAsia" w:ascii="仿宋" w:hAnsi="仿宋" w:eastAsia="仿宋" w:cs="仿宋"/>
                <w:color w:val="auto"/>
                <w:kern w:val="0"/>
                <w:sz w:val="24"/>
                <w:szCs w:val="24"/>
                <w:highlight w:val="none"/>
                <w:shd w:val="clear" w:color="auto" w:fill="auto"/>
                <w:lang w:val="en-US" w:eastAsia="zh-CN"/>
              </w:rPr>
              <w:t>内容存在欠缺或与项目匹配度一般的得</w:t>
            </w:r>
            <w:r>
              <w:rPr>
                <w:rFonts w:hint="eastAsia" w:cs="仿宋"/>
                <w:color w:val="auto"/>
                <w:kern w:val="0"/>
                <w:sz w:val="24"/>
                <w:szCs w:val="24"/>
                <w:highlight w:val="none"/>
                <w:shd w:val="clear" w:color="auto" w:fill="auto"/>
                <w:lang w:val="en-US" w:eastAsia="zh-CN"/>
              </w:rPr>
              <w:t>2</w:t>
            </w:r>
            <w:r>
              <w:rPr>
                <w:rFonts w:hint="eastAsia" w:ascii="仿宋" w:hAnsi="仿宋" w:eastAsia="仿宋" w:cs="仿宋"/>
                <w:color w:val="auto"/>
                <w:kern w:val="0"/>
                <w:sz w:val="24"/>
                <w:szCs w:val="24"/>
                <w:highlight w:val="none"/>
                <w:shd w:val="clear" w:color="auto" w:fill="auto"/>
                <w:lang w:val="en-US" w:eastAsia="zh-CN"/>
              </w:rPr>
              <w:t>分；</w:t>
            </w:r>
            <w:r>
              <w:rPr>
                <w:rFonts w:hint="eastAsia" w:ascii="仿宋" w:hAnsi="仿宋" w:eastAsia="仿宋" w:cs="仿宋"/>
                <w:bCs/>
                <w:color w:val="auto"/>
                <w:sz w:val="24"/>
                <w:szCs w:val="24"/>
                <w:highlight w:val="none"/>
              </w:rPr>
              <w:t>分析</w:t>
            </w:r>
            <w:r>
              <w:rPr>
                <w:rFonts w:hint="eastAsia" w:cs="仿宋"/>
                <w:bCs/>
                <w:color w:val="auto"/>
                <w:sz w:val="24"/>
                <w:szCs w:val="24"/>
                <w:highlight w:val="none"/>
                <w:lang w:val="en-US" w:eastAsia="zh-CN"/>
              </w:rPr>
              <w:t>及应对</w:t>
            </w:r>
            <w:r>
              <w:rPr>
                <w:rFonts w:hint="eastAsia" w:ascii="仿宋" w:hAnsi="仿宋" w:eastAsia="仿宋" w:cs="仿宋"/>
                <w:color w:val="auto"/>
                <w:kern w:val="0"/>
                <w:sz w:val="24"/>
                <w:szCs w:val="24"/>
                <w:highlight w:val="none"/>
                <w:shd w:val="clear" w:color="auto" w:fill="auto"/>
                <w:lang w:val="en-US" w:eastAsia="zh-CN"/>
              </w:rPr>
              <w:t>内容缺失严重或与项目不匹配的不得分</w:t>
            </w:r>
            <w:r>
              <w:rPr>
                <w:rFonts w:hint="eastAsia" w:ascii="仿宋" w:hAnsi="仿宋" w:eastAsia="仿宋" w:cs="仿宋"/>
                <w:color w:val="auto"/>
                <w:kern w:val="0"/>
                <w:sz w:val="24"/>
                <w:szCs w:val="24"/>
                <w:highlight w:val="none"/>
                <w:shd w:val="clear" w:color="auto" w:fill="auto"/>
                <w:lang w:val="zh-CN" w:eastAsia="zh-CN"/>
              </w:rPr>
              <w:t>。</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rPr>
            </w:pPr>
            <w:r>
              <w:rPr>
                <w:rFonts w:hint="eastAsia"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kern w:val="0"/>
                <w:sz w:val="24"/>
                <w:highlight w:val="none"/>
              </w:rPr>
            </w:pP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highlight w:val="none"/>
                <w:lang w:val="en-US"/>
              </w:rPr>
            </w:pPr>
            <w:r>
              <w:rPr>
                <w:rFonts w:hint="eastAsia" w:cs="仿宋"/>
                <w:color w:val="auto"/>
                <w:sz w:val="24"/>
                <w:szCs w:val="24"/>
                <w:highlight w:val="none"/>
                <w:lang w:val="en-US" w:eastAsia="zh-CN"/>
              </w:rPr>
              <w:t>13</w:t>
            </w:r>
          </w:p>
        </w:tc>
        <w:tc>
          <w:tcPr>
            <w:tcW w:w="48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eastAsia="仿宋" w:cs="仿宋"/>
                <w:color w:val="auto"/>
                <w:sz w:val="24"/>
                <w:highlight w:val="none"/>
                <w:lang w:val="en-US" w:eastAsia="zh-CN"/>
              </w:rPr>
            </w:pPr>
            <w:r>
              <w:rPr>
                <w:rFonts w:hint="eastAsia" w:ascii="仿宋" w:hAnsi="仿宋" w:eastAsia="仿宋" w:cs="仿宋"/>
                <w:color w:val="auto"/>
                <w:sz w:val="24"/>
                <w:highlight w:val="none"/>
              </w:rPr>
              <w:t>服务承诺</w:t>
            </w:r>
            <w:r>
              <w:rPr>
                <w:rFonts w:hint="eastAsia" w:cs="仿宋"/>
                <w:color w:val="auto"/>
                <w:sz w:val="24"/>
                <w:highlight w:val="none"/>
                <w:lang w:eastAsia="zh-CN"/>
              </w:rPr>
              <w:t>，</w:t>
            </w:r>
            <w:r>
              <w:rPr>
                <w:rFonts w:hint="eastAsia" w:ascii="仿宋" w:hAnsi="仿宋" w:eastAsia="仿宋" w:cs="仿宋"/>
                <w:color w:val="auto"/>
                <w:sz w:val="24"/>
                <w:highlight w:val="none"/>
              </w:rPr>
              <w:t>根据售后服务、措施、响应服务能力等</w:t>
            </w:r>
            <w:r>
              <w:rPr>
                <w:rFonts w:hint="eastAsia" w:cs="仿宋"/>
                <w:color w:val="auto"/>
                <w:sz w:val="24"/>
                <w:highlight w:val="none"/>
                <w:lang w:val="en-US" w:eastAsia="zh-CN"/>
              </w:rPr>
              <w:t>提供详细方案，</w:t>
            </w:r>
            <w:r>
              <w:rPr>
                <w:rFonts w:hint="eastAsia" w:ascii="仿宋" w:hAnsi="仿宋" w:eastAsia="仿宋" w:cs="仿宋"/>
                <w:color w:val="auto"/>
                <w:kern w:val="0"/>
                <w:sz w:val="24"/>
                <w:szCs w:val="24"/>
                <w:highlight w:val="none"/>
                <w:shd w:val="clear" w:color="auto" w:fill="auto"/>
                <w:lang w:val="en-US" w:eastAsia="zh-CN"/>
              </w:rPr>
              <w:t>根据提供的</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内容的完整性、与项目的匹配性进行评分。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内容完整且与项目匹配度好的得</w:t>
            </w:r>
            <w:r>
              <w:rPr>
                <w:rFonts w:hint="eastAsia" w:cs="仿宋"/>
                <w:color w:val="auto"/>
                <w:kern w:val="0"/>
                <w:sz w:val="24"/>
                <w:szCs w:val="24"/>
                <w:highlight w:val="none"/>
                <w:shd w:val="clear" w:color="auto" w:fill="auto"/>
                <w:lang w:val="en-US" w:eastAsia="zh-CN"/>
              </w:rPr>
              <w:t>5</w:t>
            </w:r>
            <w:r>
              <w:rPr>
                <w:rFonts w:hint="eastAsia" w:ascii="仿宋" w:hAnsi="仿宋" w:eastAsia="仿宋" w:cs="仿宋"/>
                <w:color w:val="auto"/>
                <w:kern w:val="0"/>
                <w:sz w:val="24"/>
                <w:szCs w:val="24"/>
                <w:highlight w:val="none"/>
                <w:shd w:val="clear" w:color="auto" w:fill="auto"/>
                <w:lang w:val="en-US" w:eastAsia="zh-CN"/>
              </w:rPr>
              <w:t>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内容基本完整且与项目匹配度较好的得</w:t>
            </w:r>
            <w:r>
              <w:rPr>
                <w:rFonts w:hint="eastAsia" w:cs="仿宋"/>
                <w:color w:val="auto"/>
                <w:kern w:val="0"/>
                <w:sz w:val="24"/>
                <w:szCs w:val="24"/>
                <w:highlight w:val="none"/>
                <w:shd w:val="clear" w:color="auto" w:fill="auto"/>
                <w:lang w:val="en-US" w:eastAsia="zh-CN"/>
              </w:rPr>
              <w:t>4</w:t>
            </w:r>
            <w:r>
              <w:rPr>
                <w:rFonts w:hint="eastAsia" w:ascii="仿宋" w:hAnsi="仿宋" w:eastAsia="仿宋" w:cs="仿宋"/>
                <w:color w:val="auto"/>
                <w:kern w:val="0"/>
                <w:sz w:val="24"/>
                <w:szCs w:val="24"/>
                <w:highlight w:val="none"/>
                <w:shd w:val="clear" w:color="auto" w:fill="auto"/>
                <w:lang w:val="en-US" w:eastAsia="zh-CN"/>
              </w:rPr>
              <w:t>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内容存在欠缺或与项目匹配度一般的得2分；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内容缺失严重或与项目不匹配的不得分</w:t>
            </w:r>
            <w:r>
              <w:rPr>
                <w:rFonts w:hint="eastAsia" w:ascii="仿宋" w:hAnsi="仿宋" w:eastAsia="仿宋" w:cs="仿宋"/>
                <w:color w:val="auto"/>
                <w:highlight w:val="none"/>
              </w:rPr>
              <w:t>。</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rPr>
            </w:pPr>
            <w:r>
              <w:rPr>
                <w:rFonts w:hint="eastAsia"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kern w:val="0"/>
                <w:sz w:val="24"/>
                <w:highlight w:val="none"/>
              </w:rPr>
            </w:pP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highlight w:val="none"/>
                <w:lang w:val="en-US"/>
              </w:rPr>
            </w:pPr>
            <w:r>
              <w:rPr>
                <w:rFonts w:hint="eastAsia" w:cs="仿宋"/>
                <w:color w:val="auto"/>
                <w:sz w:val="24"/>
                <w:szCs w:val="24"/>
                <w:highlight w:val="none"/>
                <w:lang w:val="en-US" w:eastAsia="zh-CN"/>
              </w:rPr>
              <w:t>14</w:t>
            </w:r>
          </w:p>
        </w:tc>
        <w:tc>
          <w:tcPr>
            <w:tcW w:w="48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cs="仿宋"/>
                <w:color w:val="auto"/>
                <w:sz w:val="24"/>
                <w:highlight w:val="none"/>
                <w:lang w:eastAsia="zh-CN"/>
              </w:rPr>
            </w:pPr>
            <w:r>
              <w:rPr>
                <w:rFonts w:hint="eastAsia" w:cs="仿宋"/>
                <w:color w:val="auto"/>
                <w:highlight w:val="none"/>
                <w:lang w:eastAsia="zh-CN"/>
              </w:rPr>
              <w:t>投标单位</w:t>
            </w:r>
            <w:r>
              <w:rPr>
                <w:rFonts w:hint="eastAsia" w:ascii="仿宋" w:hAnsi="仿宋" w:eastAsia="仿宋" w:cs="仿宋"/>
                <w:color w:val="auto"/>
                <w:highlight w:val="none"/>
              </w:rPr>
              <w:t>有完善的</w:t>
            </w:r>
            <w:r>
              <w:rPr>
                <w:rFonts w:hint="eastAsia" w:ascii="仿宋" w:hAnsi="仿宋" w:eastAsia="仿宋" w:cs="仿宋"/>
                <w:color w:val="auto"/>
                <w:highlight w:val="none"/>
                <w:lang w:val="zh-CN"/>
              </w:rPr>
              <w:t>的重大活动保障方案，</w:t>
            </w:r>
            <w:r>
              <w:rPr>
                <w:rFonts w:hint="eastAsia" w:ascii="仿宋" w:hAnsi="仿宋" w:eastAsia="仿宋" w:cs="仿宋"/>
                <w:color w:val="auto"/>
                <w:highlight w:val="none"/>
              </w:rPr>
              <w:t>方案科学合理，具有针对性及可操作性，能圆满完成大型活动、节庆假日、创优评优等重大活动保障任务，</w:t>
            </w:r>
            <w:r>
              <w:rPr>
                <w:rFonts w:hint="eastAsia" w:ascii="仿宋" w:hAnsi="仿宋" w:eastAsia="仿宋" w:cs="仿宋"/>
                <w:color w:val="auto"/>
                <w:kern w:val="0"/>
                <w:sz w:val="24"/>
                <w:szCs w:val="24"/>
                <w:highlight w:val="none"/>
                <w:shd w:val="clear" w:color="auto" w:fill="auto"/>
                <w:lang w:val="en-US" w:eastAsia="zh-CN"/>
              </w:rPr>
              <w:t>根据提供的</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内容的完整性、与项目的匹配性进行评分。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内容完整且与项目匹配度好的得</w:t>
            </w:r>
            <w:r>
              <w:rPr>
                <w:rFonts w:hint="eastAsia" w:cs="仿宋"/>
                <w:color w:val="auto"/>
                <w:kern w:val="0"/>
                <w:sz w:val="24"/>
                <w:szCs w:val="24"/>
                <w:highlight w:val="none"/>
                <w:shd w:val="clear" w:color="auto" w:fill="auto"/>
                <w:lang w:val="en-US" w:eastAsia="zh-CN"/>
              </w:rPr>
              <w:t>5</w:t>
            </w:r>
            <w:r>
              <w:rPr>
                <w:rFonts w:hint="eastAsia" w:ascii="仿宋" w:hAnsi="仿宋" w:eastAsia="仿宋" w:cs="仿宋"/>
                <w:color w:val="auto"/>
                <w:kern w:val="0"/>
                <w:sz w:val="24"/>
                <w:szCs w:val="24"/>
                <w:highlight w:val="none"/>
                <w:shd w:val="clear" w:color="auto" w:fill="auto"/>
                <w:lang w:val="en-US" w:eastAsia="zh-CN"/>
              </w:rPr>
              <w:t>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内容基本完整且与项目匹配度较好的得</w:t>
            </w:r>
            <w:r>
              <w:rPr>
                <w:rFonts w:hint="eastAsia" w:cs="仿宋"/>
                <w:color w:val="auto"/>
                <w:kern w:val="0"/>
                <w:sz w:val="24"/>
                <w:szCs w:val="24"/>
                <w:highlight w:val="none"/>
                <w:shd w:val="clear" w:color="auto" w:fill="auto"/>
                <w:lang w:val="en-US" w:eastAsia="zh-CN"/>
              </w:rPr>
              <w:t>4</w:t>
            </w:r>
            <w:r>
              <w:rPr>
                <w:rFonts w:hint="eastAsia" w:ascii="仿宋" w:hAnsi="仿宋" w:eastAsia="仿宋" w:cs="仿宋"/>
                <w:color w:val="auto"/>
                <w:kern w:val="0"/>
                <w:sz w:val="24"/>
                <w:szCs w:val="24"/>
                <w:highlight w:val="none"/>
                <w:shd w:val="clear" w:color="auto" w:fill="auto"/>
                <w:lang w:val="en-US" w:eastAsia="zh-CN"/>
              </w:rPr>
              <w:t>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内容存在欠缺或与项目匹配度一般的得2分；</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内容缺失严重或与项目不匹配的不得分</w:t>
            </w:r>
            <w:r>
              <w:rPr>
                <w:rFonts w:hint="eastAsia" w:ascii="仿宋" w:hAnsi="仿宋" w:eastAsia="仿宋" w:cs="仿宋"/>
                <w:color w:val="auto"/>
                <w:highlight w:val="none"/>
              </w:rPr>
              <w:t>。</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rPr>
            </w:pPr>
            <w:r>
              <w:rPr>
                <w:rFonts w:hint="eastAsia"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kern w:val="0"/>
                <w:sz w:val="24"/>
                <w:highlight w:val="none"/>
              </w:rPr>
            </w:pP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highlight w:val="none"/>
                <w:lang w:val="en-US"/>
              </w:rPr>
            </w:pPr>
            <w:r>
              <w:rPr>
                <w:rFonts w:hint="eastAsia" w:cs="仿宋"/>
                <w:color w:val="auto"/>
                <w:sz w:val="24"/>
                <w:szCs w:val="24"/>
                <w:highlight w:val="none"/>
                <w:lang w:val="en-US" w:eastAsia="zh-CN"/>
              </w:rPr>
              <w:t>15</w:t>
            </w:r>
          </w:p>
        </w:tc>
        <w:tc>
          <w:tcPr>
            <w:tcW w:w="48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rPr>
              <w:t>、项目负责人具有本科及以上全日制学历的得</w:t>
            </w: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cs="仿宋"/>
                <w:color w:val="auto"/>
                <w:sz w:val="24"/>
                <w:szCs w:val="24"/>
                <w:highlight w:val="none"/>
                <w:lang w:val="en-US" w:eastAsia="zh-CN"/>
              </w:rPr>
              <w:t>同时</w:t>
            </w:r>
            <w:r>
              <w:rPr>
                <w:rFonts w:hint="eastAsia" w:ascii="仿宋" w:hAnsi="仿宋" w:eastAsia="仿宋" w:cs="仿宋"/>
                <w:color w:val="auto"/>
                <w:sz w:val="24"/>
                <w:szCs w:val="24"/>
                <w:highlight w:val="none"/>
              </w:rPr>
              <w:t>具有人社部门颁发的高级职称</w:t>
            </w:r>
            <w:r>
              <w:rPr>
                <w:rFonts w:hint="eastAsia" w:cs="仿宋"/>
                <w:color w:val="auto"/>
                <w:sz w:val="24"/>
                <w:szCs w:val="24"/>
                <w:highlight w:val="none"/>
                <w:lang w:val="en-US" w:eastAsia="zh-CN"/>
              </w:rPr>
              <w:t>的得1分，又具有</w:t>
            </w:r>
            <w:r>
              <w:rPr>
                <w:rFonts w:hint="eastAsia" w:ascii="仿宋" w:hAnsi="仿宋" w:eastAsia="仿宋" w:cs="仿宋"/>
                <w:color w:val="auto"/>
                <w:sz w:val="24"/>
                <w:szCs w:val="24"/>
                <w:highlight w:val="none"/>
              </w:rPr>
              <w:t>高级技师的</w:t>
            </w:r>
            <w:r>
              <w:rPr>
                <w:rFonts w:hint="eastAsia" w:cs="仿宋"/>
                <w:color w:val="auto"/>
                <w:sz w:val="24"/>
                <w:szCs w:val="24"/>
                <w:highlight w:val="none"/>
                <w:lang w:val="en-US" w:eastAsia="zh-CN"/>
              </w:rPr>
              <w:t>得1分</w:t>
            </w:r>
            <w:r>
              <w:rPr>
                <w:rFonts w:hint="eastAsia" w:ascii="仿宋" w:hAnsi="仿宋" w:eastAsia="仿宋" w:cs="仿宋"/>
                <w:color w:val="auto"/>
                <w:sz w:val="24"/>
                <w:szCs w:val="24"/>
                <w:highlight w:val="none"/>
              </w:rPr>
              <w:t>，本项最高得</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、现场管理员</w:t>
            </w:r>
            <w:r>
              <w:rPr>
                <w:rFonts w:hint="eastAsia" w:ascii="仿宋" w:hAnsi="仿宋" w:eastAsia="仿宋" w:cs="仿宋"/>
                <w:bCs/>
                <w:color w:val="auto"/>
                <w:sz w:val="24"/>
                <w:szCs w:val="24"/>
                <w:highlight w:val="none"/>
              </w:rPr>
              <w:t>具有全日制大专</w:t>
            </w:r>
            <w:r>
              <w:rPr>
                <w:rFonts w:hint="eastAsia" w:ascii="仿宋" w:hAnsi="仿宋" w:eastAsia="仿宋" w:cs="仿宋"/>
                <w:color w:val="auto"/>
                <w:sz w:val="24"/>
                <w:szCs w:val="24"/>
                <w:highlight w:val="none"/>
              </w:rPr>
              <w:t>及以上</w:t>
            </w:r>
            <w:r>
              <w:rPr>
                <w:rFonts w:hint="eastAsia" w:ascii="仿宋" w:hAnsi="仿宋" w:eastAsia="仿宋" w:cs="仿宋"/>
                <w:bCs/>
                <w:color w:val="auto"/>
                <w:sz w:val="24"/>
                <w:szCs w:val="24"/>
                <w:highlight w:val="none"/>
              </w:rPr>
              <w:t>学历</w:t>
            </w:r>
            <w:r>
              <w:rPr>
                <w:rFonts w:hint="eastAsia" w:cs="仿宋"/>
                <w:bCs/>
                <w:color w:val="auto"/>
                <w:sz w:val="24"/>
                <w:szCs w:val="24"/>
                <w:highlight w:val="none"/>
                <w:lang w:eastAsia="zh-CN"/>
              </w:rPr>
              <w:t>的得</w:t>
            </w:r>
            <w:r>
              <w:rPr>
                <w:rFonts w:hint="eastAsia" w:cs="仿宋"/>
                <w:bCs/>
                <w:color w:val="auto"/>
                <w:sz w:val="24"/>
                <w:szCs w:val="24"/>
                <w:highlight w:val="none"/>
                <w:lang w:val="en-US" w:eastAsia="zh-CN"/>
              </w:rPr>
              <w:t>0.5分，</w:t>
            </w:r>
            <w:r>
              <w:rPr>
                <w:rFonts w:hint="eastAsia" w:ascii="仿宋" w:hAnsi="仿宋" w:eastAsia="仿宋" w:cs="仿宋"/>
                <w:bCs/>
                <w:color w:val="auto"/>
                <w:sz w:val="24"/>
                <w:szCs w:val="24"/>
                <w:highlight w:val="none"/>
              </w:rPr>
              <w:t>且具有人社部门颁发的高级职称的得1分</w:t>
            </w:r>
            <w:r>
              <w:rPr>
                <w:rFonts w:hint="eastAsia" w:ascii="仿宋" w:hAnsi="仿宋" w:eastAsia="仿宋" w:cs="仿宋"/>
                <w:bCs/>
                <w:color w:val="auto"/>
                <w:sz w:val="24"/>
                <w:szCs w:val="24"/>
                <w:highlight w:val="none"/>
                <w:lang w:eastAsia="zh-CN"/>
              </w:rPr>
              <w:t>，</w:t>
            </w:r>
            <w:r>
              <w:rPr>
                <w:rFonts w:hint="eastAsia" w:cs="仿宋"/>
                <w:color w:val="auto"/>
                <w:sz w:val="24"/>
                <w:szCs w:val="24"/>
                <w:highlight w:val="none"/>
                <w:lang w:val="en-US" w:eastAsia="zh-CN"/>
              </w:rPr>
              <w:t>本项最高得1.5分。</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3、现场管理员具有人社部门颁发的汽车维修工职业资格证书的每个得1分，本项最高得2分。</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4、现场管理员具有全日制大专及以上学历的得0.5分，且具有人社部门颁发的园林高级职称的得1分，本项最高得1.5分。</w:t>
            </w:r>
          </w:p>
          <w:p>
            <w:pPr>
              <w:pStyle w:val="6"/>
              <w:keepNext w:val="0"/>
              <w:keepLines w:val="0"/>
              <w:pageBreakBefore w:val="0"/>
              <w:widowControl/>
              <w:numPr>
                <w:ilvl w:val="2"/>
                <w:numId w:val="0"/>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cs="仿宋"/>
                <w:color w:val="auto"/>
                <w:sz w:val="24"/>
                <w:highlight w:val="none"/>
                <w:lang w:eastAsia="zh-CN"/>
              </w:rPr>
            </w:pPr>
            <w:r>
              <w:rPr>
                <w:rFonts w:hint="eastAsia" w:ascii="仿宋" w:hAnsi="仿宋" w:eastAsia="仿宋" w:cs="仿宋"/>
                <w:b w:val="0"/>
                <w:bCs w:val="0"/>
                <w:color w:val="auto"/>
                <w:sz w:val="24"/>
                <w:szCs w:val="24"/>
                <w:highlight w:val="none"/>
              </w:rPr>
              <w:t>（投标文件中提供评分点所需的学历、职称和职业资格证书的</w:t>
            </w:r>
            <w:r>
              <w:rPr>
                <w:rFonts w:hint="eastAsia" w:cs="仿宋"/>
                <w:b w:val="0"/>
                <w:bCs w:val="0"/>
                <w:color w:val="auto"/>
                <w:sz w:val="24"/>
                <w:szCs w:val="24"/>
                <w:highlight w:val="none"/>
                <w:lang w:eastAsia="zh-CN"/>
              </w:rPr>
              <w:t>证明</w:t>
            </w:r>
            <w:r>
              <w:rPr>
                <w:rFonts w:hint="eastAsia" w:ascii="仿宋" w:hAnsi="仿宋" w:eastAsia="仿宋" w:cs="仿宋"/>
                <w:b w:val="0"/>
                <w:bCs w:val="0"/>
                <w:color w:val="auto"/>
                <w:sz w:val="24"/>
                <w:szCs w:val="24"/>
                <w:highlight w:val="none"/>
              </w:rPr>
              <w:t>材料，全日制需提供学信网查询证明截图，人员不能重复，若有重复只能按一人次计，提供上述人员在</w:t>
            </w:r>
            <w:r>
              <w:rPr>
                <w:rFonts w:hint="eastAsia" w:cs="仿宋"/>
                <w:b w:val="0"/>
                <w:bCs w:val="0"/>
                <w:color w:val="auto"/>
                <w:sz w:val="24"/>
                <w:szCs w:val="24"/>
                <w:highlight w:val="none"/>
                <w:lang w:eastAsia="zh-CN"/>
              </w:rPr>
              <w:t>投标单位</w:t>
            </w:r>
            <w:r>
              <w:rPr>
                <w:rFonts w:hint="eastAsia" w:ascii="仿宋" w:hAnsi="仿宋" w:eastAsia="仿宋" w:cs="仿宋"/>
                <w:b w:val="0"/>
                <w:bCs w:val="0"/>
                <w:color w:val="auto"/>
                <w:sz w:val="24"/>
                <w:szCs w:val="24"/>
                <w:highlight w:val="none"/>
              </w:rPr>
              <w:t>最近连续</w:t>
            </w:r>
            <w:r>
              <w:rPr>
                <w:rFonts w:hint="eastAsia"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个月社会保险证明材料)</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0-</w:t>
            </w:r>
            <w:r>
              <w:rPr>
                <w:rFonts w:hint="eastAsia"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kern w:val="0"/>
                <w:sz w:val="24"/>
                <w:highlight w:val="none"/>
              </w:rPr>
            </w:pP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highlight w:val="none"/>
                <w:lang w:val="en-US"/>
              </w:rPr>
            </w:pPr>
            <w:r>
              <w:rPr>
                <w:rFonts w:hint="eastAsia" w:cs="仿宋"/>
                <w:color w:val="auto"/>
                <w:sz w:val="24"/>
                <w:szCs w:val="24"/>
                <w:highlight w:val="none"/>
                <w:lang w:val="en-US" w:eastAsia="zh-CN"/>
              </w:rPr>
              <w:t>16</w:t>
            </w:r>
          </w:p>
        </w:tc>
        <w:tc>
          <w:tcPr>
            <w:tcW w:w="48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numPr>
                <w:ilvl w:val="2"/>
                <w:numId w:val="0"/>
              </w:numPr>
              <w:kinsoku/>
              <w:wordWrap/>
              <w:overflowPunct/>
              <w:topLinePunct w:val="0"/>
              <w:autoSpaceDE/>
              <w:autoSpaceDN/>
              <w:bidi w:val="0"/>
              <w:adjustRightInd/>
              <w:snapToGrid/>
              <w:spacing w:before="0" w:after="0" w:line="24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投标单位在项目所在街道或相邻镇街（平台）范围内自有150㎡以上的办公场所的得2分；投标单位在项目所在街道或相邻镇街（平台）范围内租赁150㎡以上的办公场所的得1分。不提供的不得分。</w:t>
            </w:r>
          </w:p>
          <w:p>
            <w:pPr>
              <w:pStyle w:val="6"/>
              <w:keepNext w:val="0"/>
              <w:keepLines w:val="0"/>
              <w:pageBreakBefore w:val="0"/>
              <w:widowControl/>
              <w:numPr>
                <w:ilvl w:val="2"/>
                <w:numId w:val="0"/>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cs="仿宋"/>
                <w:color w:val="auto"/>
                <w:sz w:val="24"/>
                <w:highlight w:val="none"/>
                <w:lang w:eastAsia="zh-CN"/>
              </w:rPr>
            </w:pPr>
            <w:r>
              <w:rPr>
                <w:rFonts w:hint="eastAsia" w:ascii="仿宋" w:hAnsi="仿宋" w:eastAsia="仿宋" w:cs="仿宋"/>
                <w:b w:val="0"/>
                <w:bCs w:val="0"/>
                <w:color w:val="auto"/>
                <w:sz w:val="24"/>
                <w:szCs w:val="24"/>
                <w:highlight w:val="none"/>
              </w:rPr>
              <w:t>（按最高项计分，且只计一项。自有的提供政府部门颁发的产权证明；租赁的需同时提供租赁合同、政府部门颁发的产权证明）</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0-2分</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4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仿宋" w:hAnsi="仿宋" w:eastAsia="仿宋" w:cs="仿宋"/>
                <w:color w:val="auto"/>
                <w:kern w:val="0"/>
                <w:sz w:val="24"/>
                <w:highlight w:val="none"/>
              </w:rPr>
            </w:pP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highlight w:val="none"/>
                <w:lang w:val="en-US"/>
              </w:rPr>
            </w:pPr>
            <w:r>
              <w:rPr>
                <w:rFonts w:hint="eastAsia" w:cs="仿宋"/>
                <w:color w:val="auto"/>
                <w:sz w:val="24"/>
                <w:szCs w:val="24"/>
                <w:highlight w:val="none"/>
                <w:lang w:val="en-US" w:eastAsia="zh-CN"/>
              </w:rPr>
              <w:t>17</w:t>
            </w:r>
          </w:p>
        </w:tc>
        <w:tc>
          <w:tcPr>
            <w:tcW w:w="48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numPr>
                <w:ilvl w:val="2"/>
                <w:numId w:val="0"/>
              </w:numPr>
              <w:kinsoku/>
              <w:wordWrap/>
              <w:overflowPunct/>
              <w:topLinePunct w:val="0"/>
              <w:autoSpaceDE/>
              <w:autoSpaceDN/>
              <w:bidi w:val="0"/>
              <w:adjustRightInd/>
              <w:snapToGrid/>
              <w:spacing w:before="0" w:after="0" w:line="24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 1 \* GB2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⑴</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w:t>
            </w:r>
            <w:r>
              <w:rPr>
                <w:rFonts w:hint="eastAsia" w:cs="仿宋"/>
                <w:b w:val="0"/>
                <w:bCs w:val="0"/>
                <w:color w:val="auto"/>
                <w:sz w:val="24"/>
                <w:szCs w:val="24"/>
                <w:highlight w:val="none"/>
                <w:lang w:eastAsia="zh-CN"/>
              </w:rPr>
              <w:t>投标单位</w:t>
            </w:r>
            <w:r>
              <w:rPr>
                <w:rFonts w:hint="eastAsia" w:ascii="仿宋" w:hAnsi="仿宋" w:eastAsia="仿宋" w:cs="仿宋"/>
                <w:b w:val="0"/>
                <w:bCs w:val="0"/>
                <w:color w:val="auto"/>
                <w:sz w:val="24"/>
                <w:szCs w:val="24"/>
                <w:highlight w:val="none"/>
              </w:rPr>
              <w:t>自有设备中同时具有护栏清洗车、吸</w:t>
            </w:r>
            <w:r>
              <w:rPr>
                <w:rFonts w:hint="eastAsia" w:cs="仿宋"/>
                <w:b w:val="0"/>
                <w:bCs w:val="0"/>
                <w:color w:val="auto"/>
                <w:sz w:val="24"/>
                <w:szCs w:val="24"/>
                <w:highlight w:val="none"/>
                <w:lang w:eastAsia="zh-CN"/>
              </w:rPr>
              <w:t>污</w:t>
            </w:r>
            <w:r>
              <w:rPr>
                <w:rFonts w:hint="eastAsia" w:ascii="仿宋" w:hAnsi="仿宋" w:eastAsia="仿宋" w:cs="仿宋"/>
                <w:b w:val="0"/>
                <w:bCs w:val="0"/>
                <w:color w:val="auto"/>
                <w:sz w:val="24"/>
                <w:szCs w:val="24"/>
                <w:highlight w:val="none"/>
              </w:rPr>
              <w:t>车</w:t>
            </w:r>
            <w:r>
              <w:rPr>
                <w:rFonts w:hint="eastAsia" w:ascii="仿宋" w:hAnsi="仿宋" w:eastAsia="仿宋" w:cs="仿宋"/>
                <w:b w:val="0"/>
                <w:bCs w:val="0"/>
                <w:color w:val="auto"/>
                <w:sz w:val="24"/>
                <w:szCs w:val="24"/>
                <w:highlight w:val="none"/>
                <w:lang w:eastAsia="zh-CN"/>
              </w:rPr>
              <w:t>、雾炮车三</w:t>
            </w:r>
            <w:r>
              <w:rPr>
                <w:rFonts w:hint="eastAsia" w:ascii="仿宋" w:hAnsi="仿宋" w:eastAsia="仿宋" w:cs="仿宋"/>
                <w:b w:val="0"/>
                <w:bCs w:val="0"/>
                <w:color w:val="auto"/>
                <w:sz w:val="24"/>
                <w:szCs w:val="24"/>
                <w:highlight w:val="none"/>
              </w:rPr>
              <w:t>种车型为一组，</w:t>
            </w:r>
            <w:r>
              <w:rPr>
                <w:rFonts w:hint="eastAsia" w:cs="仿宋"/>
                <w:b w:val="0"/>
                <w:bCs w:val="0"/>
                <w:color w:val="auto"/>
                <w:sz w:val="24"/>
                <w:szCs w:val="24"/>
                <w:highlight w:val="none"/>
                <w:lang w:val="en-US" w:eastAsia="zh-CN"/>
              </w:rPr>
              <w:t>每组得1分，最高得</w:t>
            </w:r>
            <w:r>
              <w:rPr>
                <w:rFonts w:hint="eastAsia" w:ascii="仿宋" w:hAnsi="仿宋" w:eastAsia="仿宋" w:cs="仿宋"/>
                <w:b w:val="0"/>
                <w:color w:val="auto"/>
                <w:sz w:val="24"/>
                <w:szCs w:val="24"/>
                <w:highlight w:val="none"/>
                <w:lang w:val="en-US" w:eastAsia="zh-CN" w:bidi="ar-SA"/>
              </w:rPr>
              <w:t>2分。（投标文件中提供行驶证和车辆登记证复印件，自本项目意见征询发布后转入投标人的二手车辆均不计分）</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⑵</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r>
              <w:rPr>
                <w:rFonts w:hint="eastAsia" w:cs="仿宋"/>
                <w:color w:val="auto"/>
                <w:sz w:val="24"/>
                <w:szCs w:val="24"/>
                <w:highlight w:val="none"/>
                <w:lang w:eastAsia="zh-CN"/>
              </w:rPr>
              <w:t>投标单位</w:t>
            </w:r>
            <w:r>
              <w:rPr>
                <w:rFonts w:hint="eastAsia" w:ascii="仿宋" w:hAnsi="仿宋" w:eastAsia="仿宋" w:cs="仿宋"/>
                <w:b w:val="0"/>
                <w:bCs w:val="0"/>
                <w:color w:val="auto"/>
                <w:sz w:val="24"/>
                <w:szCs w:val="24"/>
                <w:highlight w:val="none"/>
              </w:rPr>
              <w:t>自有</w:t>
            </w:r>
            <w:r>
              <w:rPr>
                <w:rFonts w:hint="eastAsia" w:ascii="仿宋" w:hAnsi="仿宋" w:eastAsia="仿宋" w:cs="仿宋"/>
                <w:color w:val="auto"/>
                <w:sz w:val="24"/>
                <w:szCs w:val="24"/>
                <w:highlight w:val="none"/>
              </w:rPr>
              <w:t>工程救险车、核定载质量5吨（含）以上的垃圾压缩车和核定载质量3吨（含）以下小型的垃圾压缩车</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种车型为一组，</w:t>
            </w:r>
            <w:r>
              <w:rPr>
                <w:rFonts w:hint="eastAsia" w:cs="仿宋"/>
                <w:b w:val="0"/>
                <w:bCs w:val="0"/>
                <w:color w:val="auto"/>
                <w:sz w:val="24"/>
                <w:szCs w:val="24"/>
                <w:highlight w:val="none"/>
                <w:lang w:val="en-US" w:eastAsia="zh-CN"/>
              </w:rPr>
              <w:t>每组得1分，最高得3分</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rPr>
              <w:t>（</w:t>
            </w:r>
            <w:r>
              <w:rPr>
                <w:rFonts w:hint="eastAsia" w:ascii="仿宋" w:hAnsi="仿宋" w:eastAsia="仿宋" w:cs="仿宋"/>
                <w:color w:val="auto"/>
                <w:sz w:val="24"/>
                <w:szCs w:val="32"/>
                <w:highlight w:val="none"/>
              </w:rPr>
              <w:t>投标文件中提供行驶证和车辆登记证复印件，自本项目意见征询发布后转入投标人的二手车辆均不计分</w:t>
            </w:r>
            <w:r>
              <w:rPr>
                <w:rFonts w:hint="eastAsia" w:ascii="仿宋" w:hAnsi="仿宋" w:eastAsia="仿宋" w:cs="仿宋"/>
                <w:b w:val="0"/>
                <w:bCs w:val="0"/>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cs="仿宋"/>
                <w:color w:val="auto"/>
                <w:sz w:val="24"/>
                <w:highlight w:val="none"/>
                <w:lang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3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⑶</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r>
              <w:rPr>
                <w:rFonts w:hint="eastAsia" w:cs="仿宋"/>
                <w:color w:val="auto"/>
                <w:sz w:val="24"/>
                <w:szCs w:val="24"/>
                <w:highlight w:val="none"/>
                <w:lang w:eastAsia="zh-CN"/>
              </w:rPr>
              <w:t>投标单位</w:t>
            </w:r>
            <w:r>
              <w:rPr>
                <w:rFonts w:hint="eastAsia" w:ascii="仿宋" w:hAnsi="仿宋" w:eastAsia="仿宋" w:cs="仿宋"/>
                <w:b w:val="0"/>
                <w:bCs w:val="0"/>
                <w:color w:val="auto"/>
                <w:sz w:val="24"/>
                <w:szCs w:val="24"/>
                <w:highlight w:val="none"/>
              </w:rPr>
              <w:t>自有</w:t>
            </w:r>
            <w:r>
              <w:rPr>
                <w:rFonts w:hint="eastAsia" w:ascii="仿宋" w:hAnsi="仿宋" w:eastAsia="仿宋" w:cs="仿宋"/>
                <w:color w:val="auto"/>
                <w:sz w:val="24"/>
                <w:szCs w:val="24"/>
                <w:highlight w:val="none"/>
              </w:rPr>
              <w:t>总质量7吨（含）以上的清扫车、总质量3.5吨（含）以下小型的扫路车、核定载质量10吨（含）以上的清洗车、核定载质量1吨（含）以下小型的路面养护车四种车型为一组，</w:t>
            </w:r>
            <w:r>
              <w:rPr>
                <w:rFonts w:hint="eastAsia" w:cs="仿宋"/>
                <w:b w:val="0"/>
                <w:bCs w:val="0"/>
                <w:color w:val="auto"/>
                <w:sz w:val="24"/>
                <w:szCs w:val="24"/>
                <w:highlight w:val="none"/>
                <w:lang w:val="en-US" w:eastAsia="zh-CN"/>
              </w:rPr>
              <w:t>每组得1分，最高得5分</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rPr>
              <w:t>（</w:t>
            </w:r>
            <w:r>
              <w:rPr>
                <w:rFonts w:hint="eastAsia" w:ascii="仿宋" w:hAnsi="仿宋" w:eastAsia="仿宋" w:cs="仿宋"/>
                <w:color w:val="auto"/>
                <w:sz w:val="24"/>
                <w:szCs w:val="32"/>
                <w:highlight w:val="none"/>
              </w:rPr>
              <w:t>投标文件中提供行驶证和车辆登记证复印件，自本项目意见征询发布后转入投标人的二手车辆均不计分</w:t>
            </w:r>
            <w:r>
              <w:rPr>
                <w:rFonts w:hint="eastAsia" w:ascii="仿宋" w:hAnsi="仿宋" w:eastAsia="仿宋" w:cs="仿宋"/>
                <w:b w:val="0"/>
                <w:bCs w:val="0"/>
                <w:color w:val="auto"/>
                <w:sz w:val="24"/>
                <w:szCs w:val="24"/>
                <w:highlight w:val="none"/>
              </w:rPr>
              <w:t>）</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0-10分</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客观分</w:t>
            </w:r>
          </w:p>
        </w:tc>
      </w:tr>
    </w:tbl>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1）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仿宋" w:hAnsi="仿宋" w:eastAsia="仿宋" w:cs="仿宋"/>
          <w:b/>
          <w:bCs/>
          <w:color w:val="auto"/>
          <w:sz w:val="24"/>
          <w:highlight w:val="none"/>
        </w:rPr>
      </w:pPr>
      <w:r>
        <w:rPr>
          <w:rFonts w:hint="eastAsia" w:cs="仿宋"/>
          <w:b/>
          <w:bCs/>
          <w:color w:val="auto"/>
          <w:sz w:val="24"/>
          <w:highlight w:val="none"/>
          <w:lang w:val="en-US" w:eastAsia="zh-CN"/>
        </w:rPr>
        <w:t>2</w:t>
      </w:r>
      <w:r>
        <w:rPr>
          <w:rFonts w:hint="eastAsia" w:ascii="仿宋" w:hAnsi="仿宋" w:eastAsia="仿宋" w:cs="仿宋"/>
          <w:b/>
          <w:bCs/>
          <w:color w:val="auto"/>
          <w:sz w:val="24"/>
          <w:highlight w:val="none"/>
        </w:rPr>
        <w:t>、价格分（</w:t>
      </w:r>
      <w:r>
        <w:rPr>
          <w:rFonts w:hint="eastAsia" w:ascii="仿宋" w:hAnsi="仿宋" w:eastAsia="仿宋" w:cs="仿宋"/>
          <w:b/>
          <w:bCs/>
          <w:color w:val="auto"/>
          <w:sz w:val="24"/>
          <w:highlight w:val="none"/>
          <w:lang w:val="en-US" w:eastAsia="zh-CN"/>
        </w:rPr>
        <w:t>20</w:t>
      </w:r>
      <w:r>
        <w:rPr>
          <w:rFonts w:hint="eastAsia" w:ascii="仿宋" w:hAnsi="仿宋" w:eastAsia="仿宋" w:cs="仿宋"/>
          <w:b/>
          <w:bCs/>
          <w:color w:val="auto"/>
          <w:sz w:val="24"/>
          <w:highlight w:val="none"/>
        </w:rPr>
        <w:t>分）</w:t>
      </w:r>
    </w:p>
    <w:tbl>
      <w:tblPr>
        <w:tblStyle w:val="22"/>
        <w:tblW w:w="8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价格权值</w:t>
            </w:r>
          </w:p>
        </w:tc>
        <w:tc>
          <w:tcPr>
            <w:tcW w:w="64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9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价格权值=0.</w:t>
            </w:r>
            <w:r>
              <w:rPr>
                <w:rFonts w:hint="eastAsia" w:ascii="仿宋" w:hAnsi="仿宋" w:eastAsia="仿宋" w:cs="仿宋"/>
                <w:color w:val="auto"/>
                <w:sz w:val="24"/>
                <w:szCs w:val="32"/>
                <w:highlight w:val="none"/>
                <w:lang w:val="en-US" w:eastAsia="zh-CN"/>
              </w:rPr>
              <w:t>20</w:t>
            </w:r>
          </w:p>
        </w:tc>
        <w:tc>
          <w:tcPr>
            <w:tcW w:w="64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最低有效投标价格为评标基准价</w:t>
            </w:r>
          </w:p>
          <w:p>
            <w:pPr>
              <w:keepNext w:val="0"/>
              <w:keepLines w:val="0"/>
              <w:pageBreakBefore w:val="0"/>
              <w:widowControl/>
              <w:kinsoku/>
              <w:wordWrap/>
              <w:overflowPunct/>
              <w:topLinePunct w:val="0"/>
              <w:autoSpaceDE/>
              <w:autoSpaceDN/>
              <w:bidi w:val="0"/>
              <w:adjustRightInd/>
              <w:snapToGrid/>
              <w:spacing w:after="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 xml:space="preserve">投标报价得分=(评标基准价／投标报价)×价格权值×100 </w:t>
            </w:r>
          </w:p>
          <w:p>
            <w:pPr>
              <w:keepNext w:val="0"/>
              <w:keepLines w:val="0"/>
              <w:pageBreakBefore w:val="0"/>
              <w:widowControl/>
              <w:kinsoku/>
              <w:wordWrap/>
              <w:overflowPunct/>
              <w:topLinePunct w:val="0"/>
              <w:autoSpaceDE/>
              <w:autoSpaceDN/>
              <w:bidi w:val="0"/>
              <w:adjustRightInd/>
              <w:snapToGrid/>
              <w:spacing w:after="0"/>
              <w:textAlignment w:val="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（计算得分保留小数点后2位）</w:t>
            </w:r>
          </w:p>
        </w:tc>
      </w:tr>
    </w:tbl>
    <w:p>
      <w:pPr>
        <w:keepNext w:val="0"/>
        <w:keepLines w:val="0"/>
        <w:pageBreakBefore w:val="0"/>
        <w:widowControl/>
        <w:kinsoku/>
        <w:wordWrap/>
        <w:overflowPunct/>
        <w:topLinePunct w:val="0"/>
        <w:autoSpaceDE/>
        <w:autoSpaceDN/>
        <w:bidi w:val="0"/>
        <w:adjustRightInd/>
        <w:snapToGrid w:val="0"/>
        <w:spacing w:after="0"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keepNext w:val="0"/>
        <w:keepLines w:val="0"/>
        <w:pageBreakBefore w:val="0"/>
        <w:widowControl/>
        <w:kinsoku/>
        <w:wordWrap/>
        <w:overflowPunct/>
        <w:topLinePunct w:val="0"/>
        <w:autoSpaceDE/>
        <w:autoSpaceDN/>
        <w:bidi w:val="0"/>
        <w:adjustRightIn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备注：</w:t>
      </w:r>
      <w:r>
        <w:rPr>
          <w:rFonts w:hint="eastAsia" w:ascii="仿宋" w:hAnsi="仿宋" w:eastAsia="仿宋" w:cs="仿宋"/>
          <w:color w:val="auto"/>
          <w:highlight w:val="none"/>
        </w:rPr>
        <w:t>1、评分条款中涉及的业绩、荣誉、人员、社保等分公司均有效。</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3、投标人编制投标文件（商务技术文件部分）时，建议按此目录（序号和内容）提供评标标准相应的商务技术资料。 </w:t>
      </w:r>
    </w:p>
    <w:p>
      <w:pPr>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5"/>
        <w:keepNext w:val="0"/>
        <w:keepLines w:val="0"/>
        <w:pageBreakBefore w:val="0"/>
        <w:kinsoku/>
        <w:wordWrap/>
        <w:overflowPunct/>
        <w:topLinePunct w:val="0"/>
        <w:autoSpaceDE/>
        <w:autoSpaceDN/>
        <w:bidi w:val="0"/>
        <w:spacing w:before="0" w:after="0" w:line="360" w:lineRule="auto"/>
        <w:ind w:left="0" w:leftChars="0" w:firstLine="562" w:firstLineChars="200"/>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autoSpaceDE/>
        <w:autoSpaceDN/>
        <w:bidi w:val="0"/>
        <w:spacing w:before="0" w:after="0" w:line="360" w:lineRule="auto"/>
        <w:ind w:left="0" w:leftChars="0"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一、评标方法</w:t>
      </w:r>
    </w:p>
    <w:p>
      <w:pPr>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color w:val="auto"/>
          <w:highlight w:val="none"/>
        </w:rPr>
      </w:pPr>
      <w:r>
        <w:rPr>
          <w:rStyle w:val="32"/>
          <w:rFonts w:hint="eastAsia" w:ascii="仿宋" w:hAnsi="仿宋" w:eastAsia="仿宋" w:cs="仿宋"/>
          <w:color w:val="auto"/>
          <w:highlight w:val="none"/>
        </w:rPr>
        <w:t>1.本项目采用综合评分法。</w:t>
      </w:r>
      <w:r>
        <w:rPr>
          <w:rFonts w:hint="eastAsia" w:ascii="仿宋" w:hAnsi="仿宋" w:eastAsia="仿宋" w:cs="仿宋"/>
          <w:color w:val="auto"/>
          <w:highlight w:val="none"/>
        </w:rPr>
        <w:t>综合评分法，是指投标文件满足招标文件全部实质性要求，且按照评审因素的量化指标评审得分最高的投标人为中标候选人的评标方法。</w:t>
      </w:r>
    </w:p>
    <w:p>
      <w:pPr>
        <w:pStyle w:val="5"/>
        <w:keepNext w:val="0"/>
        <w:keepLines w:val="0"/>
        <w:pageBreakBefore w:val="0"/>
        <w:kinsoku/>
        <w:wordWrap/>
        <w:overflowPunct/>
        <w:topLinePunct w:val="0"/>
        <w:autoSpaceDE/>
        <w:autoSpaceDN/>
        <w:bidi w:val="0"/>
        <w:spacing w:before="0" w:after="0" w:line="360" w:lineRule="auto"/>
        <w:ind w:left="0" w:leftChars="0" w:firstLine="562" w:firstLineChars="200"/>
        <w:textAlignment w:val="auto"/>
        <w:rPr>
          <w:rFonts w:hint="eastAsia" w:ascii="仿宋" w:hAnsi="仿宋" w:eastAsia="仿宋" w:cs="仿宋"/>
          <w:color w:val="auto"/>
          <w:sz w:val="24"/>
          <w:highlight w:val="none"/>
        </w:rPr>
      </w:pPr>
      <w:r>
        <w:rPr>
          <w:rFonts w:hint="eastAsia" w:ascii="仿宋" w:hAnsi="仿宋" w:eastAsia="仿宋" w:cs="仿宋"/>
          <w:color w:val="auto"/>
          <w:highlight w:val="none"/>
        </w:rPr>
        <w:t>二、评标标准</w:t>
      </w:r>
    </w:p>
    <w:p>
      <w:pPr>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b/>
          <w:color w:val="auto"/>
          <w:highlight w:val="none"/>
        </w:rPr>
      </w:pPr>
      <w:r>
        <w:rPr>
          <w:rStyle w:val="32"/>
          <w:rFonts w:hint="eastAsia" w:ascii="仿宋" w:hAnsi="仿宋" w:eastAsia="仿宋" w:cs="仿宋"/>
          <w:color w:val="auto"/>
          <w:highlight w:val="none"/>
        </w:rPr>
        <w:t>2. 评标标准：</w:t>
      </w:r>
      <w:r>
        <w:rPr>
          <w:rFonts w:hint="eastAsia" w:ascii="仿宋" w:hAnsi="仿宋" w:eastAsia="仿宋" w:cs="仿宋"/>
          <w:color w:val="auto"/>
          <w:highlight w:val="none"/>
        </w:rPr>
        <w:t>见评标办法前附表。</w:t>
      </w:r>
    </w:p>
    <w:p>
      <w:pPr>
        <w:pStyle w:val="5"/>
        <w:keepNext w:val="0"/>
        <w:keepLines w:val="0"/>
        <w:pageBreakBefore w:val="0"/>
        <w:kinsoku/>
        <w:wordWrap/>
        <w:overflowPunct/>
        <w:topLinePunct w:val="0"/>
        <w:autoSpaceDE/>
        <w:autoSpaceDN/>
        <w:bidi w:val="0"/>
        <w:spacing w:before="0" w:after="0" w:line="360" w:lineRule="auto"/>
        <w:ind w:left="0" w:leftChars="0"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三、评标程序</w:t>
      </w:r>
    </w:p>
    <w:p>
      <w:pPr>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color w:val="auto"/>
          <w:highlight w:val="none"/>
        </w:rPr>
      </w:pPr>
      <w:r>
        <w:rPr>
          <w:rStyle w:val="32"/>
          <w:rFonts w:hint="eastAsia" w:ascii="仿宋" w:hAnsi="仿宋" w:eastAsia="仿宋" w:cs="仿宋"/>
          <w:color w:val="auto"/>
          <w:highlight w:val="none"/>
        </w:rPr>
        <w:t>3.1符合性审查。</w:t>
      </w:r>
      <w:r>
        <w:rPr>
          <w:rFonts w:hint="eastAsia" w:ascii="仿宋" w:hAnsi="仿宋" w:eastAsia="仿宋" w:cs="仿宋"/>
          <w:color w:val="auto"/>
          <w:highlight w:val="none"/>
        </w:rPr>
        <w:t>评标委员会应当对符合资格的投标人的投标文件进行符合性审查，以确定其是否满足招标文件的实质性要求。不满足招标文件的实质性要求的，投标无效。</w:t>
      </w:r>
    </w:p>
    <w:p>
      <w:pPr>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color w:val="auto"/>
          <w:highlight w:val="none"/>
        </w:rPr>
      </w:pPr>
      <w:r>
        <w:rPr>
          <w:rStyle w:val="32"/>
          <w:rFonts w:hint="eastAsia" w:ascii="仿宋" w:hAnsi="仿宋" w:eastAsia="仿宋" w:cs="仿宋"/>
          <w:color w:val="auto"/>
          <w:highlight w:val="none"/>
        </w:rPr>
        <w:t>3.2 比较与评价。</w:t>
      </w:r>
      <w:r>
        <w:rPr>
          <w:rFonts w:hint="eastAsia" w:ascii="仿宋" w:hAnsi="仿宋" w:eastAsia="仿宋" w:cs="仿宋"/>
          <w:color w:val="auto"/>
          <w:highlight w:val="none"/>
        </w:rPr>
        <w:t>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color w:val="auto"/>
          <w:highlight w:val="none"/>
        </w:rPr>
      </w:pPr>
      <w:r>
        <w:rPr>
          <w:rStyle w:val="32"/>
          <w:rFonts w:hint="eastAsia" w:ascii="仿宋" w:hAnsi="仿宋" w:eastAsia="仿宋" w:cs="仿宋"/>
          <w:color w:val="auto"/>
          <w:highlight w:val="none"/>
        </w:rPr>
        <w:t>3.3汇总商务技术得分。</w:t>
      </w:r>
      <w:r>
        <w:rPr>
          <w:rFonts w:hint="eastAsia" w:ascii="仿宋" w:hAnsi="仿宋" w:eastAsia="仿宋" w:cs="仿宋"/>
          <w:color w:val="auto"/>
          <w:highlight w:val="none"/>
        </w:rPr>
        <w:t>评标委员会各成员应当独立对每个投标人的商务和技术文件进行评价，并汇总商务技术得分情况。</w:t>
      </w:r>
    </w:p>
    <w:p>
      <w:pPr>
        <w:pStyle w:val="6"/>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ab/>
      </w:r>
      <w:r>
        <w:rPr>
          <w:rFonts w:hint="eastAsia" w:ascii="仿宋" w:hAnsi="仿宋" w:eastAsia="仿宋" w:cs="仿宋"/>
          <w:color w:val="auto"/>
          <w:highlight w:val="none"/>
        </w:rPr>
        <w:t>3.4报价评审。</w:t>
      </w:r>
    </w:p>
    <w:p>
      <w:pPr>
        <w:pStyle w:val="56"/>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3.4.1投标文件报价出现前后不一致的，按照下列规定修正：</w:t>
      </w:r>
    </w:p>
    <w:p>
      <w:pPr>
        <w:pStyle w:val="56"/>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3.4.1.1投标文件中开标一览表(报价表)内容与投标文件中相应内容不一致的，以开标一览表(报价表)为准;</w:t>
      </w:r>
    </w:p>
    <w:p>
      <w:pPr>
        <w:pStyle w:val="56"/>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3.4.1.2大写金额和小写金额不一致的，以大写金额为准;</w:t>
      </w:r>
    </w:p>
    <w:p>
      <w:pPr>
        <w:pStyle w:val="56"/>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3.4.1.3单价金额小数点或者百分比有明显错位的，以开标一览表的总价为准，并修改单价;</w:t>
      </w:r>
    </w:p>
    <w:p>
      <w:pPr>
        <w:pStyle w:val="56"/>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3.4.1.4总价金额与按单价汇总金额不一致的，以单价金额计算结果为准。</w:t>
      </w:r>
    </w:p>
    <w:p>
      <w:pPr>
        <w:pStyle w:val="56"/>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3.4.2投标文件出现不是唯一的、有选择性投标报价的，投标无效。</w:t>
      </w:r>
    </w:p>
    <w:p>
      <w:pPr>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3.4.3投标报价超过招标文件中规定的预算金额或者最高限价的，投标无效。</w:t>
      </w:r>
    </w:p>
    <w:p>
      <w:pPr>
        <w:pStyle w:val="56"/>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56"/>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color w:val="auto"/>
          <w:highlight w:val="none"/>
        </w:rPr>
      </w:pPr>
      <w:r>
        <w:rPr>
          <w:rStyle w:val="32"/>
          <w:rFonts w:hint="eastAsia" w:ascii="仿宋" w:hAnsi="仿宋" w:eastAsia="仿宋" w:cs="仿宋"/>
          <w:color w:val="auto"/>
          <w:highlight w:val="none"/>
        </w:rPr>
        <w:t>3.5排序与推荐。</w:t>
      </w:r>
      <w:r>
        <w:rPr>
          <w:rFonts w:hint="eastAsia" w:ascii="仿宋" w:hAnsi="仿宋" w:eastAsia="仿宋" w:cs="仿宋"/>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b/>
          <w:color w:val="auto"/>
          <w:highlight w:val="none"/>
        </w:rPr>
      </w:pPr>
      <w:r>
        <w:rPr>
          <w:rFonts w:hint="eastAsia" w:ascii="仿宋" w:hAnsi="仿宋" w:eastAsia="仿宋" w:cs="仿宋"/>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color w:val="auto"/>
          <w:highlight w:val="none"/>
        </w:rPr>
      </w:pPr>
      <w:r>
        <w:rPr>
          <w:rStyle w:val="32"/>
          <w:rFonts w:hint="eastAsia" w:ascii="仿宋" w:hAnsi="仿宋" w:eastAsia="仿宋" w:cs="仿宋"/>
          <w:color w:val="auto"/>
          <w:highlight w:val="none"/>
        </w:rPr>
        <w:t>3.6编写评标报告。</w:t>
      </w:r>
      <w:r>
        <w:rPr>
          <w:rFonts w:hint="eastAsia" w:ascii="仿宋" w:hAnsi="仿宋" w:eastAsia="仿宋" w:cs="仿宋"/>
          <w:color w:val="auto"/>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5"/>
        <w:keepNext w:val="0"/>
        <w:keepLines w:val="0"/>
        <w:pageBreakBefore w:val="0"/>
        <w:kinsoku/>
        <w:wordWrap/>
        <w:overflowPunct/>
        <w:topLinePunct w:val="0"/>
        <w:autoSpaceDE/>
        <w:autoSpaceDN/>
        <w:bidi w:val="0"/>
        <w:spacing w:before="0" w:after="0" w:line="360" w:lineRule="auto"/>
        <w:ind w:left="0" w:leftChars="0"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四、评标中的其他事项</w:t>
      </w:r>
    </w:p>
    <w:p>
      <w:pPr>
        <w:pStyle w:val="56"/>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color w:val="auto"/>
          <w:highlight w:val="none"/>
        </w:rPr>
      </w:pPr>
      <w:r>
        <w:rPr>
          <w:rStyle w:val="32"/>
          <w:rFonts w:hint="eastAsia" w:ascii="仿宋" w:hAnsi="仿宋" w:eastAsia="仿宋" w:cs="仿宋"/>
          <w:color w:val="auto"/>
          <w:highlight w:val="none"/>
        </w:rPr>
        <w:t>4.1投标人澄清、说明或者补正。</w:t>
      </w:r>
      <w:r>
        <w:rPr>
          <w:rFonts w:hint="eastAsia" w:ascii="仿宋" w:hAnsi="仿宋" w:eastAsia="仿宋" w:cs="仿宋"/>
          <w:color w:val="auto"/>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5"/>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color w:val="auto"/>
          <w:szCs w:val="21"/>
          <w:highlight w:val="none"/>
        </w:rPr>
      </w:pPr>
      <w:r>
        <w:rPr>
          <w:rStyle w:val="32"/>
          <w:rFonts w:hint="eastAsia" w:ascii="仿宋" w:hAnsi="仿宋" w:eastAsia="仿宋" w:cs="仿宋"/>
          <w:color w:val="auto"/>
          <w:highlight w:val="none"/>
        </w:rPr>
        <w:t>4.2投标无效。</w:t>
      </w:r>
      <w:r>
        <w:rPr>
          <w:rFonts w:hint="eastAsia" w:ascii="仿宋" w:hAnsi="仿宋" w:eastAsia="仿宋" w:cs="仿宋"/>
          <w:color w:val="auto"/>
          <w:szCs w:val="21"/>
          <w:highlight w:val="none"/>
        </w:rPr>
        <w:t>有下列情形之一的，投标无效：</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4.2.1投标人不具备招标文件中规定的资格要求的（投标人未提供有效的资格文件的，视为投标人不具备招标文件中规定的资格要求）；</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4.2.2投标文件未按照招标文件要求签署、盖章的；</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4.2.3采购人拟采购的产品属于政府强制采购的节能产品品目清单范围的，投标人未按招标文件要求提供国家确定的认证机构出具的、处于有效期之内的节能产品认证证书的；</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4.2.4投标文件含有采购人不能接受的附加条件的；</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4.2.5投标文件中承诺的投标有效期少于招标文件中载明的投标有效期的；</w:t>
      </w:r>
    </w:p>
    <w:p>
      <w:pPr>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4.2.6投标文件出现不是唯一的、有选择性投标报价的;</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4.2.7投标报价超过招标文件中规定的预算金额或者最高限价的;</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4.2.8报价明显低于其他通过符合性审查投标人的报价，有可能影响产品质量或者不能诚信履约的，未能按要求提供书面说明或者提交相关证明材料，不能证明其报价合理性的;</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4.2.9投标人对根据修正原则修正后的报价不确认的；</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4.2.10投标人提供虚假材料投标的；</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4.2.11投标人有恶意串通、妨碍其他投标人的竞争行为、损害采购人或者其他投标人的合法权益情形的；</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4.2.12投标人仅提交备份投标文件，未在电子交易平台传输递交投标文件的，投标无效；</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b/>
          <w:bCs/>
          <w:color w:val="auto"/>
          <w:highlight w:val="none"/>
        </w:rPr>
      </w:pPr>
      <w:r>
        <w:rPr>
          <w:rFonts w:hint="eastAsia" w:ascii="仿宋" w:hAnsi="仿宋" w:eastAsia="仿宋" w:cs="仿宋"/>
          <w:color w:val="auto"/>
          <w:highlight w:val="none"/>
        </w:rPr>
        <w:t>4.2.13 投标文件不满足招标文件的其它实质性要求的；</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4.2.14法律、法规、规章（适用本市的）及省级以上规范性文件（适用本市的）规定的其他无效情形。</w:t>
      </w:r>
    </w:p>
    <w:p>
      <w:pPr>
        <w:pStyle w:val="15"/>
        <w:keepNext w:val="0"/>
        <w:keepLines w:val="0"/>
        <w:pageBreakBefore w:val="0"/>
        <w:kinsoku/>
        <w:wordWrap/>
        <w:overflowPunct/>
        <w:topLinePunct w:val="0"/>
        <w:autoSpaceDE/>
        <w:autoSpaceDN/>
        <w:bidi w:val="0"/>
        <w:snapToGrid w:val="0"/>
        <w:spacing w:after="0" w:line="360" w:lineRule="auto"/>
        <w:ind w:left="0" w:leftChars="0" w:firstLine="482" w:firstLineChars="200"/>
        <w:textAlignment w:val="auto"/>
        <w:rPr>
          <w:rFonts w:hint="eastAsia" w:ascii="仿宋" w:hAnsi="仿宋" w:eastAsia="仿宋" w:cs="仿宋"/>
          <w:color w:val="auto"/>
          <w:highlight w:val="none"/>
        </w:rPr>
      </w:pPr>
      <w:r>
        <w:rPr>
          <w:rStyle w:val="32"/>
          <w:rFonts w:hint="eastAsia" w:ascii="仿宋" w:hAnsi="仿宋" w:eastAsia="仿宋" w:cs="仿宋"/>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15"/>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15"/>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15"/>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15"/>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15"/>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15"/>
        <w:keepNext w:val="0"/>
        <w:keepLines w:val="0"/>
        <w:pageBreakBefore w:val="0"/>
        <w:kinsoku/>
        <w:wordWrap/>
        <w:overflowPunct/>
        <w:topLinePunct w:val="0"/>
        <w:autoSpaceDE/>
        <w:autoSpaceDN/>
        <w:bidi w:val="0"/>
        <w:snapToGrid w:val="0"/>
        <w:spacing w:after="0" w:line="360" w:lineRule="auto"/>
        <w:ind w:left="0" w:leftChars="0" w:firstLine="482" w:firstLineChars="200"/>
        <w:textAlignment w:val="auto"/>
        <w:rPr>
          <w:rFonts w:hint="eastAsia" w:ascii="仿宋" w:hAnsi="仿宋" w:eastAsia="仿宋" w:cs="仿宋"/>
          <w:color w:val="auto"/>
          <w:highlight w:val="none"/>
        </w:rPr>
      </w:pPr>
      <w:r>
        <w:rPr>
          <w:rStyle w:val="32"/>
          <w:rFonts w:hint="eastAsia" w:ascii="仿宋" w:hAnsi="仿宋" w:eastAsia="仿宋" w:cs="仿宋"/>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5"/>
        <w:keepNext w:val="0"/>
        <w:keepLines w:val="0"/>
        <w:pageBreakBefore w:val="0"/>
        <w:kinsoku/>
        <w:wordWrap/>
        <w:overflowPunct/>
        <w:topLinePunct w:val="0"/>
        <w:autoSpaceDE/>
        <w:autoSpaceDN/>
        <w:bidi w:val="0"/>
        <w:snapToGrid w:val="0"/>
        <w:spacing w:after="0" w:line="360" w:lineRule="auto"/>
        <w:ind w:left="0" w:leftChars="0" w:firstLine="482" w:firstLineChars="200"/>
        <w:textAlignment w:val="auto"/>
        <w:rPr>
          <w:rFonts w:hint="eastAsia" w:ascii="仿宋" w:hAnsi="仿宋" w:eastAsia="仿宋" w:cs="仿宋"/>
          <w:color w:val="auto"/>
          <w:highlight w:val="none"/>
        </w:rPr>
      </w:pPr>
      <w:r>
        <w:rPr>
          <w:rStyle w:val="32"/>
          <w:rFonts w:hint="eastAsia" w:ascii="仿宋" w:hAnsi="仿宋" w:eastAsia="仿宋" w:cs="仿宋"/>
          <w:color w:val="auto"/>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15"/>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15"/>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5"/>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15"/>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15"/>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spacing w:line="276"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pPr>
        <w:pStyle w:val="4"/>
        <w:keepNext w:val="0"/>
        <w:keepLines w:val="0"/>
        <w:pageBreakBefore w:val="0"/>
        <w:kinsoku/>
        <w:wordWrap/>
        <w:overflowPunct/>
        <w:topLinePunct w:val="0"/>
        <w:bidi w:val="0"/>
        <w:spacing w:before="0" w:after="0" w:line="360" w:lineRule="auto"/>
        <w:ind w:left="0" w:leftChars="0" w:firstLine="743" w:firstLineChars="200"/>
        <w:textAlignment w:val="auto"/>
        <w:rPr>
          <w:rFonts w:hint="eastAsia" w:ascii="仿宋" w:hAnsi="仿宋" w:eastAsia="仿宋" w:cs="仿宋"/>
          <w:color w:val="auto"/>
          <w:kern w:val="2"/>
          <w:highlight w:val="none"/>
        </w:rPr>
      </w:pPr>
      <w:r>
        <w:rPr>
          <w:rFonts w:hint="eastAsia" w:ascii="仿宋" w:hAnsi="仿宋" w:eastAsia="仿宋" w:cs="仿宋"/>
          <w:color w:val="auto"/>
          <w:highlight w:val="none"/>
        </w:rPr>
        <w:t>第五部分 拟签订的合同文本</w:t>
      </w: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服务类合同建议可按照参考格式按照实际情况调整修改。</w:t>
      </w:r>
    </w:p>
    <w:p>
      <w:pPr>
        <w:pStyle w:val="5"/>
        <w:keepNext w:val="0"/>
        <w:keepLines w:val="0"/>
        <w:pageBreakBefore w:val="0"/>
        <w:kinsoku/>
        <w:wordWrap/>
        <w:overflowPunct/>
        <w:topLinePunct w:val="0"/>
        <w:bidi w:val="0"/>
        <w:spacing w:before="0" w:after="0" w:line="360" w:lineRule="auto"/>
        <w:ind w:left="0" w:leftChars="0"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货物类参考范本</w:t>
      </w:r>
    </w:p>
    <w:p>
      <w:pPr>
        <w:keepNext w:val="0"/>
        <w:keepLines w:val="0"/>
        <w:pageBreakBefore w:val="0"/>
        <w:kinsoku/>
        <w:wordWrap/>
        <w:overflowPunct/>
        <w:topLinePunct w:val="0"/>
        <w:bidi w:val="0"/>
        <w:spacing w:after="0" w:line="360" w:lineRule="auto"/>
        <w:ind w:left="0" w:leftChars="0" w:firstLine="480" w:firstLineChars="200"/>
        <w:jc w:val="right"/>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合同编号：</w:t>
      </w:r>
      <w:r>
        <w:rPr>
          <w:rFonts w:hint="eastAsia" w:ascii="仿宋" w:hAnsi="仿宋" w:eastAsia="仿宋" w:cs="仿宋"/>
          <w:color w:val="auto"/>
          <w:highlight w:val="none"/>
          <w:u w:val="single"/>
        </w:rPr>
        <w:t xml:space="preserve">           </w:t>
      </w:r>
    </w:p>
    <w:p>
      <w:pPr>
        <w:pStyle w:val="15"/>
        <w:keepNext w:val="0"/>
        <w:keepLines w:val="0"/>
        <w:pageBreakBefore w:val="0"/>
        <w:kinsoku/>
        <w:wordWrap/>
        <w:overflowPunct/>
        <w:topLinePunct w:val="0"/>
        <w:bidi w:val="0"/>
        <w:snapToGrid w:val="0"/>
        <w:spacing w:after="0" w:line="360" w:lineRule="auto"/>
        <w:ind w:left="0" w:leftChars="0" w:firstLine="480" w:firstLineChars="200"/>
        <w:textAlignment w:val="auto"/>
        <w:rPr>
          <w:rFonts w:hint="eastAsia" w:ascii="仿宋" w:hAnsi="仿宋" w:eastAsia="仿宋" w:cs="仿宋"/>
          <w:color w:val="auto"/>
          <w:highlight w:val="none"/>
        </w:rPr>
      </w:pPr>
    </w:p>
    <w:p>
      <w:pPr>
        <w:keepNext w:val="0"/>
        <w:keepLines w:val="0"/>
        <w:pageBreakBefore w:val="0"/>
        <w:kinsoku/>
        <w:wordWrap/>
        <w:overflowPunct/>
        <w:topLinePunct w:val="0"/>
        <w:bidi w:val="0"/>
        <w:spacing w:after="0" w:line="360" w:lineRule="auto"/>
        <w:ind w:left="0" w:leftChars="0" w:firstLine="723" w:firstLineChars="200"/>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keepNext w:val="0"/>
        <w:keepLines w:val="0"/>
        <w:pageBreakBefore w:val="0"/>
        <w:kinsoku/>
        <w:wordWrap/>
        <w:overflowPunct/>
        <w:topLinePunct w:val="0"/>
        <w:bidi w:val="0"/>
        <w:spacing w:after="0" w:line="360" w:lineRule="auto"/>
        <w:ind w:left="0" w:leftChars="0" w:firstLine="723" w:firstLineChars="200"/>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pStyle w:val="67"/>
        <w:keepNext w:val="0"/>
        <w:keepLines w:val="0"/>
        <w:pageBreakBefore w:val="0"/>
        <w:kinsoku/>
        <w:wordWrap/>
        <w:overflowPunct/>
        <w:topLinePunct w:val="0"/>
        <w:bidi w:val="0"/>
        <w:spacing w:after="0" w:line="360" w:lineRule="auto"/>
        <w:ind w:left="0" w:leftChars="0" w:firstLine="480" w:firstLineChars="200"/>
        <w:jc w:val="center"/>
        <w:textAlignment w:val="auto"/>
        <w:rPr>
          <w:rFonts w:hint="eastAsia" w:ascii="仿宋" w:hAnsi="仿宋" w:eastAsia="仿宋" w:cs="仿宋"/>
          <w:color w:val="auto"/>
          <w:szCs w:val="24"/>
          <w:highlight w:val="none"/>
        </w:rPr>
      </w:pPr>
    </w:p>
    <w:p>
      <w:pPr>
        <w:pStyle w:val="5"/>
        <w:keepNext w:val="0"/>
        <w:keepLines w:val="0"/>
        <w:pageBreakBefore w:val="0"/>
        <w:kinsoku/>
        <w:wordWrap/>
        <w:overflowPunct/>
        <w:topLinePunct w:val="0"/>
        <w:bidi w:val="0"/>
        <w:spacing w:before="0" w:after="0" w:line="360" w:lineRule="auto"/>
        <w:ind w:left="0" w:leftChars="0"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第一部分 合同书</w:t>
      </w:r>
    </w:p>
    <w:p>
      <w:pPr>
        <w:pStyle w:val="67"/>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szCs w:val="24"/>
          <w:highlight w:val="none"/>
        </w:rPr>
      </w:pP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rPr>
      </w:pP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p>
    <w:p>
      <w:pPr>
        <w:pStyle w:val="66"/>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szCs w:val="24"/>
          <w:highlight w:val="none"/>
        </w:rPr>
      </w:pPr>
    </w:p>
    <w:p>
      <w:pPr>
        <w:pStyle w:val="66"/>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szCs w:val="24"/>
          <w:highlight w:val="none"/>
        </w:rPr>
      </w:pP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rPr>
      </w:pP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rPr>
      </w:pP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rPr>
      </w:pP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签订地：</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rPr>
      </w:pP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签订日期：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rPr>
        <w:sectPr>
          <w:headerReference r:id="rId4" w:type="default"/>
          <w:footerReference r:id="rId5"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日</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（采购人）   </w:t>
      </w:r>
      <w:r>
        <w:rPr>
          <w:rFonts w:hint="eastAsia" w:ascii="仿宋" w:hAnsi="仿宋" w:eastAsia="仿宋" w:cs="仿宋"/>
          <w:color w:val="auto"/>
          <w:highlight w:val="none"/>
        </w:rPr>
        <w:t>以</w:t>
      </w:r>
      <w:r>
        <w:rPr>
          <w:rFonts w:hint="eastAsia" w:ascii="仿宋" w:hAnsi="仿宋" w:eastAsia="仿宋" w:cs="仿宋"/>
          <w:color w:val="auto"/>
          <w:highlight w:val="none"/>
          <w:u w:val="single"/>
        </w:rPr>
        <w:t xml:space="preserve">   （政府采购方式）  </w:t>
      </w:r>
      <w:r>
        <w:rPr>
          <w:rFonts w:hint="eastAsia" w:ascii="仿宋" w:hAnsi="仿宋" w:eastAsia="仿宋" w:cs="仿宋"/>
          <w:color w:val="auto"/>
          <w:highlight w:val="none"/>
        </w:rPr>
        <w:t>对</w:t>
      </w:r>
      <w:r>
        <w:rPr>
          <w:rFonts w:hint="eastAsia" w:ascii="仿宋" w:hAnsi="仿宋" w:eastAsia="仿宋" w:cs="仿宋"/>
          <w:color w:val="auto"/>
          <w:highlight w:val="none"/>
          <w:u w:val="single"/>
        </w:rPr>
        <w:t xml:space="preserve">   （同前页项目名称）   </w:t>
      </w:r>
      <w:r>
        <w:rPr>
          <w:rFonts w:hint="eastAsia" w:ascii="仿宋" w:hAnsi="仿宋" w:eastAsia="仿宋" w:cs="仿宋"/>
          <w:color w:val="auto"/>
          <w:highlight w:val="none"/>
        </w:rPr>
        <w:t>项目进行了采购。经</w:t>
      </w:r>
      <w:r>
        <w:rPr>
          <w:rFonts w:hint="eastAsia" w:ascii="仿宋" w:hAnsi="仿宋" w:eastAsia="仿宋" w:cs="仿宋"/>
          <w:color w:val="auto"/>
          <w:highlight w:val="none"/>
          <w:u w:val="single"/>
        </w:rPr>
        <w:t xml:space="preserve">   （相关评定主体名称）   </w:t>
      </w:r>
      <w:r>
        <w:rPr>
          <w:rFonts w:hint="eastAsia" w:ascii="仿宋" w:hAnsi="仿宋" w:eastAsia="仿宋" w:cs="仿宋"/>
          <w:color w:val="auto"/>
          <w:highlight w:val="none"/>
        </w:rPr>
        <w:t>评定，</w:t>
      </w:r>
      <w:r>
        <w:rPr>
          <w:rFonts w:hint="eastAsia" w:ascii="仿宋" w:hAnsi="仿宋" w:eastAsia="仿宋" w:cs="仿宋"/>
          <w:color w:val="auto"/>
          <w:highlight w:val="none"/>
          <w:u w:val="single"/>
        </w:rPr>
        <w:t xml:space="preserve">   （中标供应商名称）</w:t>
      </w:r>
      <w:r>
        <w:rPr>
          <w:rFonts w:hint="eastAsia" w:ascii="仿宋" w:hAnsi="仿宋" w:eastAsia="仿宋" w:cs="仿宋"/>
          <w:color w:val="auto"/>
          <w:highlight w:val="none"/>
        </w:rPr>
        <w:t>为该项目中标供应商。现于中标通知书发出之日起三十日内，按照采购文件确定的事项签订本合同。</w:t>
      </w: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highlight w:val="none"/>
          <w:u w:val="single"/>
        </w:rPr>
        <w:t xml:space="preserve">   （采购人）   </w:t>
      </w:r>
      <w:r>
        <w:rPr>
          <w:rFonts w:hint="eastAsia" w:ascii="仿宋" w:hAnsi="仿宋" w:eastAsia="仿宋" w:cs="仿宋"/>
          <w:color w:val="auto"/>
          <w:highlight w:val="none"/>
          <w:lang w:val="zh-CN"/>
        </w:rPr>
        <w:t>(以下简称：甲方)和</w:t>
      </w:r>
      <w:r>
        <w:rPr>
          <w:rFonts w:hint="eastAsia" w:ascii="仿宋" w:hAnsi="仿宋" w:eastAsia="仿宋" w:cs="仿宋"/>
          <w:color w:val="auto"/>
          <w:highlight w:val="none"/>
          <w:u w:val="single"/>
        </w:rPr>
        <w:t xml:space="preserve">   （中标供应商名称）   </w:t>
      </w:r>
      <w:r>
        <w:rPr>
          <w:rFonts w:hint="eastAsia" w:ascii="仿宋" w:hAnsi="仿宋" w:eastAsia="仿宋" w:cs="仿宋"/>
          <w:color w:val="auto"/>
          <w:highlight w:val="none"/>
          <w:lang w:val="zh-CN"/>
        </w:rPr>
        <w:t>(以下简称：乙方)协商一致，约定以下合同</w:t>
      </w:r>
      <w:r>
        <w:rPr>
          <w:rFonts w:hint="eastAsia" w:ascii="仿宋" w:hAnsi="仿宋" w:eastAsia="仿宋" w:cs="仿宋"/>
          <w:color w:val="auto"/>
          <w:highlight w:val="none"/>
        </w:rPr>
        <w:t>条款，以兹共同遵守、全面履行。</w:t>
      </w:r>
    </w:p>
    <w:p>
      <w:pPr>
        <w:pStyle w:val="6"/>
        <w:keepNext w:val="0"/>
        <w:keepLines w:val="0"/>
        <w:pageBreakBefore w:val="0"/>
        <w:kinsoku/>
        <w:wordWrap/>
        <w:overflowPunct/>
        <w:topLinePunct w:val="0"/>
        <w:bidi w:val="0"/>
        <w:spacing w:after="0" w:line="360" w:lineRule="auto"/>
        <w:ind w:left="0" w:leftChars="0" w:firstLine="482" w:firstLineChars="200"/>
        <w:textAlignment w:val="auto"/>
        <w:rPr>
          <w:rFonts w:hint="eastAsia" w:ascii="仿宋" w:hAnsi="仿宋" w:eastAsia="仿宋" w:cs="仿宋"/>
          <w:color w:val="auto"/>
          <w:highlight w:val="none"/>
        </w:rPr>
      </w:pPr>
      <w:bookmarkStart w:id="367" w:name="_Toc24059"/>
      <w:bookmarkStart w:id="368" w:name="_Toc2232"/>
      <w:bookmarkStart w:id="369" w:name="_Toc3029"/>
      <w:r>
        <w:rPr>
          <w:rFonts w:hint="eastAsia" w:ascii="仿宋" w:hAnsi="仿宋" w:eastAsia="仿宋" w:cs="仿宋"/>
          <w:color w:val="auto"/>
          <w:highlight w:val="none"/>
        </w:rPr>
        <w:t>1.1 合同组成部分</w:t>
      </w:r>
      <w:bookmarkEnd w:id="367"/>
      <w:bookmarkEnd w:id="368"/>
      <w:bookmarkEnd w:id="369"/>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1.1.1 本合同及其补充合同、变更协议；</w:t>
      </w: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1.1.2 中标通知书；</w:t>
      </w: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1.1.3 投标文件（含澄清或者说明文件）；</w:t>
      </w: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1.1.4 招标文件（含澄清或者修改文件）；</w:t>
      </w: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1.1.5 其他相关采购文件。</w:t>
      </w:r>
    </w:p>
    <w:p>
      <w:pPr>
        <w:pStyle w:val="6"/>
        <w:keepNext w:val="0"/>
        <w:keepLines w:val="0"/>
        <w:pageBreakBefore w:val="0"/>
        <w:kinsoku/>
        <w:wordWrap/>
        <w:overflowPunct/>
        <w:topLinePunct w:val="0"/>
        <w:bidi w:val="0"/>
        <w:spacing w:after="0" w:line="360" w:lineRule="auto"/>
        <w:ind w:left="0" w:leftChars="0" w:firstLine="482" w:firstLineChars="200"/>
        <w:textAlignment w:val="auto"/>
        <w:rPr>
          <w:rFonts w:hint="eastAsia" w:ascii="仿宋" w:hAnsi="仿宋" w:eastAsia="仿宋" w:cs="仿宋"/>
          <w:color w:val="auto"/>
          <w:highlight w:val="none"/>
        </w:rPr>
      </w:pPr>
      <w:bookmarkStart w:id="370" w:name="_Toc27126"/>
      <w:bookmarkStart w:id="371" w:name="_Toc21295"/>
      <w:bookmarkStart w:id="372" w:name="_Toc24300"/>
      <w:r>
        <w:rPr>
          <w:rFonts w:hint="eastAsia" w:ascii="仿宋" w:hAnsi="仿宋" w:eastAsia="仿宋" w:cs="仿宋"/>
          <w:color w:val="auto"/>
          <w:highlight w:val="none"/>
        </w:rPr>
        <w:t>1.2 货物</w:t>
      </w:r>
      <w:bookmarkEnd w:id="370"/>
      <w:bookmarkEnd w:id="371"/>
      <w:bookmarkEnd w:id="372"/>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1.2.1 货物名称：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1.2.2 货物数量：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1.2.3 货物质量：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6"/>
        <w:keepNext w:val="0"/>
        <w:keepLines w:val="0"/>
        <w:pageBreakBefore w:val="0"/>
        <w:kinsoku/>
        <w:wordWrap/>
        <w:overflowPunct/>
        <w:topLinePunct w:val="0"/>
        <w:bidi w:val="0"/>
        <w:spacing w:after="0" w:line="360" w:lineRule="auto"/>
        <w:ind w:left="0" w:leftChars="0" w:firstLine="482" w:firstLineChars="200"/>
        <w:textAlignment w:val="auto"/>
        <w:rPr>
          <w:rFonts w:hint="eastAsia" w:ascii="仿宋" w:hAnsi="仿宋" w:eastAsia="仿宋" w:cs="仿宋"/>
          <w:color w:val="auto"/>
          <w:highlight w:val="none"/>
        </w:rPr>
      </w:pPr>
      <w:bookmarkStart w:id="373" w:name="_Toc21551"/>
      <w:bookmarkStart w:id="374" w:name="_Toc23292"/>
      <w:bookmarkStart w:id="375" w:name="_Toc21631"/>
      <w:r>
        <w:rPr>
          <w:rFonts w:hint="eastAsia" w:ascii="仿宋" w:hAnsi="仿宋" w:eastAsia="仿宋" w:cs="仿宋"/>
          <w:color w:val="auto"/>
          <w:highlight w:val="none"/>
        </w:rPr>
        <w:t>1.3 价款</w:t>
      </w:r>
      <w:bookmarkEnd w:id="373"/>
      <w:bookmarkEnd w:id="374"/>
      <w:bookmarkEnd w:id="375"/>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本合同总价为：￥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元人民币）。</w:t>
      </w:r>
    </w:p>
    <w:p>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3"/>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3"/>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3"/>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3"/>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3"/>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3"/>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3"/>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3"/>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3"/>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3"/>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3"/>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rPr>
                <w:rFonts w:hint="eastAsia" w:ascii="仿宋" w:hAnsi="仿宋" w:eastAsia="仿宋" w:cs="仿宋"/>
                <w:color w:val="auto"/>
                <w:sz w:val="24"/>
                <w:szCs w:val="24"/>
                <w:highlight w:val="none"/>
              </w:rPr>
            </w:pPr>
          </w:p>
        </w:tc>
      </w:tr>
    </w:tbl>
    <w:p>
      <w:pPr>
        <w:pStyle w:val="6"/>
        <w:keepNext w:val="0"/>
        <w:keepLines w:val="0"/>
        <w:pageBreakBefore w:val="0"/>
        <w:widowControl/>
        <w:kinsoku/>
        <w:wordWrap/>
        <w:overflowPunct/>
        <w:topLinePunct w:val="0"/>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376" w:name="_Toc10340"/>
      <w:bookmarkStart w:id="377" w:name="_Toc1814"/>
      <w:bookmarkStart w:id="378" w:name="_Toc22618"/>
      <w:r>
        <w:rPr>
          <w:rFonts w:hint="eastAsia" w:ascii="仿宋" w:hAnsi="仿宋" w:eastAsia="仿宋" w:cs="仿宋"/>
          <w:color w:val="auto"/>
          <w:highlight w:val="none"/>
        </w:rPr>
        <w:t>1.4 付款</w:t>
      </w:r>
      <w:bookmarkEnd w:id="376"/>
      <w:bookmarkEnd w:id="377"/>
      <w:bookmarkEnd w:id="378"/>
      <w:r>
        <w:rPr>
          <w:rFonts w:hint="eastAsia" w:ascii="仿宋" w:hAnsi="仿宋" w:eastAsia="仿宋" w:cs="仿宋"/>
          <w:color w:val="auto"/>
          <w:highlight w:val="none"/>
        </w:rPr>
        <w:t>方式、时间和条件</w:t>
      </w:r>
    </w:p>
    <w:p>
      <w:pPr>
        <w:pStyle w:val="68"/>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keepNext w:val="0"/>
        <w:keepLines w:val="0"/>
        <w:pageBreakBefore w:val="0"/>
        <w:widowControl/>
        <w:kinsoku/>
        <w:wordWrap/>
        <w:overflowPunct/>
        <w:topLinePunct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keepNext w:val="0"/>
        <w:keepLines w:val="0"/>
        <w:pageBreakBefore w:val="0"/>
        <w:widowControl/>
        <w:kinsoku/>
        <w:wordWrap/>
        <w:overflowPunct/>
        <w:topLinePunct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keepNext w:val="0"/>
        <w:keepLines w:val="0"/>
        <w:pageBreakBefore w:val="0"/>
        <w:widowControl/>
        <w:kinsoku/>
        <w:wordWrap/>
        <w:overflowPunct/>
        <w:topLinePunct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1.4.4资金支付的方式、时间和条件详见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keepNext w:val="0"/>
        <w:keepLines w:val="0"/>
        <w:pageBreakBefore w:val="0"/>
        <w:widowControl/>
        <w:kinsoku/>
        <w:wordWrap/>
        <w:overflowPunct/>
        <w:topLinePunct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pStyle w:val="6"/>
        <w:keepNext w:val="0"/>
        <w:keepLines w:val="0"/>
        <w:pageBreakBefore w:val="0"/>
        <w:widowControl/>
        <w:kinsoku/>
        <w:wordWrap/>
        <w:overflowPunct/>
        <w:topLinePunct w:val="0"/>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379" w:name="_Toc32071"/>
      <w:bookmarkStart w:id="380" w:name="_Toc2846"/>
      <w:bookmarkStart w:id="381" w:name="_Toc19304"/>
      <w:r>
        <w:rPr>
          <w:rFonts w:hint="eastAsia" w:ascii="仿宋" w:hAnsi="仿宋" w:eastAsia="仿宋" w:cs="仿宋"/>
          <w:color w:val="auto"/>
          <w:highlight w:val="none"/>
        </w:rPr>
        <w:t>1.5 货物交付期限、地点和方式</w:t>
      </w:r>
      <w:bookmarkEnd w:id="379"/>
      <w:bookmarkEnd w:id="380"/>
      <w:bookmarkEnd w:id="381"/>
    </w:p>
    <w:p>
      <w:pPr>
        <w:keepNext w:val="0"/>
        <w:keepLines w:val="0"/>
        <w:pageBreakBefore w:val="0"/>
        <w:widowControl/>
        <w:kinsoku/>
        <w:wordWrap/>
        <w:overflowPunct/>
        <w:topLinePunct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1.5.1 交付期限：详见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keepNext w:val="0"/>
        <w:keepLines w:val="0"/>
        <w:pageBreakBefore w:val="0"/>
        <w:widowControl/>
        <w:kinsoku/>
        <w:wordWrap/>
        <w:overflowPunct/>
        <w:topLinePunct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1.5.2 交付地点：</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keepNext w:val="0"/>
        <w:keepLines w:val="0"/>
        <w:pageBreakBefore w:val="0"/>
        <w:widowControl/>
        <w:kinsoku/>
        <w:wordWrap/>
        <w:overflowPunct/>
        <w:topLinePunct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1.5.3 交付方式：</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6"/>
        <w:keepNext w:val="0"/>
        <w:keepLines w:val="0"/>
        <w:pageBreakBefore w:val="0"/>
        <w:widowControl/>
        <w:kinsoku/>
        <w:wordWrap/>
        <w:overflowPunct/>
        <w:topLinePunct w:val="0"/>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382" w:name="_Toc19554"/>
      <w:bookmarkStart w:id="383" w:name="_Toc27250"/>
      <w:bookmarkStart w:id="384" w:name="_Toc21423"/>
      <w:r>
        <w:rPr>
          <w:rFonts w:hint="eastAsia" w:ascii="仿宋" w:hAnsi="仿宋" w:eastAsia="仿宋" w:cs="仿宋"/>
          <w:color w:val="auto"/>
          <w:highlight w:val="none"/>
        </w:rPr>
        <w:t>1.6 违约责任</w:t>
      </w:r>
      <w:bookmarkEnd w:id="382"/>
      <w:bookmarkEnd w:id="383"/>
      <w:bookmarkEnd w:id="384"/>
    </w:p>
    <w:p>
      <w:pPr>
        <w:keepNext w:val="0"/>
        <w:keepLines w:val="0"/>
        <w:pageBreakBefore w:val="0"/>
        <w:widowControl/>
        <w:kinsoku/>
        <w:wordWrap/>
        <w:overflowPunct/>
        <w:topLinePunct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highlight w:val="none"/>
          <w:u w:val="single"/>
        </w:rPr>
        <w:t xml:space="preserve">  0.05  </w:t>
      </w:r>
      <w:r>
        <w:rPr>
          <w:rFonts w:hint="eastAsia" w:ascii="仿宋" w:hAnsi="仿宋" w:eastAsia="仿宋" w:cs="仿宋"/>
          <w:color w:val="auto"/>
          <w:highlight w:val="none"/>
        </w:rPr>
        <w:t>%计算，最高限额为本合同总价的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%；迟延交付货物的违约金计算数额达到前述最高限额之日起，甲方有权在要求乙方支付违约金的同时，书面通知乙方解除本合同；</w:t>
      </w:r>
    </w:p>
    <w:p>
      <w:pPr>
        <w:keepNext w:val="0"/>
        <w:keepLines w:val="0"/>
        <w:pageBreakBefore w:val="0"/>
        <w:widowControl/>
        <w:kinsoku/>
        <w:wordWrap/>
        <w:overflowPunct/>
        <w:topLinePunct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highlight w:val="none"/>
          <w:u w:val="single"/>
        </w:rPr>
        <w:t xml:space="preserve">  0.05  </w:t>
      </w:r>
      <w:r>
        <w:rPr>
          <w:rFonts w:hint="eastAsia" w:ascii="仿宋" w:hAnsi="仿宋" w:eastAsia="仿宋" w:cs="仿宋"/>
          <w:color w:val="auto"/>
          <w:highlight w:val="none"/>
        </w:rPr>
        <w:t>%计算，最高限额为本合同总价的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%；迟延付款的违约金计算数额达到前述最高限额之日起，乙方有权在要求甲方支付违约金的同时，书面通知甲方解除本合同；</w:t>
      </w:r>
    </w:p>
    <w:p>
      <w:pPr>
        <w:keepNext w:val="0"/>
        <w:keepLines w:val="0"/>
        <w:pageBreakBefore w:val="0"/>
        <w:widowControl/>
        <w:kinsoku/>
        <w:wordWrap/>
        <w:overflowPunct/>
        <w:topLinePunct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kinsoku/>
        <w:wordWrap/>
        <w:overflowPunct/>
        <w:topLinePunct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kinsoku/>
        <w:wordWrap/>
        <w:overflowPunct/>
        <w:topLinePunct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kinsoku/>
        <w:wordWrap/>
        <w:overflowPunct/>
        <w:topLinePunct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widowControl/>
        <w:kinsoku/>
        <w:wordWrap/>
        <w:overflowPunct/>
        <w:topLinePunct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1.6.7违约责任</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另有约定的，从其约定。</w:t>
      </w:r>
    </w:p>
    <w:p>
      <w:pPr>
        <w:pStyle w:val="6"/>
        <w:keepNext w:val="0"/>
        <w:keepLines w:val="0"/>
        <w:pageBreakBefore w:val="0"/>
        <w:widowControl/>
        <w:kinsoku/>
        <w:wordWrap/>
        <w:overflowPunct/>
        <w:topLinePunct w:val="0"/>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385" w:name="_Toc15583"/>
      <w:bookmarkStart w:id="386" w:name="_Toc28375"/>
      <w:bookmarkStart w:id="387" w:name="_Toc16021"/>
      <w:r>
        <w:rPr>
          <w:rFonts w:hint="eastAsia" w:ascii="仿宋" w:hAnsi="仿宋" w:eastAsia="仿宋" w:cs="仿宋"/>
          <w:color w:val="auto"/>
          <w:highlight w:val="none"/>
        </w:rPr>
        <w:t>1.7 合同争议的解决</w:t>
      </w:r>
      <w:bookmarkEnd w:id="385"/>
      <w:bookmarkEnd w:id="386"/>
      <w:bookmarkEnd w:id="387"/>
    </w:p>
    <w:p>
      <w:pPr>
        <w:keepNext w:val="0"/>
        <w:keepLines w:val="0"/>
        <w:pageBreakBefore w:val="0"/>
        <w:widowControl/>
        <w:kinsoku/>
        <w:wordWrap/>
        <w:overflowPunct/>
        <w:topLinePunct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highlight w:val="none"/>
          <w:u w:val="single"/>
        </w:rPr>
        <w:t xml:space="preserve"> 合同专用条款  </w:t>
      </w:r>
      <w:r>
        <w:rPr>
          <w:rFonts w:hint="eastAsia" w:ascii="仿宋" w:hAnsi="仿宋" w:eastAsia="仿宋" w:cs="仿宋"/>
          <w:color w:val="auto"/>
          <w:highlight w:val="none"/>
        </w:rPr>
        <w:t>条款规定的方式解决：</w:t>
      </w:r>
    </w:p>
    <w:p>
      <w:pPr>
        <w:keepNext w:val="0"/>
        <w:keepLines w:val="0"/>
        <w:pageBreakBefore w:val="0"/>
        <w:widowControl/>
        <w:kinsoku/>
        <w:wordWrap/>
        <w:overflowPunct/>
        <w:topLinePunct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1.7.1 将争议提交</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仲裁委员会依申请仲裁时其现行有效的仲裁规则裁决；</w:t>
      </w:r>
    </w:p>
    <w:p>
      <w:pPr>
        <w:keepNext w:val="0"/>
        <w:keepLines w:val="0"/>
        <w:pageBreakBefore w:val="0"/>
        <w:widowControl/>
        <w:kinsoku/>
        <w:wordWrap/>
        <w:overflowPunct/>
        <w:topLinePunct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1.7.2 向</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人民法院起诉。</w:t>
      </w:r>
    </w:p>
    <w:p>
      <w:pPr>
        <w:pStyle w:val="6"/>
        <w:keepNext w:val="0"/>
        <w:keepLines w:val="0"/>
        <w:pageBreakBefore w:val="0"/>
        <w:widowControl/>
        <w:kinsoku/>
        <w:wordWrap/>
        <w:overflowPunct/>
        <w:topLinePunct w:val="0"/>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388" w:name="_Toc7245"/>
      <w:bookmarkStart w:id="389" w:name="_Toc11173"/>
      <w:bookmarkStart w:id="390" w:name="_Toc15322"/>
      <w:r>
        <w:rPr>
          <w:rFonts w:hint="eastAsia" w:ascii="仿宋" w:hAnsi="仿宋" w:eastAsia="仿宋" w:cs="仿宋"/>
          <w:color w:val="auto"/>
          <w:highlight w:val="none"/>
        </w:rPr>
        <w:t>1.8 合同生效</w:t>
      </w:r>
      <w:bookmarkEnd w:id="388"/>
      <w:bookmarkEnd w:id="389"/>
      <w:bookmarkEnd w:id="390"/>
    </w:p>
    <w:p>
      <w:pPr>
        <w:keepNext w:val="0"/>
        <w:keepLines w:val="0"/>
        <w:pageBreakBefore w:val="0"/>
        <w:widowControl/>
        <w:kinsoku/>
        <w:wordWrap/>
        <w:overflowPunct/>
        <w:topLinePunct w:val="0"/>
        <w:bidi w:val="0"/>
        <w:adjustRightInd/>
        <w:snapToGrid/>
        <w:spacing w:after="0" w:line="360" w:lineRule="auto"/>
        <w:ind w:left="0" w:leftChars="0" w:right="0" w:rightChars="0" w:firstLine="480" w:firstLineChars="200"/>
        <w:textAlignment w:val="auto"/>
        <w:rPr>
          <w:rFonts w:hint="eastAsia" w:ascii="仿宋" w:hAnsi="仿宋" w:eastAsia="仿宋" w:cs="仿宋"/>
          <w:b/>
          <w:color w:val="auto"/>
          <w:highlight w:val="none"/>
        </w:rPr>
      </w:pPr>
      <w:r>
        <w:rPr>
          <w:rFonts w:hint="eastAsia" w:ascii="仿宋" w:hAnsi="仿宋" w:eastAsia="仿宋" w:cs="仿宋"/>
          <w:color w:val="auto"/>
          <w:highlight w:val="none"/>
        </w:rPr>
        <w:t>本合同自双方当事人盖章或者签字时生效。</w:t>
      </w: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lang w:val="zh-CN"/>
        </w:rPr>
      </w:pP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lang w:val="zh-CN"/>
        </w:rPr>
      </w:pPr>
      <w:r>
        <w:rPr>
          <w:rFonts w:hint="eastAsia" w:ascii="仿宋" w:hAnsi="仿宋" w:eastAsia="仿宋" w:cs="仿宋"/>
          <w:b/>
          <w:color w:val="auto"/>
          <w:highlight w:val="none"/>
          <w:lang w:val="zh-CN"/>
        </w:rPr>
        <w:t>甲方</w:t>
      </w:r>
      <w:r>
        <w:rPr>
          <w:rFonts w:hint="eastAsia" w:ascii="仿宋" w:hAnsi="仿宋" w:eastAsia="仿宋" w:cs="仿宋"/>
          <w:color w:val="auto"/>
          <w:highlight w:val="none"/>
          <w:lang w:val="zh-CN"/>
        </w:rPr>
        <w:t xml:space="preserve">：                             </w:t>
      </w:r>
      <w:r>
        <w:rPr>
          <w:rFonts w:hint="eastAsia" w:ascii="仿宋" w:hAnsi="仿宋" w:eastAsia="仿宋" w:cs="仿宋"/>
          <w:b/>
          <w:color w:val="auto"/>
          <w:highlight w:val="none"/>
          <w:lang w:val="zh-CN"/>
        </w:rPr>
        <w:t xml:space="preserve">      乙方</w:t>
      </w:r>
      <w:r>
        <w:rPr>
          <w:rFonts w:hint="eastAsia" w:ascii="仿宋" w:hAnsi="仿宋" w:eastAsia="仿宋" w:cs="仿宋"/>
          <w:color w:val="auto"/>
          <w:highlight w:val="none"/>
          <w:lang w:val="zh-CN"/>
        </w:rPr>
        <w:t>：</w:t>
      </w: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统一社会信用代码：                   统一社会信用代码或身份证号码：</w:t>
      </w: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lang w:val="zh-CN"/>
        </w:rPr>
      </w:pP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住所：                                   住所：</w:t>
      </w: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法定代表人或                             法定代表人</w:t>
      </w: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授权代表（签字）：                        或授权代表（签字）: </w:t>
      </w: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联系人：                                 联系人：</w:t>
      </w: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约定送达地址：                           约定送达地址：</w:t>
      </w: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邮政编码：                               邮政编码：</w:t>
      </w: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电话:                                    电话: </w:t>
      </w: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传真:                                    传真:</w:t>
      </w: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电子邮箱：                               电子邮箱：</w:t>
      </w: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开户银行： </w:t>
      </w: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开户名称：                               开户名称： </w:t>
      </w: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开户账号：</w:t>
      </w: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开户账号：</w:t>
      </w:r>
    </w:p>
    <w:p>
      <w:pPr>
        <w:pStyle w:val="5"/>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562" w:firstLineChars="200"/>
        <w:textAlignment w:val="auto"/>
        <w:rPr>
          <w:rFonts w:hint="eastAsia" w:ascii="仿宋" w:hAnsi="仿宋" w:eastAsia="仿宋" w:cs="仿宋"/>
          <w:color w:val="auto"/>
          <w:highlight w:val="none"/>
        </w:rPr>
      </w:pPr>
      <w:bookmarkStart w:id="391" w:name="_Toc331685783"/>
      <w:r>
        <w:rPr>
          <w:rFonts w:hint="eastAsia" w:ascii="仿宋" w:hAnsi="仿宋" w:eastAsia="仿宋" w:cs="仿宋"/>
          <w:color w:val="auto"/>
          <w:highlight w:val="none"/>
        </w:rPr>
        <w:t>第二部分 合同一般条款</w:t>
      </w:r>
      <w:bookmarkEnd w:id="391"/>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392" w:name="_Toc279701240"/>
      <w:bookmarkStart w:id="393" w:name="_Toc487900349"/>
      <w:bookmarkStart w:id="394" w:name="_Ref467379101"/>
      <w:bookmarkStart w:id="395" w:name="_Ref467379109"/>
      <w:bookmarkStart w:id="396" w:name="_Ref467379225"/>
      <w:bookmarkStart w:id="397" w:name="_Toc28763"/>
      <w:bookmarkStart w:id="398" w:name="_Toc259093669"/>
      <w:bookmarkStart w:id="399" w:name="_Ref467379094"/>
      <w:bookmarkStart w:id="400" w:name="_Ref467379214"/>
      <w:bookmarkStart w:id="401" w:name="_Toc19614"/>
      <w:bookmarkStart w:id="402" w:name="_Ref467378499"/>
      <w:bookmarkStart w:id="403" w:name="_Ref467378404"/>
      <w:bookmarkStart w:id="404" w:name="_Toc16917"/>
      <w:bookmarkStart w:id="405" w:name="_Ref467379205"/>
      <w:bookmarkStart w:id="406" w:name="_Ref467379195"/>
      <w:bookmarkStart w:id="407" w:name="_Ref467378463"/>
      <w:r>
        <w:rPr>
          <w:rFonts w:hint="eastAsia" w:ascii="仿宋" w:hAnsi="仿宋" w:eastAsia="仿宋" w:cs="仿宋"/>
          <w:color w:val="auto"/>
          <w:highlight w:val="none"/>
        </w:rPr>
        <w:t>2.1 定义</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本合同中的下列词语应按以下内容进行解释：</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2.1.1 “合同”系指采购人和中标供应商签订的载明双方当事人所达成的协议，并包括所有的附件、附录和构成合同的其他文件。</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2.1.2 “合同价”系指根据合同约定，中标供应商在完全履行合同义务后，采购人应支付给中标供应商的价格。</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2.1.3 “货物”系指中标供应商根据合同约定应向采购人交付的一切各种形态和种类的物品，包括原材料、燃料、设备、机械、仪表、备件、计算机软件、产品等，并包括工具、手册等其他相关资料。</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bookmarkStart w:id="408" w:name="_Ref467378840"/>
      <w:r>
        <w:rPr>
          <w:rFonts w:hint="eastAsia" w:ascii="仿宋" w:hAnsi="仿宋" w:eastAsia="仿宋" w:cs="仿宋"/>
          <w:color w:val="auto"/>
          <w:highlight w:val="none"/>
        </w:rPr>
        <w:t>2.1.4 “甲方”系指与中标供应商签署合同的采购人</w:t>
      </w:r>
      <w:bookmarkEnd w:id="408"/>
      <w:r>
        <w:rPr>
          <w:rFonts w:hint="eastAsia" w:ascii="仿宋" w:hAnsi="仿宋" w:eastAsia="仿宋" w:cs="仿宋"/>
          <w:color w:val="auto"/>
          <w:highlight w:val="none"/>
        </w:rPr>
        <w:t>；采购人委托采购代理机构代表其与乙方签订合同的，采购人的授权委托书作为合同附件。</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bookmarkStart w:id="409" w:name="_Ref467379400"/>
      <w:r>
        <w:rPr>
          <w:rFonts w:hint="eastAsia" w:ascii="仿宋" w:hAnsi="仿宋" w:eastAsia="仿宋" w:cs="仿宋"/>
          <w:color w:val="auto"/>
          <w:highlight w:val="none"/>
        </w:rPr>
        <w:t>2.1.5 “乙方”系指根据合同约定交付货物的中标供应商</w:t>
      </w:r>
      <w:bookmarkEnd w:id="409"/>
      <w:r>
        <w:rPr>
          <w:rFonts w:hint="eastAsia" w:ascii="仿宋" w:hAnsi="仿宋" w:eastAsia="仿宋" w:cs="仿宋"/>
          <w:color w:val="auto"/>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bookmarkStart w:id="410" w:name="_Ref467379436"/>
      <w:r>
        <w:rPr>
          <w:rFonts w:hint="eastAsia" w:ascii="仿宋" w:hAnsi="仿宋" w:eastAsia="仿宋" w:cs="仿宋"/>
          <w:color w:val="auto"/>
          <w:highlight w:val="none"/>
        </w:rPr>
        <w:t>2.1.6 “现场”系指合同约定货物将要运至或者安装的地点。</w:t>
      </w:r>
      <w:bookmarkEnd w:id="410"/>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411" w:name="_Toc32504"/>
      <w:bookmarkStart w:id="412" w:name="_Toc27635"/>
      <w:bookmarkStart w:id="413" w:name="_Toc13336"/>
      <w:bookmarkStart w:id="414" w:name="_Toc259093670"/>
      <w:bookmarkStart w:id="415" w:name="_Toc487900350"/>
      <w:bookmarkStart w:id="416" w:name="_Toc279701241"/>
      <w:r>
        <w:rPr>
          <w:rFonts w:hint="eastAsia" w:ascii="仿宋" w:hAnsi="仿宋" w:eastAsia="仿宋" w:cs="仿宋"/>
          <w:color w:val="auto"/>
          <w:highlight w:val="none"/>
        </w:rPr>
        <w:t>2.2 技术规范</w:t>
      </w:r>
      <w:bookmarkEnd w:id="411"/>
      <w:bookmarkEnd w:id="412"/>
      <w:bookmarkEnd w:id="413"/>
      <w:bookmarkEnd w:id="414"/>
      <w:bookmarkEnd w:id="415"/>
      <w:bookmarkEnd w:id="416"/>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417" w:name="_Toc31634"/>
      <w:bookmarkStart w:id="418" w:name="_Toc279701242"/>
      <w:bookmarkStart w:id="419" w:name="_Toc259093671"/>
      <w:bookmarkStart w:id="420" w:name="_Toc9829"/>
      <w:bookmarkStart w:id="421" w:name="_Toc27853"/>
      <w:bookmarkStart w:id="422" w:name="_Toc487900351"/>
      <w:r>
        <w:rPr>
          <w:rFonts w:hint="eastAsia" w:ascii="仿宋" w:hAnsi="仿宋" w:eastAsia="仿宋" w:cs="仿宋"/>
          <w:color w:val="auto"/>
          <w:highlight w:val="none"/>
        </w:rPr>
        <w:t>2.3 知识产权</w:t>
      </w:r>
      <w:bookmarkEnd w:id="417"/>
      <w:bookmarkEnd w:id="418"/>
      <w:bookmarkEnd w:id="419"/>
      <w:bookmarkEnd w:id="420"/>
      <w:bookmarkEnd w:id="421"/>
      <w:bookmarkEnd w:id="422"/>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2.3.2具有知识产权的计算机软件等货物的知识产权归属，详见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423" w:name="_Toc4194"/>
      <w:bookmarkStart w:id="424" w:name="_Toc11932"/>
      <w:bookmarkStart w:id="425" w:name="_Toc29149"/>
      <w:r>
        <w:rPr>
          <w:rFonts w:hint="eastAsia" w:ascii="仿宋" w:hAnsi="仿宋" w:eastAsia="仿宋" w:cs="仿宋"/>
          <w:color w:val="auto"/>
          <w:highlight w:val="none"/>
        </w:rPr>
        <w:t>2.4 包装和装运</w:t>
      </w:r>
      <w:bookmarkEnd w:id="423"/>
      <w:bookmarkEnd w:id="424"/>
      <w:bookmarkEnd w:id="425"/>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2.4.1除</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2.4.2 装运货物的要求和通知，详见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426" w:name="_Ref467379536"/>
      <w:bookmarkStart w:id="427" w:name="_Ref467378541"/>
      <w:bookmarkStart w:id="428" w:name="_Toc487900354"/>
      <w:bookmarkStart w:id="429" w:name="_Ref467379527"/>
      <w:bookmarkStart w:id="430" w:name="_Toc279701245"/>
      <w:bookmarkStart w:id="431" w:name="_Toc259093674"/>
      <w:bookmarkStart w:id="432" w:name="_Ref467379542"/>
      <w:bookmarkStart w:id="433" w:name="_Ref467378591"/>
      <w:bookmarkStart w:id="434" w:name="_Toc26182"/>
      <w:bookmarkStart w:id="435" w:name="_Toc30272"/>
      <w:bookmarkStart w:id="436" w:name="_Toc19074"/>
      <w:r>
        <w:rPr>
          <w:rFonts w:hint="eastAsia" w:ascii="仿宋" w:hAnsi="仿宋" w:eastAsia="仿宋" w:cs="仿宋"/>
          <w:color w:val="auto"/>
          <w:highlight w:val="none"/>
        </w:rPr>
        <w:t>2.</w:t>
      </w:r>
      <w:bookmarkEnd w:id="426"/>
      <w:bookmarkEnd w:id="427"/>
      <w:bookmarkEnd w:id="428"/>
      <w:bookmarkEnd w:id="429"/>
      <w:bookmarkEnd w:id="430"/>
      <w:bookmarkEnd w:id="431"/>
      <w:bookmarkEnd w:id="432"/>
      <w:bookmarkEnd w:id="433"/>
      <w:r>
        <w:rPr>
          <w:rFonts w:hint="eastAsia" w:ascii="仿宋" w:hAnsi="仿宋" w:eastAsia="仿宋" w:cs="仿宋"/>
          <w:color w:val="auto"/>
          <w:highlight w:val="none"/>
        </w:rPr>
        <w:t>5 履约检查和问题反馈</w:t>
      </w:r>
      <w:bookmarkEnd w:id="434"/>
      <w:bookmarkEnd w:id="435"/>
      <w:bookmarkEnd w:id="436"/>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bookmarkStart w:id="437" w:name="_Ref467379657"/>
      <w:r>
        <w:rPr>
          <w:rFonts w:hint="eastAsia" w:ascii="仿宋" w:hAnsi="仿宋" w:eastAsia="仿宋" w:cs="仿宋"/>
          <w:color w:val="auto"/>
          <w:highlight w:val="none"/>
        </w:rPr>
        <w:t>2.5.1</w:t>
      </w:r>
      <w:bookmarkEnd w:id="437"/>
      <w:bookmarkStart w:id="438" w:name="_Toc186431854"/>
      <w:bookmarkStart w:id="439" w:name="_Toc259093676"/>
      <w:bookmarkStart w:id="440" w:name="_Toc279701247"/>
      <w:bookmarkStart w:id="441" w:name="_Ref467379807"/>
      <w:bookmarkStart w:id="442" w:name="_Toc487900357"/>
      <w:bookmarkStart w:id="443" w:name="_Ref467379793"/>
      <w:r>
        <w:rPr>
          <w:rFonts w:hint="eastAsia" w:ascii="仿宋" w:hAnsi="仿宋" w:eastAsia="仿宋" w:cs="仿宋"/>
          <w:color w:val="auto"/>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2.5.2 合同履行期间，甲方有权将履行过程中出现的问题反馈给乙方，双方当事人应以书面形式约定需要完善和改进的内容</w:t>
      </w:r>
      <w:bookmarkEnd w:id="438"/>
      <w:bookmarkStart w:id="444" w:name="_Toc186431855"/>
      <w:r>
        <w:rPr>
          <w:rFonts w:hint="eastAsia" w:ascii="仿宋" w:hAnsi="仿宋" w:eastAsia="仿宋" w:cs="仿宋"/>
          <w:color w:val="auto"/>
          <w:highlight w:val="none"/>
        </w:rPr>
        <w:t>。</w:t>
      </w:r>
    </w:p>
    <w:bookmarkEnd w:id="439"/>
    <w:bookmarkEnd w:id="440"/>
    <w:bookmarkEnd w:id="441"/>
    <w:bookmarkEnd w:id="442"/>
    <w:bookmarkEnd w:id="443"/>
    <w:bookmarkEnd w:id="444"/>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445" w:name="_Toc259093677"/>
      <w:bookmarkStart w:id="446" w:name="_Ref467379852"/>
      <w:bookmarkStart w:id="447" w:name="_Toc279701248"/>
      <w:bookmarkStart w:id="448" w:name="_Ref467379923"/>
      <w:bookmarkStart w:id="449" w:name="_Toc487900358"/>
      <w:bookmarkStart w:id="450" w:name="_Ref467379863"/>
      <w:bookmarkStart w:id="451" w:name="_Toc16110"/>
      <w:bookmarkStart w:id="452" w:name="_Toc3225"/>
      <w:bookmarkStart w:id="453" w:name="_Toc774"/>
      <w:r>
        <w:rPr>
          <w:rFonts w:hint="eastAsia" w:ascii="仿宋" w:hAnsi="仿宋" w:eastAsia="仿宋" w:cs="仿宋"/>
          <w:color w:val="auto"/>
          <w:highlight w:val="none"/>
        </w:rPr>
        <w:t>2.6 技术资料</w:t>
      </w:r>
      <w:bookmarkEnd w:id="445"/>
      <w:bookmarkEnd w:id="446"/>
      <w:bookmarkEnd w:id="447"/>
      <w:bookmarkEnd w:id="448"/>
      <w:bookmarkEnd w:id="449"/>
      <w:bookmarkEnd w:id="450"/>
      <w:r>
        <w:rPr>
          <w:rFonts w:hint="eastAsia" w:ascii="仿宋" w:hAnsi="仿宋" w:eastAsia="仿宋" w:cs="仿宋"/>
          <w:color w:val="auto"/>
          <w:highlight w:val="none"/>
        </w:rPr>
        <w:t>和保密义务</w:t>
      </w:r>
      <w:bookmarkEnd w:id="451"/>
      <w:bookmarkEnd w:id="452"/>
      <w:bookmarkEnd w:id="453"/>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2.6.1 乙方有权依据合同约定和项目需要，向甲方了解有关情况，调阅有关资料等，甲方应予积极配合；</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2.6.2 乙方有义务妥善保管和保护由甲方提供的前款信息和资料等；</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454" w:name="_Toc7860"/>
      <w:r>
        <w:rPr>
          <w:rFonts w:hint="eastAsia" w:ascii="仿宋" w:hAnsi="仿宋" w:eastAsia="仿宋" w:cs="仿宋"/>
          <w:color w:val="auto"/>
          <w:highlight w:val="none"/>
        </w:rPr>
        <w:t>2.7 质量保证</w:t>
      </w:r>
      <w:bookmarkEnd w:id="454"/>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2.7.1 乙方应建立和完善履行合同的内部质量保证体系，并提供相关内部规章制度给甲方，以便甲方进行监督检查；</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2.7.2 乙方应保证履行合同的人员数量和素质、软件和硬件设备的配置、场地、环境和设施等满足全面履行合同的要求，并应接受甲方的监督检查。</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455" w:name="_Toc17244"/>
      <w:bookmarkStart w:id="456" w:name="_Toc279701252"/>
      <w:bookmarkStart w:id="457" w:name="_Toc259093681"/>
      <w:bookmarkStart w:id="458" w:name="_Toc487900362"/>
      <w:r>
        <w:rPr>
          <w:rFonts w:hint="eastAsia" w:ascii="仿宋" w:hAnsi="仿宋" w:eastAsia="仿宋" w:cs="仿宋"/>
          <w:color w:val="auto"/>
          <w:highlight w:val="none"/>
        </w:rPr>
        <w:t>2.8 货物的风险负担</w:t>
      </w:r>
      <w:bookmarkEnd w:id="455"/>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b/>
          <w:color w:val="auto"/>
          <w:highlight w:val="none"/>
        </w:rPr>
      </w:pPr>
      <w:r>
        <w:rPr>
          <w:rFonts w:hint="eastAsia" w:ascii="仿宋" w:hAnsi="仿宋" w:eastAsia="仿宋" w:cs="仿宋"/>
          <w:color w:val="auto"/>
          <w:highlight w:val="none"/>
        </w:rPr>
        <w:t>货物或者在途货物或者交付给第一承运人后的货物毁损、灭失的风险负担详见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459" w:name="_Toc14055"/>
      <w:r>
        <w:rPr>
          <w:rFonts w:hint="eastAsia" w:ascii="仿宋" w:hAnsi="仿宋" w:eastAsia="仿宋" w:cs="仿宋"/>
          <w:color w:val="auto"/>
          <w:highlight w:val="none"/>
        </w:rPr>
        <w:t>2.9 延迟交货</w:t>
      </w:r>
      <w:bookmarkEnd w:id="456"/>
      <w:bookmarkEnd w:id="457"/>
      <w:bookmarkEnd w:id="458"/>
      <w:bookmarkEnd w:id="459"/>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460" w:name="_Toc7502"/>
      <w:bookmarkStart w:id="461" w:name="_Toc259093683"/>
      <w:bookmarkStart w:id="462" w:name="_Ref467378121"/>
      <w:bookmarkStart w:id="463" w:name="_Toc279701254"/>
      <w:bookmarkStart w:id="464" w:name="_Toc487900364"/>
      <w:r>
        <w:rPr>
          <w:rFonts w:hint="eastAsia" w:ascii="仿宋" w:hAnsi="仿宋" w:eastAsia="仿宋" w:cs="仿宋"/>
          <w:color w:val="auto"/>
          <w:highlight w:val="none"/>
        </w:rPr>
        <w:t>2.10 合同变更</w:t>
      </w:r>
      <w:bookmarkEnd w:id="460"/>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合同继续履行将损害国家利益和社会公共利益的，双方当事人应当以书面形式变更合同。有过错的一方应当承担赔偿责任，双方当事人都有过错的，各自承担相应的责任。</w:t>
      </w:r>
      <w:bookmarkStart w:id="465" w:name="_Toc487900369"/>
      <w:bookmarkStart w:id="466" w:name="_Toc279701259"/>
      <w:bookmarkStart w:id="467" w:name="_Toc259093688"/>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468" w:name="_Toc15237"/>
      <w:bookmarkStart w:id="469" w:name="_Toc22955"/>
      <w:bookmarkStart w:id="470" w:name="_Toc10366"/>
      <w:r>
        <w:rPr>
          <w:rFonts w:hint="eastAsia" w:ascii="仿宋" w:hAnsi="仿宋" w:eastAsia="仿宋" w:cs="仿宋"/>
          <w:color w:val="auto"/>
          <w:highlight w:val="none"/>
        </w:rPr>
        <w:t>2.11 合同转让</w:t>
      </w:r>
      <w:bookmarkEnd w:id="465"/>
      <w:bookmarkEnd w:id="466"/>
      <w:bookmarkEnd w:id="467"/>
      <w:r>
        <w:rPr>
          <w:rFonts w:hint="eastAsia" w:ascii="仿宋" w:hAnsi="仿宋" w:eastAsia="仿宋" w:cs="仿宋"/>
          <w:color w:val="auto"/>
          <w:highlight w:val="none"/>
        </w:rPr>
        <w:t>和分包</w:t>
      </w:r>
      <w:bookmarkEnd w:id="468"/>
      <w:bookmarkEnd w:id="469"/>
      <w:bookmarkEnd w:id="470"/>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2.11.2乙方采取分包方式履行合同的，甲方可直接向分包供应商支付款项。</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471" w:name="_Toc14066"/>
      <w:bookmarkStart w:id="472" w:name="_Toc16508"/>
      <w:bookmarkStart w:id="473" w:name="_Toc13566"/>
      <w:r>
        <w:rPr>
          <w:rFonts w:hint="eastAsia" w:ascii="仿宋" w:hAnsi="仿宋" w:eastAsia="仿宋" w:cs="仿宋"/>
          <w:color w:val="auto"/>
          <w:highlight w:val="none"/>
        </w:rPr>
        <w:t>2.12 不可抗力</w:t>
      </w:r>
      <w:bookmarkEnd w:id="471"/>
      <w:bookmarkEnd w:id="472"/>
      <w:bookmarkEnd w:id="473"/>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2.12.1如果任何一方遭遇法律规定的不可抗力，致使合同履行受阻时，履行合同的期限应予延长，延长的期限应相当于不可抗力所影响的时间；</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2.12.2 因不可抗力致使不能实现合同目的的，当事人可以解除合同；</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2.12.3 因不可抗力致使合同有变更必要的，双方当事人应在</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约定时间内以书面形式变更合同；</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2.12.4受不可抗力影响的一方在不可抗力发生后，应在</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约定时间内以书面形式通知对方当事人，并在</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约定时间内，将有关部门出具的证明文件送达对方当事人。</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474" w:name="_Toc30676"/>
      <w:bookmarkStart w:id="475" w:name="_Toc689"/>
      <w:bookmarkStart w:id="476" w:name="_Toc259093684"/>
      <w:bookmarkStart w:id="477" w:name="_Toc487900365"/>
      <w:bookmarkStart w:id="478" w:name="_Toc279701255"/>
      <w:bookmarkStart w:id="479" w:name="_Toc6969"/>
      <w:r>
        <w:rPr>
          <w:rFonts w:hint="eastAsia" w:ascii="仿宋" w:hAnsi="仿宋" w:eastAsia="仿宋" w:cs="仿宋"/>
          <w:color w:val="auto"/>
          <w:highlight w:val="none"/>
        </w:rPr>
        <w:t>2.13 税费</w:t>
      </w:r>
      <w:bookmarkEnd w:id="474"/>
      <w:bookmarkEnd w:id="475"/>
      <w:bookmarkEnd w:id="476"/>
      <w:bookmarkEnd w:id="477"/>
      <w:bookmarkEnd w:id="478"/>
      <w:bookmarkEnd w:id="479"/>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与合同有关的一切税费，均按照中华人民共和国法律的相关规定。</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480" w:name="_Toc8298"/>
      <w:bookmarkStart w:id="481" w:name="_Toc259093687"/>
      <w:bookmarkStart w:id="482" w:name="_Toc279701258"/>
      <w:bookmarkStart w:id="483" w:name="_Toc16959"/>
      <w:bookmarkStart w:id="484" w:name="_Toc7102"/>
      <w:bookmarkStart w:id="485" w:name="_Toc487900368"/>
      <w:r>
        <w:rPr>
          <w:rFonts w:hint="eastAsia" w:ascii="仿宋" w:hAnsi="仿宋" w:eastAsia="仿宋" w:cs="仿宋"/>
          <w:color w:val="auto"/>
          <w:highlight w:val="none"/>
        </w:rPr>
        <w:t>2.14乙方破产</w:t>
      </w:r>
      <w:bookmarkEnd w:id="480"/>
      <w:bookmarkEnd w:id="481"/>
      <w:bookmarkEnd w:id="482"/>
      <w:bookmarkEnd w:id="483"/>
      <w:bookmarkEnd w:id="484"/>
      <w:bookmarkEnd w:id="485"/>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486" w:name="_Toc6134"/>
      <w:bookmarkStart w:id="487" w:name="_Toc15387"/>
      <w:bookmarkStart w:id="488" w:name="_Toc29333"/>
      <w:r>
        <w:rPr>
          <w:rFonts w:hint="eastAsia" w:ascii="仿宋" w:hAnsi="仿宋" w:eastAsia="仿宋" w:cs="仿宋"/>
          <w:color w:val="auto"/>
          <w:highlight w:val="none"/>
        </w:rPr>
        <w:t>2.15 合同中止、终止</w:t>
      </w:r>
      <w:bookmarkEnd w:id="486"/>
      <w:bookmarkEnd w:id="487"/>
      <w:bookmarkEnd w:id="488"/>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2.15.1 双方当事人不得擅自中止或者终止合同；</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2.15.2合同继续履行将损害国家利益和社会公共利益的，双方当事人应当中止或者终止合同。有过错的一方应当承担赔偿责任，双方当事人都有过错的，各自承担相应的责任。</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489" w:name="_Toc1125"/>
      <w:bookmarkStart w:id="490" w:name="_Toc14563"/>
      <w:bookmarkStart w:id="491" w:name="_Toc6596"/>
      <w:r>
        <w:rPr>
          <w:rFonts w:hint="eastAsia" w:ascii="仿宋" w:hAnsi="仿宋" w:eastAsia="仿宋" w:cs="仿宋"/>
          <w:color w:val="auto"/>
          <w:highlight w:val="none"/>
        </w:rPr>
        <w:t>2.16检验和验收</w:t>
      </w:r>
      <w:bookmarkEnd w:id="489"/>
      <w:bookmarkEnd w:id="490"/>
      <w:bookmarkEnd w:id="491"/>
    </w:p>
    <w:p>
      <w:pPr>
        <w:keepNext w:val="0"/>
        <w:keepLines w:val="0"/>
        <w:pageBreakBefore w:val="0"/>
        <w:widowControl/>
        <w:tabs>
          <w:tab w:val="left" w:pos="360"/>
          <w:tab w:val="left" w:pos="540"/>
          <w:tab w:val="left" w:pos="1080"/>
        </w:tabs>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约定时间内组织验收，并可依法邀请相关方参加，验收应出具验收书。</w:t>
      </w:r>
    </w:p>
    <w:p>
      <w:pPr>
        <w:keepNext w:val="0"/>
        <w:keepLines w:val="0"/>
        <w:pageBreakBefore w:val="0"/>
        <w:widowControl/>
        <w:tabs>
          <w:tab w:val="left" w:pos="360"/>
          <w:tab w:val="left" w:pos="540"/>
          <w:tab w:val="left" w:pos="1080"/>
        </w:tabs>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Next w:val="0"/>
        <w:keepLines w:val="0"/>
        <w:pageBreakBefore w:val="0"/>
        <w:widowControl/>
        <w:tabs>
          <w:tab w:val="left" w:pos="360"/>
          <w:tab w:val="left" w:pos="540"/>
          <w:tab w:val="left" w:pos="1080"/>
        </w:tabs>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2.16.3 检验和验收标准、程序等具体内容以及前述验收书的效力详见</w:t>
      </w:r>
      <w:r>
        <w:rPr>
          <w:rFonts w:hint="eastAsia" w:ascii="仿宋" w:hAnsi="仿宋" w:eastAsia="仿宋" w:cs="仿宋"/>
          <w:b/>
          <w:i/>
          <w:color w:val="auto"/>
          <w:highlight w:val="none"/>
          <w:u w:val="single"/>
        </w:rPr>
        <w:t>合同专用条款</w:t>
      </w:r>
      <w:r>
        <w:rPr>
          <w:rFonts w:hint="eastAsia" w:ascii="仿宋" w:hAnsi="仿宋" w:eastAsia="仿宋" w:cs="仿宋"/>
          <w:i/>
          <w:color w:val="auto"/>
          <w:highlight w:val="none"/>
        </w:rPr>
        <w:t>。</w:t>
      </w:r>
    </w:p>
    <w:bookmarkEnd w:id="461"/>
    <w:bookmarkEnd w:id="462"/>
    <w:bookmarkEnd w:id="463"/>
    <w:bookmarkEnd w:id="464"/>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492" w:name="_Toc279701261"/>
      <w:bookmarkStart w:id="493" w:name="_Toc487900371"/>
      <w:bookmarkStart w:id="494" w:name="_Toc259093690"/>
      <w:bookmarkStart w:id="495" w:name="_Toc25182"/>
      <w:bookmarkStart w:id="496" w:name="_Toc11284"/>
      <w:bookmarkStart w:id="497" w:name="_Toc19604"/>
      <w:r>
        <w:rPr>
          <w:rFonts w:hint="eastAsia" w:ascii="仿宋" w:hAnsi="仿宋" w:eastAsia="仿宋" w:cs="仿宋"/>
          <w:color w:val="auto"/>
          <w:highlight w:val="none"/>
        </w:rPr>
        <w:t>2.17 通知</w:t>
      </w:r>
      <w:bookmarkEnd w:id="492"/>
      <w:bookmarkEnd w:id="493"/>
      <w:bookmarkEnd w:id="494"/>
      <w:r>
        <w:rPr>
          <w:rFonts w:hint="eastAsia" w:ascii="仿宋" w:hAnsi="仿宋" w:eastAsia="仿宋" w:cs="仿宋"/>
          <w:color w:val="auto"/>
          <w:highlight w:val="none"/>
        </w:rPr>
        <w:t>和送达</w:t>
      </w:r>
      <w:bookmarkEnd w:id="495"/>
      <w:bookmarkEnd w:id="496"/>
      <w:bookmarkEnd w:id="497"/>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bookmarkStart w:id="498" w:name="_Toc6698"/>
      <w:bookmarkStart w:id="499" w:name="_Toc3135"/>
      <w:bookmarkStart w:id="500" w:name="_Toc259093691"/>
      <w:bookmarkStart w:id="501" w:name="_Toc279701262"/>
      <w:bookmarkStart w:id="502" w:name="_Toc487900372"/>
      <w:r>
        <w:rPr>
          <w:rFonts w:hint="eastAsia" w:ascii="仿宋" w:hAnsi="仿宋" w:eastAsia="仿宋" w:cs="仿宋"/>
          <w:color w:val="auto"/>
          <w:highlight w:val="none"/>
        </w:rPr>
        <w:t xml:space="preserve">2.17.1任何一方因履行合同而以合同第一部分尾部所列明的传真或电子邮件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发出的所有通知、文件、材料，均视为已向对方当事人送达；任何一方变更上述送达方式或者地址的，应于</w:t>
      </w:r>
      <w:r>
        <w:rPr>
          <w:rFonts w:hint="eastAsia" w:ascii="仿宋" w:hAnsi="仿宋" w:eastAsia="仿宋" w:cs="仿宋"/>
          <w:color w:val="auto"/>
          <w:highlight w:val="none"/>
          <w:u w:val="single"/>
        </w:rPr>
        <w:t>3</w:t>
      </w:r>
      <w:r>
        <w:rPr>
          <w:rFonts w:hint="eastAsia" w:ascii="仿宋" w:hAnsi="仿宋" w:eastAsia="仿宋" w:cs="仿宋"/>
          <w:color w:val="auto"/>
          <w:highlight w:val="none"/>
        </w:rPr>
        <w:t>个工作日内书面通知对方当事人，在对方当事人收到有关变更通知之前，变更前的约定送达方式或者地址仍视为有效。</w:t>
      </w:r>
      <w:bookmarkEnd w:id="498"/>
      <w:bookmarkEnd w:id="499"/>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bookmarkStart w:id="503" w:name="_Toc23128"/>
      <w:bookmarkStart w:id="504" w:name="_Toc23294"/>
      <w:r>
        <w:rPr>
          <w:rFonts w:hint="eastAsia" w:ascii="仿宋" w:hAnsi="仿宋" w:eastAsia="仿宋" w:cs="仿宋"/>
          <w:color w:val="auto"/>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505" w:name="_Toc30599"/>
      <w:bookmarkStart w:id="506" w:name="_Toc4355"/>
      <w:bookmarkStart w:id="507" w:name="_Toc18540"/>
      <w:r>
        <w:rPr>
          <w:rFonts w:hint="eastAsia" w:ascii="仿宋" w:hAnsi="仿宋" w:eastAsia="仿宋" w:cs="仿宋"/>
          <w:color w:val="auto"/>
          <w:highlight w:val="none"/>
        </w:rPr>
        <w:t>2.18 计量单位</w:t>
      </w:r>
      <w:bookmarkEnd w:id="500"/>
      <w:bookmarkEnd w:id="501"/>
      <w:bookmarkEnd w:id="502"/>
      <w:bookmarkEnd w:id="505"/>
      <w:bookmarkEnd w:id="506"/>
      <w:bookmarkEnd w:id="507"/>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除技术规范中另有规定外,合同的计量单位均使用国家法定计量单位。</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508" w:name="_Toc487900373"/>
      <w:bookmarkStart w:id="509" w:name="_Toc279701263"/>
      <w:bookmarkStart w:id="510" w:name="_Toc10330"/>
      <w:bookmarkStart w:id="511" w:name="_Toc18567"/>
      <w:bookmarkStart w:id="512" w:name="_Toc12773"/>
      <w:bookmarkStart w:id="513" w:name="_Toc259093692"/>
      <w:r>
        <w:rPr>
          <w:rFonts w:hint="eastAsia" w:ascii="仿宋" w:hAnsi="仿宋" w:eastAsia="仿宋" w:cs="仿宋"/>
          <w:color w:val="auto"/>
          <w:highlight w:val="none"/>
        </w:rPr>
        <w:t>2.19 合同使用的文字和适用的法律</w:t>
      </w:r>
      <w:bookmarkEnd w:id="508"/>
      <w:bookmarkEnd w:id="509"/>
      <w:bookmarkEnd w:id="510"/>
      <w:bookmarkEnd w:id="511"/>
      <w:bookmarkEnd w:id="512"/>
      <w:bookmarkEnd w:id="513"/>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2.19.1 合同使用汉语书就、变更和解释；</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2.19.2 合同适用中华人民共和国法律。</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514" w:name="_Toc12004"/>
      <w:bookmarkStart w:id="515" w:name="_Toc279701264"/>
      <w:bookmarkStart w:id="516" w:name="_Toc259093693"/>
      <w:bookmarkStart w:id="517" w:name="_Toc16673"/>
      <w:bookmarkStart w:id="518" w:name="_Toc3148"/>
      <w:bookmarkStart w:id="519" w:name="_Toc487900374"/>
      <w:r>
        <w:rPr>
          <w:rFonts w:hint="eastAsia" w:ascii="仿宋" w:hAnsi="仿宋" w:eastAsia="仿宋" w:cs="仿宋"/>
          <w:color w:val="auto"/>
          <w:highlight w:val="none"/>
        </w:rPr>
        <w:t>2.20 履约保证金</w:t>
      </w:r>
      <w:bookmarkEnd w:id="514"/>
      <w:bookmarkEnd w:id="515"/>
      <w:bookmarkEnd w:id="516"/>
      <w:bookmarkEnd w:id="517"/>
      <w:bookmarkEnd w:id="518"/>
    </w:p>
    <w:p>
      <w:pPr>
        <w:pStyle w:val="6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2.20.1 采购文件要求乙方提交履约保证金的，乙方应按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2.20.2  甲方在项目验收结束后及时退还履约保证金。甲方在项目通过验收之日起</w:t>
      </w:r>
      <w:r>
        <w:rPr>
          <w:rFonts w:hint="eastAsia" w:ascii="仿宋" w:hAnsi="仿宋" w:eastAsia="仿宋" w:cs="仿宋"/>
          <w:color w:val="auto"/>
          <w:highlight w:val="none"/>
          <w:u w:val="single"/>
        </w:rPr>
        <w:t xml:space="preserve"> 5 </w:t>
      </w:r>
      <w:r>
        <w:rPr>
          <w:rFonts w:hint="eastAsia" w:ascii="仿宋" w:hAnsi="仿宋" w:eastAsia="仿宋" w:cs="仿宋"/>
          <w:color w:val="auto"/>
          <w:highlight w:val="none"/>
        </w:rPr>
        <w:t>个工作日内，按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约定的方式将履约保证金退还乙方，逾期退还的，乙方可要求甲方支付违约金，违约金按每迟延退还一日的应退还而未退还金额的</w:t>
      </w:r>
      <w:r>
        <w:rPr>
          <w:rFonts w:hint="eastAsia" w:ascii="仿宋" w:hAnsi="仿宋" w:eastAsia="仿宋" w:cs="仿宋"/>
          <w:color w:val="auto"/>
          <w:highlight w:val="none"/>
          <w:u w:val="single"/>
        </w:rPr>
        <w:t xml:space="preserve">  0.05  </w:t>
      </w:r>
      <w:r>
        <w:rPr>
          <w:rFonts w:hint="eastAsia" w:ascii="仿宋" w:hAnsi="仿宋" w:eastAsia="仿宋" w:cs="仿宋"/>
          <w:color w:val="auto"/>
          <w:highlight w:val="none"/>
        </w:rPr>
        <w:t>%计算，最高限额为本合同履约保证金的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2.20.4 甲方根据杭州市政府采购网公布的供应商履约评价情况减免履约保证金。乙方履约验收评价总分为100分的，甲方免收履约保证金。</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2.20.5甲方在乙方履行完合同约定义务事项后及时退还，延迟退还的，应当按照合同约定和法律规定承担相应的赔偿责任。</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2.21对于因甲方原因导致变更、中止或者终止政府采购合同的，甲方应当依照合同约定对供应商受到的损失予以赔偿或者补偿。</w:t>
      </w:r>
    </w:p>
    <w:bookmarkEnd w:id="519"/>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仿宋" w:hAnsi="仿宋" w:eastAsia="仿宋" w:cs="仿宋"/>
          <w:color w:val="auto"/>
          <w:highlight w:val="none"/>
        </w:rPr>
      </w:pPr>
      <w:bookmarkStart w:id="520" w:name="_Toc14001"/>
      <w:bookmarkStart w:id="521" w:name="_Toc19890"/>
      <w:bookmarkStart w:id="522" w:name="_Toc6885"/>
      <w:r>
        <w:rPr>
          <w:rFonts w:hint="eastAsia" w:ascii="仿宋" w:hAnsi="仿宋" w:eastAsia="仿宋" w:cs="仿宋"/>
          <w:color w:val="auto"/>
          <w:highlight w:val="none"/>
        </w:rPr>
        <w:t>2.22合同份数</w:t>
      </w:r>
      <w:bookmarkEnd w:id="520"/>
      <w:bookmarkEnd w:id="521"/>
      <w:bookmarkEnd w:id="522"/>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合同份数按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规定，每份均具有同等法律效力。</w:t>
      </w:r>
    </w:p>
    <w:p>
      <w:pPr>
        <w:pStyle w:val="5"/>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第三部分  合同专用条款</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条款号</w:t>
            </w:r>
          </w:p>
        </w:tc>
        <w:tc>
          <w:tcPr>
            <w:tcW w:w="453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1.4.4</w:t>
            </w:r>
          </w:p>
        </w:tc>
        <w:tc>
          <w:tcPr>
            <w:tcW w:w="453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1.5.1 </w:t>
            </w:r>
          </w:p>
        </w:tc>
        <w:tc>
          <w:tcPr>
            <w:tcW w:w="453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1.5.2</w:t>
            </w:r>
          </w:p>
        </w:tc>
        <w:tc>
          <w:tcPr>
            <w:tcW w:w="453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1.5.3 </w:t>
            </w:r>
          </w:p>
        </w:tc>
        <w:tc>
          <w:tcPr>
            <w:tcW w:w="453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1.6.7</w:t>
            </w:r>
          </w:p>
        </w:tc>
        <w:tc>
          <w:tcPr>
            <w:tcW w:w="453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1.7</w:t>
            </w:r>
          </w:p>
        </w:tc>
        <w:tc>
          <w:tcPr>
            <w:tcW w:w="453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1.7.1</w:t>
            </w:r>
          </w:p>
        </w:tc>
        <w:tc>
          <w:tcPr>
            <w:tcW w:w="453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1.7.2</w:t>
            </w:r>
          </w:p>
        </w:tc>
        <w:tc>
          <w:tcPr>
            <w:tcW w:w="453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2.3.2</w:t>
            </w:r>
          </w:p>
        </w:tc>
        <w:tc>
          <w:tcPr>
            <w:tcW w:w="453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textAlignment w:val="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2.4.1</w:t>
            </w:r>
          </w:p>
        </w:tc>
        <w:tc>
          <w:tcPr>
            <w:tcW w:w="453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textAlignment w:val="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2.4.2</w:t>
            </w:r>
          </w:p>
        </w:tc>
        <w:tc>
          <w:tcPr>
            <w:tcW w:w="453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2.8 </w:t>
            </w:r>
          </w:p>
        </w:tc>
        <w:tc>
          <w:tcPr>
            <w:tcW w:w="4534" w:type="pct"/>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2.12.3</w:t>
            </w:r>
          </w:p>
        </w:tc>
        <w:tc>
          <w:tcPr>
            <w:tcW w:w="453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2.12.4</w:t>
            </w:r>
          </w:p>
        </w:tc>
        <w:tc>
          <w:tcPr>
            <w:tcW w:w="453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2.16.1</w:t>
            </w:r>
          </w:p>
        </w:tc>
        <w:tc>
          <w:tcPr>
            <w:tcW w:w="453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2.16.3</w:t>
            </w:r>
          </w:p>
        </w:tc>
        <w:tc>
          <w:tcPr>
            <w:tcW w:w="453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2.20.1</w:t>
            </w:r>
          </w:p>
        </w:tc>
        <w:tc>
          <w:tcPr>
            <w:tcW w:w="4534" w:type="pct"/>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2.20.2 </w:t>
            </w:r>
          </w:p>
        </w:tc>
        <w:tc>
          <w:tcPr>
            <w:tcW w:w="453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right="0" w:rightChars="0"/>
              <w:textAlignment w:val="auto"/>
              <w:outlineLvl w:val="0"/>
              <w:rPr>
                <w:rFonts w:hint="eastAsia" w:ascii="仿宋" w:hAnsi="仿宋" w:eastAsia="仿宋" w:cs="仿宋"/>
                <w:color w:val="auto"/>
                <w:highlight w:val="none"/>
              </w:rPr>
            </w:pPr>
            <w:r>
              <w:rPr>
                <w:rFonts w:hint="eastAsia" w:ascii="仿宋" w:hAnsi="仿宋" w:eastAsia="仿宋" w:cs="仿宋"/>
                <w:color w:val="auto"/>
                <w:highlight w:val="none"/>
              </w:rPr>
              <w:t xml:space="preserve">2.22 </w:t>
            </w:r>
          </w:p>
        </w:tc>
        <w:tc>
          <w:tcPr>
            <w:tcW w:w="453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color w:val="auto"/>
                <w:highlight w:val="none"/>
              </w:rPr>
            </w:pPr>
          </w:p>
        </w:tc>
      </w:tr>
    </w:tbl>
    <w:p>
      <w:pPr>
        <w:rPr>
          <w:rFonts w:hint="eastAsia" w:ascii="仿宋" w:hAnsi="仿宋" w:eastAsia="仿宋" w:cs="仿宋"/>
          <w:color w:val="auto"/>
          <w:highlight w:val="none"/>
        </w:rPr>
      </w:pP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keepNext w:val="0"/>
        <w:keepLines w:val="0"/>
        <w:pageBreakBefore w:val="0"/>
        <w:widowControl/>
        <w:kinsoku/>
        <w:wordWrap/>
        <w:overflowPunct/>
        <w:topLinePunct w:val="0"/>
        <w:autoSpaceDE/>
        <w:autoSpaceDN/>
        <w:bidi w:val="0"/>
        <w:adjustRightInd/>
        <w:spacing w:before="0"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第六部分 应提交的有关格式范例</w:t>
      </w:r>
    </w:p>
    <w:p>
      <w:pPr>
        <w:pStyle w:val="5"/>
        <w:keepNext w:val="0"/>
        <w:keepLines w:val="0"/>
        <w:pageBreakBefore w:val="0"/>
        <w:widowControl/>
        <w:kinsoku/>
        <w:wordWrap/>
        <w:overflowPunct/>
        <w:topLinePunct w:val="0"/>
        <w:autoSpaceDE/>
        <w:autoSpaceDN/>
        <w:bidi w:val="0"/>
        <w:adjustRightInd/>
        <w:spacing w:before="0"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资格文件部分</w:t>
      </w:r>
    </w:p>
    <w:p>
      <w:pPr>
        <w:keepNext w:val="0"/>
        <w:keepLines w:val="0"/>
        <w:pageBreakBefore w:val="0"/>
        <w:widowControl/>
        <w:kinsoku/>
        <w:wordWrap/>
        <w:overflowPunct/>
        <w:topLinePunct w:val="0"/>
        <w:autoSpaceDE/>
        <w:autoSpaceDN/>
        <w:bidi w:val="0"/>
        <w:adjustRightInd/>
        <w:spacing w:after="0" w:line="360" w:lineRule="auto"/>
        <w:jc w:val="center"/>
        <w:textAlignment w:val="auto"/>
        <w:rPr>
          <w:rFonts w:hint="eastAsia" w:ascii="仿宋" w:hAnsi="仿宋" w:eastAsia="仿宋" w:cs="仿宋"/>
          <w:b/>
          <w:color w:val="auto"/>
          <w:sz w:val="40"/>
          <w:highlight w:val="none"/>
        </w:rPr>
      </w:pPr>
      <w:r>
        <w:rPr>
          <w:rFonts w:hint="eastAsia" w:ascii="仿宋" w:hAnsi="仿宋" w:eastAsia="仿宋" w:cs="仿宋"/>
          <w:b/>
          <w:color w:val="auto"/>
          <w:sz w:val="40"/>
          <w:highlight w:val="none"/>
        </w:rPr>
        <w:t>目录</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（1）符合参加政府采购活动应当具备的一般条件的承诺函……………（页码）</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（2）落实政府采购政策需满足的资格要求………………………………（页码）</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（3）本项目的特定资格要求………………………………………………（页码）</w:t>
      </w:r>
    </w:p>
    <w:p>
      <w:pPr>
        <w:keepNext w:val="0"/>
        <w:keepLines w:val="0"/>
        <w:pageBreakBefore w:val="0"/>
        <w:widowControl/>
        <w:kinsoku/>
        <w:wordWrap/>
        <w:overflowPunct/>
        <w:topLinePunct w:val="0"/>
        <w:autoSpaceDE/>
        <w:autoSpaceDN/>
        <w:bidi w:val="0"/>
        <w:adjustRightIn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before="0" w:after="0" w:line="360" w:lineRule="auto"/>
        <w:ind w:right="0"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 符合参加政府采购活动应当具备的一般条件的承诺函</w:t>
      </w:r>
    </w:p>
    <w:p>
      <w:pPr>
        <w:keepNext w:val="0"/>
        <w:keepLines w:val="0"/>
        <w:pageBreakBefore w:val="0"/>
        <w:kinsoku/>
        <w:wordWrap/>
        <w:overflowPunct/>
        <w:topLinePunct w:val="0"/>
        <w:bidi w:val="0"/>
        <w:snapToGrid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p>
    <w:p>
      <w:pPr>
        <w:keepNext w:val="0"/>
        <w:keepLines w:val="0"/>
        <w:pageBreakBefore w:val="0"/>
        <w:kinsoku/>
        <w:wordWrap/>
        <w:overflowPunct/>
        <w:topLinePunct w:val="0"/>
        <w:bidi w:val="0"/>
        <w:snapToGrid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我方参与（项目名称）【招标编号：（采购编号）】政府采购活动，郑重承诺：</w:t>
      </w:r>
    </w:p>
    <w:p>
      <w:pPr>
        <w:keepNext w:val="0"/>
        <w:keepLines w:val="0"/>
        <w:pageBreakBefore w:val="0"/>
        <w:kinsoku/>
        <w:wordWrap/>
        <w:overflowPunct/>
        <w:topLinePunct w:val="0"/>
        <w:bidi w:val="0"/>
        <w:snapToGrid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（一）具备《中华人民共和国政府采购法》第二十二条第一款规定的条件：</w:t>
      </w:r>
    </w:p>
    <w:p>
      <w:pPr>
        <w:keepNext w:val="0"/>
        <w:keepLines w:val="0"/>
        <w:pageBreakBefore w:val="0"/>
        <w:kinsoku/>
        <w:wordWrap/>
        <w:overflowPunct/>
        <w:topLinePunct w:val="0"/>
        <w:bidi w:val="0"/>
        <w:snapToGrid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pPr>
        <w:keepNext w:val="0"/>
        <w:keepLines w:val="0"/>
        <w:pageBreakBefore w:val="0"/>
        <w:kinsoku/>
        <w:wordWrap/>
        <w:overflowPunct/>
        <w:topLinePunct w:val="0"/>
        <w:bidi w:val="0"/>
        <w:snapToGrid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2、具有良好的商业信誉和健全的财务会计制度； </w:t>
      </w:r>
    </w:p>
    <w:p>
      <w:pPr>
        <w:keepNext w:val="0"/>
        <w:keepLines w:val="0"/>
        <w:pageBreakBefore w:val="0"/>
        <w:kinsoku/>
        <w:wordWrap/>
        <w:overflowPunct/>
        <w:topLinePunct w:val="0"/>
        <w:bidi w:val="0"/>
        <w:snapToGrid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pPr>
        <w:keepNext w:val="0"/>
        <w:keepLines w:val="0"/>
        <w:pageBreakBefore w:val="0"/>
        <w:kinsoku/>
        <w:wordWrap/>
        <w:overflowPunct/>
        <w:topLinePunct w:val="0"/>
        <w:bidi w:val="0"/>
        <w:snapToGrid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pPr>
        <w:keepNext w:val="0"/>
        <w:keepLines w:val="0"/>
        <w:pageBreakBefore w:val="0"/>
        <w:kinsoku/>
        <w:wordWrap/>
        <w:overflowPunct/>
        <w:topLinePunct w:val="0"/>
        <w:bidi w:val="0"/>
        <w:snapToGrid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pPr>
        <w:keepNext w:val="0"/>
        <w:keepLines w:val="0"/>
        <w:pageBreakBefore w:val="0"/>
        <w:kinsoku/>
        <w:wordWrap/>
        <w:overflowPunct/>
        <w:topLinePunct w:val="0"/>
        <w:bidi w:val="0"/>
        <w:snapToGrid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6、具有法律、行政法规规定的其他条件。</w:t>
      </w:r>
    </w:p>
    <w:p>
      <w:pPr>
        <w:keepNext w:val="0"/>
        <w:keepLines w:val="0"/>
        <w:pageBreakBefore w:val="0"/>
        <w:kinsoku/>
        <w:wordWrap/>
        <w:overflowPunct/>
        <w:topLinePunct w:val="0"/>
        <w:bidi w:val="0"/>
        <w:snapToGrid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bidi w:val="0"/>
        <w:snapToGrid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（三）不存在以下情况：</w:t>
      </w:r>
    </w:p>
    <w:p>
      <w:pPr>
        <w:keepNext w:val="0"/>
        <w:keepLines w:val="0"/>
        <w:pageBreakBefore w:val="0"/>
        <w:kinsoku/>
        <w:wordWrap/>
        <w:overflowPunct/>
        <w:topLinePunct w:val="0"/>
        <w:bidi w:val="0"/>
        <w:snapToGrid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1、单位负责人为同一人或者存在直接控股、管理关系的不同供应商参加同一合同项下的政府采购活动的；</w:t>
      </w:r>
    </w:p>
    <w:p>
      <w:pPr>
        <w:keepNext w:val="0"/>
        <w:keepLines w:val="0"/>
        <w:pageBreakBefore w:val="0"/>
        <w:kinsoku/>
        <w:wordWrap/>
        <w:overflowPunct/>
        <w:topLinePunct w:val="0"/>
        <w:bidi w:val="0"/>
        <w:snapToGrid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2、为采购项目提供整体设计、规范编制或者项目管理、监理、检测等服务后再参加该采购项目的其他采购活动的。</w:t>
      </w:r>
    </w:p>
    <w:p>
      <w:pPr>
        <w:keepNext w:val="0"/>
        <w:keepLines w:val="0"/>
        <w:pageBreakBefore w:val="0"/>
        <w:kinsoku/>
        <w:wordWrap/>
        <w:overflowPunct/>
        <w:topLinePunct w:val="0"/>
        <w:bidi w:val="0"/>
        <w:snapToGrid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投标人名称(电子签名)：</w:t>
      </w:r>
    </w:p>
    <w:p>
      <w:pPr>
        <w:keepNext w:val="0"/>
        <w:keepLines w:val="0"/>
        <w:pageBreakBefore w:val="0"/>
        <w:kinsoku/>
        <w:wordWrap/>
        <w:overflowPunct/>
        <w:topLinePunct w:val="0"/>
        <w:bidi w:val="0"/>
        <w:snapToGrid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pPr>
        <w:keepNext w:val="0"/>
        <w:keepLines w:val="0"/>
        <w:pageBreakBefore w:val="0"/>
        <w:kinsoku/>
        <w:wordWrap/>
        <w:overflowPunct/>
        <w:topLinePunct w:val="0"/>
        <w:bidi w:val="0"/>
        <w:snapToGrid w:val="0"/>
        <w:spacing w:after="0" w:line="360" w:lineRule="auto"/>
        <w:ind w:right="0" w:firstLine="643" w:firstLineChars="200"/>
        <w:jc w:val="center"/>
        <w:textAlignment w:val="auto"/>
        <w:rPr>
          <w:rFonts w:hint="eastAsia" w:ascii="仿宋" w:hAnsi="仿宋" w:eastAsia="仿宋" w:cs="仿宋"/>
          <w:b/>
          <w:color w:val="auto"/>
          <w:sz w:val="32"/>
          <w:szCs w:val="32"/>
          <w:highlight w:val="none"/>
        </w:rPr>
      </w:pPr>
    </w:p>
    <w:p>
      <w:pPr>
        <w:pStyle w:val="5"/>
        <w:keepNext w:val="0"/>
        <w:keepLines w:val="0"/>
        <w:pageBreakBefore w:val="0"/>
        <w:kinsoku/>
        <w:wordWrap/>
        <w:overflowPunct/>
        <w:topLinePunct w:val="0"/>
        <w:bidi w:val="0"/>
        <w:spacing w:before="0" w:after="0" w:line="360" w:lineRule="auto"/>
        <w:ind w:right="0" w:firstLine="562" w:firstLineChars="200"/>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bidi w:val="0"/>
        <w:spacing w:before="0" w:after="0" w:line="360" w:lineRule="auto"/>
        <w:ind w:right="0" w:firstLine="562" w:firstLineChars="200"/>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bidi w:val="0"/>
        <w:spacing w:before="0" w:after="0" w:line="360" w:lineRule="auto"/>
        <w:ind w:right="0" w:firstLine="562" w:firstLineChars="200"/>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bidi w:val="0"/>
        <w:spacing w:before="0" w:after="0" w:line="360" w:lineRule="auto"/>
        <w:ind w:right="0" w:firstLine="562" w:firstLineChars="200"/>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bidi w:val="0"/>
        <w:spacing w:before="0" w:after="0" w:line="360" w:lineRule="auto"/>
        <w:ind w:right="0" w:firstLine="562" w:firstLineChars="200"/>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bidi w:val="0"/>
        <w:spacing w:before="0" w:after="0" w:line="360" w:lineRule="auto"/>
        <w:ind w:right="0"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二、落实政府采购政策需满足的资格要求</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（根据招标公告落实政府采购政策需满足的资格要求选择提供相应的材料；未要求的，无需提供）</w:t>
      </w:r>
    </w:p>
    <w:p>
      <w:pPr>
        <w:keepNext w:val="0"/>
        <w:keepLines w:val="0"/>
        <w:pageBreakBefore w:val="0"/>
        <w:kinsoku/>
        <w:wordWrap/>
        <w:overflowPunct/>
        <w:topLinePunct w:val="0"/>
        <w:bidi w:val="0"/>
        <w:spacing w:after="0" w:line="360" w:lineRule="auto"/>
        <w:ind w:right="0"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A</w:t>
      </w:r>
      <w:r>
        <w:rPr>
          <w:rFonts w:hint="eastAsia" w:ascii="仿宋" w:hAnsi="仿宋" w:eastAsia="仿宋" w:cs="仿宋"/>
          <w:color w:val="auto"/>
          <w:highlight w:val="none"/>
        </w:rPr>
        <w:t xml:space="preserve">.专门面向中小企业，货物全部由符合政策要求的中小企业（或小微企业）制造或者服务全部由符合政策要求的中小企业（或小微企业）承接的，提供相应的中小企业声明函（附件5）。 </w:t>
      </w:r>
    </w:p>
    <w:p>
      <w:pPr>
        <w:keepNext w:val="0"/>
        <w:keepLines w:val="0"/>
        <w:pageBreakBefore w:val="0"/>
        <w:kinsoku/>
        <w:wordWrap/>
        <w:overflowPunct/>
        <w:topLinePunct w:val="0"/>
        <w:bidi w:val="0"/>
        <w:spacing w:after="0" w:line="360" w:lineRule="auto"/>
        <w:ind w:right="0"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B.</w:t>
      </w:r>
      <w:r>
        <w:rPr>
          <w:rFonts w:hint="eastAsia" w:ascii="仿宋" w:hAnsi="仿宋" w:eastAsia="仿宋" w:cs="仿宋"/>
          <w:color w:val="auto"/>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keepNext w:val="0"/>
        <w:keepLines w:val="0"/>
        <w:pageBreakBefore w:val="0"/>
        <w:kinsoku/>
        <w:wordWrap/>
        <w:overflowPunct/>
        <w:topLinePunct w:val="0"/>
        <w:bidi w:val="0"/>
        <w:spacing w:after="0" w:line="360" w:lineRule="auto"/>
        <w:ind w:right="0"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C、</w:t>
      </w:r>
      <w:r>
        <w:rPr>
          <w:rFonts w:hint="eastAsia" w:ascii="仿宋" w:hAnsi="仿宋" w:eastAsia="仿宋" w:cs="仿宋"/>
          <w:color w:val="auto"/>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keepNext w:val="0"/>
        <w:keepLines w:val="0"/>
        <w:pageBreakBefore w:val="0"/>
        <w:kinsoku/>
        <w:wordWrap/>
        <w:overflowPunct/>
        <w:topLinePunct w:val="0"/>
        <w:bidi w:val="0"/>
        <w:spacing w:after="0" w:line="360" w:lineRule="auto"/>
        <w:ind w:right="0" w:firstLine="643" w:firstLineChars="200"/>
        <w:jc w:val="center"/>
        <w:textAlignment w:val="auto"/>
        <w:rPr>
          <w:rFonts w:hint="eastAsia" w:ascii="仿宋" w:hAnsi="仿宋" w:eastAsia="仿宋" w:cs="仿宋"/>
          <w:b/>
          <w:color w:val="auto"/>
          <w:sz w:val="32"/>
          <w:szCs w:val="32"/>
          <w:highlight w:val="none"/>
          <w:lang w:val="zh-CN"/>
        </w:rPr>
      </w:pPr>
    </w:p>
    <w:p>
      <w:pPr>
        <w:keepNext w:val="0"/>
        <w:keepLines w:val="0"/>
        <w:pageBreakBefore w:val="0"/>
        <w:kinsoku/>
        <w:wordWrap/>
        <w:overflowPunct/>
        <w:topLinePunct w:val="0"/>
        <w:bidi w:val="0"/>
        <w:spacing w:after="0" w:line="360" w:lineRule="auto"/>
        <w:ind w:right="0" w:firstLine="643" w:firstLineChars="200"/>
        <w:jc w:val="center"/>
        <w:textAlignment w:val="auto"/>
        <w:rPr>
          <w:rFonts w:hint="eastAsia" w:ascii="仿宋" w:hAnsi="仿宋" w:eastAsia="仿宋" w:cs="仿宋"/>
          <w:b/>
          <w:color w:val="auto"/>
          <w:sz w:val="32"/>
          <w:szCs w:val="32"/>
          <w:highlight w:val="none"/>
          <w:lang w:val="zh-CN"/>
        </w:rPr>
      </w:pPr>
    </w:p>
    <w:p>
      <w:pPr>
        <w:keepNext w:val="0"/>
        <w:keepLines w:val="0"/>
        <w:pageBreakBefore w:val="0"/>
        <w:kinsoku/>
        <w:wordWrap/>
        <w:overflowPunct/>
        <w:topLinePunct w:val="0"/>
        <w:bidi w:val="0"/>
        <w:spacing w:after="0" w:line="360" w:lineRule="auto"/>
        <w:ind w:right="0" w:firstLine="643" w:firstLineChars="200"/>
        <w:jc w:val="center"/>
        <w:textAlignment w:val="auto"/>
        <w:rPr>
          <w:rFonts w:hint="eastAsia" w:ascii="仿宋" w:hAnsi="仿宋" w:eastAsia="仿宋" w:cs="仿宋"/>
          <w:b/>
          <w:color w:val="auto"/>
          <w:sz w:val="32"/>
          <w:szCs w:val="32"/>
          <w:highlight w:val="none"/>
          <w:lang w:val="zh-CN"/>
        </w:rPr>
      </w:pPr>
    </w:p>
    <w:p>
      <w:pPr>
        <w:keepNext w:val="0"/>
        <w:keepLines w:val="0"/>
        <w:pageBreakBefore w:val="0"/>
        <w:kinsoku/>
        <w:wordWrap/>
        <w:overflowPunct/>
        <w:topLinePunct w:val="0"/>
        <w:bidi w:val="0"/>
        <w:spacing w:after="0" w:line="360" w:lineRule="auto"/>
        <w:ind w:right="0" w:firstLine="643" w:firstLineChars="200"/>
        <w:jc w:val="center"/>
        <w:textAlignment w:val="auto"/>
        <w:rPr>
          <w:rFonts w:hint="eastAsia" w:ascii="仿宋" w:hAnsi="仿宋" w:eastAsia="仿宋" w:cs="仿宋"/>
          <w:b/>
          <w:color w:val="auto"/>
          <w:sz w:val="32"/>
          <w:szCs w:val="32"/>
          <w:highlight w:val="none"/>
          <w:lang w:val="zh-CN"/>
        </w:rPr>
      </w:pPr>
    </w:p>
    <w:p>
      <w:pPr>
        <w:keepNext w:val="0"/>
        <w:keepLines w:val="0"/>
        <w:pageBreakBefore w:val="0"/>
        <w:kinsoku/>
        <w:wordWrap/>
        <w:overflowPunct/>
        <w:topLinePunct w:val="0"/>
        <w:bidi w:val="0"/>
        <w:spacing w:after="0" w:line="360" w:lineRule="auto"/>
        <w:ind w:right="0" w:firstLine="643" w:firstLineChars="200"/>
        <w:jc w:val="center"/>
        <w:textAlignment w:val="auto"/>
        <w:rPr>
          <w:rFonts w:hint="eastAsia" w:ascii="仿宋" w:hAnsi="仿宋" w:eastAsia="仿宋" w:cs="仿宋"/>
          <w:b/>
          <w:color w:val="auto"/>
          <w:sz w:val="32"/>
          <w:szCs w:val="32"/>
          <w:highlight w:val="none"/>
          <w:lang w:val="zh-CN"/>
        </w:rPr>
      </w:pPr>
    </w:p>
    <w:p>
      <w:pPr>
        <w:keepNext w:val="0"/>
        <w:keepLines w:val="0"/>
        <w:pageBreakBefore w:val="0"/>
        <w:kinsoku/>
        <w:wordWrap/>
        <w:overflowPunct/>
        <w:topLinePunct w:val="0"/>
        <w:bidi w:val="0"/>
        <w:spacing w:after="0" w:line="360" w:lineRule="auto"/>
        <w:ind w:right="0" w:firstLine="643" w:firstLineChars="200"/>
        <w:jc w:val="center"/>
        <w:textAlignment w:val="auto"/>
        <w:rPr>
          <w:rFonts w:hint="eastAsia" w:ascii="仿宋" w:hAnsi="仿宋" w:eastAsia="仿宋" w:cs="仿宋"/>
          <w:b/>
          <w:color w:val="auto"/>
          <w:sz w:val="32"/>
          <w:szCs w:val="32"/>
          <w:highlight w:val="none"/>
          <w:lang w:val="zh-CN"/>
        </w:rPr>
      </w:pPr>
    </w:p>
    <w:p>
      <w:pPr>
        <w:keepNext w:val="0"/>
        <w:keepLines w:val="0"/>
        <w:pageBreakBefore w:val="0"/>
        <w:kinsoku/>
        <w:wordWrap/>
        <w:overflowPunct/>
        <w:topLinePunct w:val="0"/>
        <w:bidi w:val="0"/>
        <w:spacing w:after="0" w:line="360" w:lineRule="auto"/>
        <w:ind w:right="0" w:firstLine="643" w:firstLineChars="200"/>
        <w:jc w:val="center"/>
        <w:textAlignment w:val="auto"/>
        <w:rPr>
          <w:rFonts w:hint="eastAsia" w:ascii="仿宋" w:hAnsi="仿宋" w:eastAsia="仿宋" w:cs="仿宋"/>
          <w:b/>
          <w:color w:val="auto"/>
          <w:sz w:val="32"/>
          <w:szCs w:val="32"/>
          <w:highlight w:val="none"/>
          <w:lang w:val="zh-CN"/>
        </w:rPr>
      </w:pPr>
    </w:p>
    <w:p>
      <w:pPr>
        <w:keepNext w:val="0"/>
        <w:keepLines w:val="0"/>
        <w:pageBreakBefore w:val="0"/>
        <w:kinsoku/>
        <w:wordWrap/>
        <w:overflowPunct/>
        <w:topLinePunct w:val="0"/>
        <w:bidi w:val="0"/>
        <w:spacing w:after="0" w:line="360" w:lineRule="auto"/>
        <w:ind w:right="0" w:firstLine="643" w:firstLineChars="200"/>
        <w:jc w:val="center"/>
        <w:textAlignment w:val="auto"/>
        <w:rPr>
          <w:rFonts w:hint="eastAsia" w:ascii="仿宋" w:hAnsi="仿宋" w:eastAsia="仿宋" w:cs="仿宋"/>
          <w:b/>
          <w:color w:val="auto"/>
          <w:sz w:val="32"/>
          <w:szCs w:val="32"/>
          <w:highlight w:val="none"/>
          <w:lang w:val="zh-CN"/>
        </w:rPr>
      </w:pPr>
    </w:p>
    <w:p>
      <w:pPr>
        <w:keepNext w:val="0"/>
        <w:keepLines w:val="0"/>
        <w:pageBreakBefore w:val="0"/>
        <w:kinsoku/>
        <w:wordWrap/>
        <w:overflowPunct/>
        <w:topLinePunct w:val="0"/>
        <w:bidi w:val="0"/>
        <w:spacing w:after="0" w:line="360" w:lineRule="auto"/>
        <w:ind w:right="0" w:firstLine="643" w:firstLineChars="200"/>
        <w:jc w:val="center"/>
        <w:textAlignment w:val="auto"/>
        <w:rPr>
          <w:rFonts w:hint="eastAsia" w:ascii="仿宋" w:hAnsi="仿宋" w:eastAsia="仿宋" w:cs="仿宋"/>
          <w:b/>
          <w:color w:val="auto"/>
          <w:sz w:val="32"/>
          <w:szCs w:val="32"/>
          <w:highlight w:val="none"/>
          <w:lang w:val="zh-CN"/>
        </w:rPr>
      </w:pPr>
    </w:p>
    <w:p>
      <w:pPr>
        <w:keepNext w:val="0"/>
        <w:keepLines w:val="0"/>
        <w:pageBreakBefore w:val="0"/>
        <w:kinsoku/>
        <w:wordWrap/>
        <w:overflowPunct/>
        <w:topLinePunct w:val="0"/>
        <w:bidi w:val="0"/>
        <w:spacing w:after="0" w:line="360" w:lineRule="auto"/>
        <w:ind w:right="0" w:firstLine="643" w:firstLineChars="200"/>
        <w:jc w:val="center"/>
        <w:textAlignment w:val="auto"/>
        <w:rPr>
          <w:rFonts w:hint="eastAsia" w:ascii="仿宋" w:hAnsi="仿宋" w:eastAsia="仿宋" w:cs="仿宋"/>
          <w:b/>
          <w:color w:val="auto"/>
          <w:sz w:val="32"/>
          <w:szCs w:val="32"/>
          <w:highlight w:val="none"/>
          <w:lang w:val="zh-CN"/>
        </w:rPr>
      </w:pPr>
    </w:p>
    <w:p>
      <w:pPr>
        <w:keepNext w:val="0"/>
        <w:keepLines w:val="0"/>
        <w:pageBreakBefore w:val="0"/>
        <w:kinsoku/>
        <w:wordWrap/>
        <w:overflowPunct/>
        <w:topLinePunct w:val="0"/>
        <w:bidi w:val="0"/>
        <w:spacing w:after="0" w:line="360" w:lineRule="auto"/>
        <w:ind w:right="0" w:firstLine="643" w:firstLineChars="200"/>
        <w:jc w:val="center"/>
        <w:textAlignment w:val="auto"/>
        <w:rPr>
          <w:rFonts w:hint="eastAsia" w:ascii="仿宋" w:hAnsi="仿宋" w:eastAsia="仿宋" w:cs="仿宋"/>
          <w:b/>
          <w:color w:val="auto"/>
          <w:sz w:val="32"/>
          <w:szCs w:val="32"/>
          <w:highlight w:val="none"/>
          <w:lang w:val="zh-CN"/>
        </w:rPr>
      </w:pPr>
    </w:p>
    <w:p>
      <w:pPr>
        <w:keepNext w:val="0"/>
        <w:keepLines w:val="0"/>
        <w:pageBreakBefore w:val="0"/>
        <w:kinsoku/>
        <w:wordWrap/>
        <w:overflowPunct/>
        <w:topLinePunct w:val="0"/>
        <w:bidi w:val="0"/>
        <w:spacing w:after="0" w:line="360" w:lineRule="auto"/>
        <w:ind w:right="0" w:firstLine="643" w:firstLineChars="200"/>
        <w:jc w:val="center"/>
        <w:textAlignment w:val="auto"/>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联合协议</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（联合体所有成员名称）</w:t>
      </w:r>
      <w:r>
        <w:rPr>
          <w:rFonts w:hint="eastAsia" w:ascii="仿宋" w:hAnsi="仿宋" w:eastAsia="仿宋" w:cs="仿宋"/>
          <w:color w:val="auto"/>
          <w:highlight w:val="none"/>
        </w:rPr>
        <w:t>自愿</w:t>
      </w:r>
      <w:r>
        <w:rPr>
          <w:rFonts w:hint="eastAsia" w:ascii="仿宋" w:hAnsi="仿宋" w:eastAsia="仿宋" w:cs="仿宋"/>
          <w:color w:val="auto"/>
          <w:highlight w:val="none"/>
          <w:lang w:val="zh-CN"/>
        </w:rPr>
        <w:t>组成一个联合体，以一个投标人的身份</w:t>
      </w:r>
      <w:r>
        <w:rPr>
          <w:rFonts w:hint="eastAsia" w:ascii="仿宋" w:hAnsi="仿宋" w:eastAsia="仿宋" w:cs="仿宋"/>
          <w:color w:val="auto"/>
          <w:highlight w:val="none"/>
        </w:rPr>
        <w:t>参加（项目名称）【招标编号：（采购编号）】</w:t>
      </w:r>
      <w:r>
        <w:rPr>
          <w:rFonts w:hint="eastAsia" w:ascii="仿宋" w:hAnsi="仿宋" w:eastAsia="仿宋" w:cs="仿宋"/>
          <w:color w:val="auto"/>
          <w:highlight w:val="none"/>
          <w:lang w:val="zh-CN"/>
        </w:rPr>
        <w:t xml:space="preserve">投标。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一、各方一致决定，</w:t>
      </w:r>
      <w:r>
        <w:rPr>
          <w:rFonts w:hint="eastAsia" w:ascii="仿宋" w:hAnsi="仿宋" w:eastAsia="仿宋" w:cs="仿宋"/>
          <w:color w:val="auto"/>
          <w:highlight w:val="none"/>
          <w:u w:val="single"/>
        </w:rPr>
        <w:t>（某联合体成员名称）</w:t>
      </w:r>
      <w:r>
        <w:rPr>
          <w:rFonts w:hint="eastAsia" w:ascii="仿宋" w:hAnsi="仿宋" w:eastAsia="仿宋" w:cs="仿宋"/>
          <w:color w:val="auto"/>
          <w:highlight w:val="none"/>
        </w:rPr>
        <w:t>为联合体</w:t>
      </w:r>
      <w:r>
        <w:rPr>
          <w:rFonts w:hint="eastAsia" w:ascii="仿宋" w:hAnsi="仿宋" w:eastAsia="仿宋" w:cs="仿宋"/>
          <w:color w:val="auto"/>
          <w:highlight w:val="none"/>
          <w:lang w:val="zh-CN"/>
        </w:rPr>
        <w:t>牵头人</w:t>
      </w:r>
      <w:r>
        <w:rPr>
          <w:rFonts w:hint="eastAsia" w:ascii="仿宋" w:hAnsi="仿宋" w:eastAsia="仿宋" w:cs="仿宋"/>
          <w:color w:val="auto"/>
          <w:highlight w:val="none"/>
        </w:rPr>
        <w:t>，代表所有联合体成员负责投标和合同实施阶段的主办、协调工作</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w:t>
      </w:r>
      <w:r>
        <w:rPr>
          <w:rFonts w:hint="eastAsia" w:ascii="仿宋" w:hAnsi="仿宋" w:eastAsia="仿宋" w:cs="仿宋"/>
          <w:color w:val="auto"/>
          <w:highlight w:val="none"/>
        </w:rPr>
        <w:t>所有联合体成员各方签署授权书，授权书载明的</w:t>
      </w:r>
      <w:r>
        <w:rPr>
          <w:rFonts w:hint="eastAsia" w:ascii="仿宋" w:hAnsi="仿宋" w:eastAsia="仿宋" w:cs="仿宋"/>
          <w:color w:val="auto"/>
          <w:highlight w:val="none"/>
          <w:lang w:val="zh-CN"/>
        </w:rPr>
        <w:t>授权代表根据招标文件规定及投标内容而对采购人、采购机构所作的任何合法承诺，包括书面澄清及相应等均对联合投标各方产生约束力。</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三、本次联合投标中，分工如下：</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w:t>
      </w:r>
      <w:r>
        <w:rPr>
          <w:rFonts w:hint="eastAsia" w:ascii="仿宋" w:hAnsi="仿宋" w:eastAsia="仿宋" w:cs="仿宋"/>
          <w:color w:val="auto"/>
          <w:highlight w:val="none"/>
        </w:rPr>
        <w:t>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五、如果中标，</w:t>
      </w:r>
      <w:r>
        <w:rPr>
          <w:rFonts w:hint="eastAsia" w:ascii="仿宋" w:hAnsi="仿宋" w:eastAsia="仿宋" w:cs="仿宋"/>
          <w:color w:val="auto"/>
          <w:highlight w:val="none"/>
        </w:rPr>
        <w:t>联合体各成员方共同与采购人签订合同，并就采购合同约定的事项对采购人承担连带责任。</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六、有关本次联合投标的其他事宜：</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3、本协议提交采购人、采购机构后，联合体各方不得以任何形式对上述内容进行修改或撤销。</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keepNext w:val="0"/>
        <w:keepLines w:val="0"/>
        <w:pageBreakBefore w:val="0"/>
        <w:kinsoku/>
        <w:wordWrap/>
        <w:overflowPunct/>
        <w:topLinePunct w:val="0"/>
        <w:bidi w:val="0"/>
        <w:spacing w:after="0" w:line="360" w:lineRule="auto"/>
        <w:ind w:right="0" w:firstLine="643" w:firstLineChars="200"/>
        <w:jc w:val="center"/>
        <w:textAlignment w:val="auto"/>
        <w:rPr>
          <w:rFonts w:hint="eastAsia" w:ascii="仿宋" w:hAnsi="仿宋" w:eastAsia="仿宋" w:cs="仿宋"/>
          <w:b/>
          <w:color w:val="auto"/>
          <w:sz w:val="32"/>
          <w:szCs w:val="32"/>
          <w:highlight w:val="none"/>
        </w:rPr>
      </w:pPr>
    </w:p>
    <w:p>
      <w:pPr>
        <w:keepNext w:val="0"/>
        <w:keepLines w:val="0"/>
        <w:pageBreakBefore w:val="0"/>
        <w:kinsoku/>
        <w:wordWrap/>
        <w:overflowPunct/>
        <w:topLinePunct w:val="0"/>
        <w:bidi w:val="0"/>
        <w:spacing w:after="0" w:line="360" w:lineRule="auto"/>
        <w:ind w:right="0" w:firstLine="643" w:firstLineChars="200"/>
        <w:jc w:val="center"/>
        <w:textAlignment w:val="auto"/>
        <w:rPr>
          <w:rFonts w:hint="eastAsia" w:ascii="仿宋" w:hAnsi="仿宋" w:eastAsia="仿宋" w:cs="仿宋"/>
          <w:b/>
          <w:color w:val="auto"/>
          <w:sz w:val="32"/>
          <w:szCs w:val="32"/>
          <w:highlight w:val="none"/>
        </w:rPr>
      </w:pPr>
    </w:p>
    <w:p>
      <w:pPr>
        <w:keepNext w:val="0"/>
        <w:keepLines w:val="0"/>
        <w:pageBreakBefore w:val="0"/>
        <w:kinsoku/>
        <w:wordWrap/>
        <w:overflowPunct/>
        <w:topLinePunct w:val="0"/>
        <w:bidi w:val="0"/>
        <w:spacing w:after="0" w:line="360" w:lineRule="auto"/>
        <w:ind w:right="0" w:firstLine="643" w:firstLineChars="200"/>
        <w:jc w:val="center"/>
        <w:textAlignment w:val="auto"/>
        <w:rPr>
          <w:rFonts w:hint="eastAsia" w:ascii="仿宋" w:hAnsi="仿宋" w:eastAsia="仿宋" w:cs="仿宋"/>
          <w:b/>
          <w:color w:val="auto"/>
          <w:sz w:val="32"/>
          <w:szCs w:val="32"/>
          <w:highlight w:val="none"/>
        </w:rPr>
      </w:pPr>
    </w:p>
    <w:p>
      <w:pPr>
        <w:keepNext w:val="0"/>
        <w:keepLines w:val="0"/>
        <w:pageBreakBefore w:val="0"/>
        <w:kinsoku/>
        <w:wordWrap/>
        <w:overflowPunct/>
        <w:topLinePunct w:val="0"/>
        <w:bidi w:val="0"/>
        <w:spacing w:after="0" w:line="360" w:lineRule="auto"/>
        <w:ind w:right="0" w:firstLine="643" w:firstLineChars="200"/>
        <w:jc w:val="center"/>
        <w:textAlignment w:val="auto"/>
        <w:rPr>
          <w:rFonts w:hint="eastAsia" w:ascii="仿宋" w:hAnsi="仿宋" w:eastAsia="仿宋" w:cs="仿宋"/>
          <w:b/>
          <w:color w:val="auto"/>
          <w:sz w:val="32"/>
          <w:szCs w:val="32"/>
          <w:highlight w:val="none"/>
        </w:rPr>
      </w:pPr>
    </w:p>
    <w:p>
      <w:pPr>
        <w:keepNext w:val="0"/>
        <w:keepLines w:val="0"/>
        <w:pageBreakBefore w:val="0"/>
        <w:kinsoku/>
        <w:wordWrap/>
        <w:overflowPunct/>
        <w:topLinePunct w:val="0"/>
        <w:bidi w:val="0"/>
        <w:spacing w:after="0" w:line="360" w:lineRule="auto"/>
        <w:ind w:right="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分包意向协议</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color w:val="auto"/>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highlight w:val="none"/>
        </w:rPr>
        <w:t>）</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若成为</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的中标供应商，将依法采取分包方式履行合同。</w:t>
      </w: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rPr>
        <w:t>与</w:t>
      </w:r>
      <w:r>
        <w:rPr>
          <w:rFonts w:hint="eastAsia" w:ascii="仿宋" w:hAnsi="仿宋" w:eastAsia="仿宋" w:cs="仿宋"/>
          <w:color w:val="auto"/>
          <w:highlight w:val="none"/>
          <w:u w:val="single"/>
        </w:rPr>
        <w:t>（所有分包供应商名称）</w:t>
      </w:r>
      <w:r>
        <w:rPr>
          <w:rFonts w:hint="eastAsia" w:ascii="仿宋" w:hAnsi="仿宋" w:eastAsia="仿宋" w:cs="仿宋"/>
          <w:color w:val="auto"/>
          <w:highlight w:val="none"/>
        </w:rPr>
        <w:t>达成分包意向协议</w:t>
      </w: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一、分包标的及数量</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highlight w:val="none"/>
        </w:rPr>
        <w:t>分包给</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具备承</w:t>
      </w:r>
      <w:r>
        <w:rPr>
          <w:rFonts w:hint="eastAsia" w:ascii="仿宋" w:hAnsi="仿宋" w:eastAsia="仿宋" w:cs="仿宋"/>
          <w:color w:val="auto"/>
          <w:highlight w:val="none"/>
        </w:rPr>
        <w:t>担</w:t>
      </w:r>
      <w:r>
        <w:rPr>
          <w:rFonts w:hint="eastAsia" w:ascii="仿宋" w:hAnsi="仿宋" w:eastAsia="仿宋" w:cs="仿宋"/>
          <w:color w:val="auto"/>
          <w:highlight w:val="none"/>
          <w:u w:val="single"/>
          <w:lang w:val="zh-CN"/>
        </w:rPr>
        <w:t>XX工作内容</w:t>
      </w:r>
      <w:r>
        <w:rPr>
          <w:rFonts w:hint="eastAsia" w:ascii="仿宋" w:hAnsi="仿宋" w:eastAsia="仿宋" w:cs="仿宋"/>
          <w:color w:val="auto"/>
          <w:highlight w:val="none"/>
          <w:lang w:val="zh-CN"/>
        </w:rPr>
        <w:t>相应资质条件且不得再次分包；</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二、分包工作履行期限、地点、方式</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三、质量</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四、价款或者报酬</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五、违约责任</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六、争议解决的办法</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七、其他</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rPr>
        <w:t>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                                           投标人名称(电子签名)：</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分包供应商名称：</w:t>
      </w:r>
    </w:p>
    <w:p>
      <w:pPr>
        <w:keepNext w:val="0"/>
        <w:keepLines w:val="0"/>
        <w:pageBreakBefore w:val="0"/>
        <w:kinsoku/>
        <w:wordWrap/>
        <w:overflowPunct/>
        <w:topLinePunct w:val="0"/>
        <w:bidi w:val="0"/>
        <w:spacing w:after="0" w:line="360" w:lineRule="auto"/>
        <w:ind w:right="0" w:firstLine="480" w:firstLineChars="200"/>
        <w:jc w:val="right"/>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日期：  年  月   日</w:t>
      </w:r>
    </w:p>
    <w:p>
      <w:pPr>
        <w:pStyle w:val="5"/>
        <w:keepNext w:val="0"/>
        <w:keepLines w:val="0"/>
        <w:pageBreakBefore w:val="0"/>
        <w:kinsoku/>
        <w:wordWrap/>
        <w:overflowPunct/>
        <w:topLinePunct w:val="0"/>
        <w:bidi w:val="0"/>
        <w:spacing w:before="0" w:after="0" w:line="360" w:lineRule="auto"/>
        <w:ind w:right="0" w:firstLine="562" w:firstLineChars="200"/>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bidi w:val="0"/>
        <w:spacing w:before="0" w:after="0" w:line="360" w:lineRule="auto"/>
        <w:ind w:right="0" w:firstLine="562" w:firstLineChars="200"/>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bidi w:val="0"/>
        <w:spacing w:before="0" w:after="0" w:line="360" w:lineRule="auto"/>
        <w:ind w:right="0" w:firstLine="562" w:firstLineChars="200"/>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bidi w:val="0"/>
        <w:spacing w:before="0" w:after="0" w:line="360" w:lineRule="auto"/>
        <w:ind w:right="0" w:firstLine="562" w:firstLineChars="200"/>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bidi w:val="0"/>
        <w:spacing w:before="0" w:after="0" w:line="360" w:lineRule="auto"/>
        <w:ind w:right="0"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三、本项目的特定资格要求</w:t>
      </w:r>
    </w:p>
    <w:p>
      <w:pPr>
        <w:keepNext w:val="0"/>
        <w:keepLines w:val="0"/>
        <w:pageBreakBefore w:val="0"/>
        <w:kinsoku/>
        <w:wordWrap/>
        <w:overflowPunct/>
        <w:topLinePunct w:val="0"/>
        <w:bidi w:val="0"/>
        <w:spacing w:after="0" w:line="360" w:lineRule="auto"/>
        <w:ind w:right="0" w:firstLine="480" w:firstLineChars="20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（根据招标公告本项目的特定资格要求提供相应的材料；未要求的，无需提供）</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before="0" w:after="0" w:line="360" w:lineRule="auto"/>
        <w:ind w:right="0"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商务技术文件部分</w:t>
      </w:r>
    </w:p>
    <w:p>
      <w:pPr>
        <w:keepNext w:val="0"/>
        <w:keepLines w:val="0"/>
        <w:pageBreakBefore w:val="0"/>
        <w:kinsoku/>
        <w:wordWrap/>
        <w:overflowPunct/>
        <w:topLinePunct w:val="0"/>
        <w:bidi w:val="0"/>
        <w:spacing w:after="0" w:line="360" w:lineRule="auto"/>
        <w:ind w:right="0" w:firstLine="800" w:firstLineChars="200"/>
        <w:jc w:val="center"/>
        <w:textAlignment w:val="auto"/>
        <w:rPr>
          <w:rFonts w:hint="eastAsia" w:ascii="仿宋" w:hAnsi="仿宋" w:eastAsia="仿宋" w:cs="仿宋"/>
          <w:color w:val="auto"/>
          <w:sz w:val="40"/>
          <w:highlight w:val="none"/>
        </w:rPr>
      </w:pPr>
      <w:r>
        <w:rPr>
          <w:rFonts w:hint="eastAsia" w:ascii="仿宋" w:hAnsi="仿宋" w:eastAsia="仿宋" w:cs="仿宋"/>
          <w:color w:val="auto"/>
          <w:sz w:val="40"/>
          <w:highlight w:val="none"/>
        </w:rPr>
        <w:t>目录</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（1）投标函…………………………………………………………………（页码）</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（2）授权委托书或法定代表人（单位负责人、自然人本人）身份证明（页码）</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（3）联合协议………………………………………………………………（页码）</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（4）分包意向协议…………………………………………………………（页码）</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（5）符合性审查资料………………………………………………………（页码）</w:t>
      </w:r>
    </w:p>
    <w:p>
      <w:pPr>
        <w:keepNext w:val="0"/>
        <w:keepLines w:val="0"/>
        <w:pageBreakBefore w:val="0"/>
        <w:kinsoku/>
        <w:wordWrap/>
        <w:overflowPunct/>
        <w:topLinePunct w:val="0"/>
        <w:bidi w:val="0"/>
        <w:spacing w:after="0" w:line="360" w:lineRule="auto"/>
        <w:ind w:left="480" w:leftChars="200" w:right="0"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6）评标标准相应的商务技术资料………………………………………（页码）（7）投标标的清单…………………………………………………………（页码）（8）商务技术偏离表………………………………………………………（页码）</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w:t>
      </w:r>
      <w:r>
        <w:rPr>
          <w:rFonts w:hint="eastAsia" w:ascii="仿宋" w:hAnsi="仿宋" w:eastAsia="仿宋" w:cs="仿宋"/>
          <w:color w:val="auto"/>
          <w:highlight w:val="none"/>
        </w:rPr>
        <w:t>9</w:t>
      </w:r>
      <w:r>
        <w:rPr>
          <w:rFonts w:hint="eastAsia" w:ascii="仿宋" w:hAnsi="仿宋" w:eastAsia="仿宋" w:cs="仿宋"/>
          <w:color w:val="auto"/>
          <w:highlight w:val="none"/>
          <w:lang w:val="zh-CN"/>
        </w:rPr>
        <w:t>）政府采购供应商廉洁自律承诺书</w:t>
      </w:r>
      <w:r>
        <w:rPr>
          <w:rFonts w:hint="eastAsia" w:ascii="仿宋" w:hAnsi="仿宋" w:eastAsia="仿宋" w:cs="仿宋"/>
          <w:color w:val="auto"/>
          <w:highlight w:val="none"/>
        </w:rPr>
        <w:t>……………………………………（页码）</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before="0" w:after="0" w:line="360" w:lineRule="auto"/>
        <w:ind w:right="0"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一、投标函</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我方参加你方组织的（项目名称）【招标编号：（采购编号）】招标的有关活动，并对此项目进行投标。为此：</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1、我方承诺投标有效期从提交投标文件的截止之日起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天（不少于90天），本投标文件在投标有效期满之前均具有约束力。</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2、我方的投标文件包括以下内容：</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2.1资格文件：</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2.1.1承诺函；</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2.1.2落实政府采购政策需满足的资格要求（如果有）；</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2.1.3本项目的特定资格要求（如果有）。</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商务技术</w:t>
      </w:r>
      <w:r>
        <w:rPr>
          <w:rFonts w:hint="eastAsia" w:ascii="仿宋" w:hAnsi="仿宋" w:eastAsia="仿宋" w:cs="仿宋"/>
          <w:color w:val="auto"/>
          <w:highlight w:val="none"/>
          <w:lang w:val="zh-CN"/>
        </w:rPr>
        <w:t>文件：</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2.2.1投标函；</w:t>
      </w: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2.2.2授权委托书或法定代表人（单位负责人）身份证明；</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2.2.3联合协议（如果有）；</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2.2.4分包意向协议（如果有）；</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2.2.5符合性审查资料；</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2.2.6评标标准相应的商务技术资料；</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2.2.7投标标的清单；</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2.2.8商务技术偏离表；</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9</w:t>
      </w:r>
      <w:r>
        <w:rPr>
          <w:rFonts w:hint="eastAsia" w:ascii="仿宋" w:hAnsi="仿宋" w:eastAsia="仿宋" w:cs="仿宋"/>
          <w:color w:val="auto"/>
          <w:highlight w:val="none"/>
          <w:lang w:val="zh-CN"/>
        </w:rPr>
        <w:t>政府采购供应商廉洁自律承诺书；</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3报价文件</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2.3.1开标一览表（报价表）；</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2.3.2中小企业声明函（如果有）。</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3、我方承诺除商务技术偏离表列出的偏离外，我方响应招标文件的全部要求。</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4、如我方中标，我方承诺：</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4.1在收到中标通知书后，在中标通知书规定的期限内与你方签订合同；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4.2在签订合同时不向你方提出附加条件；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4.3按照招标文件要求提交履约保证金；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4.4在合同约定的期限内完成合同规定的全部义务。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5、其他补充说明: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投标人名称（电子签名）：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u w:val="single"/>
        </w:rPr>
      </w:pP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before="0" w:after="0" w:line="360" w:lineRule="auto"/>
        <w:ind w:right="0" w:firstLine="562"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二、授权委托书或法定代表人（单位负责人、自然人本人）身份证明</w:t>
      </w:r>
    </w:p>
    <w:p>
      <w:pPr>
        <w:keepNext w:val="0"/>
        <w:keepLines w:val="0"/>
        <w:pageBreakBefore w:val="0"/>
        <w:kinsoku/>
        <w:wordWrap/>
        <w:overflowPunct/>
        <w:topLinePunct w:val="0"/>
        <w:bidi w:val="0"/>
        <w:snapToGrid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keepNext w:val="0"/>
        <w:keepLines w:val="0"/>
        <w:pageBreakBefore w:val="0"/>
        <w:kinsoku/>
        <w:wordWrap/>
        <w:overflowPunct/>
        <w:topLinePunct w:val="0"/>
        <w:bidi w:val="0"/>
        <w:snapToGrid w:val="0"/>
        <w:spacing w:after="0" w:line="360" w:lineRule="auto"/>
        <w:ind w:right="0" w:firstLine="643" w:firstLineChars="200"/>
        <w:jc w:val="center"/>
        <w:textAlignment w:val="auto"/>
        <w:rPr>
          <w:rFonts w:hint="eastAsia" w:ascii="仿宋" w:hAnsi="仿宋" w:eastAsia="仿宋" w:cs="仿宋"/>
          <w:color w:val="auto"/>
          <w:highlight w:val="none"/>
        </w:rPr>
      </w:pPr>
      <w:r>
        <w:rPr>
          <w:rFonts w:hint="eastAsia" w:ascii="仿宋" w:hAnsi="仿宋" w:eastAsia="仿宋" w:cs="仿宋"/>
          <w:b/>
          <w:color w:val="auto"/>
          <w:sz w:val="32"/>
          <w:szCs w:val="32"/>
          <w:highlight w:val="none"/>
          <w:lang w:val="zh-CN"/>
        </w:rPr>
        <w:t>授权委托书（适用于非联合体投标）</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现</w:t>
      </w:r>
      <w:r>
        <w:rPr>
          <w:rFonts w:hint="eastAsia" w:ascii="仿宋" w:hAnsi="仿宋" w:eastAsia="仿宋" w:cs="仿宋"/>
          <w:color w:val="auto"/>
          <w:highlight w:val="none"/>
          <w:lang w:val="zh-CN"/>
        </w:rPr>
        <w:t>委托</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（姓名）为我方代理人（身份证号码：</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），以我方名义处理</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政府采购投标的一切事项，其法律后果由我方承担。</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lang w:val="zh-CN"/>
        </w:rPr>
        <w:t>自</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日起至</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日止。</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特此告知。</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投标人名称(电子签名)：</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签发日期：  年  月   日</w:t>
      </w:r>
    </w:p>
    <w:p>
      <w:pPr>
        <w:keepNext w:val="0"/>
        <w:keepLines w:val="0"/>
        <w:pageBreakBefore w:val="0"/>
        <w:kinsoku/>
        <w:wordWrap/>
        <w:overflowPunct/>
        <w:topLinePunct w:val="0"/>
        <w:bidi w:val="0"/>
        <w:spacing w:after="0" w:line="360" w:lineRule="auto"/>
        <w:ind w:right="0" w:firstLine="643" w:firstLineChars="20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授权委托书（适用于联合体投标）</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现</w:t>
      </w:r>
      <w:r>
        <w:rPr>
          <w:rFonts w:hint="eastAsia" w:ascii="仿宋" w:hAnsi="仿宋" w:eastAsia="仿宋" w:cs="仿宋"/>
          <w:color w:val="auto"/>
          <w:highlight w:val="none"/>
          <w:lang w:val="zh-CN"/>
        </w:rPr>
        <w:t>委托</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（姓名）为我方代理人（身份证号码：</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），以我方名义处理</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政府采购投标的一切事项，其法律后果由我方承担。</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lang w:val="zh-CN"/>
        </w:rPr>
        <w:t>自</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日起至</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日止。</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特此告知。</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p>
    <w:p>
      <w:pPr>
        <w:keepNext w:val="0"/>
        <w:keepLines w:val="0"/>
        <w:pageBreakBefore w:val="0"/>
        <w:kinsoku/>
        <w:wordWrap/>
        <w:overflowPunct/>
        <w:topLinePunct w:val="0"/>
        <w:bidi w:val="0"/>
        <w:snapToGrid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keepNext w:val="0"/>
        <w:keepLines w:val="0"/>
        <w:pageBreakBefore w:val="0"/>
        <w:kinsoku/>
        <w:wordWrap/>
        <w:overflowPunct/>
        <w:topLinePunct w:val="0"/>
        <w:bidi w:val="0"/>
        <w:snapToGrid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keepNext w:val="0"/>
        <w:keepLines w:val="0"/>
        <w:pageBreakBefore w:val="0"/>
        <w:kinsoku/>
        <w:wordWrap/>
        <w:overflowPunct/>
        <w:topLinePunct w:val="0"/>
        <w:bidi w:val="0"/>
        <w:snapToGrid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keepNext w:val="0"/>
        <w:keepLines w:val="0"/>
        <w:pageBreakBefore w:val="0"/>
        <w:kinsoku/>
        <w:wordWrap/>
        <w:overflowPunct/>
        <w:topLinePunct w:val="0"/>
        <w:bidi w:val="0"/>
        <w:spacing w:after="0" w:line="360" w:lineRule="auto"/>
        <w:ind w:right="0" w:firstLine="643" w:firstLineChars="200"/>
        <w:textAlignment w:val="auto"/>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br w:type="page"/>
      </w:r>
    </w:p>
    <w:p>
      <w:pPr>
        <w:keepNext w:val="0"/>
        <w:keepLines w:val="0"/>
        <w:pageBreakBefore w:val="0"/>
        <w:kinsoku/>
        <w:wordWrap/>
        <w:overflowPunct/>
        <w:topLinePunct w:val="0"/>
        <w:autoSpaceDE w:val="0"/>
        <w:autoSpaceDN w:val="0"/>
        <w:bidi w:val="0"/>
        <w:spacing w:after="0" w:line="360" w:lineRule="auto"/>
        <w:ind w:right="0" w:firstLine="643" w:firstLineChars="200"/>
        <w:jc w:val="center"/>
        <w:textAlignment w:val="auto"/>
        <w:rPr>
          <w:rFonts w:hint="eastAsia" w:ascii="仿宋" w:hAnsi="仿宋" w:eastAsia="仿宋" w:cs="仿宋"/>
          <w:b/>
          <w:color w:val="auto"/>
          <w:highlight w:val="none"/>
        </w:rPr>
      </w:pPr>
      <w:r>
        <w:rPr>
          <w:rFonts w:hint="eastAsia" w:ascii="仿宋" w:hAnsi="仿宋" w:eastAsia="仿宋" w:cs="仿宋"/>
          <w:b/>
          <w:color w:val="auto"/>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70"/>
        <w:keepNext w:val="0"/>
        <w:keepLines w:val="0"/>
        <w:pageBreakBefore w:val="0"/>
        <w:kinsoku/>
        <w:wordWrap/>
        <w:overflowPunct/>
        <w:topLinePunct w:val="0"/>
        <w:bidi w:val="0"/>
        <w:spacing w:after="0" w:line="360" w:lineRule="auto"/>
        <w:ind w:right="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0"/>
              <w:keepNext w:val="0"/>
              <w:keepLines w:val="0"/>
              <w:pageBreakBefore w:val="0"/>
              <w:kinsoku/>
              <w:wordWrap/>
              <w:overflowPunct/>
              <w:topLinePunct w:val="0"/>
              <w:bidi w:val="0"/>
              <w:adjustRightInd w:val="0"/>
              <w:spacing w:after="0" w:line="360" w:lineRule="auto"/>
              <w:ind w:righ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70"/>
              <w:keepNext w:val="0"/>
              <w:keepLines w:val="0"/>
              <w:pageBreakBefore w:val="0"/>
              <w:kinsoku/>
              <w:wordWrap/>
              <w:overflowPunct/>
              <w:topLinePunct w:val="0"/>
              <w:bidi w:val="0"/>
              <w:adjustRightInd w:val="0"/>
              <w:spacing w:after="0" w:line="360" w:lineRule="auto"/>
              <w:ind w:right="0" w:firstLine="480" w:firstLineChars="200"/>
              <w:textAlignment w:val="auto"/>
              <w:rPr>
                <w:rFonts w:hint="eastAsia" w:ascii="仿宋" w:hAnsi="仿宋" w:eastAsia="仿宋" w:cs="仿宋"/>
                <w:bCs/>
                <w:color w:val="auto"/>
                <w:sz w:val="24"/>
                <w:highlight w:val="none"/>
              </w:rPr>
            </w:pPr>
          </w:p>
        </w:tc>
      </w:tr>
    </w:tbl>
    <w:p>
      <w:pPr>
        <w:keepNext w:val="0"/>
        <w:keepLines w:val="0"/>
        <w:pageBreakBefore w:val="0"/>
        <w:kinsoku/>
        <w:wordWrap/>
        <w:overflowPunct/>
        <w:topLinePunct w:val="0"/>
        <w:bidi w:val="0"/>
        <w:snapToGrid w:val="0"/>
        <w:spacing w:after="0" w:line="360" w:lineRule="auto"/>
        <w:ind w:right="0" w:firstLine="480" w:firstLineChars="200"/>
        <w:jc w:val="center"/>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napToGrid w:val="0"/>
        <w:spacing w:after="0" w:line="360" w:lineRule="auto"/>
        <w:ind w:right="0" w:firstLine="480" w:firstLineChars="200"/>
        <w:jc w:val="center"/>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投标人名称(电子签名)：                              </w:t>
      </w:r>
    </w:p>
    <w:p>
      <w:pPr>
        <w:keepNext w:val="0"/>
        <w:keepLines w:val="0"/>
        <w:pageBreakBefore w:val="0"/>
        <w:kinsoku/>
        <w:wordWrap/>
        <w:overflowPunct/>
        <w:topLinePunct w:val="0"/>
        <w:bidi w:val="0"/>
        <w:spacing w:after="0" w:line="360" w:lineRule="auto"/>
        <w:ind w:right="0" w:firstLine="480" w:firstLineChars="200"/>
        <w:jc w:val="center"/>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pPr>
        <w:pStyle w:val="5"/>
        <w:keepNext w:val="0"/>
        <w:keepLines w:val="0"/>
        <w:pageBreakBefore w:val="0"/>
        <w:kinsoku/>
        <w:wordWrap/>
        <w:overflowPunct/>
        <w:topLinePunct w:val="0"/>
        <w:bidi w:val="0"/>
        <w:spacing w:before="0" w:after="0" w:line="360" w:lineRule="auto"/>
        <w:ind w:right="0" w:firstLine="562"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rPr>
        <w:t>三、</w:t>
      </w:r>
      <w:r>
        <w:rPr>
          <w:rFonts w:hint="eastAsia" w:ascii="仿宋" w:hAnsi="仿宋" w:eastAsia="仿宋" w:cs="仿宋"/>
          <w:color w:val="auto"/>
          <w:highlight w:val="none"/>
          <w:lang w:val="zh-CN"/>
        </w:rPr>
        <w:t>联合协议</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（以联合体形式投标的，提供联合协议；本项目不接受联合体投标或者投标人不以联合体形式投标的，则不需要提供）</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（联合体所有成员名称）</w:t>
      </w:r>
      <w:r>
        <w:rPr>
          <w:rFonts w:hint="eastAsia" w:ascii="仿宋" w:hAnsi="仿宋" w:eastAsia="仿宋" w:cs="仿宋"/>
          <w:color w:val="auto"/>
          <w:highlight w:val="none"/>
        </w:rPr>
        <w:t>自愿</w:t>
      </w:r>
      <w:r>
        <w:rPr>
          <w:rFonts w:hint="eastAsia" w:ascii="仿宋" w:hAnsi="仿宋" w:eastAsia="仿宋" w:cs="仿宋"/>
          <w:color w:val="auto"/>
          <w:highlight w:val="none"/>
          <w:lang w:val="zh-CN"/>
        </w:rPr>
        <w:t>组成一个联合体，以一个投标人的身份</w:t>
      </w:r>
      <w:r>
        <w:rPr>
          <w:rFonts w:hint="eastAsia" w:ascii="仿宋" w:hAnsi="仿宋" w:eastAsia="仿宋" w:cs="仿宋"/>
          <w:color w:val="auto"/>
          <w:highlight w:val="none"/>
        </w:rPr>
        <w:t>参加（项目名称）【招标编号：（采购编号）】</w:t>
      </w:r>
      <w:r>
        <w:rPr>
          <w:rFonts w:hint="eastAsia" w:ascii="仿宋" w:hAnsi="仿宋" w:eastAsia="仿宋" w:cs="仿宋"/>
          <w:color w:val="auto"/>
          <w:highlight w:val="none"/>
          <w:lang w:val="zh-CN"/>
        </w:rPr>
        <w:t xml:space="preserve">投标。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一、各方一致决定，</w:t>
      </w:r>
      <w:r>
        <w:rPr>
          <w:rFonts w:hint="eastAsia" w:ascii="仿宋" w:hAnsi="仿宋" w:eastAsia="仿宋" w:cs="仿宋"/>
          <w:color w:val="auto"/>
          <w:highlight w:val="none"/>
          <w:u w:val="single"/>
        </w:rPr>
        <w:t>（某联合体成员名称）</w:t>
      </w:r>
      <w:r>
        <w:rPr>
          <w:rFonts w:hint="eastAsia" w:ascii="仿宋" w:hAnsi="仿宋" w:eastAsia="仿宋" w:cs="仿宋"/>
          <w:color w:val="auto"/>
          <w:highlight w:val="none"/>
        </w:rPr>
        <w:t>为联合体</w:t>
      </w:r>
      <w:r>
        <w:rPr>
          <w:rFonts w:hint="eastAsia" w:ascii="仿宋" w:hAnsi="仿宋" w:eastAsia="仿宋" w:cs="仿宋"/>
          <w:color w:val="auto"/>
          <w:highlight w:val="none"/>
          <w:lang w:val="zh-CN"/>
        </w:rPr>
        <w:t>牵头人</w:t>
      </w:r>
      <w:r>
        <w:rPr>
          <w:rFonts w:hint="eastAsia" w:ascii="仿宋" w:hAnsi="仿宋" w:eastAsia="仿宋" w:cs="仿宋"/>
          <w:color w:val="auto"/>
          <w:highlight w:val="none"/>
        </w:rPr>
        <w:t>，代表所有联合体成员负责投标和合同实施阶段的主办、协调工作</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w:t>
      </w:r>
      <w:r>
        <w:rPr>
          <w:rFonts w:hint="eastAsia" w:ascii="仿宋" w:hAnsi="仿宋" w:eastAsia="仿宋" w:cs="仿宋"/>
          <w:color w:val="auto"/>
          <w:highlight w:val="none"/>
        </w:rPr>
        <w:t>所有联合体成员各方签署授权书，授权书载明的</w:t>
      </w:r>
      <w:r>
        <w:rPr>
          <w:rFonts w:hint="eastAsia" w:ascii="仿宋" w:hAnsi="仿宋" w:eastAsia="仿宋" w:cs="仿宋"/>
          <w:color w:val="auto"/>
          <w:highlight w:val="none"/>
          <w:lang w:val="zh-CN"/>
        </w:rPr>
        <w:t>授权代表根据招标文件规定及投标内容而对采购人、采购机构所作的任何合法承诺，包括书面澄清及相应等均对联合投标各方产生约束力。</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三、本次联合投标中，分工如下：</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rPr>
        <w:t>提供的全部货物由小微企业制造，其合同份额占到合同总金额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%以上；</w:t>
      </w:r>
      <w:r>
        <w:rPr>
          <w:rFonts w:hint="eastAsia" w:ascii="仿宋" w:hAnsi="仿宋" w:eastAsia="仿宋" w:cs="仿宋"/>
          <w:color w:val="auto"/>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五、如果中标，</w:t>
      </w:r>
      <w:r>
        <w:rPr>
          <w:rFonts w:hint="eastAsia" w:ascii="仿宋" w:hAnsi="仿宋" w:eastAsia="仿宋" w:cs="仿宋"/>
          <w:color w:val="auto"/>
          <w:highlight w:val="none"/>
        </w:rPr>
        <w:t>联合体各成员方共同与采购人签订合同，并就采购合同约定的事项对采购人承担连带责任。</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六、有关本次联合投标的其他事宜：</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3、本协议提交采购人、采购机构后，联合体各方不得以任何形式对上述内容进行修改或撤销。</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before="0" w:after="0" w:line="360" w:lineRule="auto"/>
        <w:ind w:right="0"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四、分包意向协议</w:t>
      </w:r>
    </w:p>
    <w:p>
      <w:pPr>
        <w:keepNext w:val="0"/>
        <w:keepLines w:val="0"/>
        <w:pageBreakBefore w:val="0"/>
        <w:kinsoku/>
        <w:wordWrap/>
        <w:overflowPunct/>
        <w:topLinePunct w:val="0"/>
        <w:bidi w:val="0"/>
        <w:spacing w:after="0" w:line="360" w:lineRule="auto"/>
        <w:ind w:righ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（中标后以分包方式履行合同的，提供分包意向协议；采购人不同意分包或者投标人中标后不以分包方式履行合同的，则不需要提供。）</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若成为</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的中标供应商，将依法采取分包方式履行合同。</w:t>
      </w: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rPr>
        <w:t>与</w:t>
      </w:r>
      <w:r>
        <w:rPr>
          <w:rFonts w:hint="eastAsia" w:ascii="仿宋" w:hAnsi="仿宋" w:eastAsia="仿宋" w:cs="仿宋"/>
          <w:color w:val="auto"/>
          <w:highlight w:val="none"/>
          <w:u w:val="single"/>
        </w:rPr>
        <w:t>（所有分包供应商名称）</w:t>
      </w:r>
      <w:r>
        <w:rPr>
          <w:rFonts w:hint="eastAsia" w:ascii="仿宋" w:hAnsi="仿宋" w:eastAsia="仿宋" w:cs="仿宋"/>
          <w:color w:val="auto"/>
          <w:highlight w:val="none"/>
        </w:rPr>
        <w:t>达成分包意向协议</w:t>
      </w: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一、分包标的及数量</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highlight w:val="none"/>
        </w:rPr>
        <w:t>分包给</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具备承</w:t>
      </w:r>
      <w:r>
        <w:rPr>
          <w:rFonts w:hint="eastAsia" w:ascii="仿宋" w:hAnsi="仿宋" w:eastAsia="仿宋" w:cs="仿宋"/>
          <w:color w:val="auto"/>
          <w:highlight w:val="none"/>
        </w:rPr>
        <w:t>担</w:t>
      </w:r>
      <w:r>
        <w:rPr>
          <w:rFonts w:hint="eastAsia" w:ascii="仿宋" w:hAnsi="仿宋" w:eastAsia="仿宋" w:cs="仿宋"/>
          <w:color w:val="auto"/>
          <w:highlight w:val="none"/>
          <w:u w:val="single"/>
          <w:lang w:val="zh-CN"/>
        </w:rPr>
        <w:t>XX工作内容</w:t>
      </w:r>
      <w:r>
        <w:rPr>
          <w:rFonts w:hint="eastAsia" w:ascii="仿宋" w:hAnsi="仿宋" w:eastAsia="仿宋" w:cs="仿宋"/>
          <w:color w:val="auto"/>
          <w:highlight w:val="none"/>
          <w:lang w:val="zh-CN"/>
        </w:rPr>
        <w:t>相应资质条件且不得再次分包；</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二、分包工作履行期限、地点、方式</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三、质量</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四、价款或者报酬</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五、违约责任</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六、争议解决的办法</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七、其他</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（分包供应商名称）提供的货物全部由小微企业制造，</w:t>
      </w:r>
      <w:r>
        <w:rPr>
          <w:rFonts w:hint="eastAsia" w:ascii="仿宋" w:hAnsi="仿宋" w:eastAsia="仿宋" w:cs="仿宋"/>
          <w:color w:val="auto"/>
          <w:highlight w:val="none"/>
        </w:rPr>
        <w:t>其合同份额占到合同总金额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%以上。</w:t>
      </w:r>
      <w:r>
        <w:rPr>
          <w:rFonts w:hint="eastAsia" w:ascii="仿宋" w:hAnsi="仿宋" w:eastAsia="仿宋" w:cs="仿宋"/>
          <w:color w:val="auto"/>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r>
        <w:rPr>
          <w:rFonts w:hint="eastAsia" w:cs="仿宋"/>
          <w:color w:val="auto"/>
          <w:highlight w:val="none"/>
          <w:lang w:val="en-US" w:eastAsia="zh-CN"/>
        </w:rPr>
        <w:t xml:space="preserve"> </w:t>
      </w:r>
      <w:r>
        <w:rPr>
          <w:rFonts w:hint="eastAsia" w:ascii="仿宋" w:hAnsi="仿宋" w:eastAsia="仿宋" w:cs="仿宋"/>
          <w:color w:val="auto"/>
          <w:highlight w:val="none"/>
          <w:lang w:val="zh-CN"/>
        </w:rPr>
        <w:t xml:space="preserve"> 投标人名称(电子签名)：</w:t>
      </w:r>
    </w:p>
    <w:p>
      <w:pPr>
        <w:keepNext w:val="0"/>
        <w:keepLines w:val="0"/>
        <w:pageBreakBefore w:val="0"/>
        <w:kinsoku/>
        <w:wordWrap/>
        <w:overflowPunct/>
        <w:topLinePunct w:val="0"/>
        <w:bidi w:val="0"/>
        <w:spacing w:after="0" w:line="360" w:lineRule="auto"/>
        <w:ind w:right="0" w:firstLine="5520" w:firstLineChars="23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分包供应商名称：</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keepNext w:val="0"/>
        <w:keepLines w:val="0"/>
        <w:pageBreakBefore w:val="0"/>
        <w:kinsoku/>
        <w:wordWrap/>
        <w:overflowPunct/>
        <w:topLinePunct w:val="0"/>
        <w:bidi w:val="0"/>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五、符合性审查资料</w:t>
      </w:r>
    </w:p>
    <w:tbl>
      <w:tblPr>
        <w:tblStyle w:val="2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4140"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2410"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需要提供的符合性审查资料</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投标文件中的</w:t>
            </w: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140" w:type="dxa"/>
          </w:tcPr>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投标文件按照招标文件要求签署、盖章。</w:t>
            </w:r>
          </w:p>
        </w:tc>
        <w:tc>
          <w:tcPr>
            <w:tcW w:w="2410" w:type="dxa"/>
            <w:vAlign w:val="center"/>
          </w:tcPr>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需要使用电子签名或者签字盖章的投标文件的组成部分</w:t>
            </w:r>
          </w:p>
        </w:tc>
        <w:tc>
          <w:tcPr>
            <w:tcW w:w="1701" w:type="dxa"/>
          </w:tcPr>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p>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见投标文件</w:t>
            </w:r>
          </w:p>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140" w:type="dxa"/>
          </w:tcPr>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节能产品认证证书（本项目拟采购的产品不属于政府强制采购的节能产品品目清单范围的，无需提供）</w:t>
            </w:r>
          </w:p>
        </w:tc>
        <w:tc>
          <w:tcPr>
            <w:tcW w:w="1701" w:type="dxa"/>
          </w:tcPr>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p>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p>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见投标文件</w:t>
            </w:r>
          </w:p>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4140" w:type="dxa"/>
          </w:tcPr>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投标文件中承诺的投标有效期不少于招标文件中载明的投标有效期。</w:t>
            </w:r>
          </w:p>
        </w:tc>
        <w:tc>
          <w:tcPr>
            <w:tcW w:w="2410" w:type="dxa"/>
            <w:vAlign w:val="center"/>
          </w:tcPr>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投标函</w:t>
            </w:r>
          </w:p>
        </w:tc>
        <w:tc>
          <w:tcPr>
            <w:tcW w:w="1701" w:type="dxa"/>
          </w:tcPr>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4140" w:type="dxa"/>
          </w:tcPr>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投标文件满足招标文件的其它实质性要求。</w:t>
            </w:r>
          </w:p>
        </w:tc>
        <w:tc>
          <w:tcPr>
            <w:tcW w:w="2410" w:type="dxa"/>
            <w:vAlign w:val="center"/>
          </w:tcPr>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招标文件其它实质性要求相应的材料（“▲” 系指实质性要求条款，招标文件无其它实质性要求的，无需提供）</w:t>
            </w:r>
          </w:p>
        </w:tc>
        <w:tc>
          <w:tcPr>
            <w:tcW w:w="1701" w:type="dxa"/>
          </w:tcPr>
          <w:p>
            <w:pPr>
              <w:keepNext w:val="0"/>
              <w:keepLines w:val="0"/>
              <w:pageBreakBefore w:val="0"/>
              <w:widowControl/>
              <w:kinsoku/>
              <w:wordWrap/>
              <w:overflowPunct/>
              <w:topLinePunct w:val="0"/>
              <w:autoSpaceDE/>
              <w:autoSpaceDN/>
              <w:bidi w:val="0"/>
              <w:adjustRightIn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bl>
    <w:p>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rPr>
          <w:rFonts w:hint="eastAsia" w:ascii="仿宋" w:hAnsi="仿宋" w:eastAsia="仿宋" w:cs="仿宋"/>
          <w:color w:val="auto"/>
          <w:highlight w:val="none"/>
        </w:rPr>
      </w:pPr>
      <w:r>
        <w:rPr>
          <w:rFonts w:hint="eastAsia" w:ascii="仿宋" w:hAnsi="仿宋" w:eastAsia="仿宋" w:cs="仿宋"/>
          <w:color w:val="auto"/>
          <w:highlight w:val="none"/>
        </w:rPr>
        <w:t>六、评标标准相应的商务技术资料</w:t>
      </w:r>
    </w:p>
    <w:p>
      <w:pPr>
        <w:snapToGrid w:val="0"/>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（按招标文件第四部分评标办法前附表中“投标文件中评标标准相应的商务技术资料目录”提供资料。）</w:t>
      </w:r>
    </w:p>
    <w:p>
      <w:pPr>
        <w:spacing w:line="276"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5"/>
        <w:rPr>
          <w:rFonts w:hint="eastAsia" w:ascii="仿宋" w:hAnsi="仿宋" w:eastAsia="仿宋" w:cs="仿宋"/>
          <w:color w:val="auto"/>
          <w:highlight w:val="none"/>
        </w:rPr>
      </w:pPr>
      <w:r>
        <w:rPr>
          <w:rFonts w:hint="eastAsia" w:ascii="仿宋" w:hAnsi="仿宋" w:eastAsia="仿宋" w:cs="仿宋"/>
          <w:color w:val="auto"/>
          <w:highlight w:val="none"/>
        </w:rPr>
        <w:t>七、投标标的清单</w:t>
      </w:r>
    </w:p>
    <w:tbl>
      <w:tblPr>
        <w:tblStyle w:val="22"/>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r>
    </w:tbl>
    <w:p>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八、商务技术偏离表</w:t>
      </w:r>
    </w:p>
    <w:tbl>
      <w:tblPr>
        <w:tblStyle w:val="23"/>
        <w:tblW w:w="90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3481"/>
        <w:gridCol w:w="3546"/>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spacing w:after="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481" w:type="dxa"/>
          </w:tcPr>
          <w:p>
            <w:pPr>
              <w:spacing w:after="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招标文件章节及具体内容</w:t>
            </w:r>
          </w:p>
        </w:tc>
        <w:tc>
          <w:tcPr>
            <w:tcW w:w="3546" w:type="dxa"/>
          </w:tcPr>
          <w:p>
            <w:pPr>
              <w:spacing w:after="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投标文件章节及具体内容</w:t>
            </w:r>
          </w:p>
        </w:tc>
        <w:tc>
          <w:tcPr>
            <w:tcW w:w="1217" w:type="dxa"/>
          </w:tcPr>
          <w:p>
            <w:pPr>
              <w:spacing w:after="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481" w:type="dxa"/>
          </w:tcPr>
          <w:p>
            <w:pPr>
              <w:spacing w:after="0"/>
              <w:jc w:val="center"/>
              <w:rPr>
                <w:rFonts w:hint="eastAsia" w:ascii="仿宋" w:hAnsi="仿宋" w:eastAsia="仿宋" w:cs="仿宋"/>
                <w:b/>
                <w:color w:val="auto"/>
                <w:sz w:val="32"/>
                <w:szCs w:val="32"/>
                <w:highlight w:val="none"/>
              </w:rPr>
            </w:pPr>
          </w:p>
        </w:tc>
        <w:tc>
          <w:tcPr>
            <w:tcW w:w="3546" w:type="dxa"/>
          </w:tcPr>
          <w:p>
            <w:pPr>
              <w:spacing w:after="0"/>
              <w:jc w:val="center"/>
              <w:rPr>
                <w:rFonts w:hint="eastAsia" w:ascii="仿宋" w:hAnsi="仿宋" w:eastAsia="仿宋" w:cs="仿宋"/>
                <w:b/>
                <w:color w:val="auto"/>
                <w:sz w:val="32"/>
                <w:szCs w:val="32"/>
                <w:highlight w:val="none"/>
              </w:rPr>
            </w:pPr>
          </w:p>
        </w:tc>
        <w:tc>
          <w:tcPr>
            <w:tcW w:w="1217" w:type="dxa"/>
          </w:tcPr>
          <w:p>
            <w:pPr>
              <w:spacing w:after="0"/>
              <w:jc w:val="center"/>
              <w:rPr>
                <w:rFonts w:hint="eastAsia" w:ascii="仿宋" w:hAnsi="仿宋" w:eastAsia="仿宋" w:cs="仿宋"/>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481" w:type="dxa"/>
          </w:tcPr>
          <w:p>
            <w:pPr>
              <w:spacing w:after="0"/>
              <w:jc w:val="center"/>
              <w:rPr>
                <w:rFonts w:hint="eastAsia" w:ascii="仿宋" w:hAnsi="仿宋" w:eastAsia="仿宋" w:cs="仿宋"/>
                <w:b/>
                <w:color w:val="auto"/>
                <w:sz w:val="32"/>
                <w:szCs w:val="32"/>
                <w:highlight w:val="none"/>
              </w:rPr>
            </w:pPr>
          </w:p>
        </w:tc>
        <w:tc>
          <w:tcPr>
            <w:tcW w:w="3546" w:type="dxa"/>
          </w:tcPr>
          <w:p>
            <w:pPr>
              <w:spacing w:after="0"/>
              <w:jc w:val="center"/>
              <w:rPr>
                <w:rFonts w:hint="eastAsia" w:ascii="仿宋" w:hAnsi="仿宋" w:eastAsia="仿宋" w:cs="仿宋"/>
                <w:b/>
                <w:color w:val="auto"/>
                <w:sz w:val="32"/>
                <w:szCs w:val="32"/>
                <w:highlight w:val="none"/>
              </w:rPr>
            </w:pPr>
          </w:p>
        </w:tc>
        <w:tc>
          <w:tcPr>
            <w:tcW w:w="1217" w:type="dxa"/>
          </w:tcPr>
          <w:p>
            <w:pPr>
              <w:spacing w:after="0"/>
              <w:jc w:val="center"/>
              <w:rPr>
                <w:rFonts w:hint="eastAsia" w:ascii="仿宋" w:hAnsi="仿宋" w:eastAsia="仿宋" w:cs="仿宋"/>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3481" w:type="dxa"/>
          </w:tcPr>
          <w:p>
            <w:pPr>
              <w:spacing w:after="0"/>
              <w:jc w:val="center"/>
              <w:rPr>
                <w:rFonts w:hint="eastAsia" w:ascii="仿宋" w:hAnsi="仿宋" w:eastAsia="仿宋" w:cs="仿宋"/>
                <w:b/>
                <w:color w:val="auto"/>
                <w:sz w:val="32"/>
                <w:szCs w:val="32"/>
                <w:highlight w:val="none"/>
              </w:rPr>
            </w:pPr>
          </w:p>
        </w:tc>
        <w:tc>
          <w:tcPr>
            <w:tcW w:w="3546" w:type="dxa"/>
          </w:tcPr>
          <w:p>
            <w:pPr>
              <w:spacing w:after="0"/>
              <w:jc w:val="center"/>
              <w:rPr>
                <w:rFonts w:hint="eastAsia" w:ascii="仿宋" w:hAnsi="仿宋" w:eastAsia="仿宋" w:cs="仿宋"/>
                <w:b/>
                <w:color w:val="auto"/>
                <w:sz w:val="32"/>
                <w:szCs w:val="32"/>
                <w:highlight w:val="none"/>
              </w:rPr>
            </w:pPr>
          </w:p>
        </w:tc>
        <w:tc>
          <w:tcPr>
            <w:tcW w:w="1217" w:type="dxa"/>
          </w:tcPr>
          <w:p>
            <w:pPr>
              <w:spacing w:after="0"/>
              <w:jc w:val="center"/>
              <w:rPr>
                <w:rFonts w:hint="eastAsia" w:ascii="仿宋" w:hAnsi="仿宋" w:eastAsia="仿宋" w:cs="仿宋"/>
                <w:b/>
                <w:color w:val="auto"/>
                <w:sz w:val="32"/>
                <w:szCs w:val="32"/>
                <w:highlight w:val="none"/>
              </w:rPr>
            </w:pPr>
          </w:p>
        </w:tc>
      </w:tr>
    </w:tbl>
    <w:p>
      <w:pPr>
        <w:rPr>
          <w:rFonts w:hint="eastAsia" w:ascii="仿宋" w:hAnsi="仿宋" w:eastAsia="仿宋" w:cs="仿宋"/>
          <w:color w:val="auto"/>
          <w:highlight w:val="none"/>
        </w:rPr>
      </w:pPr>
      <w:r>
        <w:rPr>
          <w:rFonts w:hint="eastAsia" w:ascii="仿宋" w:hAnsi="仿宋" w:eastAsia="仿宋" w:cs="仿宋"/>
          <w:color w:val="auto"/>
          <w:highlight w:val="none"/>
        </w:rPr>
        <w:t>投标人保证：除商务技术偏离表列出的偏离外，投标人响应招标文件的全部要求</w:t>
      </w:r>
    </w:p>
    <w:p>
      <w:pPr>
        <w:spacing w:line="360" w:lineRule="auto"/>
        <w:ind w:right="42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spacing w:line="276"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5"/>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rPr>
      </w:pPr>
      <w:r>
        <w:rPr>
          <w:rFonts w:hint="eastAsia" w:ascii="仿宋" w:hAnsi="仿宋" w:eastAsia="仿宋" w:cs="仿宋"/>
          <w:bCs/>
          <w:color w:val="auto"/>
          <w:highlight w:val="none"/>
        </w:rPr>
        <w:t>九</w:t>
      </w:r>
      <w:r>
        <w:rPr>
          <w:rFonts w:hint="eastAsia" w:ascii="仿宋" w:hAnsi="仿宋" w:eastAsia="仿宋" w:cs="仿宋"/>
          <w:color w:val="auto"/>
          <w:highlight w:val="none"/>
        </w:rPr>
        <w:t>、</w:t>
      </w:r>
      <w:r>
        <w:rPr>
          <w:rFonts w:hint="eastAsia" w:ascii="仿宋" w:hAnsi="仿宋" w:eastAsia="仿宋" w:cs="仿宋"/>
          <w:color w:val="auto"/>
          <w:highlight w:val="none"/>
          <w:lang w:val="zh-CN"/>
        </w:rPr>
        <w:t>政府采购供应商廉洁自律承诺书</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项目招标要求参加投标。在这次投标过程中和中标后，我们将严格遵守国家法律法规要求，并郑重承诺：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一、不向项目有关人员及部门赠送礼金礼物、有价证券、回扣以及中介费、介绍费、咨询费等好处费；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二、不为项目有关人员及部门报销应由你方单位或个人支付的费用；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三、不向项目有关人员及部门提供有可能影响公正的宴请和健身娱乐等活动；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四、不为项目有关人员及部门出国（境）、旅游等提供方便；</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五、不为项目有关人员个人装修住房、婚丧嫁娶、配偶子女工作安排等提供</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好处；</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六、严格遵守《中华人民共和国政府采购法》《中华人民共和国招标投标</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法》《中华人民共和国民法典》等法律法规，诚实守信，合法经营，坚决抵制各种违法违纪行为。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如违反上述承诺，你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有权立即取消我单位投标、中标或在建项目的建设资格，有权拒绝我单位在一定时期内进入你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进行项目建设或其他经营活动，并通报市财政局。由此引起的相应损失均由我单位承担。</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val="zh-CN"/>
        </w:rPr>
      </w:pP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val="zh-CN"/>
        </w:rPr>
      </w:pP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right"/>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投标人名称（</w:t>
      </w:r>
      <w:r>
        <w:rPr>
          <w:rFonts w:hint="eastAsia" w:ascii="仿宋" w:hAnsi="仿宋" w:eastAsia="仿宋" w:cs="仿宋"/>
          <w:color w:val="auto"/>
          <w:highlight w:val="none"/>
        </w:rPr>
        <w:t>电子签名</w:t>
      </w:r>
      <w:r>
        <w:rPr>
          <w:rFonts w:hint="eastAsia" w:ascii="仿宋" w:hAnsi="仿宋" w:eastAsia="仿宋" w:cs="仿宋"/>
          <w:color w:val="auto"/>
          <w:highlight w:val="none"/>
          <w:lang w:val="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right"/>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年   月   日</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bCs/>
          <w:color w:val="auto"/>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报价文件部分</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sz w:val="40"/>
          <w:highlight w:val="none"/>
        </w:rPr>
      </w:pPr>
      <w:r>
        <w:rPr>
          <w:rFonts w:hint="eastAsia" w:ascii="仿宋" w:hAnsi="仿宋" w:eastAsia="仿宋" w:cs="仿宋"/>
          <w:color w:val="auto"/>
          <w:sz w:val="40"/>
          <w:highlight w:val="none"/>
        </w:rPr>
        <w:t>目录</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（1）开标一览表（报价表）…………………………………………………（页码）</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（2）中小企业声明函…………………………………………………………（页码）</w:t>
      </w:r>
    </w:p>
    <w:p>
      <w:pPr>
        <w:snapToGrid w:val="0"/>
        <w:spacing w:line="360" w:lineRule="auto"/>
        <w:ind w:right="480"/>
        <w:jc w:val="center"/>
        <w:rPr>
          <w:rFonts w:hint="eastAsia" w:ascii="仿宋" w:hAnsi="仿宋" w:eastAsia="仿宋" w:cs="仿宋"/>
          <w:b/>
          <w:color w:val="auto"/>
          <w:sz w:val="32"/>
          <w:szCs w:val="32"/>
          <w:highlight w:val="none"/>
        </w:rPr>
      </w:pPr>
    </w:p>
    <w:p>
      <w:pPr>
        <w:pStyle w:val="7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6" w:type="default"/>
          <w:pgSz w:w="11906" w:h="16838"/>
          <w:pgMar w:top="1440" w:right="17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5"/>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一、开标一览表（报价表）</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highlight w:val="none"/>
        </w:rPr>
        <w:t>（项目名称）</w:t>
      </w:r>
      <w:r>
        <w:rPr>
          <w:rFonts w:hint="eastAsia" w:ascii="仿宋" w:hAnsi="仿宋" w:eastAsia="仿宋" w:cs="仿宋"/>
          <w:color w:val="auto"/>
          <w:highlight w:val="none"/>
          <w:lang w:val="zh-CN"/>
        </w:rPr>
        <w:t>【招标编号：</w:t>
      </w:r>
      <w:r>
        <w:rPr>
          <w:rFonts w:hint="eastAsia" w:ascii="仿宋" w:hAnsi="仿宋" w:eastAsia="仿宋" w:cs="仿宋"/>
          <w:color w:val="auto"/>
          <w:highlight w:val="none"/>
        </w:rPr>
        <w:t>（采购编号）】的实施</w:t>
      </w:r>
      <w:r>
        <w:rPr>
          <w:rFonts w:hint="eastAsia" w:ascii="仿宋" w:hAnsi="仿宋" w:eastAsia="仿宋" w:cs="仿宋"/>
          <w:color w:val="auto"/>
          <w:highlight w:val="none"/>
          <w:lang w:val="zh-CN"/>
        </w:rPr>
        <w:t>。</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开标一览表（报价表）(单位均为人民币元)</w:t>
      </w:r>
    </w:p>
    <w:tbl>
      <w:tblPr>
        <w:tblStyle w:val="2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1417" w:type="dxa"/>
            <w:vAlign w:val="center"/>
          </w:tcPr>
          <w:p>
            <w:pPr>
              <w:rPr>
                <w:rFonts w:hint="eastAsia" w:ascii="仿宋" w:hAnsi="仿宋" w:eastAsia="仿宋" w:cs="仿宋"/>
                <w:b/>
                <w:color w:val="auto"/>
                <w:highlight w:val="none"/>
              </w:rPr>
            </w:pPr>
            <w:r>
              <w:rPr>
                <w:rFonts w:hint="eastAsia" w:ascii="仿宋" w:hAnsi="仿宋" w:eastAsia="仿宋" w:cs="仿宋"/>
                <w:b/>
                <w:color w:val="auto"/>
                <w:highlight w:val="none"/>
              </w:rPr>
              <w:t>名称</w:t>
            </w:r>
          </w:p>
        </w:tc>
        <w:tc>
          <w:tcPr>
            <w:tcW w:w="1843" w:type="dxa"/>
          </w:tcPr>
          <w:p>
            <w:pPr>
              <w:rPr>
                <w:rFonts w:hint="eastAsia" w:ascii="仿宋" w:hAnsi="仿宋" w:eastAsia="仿宋" w:cs="仿宋"/>
                <w:b/>
                <w:color w:val="auto"/>
                <w:highlight w:val="none"/>
              </w:rPr>
            </w:pPr>
          </w:p>
          <w:p>
            <w:pPr>
              <w:rPr>
                <w:rFonts w:hint="eastAsia" w:ascii="仿宋" w:hAnsi="仿宋" w:eastAsia="仿宋" w:cs="仿宋"/>
                <w:b/>
                <w:color w:val="auto"/>
                <w:highlight w:val="none"/>
              </w:rPr>
            </w:pPr>
            <w:r>
              <w:rPr>
                <w:rFonts w:hint="eastAsia" w:ascii="仿宋" w:hAnsi="仿宋" w:eastAsia="仿宋" w:cs="仿宋"/>
                <w:b/>
                <w:color w:val="auto"/>
                <w:highlight w:val="none"/>
              </w:rPr>
              <w:t>品牌（如果有）</w:t>
            </w:r>
          </w:p>
        </w:tc>
        <w:tc>
          <w:tcPr>
            <w:tcW w:w="3118" w:type="dxa"/>
            <w:vAlign w:val="center"/>
          </w:tcPr>
          <w:p>
            <w:pPr>
              <w:rPr>
                <w:rFonts w:hint="eastAsia" w:ascii="仿宋" w:hAnsi="仿宋" w:eastAsia="仿宋" w:cs="仿宋"/>
                <w:b/>
                <w:color w:val="auto"/>
                <w:highlight w:val="none"/>
              </w:rPr>
            </w:pPr>
            <w:r>
              <w:rPr>
                <w:rFonts w:hint="eastAsia" w:ascii="仿宋" w:hAnsi="仿宋" w:eastAsia="仿宋" w:cs="仿宋"/>
                <w:b/>
                <w:color w:val="auto"/>
                <w:highlight w:val="none"/>
              </w:rPr>
              <w:t>规格型号（或具体服务）</w:t>
            </w:r>
          </w:p>
        </w:tc>
        <w:tc>
          <w:tcPr>
            <w:tcW w:w="993" w:type="dxa"/>
            <w:vAlign w:val="center"/>
          </w:tcPr>
          <w:p>
            <w:pPr>
              <w:rPr>
                <w:rFonts w:hint="eastAsia" w:ascii="仿宋" w:hAnsi="仿宋" w:eastAsia="仿宋" w:cs="仿宋"/>
                <w:b/>
                <w:color w:val="auto"/>
                <w:highlight w:val="none"/>
              </w:rPr>
            </w:pPr>
            <w:r>
              <w:rPr>
                <w:rFonts w:hint="eastAsia" w:ascii="仿宋" w:hAnsi="仿宋" w:eastAsia="仿宋" w:cs="仿宋"/>
                <w:b/>
                <w:color w:val="auto"/>
                <w:highlight w:val="none"/>
              </w:rPr>
              <w:t>数量</w:t>
            </w:r>
          </w:p>
        </w:tc>
        <w:tc>
          <w:tcPr>
            <w:tcW w:w="1559" w:type="dxa"/>
            <w:vAlign w:val="center"/>
          </w:tcPr>
          <w:p>
            <w:pPr>
              <w:rPr>
                <w:rFonts w:hint="eastAsia" w:ascii="仿宋" w:hAnsi="仿宋" w:eastAsia="仿宋" w:cs="仿宋"/>
                <w:b/>
                <w:color w:val="auto"/>
                <w:highlight w:val="none"/>
              </w:rPr>
            </w:pPr>
            <w:r>
              <w:rPr>
                <w:rFonts w:hint="eastAsia" w:ascii="仿宋" w:hAnsi="仿宋" w:eastAsia="仿宋" w:cs="仿宋"/>
                <w:b/>
                <w:color w:val="auto"/>
                <w:highlight w:val="none"/>
              </w:rPr>
              <w:t>单价</w:t>
            </w:r>
          </w:p>
        </w:tc>
        <w:tc>
          <w:tcPr>
            <w:tcW w:w="1984" w:type="dxa"/>
            <w:vAlign w:val="center"/>
          </w:tcPr>
          <w:p>
            <w:pPr>
              <w:rPr>
                <w:rFonts w:hint="eastAsia" w:ascii="仿宋" w:hAnsi="仿宋" w:eastAsia="仿宋" w:cs="仿宋"/>
                <w:b/>
                <w:color w:val="auto"/>
                <w:highlight w:val="none"/>
              </w:rPr>
            </w:pPr>
            <w:r>
              <w:rPr>
                <w:rFonts w:hint="eastAsia" w:ascii="仿宋" w:hAnsi="仿宋" w:eastAsia="仿宋" w:cs="仿宋"/>
                <w:b/>
                <w:color w:val="auto"/>
                <w:highlight w:val="none"/>
              </w:rPr>
              <w:t>总价</w:t>
            </w:r>
          </w:p>
        </w:tc>
        <w:tc>
          <w:tcPr>
            <w:tcW w:w="3119" w:type="dxa"/>
            <w:vAlign w:val="center"/>
          </w:tcPr>
          <w:p>
            <w:pPr>
              <w:rPr>
                <w:rFonts w:hint="eastAsia" w:ascii="仿宋" w:hAnsi="仿宋" w:eastAsia="仿宋" w:cs="仿宋"/>
                <w:b/>
                <w:color w:val="auto"/>
                <w:highlight w:val="none"/>
              </w:rPr>
            </w:pPr>
          </w:p>
          <w:p>
            <w:pPr>
              <w:rPr>
                <w:rFonts w:hint="eastAsia" w:ascii="仿宋" w:hAnsi="仿宋" w:eastAsia="仿宋" w:cs="仿宋"/>
                <w:b/>
                <w:color w:val="auto"/>
                <w:highlight w:val="none"/>
              </w:rPr>
            </w:pPr>
            <w:r>
              <w:rPr>
                <w:rFonts w:hint="eastAsia" w:ascii="仿宋" w:hAnsi="仿宋" w:eastAsia="仿宋" w:cs="仿宋"/>
                <w:b/>
                <w:color w:val="auto"/>
                <w:highlight w:val="none"/>
              </w:rPr>
              <w:t>质保或服务年限</w:t>
            </w:r>
          </w:p>
          <w:p>
            <w:pPr>
              <w:rPr>
                <w:rFonts w:hint="eastAsia" w:ascii="仿宋" w:hAnsi="仿宋" w:eastAsia="仿宋" w:cs="仿宋"/>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17" w:type="dxa"/>
            <w:vAlign w:val="center"/>
          </w:tcPr>
          <w:p>
            <w:pPr>
              <w:rPr>
                <w:rFonts w:hint="eastAsia" w:ascii="仿宋" w:hAnsi="仿宋" w:eastAsia="仿宋" w:cs="仿宋"/>
                <w:color w:val="auto"/>
                <w:highlight w:val="none"/>
              </w:rPr>
            </w:pPr>
          </w:p>
        </w:tc>
        <w:tc>
          <w:tcPr>
            <w:tcW w:w="1843" w:type="dxa"/>
            <w:vAlign w:val="center"/>
          </w:tcPr>
          <w:p>
            <w:pPr>
              <w:rPr>
                <w:rFonts w:hint="eastAsia" w:ascii="仿宋" w:hAnsi="仿宋" w:eastAsia="仿宋" w:cs="仿宋"/>
                <w:color w:val="auto"/>
                <w:highlight w:val="none"/>
              </w:rPr>
            </w:pPr>
          </w:p>
        </w:tc>
        <w:tc>
          <w:tcPr>
            <w:tcW w:w="3118" w:type="dxa"/>
            <w:vAlign w:val="center"/>
          </w:tcPr>
          <w:p>
            <w:pPr>
              <w:rPr>
                <w:rFonts w:hint="eastAsia" w:ascii="仿宋" w:hAnsi="仿宋" w:eastAsia="仿宋" w:cs="仿宋"/>
                <w:color w:val="auto"/>
                <w:highlight w:val="none"/>
              </w:rPr>
            </w:pPr>
          </w:p>
        </w:tc>
        <w:tc>
          <w:tcPr>
            <w:tcW w:w="993" w:type="dxa"/>
            <w:vAlign w:val="center"/>
          </w:tcPr>
          <w:p>
            <w:pPr>
              <w:rPr>
                <w:rFonts w:hint="eastAsia" w:ascii="仿宋" w:hAnsi="仿宋" w:eastAsia="仿宋" w:cs="仿宋"/>
                <w:color w:val="auto"/>
                <w:highlight w:val="none"/>
              </w:rPr>
            </w:pPr>
          </w:p>
        </w:tc>
        <w:tc>
          <w:tcPr>
            <w:tcW w:w="1559" w:type="dxa"/>
            <w:vAlign w:val="center"/>
          </w:tcPr>
          <w:p>
            <w:pPr>
              <w:rPr>
                <w:rFonts w:hint="eastAsia" w:ascii="仿宋" w:hAnsi="仿宋" w:eastAsia="仿宋" w:cs="仿宋"/>
                <w:color w:val="auto"/>
                <w:highlight w:val="none"/>
              </w:rPr>
            </w:pPr>
          </w:p>
        </w:tc>
        <w:tc>
          <w:tcPr>
            <w:tcW w:w="1984" w:type="dxa"/>
            <w:vAlign w:val="center"/>
          </w:tcPr>
          <w:p>
            <w:pPr>
              <w:rPr>
                <w:rFonts w:hint="eastAsia" w:ascii="仿宋" w:hAnsi="仿宋" w:eastAsia="仿宋" w:cs="仿宋"/>
                <w:color w:val="auto"/>
                <w:highlight w:val="none"/>
              </w:rPr>
            </w:pPr>
          </w:p>
        </w:tc>
        <w:tc>
          <w:tcPr>
            <w:tcW w:w="3119" w:type="dxa"/>
            <w:vAlign w:val="center"/>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17" w:type="dxa"/>
            <w:vAlign w:val="center"/>
          </w:tcPr>
          <w:p>
            <w:pPr>
              <w:rPr>
                <w:rFonts w:hint="eastAsia" w:ascii="仿宋" w:hAnsi="仿宋" w:eastAsia="仿宋" w:cs="仿宋"/>
                <w:color w:val="auto"/>
                <w:highlight w:val="none"/>
              </w:rPr>
            </w:pPr>
          </w:p>
        </w:tc>
        <w:tc>
          <w:tcPr>
            <w:tcW w:w="1843" w:type="dxa"/>
            <w:vAlign w:val="center"/>
          </w:tcPr>
          <w:p>
            <w:pPr>
              <w:rPr>
                <w:rFonts w:hint="eastAsia" w:ascii="仿宋" w:hAnsi="仿宋" w:eastAsia="仿宋" w:cs="仿宋"/>
                <w:color w:val="auto"/>
                <w:highlight w:val="none"/>
              </w:rPr>
            </w:pPr>
          </w:p>
        </w:tc>
        <w:tc>
          <w:tcPr>
            <w:tcW w:w="3118" w:type="dxa"/>
            <w:vAlign w:val="center"/>
          </w:tcPr>
          <w:p>
            <w:pPr>
              <w:rPr>
                <w:rFonts w:hint="eastAsia" w:ascii="仿宋" w:hAnsi="仿宋" w:eastAsia="仿宋" w:cs="仿宋"/>
                <w:color w:val="auto"/>
                <w:highlight w:val="none"/>
              </w:rPr>
            </w:pPr>
          </w:p>
        </w:tc>
        <w:tc>
          <w:tcPr>
            <w:tcW w:w="993" w:type="dxa"/>
            <w:vAlign w:val="center"/>
          </w:tcPr>
          <w:p>
            <w:pPr>
              <w:rPr>
                <w:rFonts w:hint="eastAsia" w:ascii="仿宋" w:hAnsi="仿宋" w:eastAsia="仿宋" w:cs="仿宋"/>
                <w:color w:val="auto"/>
                <w:highlight w:val="none"/>
              </w:rPr>
            </w:pPr>
          </w:p>
        </w:tc>
        <w:tc>
          <w:tcPr>
            <w:tcW w:w="1559" w:type="dxa"/>
            <w:vAlign w:val="center"/>
          </w:tcPr>
          <w:p>
            <w:pPr>
              <w:rPr>
                <w:rFonts w:hint="eastAsia" w:ascii="仿宋" w:hAnsi="仿宋" w:eastAsia="仿宋" w:cs="仿宋"/>
                <w:color w:val="auto"/>
                <w:highlight w:val="none"/>
              </w:rPr>
            </w:pPr>
          </w:p>
        </w:tc>
        <w:tc>
          <w:tcPr>
            <w:tcW w:w="1984" w:type="dxa"/>
            <w:vAlign w:val="center"/>
          </w:tcPr>
          <w:p>
            <w:pPr>
              <w:rPr>
                <w:rFonts w:hint="eastAsia" w:ascii="仿宋" w:hAnsi="仿宋" w:eastAsia="仿宋" w:cs="仿宋"/>
                <w:color w:val="auto"/>
                <w:highlight w:val="none"/>
              </w:rPr>
            </w:pPr>
          </w:p>
        </w:tc>
        <w:tc>
          <w:tcPr>
            <w:tcW w:w="3119" w:type="dxa"/>
            <w:vAlign w:val="center"/>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417" w:type="dxa"/>
            <w:vAlign w:val="center"/>
          </w:tcPr>
          <w:p>
            <w:pPr>
              <w:rPr>
                <w:rFonts w:hint="eastAsia" w:ascii="仿宋" w:hAnsi="仿宋" w:eastAsia="仿宋" w:cs="仿宋"/>
                <w:color w:val="auto"/>
                <w:highlight w:val="none"/>
              </w:rPr>
            </w:pPr>
          </w:p>
        </w:tc>
        <w:tc>
          <w:tcPr>
            <w:tcW w:w="1843" w:type="dxa"/>
            <w:vAlign w:val="center"/>
          </w:tcPr>
          <w:p>
            <w:pPr>
              <w:rPr>
                <w:rFonts w:hint="eastAsia" w:ascii="仿宋" w:hAnsi="仿宋" w:eastAsia="仿宋" w:cs="仿宋"/>
                <w:color w:val="auto"/>
                <w:highlight w:val="none"/>
              </w:rPr>
            </w:pPr>
          </w:p>
        </w:tc>
        <w:tc>
          <w:tcPr>
            <w:tcW w:w="3118" w:type="dxa"/>
            <w:vAlign w:val="center"/>
          </w:tcPr>
          <w:p>
            <w:pPr>
              <w:rPr>
                <w:rFonts w:hint="eastAsia" w:ascii="仿宋" w:hAnsi="仿宋" w:eastAsia="仿宋" w:cs="仿宋"/>
                <w:color w:val="auto"/>
                <w:highlight w:val="none"/>
              </w:rPr>
            </w:pPr>
          </w:p>
        </w:tc>
        <w:tc>
          <w:tcPr>
            <w:tcW w:w="993" w:type="dxa"/>
            <w:vAlign w:val="center"/>
          </w:tcPr>
          <w:p>
            <w:pPr>
              <w:rPr>
                <w:rFonts w:hint="eastAsia" w:ascii="仿宋" w:hAnsi="仿宋" w:eastAsia="仿宋" w:cs="仿宋"/>
                <w:color w:val="auto"/>
                <w:highlight w:val="none"/>
              </w:rPr>
            </w:pPr>
          </w:p>
        </w:tc>
        <w:tc>
          <w:tcPr>
            <w:tcW w:w="1559" w:type="dxa"/>
            <w:vAlign w:val="center"/>
          </w:tcPr>
          <w:p>
            <w:pPr>
              <w:rPr>
                <w:rFonts w:hint="eastAsia" w:ascii="仿宋" w:hAnsi="仿宋" w:eastAsia="仿宋" w:cs="仿宋"/>
                <w:color w:val="auto"/>
                <w:highlight w:val="none"/>
              </w:rPr>
            </w:pPr>
          </w:p>
        </w:tc>
        <w:tc>
          <w:tcPr>
            <w:tcW w:w="1984" w:type="dxa"/>
            <w:vAlign w:val="center"/>
          </w:tcPr>
          <w:p>
            <w:pPr>
              <w:rPr>
                <w:rFonts w:hint="eastAsia" w:ascii="仿宋" w:hAnsi="仿宋" w:eastAsia="仿宋" w:cs="仿宋"/>
                <w:color w:val="auto"/>
                <w:highlight w:val="none"/>
              </w:rPr>
            </w:pPr>
          </w:p>
        </w:tc>
        <w:tc>
          <w:tcPr>
            <w:tcW w:w="3119" w:type="dxa"/>
            <w:vAlign w:val="center"/>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color w:val="auto"/>
                <w:highlight w:val="none"/>
              </w:rPr>
            </w:pPr>
          </w:p>
        </w:tc>
        <w:tc>
          <w:tcPr>
            <w:tcW w:w="1417" w:type="dxa"/>
            <w:vAlign w:val="center"/>
          </w:tcPr>
          <w:p>
            <w:pPr>
              <w:rPr>
                <w:rFonts w:hint="eastAsia" w:ascii="仿宋" w:hAnsi="仿宋" w:eastAsia="仿宋" w:cs="仿宋"/>
                <w:color w:val="auto"/>
                <w:highlight w:val="none"/>
              </w:rPr>
            </w:pPr>
          </w:p>
        </w:tc>
        <w:tc>
          <w:tcPr>
            <w:tcW w:w="1843" w:type="dxa"/>
            <w:vAlign w:val="center"/>
          </w:tcPr>
          <w:p>
            <w:pPr>
              <w:rPr>
                <w:rFonts w:hint="eastAsia" w:ascii="仿宋" w:hAnsi="仿宋" w:eastAsia="仿宋" w:cs="仿宋"/>
                <w:color w:val="auto"/>
                <w:highlight w:val="none"/>
              </w:rPr>
            </w:pPr>
          </w:p>
        </w:tc>
        <w:tc>
          <w:tcPr>
            <w:tcW w:w="3118" w:type="dxa"/>
            <w:vAlign w:val="center"/>
          </w:tcPr>
          <w:p>
            <w:pPr>
              <w:rPr>
                <w:rFonts w:hint="eastAsia" w:ascii="仿宋" w:hAnsi="仿宋" w:eastAsia="仿宋" w:cs="仿宋"/>
                <w:color w:val="auto"/>
                <w:highlight w:val="none"/>
              </w:rPr>
            </w:pPr>
          </w:p>
        </w:tc>
        <w:tc>
          <w:tcPr>
            <w:tcW w:w="993" w:type="dxa"/>
            <w:vAlign w:val="center"/>
          </w:tcPr>
          <w:p>
            <w:pPr>
              <w:rPr>
                <w:rFonts w:hint="eastAsia" w:ascii="仿宋" w:hAnsi="仿宋" w:eastAsia="仿宋" w:cs="仿宋"/>
                <w:color w:val="auto"/>
                <w:highlight w:val="none"/>
              </w:rPr>
            </w:pPr>
          </w:p>
        </w:tc>
        <w:tc>
          <w:tcPr>
            <w:tcW w:w="1559" w:type="dxa"/>
            <w:vAlign w:val="center"/>
          </w:tcPr>
          <w:p>
            <w:pPr>
              <w:rPr>
                <w:rFonts w:hint="eastAsia" w:ascii="仿宋" w:hAnsi="仿宋" w:eastAsia="仿宋" w:cs="仿宋"/>
                <w:color w:val="auto"/>
                <w:highlight w:val="none"/>
              </w:rPr>
            </w:pPr>
          </w:p>
        </w:tc>
        <w:tc>
          <w:tcPr>
            <w:tcW w:w="1984" w:type="dxa"/>
            <w:vAlign w:val="center"/>
          </w:tcPr>
          <w:p>
            <w:pPr>
              <w:rPr>
                <w:rFonts w:hint="eastAsia" w:ascii="仿宋" w:hAnsi="仿宋" w:eastAsia="仿宋" w:cs="仿宋"/>
                <w:color w:val="auto"/>
                <w:highlight w:val="none"/>
              </w:rPr>
            </w:pPr>
          </w:p>
        </w:tc>
        <w:tc>
          <w:tcPr>
            <w:tcW w:w="3119" w:type="dxa"/>
            <w:vAlign w:val="center"/>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color w:val="auto"/>
                <w:highlight w:val="none"/>
              </w:rPr>
            </w:pPr>
          </w:p>
        </w:tc>
        <w:tc>
          <w:tcPr>
            <w:tcW w:w="1417" w:type="dxa"/>
            <w:vAlign w:val="center"/>
          </w:tcPr>
          <w:p>
            <w:pPr>
              <w:rPr>
                <w:rFonts w:hint="eastAsia" w:ascii="仿宋" w:hAnsi="仿宋" w:eastAsia="仿宋" w:cs="仿宋"/>
                <w:color w:val="auto"/>
                <w:highlight w:val="none"/>
              </w:rPr>
            </w:pPr>
          </w:p>
        </w:tc>
        <w:tc>
          <w:tcPr>
            <w:tcW w:w="1843" w:type="dxa"/>
            <w:vAlign w:val="center"/>
          </w:tcPr>
          <w:p>
            <w:pPr>
              <w:rPr>
                <w:rFonts w:hint="eastAsia" w:ascii="仿宋" w:hAnsi="仿宋" w:eastAsia="仿宋" w:cs="仿宋"/>
                <w:color w:val="auto"/>
                <w:highlight w:val="none"/>
              </w:rPr>
            </w:pPr>
          </w:p>
        </w:tc>
        <w:tc>
          <w:tcPr>
            <w:tcW w:w="3118" w:type="dxa"/>
            <w:vAlign w:val="center"/>
          </w:tcPr>
          <w:p>
            <w:pPr>
              <w:rPr>
                <w:rFonts w:hint="eastAsia" w:ascii="仿宋" w:hAnsi="仿宋" w:eastAsia="仿宋" w:cs="仿宋"/>
                <w:color w:val="auto"/>
                <w:highlight w:val="none"/>
              </w:rPr>
            </w:pPr>
          </w:p>
        </w:tc>
        <w:tc>
          <w:tcPr>
            <w:tcW w:w="993" w:type="dxa"/>
            <w:vAlign w:val="center"/>
          </w:tcPr>
          <w:p>
            <w:pPr>
              <w:rPr>
                <w:rFonts w:hint="eastAsia" w:ascii="仿宋" w:hAnsi="仿宋" w:eastAsia="仿宋" w:cs="仿宋"/>
                <w:color w:val="auto"/>
                <w:highlight w:val="none"/>
              </w:rPr>
            </w:pPr>
          </w:p>
        </w:tc>
        <w:tc>
          <w:tcPr>
            <w:tcW w:w="1559" w:type="dxa"/>
            <w:vAlign w:val="center"/>
          </w:tcPr>
          <w:p>
            <w:pPr>
              <w:rPr>
                <w:rFonts w:hint="eastAsia" w:ascii="仿宋" w:hAnsi="仿宋" w:eastAsia="仿宋" w:cs="仿宋"/>
                <w:color w:val="auto"/>
                <w:highlight w:val="none"/>
              </w:rPr>
            </w:pPr>
          </w:p>
        </w:tc>
        <w:tc>
          <w:tcPr>
            <w:tcW w:w="1984" w:type="dxa"/>
            <w:vAlign w:val="center"/>
          </w:tcPr>
          <w:p>
            <w:pPr>
              <w:rPr>
                <w:rFonts w:hint="eastAsia" w:ascii="仿宋" w:hAnsi="仿宋" w:eastAsia="仿宋" w:cs="仿宋"/>
                <w:color w:val="auto"/>
                <w:highlight w:val="none"/>
              </w:rPr>
            </w:pPr>
          </w:p>
        </w:tc>
        <w:tc>
          <w:tcPr>
            <w:tcW w:w="3119" w:type="dxa"/>
            <w:vAlign w:val="center"/>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rFonts w:hint="eastAsia" w:ascii="仿宋" w:hAnsi="仿宋" w:eastAsia="仿宋" w:cs="仿宋"/>
                <w:b/>
                <w:color w:val="auto"/>
                <w:highlight w:val="none"/>
              </w:rPr>
            </w:pPr>
            <w:r>
              <w:rPr>
                <w:rFonts w:hint="eastAsia" w:ascii="仿宋" w:hAnsi="仿宋" w:eastAsia="仿宋" w:cs="仿宋"/>
                <w:b/>
                <w:color w:val="auto"/>
                <w:highlight w:val="none"/>
              </w:rPr>
              <w:t>投标报价（小写）</w:t>
            </w:r>
          </w:p>
        </w:tc>
        <w:tc>
          <w:tcPr>
            <w:tcW w:w="7655" w:type="dxa"/>
            <w:gridSpan w:val="4"/>
            <w:vAlign w:val="center"/>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rFonts w:hint="eastAsia" w:ascii="仿宋" w:hAnsi="仿宋" w:eastAsia="仿宋" w:cs="仿宋"/>
                <w:b/>
                <w:color w:val="auto"/>
                <w:highlight w:val="none"/>
              </w:rPr>
            </w:pPr>
            <w:r>
              <w:rPr>
                <w:rFonts w:hint="eastAsia" w:ascii="仿宋" w:hAnsi="仿宋" w:eastAsia="仿宋" w:cs="仿宋"/>
                <w:b/>
                <w:color w:val="auto"/>
                <w:highlight w:val="none"/>
              </w:rPr>
              <w:t>投标报价（大写）</w:t>
            </w:r>
          </w:p>
        </w:tc>
        <w:tc>
          <w:tcPr>
            <w:tcW w:w="7655" w:type="dxa"/>
            <w:gridSpan w:val="4"/>
            <w:vAlign w:val="center"/>
          </w:tcPr>
          <w:p>
            <w:pPr>
              <w:rPr>
                <w:rFonts w:hint="eastAsia" w:ascii="仿宋" w:hAnsi="仿宋" w:eastAsia="仿宋" w:cs="仿宋"/>
                <w:color w:val="auto"/>
                <w:highlight w:val="none"/>
              </w:rPr>
            </w:pPr>
          </w:p>
        </w:tc>
      </w:tr>
    </w:tbl>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注：</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1、投标人需按本表格式填写，不得自行更改。</w:t>
      </w:r>
      <w:r>
        <w:rPr>
          <w:rFonts w:hint="eastAsia" w:ascii="仿宋" w:hAnsi="仿宋" w:eastAsia="仿宋" w:cs="仿宋"/>
          <w:color w:val="auto"/>
          <w:highlight w:val="none"/>
          <w:lang w:val="zh-CN"/>
        </w:rPr>
        <w:tab/>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2、有关本项目实施所涉及的一切费用均计入报价。</w:t>
      </w:r>
      <w:r>
        <w:rPr>
          <w:rFonts w:hint="eastAsia" w:ascii="仿宋" w:hAnsi="仿宋" w:eastAsia="仿宋" w:cs="仿宋"/>
          <w:b/>
          <w:color w:val="auto"/>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highlight w:val="none"/>
          <w:lang w:val="zh-CN"/>
        </w:rPr>
        <w:t>，</w:t>
      </w:r>
      <w:r>
        <w:rPr>
          <w:rFonts w:hint="eastAsia" w:ascii="仿宋" w:hAnsi="仿宋" w:eastAsia="仿宋" w:cs="仿宋"/>
          <w:b/>
          <w:color w:val="auto"/>
          <w:highlight w:val="none"/>
          <w:lang w:val="zh-CN"/>
        </w:rPr>
        <w:t>不得出现“0元”“免费赠送”等形式的无偿报价，</w:t>
      </w:r>
      <w:r>
        <w:rPr>
          <w:rFonts w:hint="eastAsia" w:ascii="仿宋" w:hAnsi="仿宋" w:eastAsia="仿宋" w:cs="仿宋"/>
          <w:b/>
          <w:color w:val="auto"/>
          <w:highlight w:val="none"/>
        </w:rPr>
        <w:t>否则视为投标文件含有采购人不能接受的附加条件的，投标无效</w:t>
      </w:r>
      <w:r>
        <w:rPr>
          <w:rFonts w:hint="eastAsia" w:ascii="仿宋" w:hAnsi="仿宋" w:eastAsia="仿宋" w:cs="仿宋"/>
          <w:b/>
          <w:color w:val="auto"/>
          <w:highlight w:val="none"/>
          <w:lang w:val="zh-CN"/>
        </w:rPr>
        <w:t>；采购内容未包含在《开标一览表（报价表）》名称栏中，投标人不能作出合理解释的，</w:t>
      </w:r>
      <w:r>
        <w:rPr>
          <w:rFonts w:hint="eastAsia" w:ascii="仿宋" w:hAnsi="仿宋" w:eastAsia="仿宋" w:cs="仿宋"/>
          <w:b/>
          <w:color w:val="auto"/>
          <w:highlight w:val="none"/>
        </w:rPr>
        <w:t>视为投标文件含有采购人不能接受的附加条件的，投标无效。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3、以上表格要求细分项目及报价，在“规格型号（或具体服务）”一栏中，货物类项目填写规格型号，服务类项目填写具体服务。</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4、特别提示：采购机构将对项目名称和项目编号，中标供应商名称、地址和中标金额，主要中标标的的名称、规格型号、数量、单价、服务要求等予以公示。</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zh-CN"/>
        </w:rPr>
      </w:pPr>
      <w:r>
        <w:rPr>
          <w:rFonts w:hint="eastAsia" w:ascii="仿宋" w:hAnsi="仿宋" w:eastAsia="仿宋" w:cs="仿宋"/>
          <w:color w:val="auto"/>
          <w:szCs w:val="22"/>
          <w:highlight w:val="none"/>
          <w:lang w:val="zh-CN"/>
        </w:rPr>
        <w:t>5、</w:t>
      </w:r>
      <w:r>
        <w:rPr>
          <w:rFonts w:hint="eastAsia" w:ascii="仿宋" w:hAnsi="仿宋" w:eastAsia="仿宋" w:cs="仿宋"/>
          <w:color w:val="auto"/>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highlight w:val="none"/>
        </w:rPr>
        <w:sectPr>
          <w:pgSz w:w="16838" w:h="11906" w:orient="landscape"/>
          <w:pgMar w:top="1800" w:right="1440" w:bottom="1700" w:left="1440" w:header="851" w:footer="992" w:gutter="0"/>
          <w:pgBorders>
            <w:top w:val="none" w:sz="0" w:space="0"/>
            <w:left w:val="none" w:sz="0" w:space="0"/>
            <w:bottom w:val="none" w:sz="0" w:space="0"/>
            <w:right w:val="none" w:sz="0" w:space="0"/>
          </w:pgBorders>
          <w:cols w:space="425" w:num="1"/>
          <w:docGrid w:type="lines" w:linePitch="326" w:charSpace="0"/>
        </w:sectPr>
      </w:pPr>
    </w:p>
    <w:p>
      <w:pPr>
        <w:pStyle w:val="5"/>
        <w:rPr>
          <w:rFonts w:hint="eastAsia" w:ascii="仿宋" w:hAnsi="仿宋" w:eastAsia="仿宋" w:cs="仿宋"/>
          <w:color w:val="auto"/>
          <w:highlight w:val="none"/>
        </w:rPr>
      </w:pPr>
      <w:r>
        <w:rPr>
          <w:rFonts w:hint="eastAsia" w:ascii="仿宋" w:hAnsi="仿宋" w:eastAsia="仿宋" w:cs="仿宋"/>
          <w:color w:val="auto"/>
          <w:kern w:val="2"/>
          <w:highlight w:val="none"/>
        </w:rPr>
        <w:t>二、</w:t>
      </w:r>
      <w:r>
        <w:rPr>
          <w:rFonts w:hint="eastAsia" w:ascii="仿宋" w:hAnsi="仿宋" w:eastAsia="仿宋" w:cs="仿宋"/>
          <w:color w:val="auto"/>
          <w:highlight w:val="none"/>
        </w:rPr>
        <w:t>中小企业声明函</w:t>
      </w:r>
    </w:p>
    <w:p>
      <w:pPr>
        <w:spacing w:line="360" w:lineRule="auto"/>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276"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5"/>
        <w:keepNext w:val="0"/>
        <w:keepLines w:val="0"/>
        <w:pageBreakBefore w:val="0"/>
        <w:kinsoku/>
        <w:wordWrap/>
        <w:overflowPunct/>
        <w:topLinePunct w:val="0"/>
        <w:autoSpaceDE/>
        <w:autoSpaceDN/>
        <w:bidi w:val="0"/>
        <w:spacing w:before="0" w:after="0" w:line="360" w:lineRule="auto"/>
        <w:ind w:left="0" w:leftChars="0" w:right="0"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政府采购支持中小企业信用融资相关事项通知</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为贯彻落实中央、省、市关于支持民营经济健康发展有关精神，发挥政府采购在促进中小企业发展中的政策引导作用，缓解中小企业融资难、融资贵问题，杭州市财政局、</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中国银保监会浙江监管局、杭州市地方金融监督管理局、杭州市经济和信息化局制定《杭州市政府采购支持中小企业信用融资管理办法》。相关事项通知如下：</w:t>
      </w:r>
    </w:p>
    <w:p>
      <w:pPr>
        <w:keepNext w:val="0"/>
        <w:keepLines w:val="0"/>
        <w:pageBreakBefore w:val="0"/>
        <w:kinsoku/>
        <w:wordWrap/>
        <w:overflowPunct/>
        <w:topLinePunct w:val="0"/>
        <w:autoSpaceDE/>
        <w:autoSpaceDN/>
        <w:bidi w:val="0"/>
        <w:spacing w:after="0" w:line="360" w:lineRule="auto"/>
        <w:ind w:left="0" w:leftChars="0" w:righ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一、适用对象</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凡已在浙江政府采购网上注册入库，并取得杭州市政府采购合同的中小企业供应商（以下简称“供应商”），均可申请政府采购信用融资。</w:t>
      </w:r>
    </w:p>
    <w:p>
      <w:pPr>
        <w:keepNext w:val="0"/>
        <w:keepLines w:val="0"/>
        <w:pageBreakBefore w:val="0"/>
        <w:kinsoku/>
        <w:wordWrap/>
        <w:overflowPunct/>
        <w:topLinePunct w:val="0"/>
        <w:autoSpaceDE/>
        <w:autoSpaceDN/>
        <w:bidi w:val="0"/>
        <w:spacing w:after="0" w:line="360" w:lineRule="auto"/>
        <w:ind w:left="0" w:leftChars="0" w:righ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二、相关信息获取方式</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keepNext w:val="0"/>
        <w:keepLines w:val="0"/>
        <w:pageBreakBefore w:val="0"/>
        <w:kinsoku/>
        <w:wordWrap/>
        <w:overflowPunct/>
        <w:topLinePunct w:val="0"/>
        <w:autoSpaceDE/>
        <w:autoSpaceDN/>
        <w:bidi w:val="0"/>
        <w:spacing w:after="0" w:line="360" w:lineRule="auto"/>
        <w:ind w:left="0" w:leftChars="0" w:righ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三、　政府采购信用融资操作流程：</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（一）线上融资模式：</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1.供应商根据合作银行提供的方案，自行选择金融产品，并办理开户等手续；</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2.供应商中标后，可通过杭州市政府采购网或“浙里办”测算授信额度；</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3.采购合同签订后，供应商在杭州市政府采购网或“浙里办”向合作银行发出融资申请；</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4.审批通过后，在线办理放贷手续。</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（二）线下融资模式：</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1.供应商根据合作银行提供的方案，自行选择金融产品，向合作银行提出信用资格预审，并办理开户等手续；</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2.采购合同签订后，供应商在杭州市政府采购网或“浙里办”向合作银行发出融资申请；</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3.合作银行在信用融资模块受理申请后，供应商提供审批材料。合作银行应对申请信用融资的供应商及备案的政府采购合同信息进行核对和审查；</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4.审批通过后，合作银行应按照合作备忘录中约定的审批放款期限和优惠利率及时予以放款。</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b/>
          <w:bCs/>
          <w:color w:val="auto"/>
          <w:highlight w:val="none"/>
        </w:rPr>
      </w:pPr>
      <w:r>
        <w:rPr>
          <w:rFonts w:hint="eastAsia" w:ascii="仿宋" w:hAnsi="仿宋" w:eastAsia="仿宋" w:cs="仿宋"/>
          <w:color w:val="auto"/>
          <w:highlight w:val="none"/>
        </w:rPr>
        <w:t>（三）杭州e融平台申请融资</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b/>
          <w:bCs/>
          <w:color w:val="auto"/>
          <w:highlight w:val="none"/>
        </w:rPr>
      </w:pPr>
      <w:r>
        <w:rPr>
          <w:rFonts w:hint="eastAsia" w:ascii="仿宋" w:hAnsi="仿宋" w:eastAsia="仿宋" w:cs="仿宋"/>
          <w:color w:val="auto"/>
          <w:highlight w:val="none"/>
        </w:rPr>
        <w:t>供应商通过杭州e融平台政采贷专区，自行选择金融产品，按规定手续办理贷款流程。</w:t>
      </w:r>
    </w:p>
    <w:p>
      <w:pPr>
        <w:keepNext w:val="0"/>
        <w:keepLines w:val="0"/>
        <w:pageBreakBefore w:val="0"/>
        <w:kinsoku/>
        <w:wordWrap/>
        <w:overflowPunct/>
        <w:topLinePunct w:val="0"/>
        <w:autoSpaceDE/>
        <w:autoSpaceDN/>
        <w:bidi w:val="0"/>
        <w:spacing w:after="0" w:line="360" w:lineRule="auto"/>
        <w:ind w:left="0" w:leftChars="0" w:righ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四、注意事项</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1、对拟用于信用融资的政府采购合同，供应商在签订合同时应当在合同中注明融资银行名称及账号，作为在该银行的唯一收款账号。</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keepNext w:val="0"/>
        <w:keepLines w:val="0"/>
        <w:pageBreakBefore w:val="0"/>
        <w:kinsoku/>
        <w:wordWrap/>
        <w:overflowPunct/>
        <w:topLinePunct w:val="0"/>
        <w:autoSpaceDE/>
        <w:autoSpaceDN/>
        <w:bidi w:val="0"/>
        <w:spacing w:after="0" w:line="360" w:lineRule="auto"/>
        <w:ind w:left="0" w:leftChars="0" w:right="0" w:firstLine="482" w:firstLineChars="200"/>
        <w:textAlignment w:val="auto"/>
        <w:rPr>
          <w:rFonts w:hint="eastAsia" w:ascii="仿宋" w:hAnsi="仿宋" w:eastAsia="仿宋" w:cs="仿宋"/>
          <w:b/>
          <w:bCs/>
          <w:color w:val="auto"/>
          <w:highlight w:val="none"/>
        </w:rPr>
      </w:pPr>
    </w:p>
    <w:p>
      <w:pPr>
        <w:keepNext w:val="0"/>
        <w:keepLines w:val="0"/>
        <w:pageBreakBefore w:val="0"/>
        <w:kinsoku/>
        <w:wordWrap/>
        <w:overflowPunct/>
        <w:topLinePunct w:val="0"/>
        <w:autoSpaceDE/>
        <w:autoSpaceDN/>
        <w:bidi w:val="0"/>
        <w:spacing w:after="0" w:line="360" w:lineRule="auto"/>
        <w:ind w:left="0" w:leftChars="0" w:right="0" w:firstLine="482" w:firstLineChars="200"/>
        <w:textAlignment w:val="auto"/>
        <w:rPr>
          <w:rFonts w:hint="eastAsia" w:ascii="仿宋" w:hAnsi="仿宋" w:eastAsia="仿宋" w:cs="仿宋"/>
          <w:b/>
          <w:color w:val="auto"/>
          <w:highlight w:val="none"/>
        </w:rPr>
      </w:pPr>
    </w:p>
    <w:p>
      <w:pPr>
        <w:keepNext w:val="0"/>
        <w:keepLines w:val="0"/>
        <w:pageBreakBefore w:val="0"/>
        <w:kinsoku/>
        <w:wordWrap/>
        <w:overflowPunct/>
        <w:topLinePunct w:val="0"/>
        <w:autoSpaceDE/>
        <w:autoSpaceDN/>
        <w:bidi w:val="0"/>
        <w:spacing w:after="0" w:line="360" w:lineRule="auto"/>
        <w:ind w:left="0" w:leftChars="0" w:right="0" w:firstLine="482" w:firstLineChars="200"/>
        <w:textAlignment w:val="auto"/>
        <w:rPr>
          <w:rFonts w:hint="eastAsia" w:ascii="仿宋" w:hAnsi="仿宋" w:eastAsia="仿宋" w:cs="仿宋"/>
          <w:b/>
          <w:color w:val="auto"/>
          <w:highlight w:val="none"/>
        </w:rPr>
      </w:pPr>
    </w:p>
    <w:p>
      <w:pPr>
        <w:pStyle w:val="71"/>
        <w:keepNext w:val="0"/>
        <w:keepLines w:val="0"/>
        <w:pageBreakBefore w:val="0"/>
        <w:tabs>
          <w:tab w:val="clear" w:pos="720"/>
        </w:tabs>
        <w:kinsoku/>
        <w:wordWrap/>
        <w:overflowPunct/>
        <w:topLinePunct w:val="0"/>
        <w:autoSpaceDE/>
        <w:autoSpaceDN/>
        <w:bidi w:val="0"/>
        <w:snapToGrid w:val="0"/>
        <w:spacing w:after="0" w:line="360" w:lineRule="auto"/>
        <w:ind w:left="0" w:leftChars="0" w:right="0" w:firstLine="643" w:firstLineChars="200"/>
        <w:textAlignment w:val="auto"/>
        <w:outlineLvl w:val="9"/>
        <w:rPr>
          <w:rFonts w:hint="eastAsia" w:ascii="仿宋" w:hAnsi="仿宋" w:eastAsia="仿宋" w:cs="仿宋"/>
          <w:color w:val="auto"/>
          <w:kern w:val="2"/>
          <w:sz w:val="32"/>
          <w:szCs w:val="32"/>
          <w:highlight w:val="none"/>
        </w:rPr>
      </w:pP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keepNext w:val="0"/>
        <w:keepLines w:val="0"/>
        <w:pageBreakBefore w:val="0"/>
        <w:kinsoku/>
        <w:wordWrap/>
        <w:overflowPunct/>
        <w:topLinePunct w:val="0"/>
        <w:autoSpaceDE/>
        <w:autoSpaceDN/>
        <w:bidi w:val="0"/>
        <w:spacing w:before="0" w:after="0" w:line="360" w:lineRule="auto"/>
        <w:ind w:left="0" w:leftChars="0" w:right="0" w:firstLine="743" w:firstLineChars="200"/>
        <w:textAlignment w:val="auto"/>
        <w:rPr>
          <w:rFonts w:hint="eastAsia" w:ascii="仿宋" w:hAnsi="仿宋" w:eastAsia="仿宋" w:cs="仿宋"/>
          <w:color w:val="auto"/>
          <w:highlight w:val="none"/>
        </w:rPr>
      </w:pPr>
      <w:bookmarkStart w:id="523" w:name="_Toc465665161"/>
      <w:r>
        <w:rPr>
          <w:rFonts w:hint="eastAsia" w:ascii="仿宋" w:hAnsi="仿宋" w:eastAsia="仿宋" w:cs="仿宋"/>
          <w:color w:val="auto"/>
          <w:highlight w:val="none"/>
        </w:rPr>
        <w:t>附件</w:t>
      </w:r>
      <w:bookmarkEnd w:id="523"/>
    </w:p>
    <w:p>
      <w:pPr>
        <w:pStyle w:val="5"/>
        <w:keepNext w:val="0"/>
        <w:keepLines w:val="0"/>
        <w:pageBreakBefore w:val="0"/>
        <w:kinsoku/>
        <w:wordWrap/>
        <w:overflowPunct/>
        <w:topLinePunct w:val="0"/>
        <w:autoSpaceDE/>
        <w:autoSpaceDN/>
        <w:bidi w:val="0"/>
        <w:spacing w:before="0" w:after="0" w:line="360" w:lineRule="auto"/>
        <w:ind w:right="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附件1：残疾人福利性单位声明函</w:t>
      </w:r>
    </w:p>
    <w:p>
      <w:pPr>
        <w:keepNext w:val="0"/>
        <w:keepLines w:val="0"/>
        <w:pageBreakBefore w:val="0"/>
        <w:kinsoku/>
        <w:wordWrap/>
        <w:overflowPunct/>
        <w:topLinePunct w:val="0"/>
        <w:autoSpaceDE/>
        <w:autoSpaceDN/>
        <w:bidi w:val="0"/>
        <w:spacing w:after="0" w:line="360" w:lineRule="auto"/>
        <w:ind w:left="0" w:leftChars="0" w:right="0" w:firstLine="667" w:firstLineChars="200"/>
        <w:jc w:val="center"/>
        <w:textAlignment w:val="auto"/>
        <w:rPr>
          <w:rFonts w:hint="eastAsia" w:ascii="仿宋" w:hAnsi="仿宋" w:eastAsia="仿宋" w:cs="仿宋"/>
          <w:b/>
          <w:color w:val="auto"/>
          <w:spacing w:val="6"/>
          <w:sz w:val="32"/>
          <w:szCs w:val="32"/>
          <w:highlight w:val="none"/>
        </w:rPr>
      </w:pPr>
      <w:bookmarkStart w:id="524" w:name="OLE_LINK14"/>
      <w:bookmarkStart w:id="525" w:name="OLE_LINK13"/>
      <w:r>
        <w:rPr>
          <w:rFonts w:hint="eastAsia" w:ascii="仿宋" w:hAnsi="仿宋" w:eastAsia="仿宋" w:cs="仿宋"/>
          <w:b/>
          <w:color w:val="auto"/>
          <w:spacing w:val="6"/>
          <w:sz w:val="32"/>
          <w:szCs w:val="32"/>
          <w:highlight w:val="none"/>
        </w:rPr>
        <w:t>残疾人福利性单位声明函</w:t>
      </w:r>
    </w:p>
    <w:bookmarkEnd w:id="524"/>
    <w:bookmarkEnd w:id="525"/>
    <w:p>
      <w:pPr>
        <w:keepNext w:val="0"/>
        <w:keepLines w:val="0"/>
        <w:pageBreakBefore w:val="0"/>
        <w:kinsoku/>
        <w:wordWrap/>
        <w:overflowPunct/>
        <w:topLinePunct w:val="0"/>
        <w:autoSpaceDE/>
        <w:autoSpaceDN/>
        <w:bidi w:val="0"/>
        <w:spacing w:after="0" w:line="360" w:lineRule="auto"/>
        <w:ind w:left="0" w:leftChars="0" w:right="0" w:firstLine="626" w:firstLineChars="200"/>
        <w:textAlignment w:val="auto"/>
        <w:rPr>
          <w:rFonts w:hint="eastAsia" w:ascii="仿宋" w:hAnsi="仿宋" w:eastAsia="仿宋" w:cs="仿宋"/>
          <w:b/>
          <w:color w:val="auto"/>
          <w:spacing w:val="6"/>
          <w:sz w:val="30"/>
          <w:szCs w:val="30"/>
          <w:highlight w:val="none"/>
        </w:rPr>
      </w:pP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本单位对上述声明的真实性负责。如有虚假，将依法承担相应责任。</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jc w:val="right"/>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投标人名称（电子签名）：</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jc w:val="right"/>
        <w:textAlignment w:val="auto"/>
        <w:rPr>
          <w:rFonts w:hint="eastAsia" w:ascii="仿宋" w:hAnsi="仿宋" w:eastAsia="仿宋" w:cs="仿宋"/>
          <w:color w:val="auto"/>
          <w:highlight w:val="none"/>
        </w:rPr>
      </w:pPr>
      <w:r>
        <w:rPr>
          <w:rFonts w:hint="eastAsia" w:ascii="仿宋" w:hAnsi="仿宋" w:eastAsia="仿宋" w:cs="仿宋"/>
          <w:color w:val="auto"/>
          <w:highlight w:val="none"/>
        </w:rPr>
        <w:t>日  期：</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autoSpaceDE/>
        <w:autoSpaceDN/>
        <w:bidi w:val="0"/>
        <w:spacing w:before="0" w:after="0" w:line="360" w:lineRule="auto"/>
        <w:ind w:right="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附件2：质疑函范本及制作说明</w:t>
      </w:r>
    </w:p>
    <w:p>
      <w:pPr>
        <w:keepNext w:val="0"/>
        <w:keepLines w:val="0"/>
        <w:pageBreakBefore w:val="0"/>
        <w:kinsoku/>
        <w:wordWrap/>
        <w:overflowPunct/>
        <w:topLinePunct w:val="0"/>
        <w:autoSpaceDE/>
        <w:autoSpaceDN/>
        <w:bidi w:val="0"/>
        <w:spacing w:after="0" w:line="360" w:lineRule="auto"/>
        <w:ind w:left="0" w:leftChars="0" w:right="0" w:firstLine="667" w:firstLineChars="200"/>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一、质疑供应商基本信息</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质疑供应商：</w:t>
      </w:r>
      <w:r>
        <w:rPr>
          <w:rFonts w:hint="eastAsia" w:ascii="仿宋" w:hAnsi="仿宋" w:eastAsia="仿宋" w:cs="仿宋"/>
          <w:color w:val="auto"/>
          <w:highlight w:val="none"/>
          <w:u w:val="dotted"/>
        </w:rPr>
        <w:t xml:space="preserve">                                        </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地址： </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二、质疑项目基本情况</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质疑项目的名称：</w:t>
      </w:r>
      <w:r>
        <w:rPr>
          <w:rFonts w:hint="eastAsia" w:ascii="仿宋" w:hAnsi="仿宋" w:eastAsia="仿宋" w:cs="仿宋"/>
          <w:color w:val="auto"/>
          <w:highlight w:val="none"/>
          <w:u w:val="dotted"/>
        </w:rPr>
        <w:t xml:space="preserve">                                      </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质疑项目的编号：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采购文件获取日期：</w:t>
      </w:r>
      <w:r>
        <w:rPr>
          <w:rFonts w:hint="eastAsia" w:ascii="仿宋" w:hAnsi="仿宋" w:eastAsia="仿宋" w:cs="仿宋"/>
          <w:color w:val="auto"/>
          <w:highlight w:val="none"/>
          <w:u w:val="dotted"/>
        </w:rPr>
        <w:t xml:space="preserve">                                           </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三、质疑事项具体内容</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质疑事项1：</w:t>
      </w:r>
      <w:r>
        <w:rPr>
          <w:rFonts w:hint="eastAsia" w:ascii="仿宋" w:hAnsi="仿宋" w:eastAsia="仿宋" w:cs="仿宋"/>
          <w:color w:val="auto"/>
          <w:highlight w:val="none"/>
          <w:u w:val="dotted"/>
        </w:rPr>
        <w:t xml:space="preserve">                                         </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u w:val="dotted"/>
        </w:rPr>
        <w:t xml:space="preserve">                                                       </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质疑事项2</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四、与质疑事项相关的质疑请求</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pPr>
        <w:keepNext w:val="0"/>
        <w:keepLines w:val="0"/>
        <w:pageBreakBefore w:val="0"/>
        <w:kinsoku/>
        <w:wordWrap/>
        <w:overflowPunct/>
        <w:topLinePunct w:val="0"/>
        <w:autoSpaceDE/>
        <w:autoSpaceDN/>
        <w:bidi w:val="0"/>
        <w:spacing w:after="0" w:line="360" w:lineRule="auto"/>
        <w:ind w:left="0" w:leftChars="0" w:righ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质疑函制作说明：</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1.供应商提出质疑时，应提交质疑函和必要的证明材料。</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3.质疑供应商若对项目的某一分包进行质疑，质疑函中应列明具体分包号。</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4.质疑函的质疑事项应具体、明确，并有必要的事实依据和法律依据。</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5.质疑函的质疑请求应与质疑事项相关。</w:t>
      </w:r>
    </w:p>
    <w:p>
      <w:pPr>
        <w:pStyle w:val="56"/>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6.质疑供应商为自然人的，质疑函应由本人签字；质疑供应商为法人或者其他组织的，质疑函应由法定代表人、主要负责人，或者其授权代表签字或者盖章，并加盖公章。</w:t>
      </w:r>
    </w:p>
    <w:p>
      <w:pPr>
        <w:keepNext w:val="0"/>
        <w:keepLines w:val="0"/>
        <w:pageBreakBefore w:val="0"/>
        <w:kinsoku/>
        <w:wordWrap/>
        <w:overflowPunct/>
        <w:topLinePunct w:val="0"/>
        <w:autoSpaceDE/>
        <w:autoSpaceDN/>
        <w:bidi w:val="0"/>
        <w:spacing w:after="0" w:line="360" w:lineRule="auto"/>
        <w:ind w:left="0" w:leftChars="0" w:right="0" w:firstLine="600" w:firstLineChars="200"/>
        <w:textAlignment w:val="auto"/>
        <w:rPr>
          <w:rFonts w:hint="eastAsia" w:ascii="仿宋" w:hAnsi="仿宋" w:eastAsia="仿宋" w:cs="仿宋"/>
          <w:color w:val="auto"/>
          <w:sz w:val="30"/>
          <w:szCs w:val="30"/>
          <w:highlight w:val="none"/>
        </w:rPr>
      </w:pPr>
    </w:p>
    <w:p>
      <w:pPr>
        <w:keepNext w:val="0"/>
        <w:keepLines w:val="0"/>
        <w:pageBreakBefore w:val="0"/>
        <w:kinsoku/>
        <w:wordWrap/>
        <w:overflowPunct/>
        <w:topLinePunct w:val="0"/>
        <w:autoSpaceDE/>
        <w:autoSpaceDN/>
        <w:bidi w:val="0"/>
        <w:spacing w:after="0" w:line="360" w:lineRule="auto"/>
        <w:ind w:left="0" w:leftChars="0" w:right="0" w:firstLine="667" w:firstLineChars="200"/>
        <w:jc w:val="center"/>
        <w:textAlignment w:val="auto"/>
        <w:rPr>
          <w:rFonts w:hint="eastAsia" w:ascii="仿宋" w:hAnsi="仿宋" w:eastAsia="仿宋" w:cs="仿宋"/>
          <w:b/>
          <w:color w:val="auto"/>
          <w:spacing w:val="6"/>
          <w:sz w:val="32"/>
          <w:szCs w:val="32"/>
          <w:highlight w:val="none"/>
        </w:rPr>
      </w:pPr>
    </w:p>
    <w:p>
      <w:pPr>
        <w:keepNext w:val="0"/>
        <w:keepLines w:val="0"/>
        <w:pageBreakBefore w:val="0"/>
        <w:kinsoku/>
        <w:wordWrap/>
        <w:overflowPunct/>
        <w:topLinePunct w:val="0"/>
        <w:autoSpaceDE/>
        <w:autoSpaceDN/>
        <w:bidi w:val="0"/>
        <w:spacing w:after="0" w:line="360" w:lineRule="auto"/>
        <w:ind w:left="0" w:leftChars="0" w:right="0" w:firstLine="667" w:firstLineChars="200"/>
        <w:jc w:val="center"/>
        <w:textAlignment w:val="auto"/>
        <w:rPr>
          <w:rFonts w:hint="eastAsia" w:ascii="仿宋" w:hAnsi="仿宋" w:eastAsia="仿宋" w:cs="仿宋"/>
          <w:b/>
          <w:color w:val="auto"/>
          <w:spacing w:val="6"/>
          <w:sz w:val="32"/>
          <w:szCs w:val="32"/>
          <w:highlight w:val="none"/>
        </w:rPr>
      </w:pPr>
    </w:p>
    <w:p>
      <w:pPr>
        <w:pStyle w:val="5"/>
        <w:keepNext w:val="0"/>
        <w:keepLines w:val="0"/>
        <w:pageBreakBefore w:val="0"/>
        <w:kinsoku/>
        <w:wordWrap/>
        <w:overflowPunct/>
        <w:topLinePunct w:val="0"/>
        <w:autoSpaceDE/>
        <w:autoSpaceDN/>
        <w:bidi w:val="0"/>
        <w:spacing w:before="0" w:after="0" w:line="360" w:lineRule="auto"/>
        <w:ind w:left="0" w:leftChars="0" w:right="0" w:firstLine="562" w:firstLineChars="200"/>
        <w:jc w:val="left"/>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autoSpaceDE/>
        <w:autoSpaceDN/>
        <w:bidi w:val="0"/>
        <w:spacing w:before="0" w:after="0" w:line="360" w:lineRule="auto"/>
        <w:ind w:left="0" w:leftChars="0" w:right="0" w:firstLine="562" w:firstLineChars="200"/>
        <w:jc w:val="left"/>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autoSpaceDE/>
        <w:autoSpaceDN/>
        <w:bidi w:val="0"/>
        <w:spacing w:before="0" w:after="0" w:line="360" w:lineRule="auto"/>
        <w:ind w:left="0" w:leftChars="0" w:right="0" w:firstLine="562" w:firstLineChars="200"/>
        <w:jc w:val="left"/>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autoSpaceDE/>
        <w:autoSpaceDN/>
        <w:bidi w:val="0"/>
        <w:spacing w:before="0" w:after="0" w:line="360" w:lineRule="auto"/>
        <w:ind w:left="0" w:leftChars="0" w:right="0" w:firstLine="562" w:firstLineChars="200"/>
        <w:jc w:val="left"/>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autoSpaceDE/>
        <w:autoSpaceDN/>
        <w:bidi w:val="0"/>
        <w:spacing w:before="0" w:after="0" w:line="360" w:lineRule="auto"/>
        <w:ind w:left="0" w:leftChars="0" w:right="0" w:firstLine="562" w:firstLineChars="200"/>
        <w:jc w:val="left"/>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autoSpaceDE/>
        <w:autoSpaceDN/>
        <w:bidi w:val="0"/>
        <w:spacing w:before="0" w:after="0" w:line="360" w:lineRule="auto"/>
        <w:ind w:left="0" w:leftChars="0" w:right="0" w:firstLine="562" w:firstLineChars="200"/>
        <w:jc w:val="left"/>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autoSpaceDE/>
        <w:autoSpaceDN/>
        <w:bidi w:val="0"/>
        <w:spacing w:before="0" w:after="0" w:line="360" w:lineRule="auto"/>
        <w:ind w:left="0" w:leftChars="0" w:right="0" w:firstLine="562" w:firstLineChars="200"/>
        <w:jc w:val="left"/>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autoSpaceDE/>
        <w:autoSpaceDN/>
        <w:bidi w:val="0"/>
        <w:spacing w:before="0" w:after="0" w:line="360" w:lineRule="auto"/>
        <w:ind w:left="0" w:leftChars="0" w:right="0" w:firstLine="562" w:firstLineChars="200"/>
        <w:jc w:val="left"/>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autoSpaceDE/>
        <w:autoSpaceDN/>
        <w:bidi w:val="0"/>
        <w:spacing w:before="0" w:after="0" w:line="360" w:lineRule="auto"/>
        <w:ind w:left="0" w:leftChars="0" w:right="0" w:firstLine="562" w:firstLineChars="200"/>
        <w:jc w:val="left"/>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autoSpaceDE/>
        <w:autoSpaceDN/>
        <w:bidi w:val="0"/>
        <w:spacing w:before="0" w:after="0" w:line="360" w:lineRule="auto"/>
        <w:ind w:left="0" w:leftChars="0" w:right="0" w:firstLine="562" w:firstLineChars="200"/>
        <w:jc w:val="left"/>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autoSpaceDE/>
        <w:autoSpaceDN/>
        <w:bidi w:val="0"/>
        <w:spacing w:before="0" w:after="0" w:line="360" w:lineRule="auto"/>
        <w:ind w:left="0" w:leftChars="0" w:right="0" w:firstLine="562" w:firstLineChars="200"/>
        <w:jc w:val="left"/>
        <w:textAlignment w:val="auto"/>
        <w:rPr>
          <w:rFonts w:hint="eastAsia" w:ascii="仿宋" w:hAnsi="仿宋" w:eastAsia="仿宋" w:cs="仿宋"/>
          <w:color w:val="auto"/>
          <w:highlight w:val="none"/>
        </w:rPr>
      </w:pPr>
    </w:p>
    <w:p>
      <w:pPr>
        <w:pStyle w:val="5"/>
        <w:keepNext w:val="0"/>
        <w:keepLines w:val="0"/>
        <w:pageBreakBefore w:val="0"/>
        <w:kinsoku/>
        <w:wordWrap/>
        <w:overflowPunct/>
        <w:topLinePunct w:val="0"/>
        <w:autoSpaceDE/>
        <w:autoSpaceDN/>
        <w:bidi w:val="0"/>
        <w:spacing w:before="0" w:after="0" w:line="360" w:lineRule="auto"/>
        <w:ind w:right="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附件3：投诉书范本及制作说明</w:t>
      </w:r>
    </w:p>
    <w:p>
      <w:pPr>
        <w:keepNext w:val="0"/>
        <w:keepLines w:val="0"/>
        <w:pageBreakBefore w:val="0"/>
        <w:kinsoku/>
        <w:wordWrap/>
        <w:overflowPunct/>
        <w:topLinePunct w:val="0"/>
        <w:autoSpaceDE/>
        <w:autoSpaceDN/>
        <w:bidi w:val="0"/>
        <w:spacing w:after="0" w:line="360" w:lineRule="auto"/>
        <w:ind w:left="0" w:leftChars="0" w:right="0" w:firstLine="482" w:firstLineChars="200"/>
        <w:jc w:val="center"/>
        <w:textAlignment w:val="auto"/>
        <w:rPr>
          <w:rFonts w:hint="eastAsia" w:ascii="仿宋" w:hAnsi="仿宋" w:eastAsia="仿宋" w:cs="仿宋"/>
          <w:b/>
          <w:color w:val="auto"/>
          <w:highlight w:val="none"/>
        </w:rPr>
      </w:pPr>
    </w:p>
    <w:p>
      <w:pPr>
        <w:keepNext w:val="0"/>
        <w:keepLines w:val="0"/>
        <w:pageBreakBefore w:val="0"/>
        <w:kinsoku/>
        <w:wordWrap/>
        <w:overflowPunct/>
        <w:topLinePunct w:val="0"/>
        <w:autoSpaceDE/>
        <w:autoSpaceDN/>
        <w:bidi w:val="0"/>
        <w:spacing w:after="0" w:line="360" w:lineRule="auto"/>
        <w:ind w:left="0" w:leftChars="0" w:right="0" w:firstLine="667" w:firstLineChars="200"/>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一、投诉相关主体基本情况</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投诉人：</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tabs>
          <w:tab w:val="left" w:pos="6510"/>
        </w:tabs>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法定代表人/主要负责人：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keepNext w:val="0"/>
        <w:keepLines w:val="0"/>
        <w:pageBreakBefore w:val="0"/>
        <w:tabs>
          <w:tab w:val="left" w:pos="6510"/>
        </w:tabs>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被投诉人1：</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被投诉人2</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相关供应商：</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二、投诉项目基本情况</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采购项目编号：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代理机构名称：</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采购文件公告: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采购结果公告: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三、质疑基本情况</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投诉人于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日,向</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提出质疑，质疑事项为：</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u w:val="dotted"/>
        </w:rPr>
        <w:t>采购人/代理机构</w:t>
      </w:r>
      <w:r>
        <w:rPr>
          <w:rFonts w:hint="eastAsia" w:ascii="仿宋" w:hAnsi="仿宋" w:eastAsia="仿宋" w:cs="仿宋"/>
          <w:color w:val="auto"/>
          <w:highlight w:val="none"/>
        </w:rPr>
        <w:t>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日,就质疑事项作出了答复/没有在法定期限内作出答复。</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四、投诉事项具体内容</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投诉事项 1：</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投诉事项2</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五、与投诉事项相关的投诉请求</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pPr>
        <w:keepNext w:val="0"/>
        <w:keepLines w:val="0"/>
        <w:pageBreakBefore w:val="0"/>
        <w:kinsoku/>
        <w:wordWrap/>
        <w:overflowPunct/>
        <w:topLinePunct w:val="0"/>
        <w:autoSpaceDE/>
        <w:autoSpaceDN/>
        <w:bidi w:val="0"/>
        <w:spacing w:after="0" w:line="360" w:lineRule="auto"/>
        <w:ind w:left="0" w:leftChars="0" w:righ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投诉书制作说明：</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1.投诉人提起投诉时，应当提交投诉书和必要的证明材料，并按照被投诉人和与投诉事项有关的供应商数量提供投诉书副本。</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3.投诉人若对项目的某一分包进行投诉，投诉书应列明具体分包号。</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4.投诉书应简要列明质疑事项，质疑函、质疑答复等作为附件材料提供。</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5.投诉书的投诉事项应具体、明确，并有必要的事实依据和法律依据。</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6.投诉书的投诉请求应与投诉事项相关。</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7.投诉人为自然人的，投诉书应当由本人签字；投诉人为法人或者其他组织的，投诉书应当由法定代表人、主要负责人，或者其授权代表签字或者盖章，并加盖公章。</w:t>
      </w:r>
    </w:p>
    <w:p>
      <w:pPr>
        <w:keepNext w:val="0"/>
        <w:keepLines w:val="0"/>
        <w:pageBreakBefore w:val="0"/>
        <w:kinsoku/>
        <w:wordWrap/>
        <w:overflowPunct/>
        <w:topLinePunct w:val="0"/>
        <w:autoSpaceDE/>
        <w:autoSpaceDN/>
        <w:bidi w:val="0"/>
        <w:spacing w:after="0" w:line="360" w:lineRule="auto"/>
        <w:ind w:left="0" w:leftChars="0" w:right="0"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br w:type="page"/>
      </w:r>
      <w:r>
        <w:rPr>
          <w:rFonts w:hint="eastAsia" w:ascii="仿宋" w:hAnsi="仿宋" w:eastAsia="仿宋" w:cs="仿宋"/>
          <w:color w:val="auto"/>
          <w:spacing w:val="6"/>
          <w:highlight w:val="none"/>
        </w:rPr>
        <w:t>附件4：</w:t>
      </w:r>
      <w:r>
        <w:rPr>
          <w:rFonts w:hint="eastAsia" w:ascii="仿宋" w:hAnsi="仿宋" w:eastAsia="仿宋" w:cs="仿宋"/>
          <w:color w:val="auto"/>
          <w:highlight w:val="none"/>
        </w:rPr>
        <w:t>业务专用章使用说明函</w:t>
      </w:r>
    </w:p>
    <w:p>
      <w:pPr>
        <w:keepNext w:val="0"/>
        <w:keepLines w:val="0"/>
        <w:pageBreakBefore w:val="0"/>
        <w:kinsoku/>
        <w:wordWrap/>
        <w:overflowPunct/>
        <w:topLinePunct w:val="0"/>
        <w:autoSpaceDE/>
        <w:autoSpaceDN/>
        <w:bidi w:val="0"/>
        <w:spacing w:after="0" w:line="360" w:lineRule="auto"/>
        <w:ind w:left="0" w:leftChars="0" w:right="0" w:firstLine="643" w:firstLineChars="200"/>
        <w:jc w:val="center"/>
        <w:textAlignment w:val="auto"/>
        <w:rPr>
          <w:rFonts w:hint="eastAsia" w:ascii="仿宋" w:hAnsi="仿宋" w:eastAsia="仿宋" w:cs="仿宋"/>
          <w:b/>
          <w:smallCaps/>
          <w:color w:val="auto"/>
          <w:spacing w:val="6"/>
          <w:sz w:val="36"/>
          <w:szCs w:val="28"/>
          <w:highlight w:val="none"/>
        </w:rPr>
      </w:pPr>
      <w:r>
        <w:rPr>
          <w:rFonts w:hint="eastAsia" w:ascii="仿宋" w:hAnsi="仿宋" w:eastAsia="仿宋" w:cs="仿宋"/>
          <w:b/>
          <w:color w:val="auto"/>
          <w:sz w:val="32"/>
          <w:highlight w:val="none"/>
        </w:rPr>
        <w:t>业务专用章使用说明函</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u w:val="single"/>
        </w:rPr>
        <w:t>（采购人）、（采购代理机构）</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我方</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rPr>
        <w:t>(投标人全称)是中华人民共和国依法登记注册的合法企业，</w:t>
      </w:r>
      <w:r>
        <w:rPr>
          <w:rFonts w:hint="eastAsia" w:ascii="仿宋" w:hAnsi="仿宋" w:eastAsia="仿宋" w:cs="仿宋"/>
          <w:bCs/>
          <w:color w:val="auto"/>
          <w:highlight w:val="none"/>
        </w:rPr>
        <w:t>在参加</w:t>
      </w:r>
      <w:r>
        <w:rPr>
          <w:rFonts w:hint="eastAsia" w:ascii="仿宋" w:hAnsi="仿宋" w:eastAsia="仿宋" w:cs="仿宋"/>
          <w:color w:val="auto"/>
          <w:highlight w:val="none"/>
        </w:rPr>
        <w:t>你方组织的（项目名称）项目【招标编号：（采购编号）】</w:t>
      </w:r>
      <w:r>
        <w:rPr>
          <w:rFonts w:hint="eastAsia" w:ascii="仿宋" w:hAnsi="仿宋" w:eastAsia="仿宋" w:cs="仿宋"/>
          <w:bCs/>
          <w:color w:val="auto"/>
          <w:highlight w:val="none"/>
        </w:rPr>
        <w:t>投标活动中作如下说明：</w:t>
      </w:r>
      <w:r>
        <w:rPr>
          <w:rFonts w:hint="eastAsia" w:ascii="仿宋" w:hAnsi="仿宋" w:eastAsia="仿宋" w:cs="仿宋"/>
          <w:color w:val="auto"/>
          <w:highlight w:val="none"/>
        </w:rPr>
        <w:t xml:space="preserve">我方所使用的“XX专用章”与法定名称章具有同等的法律效力，对使用“XX专用章”的行为予以完全承认，并愿意承担相应责任。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特此说明。</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投标单位（法定名称章）：</w:t>
      </w:r>
    </w:p>
    <w:p>
      <w:pPr>
        <w:keepNext w:val="0"/>
        <w:keepLines w:val="0"/>
        <w:pageBreakBefore w:val="0"/>
        <w:kinsoku/>
        <w:wordWrap/>
        <w:overflowPunct/>
        <w:topLinePunct w:val="0"/>
        <w:autoSpaceDE/>
        <w:autoSpaceDN/>
        <w:bidi w:val="0"/>
        <w:spacing w:after="0" w:line="360" w:lineRule="auto"/>
        <w:ind w:left="0" w:leftChars="0" w:right="0" w:firstLine="480" w:firstLineChars="20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pPr>
        <w:keepNext w:val="0"/>
        <w:keepLines w:val="0"/>
        <w:pageBreakBefore w:val="0"/>
        <w:kinsoku/>
        <w:wordWrap/>
        <w:overflowPunct/>
        <w:topLinePunct w:val="0"/>
        <w:autoSpaceDE/>
        <w:autoSpaceDN/>
        <w:bidi w:val="0"/>
        <w:spacing w:after="0" w:line="360" w:lineRule="auto"/>
        <w:ind w:left="0" w:leftChars="0" w:right="0"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附：</w:t>
      </w:r>
    </w:p>
    <w:p>
      <w:pPr>
        <w:keepNext w:val="0"/>
        <w:keepLines w:val="0"/>
        <w:pageBreakBefore w:val="0"/>
        <w:kinsoku/>
        <w:wordWrap/>
        <w:overflowPunct/>
        <w:topLinePunct w:val="0"/>
        <w:autoSpaceDE/>
        <w:autoSpaceDN/>
        <w:bidi w:val="0"/>
        <w:spacing w:after="0" w:line="360" w:lineRule="auto"/>
        <w:ind w:left="0" w:leftChars="0" w:right="0" w:firstLine="482" w:firstLineChars="200"/>
        <w:textAlignment w:val="auto"/>
        <w:rPr>
          <w:rFonts w:hint="eastAsia" w:ascii="仿宋" w:hAnsi="仿宋" w:eastAsia="仿宋" w:cs="仿宋"/>
          <w:bCs/>
          <w:color w:val="auto"/>
          <w:highlight w:val="none"/>
        </w:rPr>
      </w:pPr>
      <w:r>
        <w:rPr>
          <w:rFonts w:hint="eastAsia" w:ascii="仿宋" w:hAnsi="仿宋" w:eastAsia="仿宋" w:cs="仿宋"/>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color w:val="auto"/>
          <w:highlight w:val="none"/>
        </w:rPr>
        <w:t>投标单位法定名称章（印模）              投标单位“XX专用章”（印模）</w:t>
      </w:r>
    </w:p>
    <w:p>
      <w:pPr>
        <w:keepNext w:val="0"/>
        <w:keepLines w:val="0"/>
        <w:pageBreakBefore w:val="0"/>
        <w:kinsoku/>
        <w:wordWrap/>
        <w:overflowPunct/>
        <w:topLinePunct w:val="0"/>
        <w:autoSpaceDE/>
        <w:autoSpaceDN/>
        <w:bidi w:val="0"/>
        <w:spacing w:after="0" w:line="360" w:lineRule="auto"/>
        <w:ind w:left="0" w:leftChars="0" w:right="0" w:firstLine="667" w:firstLineChars="200"/>
        <w:textAlignment w:val="auto"/>
        <w:rPr>
          <w:rFonts w:hint="eastAsia" w:ascii="仿宋" w:hAnsi="仿宋" w:eastAsia="仿宋" w:cs="仿宋"/>
          <w:b/>
          <w:color w:val="auto"/>
          <w:spacing w:val="6"/>
          <w:sz w:val="32"/>
          <w:szCs w:val="32"/>
          <w:highlight w:val="none"/>
        </w:rPr>
      </w:pPr>
    </w:p>
    <w:p>
      <w:pPr>
        <w:keepNext w:val="0"/>
        <w:keepLines w:val="0"/>
        <w:pageBreakBefore w:val="0"/>
        <w:kinsoku/>
        <w:wordWrap/>
        <w:overflowPunct/>
        <w:topLinePunct w:val="0"/>
        <w:autoSpaceDE/>
        <w:autoSpaceDN/>
        <w:bidi w:val="0"/>
        <w:spacing w:after="0" w:line="360" w:lineRule="auto"/>
        <w:ind w:left="0" w:leftChars="0" w:right="0" w:firstLine="586" w:firstLineChars="200"/>
        <w:textAlignment w:val="auto"/>
        <w:rPr>
          <w:rFonts w:hint="eastAsia" w:ascii="仿宋" w:hAnsi="仿宋" w:eastAsia="仿宋" w:cs="仿宋"/>
          <w:b/>
          <w:smallCaps/>
          <w:color w:val="auto"/>
          <w:spacing w:val="6"/>
          <w:sz w:val="28"/>
          <w:szCs w:val="28"/>
          <w:highlight w:val="none"/>
        </w:rPr>
      </w:pPr>
    </w:p>
    <w:p>
      <w:pPr>
        <w:keepNext w:val="0"/>
        <w:keepLines w:val="0"/>
        <w:pageBreakBefore w:val="0"/>
        <w:kinsoku/>
        <w:wordWrap/>
        <w:overflowPunct/>
        <w:topLinePunct w:val="0"/>
        <w:autoSpaceDE/>
        <w:autoSpaceDN/>
        <w:bidi w:val="0"/>
        <w:spacing w:after="0" w:line="360" w:lineRule="auto"/>
        <w:ind w:left="0" w:leftChars="0" w:right="0" w:firstLine="504" w:firstLineChars="200"/>
        <w:textAlignment w:val="auto"/>
        <w:rPr>
          <w:rFonts w:hint="eastAsia" w:ascii="仿宋" w:hAnsi="仿宋" w:eastAsia="仿宋" w:cs="仿宋"/>
          <w:b/>
          <w:smallCaps/>
          <w:color w:val="auto"/>
          <w:spacing w:val="6"/>
          <w:sz w:val="28"/>
          <w:szCs w:val="28"/>
          <w:highlight w:val="none"/>
        </w:rPr>
      </w:pPr>
      <w:r>
        <w:rPr>
          <w:rFonts w:hint="eastAsia" w:ascii="仿宋" w:hAnsi="仿宋" w:eastAsia="仿宋" w:cs="仿宋"/>
          <w:color w:val="auto"/>
          <w:spacing w:val="6"/>
          <w:highlight w:val="none"/>
        </w:rPr>
        <w:br w:type="page"/>
      </w:r>
    </w:p>
    <w:p>
      <w:pPr>
        <w:pStyle w:val="5"/>
        <w:keepNext w:val="0"/>
        <w:keepLines w:val="0"/>
        <w:pageBreakBefore w:val="0"/>
        <w:kinsoku/>
        <w:wordWrap/>
        <w:overflowPunct/>
        <w:topLinePunct w:val="0"/>
        <w:autoSpaceDE/>
        <w:autoSpaceDN/>
        <w:bidi w:val="0"/>
        <w:spacing w:before="0" w:after="0" w:line="360" w:lineRule="auto"/>
        <w:ind w:left="0" w:leftChars="0" w:right="0" w:firstLine="586" w:firstLineChars="200"/>
        <w:textAlignment w:val="auto"/>
        <w:rPr>
          <w:rFonts w:hint="eastAsia" w:ascii="仿宋" w:hAnsi="仿宋" w:eastAsia="仿宋" w:cs="仿宋"/>
          <w:bCs/>
          <w:color w:val="auto"/>
          <w:highlight w:val="none"/>
        </w:rPr>
      </w:pPr>
      <w:r>
        <w:rPr>
          <w:rFonts w:hint="eastAsia" w:ascii="仿宋" w:hAnsi="仿宋" w:eastAsia="仿宋" w:cs="仿宋"/>
          <w:color w:val="auto"/>
          <w:spacing w:val="6"/>
          <w:highlight w:val="none"/>
        </w:rPr>
        <w:t>附件5：</w:t>
      </w:r>
      <w:r>
        <w:rPr>
          <w:rFonts w:hint="eastAsia" w:ascii="仿宋" w:hAnsi="仿宋" w:eastAsia="仿宋" w:cs="仿宋"/>
          <w:color w:val="auto"/>
          <w:highlight w:val="none"/>
        </w:rPr>
        <w:t>中小企业声明函</w:t>
      </w:r>
    </w:p>
    <w:p>
      <w:pPr>
        <w:keepNext w:val="0"/>
        <w:keepLines w:val="0"/>
        <w:pageBreakBefore w:val="0"/>
        <w:kinsoku/>
        <w:wordWrap/>
        <w:overflowPunct/>
        <w:topLinePunct w:val="0"/>
        <w:autoSpaceDE/>
        <w:autoSpaceDN/>
        <w:bidi w:val="0"/>
        <w:spacing w:after="0" w:line="360" w:lineRule="auto"/>
        <w:ind w:left="0" w:leftChars="0" w:right="0" w:firstLine="480" w:firstLineChars="200"/>
        <w:jc w:val="center"/>
        <w:textAlignment w:val="auto"/>
        <w:rPr>
          <w:rFonts w:hint="eastAsia" w:ascii="仿宋" w:hAnsi="仿宋" w:eastAsia="仿宋" w:cs="仿宋"/>
          <w:color w:val="auto"/>
          <w:highlight w:val="none"/>
          <w:u w:val="single"/>
        </w:rPr>
      </w:pPr>
    </w:p>
    <w:p>
      <w:pPr>
        <w:keepNext w:val="0"/>
        <w:keepLines w:val="0"/>
        <w:pageBreakBefore w:val="0"/>
        <w:kinsoku/>
        <w:wordWrap/>
        <w:overflowPunct/>
        <w:topLinePunct w:val="0"/>
        <w:autoSpaceDE/>
        <w:autoSpaceDN/>
        <w:bidi w:val="0"/>
        <w:spacing w:after="0" w:line="360" w:lineRule="auto"/>
        <w:ind w:left="0" w:leftChars="0" w:right="0" w:firstLine="643" w:firstLineChars="20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highlight w:val="none"/>
          <w:u w:val="single"/>
        </w:rPr>
        <w:t xml:space="preserve">（单位名称） </w:t>
      </w:r>
      <w:r>
        <w:rPr>
          <w:rFonts w:hint="eastAsia" w:ascii="仿宋" w:hAnsi="仿宋" w:eastAsia="仿宋" w:cs="仿宋"/>
          <w:color w:val="auto"/>
          <w:highlight w:val="none"/>
        </w:rPr>
        <w:t xml:space="preserve">的 </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 xml:space="preserve"> 采购活动，提供的货物全部由符合政策要求的中小企业制造。相关企业（含联合体中的中小企业、签订分包意向协议的中小企业）的具体情况如下：</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1. </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 xml:space="preserve"> ，属于 </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行业 ；制造商为</w:t>
      </w:r>
      <w:r>
        <w:rPr>
          <w:rFonts w:hint="eastAsia" w:ascii="仿宋" w:hAnsi="仿宋" w:eastAsia="仿宋" w:cs="仿宋"/>
          <w:color w:val="auto"/>
          <w:highlight w:val="none"/>
          <w:u w:val="single"/>
        </w:rPr>
        <w:t xml:space="preserve"> （企业名称）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w:t>
      </w:r>
      <w:r>
        <w:rPr>
          <w:rFonts w:hint="eastAsia" w:ascii="仿宋" w:hAnsi="仿宋" w:eastAsia="仿宋" w:cs="仿宋"/>
          <w:color w:val="auto"/>
          <w:highlight w:val="none"/>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 </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 xml:space="preserve"> ，属于 </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行业 ；制造商为</w:t>
      </w:r>
      <w:r>
        <w:rPr>
          <w:rFonts w:hint="eastAsia" w:ascii="仿宋" w:hAnsi="仿宋" w:eastAsia="仿宋" w:cs="仿宋"/>
          <w:color w:val="auto"/>
          <w:highlight w:val="none"/>
          <w:u w:val="single"/>
        </w:rPr>
        <w:t xml:space="preserve"> （企业名称）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w:t>
      </w:r>
      <w:r>
        <w:rPr>
          <w:rFonts w:hint="eastAsia" w:ascii="仿宋" w:hAnsi="仿宋" w:eastAsia="仿宋" w:cs="仿宋"/>
          <w:color w:val="auto"/>
          <w:highlight w:val="none"/>
        </w:rPr>
        <w:t xml:space="preserve"> ；</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pPr>
        <w:keepNext w:val="0"/>
        <w:keepLines w:val="0"/>
        <w:pageBreakBefore w:val="0"/>
        <w:kinsoku/>
        <w:wordWrap/>
        <w:overflowPunct/>
        <w:topLinePunct w:val="0"/>
        <w:autoSpaceDE/>
        <w:autoSpaceDN/>
        <w:bidi w:val="0"/>
        <w:snapToGrid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投标人名称(电子签名)：</w:t>
      </w:r>
    </w:p>
    <w:p>
      <w:pPr>
        <w:keepNext w:val="0"/>
        <w:keepLines w:val="0"/>
        <w:pageBreakBefore w:val="0"/>
        <w:kinsoku/>
        <w:wordWrap/>
        <w:overflowPunct/>
        <w:topLinePunct w:val="0"/>
        <w:autoSpaceDE/>
        <w:autoSpaceDN/>
        <w:bidi w:val="0"/>
        <w:snapToGrid w:val="0"/>
        <w:spacing w:after="0" w:line="360" w:lineRule="auto"/>
        <w:ind w:left="0" w:leftChars="0"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pPr>
        <w:keepNext w:val="0"/>
        <w:keepLines w:val="0"/>
        <w:pageBreakBefore w:val="0"/>
        <w:kinsoku/>
        <w:wordWrap/>
        <w:overflowPunct/>
        <w:topLinePunct w:val="0"/>
        <w:autoSpaceDE/>
        <w:autoSpaceDN/>
        <w:bidi w:val="0"/>
        <w:spacing w:after="0" w:line="360" w:lineRule="auto"/>
        <w:ind w:left="0" w:leftChars="0" w:right="0" w:firstLine="360" w:firstLineChars="20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kinsoku/>
        <w:wordWrap/>
        <w:overflowPunct/>
        <w:topLinePunct w:val="0"/>
        <w:autoSpaceDE/>
        <w:autoSpaceDN/>
        <w:bidi w:val="0"/>
        <w:spacing w:after="0" w:line="360" w:lineRule="auto"/>
        <w:ind w:left="0" w:leftChars="0" w:right="0"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keepNext w:val="0"/>
        <w:keepLines w:val="0"/>
        <w:pageBreakBefore w:val="0"/>
        <w:kinsoku/>
        <w:wordWrap/>
        <w:overflowPunct/>
        <w:topLinePunct w:val="0"/>
        <w:autoSpaceDE/>
        <w:autoSpaceDN/>
        <w:bidi w:val="0"/>
        <w:spacing w:after="0" w:line="360" w:lineRule="auto"/>
        <w:ind w:left="0" w:leftChars="0" w:right="0" w:firstLine="643" w:firstLineChars="20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highlight w:val="none"/>
          <w:u w:val="single"/>
        </w:rPr>
        <w:t xml:space="preserve">（单位名称）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（项目名称） </w:t>
      </w:r>
      <w:r>
        <w:rPr>
          <w:rFonts w:hint="eastAsia" w:ascii="仿宋" w:hAnsi="仿宋" w:eastAsia="仿宋" w:cs="仿宋"/>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1. </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 xml:space="preserve">，属于 </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 xml:space="preserve"> ；承建（承接）企业为 </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 </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 xml:space="preserve">，属于 </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 xml:space="preserve"> ；承建（承接）企业为 </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pPr>
        <w:keepNext w:val="0"/>
        <w:keepLines w:val="0"/>
        <w:pageBreakBefore w:val="0"/>
        <w:kinsoku/>
        <w:wordWrap/>
        <w:overflowPunct/>
        <w:topLinePunct w:val="0"/>
        <w:autoSpaceDE/>
        <w:autoSpaceDN/>
        <w:bidi w:val="0"/>
        <w:spacing w:after="0" w:line="360" w:lineRule="auto"/>
        <w:ind w:left="0" w:leftChars="0" w:right="0" w:firstLine="480" w:firstLineChars="200"/>
        <w:jc w:val="right"/>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投标人名称（电子签名）：</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日 期：</w:t>
      </w:r>
    </w:p>
    <w:p>
      <w:pPr>
        <w:keepNext w:val="0"/>
        <w:keepLines w:val="0"/>
        <w:pageBreakBefore w:val="0"/>
        <w:kinsoku/>
        <w:wordWrap/>
        <w:overflowPunct/>
        <w:topLinePunct w:val="0"/>
        <w:autoSpaceDE/>
        <w:autoSpaceDN/>
        <w:bidi w:val="0"/>
        <w:spacing w:after="0" w:line="360" w:lineRule="auto"/>
        <w:ind w:left="0" w:leftChars="0" w:right="0" w:firstLine="48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注：</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autoSpaceDE/>
        <w:autoSpaceDN/>
        <w:bidi w:val="0"/>
        <w:spacing w:before="0" w:after="0" w:line="360" w:lineRule="auto"/>
        <w:ind w:right="0"/>
        <w:jc w:val="left"/>
        <w:textAlignment w:val="auto"/>
        <w:rPr>
          <w:rFonts w:hint="eastAsia" w:ascii="仿宋" w:hAnsi="仿宋" w:eastAsia="仿宋" w:cs="仿宋"/>
          <w:color w:val="auto"/>
          <w:sz w:val="24"/>
          <w:highlight w:val="none"/>
        </w:rPr>
      </w:pPr>
      <w:r>
        <w:rPr>
          <w:rFonts w:hint="eastAsia" w:ascii="仿宋" w:hAnsi="仿宋" w:eastAsia="仿宋" w:cs="仿宋"/>
          <w:color w:val="auto"/>
          <w:highlight w:val="none"/>
        </w:rPr>
        <w:t>附件6样品（演示）授权委托书</w:t>
      </w:r>
    </w:p>
    <w:p>
      <w:pPr>
        <w:keepNext w:val="0"/>
        <w:keepLines w:val="0"/>
        <w:pageBreakBefore w:val="0"/>
        <w:kinsoku/>
        <w:wordWrap/>
        <w:overflowPunct/>
        <w:topLinePunct w:val="0"/>
        <w:autoSpaceDE/>
        <w:autoSpaceDN/>
        <w:bidi w:val="0"/>
        <w:spacing w:after="0" w:line="360" w:lineRule="auto"/>
        <w:ind w:left="0" w:leftChars="0" w:right="0" w:firstLine="800" w:firstLineChars="200"/>
        <w:jc w:val="center"/>
        <w:textAlignment w:val="auto"/>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keepNext w:val="0"/>
        <w:keepLines w:val="0"/>
        <w:pageBreakBefore w:val="0"/>
        <w:kinsoku/>
        <w:wordWrap/>
        <w:overflowPunct/>
        <w:topLinePunct w:val="0"/>
        <w:autoSpaceDE/>
        <w:autoSpaceDN/>
        <w:bidi w:val="0"/>
        <w:spacing w:after="0" w:line="360" w:lineRule="auto"/>
        <w:ind w:left="0" w:leftChars="0" w:right="0" w:firstLine="800" w:firstLineChars="200"/>
        <w:jc w:val="center"/>
        <w:textAlignment w:val="auto"/>
        <w:rPr>
          <w:rFonts w:hint="eastAsia" w:ascii="仿宋" w:hAnsi="仿宋" w:eastAsia="仿宋" w:cs="仿宋"/>
          <w:color w:val="auto"/>
          <w:sz w:val="40"/>
          <w:highlight w:val="none"/>
        </w:rPr>
      </w:pPr>
    </w:p>
    <w:p>
      <w:pPr>
        <w:keepNext w:val="0"/>
        <w:keepLines w:val="0"/>
        <w:pageBreakBefore w:val="0"/>
        <w:kinsoku/>
        <w:wordWrap/>
        <w:overflowPunct/>
        <w:topLinePunct w:val="0"/>
        <w:autoSpaceDE/>
        <w:autoSpaceDN/>
        <w:bidi w:val="0"/>
        <w:snapToGrid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keepNext w:val="0"/>
        <w:keepLines w:val="0"/>
        <w:pageBreakBefore w:val="0"/>
        <w:kinsoku/>
        <w:wordWrap/>
        <w:overflowPunct/>
        <w:topLinePunct w:val="0"/>
        <w:autoSpaceDE/>
        <w:autoSpaceDN/>
        <w:bidi w:val="0"/>
        <w:snapToGrid w:val="0"/>
        <w:spacing w:after="0" w:line="360" w:lineRule="auto"/>
        <w:ind w:left="0" w:leftChars="0" w:right="0" w:firstLine="480" w:firstLineChars="200"/>
        <w:textAlignment w:val="auto"/>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keepNext w:val="0"/>
        <w:keepLines w:val="0"/>
        <w:pageBreakBefore w:val="0"/>
        <w:kinsoku/>
        <w:wordWrap/>
        <w:overflowPunct/>
        <w:topLinePunct w:val="0"/>
        <w:autoSpaceDE/>
        <w:autoSpaceDN/>
        <w:bidi w:val="0"/>
        <w:snapToGrid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keepNext w:val="0"/>
        <w:keepLines w:val="0"/>
        <w:pageBreakBefore w:val="0"/>
        <w:kinsoku/>
        <w:wordWrap/>
        <w:overflowPunct/>
        <w:topLinePunct w:val="0"/>
        <w:autoSpaceDE/>
        <w:autoSpaceDN/>
        <w:bidi w:val="0"/>
        <w:snapToGrid w:val="0"/>
        <w:spacing w:after="0" w:line="360" w:lineRule="auto"/>
        <w:ind w:left="0" w:leftChars="0"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autoSpaceDE/>
        <w:autoSpaceDN/>
        <w:bidi w:val="0"/>
        <w:snapToGrid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keepNext w:val="0"/>
        <w:keepLines w:val="0"/>
        <w:pageBreakBefore w:val="0"/>
        <w:kinsoku/>
        <w:wordWrap/>
        <w:overflowPunct/>
        <w:topLinePunct w:val="0"/>
        <w:autoSpaceDE/>
        <w:autoSpaceDN/>
        <w:bidi w:val="0"/>
        <w:snapToGrid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keepNext w:val="0"/>
        <w:keepLines w:val="0"/>
        <w:pageBreakBefore w:val="0"/>
        <w:kinsoku/>
        <w:wordWrap/>
        <w:overflowPunct/>
        <w:topLinePunct w:val="0"/>
        <w:autoSpaceDE/>
        <w:autoSpaceDN/>
        <w:bidi w:val="0"/>
        <w:snapToGrid w:val="0"/>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autoSpaceDE/>
        <w:autoSpaceDN/>
        <w:bidi w:val="0"/>
        <w:snapToGrid w:val="0"/>
        <w:spacing w:after="0" w:line="360" w:lineRule="auto"/>
        <w:ind w:left="0" w:leftChars="0" w:right="0" w:firstLine="480" w:firstLineChars="200"/>
        <w:jc w:val="right"/>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keepNext w:val="0"/>
        <w:keepLines w:val="0"/>
        <w:pageBreakBefore w:val="0"/>
        <w:kinsoku/>
        <w:wordWrap/>
        <w:overflowPunct/>
        <w:topLinePunct w:val="0"/>
        <w:autoSpaceDE/>
        <w:autoSpaceDN/>
        <w:bidi w:val="0"/>
        <w:snapToGrid w:val="0"/>
        <w:spacing w:after="0" w:line="360" w:lineRule="auto"/>
        <w:ind w:left="0" w:leftChars="0" w:right="0" w:firstLine="480" w:firstLineChars="200"/>
        <w:jc w:val="right"/>
        <w:textAlignment w:val="auto"/>
        <w:rPr>
          <w:rFonts w:hint="eastAsia" w:ascii="仿宋" w:hAnsi="仿宋" w:eastAsia="仿宋" w:cs="仿宋"/>
          <w:color w:val="auto"/>
          <w:highlight w:val="none"/>
          <w:lang w:val="zh-CN"/>
        </w:rPr>
      </w:pPr>
    </w:p>
    <w:p>
      <w:pPr>
        <w:keepNext w:val="0"/>
        <w:keepLines w:val="0"/>
        <w:pageBreakBefore w:val="0"/>
        <w:kinsoku/>
        <w:wordWrap/>
        <w:overflowPunct/>
        <w:topLinePunct w:val="0"/>
        <w:autoSpaceDE/>
        <w:autoSpaceDN/>
        <w:bidi w:val="0"/>
        <w:snapToGrid w:val="0"/>
        <w:spacing w:after="0" w:line="360" w:lineRule="auto"/>
        <w:ind w:left="0" w:leftChars="0" w:right="0" w:firstLine="480" w:firstLineChars="200"/>
        <w:textAlignment w:val="auto"/>
        <w:rPr>
          <w:rFonts w:hint="eastAsia" w:ascii="仿宋" w:hAnsi="仿宋" w:eastAsia="仿宋" w:cs="仿宋"/>
          <w:color w:val="auto"/>
          <w:highlight w:val="none"/>
          <w:lang w:val="zh-CN"/>
        </w:rPr>
      </w:pPr>
    </w:p>
    <w:p>
      <w:pPr>
        <w:keepNext w:val="0"/>
        <w:keepLines w:val="0"/>
        <w:pageBreakBefore w:val="0"/>
        <w:kinsoku/>
        <w:wordWrap/>
        <w:overflowPunct/>
        <w:topLinePunct w:val="0"/>
        <w:autoSpaceDE/>
        <w:autoSpaceDN/>
        <w:bidi w:val="0"/>
        <w:snapToGrid w:val="0"/>
        <w:spacing w:after="0" w:line="360" w:lineRule="auto"/>
        <w:ind w:left="0" w:leftChars="0" w:right="0" w:firstLine="480" w:firstLineChars="200"/>
        <w:jc w:val="right"/>
        <w:textAlignment w:val="auto"/>
        <w:rPr>
          <w:rFonts w:hint="eastAsia" w:ascii="仿宋" w:hAnsi="仿宋" w:eastAsia="仿宋" w:cs="仿宋"/>
          <w:color w:val="auto"/>
          <w:highlight w:val="none"/>
          <w:lang w:val="zh-CN"/>
        </w:rPr>
      </w:pPr>
    </w:p>
    <w:p>
      <w:pPr>
        <w:keepNext w:val="0"/>
        <w:keepLines w:val="0"/>
        <w:pageBreakBefore w:val="0"/>
        <w:kinsoku/>
        <w:wordWrap/>
        <w:overflowPunct/>
        <w:topLinePunct w:val="0"/>
        <w:autoSpaceDE/>
        <w:autoSpaceDN/>
        <w:bidi w:val="0"/>
        <w:snapToGrid w:val="0"/>
        <w:spacing w:after="0" w:line="360" w:lineRule="auto"/>
        <w:ind w:left="0" w:leftChars="0"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keepNext w:val="0"/>
        <w:keepLines w:val="0"/>
        <w:pageBreakBefore w:val="0"/>
        <w:kinsoku/>
        <w:wordWrap/>
        <w:overflowPunct/>
        <w:topLinePunct w:val="0"/>
        <w:autoSpaceDE/>
        <w:autoSpaceDN/>
        <w:bidi w:val="0"/>
        <w:snapToGrid w:val="0"/>
        <w:spacing w:after="0" w:line="360" w:lineRule="auto"/>
        <w:ind w:left="0" w:leftChars="0" w:right="0" w:firstLine="480" w:firstLineChars="200"/>
        <w:textAlignment w:val="auto"/>
        <w:rPr>
          <w:rFonts w:hint="eastAsia" w:ascii="仿宋" w:hAnsi="仿宋" w:eastAsia="仿宋" w:cs="仿宋"/>
          <w:color w:val="auto"/>
          <w:highlight w:val="none"/>
          <w:lang w:val="zh-CN"/>
        </w:rPr>
      </w:pPr>
    </w:p>
    <w:p>
      <w:pPr>
        <w:keepNext w:val="0"/>
        <w:keepLines w:val="0"/>
        <w:pageBreakBefore w:val="0"/>
        <w:kinsoku/>
        <w:wordWrap/>
        <w:overflowPunct/>
        <w:topLinePunct w:val="0"/>
        <w:autoSpaceDE/>
        <w:autoSpaceDN/>
        <w:bidi w:val="0"/>
        <w:snapToGrid w:val="0"/>
        <w:spacing w:after="0" w:line="360" w:lineRule="auto"/>
        <w:ind w:left="0" w:leftChars="0" w:right="0"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keepNext w:val="0"/>
        <w:keepLines w:val="0"/>
        <w:pageBreakBefore w:val="0"/>
        <w:kinsoku/>
        <w:wordWrap/>
        <w:overflowPunct/>
        <w:topLinePunct w:val="0"/>
        <w:autoSpaceDE/>
        <w:autoSpaceDN/>
        <w:bidi w:val="0"/>
        <w:spacing w:after="0" w:line="360" w:lineRule="auto"/>
        <w:ind w:left="0" w:leftChars="0" w:righ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keepNext w:val="0"/>
        <w:keepLines w:val="0"/>
        <w:pageBreakBefore w:val="0"/>
        <w:kinsoku/>
        <w:wordWrap/>
        <w:overflowPunct/>
        <w:topLinePunct w:val="0"/>
        <w:autoSpaceDE/>
        <w:autoSpaceDN/>
        <w:bidi w:val="0"/>
        <w:spacing w:after="0" w:line="360" w:lineRule="auto"/>
        <w:ind w:left="0" w:leftChars="0" w:right="0" w:firstLine="480" w:firstLineChars="200"/>
        <w:textAlignment w:val="auto"/>
        <w:rPr>
          <w:rFonts w:hint="eastAsia" w:ascii="仿宋" w:hAnsi="仿宋" w:eastAsia="仿宋" w:cs="仿宋"/>
          <w:color w:val="auto"/>
          <w:highlight w:val="none"/>
        </w:rPr>
      </w:pPr>
    </w:p>
    <w:bookmarkEnd w:id="526"/>
    <w:sectPr>
      <w:pgSz w:w="11906" w:h="16838"/>
      <w:pgMar w:top="1440" w:right="1700" w:bottom="1440" w:left="180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4"/>
      </w:pBdr>
      <w:jc w:val="right"/>
    </w:pPr>
    <w:r>
      <w:t></w:t>
    </w:r>
    <w:r>
      <w:rPr>
        <w:rFonts w:hint="eastAsia"/>
      </w:rPr>
      <w:t xml:space="preserve">             </w:t>
    </w:r>
    <w:r>
      <w:t>杭州市政府采购公开招标文件</w:t>
    </w:r>
  </w:p>
  <w:p>
    <w:pPr>
      <w:pStyle w:val="21"/>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B8126"/>
    <w:multiLevelType w:val="singleLevel"/>
    <w:tmpl w:val="C86B8126"/>
    <w:lvl w:ilvl="0" w:tentative="0">
      <w:start w:val="2"/>
      <w:numFmt w:val="chineseCounting"/>
      <w:suff w:val="nothing"/>
      <w:lvlText w:val="（%1）"/>
      <w:lvlJc w:val="left"/>
      <w:rPr>
        <w:rFonts w:hint="eastAsia"/>
      </w:rPr>
    </w:lvl>
  </w:abstractNum>
  <w:abstractNum w:abstractNumId="1">
    <w:nsid w:val="5A3535A4"/>
    <w:multiLevelType w:val="singleLevel"/>
    <w:tmpl w:val="5A3535A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Q0OTVjMWQ1NzU5NDFlZTgzZTE5NjA4YWY5NjAifQ=="/>
  </w:docVars>
  <w:rsids>
    <w:rsidRoot w:val="004A31C0"/>
    <w:rsid w:val="00040E44"/>
    <w:rsid w:val="000506FE"/>
    <w:rsid w:val="00052F13"/>
    <w:rsid w:val="00062A5D"/>
    <w:rsid w:val="00083EEE"/>
    <w:rsid w:val="000C67BA"/>
    <w:rsid w:val="000D12B1"/>
    <w:rsid w:val="000E75F8"/>
    <w:rsid w:val="00106784"/>
    <w:rsid w:val="001375DB"/>
    <w:rsid w:val="001448FA"/>
    <w:rsid w:val="001478DA"/>
    <w:rsid w:val="00173428"/>
    <w:rsid w:val="001A3CF6"/>
    <w:rsid w:val="00240685"/>
    <w:rsid w:val="0024401D"/>
    <w:rsid w:val="002534A7"/>
    <w:rsid w:val="002E02E0"/>
    <w:rsid w:val="003169BC"/>
    <w:rsid w:val="0035778E"/>
    <w:rsid w:val="00380ED1"/>
    <w:rsid w:val="00381B1D"/>
    <w:rsid w:val="003A3435"/>
    <w:rsid w:val="003E2487"/>
    <w:rsid w:val="004105E2"/>
    <w:rsid w:val="00424619"/>
    <w:rsid w:val="00424A1D"/>
    <w:rsid w:val="00462F9D"/>
    <w:rsid w:val="004A31C0"/>
    <w:rsid w:val="00501CA3"/>
    <w:rsid w:val="00581054"/>
    <w:rsid w:val="005A325A"/>
    <w:rsid w:val="005A3BF2"/>
    <w:rsid w:val="0060320D"/>
    <w:rsid w:val="006511DA"/>
    <w:rsid w:val="00652051"/>
    <w:rsid w:val="0065383E"/>
    <w:rsid w:val="00661973"/>
    <w:rsid w:val="006657BD"/>
    <w:rsid w:val="006D161C"/>
    <w:rsid w:val="006F2568"/>
    <w:rsid w:val="006F282E"/>
    <w:rsid w:val="00706DC6"/>
    <w:rsid w:val="00711092"/>
    <w:rsid w:val="00716529"/>
    <w:rsid w:val="00725C59"/>
    <w:rsid w:val="00734973"/>
    <w:rsid w:val="00742C93"/>
    <w:rsid w:val="00744AB4"/>
    <w:rsid w:val="007B07B1"/>
    <w:rsid w:val="00825212"/>
    <w:rsid w:val="00843A59"/>
    <w:rsid w:val="00852E70"/>
    <w:rsid w:val="00872DA1"/>
    <w:rsid w:val="00873B8A"/>
    <w:rsid w:val="008B1281"/>
    <w:rsid w:val="008C3320"/>
    <w:rsid w:val="008F729B"/>
    <w:rsid w:val="009040D0"/>
    <w:rsid w:val="009064F4"/>
    <w:rsid w:val="00945503"/>
    <w:rsid w:val="009823B1"/>
    <w:rsid w:val="009863A6"/>
    <w:rsid w:val="0098739B"/>
    <w:rsid w:val="009B7259"/>
    <w:rsid w:val="009E6B47"/>
    <w:rsid w:val="00A31510"/>
    <w:rsid w:val="00A5394E"/>
    <w:rsid w:val="00A955FA"/>
    <w:rsid w:val="00AB3C03"/>
    <w:rsid w:val="00AC5A89"/>
    <w:rsid w:val="00AD3120"/>
    <w:rsid w:val="00B34428"/>
    <w:rsid w:val="00B50722"/>
    <w:rsid w:val="00B638D9"/>
    <w:rsid w:val="00B955CF"/>
    <w:rsid w:val="00C555C7"/>
    <w:rsid w:val="00CA5372"/>
    <w:rsid w:val="00CB3DBC"/>
    <w:rsid w:val="00CF35F3"/>
    <w:rsid w:val="00D03E3B"/>
    <w:rsid w:val="00D73271"/>
    <w:rsid w:val="00D901E0"/>
    <w:rsid w:val="00DB52AF"/>
    <w:rsid w:val="00DE7F9D"/>
    <w:rsid w:val="00E01C27"/>
    <w:rsid w:val="00E0322B"/>
    <w:rsid w:val="00E20696"/>
    <w:rsid w:val="00E428C8"/>
    <w:rsid w:val="00E81776"/>
    <w:rsid w:val="00E93AFC"/>
    <w:rsid w:val="00E94AF3"/>
    <w:rsid w:val="00ED389E"/>
    <w:rsid w:val="00EE2D23"/>
    <w:rsid w:val="00F577A9"/>
    <w:rsid w:val="00F66F6C"/>
    <w:rsid w:val="00F82240"/>
    <w:rsid w:val="00F872C5"/>
    <w:rsid w:val="00F906B9"/>
    <w:rsid w:val="00FD5896"/>
    <w:rsid w:val="05791E36"/>
    <w:rsid w:val="0ED7488F"/>
    <w:rsid w:val="10EC60D5"/>
    <w:rsid w:val="12BF0BBC"/>
    <w:rsid w:val="19CE2996"/>
    <w:rsid w:val="29894A8D"/>
    <w:rsid w:val="2BF10782"/>
    <w:rsid w:val="316A1604"/>
    <w:rsid w:val="317674FC"/>
    <w:rsid w:val="328F5F4B"/>
    <w:rsid w:val="335729D2"/>
    <w:rsid w:val="3C02567B"/>
    <w:rsid w:val="3CFA1ECB"/>
    <w:rsid w:val="3ECC671E"/>
    <w:rsid w:val="4AE04CFF"/>
    <w:rsid w:val="53B917ED"/>
    <w:rsid w:val="57BD120A"/>
    <w:rsid w:val="58B40ED8"/>
    <w:rsid w:val="5B5F64D8"/>
    <w:rsid w:val="5EE958AA"/>
    <w:rsid w:val="60967C38"/>
    <w:rsid w:val="63551EE0"/>
    <w:rsid w:val="650869CE"/>
    <w:rsid w:val="667101BF"/>
    <w:rsid w:val="793F1A6E"/>
    <w:rsid w:val="7A542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4">
    <w:name w:val="heading 1"/>
    <w:basedOn w:val="1"/>
    <w:next w:val="1"/>
    <w:link w:val="30"/>
    <w:qFormat/>
    <w:uiPriority w:val="9"/>
    <w:pPr>
      <w:spacing w:before="480" w:after="0"/>
      <w:contextualSpacing/>
      <w:jc w:val="center"/>
      <w:outlineLvl w:val="0"/>
    </w:pPr>
    <w:rPr>
      <w:rFonts w:ascii="仿宋_GB2312" w:eastAsia="仿宋_GB2312"/>
      <w:b/>
      <w:smallCaps/>
      <w:spacing w:val="5"/>
      <w:sz w:val="36"/>
      <w:szCs w:val="36"/>
    </w:rPr>
  </w:style>
  <w:style w:type="paragraph" w:styleId="5">
    <w:name w:val="heading 2"/>
    <w:basedOn w:val="1"/>
    <w:next w:val="1"/>
    <w:link w:val="31"/>
    <w:unhideWhenUsed/>
    <w:qFormat/>
    <w:uiPriority w:val="9"/>
    <w:pPr>
      <w:spacing w:before="200" w:after="0" w:line="271" w:lineRule="auto"/>
      <w:jc w:val="center"/>
      <w:outlineLvl w:val="1"/>
    </w:pPr>
    <w:rPr>
      <w:b/>
      <w:smallCaps/>
      <w:sz w:val="28"/>
      <w:szCs w:val="28"/>
    </w:rPr>
  </w:style>
  <w:style w:type="paragraph" w:styleId="6">
    <w:name w:val="heading 3"/>
    <w:basedOn w:val="1"/>
    <w:next w:val="1"/>
    <w:link w:val="32"/>
    <w:unhideWhenUsed/>
    <w:qFormat/>
    <w:uiPriority w:val="9"/>
    <w:pPr>
      <w:outlineLvl w:val="2"/>
    </w:pPr>
    <w:rPr>
      <w:b/>
    </w:rPr>
  </w:style>
  <w:style w:type="paragraph" w:styleId="7">
    <w:name w:val="heading 4"/>
    <w:basedOn w:val="1"/>
    <w:next w:val="1"/>
    <w:link w:val="33"/>
    <w:unhideWhenUsed/>
    <w:qFormat/>
    <w:uiPriority w:val="9"/>
    <w:pPr>
      <w:spacing w:after="0" w:line="271" w:lineRule="auto"/>
      <w:outlineLvl w:val="3"/>
    </w:pPr>
    <w:rPr>
      <w:b/>
      <w:bCs/>
      <w:spacing w:val="5"/>
    </w:rPr>
  </w:style>
  <w:style w:type="paragraph" w:styleId="8">
    <w:name w:val="heading 5"/>
    <w:basedOn w:val="1"/>
    <w:next w:val="1"/>
    <w:link w:val="34"/>
    <w:unhideWhenUsed/>
    <w:qFormat/>
    <w:uiPriority w:val="9"/>
    <w:pPr>
      <w:spacing w:after="0" w:line="271" w:lineRule="auto"/>
      <w:outlineLvl w:val="4"/>
    </w:pPr>
    <w:rPr>
      <w:i/>
      <w:iCs/>
    </w:rPr>
  </w:style>
  <w:style w:type="paragraph" w:styleId="9">
    <w:name w:val="heading 6"/>
    <w:basedOn w:val="1"/>
    <w:next w:val="1"/>
    <w:link w:val="35"/>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10">
    <w:name w:val="heading 7"/>
    <w:basedOn w:val="1"/>
    <w:next w:val="1"/>
    <w:link w:val="36"/>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1">
    <w:name w:val="heading 8"/>
    <w:basedOn w:val="1"/>
    <w:next w:val="1"/>
    <w:link w:val="37"/>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2">
    <w:name w:val="heading 9"/>
    <w:basedOn w:val="1"/>
    <w:next w:val="1"/>
    <w:link w:val="38"/>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sz w:val="24"/>
      <w:szCs w:val="21"/>
      <w:lang w:val="zh-CN"/>
    </w:rPr>
  </w:style>
  <w:style w:type="paragraph" w:styleId="3">
    <w:name w:val="Body Text First Indent"/>
    <w:basedOn w:val="2"/>
    <w:qFormat/>
    <w:uiPriority w:val="0"/>
    <w:pPr>
      <w:ind w:firstLine="420"/>
    </w:pPr>
    <w:rPr>
      <w:szCs w:val="20"/>
    </w:rPr>
  </w:style>
  <w:style w:type="paragraph" w:styleId="13">
    <w:name w:val="Normal Indent"/>
    <w:basedOn w:val="1"/>
    <w:link w:val="57"/>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4">
    <w:name w:val="caption"/>
    <w:basedOn w:val="1"/>
    <w:next w:val="1"/>
    <w:semiHidden/>
    <w:unhideWhenUsed/>
    <w:qFormat/>
    <w:uiPriority w:val="35"/>
    <w:rPr>
      <w:b/>
      <w:bCs/>
      <w:caps/>
      <w:sz w:val="16"/>
      <w:szCs w:val="18"/>
    </w:rPr>
  </w:style>
  <w:style w:type="paragraph" w:styleId="15">
    <w:name w:val="Body Text Indent"/>
    <w:basedOn w:val="1"/>
    <w:link w:val="60"/>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6">
    <w:name w:val="Plain Text"/>
    <w:basedOn w:val="1"/>
    <w:link w:val="58"/>
    <w:qFormat/>
    <w:uiPriority w:val="0"/>
    <w:pPr>
      <w:widowControl w:val="0"/>
      <w:adjustRightInd w:val="0"/>
      <w:spacing w:after="0"/>
      <w:jc w:val="both"/>
    </w:pPr>
    <w:rPr>
      <w:rFonts w:ascii="宋体" w:hAnsi="Courier New" w:eastAsia="宋体" w:cs="Arial"/>
      <w:snapToGrid w:val="0"/>
      <w:kern w:val="2"/>
      <w:sz w:val="21"/>
      <w:szCs w:val="21"/>
    </w:rPr>
  </w:style>
  <w:style w:type="paragraph" w:styleId="17">
    <w:name w:val="Balloon Text"/>
    <w:basedOn w:val="1"/>
    <w:link w:val="72"/>
    <w:semiHidden/>
    <w:unhideWhenUsed/>
    <w:qFormat/>
    <w:uiPriority w:val="99"/>
    <w:pPr>
      <w:spacing w:after="0"/>
    </w:pPr>
    <w:rPr>
      <w:sz w:val="18"/>
      <w:szCs w:val="18"/>
    </w:rPr>
  </w:style>
  <w:style w:type="paragraph" w:styleId="18">
    <w:name w:val="footer"/>
    <w:basedOn w:val="1"/>
    <w:link w:val="29"/>
    <w:unhideWhenUsed/>
    <w:qFormat/>
    <w:uiPriority w:val="99"/>
    <w:pPr>
      <w:tabs>
        <w:tab w:val="center" w:pos="4153"/>
        <w:tab w:val="right" w:pos="8306"/>
      </w:tabs>
      <w:snapToGrid w:val="0"/>
    </w:pPr>
    <w:rPr>
      <w:sz w:val="18"/>
      <w:szCs w:val="18"/>
    </w:rPr>
  </w:style>
  <w:style w:type="paragraph" w:styleId="19">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40"/>
    <w:qFormat/>
    <w:uiPriority w:val="11"/>
    <w:rPr>
      <w:i/>
      <w:iCs/>
      <w:smallCaps/>
      <w:spacing w:val="10"/>
      <w:sz w:val="28"/>
      <w:szCs w:val="28"/>
    </w:rPr>
  </w:style>
  <w:style w:type="paragraph" w:styleId="21">
    <w:name w:val="Title"/>
    <w:basedOn w:val="1"/>
    <w:next w:val="1"/>
    <w:link w:val="39"/>
    <w:qFormat/>
    <w:uiPriority w:val="10"/>
    <w:pPr>
      <w:spacing w:after="300"/>
      <w:contextualSpacing/>
    </w:pPr>
    <w:rPr>
      <w:smallCaps/>
      <w:sz w:val="52"/>
      <w:szCs w:val="52"/>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Emphasis"/>
    <w:qFormat/>
    <w:uiPriority w:val="20"/>
    <w:rPr>
      <w:b/>
      <w:bCs/>
      <w:i/>
      <w:iCs/>
      <w:spacing w:val="10"/>
    </w:rPr>
  </w:style>
  <w:style w:type="character" w:styleId="27">
    <w:name w:val="Hyperlink"/>
    <w:qFormat/>
    <w:uiPriority w:val="99"/>
    <w:rPr>
      <w:rFonts w:ascii="Arial" w:hAnsi="Arial" w:eastAsia="黑体" w:cs="Arial"/>
      <w:snapToGrid w:val="0"/>
      <w:color w:val="000000"/>
      <w:kern w:val="0"/>
      <w:sz w:val="18"/>
      <w:szCs w:val="18"/>
      <w:u w:val="none"/>
    </w:rPr>
  </w:style>
  <w:style w:type="character" w:customStyle="1" w:styleId="28">
    <w:name w:val="页眉 Char"/>
    <w:basedOn w:val="24"/>
    <w:link w:val="19"/>
    <w:qFormat/>
    <w:uiPriority w:val="99"/>
    <w:rPr>
      <w:sz w:val="18"/>
      <w:szCs w:val="18"/>
    </w:rPr>
  </w:style>
  <w:style w:type="character" w:customStyle="1" w:styleId="29">
    <w:name w:val="页脚 Char"/>
    <w:basedOn w:val="24"/>
    <w:link w:val="18"/>
    <w:qFormat/>
    <w:uiPriority w:val="99"/>
    <w:rPr>
      <w:sz w:val="18"/>
      <w:szCs w:val="18"/>
    </w:rPr>
  </w:style>
  <w:style w:type="character" w:customStyle="1" w:styleId="30">
    <w:name w:val="标题 1 Char"/>
    <w:basedOn w:val="24"/>
    <w:link w:val="4"/>
    <w:qFormat/>
    <w:uiPriority w:val="9"/>
    <w:rPr>
      <w:rFonts w:ascii="仿宋_GB2312" w:hAnsi="仿宋" w:eastAsia="仿宋_GB2312"/>
      <w:b/>
      <w:smallCaps/>
      <w:spacing w:val="5"/>
      <w:sz w:val="36"/>
      <w:szCs w:val="36"/>
    </w:rPr>
  </w:style>
  <w:style w:type="character" w:customStyle="1" w:styleId="31">
    <w:name w:val="标题 2 Char"/>
    <w:basedOn w:val="24"/>
    <w:link w:val="5"/>
    <w:qFormat/>
    <w:uiPriority w:val="9"/>
    <w:rPr>
      <w:rFonts w:ascii="仿宋" w:hAnsi="仿宋" w:eastAsia="仿宋"/>
      <w:b/>
      <w:smallCaps/>
      <w:sz w:val="28"/>
      <w:szCs w:val="28"/>
    </w:rPr>
  </w:style>
  <w:style w:type="character" w:customStyle="1" w:styleId="32">
    <w:name w:val="标题 3 Char"/>
    <w:basedOn w:val="24"/>
    <w:link w:val="6"/>
    <w:qFormat/>
    <w:uiPriority w:val="9"/>
    <w:rPr>
      <w:rFonts w:ascii="仿宋" w:hAnsi="仿宋" w:eastAsia="仿宋"/>
      <w:b/>
      <w:sz w:val="24"/>
      <w:szCs w:val="24"/>
    </w:rPr>
  </w:style>
  <w:style w:type="character" w:customStyle="1" w:styleId="33">
    <w:name w:val="标题 4 Char"/>
    <w:basedOn w:val="24"/>
    <w:link w:val="7"/>
    <w:qFormat/>
    <w:uiPriority w:val="9"/>
    <w:rPr>
      <w:b/>
      <w:bCs/>
      <w:spacing w:val="5"/>
      <w:sz w:val="24"/>
      <w:szCs w:val="24"/>
    </w:rPr>
  </w:style>
  <w:style w:type="character" w:customStyle="1" w:styleId="34">
    <w:name w:val="标题 5 Char"/>
    <w:basedOn w:val="24"/>
    <w:link w:val="8"/>
    <w:qFormat/>
    <w:uiPriority w:val="9"/>
    <w:rPr>
      <w:i/>
      <w:iCs/>
      <w:sz w:val="24"/>
      <w:szCs w:val="24"/>
    </w:rPr>
  </w:style>
  <w:style w:type="character" w:customStyle="1" w:styleId="35">
    <w:name w:val="标题 6 Char"/>
    <w:basedOn w:val="24"/>
    <w:link w:val="9"/>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6">
    <w:name w:val="标题 7 Char"/>
    <w:basedOn w:val="24"/>
    <w:link w:val="10"/>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37">
    <w:name w:val="标题 8 Char"/>
    <w:basedOn w:val="24"/>
    <w:link w:val="11"/>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38">
    <w:name w:val="标题 9 Char"/>
    <w:basedOn w:val="24"/>
    <w:link w:val="12"/>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39">
    <w:name w:val="标题 Char"/>
    <w:basedOn w:val="24"/>
    <w:link w:val="21"/>
    <w:qFormat/>
    <w:uiPriority w:val="10"/>
    <w:rPr>
      <w:smallCaps/>
      <w:sz w:val="52"/>
      <w:szCs w:val="52"/>
    </w:rPr>
  </w:style>
  <w:style w:type="character" w:customStyle="1" w:styleId="40">
    <w:name w:val="副标题 Char"/>
    <w:basedOn w:val="24"/>
    <w:link w:val="20"/>
    <w:qFormat/>
    <w:uiPriority w:val="11"/>
    <w:rPr>
      <w:i/>
      <w:iCs/>
      <w:smallCaps/>
      <w:spacing w:val="10"/>
      <w:sz w:val="28"/>
      <w:szCs w:val="28"/>
    </w:rPr>
  </w:style>
  <w:style w:type="paragraph" w:styleId="41">
    <w:name w:val="No Spacing"/>
    <w:basedOn w:val="1"/>
    <w:link w:val="53"/>
    <w:qFormat/>
    <w:uiPriority w:val="1"/>
    <w:pPr>
      <w:spacing w:after="0"/>
    </w:pPr>
  </w:style>
  <w:style w:type="paragraph" w:styleId="42">
    <w:name w:val="List Paragraph"/>
    <w:basedOn w:val="1"/>
    <w:qFormat/>
    <w:uiPriority w:val="34"/>
    <w:pPr>
      <w:ind w:left="720"/>
      <w:contextualSpacing/>
    </w:pPr>
  </w:style>
  <w:style w:type="paragraph" w:styleId="43">
    <w:name w:val="Quote"/>
    <w:basedOn w:val="1"/>
    <w:next w:val="1"/>
    <w:link w:val="44"/>
    <w:qFormat/>
    <w:uiPriority w:val="29"/>
    <w:rPr>
      <w:i/>
      <w:iCs/>
    </w:rPr>
  </w:style>
  <w:style w:type="character" w:customStyle="1" w:styleId="44">
    <w:name w:val="引用 Char"/>
    <w:basedOn w:val="24"/>
    <w:link w:val="43"/>
    <w:qFormat/>
    <w:uiPriority w:val="29"/>
    <w:rPr>
      <w:i/>
      <w:iCs/>
    </w:rPr>
  </w:style>
  <w:style w:type="paragraph" w:styleId="45">
    <w:name w:val="Intense Quote"/>
    <w:basedOn w:val="1"/>
    <w:next w:val="1"/>
    <w:link w:val="46"/>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6">
    <w:name w:val="明显引用 Char"/>
    <w:basedOn w:val="24"/>
    <w:link w:val="45"/>
    <w:qFormat/>
    <w:uiPriority w:val="30"/>
    <w:rPr>
      <w:i/>
      <w:iCs/>
    </w:rPr>
  </w:style>
  <w:style w:type="character" w:customStyle="1" w:styleId="47">
    <w:name w:val="不明显强调1"/>
    <w:qFormat/>
    <w:uiPriority w:val="19"/>
    <w:rPr>
      <w:i/>
      <w:iCs/>
    </w:rPr>
  </w:style>
  <w:style w:type="character" w:customStyle="1" w:styleId="48">
    <w:name w:val="明显强调1"/>
    <w:qFormat/>
    <w:uiPriority w:val="21"/>
    <w:rPr>
      <w:b/>
      <w:bCs/>
      <w:i/>
      <w:iCs/>
    </w:rPr>
  </w:style>
  <w:style w:type="character" w:customStyle="1" w:styleId="49">
    <w:name w:val="不明显参考1"/>
    <w:basedOn w:val="24"/>
    <w:qFormat/>
    <w:uiPriority w:val="31"/>
    <w:rPr>
      <w:smallCaps/>
    </w:rPr>
  </w:style>
  <w:style w:type="character" w:customStyle="1" w:styleId="50">
    <w:name w:val="明显参考1"/>
    <w:qFormat/>
    <w:uiPriority w:val="32"/>
    <w:rPr>
      <w:b/>
      <w:bCs/>
      <w:smallCaps/>
    </w:rPr>
  </w:style>
  <w:style w:type="character" w:customStyle="1" w:styleId="51">
    <w:name w:val="书籍标题1"/>
    <w:basedOn w:val="24"/>
    <w:qFormat/>
    <w:uiPriority w:val="33"/>
    <w:rPr>
      <w:i/>
      <w:iCs/>
      <w:smallCaps/>
      <w:spacing w:val="5"/>
    </w:rPr>
  </w:style>
  <w:style w:type="paragraph" w:customStyle="1" w:styleId="52">
    <w:name w:val="TOC 标题1"/>
    <w:basedOn w:val="4"/>
    <w:next w:val="1"/>
    <w:semiHidden/>
    <w:unhideWhenUsed/>
    <w:qFormat/>
    <w:uiPriority w:val="39"/>
    <w:pPr>
      <w:outlineLvl w:val="9"/>
    </w:pPr>
    <w:rPr>
      <w:lang w:bidi="en-US"/>
    </w:rPr>
  </w:style>
  <w:style w:type="character" w:customStyle="1" w:styleId="53">
    <w:name w:val="无间隔 Char"/>
    <w:basedOn w:val="24"/>
    <w:link w:val="41"/>
    <w:qFormat/>
    <w:uiPriority w:val="1"/>
  </w:style>
  <w:style w:type="paragraph" w:customStyle="1" w:styleId="54">
    <w:name w:val="Personal Name"/>
    <w:basedOn w:val="21"/>
    <w:qFormat/>
    <w:uiPriority w:val="0"/>
    <w:rPr>
      <w:b/>
      <w:caps/>
      <w:color w:val="000000"/>
      <w:sz w:val="28"/>
      <w:szCs w:val="28"/>
    </w:rPr>
  </w:style>
  <w:style w:type="character" w:customStyle="1" w:styleId="55">
    <w:name w:val="正文2 Char Char"/>
    <w:link w:val="56"/>
    <w:qFormat/>
    <w:uiPriority w:val="0"/>
    <w:rPr>
      <w:rFonts w:ascii="仿宋" w:hAnsi="仿宋" w:eastAsia="仿宋"/>
      <w:sz w:val="24"/>
      <w:szCs w:val="24"/>
    </w:rPr>
  </w:style>
  <w:style w:type="paragraph" w:customStyle="1" w:styleId="56">
    <w:name w:val="正文2"/>
    <w:basedOn w:val="1"/>
    <w:link w:val="55"/>
    <w:qFormat/>
    <w:uiPriority w:val="0"/>
    <w:pPr>
      <w:spacing w:line="360" w:lineRule="auto"/>
    </w:pPr>
  </w:style>
  <w:style w:type="character" w:customStyle="1" w:styleId="57">
    <w:name w:val="正文缩进 Char"/>
    <w:link w:val="13"/>
    <w:qFormat/>
    <w:uiPriority w:val="0"/>
    <w:rPr>
      <w:rFonts w:ascii="宋体" w:hAnsi="Times New Roman" w:eastAsia="宋体" w:cs="Times New Roman"/>
      <w:snapToGrid w:val="0"/>
      <w:color w:val="000000"/>
      <w:kern w:val="28"/>
      <w:sz w:val="28"/>
      <w:szCs w:val="20"/>
    </w:rPr>
  </w:style>
  <w:style w:type="character" w:customStyle="1" w:styleId="58">
    <w:name w:val="纯文本 Char"/>
    <w:basedOn w:val="24"/>
    <w:link w:val="16"/>
    <w:qFormat/>
    <w:uiPriority w:val="0"/>
    <w:rPr>
      <w:rFonts w:ascii="宋体" w:hAnsi="Courier New" w:eastAsia="宋体" w:cs="Arial"/>
      <w:snapToGrid w:val="0"/>
      <w:kern w:val="2"/>
      <w:sz w:val="21"/>
      <w:szCs w:val="21"/>
    </w:rPr>
  </w:style>
  <w:style w:type="character" w:customStyle="1" w:styleId="59">
    <w:name w:val="正文文本缩进 Char"/>
    <w:basedOn w:val="24"/>
    <w:semiHidden/>
    <w:qFormat/>
    <w:uiPriority w:val="99"/>
    <w:rPr>
      <w:rFonts w:ascii="仿宋" w:hAnsi="仿宋" w:eastAsia="仿宋"/>
      <w:sz w:val="24"/>
      <w:szCs w:val="24"/>
    </w:rPr>
  </w:style>
  <w:style w:type="character" w:customStyle="1" w:styleId="60">
    <w:name w:val="正文文本缩进 Char1"/>
    <w:link w:val="15"/>
    <w:qFormat/>
    <w:uiPriority w:val="0"/>
    <w:rPr>
      <w:rFonts w:ascii="宋体" w:hAnsi="宋体" w:eastAsia="宋体" w:cs="Times New Roman"/>
      <w:kern w:val="2"/>
      <w:sz w:val="24"/>
      <w:szCs w:val="24"/>
    </w:rPr>
  </w:style>
  <w:style w:type="character" w:customStyle="1" w:styleId="61">
    <w:name w:val="标题 Char2"/>
    <w:qFormat/>
    <w:uiPriority w:val="10"/>
    <w:rPr>
      <w:b/>
      <w:sz w:val="24"/>
      <w:lang w:val="en-GB"/>
    </w:rPr>
  </w:style>
  <w:style w:type="character" w:customStyle="1" w:styleId="62">
    <w:name w:val="纯文本 Char1"/>
    <w:link w:val="63"/>
    <w:qFormat/>
    <w:uiPriority w:val="0"/>
    <w:rPr>
      <w:rFonts w:ascii="宋体" w:hAnsi="Courier New"/>
    </w:rPr>
  </w:style>
  <w:style w:type="paragraph" w:customStyle="1" w:styleId="63">
    <w:name w:val="纯文本1"/>
    <w:basedOn w:val="1"/>
    <w:link w:val="62"/>
    <w:qFormat/>
    <w:uiPriority w:val="0"/>
    <w:pPr>
      <w:widowControl w:val="0"/>
      <w:spacing w:after="0"/>
      <w:jc w:val="both"/>
    </w:pPr>
    <w:rPr>
      <w:rFonts w:ascii="宋体" w:hAnsi="Courier New" w:eastAsiaTheme="majorEastAsia"/>
      <w:sz w:val="22"/>
      <w:szCs w:val="22"/>
    </w:rPr>
  </w:style>
  <w:style w:type="character" w:customStyle="1" w:styleId="64">
    <w:name w:val="页脚 Char2"/>
    <w:qFormat/>
    <w:locked/>
    <w:uiPriority w:val="99"/>
    <w:rPr>
      <w:kern w:val="2"/>
      <w:sz w:val="18"/>
      <w:szCs w:val="18"/>
    </w:rPr>
  </w:style>
  <w:style w:type="character" w:customStyle="1" w:styleId="65">
    <w:name w:val="页眉 Char2"/>
    <w:qFormat/>
    <w:uiPriority w:val="99"/>
    <w:rPr>
      <w:kern w:val="2"/>
      <w:sz w:val="18"/>
      <w:szCs w:val="18"/>
    </w:rPr>
  </w:style>
  <w:style w:type="paragraph" w:customStyle="1" w:styleId="66">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67">
    <w:name w:val="正文缩进1"/>
    <w:basedOn w:val="1"/>
    <w:next w:val="15"/>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68">
    <w:name w:val="text-tag"/>
    <w:basedOn w:val="1"/>
    <w:semiHidden/>
    <w:qFormat/>
    <w:uiPriority w:val="99"/>
    <w:pPr>
      <w:spacing w:before="100" w:beforeAutospacing="1" w:after="100" w:afterAutospacing="1"/>
    </w:pPr>
    <w:rPr>
      <w:rFonts w:ascii="宋体" w:hAnsi="宋体" w:eastAsia="宋体" w:cs="宋体"/>
    </w:rPr>
  </w:style>
  <w:style w:type="character" w:customStyle="1" w:styleId="69">
    <w:name w:val="纯文本 Char_0"/>
    <w:link w:val="70"/>
    <w:qFormat/>
    <w:uiPriority w:val="0"/>
    <w:rPr>
      <w:rFonts w:ascii="宋体" w:hAnsi="Courier New"/>
      <w:kern w:val="2"/>
      <w:sz w:val="21"/>
      <w:szCs w:val="21"/>
    </w:rPr>
  </w:style>
  <w:style w:type="paragraph" w:customStyle="1" w:styleId="70">
    <w:name w:val="纯文本_0_0"/>
    <w:basedOn w:val="1"/>
    <w:link w:val="69"/>
    <w:qFormat/>
    <w:uiPriority w:val="0"/>
    <w:pPr>
      <w:widowControl w:val="0"/>
      <w:spacing w:after="0"/>
      <w:jc w:val="both"/>
    </w:pPr>
    <w:rPr>
      <w:rFonts w:ascii="宋体" w:hAnsi="Courier New" w:eastAsiaTheme="majorEastAsia"/>
      <w:kern w:val="2"/>
      <w:sz w:val="21"/>
      <w:szCs w:val="21"/>
    </w:rPr>
  </w:style>
  <w:style w:type="paragraph" w:customStyle="1" w:styleId="71">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2">
    <w:name w:val="批注框文本 Char"/>
    <w:basedOn w:val="24"/>
    <w:link w:val="17"/>
    <w:semiHidden/>
    <w:qFormat/>
    <w:uiPriority w:val="99"/>
    <w:rPr>
      <w:rFonts w:ascii="仿宋" w:hAnsi="仿宋" w:eastAsia="仿宋"/>
      <w:sz w:val="18"/>
      <w:szCs w:val="18"/>
    </w:rPr>
  </w:style>
  <w:style w:type="character" w:customStyle="1" w:styleId="73">
    <w:name w:val="font21"/>
    <w:basedOn w:val="24"/>
    <w:qFormat/>
    <w:uiPriority w:val="0"/>
    <w:rPr>
      <w:rFonts w:hint="eastAsia" w:ascii="仿宋" w:hAnsi="仿宋" w:eastAsia="仿宋" w:cs="仿宋"/>
      <w:b/>
      <w:bCs/>
      <w:color w:val="000000"/>
      <w:sz w:val="24"/>
      <w:szCs w:val="24"/>
      <w:u w:val="none"/>
    </w:rPr>
  </w:style>
  <w:style w:type="character" w:customStyle="1" w:styleId="74">
    <w:name w:val="font71"/>
    <w:basedOn w:val="24"/>
    <w:qFormat/>
    <w:uiPriority w:val="0"/>
    <w:rPr>
      <w:rFonts w:hint="eastAsia" w:ascii="宋体" w:hAnsi="宋体" w:eastAsia="宋体" w:cs="宋体"/>
      <w:b/>
      <w:bCs/>
      <w:color w:val="000000"/>
      <w:sz w:val="24"/>
      <w:szCs w:val="24"/>
      <w:u w:val="none"/>
    </w:rPr>
  </w:style>
  <w:style w:type="character" w:customStyle="1" w:styleId="75">
    <w:name w:val="font31"/>
    <w:basedOn w:val="24"/>
    <w:qFormat/>
    <w:uiPriority w:val="0"/>
    <w:rPr>
      <w:rFonts w:hint="eastAsia" w:ascii="仿宋" w:hAnsi="仿宋" w:eastAsia="仿宋" w:cs="仿宋"/>
      <w:color w:val="000000"/>
      <w:sz w:val="24"/>
      <w:szCs w:val="24"/>
      <w:u w:val="none"/>
    </w:rPr>
  </w:style>
  <w:style w:type="character" w:customStyle="1" w:styleId="76">
    <w:name w:val="font11"/>
    <w:basedOn w:val="24"/>
    <w:qFormat/>
    <w:uiPriority w:val="0"/>
    <w:rPr>
      <w:rFonts w:hint="eastAsia" w:ascii="宋体" w:hAnsi="宋体" w:eastAsia="宋体" w:cs="宋体"/>
      <w:color w:val="000000"/>
      <w:sz w:val="22"/>
      <w:szCs w:val="22"/>
      <w:u w:val="none"/>
    </w:rPr>
  </w:style>
  <w:style w:type="character" w:customStyle="1" w:styleId="77">
    <w:name w:val="font101"/>
    <w:basedOn w:val="2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E9672-B487-489B-8A08-A21C17F143A4}">
  <ds:schemaRefs/>
</ds:datastoreItem>
</file>

<file path=docProps/app.xml><?xml version="1.0" encoding="utf-8"?>
<Properties xmlns="http://schemas.openxmlformats.org/officeDocument/2006/extended-properties" xmlns:vt="http://schemas.openxmlformats.org/officeDocument/2006/docPropsVTypes">
  <Template>Normal.dotm</Template>
  <Pages>94</Pages>
  <Words>48119</Words>
  <Characters>50945</Characters>
  <Lines>306</Lines>
  <Paragraphs>86</Paragraphs>
  <TotalTime>8</TotalTime>
  <ScaleCrop>false</ScaleCrop>
  <LinksUpToDate>false</LinksUpToDate>
  <CharactersWithSpaces>56499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A阿军。！</cp:lastModifiedBy>
  <cp:lastPrinted>2022-09-26T07:18:00Z</cp:lastPrinted>
  <dcterms:modified xsi:type="dcterms:W3CDTF">2022-09-30T07:42:39Z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2D28261E567A46109CD5FCA3151A5444</vt:lpwstr>
  </property>
</Properties>
</file>