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仿宋" w:hAnsi="仿宋" w:eastAsia="仿宋" w:cs="仿宋"/>
          <w:b/>
          <w:color w:val="auto"/>
          <w:sz w:val="56"/>
          <w:szCs w:val="56"/>
          <w:lang w:eastAsia="zh-CN"/>
        </w:rPr>
      </w:pPr>
      <w:r>
        <w:rPr>
          <w:rFonts w:hint="eastAsia" w:ascii="仿宋" w:hAnsi="仿宋" w:eastAsia="仿宋" w:cs="仿宋"/>
          <w:b/>
          <w:color w:val="auto"/>
          <w:sz w:val="56"/>
          <w:szCs w:val="56"/>
          <w:lang w:eastAsia="zh-CN"/>
        </w:rPr>
        <w:t>武义县公共卫生中心实验楼和血站专业改造项目</w:t>
      </w:r>
    </w:p>
    <w:p>
      <w:pPr>
        <w:autoSpaceDE/>
        <w:autoSpaceDN/>
        <w:spacing w:line="312" w:lineRule="auto"/>
        <w:jc w:val="center"/>
        <w:rPr>
          <w:rFonts w:ascii="仿宋" w:hAnsi="仿宋" w:eastAsia="仿宋" w:cs="仿宋"/>
          <w:b/>
          <w:bCs/>
          <w:color w:val="auto"/>
          <w:sz w:val="84"/>
          <w:szCs w:val="84"/>
        </w:rPr>
      </w:pPr>
    </w:p>
    <w:p>
      <w:pPr>
        <w:autoSpaceDE/>
        <w:autoSpaceDN/>
        <w:spacing w:line="312" w:lineRule="auto"/>
        <w:jc w:val="center"/>
        <w:rPr>
          <w:rFonts w:ascii="仿宋" w:hAnsi="仿宋" w:eastAsia="仿宋" w:cs="仿宋"/>
          <w:b/>
          <w:bCs/>
          <w:color w:val="auto"/>
          <w:sz w:val="84"/>
          <w:szCs w:val="84"/>
        </w:rPr>
      </w:pPr>
    </w:p>
    <w:p>
      <w:pPr>
        <w:autoSpaceDE/>
        <w:autoSpaceDN/>
        <w:spacing w:line="312" w:lineRule="auto"/>
        <w:jc w:val="center"/>
        <w:rPr>
          <w:rFonts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pPr>
        <w:pStyle w:val="13"/>
        <w:snapToGrid w:val="0"/>
        <w:spacing w:before="120" w:after="120" w:line="312" w:lineRule="auto"/>
        <w:jc w:val="center"/>
        <w:rPr>
          <w:rFonts w:ascii="仿宋" w:hAnsi="仿宋" w:eastAsia="仿宋" w:cs="仿宋"/>
          <w:b/>
          <w:bCs/>
          <w:color w:val="auto"/>
          <w:w w:val="95"/>
          <w:kern w:val="0"/>
          <w:sz w:val="30"/>
          <w:szCs w:val="30"/>
        </w:rPr>
      </w:pPr>
    </w:p>
    <w:p>
      <w:pPr>
        <w:pStyle w:val="13"/>
        <w:snapToGrid w:val="0"/>
        <w:spacing w:before="120" w:after="120" w:line="312" w:lineRule="auto"/>
        <w:jc w:val="center"/>
        <w:rPr>
          <w:rFonts w:ascii="仿宋" w:hAnsi="仿宋" w:eastAsia="仿宋" w:cs="仿宋"/>
          <w:b/>
          <w:bCs/>
          <w:color w:val="auto"/>
          <w:w w:val="95"/>
          <w:kern w:val="0"/>
          <w:sz w:val="30"/>
          <w:szCs w:val="30"/>
        </w:rPr>
      </w:pPr>
    </w:p>
    <w:p>
      <w:pPr>
        <w:pStyle w:val="13"/>
        <w:snapToGrid w:val="0"/>
        <w:spacing w:before="120" w:after="120" w:line="312" w:lineRule="auto"/>
        <w:jc w:val="center"/>
        <w:rPr>
          <w:rFonts w:ascii="仿宋" w:hAnsi="仿宋" w:eastAsia="仿宋" w:cs="仿宋"/>
          <w:b/>
          <w:bCs/>
          <w:color w:val="auto"/>
          <w:w w:val="95"/>
          <w:kern w:val="0"/>
          <w:sz w:val="30"/>
          <w:szCs w:val="30"/>
        </w:rPr>
      </w:pPr>
    </w:p>
    <w:p>
      <w:pPr>
        <w:pStyle w:val="13"/>
        <w:snapToGrid w:val="0"/>
        <w:spacing w:before="120" w:after="120" w:line="312" w:lineRule="auto"/>
        <w:jc w:val="center"/>
        <w:rPr>
          <w:rFonts w:ascii="仿宋" w:hAnsi="仿宋" w:eastAsia="仿宋" w:cs="仿宋"/>
          <w:b/>
          <w:bCs/>
          <w:color w:val="auto"/>
          <w:w w:val="95"/>
          <w:kern w:val="0"/>
          <w:sz w:val="30"/>
          <w:szCs w:val="30"/>
        </w:rPr>
      </w:pPr>
    </w:p>
    <w:p>
      <w:pPr>
        <w:pStyle w:val="13"/>
        <w:snapToGrid w:val="0"/>
        <w:spacing w:before="120" w:after="120" w:line="312" w:lineRule="auto"/>
        <w:jc w:val="center"/>
        <w:rPr>
          <w:rFonts w:ascii="仿宋" w:hAnsi="仿宋" w:eastAsia="仿宋" w:cs="仿宋"/>
          <w:b/>
          <w:bCs/>
          <w:color w:val="auto"/>
          <w:w w:val="95"/>
          <w:kern w:val="0"/>
          <w:sz w:val="30"/>
          <w:szCs w:val="30"/>
        </w:rPr>
      </w:pPr>
    </w:p>
    <w:p>
      <w:pPr>
        <w:keepNext w:val="0"/>
        <w:keepLines w:val="0"/>
        <w:pageBreakBefore w:val="0"/>
        <w:widowControl w:val="0"/>
        <w:kinsoku/>
        <w:wordWrap/>
        <w:overflowPunct/>
        <w:topLinePunct w:val="0"/>
        <w:bidi w:val="0"/>
        <w:spacing w:line="600" w:lineRule="auto"/>
        <w:ind w:firstLine="1124" w:firstLineChars="35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lang w:eastAsia="zh-CN"/>
        </w:rPr>
        <w:t>JHTK-ZB2022244</w:t>
      </w:r>
    </w:p>
    <w:p>
      <w:pPr>
        <w:keepNext w:val="0"/>
        <w:keepLines w:val="0"/>
        <w:pageBreakBefore w:val="0"/>
        <w:widowControl w:val="0"/>
        <w:kinsoku/>
        <w:wordWrap/>
        <w:overflowPunct/>
        <w:topLinePunct w:val="0"/>
        <w:bidi w:val="0"/>
        <w:spacing w:line="600" w:lineRule="auto"/>
        <w:ind w:firstLine="1124" w:firstLineChars="35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采购单位：</w:t>
      </w:r>
      <w:r>
        <w:rPr>
          <w:rFonts w:hint="eastAsia" w:ascii="仿宋" w:hAnsi="仿宋" w:eastAsia="仿宋" w:cs="仿宋"/>
          <w:b/>
          <w:bCs/>
          <w:color w:val="auto"/>
          <w:sz w:val="32"/>
          <w:szCs w:val="32"/>
          <w:lang w:eastAsia="zh-CN"/>
        </w:rPr>
        <w:t>武义县疾病预防控制中心</w:t>
      </w:r>
      <w:r>
        <w:rPr>
          <w:rFonts w:hint="eastAsia" w:ascii="仿宋" w:hAnsi="仿宋" w:eastAsia="仿宋" w:cs="仿宋"/>
          <w:b/>
          <w:bCs/>
          <w:color w:val="auto"/>
          <w:sz w:val="32"/>
          <w:szCs w:val="32"/>
        </w:rPr>
        <w:t>（盖章）</w:t>
      </w:r>
    </w:p>
    <w:p>
      <w:pPr>
        <w:pStyle w:val="13"/>
        <w:keepNext w:val="0"/>
        <w:keepLines w:val="0"/>
        <w:pageBreakBefore w:val="0"/>
        <w:widowControl w:val="0"/>
        <w:kinsoku/>
        <w:wordWrap/>
        <w:overflowPunct/>
        <w:topLinePunct w:val="0"/>
        <w:bidi w:val="0"/>
        <w:snapToGrid w:val="0"/>
        <w:spacing w:before="120" w:after="120" w:line="600" w:lineRule="auto"/>
        <w:ind w:firstLine="1124" w:firstLineChars="35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代理机构：金华同慷建设管理咨询有限公司（盖章）</w:t>
      </w:r>
    </w:p>
    <w:p>
      <w:pPr>
        <w:pStyle w:val="13"/>
        <w:snapToGrid w:val="0"/>
        <w:spacing w:before="120" w:after="120" w:line="312" w:lineRule="auto"/>
        <w:jc w:val="center"/>
        <w:rPr>
          <w:rFonts w:ascii="仿宋" w:hAnsi="仿宋" w:eastAsia="仿宋" w:cs="仿宋"/>
          <w:b/>
          <w:bCs/>
          <w:color w:val="auto"/>
          <w:sz w:val="32"/>
          <w:szCs w:val="32"/>
        </w:rPr>
      </w:pPr>
    </w:p>
    <w:p>
      <w:pPr>
        <w:pStyle w:val="13"/>
        <w:snapToGrid w:val="0"/>
        <w:spacing w:before="120" w:after="120" w:line="312"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二〇二二年</w:t>
      </w:r>
      <w:r>
        <w:rPr>
          <w:rFonts w:hint="eastAsia" w:ascii="仿宋" w:hAnsi="仿宋" w:eastAsia="仿宋" w:cs="仿宋"/>
          <w:b/>
          <w:bCs/>
          <w:color w:val="auto"/>
          <w:sz w:val="32"/>
          <w:szCs w:val="32"/>
          <w:lang w:val="en-US" w:eastAsia="zh-CN"/>
        </w:rPr>
        <w:t>十一</w:t>
      </w:r>
      <w:r>
        <w:rPr>
          <w:rFonts w:hint="eastAsia" w:ascii="仿宋" w:hAnsi="仿宋" w:eastAsia="仿宋" w:cs="仿宋"/>
          <w:b/>
          <w:bCs/>
          <w:color w:val="auto"/>
          <w:sz w:val="32"/>
          <w:szCs w:val="32"/>
        </w:rPr>
        <w:t>月</w:t>
      </w: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pPr>
        <w:rPr>
          <w:color w:val="auto"/>
        </w:rPr>
      </w:pPr>
      <w:r>
        <w:rPr>
          <w:color w:val="auto"/>
        </w:rPr>
        <w:br w:type="page"/>
      </w:r>
    </w:p>
    <w:p>
      <w:pPr>
        <w:keepNext w:val="0"/>
        <w:keepLines w:val="0"/>
        <w:pageBreakBefore w:val="0"/>
        <w:kinsoku/>
        <w:wordWrap/>
        <w:overflowPunct/>
        <w:topLinePunct w:val="0"/>
        <w:bidi w:val="0"/>
        <w:spacing w:line="240" w:lineRule="auto"/>
        <w:ind w:firstLine="643" w:firstLineChars="200"/>
        <w:textAlignment w:val="auto"/>
        <w:rPr>
          <w:rFonts w:hint="eastAsia" w:ascii="仿宋_GB2312" w:hAnsi="Times New Roman" w:eastAsia="仿宋_GB2312" w:cs="Times New Roman"/>
          <w:b/>
          <w:color w:val="auto"/>
          <w:sz w:val="32"/>
          <w:szCs w:val="32"/>
          <w:lang w:eastAsia="zh-CN"/>
        </w:rPr>
      </w:pPr>
    </w:p>
    <w:p>
      <w:pPr>
        <w:pStyle w:val="19"/>
        <w:spacing w:before="0" w:beforeAutospacing="0" w:after="0" w:afterAutospacing="0" w:line="4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政府采购金融服务提示：</w:t>
      </w:r>
    </w:p>
    <w:p>
      <w:pPr>
        <w:pStyle w:val="19"/>
        <w:spacing w:before="0" w:beforeAutospacing="0" w:after="0" w:afterAutospacing="0" w:line="400" w:lineRule="exact"/>
        <w:ind w:firstLine="643" w:firstLineChars="200"/>
        <w:rPr>
          <w:rFonts w:ascii="仿宋" w:hAnsi="仿宋" w:eastAsia="仿宋" w:cs="仿宋"/>
          <w:b/>
          <w:bCs/>
          <w:sz w:val="32"/>
          <w:szCs w:val="32"/>
        </w:rPr>
      </w:pPr>
    </w:p>
    <w:p>
      <w:pPr>
        <w:pStyle w:val="19"/>
        <w:spacing w:before="0" w:beforeAutospacing="0" w:after="0" w:afterAutospacing="0" w:line="400" w:lineRule="exact"/>
        <w:ind w:firstLine="643" w:firstLineChars="200"/>
        <w:rPr>
          <w:rFonts w:ascii="仿宋" w:hAnsi="仿宋" w:eastAsia="仿宋" w:cs="仿宋"/>
          <w:b/>
          <w:bCs/>
          <w:sz w:val="32"/>
          <w:szCs w:val="32"/>
        </w:rPr>
      </w:pPr>
    </w:p>
    <w:p>
      <w:pPr>
        <w:pStyle w:val="19"/>
        <w:spacing w:before="0" w:beforeAutospacing="0" w:after="0" w:afterAutospacing="0" w:line="500" w:lineRule="exact"/>
        <w:ind w:firstLine="960" w:firstLineChars="400"/>
        <w:rPr>
          <w:rFonts w:ascii="仿宋" w:hAnsi="仿宋" w:eastAsia="仿宋" w:cs="仿宋"/>
        </w:rPr>
      </w:pPr>
      <w:r>
        <w:rPr>
          <w:rFonts w:hint="eastAsia" w:ascii="仿宋" w:hAnsi="仿宋" w:eastAsia="仿宋" w:cs="仿宋"/>
        </w:rPr>
        <w:t>为扩大政府采购金融服务面，除政采云网上金融服务合作银</w:t>
      </w:r>
    </w:p>
    <w:p>
      <w:pPr>
        <w:pStyle w:val="19"/>
        <w:spacing w:before="0" w:beforeAutospacing="0" w:after="0" w:afterAutospacing="0" w:line="500" w:lineRule="exact"/>
        <w:ind w:firstLine="480" w:firstLineChars="200"/>
        <w:rPr>
          <w:rFonts w:ascii="仿宋" w:hAnsi="仿宋" w:eastAsia="仿宋" w:cs="仿宋"/>
        </w:rPr>
      </w:pPr>
      <w:r>
        <w:rPr>
          <w:rFonts w:hint="eastAsia" w:ascii="仿宋" w:hAnsi="仿宋" w:eastAsia="仿宋" w:cs="仿宋"/>
        </w:rPr>
        <w:t>行外，金华市范围增加线下合作银行两家，具体信息如下：</w:t>
      </w:r>
    </w:p>
    <w:p>
      <w:pPr>
        <w:pStyle w:val="19"/>
        <w:spacing w:before="0" w:beforeAutospacing="0" w:after="0" w:afterAutospacing="0" w:line="500" w:lineRule="exact"/>
        <w:ind w:firstLine="480" w:firstLineChars="200"/>
        <w:rPr>
          <w:rFonts w:ascii="仿宋" w:hAnsi="仿宋" w:eastAsia="仿宋" w:cs="仿宋"/>
        </w:rPr>
      </w:pPr>
    </w:p>
    <w:p>
      <w:pPr>
        <w:pStyle w:val="19"/>
        <w:spacing w:before="0" w:beforeAutospacing="0" w:after="0" w:afterAutospacing="0" w:line="500" w:lineRule="exact"/>
        <w:ind w:firstLine="480" w:firstLineChars="200"/>
        <w:rPr>
          <w:rFonts w:ascii="仿宋" w:hAnsi="仿宋" w:eastAsia="仿宋" w:cs="仿宋"/>
        </w:rPr>
      </w:pPr>
    </w:p>
    <w:p>
      <w:pPr>
        <w:pStyle w:val="19"/>
        <w:spacing w:before="0" w:beforeAutospacing="0" w:after="0" w:afterAutospacing="0" w:line="500" w:lineRule="exact"/>
        <w:ind w:firstLine="480" w:firstLineChars="200"/>
        <w:rPr>
          <w:rFonts w:ascii="仿宋" w:hAnsi="仿宋" w:eastAsia="仿宋" w:cs="仿宋"/>
        </w:rPr>
      </w:pPr>
      <w:r>
        <w:rPr>
          <w:rFonts w:hint="eastAsia" w:ascii="仿宋" w:hAnsi="仿宋" w:eastAsia="仿宋" w:cs="仿宋"/>
        </w:rPr>
        <w:t xml:space="preserve">金华银行文创支行      </w:t>
      </w:r>
    </w:p>
    <w:p>
      <w:pPr>
        <w:pStyle w:val="19"/>
        <w:spacing w:before="0" w:beforeAutospacing="0" w:after="0" w:afterAutospacing="0" w:line="500" w:lineRule="exact"/>
        <w:ind w:firstLine="480" w:firstLineChars="200"/>
        <w:rPr>
          <w:rFonts w:hint="eastAsia" w:ascii="仿宋" w:hAnsi="仿宋" w:eastAsia="仿宋" w:cs="仿宋"/>
          <w:lang w:eastAsia="zh-CN"/>
        </w:rPr>
      </w:pPr>
      <w:r>
        <w:rPr>
          <w:rFonts w:hint="eastAsia" w:ascii="仿宋" w:hAnsi="仿宋" w:eastAsia="仿宋" w:cs="仿宋"/>
        </w:rPr>
        <w:t xml:space="preserve">联系人： </w:t>
      </w:r>
      <w:r>
        <w:rPr>
          <w:rFonts w:hint="eastAsia" w:ascii="仿宋" w:hAnsi="仿宋" w:eastAsia="仿宋" w:cs="仿宋"/>
          <w:lang w:eastAsia="zh-CN"/>
        </w:rPr>
        <w:t>姜峰</w:t>
      </w:r>
    </w:p>
    <w:p>
      <w:pPr>
        <w:pStyle w:val="19"/>
        <w:spacing w:before="0" w:beforeAutospacing="0" w:after="0" w:afterAutospacing="0" w:line="500" w:lineRule="exact"/>
        <w:ind w:firstLine="480" w:firstLineChars="200"/>
        <w:rPr>
          <w:rFonts w:ascii="仿宋" w:hAnsi="仿宋" w:eastAsia="仿宋" w:cs="仿宋"/>
        </w:rPr>
      </w:pPr>
      <w:r>
        <w:rPr>
          <w:rFonts w:hint="eastAsia" w:ascii="仿宋" w:hAnsi="仿宋" w:eastAsia="仿宋" w:cs="仿宋"/>
        </w:rPr>
        <w:t xml:space="preserve">联系电话： </w:t>
      </w:r>
      <w:r>
        <w:rPr>
          <w:rFonts w:hint="eastAsia" w:ascii="仿宋" w:hAnsi="仿宋" w:eastAsia="仿宋" w:cs="仿宋"/>
          <w:lang w:val="en-US" w:eastAsia="zh-CN"/>
        </w:rPr>
        <w:t>13905792828</w:t>
      </w:r>
      <w:r>
        <w:rPr>
          <w:rFonts w:hint="eastAsia" w:ascii="仿宋" w:hAnsi="仿宋" w:eastAsia="仿宋" w:cs="仿宋"/>
        </w:rPr>
        <w:t xml:space="preserve">       0579-82479020</w:t>
      </w:r>
    </w:p>
    <w:p>
      <w:pPr>
        <w:pStyle w:val="19"/>
        <w:spacing w:before="0" w:beforeAutospacing="0" w:after="0" w:afterAutospacing="0" w:line="500" w:lineRule="exact"/>
        <w:ind w:firstLine="480" w:firstLineChars="200"/>
        <w:rPr>
          <w:rFonts w:ascii="仿宋" w:hAnsi="仿宋" w:eastAsia="仿宋" w:cs="仿宋"/>
        </w:rPr>
      </w:pPr>
    </w:p>
    <w:p>
      <w:pPr>
        <w:pStyle w:val="19"/>
        <w:spacing w:before="0" w:beforeAutospacing="0" w:after="0" w:afterAutospacing="0" w:line="500" w:lineRule="exact"/>
        <w:ind w:firstLine="480" w:firstLineChars="200"/>
        <w:rPr>
          <w:rFonts w:ascii="仿宋" w:hAnsi="仿宋" w:eastAsia="仿宋" w:cs="仿宋"/>
        </w:rPr>
      </w:pPr>
    </w:p>
    <w:p>
      <w:pPr>
        <w:pStyle w:val="19"/>
        <w:spacing w:before="0" w:beforeAutospacing="0" w:after="0" w:afterAutospacing="0" w:line="500" w:lineRule="exact"/>
        <w:ind w:firstLine="480" w:firstLineChars="200"/>
        <w:rPr>
          <w:rFonts w:ascii="仿宋" w:hAnsi="仿宋" w:eastAsia="仿宋" w:cs="仿宋"/>
        </w:rPr>
      </w:pPr>
      <w:r>
        <w:rPr>
          <w:rFonts w:hint="eastAsia" w:ascii="仿宋" w:hAnsi="仿宋" w:eastAsia="仿宋" w:cs="仿宋"/>
        </w:rPr>
        <w:t xml:space="preserve">浙商银行金华分行 </w:t>
      </w:r>
    </w:p>
    <w:p>
      <w:pPr>
        <w:pStyle w:val="19"/>
        <w:spacing w:before="0" w:beforeAutospacing="0" w:after="0" w:afterAutospacing="0" w:line="500" w:lineRule="exact"/>
        <w:ind w:firstLine="480" w:firstLineChars="200"/>
        <w:rPr>
          <w:rFonts w:ascii="仿宋" w:hAnsi="仿宋" w:eastAsia="仿宋" w:cs="仿宋"/>
        </w:rPr>
      </w:pPr>
      <w:r>
        <w:rPr>
          <w:rFonts w:hint="eastAsia" w:ascii="仿宋" w:hAnsi="仿宋" w:eastAsia="仿宋" w:cs="仿宋"/>
        </w:rPr>
        <w:t>联系人： 朱晨祥</w:t>
      </w:r>
    </w:p>
    <w:p>
      <w:pPr>
        <w:keepNext w:val="0"/>
        <w:keepLines w:val="0"/>
        <w:pageBreakBefore w:val="0"/>
        <w:kinsoku/>
        <w:wordWrap/>
        <w:overflowPunct/>
        <w:topLinePunct w:val="0"/>
        <w:bidi w:val="0"/>
        <w:spacing w:line="240" w:lineRule="auto"/>
        <w:ind w:firstLine="42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 w:hAnsi="仿宋" w:eastAsia="仿宋" w:cs="仿宋"/>
        </w:rPr>
        <w:t>联系电话： 15857978811        0579-8299958</w:t>
      </w:r>
    </w:p>
    <w:p>
      <w:pPr>
        <w:pStyle w:val="3"/>
        <w:rPr>
          <w:color w:val="auto"/>
        </w:rPr>
      </w:pPr>
    </w:p>
    <w:p>
      <w:pPr>
        <w:spacing w:line="312" w:lineRule="auto"/>
        <w:rPr>
          <w:rFonts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sectPr>
          <w:headerReference r:id="rId4" w:type="first"/>
          <w:headerReference r:id="rId3" w:type="default"/>
          <w:footerReference r:id="rId5" w:type="even"/>
          <w:pgSz w:w="11906" w:h="16838"/>
          <w:pgMar w:top="1247" w:right="1134" w:bottom="1020" w:left="1418" w:header="851" w:footer="907"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spacing w:line="312"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目  录</w:t>
      </w:r>
    </w:p>
    <w:p>
      <w:pPr>
        <w:spacing w:line="312" w:lineRule="auto"/>
        <w:jc w:val="center"/>
        <w:rPr>
          <w:rFonts w:ascii="仿宋" w:hAnsi="仿宋" w:eastAsia="仿宋" w:cs="仿宋"/>
          <w:b/>
          <w:color w:val="auto"/>
          <w:sz w:val="44"/>
          <w:szCs w:val="44"/>
        </w:rPr>
      </w:pPr>
    </w:p>
    <w:p>
      <w:pPr>
        <w:spacing w:line="312" w:lineRule="auto"/>
        <w:jc w:val="center"/>
        <w:rPr>
          <w:rFonts w:ascii="仿宋" w:hAnsi="仿宋" w:eastAsia="仿宋" w:cs="仿宋"/>
          <w:color w:val="auto"/>
        </w:rPr>
      </w:pP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第一章    招标公告</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第二章    投标须知</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第三章    招标需求</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第四章    评标办法及评分标准</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第五章    政府采购合同</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第六章    应提交的有关格式范例</w:t>
      </w:r>
    </w:p>
    <w:p>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 xml:space="preserve">  </w:t>
      </w:r>
    </w:p>
    <w:p>
      <w:pPr>
        <w:snapToGrid w:val="0"/>
        <w:spacing w:line="312" w:lineRule="auto"/>
        <w:ind w:firstLine="1807" w:firstLineChars="500"/>
        <w:jc w:val="left"/>
        <w:rPr>
          <w:rFonts w:ascii="仿宋" w:hAnsi="仿宋" w:eastAsia="仿宋" w:cs="仿宋"/>
          <w:b/>
          <w:color w:val="auto"/>
          <w:sz w:val="36"/>
          <w:szCs w:val="36"/>
        </w:rPr>
      </w:pPr>
    </w:p>
    <w:p>
      <w:pPr>
        <w:spacing w:line="312" w:lineRule="auto"/>
        <w:rPr>
          <w:rStyle w:val="25"/>
          <w:rFonts w:ascii="仿宋" w:hAnsi="仿宋" w:eastAsia="仿宋" w:cs="仿宋"/>
          <w:color w:val="auto"/>
          <w:sz w:val="30"/>
        </w:rPr>
      </w:pPr>
    </w:p>
    <w:p>
      <w:pPr>
        <w:spacing w:line="312" w:lineRule="auto"/>
        <w:rPr>
          <w:rStyle w:val="25"/>
          <w:rFonts w:ascii="仿宋" w:hAnsi="仿宋" w:eastAsia="仿宋" w:cs="仿宋"/>
          <w:color w:val="auto"/>
          <w:sz w:val="30"/>
        </w:rPr>
      </w:pPr>
    </w:p>
    <w:p>
      <w:pPr>
        <w:spacing w:line="312" w:lineRule="auto"/>
        <w:rPr>
          <w:rStyle w:val="25"/>
          <w:rFonts w:ascii="仿宋" w:hAnsi="仿宋" w:eastAsia="仿宋" w:cs="仿宋"/>
          <w:color w:val="auto"/>
          <w:sz w:val="30"/>
        </w:rPr>
      </w:pPr>
    </w:p>
    <w:p>
      <w:pPr>
        <w:spacing w:line="312" w:lineRule="auto"/>
        <w:rPr>
          <w:rStyle w:val="25"/>
          <w:rFonts w:ascii="仿宋" w:hAnsi="仿宋" w:eastAsia="仿宋" w:cs="仿宋"/>
          <w:color w:val="auto"/>
          <w:sz w:val="30"/>
        </w:rPr>
      </w:pPr>
    </w:p>
    <w:p>
      <w:pPr>
        <w:pStyle w:val="7"/>
        <w:spacing w:line="312" w:lineRule="auto"/>
        <w:ind w:firstLine="480"/>
        <w:rPr>
          <w:rFonts w:ascii="仿宋" w:hAnsi="仿宋" w:eastAsia="仿宋" w:cs="仿宋"/>
          <w:color w:val="auto"/>
        </w:rPr>
      </w:pPr>
    </w:p>
    <w:p>
      <w:pPr>
        <w:spacing w:line="312" w:lineRule="auto"/>
        <w:rPr>
          <w:rStyle w:val="25"/>
          <w:rFonts w:ascii="仿宋" w:hAnsi="仿宋" w:eastAsia="仿宋" w:cs="仿宋"/>
          <w:color w:val="auto"/>
          <w:sz w:val="30"/>
        </w:rPr>
      </w:pPr>
    </w:p>
    <w:p>
      <w:pPr>
        <w:pStyle w:val="7"/>
        <w:spacing w:line="312" w:lineRule="auto"/>
        <w:ind w:firstLine="480"/>
        <w:rPr>
          <w:rFonts w:ascii="仿宋" w:hAnsi="仿宋" w:eastAsia="仿宋" w:cs="仿宋"/>
          <w:color w:val="auto"/>
        </w:rPr>
      </w:pPr>
    </w:p>
    <w:p>
      <w:pPr>
        <w:rPr>
          <w:rFonts w:ascii="仿宋" w:hAnsi="仿宋" w:eastAsia="仿宋" w:cs="仿宋"/>
          <w:color w:val="auto"/>
          <w:sz w:val="36"/>
          <w:szCs w:val="36"/>
        </w:rPr>
      </w:pPr>
      <w:bookmarkStart w:id="0" w:name="_Toc125344501"/>
    </w:p>
    <w:bookmarkEnd w:id="0"/>
    <w:p>
      <w:pPr>
        <w:jc w:val="center"/>
        <w:rPr>
          <w:rFonts w:ascii="仿宋" w:hAnsi="仿宋" w:eastAsia="仿宋" w:cs="仿宋"/>
          <w:color w:val="auto"/>
        </w:rPr>
      </w:pPr>
      <w:bookmarkStart w:id="1" w:name="_Toc125344502"/>
      <w:r>
        <w:rPr>
          <w:rFonts w:hint="eastAsia" w:ascii="仿宋" w:hAnsi="仿宋" w:eastAsia="仿宋" w:cs="仿宋"/>
          <w:b/>
          <w:color w:val="auto"/>
          <w:kern w:val="44"/>
          <w:sz w:val="36"/>
          <w:szCs w:val="36"/>
        </w:rPr>
        <w:br w:type="page"/>
      </w:r>
      <w:r>
        <w:rPr>
          <w:rFonts w:hint="eastAsia" w:ascii="仿宋" w:hAnsi="仿宋" w:eastAsia="仿宋" w:cs="仿宋"/>
          <w:b/>
          <w:color w:val="auto"/>
          <w:kern w:val="44"/>
          <w:sz w:val="36"/>
          <w:szCs w:val="36"/>
        </w:rPr>
        <w:t>第一章  招标公告</w:t>
      </w:r>
    </w:p>
    <w:tbl>
      <w:tblPr>
        <w:tblStyle w:val="21"/>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tcPr>
          <w:p>
            <w:pPr>
              <w:pStyle w:val="19"/>
              <w:spacing w:before="0" w:beforeAutospacing="0" w:after="0" w:afterAutospacing="0"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pPr>
              <w:pStyle w:val="19"/>
              <w:spacing w:before="0" w:beforeAutospacing="0" w:after="0" w:afterAutospacing="0" w:line="42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u w:val="single"/>
                <w:lang w:eastAsia="zh-CN"/>
              </w:rPr>
              <w:t>武义县公共卫生中心实验楼和血站专业改造项目</w:t>
            </w:r>
            <w:r>
              <w:rPr>
                <w:rFonts w:hint="eastAsia" w:ascii="仿宋" w:hAnsi="仿宋" w:eastAsia="仿宋" w:cs="仿宋"/>
                <w:color w:val="auto"/>
                <w:sz w:val="24"/>
                <w:szCs w:val="24"/>
              </w:rPr>
              <w:t>的潜在供应商应在</w:t>
            </w:r>
            <w:r>
              <w:rPr>
                <w:rFonts w:hint="eastAsia" w:ascii="仿宋" w:hAnsi="仿宋" w:eastAsia="仿宋" w:cs="仿宋"/>
                <w:color w:val="auto"/>
                <w:sz w:val="24"/>
                <w:szCs w:val="24"/>
                <w:u w:val="single"/>
              </w:rPr>
              <w:t>浙江政府采购网www.zjzfcg.gov.cn/</w:t>
            </w:r>
            <w:r>
              <w:rPr>
                <w:rFonts w:hint="eastAsia" w:ascii="仿宋" w:hAnsi="仿宋" w:eastAsia="仿宋" w:cs="仿宋"/>
                <w:color w:val="auto"/>
                <w:sz w:val="24"/>
                <w:szCs w:val="24"/>
              </w:rPr>
              <w:t>获取（下载）招标文件，并于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2022年11月28日09:00时</w:t>
            </w:r>
            <w:r>
              <w:rPr>
                <w:rFonts w:hint="eastAsia" w:ascii="仿宋" w:hAnsi="仿宋" w:eastAsia="仿宋" w:cs="仿宋"/>
                <w:color w:val="auto"/>
                <w:sz w:val="24"/>
                <w:szCs w:val="24"/>
              </w:rPr>
              <w:t>（北京时间）前递交（上传）投标文件。</w:t>
            </w:r>
          </w:p>
        </w:tc>
      </w:tr>
    </w:tbl>
    <w:p>
      <w:pPr>
        <w:pStyle w:val="19"/>
        <w:spacing w:before="0" w:beforeAutospacing="0" w:after="0" w:afterAutospacing="0" w:line="336" w:lineRule="auto"/>
        <w:jc w:val="both"/>
        <w:rPr>
          <w:rFonts w:hint="eastAsia" w:ascii="仿宋" w:hAnsi="仿宋" w:eastAsia="仿宋" w:cs="仿宋"/>
          <w:color w:val="auto"/>
          <w:sz w:val="24"/>
          <w:szCs w:val="24"/>
        </w:rPr>
      </w:pPr>
      <w:r>
        <w:rPr>
          <w:rStyle w:val="23"/>
          <w:rFonts w:hint="eastAsia" w:ascii="仿宋" w:hAnsi="仿宋" w:eastAsia="仿宋" w:cs="仿宋"/>
          <w:color w:val="auto"/>
          <w:sz w:val="24"/>
          <w:szCs w:val="24"/>
        </w:rPr>
        <w:t>一、项目基本情况</w:t>
      </w:r>
    </w:p>
    <w:p>
      <w:pPr>
        <w:pStyle w:val="19"/>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采购组织类型：分散采购-委托代理</w:t>
      </w:r>
    </w:p>
    <w:p>
      <w:pPr>
        <w:pStyle w:val="19"/>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JHTK-ZB2022244</w:t>
      </w:r>
    </w:p>
    <w:p>
      <w:pPr>
        <w:pStyle w:val="19"/>
        <w:spacing w:before="0" w:beforeAutospacing="0" w:after="0" w:afterAutospacing="0" w:line="336"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武义县公共卫生中心实验楼和血站专业改造项目</w:t>
      </w:r>
    </w:p>
    <w:p>
      <w:pPr>
        <w:pStyle w:val="19"/>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采购计划书号：</w:t>
      </w:r>
      <w:r>
        <w:rPr>
          <w:rFonts w:hint="eastAsia" w:ascii="仿宋" w:hAnsi="仿宋" w:eastAsia="仿宋" w:cs="仿宋"/>
          <w:color w:val="FF0000"/>
          <w:sz w:val="24"/>
          <w:szCs w:val="24"/>
        </w:rPr>
        <w:t>临[2022]</w:t>
      </w:r>
      <w:r>
        <w:rPr>
          <w:rFonts w:hint="eastAsia" w:ascii="仿宋" w:hAnsi="仿宋" w:eastAsia="仿宋" w:cs="仿宋"/>
          <w:color w:val="FF0000"/>
          <w:sz w:val="24"/>
          <w:szCs w:val="24"/>
          <w:lang w:val="en-US" w:eastAsia="zh-CN"/>
        </w:rPr>
        <w:t>1248</w:t>
      </w:r>
      <w:r>
        <w:rPr>
          <w:rFonts w:hint="eastAsia" w:ascii="仿宋" w:hAnsi="仿宋" w:eastAsia="仿宋" w:cs="仿宋"/>
          <w:color w:val="FF0000"/>
          <w:sz w:val="24"/>
          <w:szCs w:val="24"/>
        </w:rPr>
        <w:t>号</w:t>
      </w:r>
    </w:p>
    <w:p>
      <w:pPr>
        <w:pStyle w:val="19"/>
        <w:spacing w:before="0" w:beforeAutospacing="0" w:after="0" w:afterAutospacing="0" w:line="336"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eastAsia="zh-CN"/>
        </w:rPr>
        <w:t>15811347</w:t>
      </w:r>
    </w:p>
    <w:p>
      <w:pPr>
        <w:pStyle w:val="19"/>
        <w:spacing w:before="0" w:beforeAutospacing="0" w:after="0" w:afterAutospacing="0" w:line="336" w:lineRule="auto"/>
        <w:ind w:firstLine="480" w:firstLineChars="20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最高限价（元）：</w:t>
      </w:r>
      <w:r>
        <w:rPr>
          <w:rFonts w:hint="eastAsia" w:ascii="仿宋" w:hAnsi="仿宋" w:eastAsia="仿宋" w:cs="仿宋"/>
          <w:color w:val="auto"/>
          <w:sz w:val="24"/>
          <w:szCs w:val="24"/>
          <w:lang w:eastAsia="zh-CN"/>
        </w:rPr>
        <w:t>15811347</w:t>
      </w:r>
    </w:p>
    <w:p>
      <w:pPr>
        <w:pStyle w:val="19"/>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评标办法：综合评分法</w:t>
      </w:r>
    </w:p>
    <w:p>
      <w:pPr>
        <w:pStyle w:val="19"/>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合同履行期限：</w:t>
      </w:r>
      <w:r>
        <w:rPr>
          <w:rFonts w:hint="eastAsia" w:ascii="仿宋" w:hAnsi="仿宋" w:eastAsia="仿宋" w:cs="仿宋"/>
          <w:lang w:eastAsia="zh-CN"/>
        </w:rPr>
        <w:t>详见招标采购文件</w:t>
      </w:r>
      <w:r>
        <w:rPr>
          <w:rFonts w:hint="eastAsia" w:ascii="仿宋" w:hAnsi="仿宋" w:eastAsia="仿宋" w:cs="仿宋"/>
          <w:color w:val="auto"/>
          <w:sz w:val="24"/>
          <w:szCs w:val="24"/>
          <w:lang w:eastAsia="zh-CN"/>
        </w:rPr>
        <w:t>。</w:t>
      </w:r>
    </w:p>
    <w:p>
      <w:pPr>
        <w:pStyle w:val="19"/>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 否 ）接受联合体投标。</w:t>
      </w:r>
    </w:p>
    <w:p>
      <w:pPr>
        <w:pStyle w:val="19"/>
        <w:spacing w:before="0" w:beforeAutospacing="0" w:after="0" w:afterAutospacing="0" w:line="336" w:lineRule="auto"/>
        <w:jc w:val="both"/>
        <w:rPr>
          <w:rStyle w:val="23"/>
          <w:rFonts w:hint="eastAsia" w:ascii="仿宋" w:hAnsi="仿宋" w:eastAsia="仿宋" w:cs="仿宋"/>
          <w:color w:val="auto"/>
          <w:sz w:val="24"/>
          <w:szCs w:val="24"/>
        </w:rPr>
      </w:pPr>
      <w:r>
        <w:rPr>
          <w:rStyle w:val="23"/>
          <w:rFonts w:hint="eastAsia" w:ascii="仿宋" w:hAnsi="仿宋" w:eastAsia="仿宋" w:cs="仿宋"/>
          <w:color w:val="auto"/>
          <w:sz w:val="24"/>
          <w:szCs w:val="24"/>
        </w:rPr>
        <w:t>二、申请人的资格要求：</w:t>
      </w:r>
    </w:p>
    <w:p>
      <w:pPr>
        <w:pageBreakBefore w:val="0"/>
        <w:kinsoku/>
        <w:wordWrap/>
        <w:overflowPunct/>
        <w:topLinePunct w:val="0"/>
        <w:autoSpaceDE/>
        <w:autoSpaceDN/>
        <w:bidi w:val="0"/>
        <w:adjustRightInd/>
        <w:spacing w:line="360" w:lineRule="exact"/>
        <w:ind w:firstLine="480" w:firstLineChars="200"/>
        <w:jc w:val="left"/>
        <w:textAlignment w:val="auto"/>
        <w:rPr>
          <w:rFonts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p>
    <w:p>
      <w:pPr>
        <w:pageBreakBefore w:val="0"/>
        <w:kinsoku/>
        <w:wordWrap/>
        <w:overflowPunct/>
        <w:topLinePunct w:val="0"/>
        <w:autoSpaceDE/>
        <w:autoSpaceDN/>
        <w:bidi w:val="0"/>
        <w:adjustRightInd/>
        <w:spacing w:line="360" w:lineRule="exact"/>
        <w:ind w:firstLine="480" w:firstLineChars="200"/>
        <w:jc w:val="left"/>
        <w:textAlignment w:val="auto"/>
        <w:rPr>
          <w:rFonts w:ascii="仿宋" w:hAnsi="仿宋" w:eastAsia="仿宋" w:cs="仿宋"/>
          <w:color w:val="auto"/>
          <w:kern w:val="2"/>
          <w:sz w:val="24"/>
          <w:szCs w:val="24"/>
        </w:rPr>
      </w:pPr>
      <w:r>
        <w:rPr>
          <w:rFonts w:hint="eastAsia" w:ascii="仿宋" w:hAnsi="仿宋" w:eastAsia="仿宋" w:cs="仿宋"/>
          <w:color w:val="auto"/>
          <w:kern w:val="2"/>
          <w:sz w:val="24"/>
          <w:szCs w:val="24"/>
        </w:rPr>
        <w:t>2.未被“信用中国”（www.creditchina.gov.cn）、中国政府采购网（www.ccgp.gov.cn）列入失信被执行人、重大税收违法案件当事人名单、政府采购严重违法失信行为记录名单；</w:t>
      </w:r>
    </w:p>
    <w:p>
      <w:pPr>
        <w:pStyle w:val="7"/>
        <w:pageBreakBefore w:val="0"/>
        <w:kinsoku/>
        <w:wordWrap/>
        <w:overflowPunct/>
        <w:topLinePunct w:val="0"/>
        <w:bidi w:val="0"/>
        <w:spacing w:after="0" w:line="360" w:lineRule="exact"/>
        <w:ind w:left="0" w:leftChars="0" w:firstLine="480"/>
        <w:textAlignment w:val="auto"/>
      </w:pPr>
      <w:r>
        <w:rPr>
          <w:rFonts w:hint="eastAsia" w:ascii="仿宋" w:hAnsi="仿宋" w:eastAsia="仿宋" w:cs="仿宋"/>
          <w:color w:val="auto"/>
          <w:sz w:val="24"/>
          <w:szCs w:val="24"/>
        </w:rPr>
        <w:t>3.</w:t>
      </w:r>
      <w:r>
        <w:rPr>
          <w:rFonts w:hint="eastAsia" w:ascii="仿宋" w:hAnsi="仿宋" w:eastAsia="仿宋" w:cs="仿宋"/>
          <w:i w:val="0"/>
          <w:caps w:val="0"/>
          <w:color w:val="auto"/>
          <w:spacing w:val="0"/>
          <w:kern w:val="0"/>
          <w:sz w:val="24"/>
          <w:szCs w:val="24"/>
          <w:lang w:val="en-US" w:eastAsia="zh-CN" w:bidi="ar"/>
        </w:rPr>
        <w:t>落实政府采购政策需满足的资格要求：无</w:t>
      </w:r>
      <w:r>
        <w:rPr>
          <w:rFonts w:hint="eastAsia" w:ascii="仿宋_GB2312" w:hAnsi="仿宋_GB2312" w:eastAsia="仿宋_GB2312" w:cs="仿宋_GB2312"/>
          <w:color w:val="000000"/>
          <w:kern w:val="0"/>
          <w:szCs w:val="24"/>
          <w:lang w:bidi="ar"/>
        </w:rPr>
        <w:t>。</w:t>
      </w:r>
    </w:p>
    <w:p>
      <w:pPr>
        <w:pStyle w:val="7"/>
        <w:pageBreakBefore w:val="0"/>
        <w:kinsoku/>
        <w:wordWrap/>
        <w:overflowPunct/>
        <w:topLinePunct w:val="0"/>
        <w:bidi w:val="0"/>
        <w:spacing w:after="0" w:line="360" w:lineRule="exact"/>
        <w:ind w:left="0" w:leftChars="0" w:firstLine="480"/>
        <w:textAlignment w:val="auto"/>
        <w:rPr>
          <w:rFonts w:hint="eastAsia" w:ascii="仿宋_GB2312" w:hAnsi="仿宋_GB2312" w:eastAsia="仿宋_GB2312" w:cs="仿宋_GB2312"/>
          <w:color w:val="000000"/>
          <w:kern w:val="0"/>
          <w:szCs w:val="24"/>
          <w:lang w:bidi="ar"/>
        </w:rPr>
      </w:pPr>
      <w:r>
        <w:rPr>
          <w:rFonts w:hint="eastAsia" w:ascii="仿宋_GB2312" w:hAnsi="仿宋_GB2312" w:eastAsia="仿宋_GB2312" w:cs="仿宋_GB2312"/>
          <w:color w:val="000000"/>
          <w:kern w:val="0"/>
          <w:szCs w:val="24"/>
          <w:lang w:bidi="ar"/>
        </w:rPr>
        <w:t>4.本项目的特定资格要求：</w:t>
      </w:r>
    </w:p>
    <w:p>
      <w:pPr>
        <w:pStyle w:val="7"/>
        <w:pageBreakBefore w:val="0"/>
        <w:kinsoku/>
        <w:wordWrap/>
        <w:overflowPunct/>
        <w:topLinePunct w:val="0"/>
        <w:bidi w:val="0"/>
        <w:spacing w:after="0" w:line="360" w:lineRule="exact"/>
        <w:ind w:left="0" w:leftChars="0" w:firstLine="480"/>
        <w:textAlignment w:val="auto"/>
        <w:rPr>
          <w:rFonts w:hint="eastAsia" w:ascii="仿宋_GB2312" w:hAnsi="仿宋_GB2312" w:eastAsia="仿宋_GB2312" w:cs="仿宋_GB2312"/>
          <w:color w:val="000000"/>
          <w:kern w:val="0"/>
          <w:szCs w:val="24"/>
          <w:lang w:val="en-US" w:eastAsia="zh-CN" w:bidi="ar"/>
        </w:rPr>
      </w:pPr>
      <w:r>
        <w:rPr>
          <w:rFonts w:hint="eastAsia" w:ascii="仿宋_GB2312" w:hAnsi="仿宋_GB2312" w:eastAsia="仿宋_GB2312" w:cs="仿宋_GB2312"/>
          <w:color w:val="000000"/>
          <w:kern w:val="0"/>
          <w:szCs w:val="24"/>
          <w:lang w:eastAsia="zh-CN" w:bidi="ar"/>
        </w:rPr>
        <w:t>（</w:t>
      </w:r>
      <w:r>
        <w:rPr>
          <w:rFonts w:hint="eastAsia" w:ascii="仿宋_GB2312" w:hAnsi="仿宋_GB2312" w:eastAsia="仿宋_GB2312" w:cs="仿宋_GB2312"/>
          <w:color w:val="000000"/>
          <w:kern w:val="0"/>
          <w:szCs w:val="24"/>
          <w:lang w:val="en-US" w:eastAsia="zh-CN" w:bidi="ar"/>
        </w:rPr>
        <w:t>1</w:t>
      </w:r>
      <w:r>
        <w:rPr>
          <w:rFonts w:hint="eastAsia" w:ascii="仿宋_GB2312" w:hAnsi="仿宋_GB2312" w:eastAsia="仿宋_GB2312" w:cs="仿宋_GB2312"/>
          <w:color w:val="000000"/>
          <w:kern w:val="0"/>
          <w:szCs w:val="24"/>
          <w:lang w:eastAsia="zh-CN" w:bidi="ar"/>
        </w:rPr>
        <w:t>）</w:t>
      </w:r>
      <w:r>
        <w:rPr>
          <w:rFonts w:hint="eastAsia" w:ascii="仿宋_GB2312" w:hAnsi="仿宋_GB2312" w:eastAsia="仿宋_GB2312" w:cs="仿宋_GB2312"/>
          <w:color w:val="000000"/>
          <w:kern w:val="0"/>
          <w:szCs w:val="24"/>
          <w:lang w:val="en-US" w:eastAsia="zh-CN" w:bidi="ar"/>
        </w:rPr>
        <w:t>具备建筑机电安装工程专业承包贰级及以上资质；</w:t>
      </w:r>
    </w:p>
    <w:p>
      <w:pPr>
        <w:pStyle w:val="7"/>
        <w:pageBreakBefore w:val="0"/>
        <w:kinsoku/>
        <w:wordWrap/>
        <w:overflowPunct/>
        <w:topLinePunct w:val="0"/>
        <w:bidi w:val="0"/>
        <w:spacing w:after="0" w:line="360" w:lineRule="exact"/>
        <w:ind w:left="0" w:leftChars="0" w:firstLine="480"/>
        <w:textAlignment w:val="auto"/>
        <w:rPr>
          <w:rFonts w:hint="eastAsia" w:ascii="仿宋_GB2312" w:hAnsi="仿宋_GB2312" w:eastAsia="仿宋_GB2312" w:cs="仿宋_GB2312"/>
          <w:color w:val="000000"/>
          <w:kern w:val="0"/>
          <w:szCs w:val="24"/>
          <w:lang w:val="en-US" w:eastAsia="zh-CN" w:bidi="ar"/>
        </w:rPr>
      </w:pPr>
      <w:r>
        <w:rPr>
          <w:rFonts w:hint="eastAsia" w:ascii="仿宋_GB2312" w:hAnsi="仿宋_GB2312" w:eastAsia="仿宋_GB2312" w:cs="仿宋_GB2312"/>
          <w:color w:val="000000"/>
          <w:kern w:val="0"/>
          <w:szCs w:val="24"/>
          <w:lang w:val="en-US" w:eastAsia="zh-CN" w:bidi="ar"/>
        </w:rPr>
        <w:t>（2）具备医疗器械经营许可证；</w:t>
      </w:r>
    </w:p>
    <w:p>
      <w:pPr>
        <w:pStyle w:val="7"/>
        <w:pageBreakBefore w:val="0"/>
        <w:kinsoku/>
        <w:wordWrap/>
        <w:overflowPunct/>
        <w:topLinePunct w:val="0"/>
        <w:bidi w:val="0"/>
        <w:spacing w:after="0" w:line="360" w:lineRule="exact"/>
        <w:ind w:left="0" w:leftChars="0" w:firstLine="480"/>
        <w:textAlignment w:val="auto"/>
        <w:rPr>
          <w:rFonts w:hint="eastAsia" w:ascii="仿宋_GB2312" w:hAnsi="仿宋_GB2312" w:eastAsia="仿宋_GB2312" w:cs="仿宋_GB2312"/>
          <w:color w:val="000000"/>
          <w:kern w:val="0"/>
          <w:szCs w:val="24"/>
          <w:lang w:val="en-US" w:eastAsia="zh-CN" w:bidi="ar"/>
        </w:rPr>
      </w:pPr>
      <w:r>
        <w:rPr>
          <w:rFonts w:hint="eastAsia" w:ascii="仿宋_GB2312" w:hAnsi="仿宋_GB2312" w:eastAsia="仿宋_GB2312" w:cs="仿宋_GB2312"/>
          <w:color w:val="000000"/>
          <w:kern w:val="0"/>
          <w:szCs w:val="24"/>
          <w:lang w:val="en-US" w:eastAsia="zh-CN" w:bidi="ar"/>
        </w:rPr>
        <w:t>（3）具备特种设备生产许可证且许可子项目包含工业管道安装GC2；</w:t>
      </w:r>
    </w:p>
    <w:p>
      <w:pPr>
        <w:pStyle w:val="7"/>
        <w:pageBreakBefore w:val="0"/>
        <w:kinsoku/>
        <w:wordWrap/>
        <w:overflowPunct/>
        <w:topLinePunct w:val="0"/>
        <w:bidi w:val="0"/>
        <w:spacing w:after="0" w:line="360" w:lineRule="exact"/>
        <w:ind w:left="0" w:leftChars="0" w:firstLine="480"/>
        <w:textAlignment w:val="auto"/>
        <w:rPr>
          <w:rFonts w:hint="eastAsia" w:ascii="仿宋_GB2312" w:hAnsi="仿宋_GB2312" w:eastAsia="仿宋_GB2312" w:cs="仿宋_GB2312"/>
          <w:color w:val="000000"/>
          <w:kern w:val="0"/>
          <w:szCs w:val="24"/>
          <w:lang w:bidi="ar"/>
        </w:rPr>
      </w:pPr>
      <w:r>
        <w:rPr>
          <w:rFonts w:hint="eastAsia" w:ascii="仿宋_GB2312" w:hAnsi="仿宋_GB2312" w:eastAsia="仿宋_GB2312" w:cs="仿宋_GB2312"/>
          <w:color w:val="000000"/>
          <w:kern w:val="0"/>
          <w:szCs w:val="24"/>
          <w:lang w:val="en-US" w:eastAsia="zh-CN" w:bidi="ar"/>
        </w:rPr>
        <w:t>（4）具备有效的安全生产许可证；</w:t>
      </w:r>
    </w:p>
    <w:p>
      <w:pPr>
        <w:pStyle w:val="7"/>
        <w:pageBreakBefore w:val="0"/>
        <w:kinsoku/>
        <w:wordWrap/>
        <w:overflowPunct/>
        <w:topLinePunct w:val="0"/>
        <w:bidi w:val="0"/>
        <w:spacing w:after="0" w:line="360" w:lineRule="exact"/>
        <w:ind w:left="0" w:leftChars="0" w:firstLine="480"/>
        <w:textAlignment w:val="auto"/>
        <w:rPr>
          <w:rFonts w:hint="eastAsia" w:ascii="仿宋_GB2312" w:hAnsi="仿宋_GB2312" w:eastAsia="仿宋_GB2312" w:cs="仿宋_GB2312"/>
          <w:color w:val="000000"/>
          <w:kern w:val="0"/>
          <w:szCs w:val="24"/>
          <w:lang w:bidi="ar"/>
        </w:rPr>
      </w:pPr>
      <w:r>
        <w:rPr>
          <w:rFonts w:hint="eastAsia" w:ascii="仿宋_GB2312" w:hAnsi="仿宋_GB2312" w:eastAsia="仿宋_GB2312" w:cs="仿宋_GB2312"/>
          <w:color w:val="000000"/>
          <w:kern w:val="0"/>
          <w:szCs w:val="24"/>
          <w:lang w:bidi="ar"/>
        </w:rPr>
        <w:t>5.本项目不接受联合体投标。</w:t>
      </w:r>
    </w:p>
    <w:p>
      <w:pPr>
        <w:pStyle w:val="19"/>
        <w:spacing w:before="0" w:beforeAutospacing="0" w:after="0" w:afterAutospacing="0" w:line="336" w:lineRule="auto"/>
        <w:jc w:val="both"/>
        <w:rPr>
          <w:rStyle w:val="23"/>
          <w:rFonts w:hint="eastAsia" w:ascii="仿宋" w:hAnsi="仿宋" w:eastAsia="仿宋" w:cs="仿宋"/>
          <w:color w:val="auto"/>
          <w:sz w:val="24"/>
          <w:szCs w:val="24"/>
        </w:rPr>
      </w:pPr>
      <w:r>
        <w:rPr>
          <w:rStyle w:val="23"/>
          <w:rFonts w:hint="eastAsia" w:ascii="仿宋" w:hAnsi="仿宋" w:eastAsia="仿宋" w:cs="仿宋"/>
          <w:color w:val="auto"/>
          <w:sz w:val="24"/>
          <w:szCs w:val="24"/>
        </w:rPr>
        <w:t>三、获取招标文件</w:t>
      </w:r>
    </w:p>
    <w:p>
      <w:pPr>
        <w:pStyle w:val="19"/>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时间：公告发布之日起至投标截止时间。</w:t>
      </w:r>
    </w:p>
    <w:p>
      <w:pPr>
        <w:pStyle w:val="19"/>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地点（网址）：浙江政府采购网“政府采购云平台”（http://login.zcygov.cn/login）（或登入“政采云电子投标客户端”）</w:t>
      </w:r>
    </w:p>
    <w:p>
      <w:pPr>
        <w:pStyle w:val="19"/>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方式：请</w:t>
      </w:r>
      <w:r>
        <w:rPr>
          <w:rFonts w:hint="eastAsia" w:ascii="仿宋" w:hAnsi="仿宋" w:eastAsia="仿宋" w:cs="仿宋"/>
          <w:i w:val="0"/>
          <w:caps w:val="0"/>
          <w:color w:val="auto"/>
          <w:spacing w:val="0"/>
          <w:kern w:val="0"/>
          <w:sz w:val="24"/>
          <w:szCs w:val="24"/>
          <w:lang w:val="en-US" w:eastAsia="zh-CN" w:bidi="ar"/>
        </w:rPr>
        <w:t>登录</w:t>
      </w:r>
      <w:r>
        <w:rPr>
          <w:rFonts w:hint="eastAsia" w:ascii="仿宋" w:hAnsi="仿宋" w:eastAsia="仿宋" w:cs="仿宋"/>
          <w:color w:val="auto"/>
          <w:sz w:val="24"/>
          <w:szCs w:val="24"/>
        </w:rPr>
        <w:t>浙江政府采购网“政府采购云平台”（http://login.zcygov.cn/login）（或登入“政采云电子投标客户端”）搜索相应项目下载招标采购文件。</w:t>
      </w:r>
    </w:p>
    <w:p>
      <w:pPr>
        <w:pStyle w:val="19"/>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售价（元）：0 </w:t>
      </w:r>
    </w:p>
    <w:p>
      <w:pPr>
        <w:pStyle w:val="19"/>
        <w:spacing w:before="0" w:beforeAutospacing="0" w:after="0" w:afterAutospacing="0" w:line="336" w:lineRule="auto"/>
        <w:jc w:val="both"/>
        <w:rPr>
          <w:rStyle w:val="23"/>
          <w:rFonts w:hint="eastAsia" w:ascii="仿宋" w:hAnsi="仿宋" w:eastAsia="仿宋" w:cs="仿宋"/>
          <w:color w:val="auto"/>
          <w:sz w:val="24"/>
          <w:szCs w:val="24"/>
        </w:rPr>
      </w:pPr>
      <w:r>
        <w:rPr>
          <w:rStyle w:val="23"/>
          <w:rFonts w:hint="eastAsia" w:ascii="仿宋" w:hAnsi="仿宋" w:eastAsia="仿宋" w:cs="仿宋"/>
          <w:color w:val="auto"/>
          <w:sz w:val="24"/>
          <w:szCs w:val="24"/>
        </w:rPr>
        <w:t>四、提交投标文件截止时间、开标时间和地点</w:t>
      </w:r>
    </w:p>
    <w:p>
      <w:pPr>
        <w:pStyle w:val="19"/>
        <w:spacing w:before="75" w:beforeAutospacing="0" w:after="75" w:afterAutospacing="0" w:line="336" w:lineRule="auto"/>
        <w:rPr>
          <w:rFonts w:hint="eastAsia" w:ascii="仿宋" w:hAnsi="仿宋" w:eastAsia="仿宋" w:cs="仿宋"/>
          <w:color w:val="auto"/>
          <w:sz w:val="24"/>
          <w:szCs w:val="24"/>
        </w:rPr>
      </w:pPr>
      <w:r>
        <w:rPr>
          <w:rFonts w:hint="eastAsia" w:ascii="仿宋" w:hAnsi="仿宋" w:eastAsia="仿宋" w:cs="仿宋"/>
          <w:color w:val="auto"/>
          <w:sz w:val="24"/>
          <w:szCs w:val="24"/>
        </w:rPr>
        <w:t>    提交投标文件截止时间：</w:t>
      </w:r>
      <w:r>
        <w:rPr>
          <w:rFonts w:hint="eastAsia" w:ascii="仿宋" w:hAnsi="仿宋" w:eastAsia="仿宋" w:cs="仿宋"/>
          <w:color w:val="auto"/>
          <w:sz w:val="24"/>
          <w:szCs w:val="24"/>
          <w:u w:val="single"/>
          <w:lang w:eastAsia="zh-CN"/>
        </w:rPr>
        <w:t>2022年11月28日09:00时</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北京时间）</w:t>
      </w:r>
    </w:p>
    <w:p>
      <w:pPr>
        <w:pStyle w:val="19"/>
        <w:spacing w:before="75" w:beforeAutospacing="0" w:after="75" w:afterAutospacing="0" w:line="336"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    投标地点（网址）：</w:t>
      </w:r>
      <w:r>
        <w:rPr>
          <w:rFonts w:hint="eastAsia" w:ascii="仿宋" w:hAnsi="仿宋" w:eastAsia="仿宋" w:cs="仿宋"/>
          <w:color w:val="auto"/>
          <w:sz w:val="24"/>
          <w:szCs w:val="24"/>
          <w:u w:val="single"/>
        </w:rPr>
        <w:t>投标人应于</w:t>
      </w:r>
      <w:r>
        <w:rPr>
          <w:rFonts w:hint="eastAsia" w:ascii="仿宋" w:hAnsi="仿宋" w:eastAsia="仿宋" w:cs="仿宋"/>
          <w:color w:val="auto"/>
          <w:sz w:val="24"/>
          <w:szCs w:val="24"/>
          <w:u w:val="single"/>
          <w:lang w:eastAsia="zh-CN"/>
        </w:rPr>
        <w:t>投标截止时间</w:t>
      </w:r>
      <w:r>
        <w:rPr>
          <w:rFonts w:hint="eastAsia" w:ascii="仿宋" w:hAnsi="仿宋" w:eastAsia="仿宋" w:cs="仿宋"/>
          <w:color w:val="auto"/>
          <w:sz w:val="24"/>
          <w:szCs w:val="24"/>
          <w:u w:val="single"/>
        </w:rPr>
        <w:t>前将投标文件须通过“政采云电子投标客户端”软件上传，逾期或未上传成功的将导致无法投标或投标无效。</w:t>
      </w:r>
    </w:p>
    <w:p>
      <w:pPr>
        <w:pStyle w:val="19"/>
        <w:spacing w:before="75" w:beforeAutospacing="0" w:after="75" w:afterAutospacing="0" w:line="336"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开标时间：</w:t>
      </w:r>
      <w:r>
        <w:rPr>
          <w:rFonts w:hint="eastAsia" w:ascii="仿宋" w:hAnsi="仿宋" w:eastAsia="仿宋" w:cs="仿宋"/>
          <w:color w:val="auto"/>
          <w:sz w:val="24"/>
          <w:szCs w:val="24"/>
          <w:u w:val="single"/>
          <w:lang w:eastAsia="zh-CN"/>
        </w:rPr>
        <w:t>2022年11月28日09:00时</w:t>
      </w:r>
    </w:p>
    <w:p>
      <w:pPr>
        <w:pStyle w:val="19"/>
        <w:spacing w:before="75" w:beforeAutospacing="0" w:after="75" w:afterAutospacing="0" w:line="336" w:lineRule="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开标</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浙江政府采购网“政府采购云平台”（http://login.zcygov.cn/login）（或登入“政采云电子投标客户端”）开标大厅</w:t>
      </w:r>
      <w:r>
        <w:rPr>
          <w:rFonts w:hint="eastAsia" w:ascii="仿宋" w:hAnsi="仿宋" w:eastAsia="仿宋" w:cs="仿宋"/>
          <w:color w:val="auto"/>
          <w:sz w:val="24"/>
          <w:szCs w:val="24"/>
          <w:u w:val="single"/>
          <w:lang w:eastAsia="zh-CN"/>
        </w:rPr>
        <w:t>。</w:t>
      </w:r>
    </w:p>
    <w:p>
      <w:pPr>
        <w:pStyle w:val="19"/>
        <w:spacing w:before="0" w:beforeAutospacing="0" w:after="0" w:afterAutospacing="0" w:line="336" w:lineRule="auto"/>
        <w:jc w:val="both"/>
        <w:rPr>
          <w:rStyle w:val="23"/>
          <w:rFonts w:hint="eastAsia" w:ascii="仿宋" w:hAnsi="仿宋" w:eastAsia="仿宋" w:cs="仿宋"/>
          <w:color w:val="auto"/>
          <w:sz w:val="24"/>
          <w:szCs w:val="24"/>
          <w:lang w:eastAsia="zh-CN"/>
        </w:rPr>
      </w:pPr>
      <w:r>
        <w:rPr>
          <w:rStyle w:val="23"/>
          <w:rFonts w:hint="eastAsia" w:ascii="仿宋" w:hAnsi="仿宋" w:eastAsia="仿宋" w:cs="仿宋"/>
          <w:color w:val="auto"/>
          <w:sz w:val="24"/>
          <w:szCs w:val="24"/>
          <w:lang w:eastAsia="zh-CN"/>
        </w:rPr>
        <w:t>五、</w:t>
      </w:r>
      <w:r>
        <w:rPr>
          <w:rStyle w:val="23"/>
          <w:rFonts w:hint="eastAsia" w:ascii="仿宋" w:hAnsi="仿宋" w:eastAsia="仿宋" w:cs="仿宋"/>
          <w:color w:val="auto"/>
          <w:sz w:val="24"/>
          <w:szCs w:val="24"/>
        </w:rPr>
        <w:t>采购意向公开链接：</w:t>
      </w:r>
    </w:p>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https://zfcg.czt.zj.gov.cn/innerUsed_noticeDetails/index.html?noticeId=9009963&amp;utm=web-government-front.49399a16.0.0.e05871005e3a11ed9fb73b9b6ba14de6</w:t>
      </w:r>
    </w:p>
    <w:p>
      <w:pPr>
        <w:pStyle w:val="19"/>
        <w:spacing w:before="0" w:beforeAutospacing="0" w:after="0" w:afterAutospacing="0" w:line="336" w:lineRule="auto"/>
        <w:jc w:val="both"/>
        <w:rPr>
          <w:rFonts w:hint="eastAsia" w:ascii="仿宋" w:hAnsi="仿宋" w:eastAsia="仿宋" w:cs="仿宋"/>
          <w:color w:val="auto"/>
          <w:sz w:val="24"/>
          <w:szCs w:val="24"/>
        </w:rPr>
      </w:pPr>
      <w:r>
        <w:rPr>
          <w:rStyle w:val="23"/>
          <w:rFonts w:hint="eastAsia" w:ascii="仿宋" w:hAnsi="仿宋" w:eastAsia="仿宋" w:cs="仿宋"/>
          <w:color w:val="auto"/>
          <w:sz w:val="24"/>
          <w:szCs w:val="24"/>
          <w:lang w:eastAsia="zh-CN"/>
        </w:rPr>
        <w:t>六、</w:t>
      </w:r>
      <w:r>
        <w:rPr>
          <w:rStyle w:val="23"/>
          <w:rFonts w:hint="eastAsia" w:ascii="仿宋" w:hAnsi="仿宋" w:eastAsia="仿宋" w:cs="仿宋"/>
          <w:color w:val="auto"/>
          <w:sz w:val="24"/>
          <w:szCs w:val="24"/>
        </w:rPr>
        <w:t>公告期限</w:t>
      </w:r>
      <w:r>
        <w:rPr>
          <w:rStyle w:val="23"/>
          <w:rFonts w:hint="eastAsia" w:ascii="仿宋" w:hAnsi="仿宋" w:eastAsia="仿宋" w:cs="仿宋"/>
          <w:color w:val="auto"/>
          <w:sz w:val="24"/>
          <w:szCs w:val="24"/>
          <w:lang w:eastAsia="zh-CN"/>
        </w:rPr>
        <w:t>：</w:t>
      </w:r>
      <w:r>
        <w:rPr>
          <w:rFonts w:hint="eastAsia" w:ascii="仿宋" w:hAnsi="仿宋" w:eastAsia="仿宋" w:cs="仿宋"/>
          <w:color w:val="auto"/>
          <w:sz w:val="24"/>
          <w:szCs w:val="24"/>
        </w:rPr>
        <w:t>自本公告发布之日起5个工作日。　</w:t>
      </w:r>
    </w:p>
    <w:p>
      <w:pPr>
        <w:pStyle w:val="19"/>
        <w:spacing w:before="0" w:beforeAutospacing="0" w:after="0" w:afterAutospacing="0" w:line="336" w:lineRule="auto"/>
        <w:jc w:val="both"/>
        <w:rPr>
          <w:rStyle w:val="23"/>
          <w:rFonts w:hint="eastAsia" w:ascii="仿宋" w:hAnsi="仿宋" w:eastAsia="仿宋" w:cs="仿宋"/>
          <w:color w:val="auto"/>
          <w:sz w:val="24"/>
          <w:szCs w:val="24"/>
        </w:rPr>
      </w:pPr>
      <w:r>
        <w:rPr>
          <w:rStyle w:val="23"/>
          <w:rFonts w:hint="eastAsia" w:ascii="仿宋" w:hAnsi="仿宋" w:eastAsia="仿宋" w:cs="仿宋"/>
          <w:color w:val="auto"/>
          <w:sz w:val="24"/>
          <w:szCs w:val="24"/>
          <w:lang w:eastAsia="zh-CN"/>
        </w:rPr>
        <w:t>七</w:t>
      </w:r>
      <w:r>
        <w:rPr>
          <w:rStyle w:val="23"/>
          <w:rFonts w:hint="eastAsia" w:ascii="仿宋" w:hAnsi="仿宋" w:eastAsia="仿宋" w:cs="仿宋"/>
          <w:color w:val="auto"/>
          <w:sz w:val="24"/>
          <w:szCs w:val="24"/>
        </w:rPr>
        <w:t>、其他</w:t>
      </w:r>
      <w:r>
        <w:rPr>
          <w:rStyle w:val="23"/>
          <w:rFonts w:hint="eastAsia" w:ascii="仿宋" w:hAnsi="仿宋" w:eastAsia="仿宋" w:cs="仿宋"/>
          <w:color w:val="auto"/>
          <w:sz w:val="24"/>
          <w:szCs w:val="24"/>
          <w:lang w:eastAsia="zh-CN"/>
        </w:rPr>
        <w:t>补充事宜</w:t>
      </w:r>
      <w:r>
        <w:rPr>
          <w:rStyle w:val="23"/>
          <w:rFonts w:hint="eastAsia" w:ascii="仿宋" w:hAnsi="仿宋" w:eastAsia="仿宋" w:cs="仿宋"/>
          <w:color w:val="auto"/>
          <w:sz w:val="24"/>
          <w:szCs w:val="24"/>
        </w:rPr>
        <w:t>：</w:t>
      </w:r>
    </w:p>
    <w:p>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80" w:firstLineChars="200"/>
        <w:jc w:val="both"/>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 1.《浙江省财政厅关于进一步发挥政府采购政策功能全力推动经济稳进提质的通知》 （浙财采监（〔2022〕3号）、《浙江省财政厅关于进一步促进政府采购公平竞争打造最优营商环境的通知》（浙财采监〔202</w:t>
      </w:r>
      <w:r>
        <w:rPr>
          <w:rFonts w:hint="eastAsia" w:ascii="仿宋" w:hAnsi="仿宋" w:eastAsia="仿宋" w:cs="仿宋"/>
          <w:i w:val="0"/>
          <w:caps w:val="0"/>
          <w:color w:val="auto"/>
          <w:spacing w:val="0"/>
          <w:sz w:val="24"/>
          <w:szCs w:val="24"/>
          <w:lang w:val="en-US" w:eastAsia="zh-CN"/>
        </w:rPr>
        <w:t>1</w:t>
      </w:r>
      <w:r>
        <w:rPr>
          <w:rFonts w:hint="eastAsia" w:ascii="仿宋" w:hAnsi="仿宋" w:eastAsia="仿宋" w:cs="仿宋"/>
          <w:i w:val="0"/>
          <w:caps w:val="0"/>
          <w:color w:val="auto"/>
          <w:spacing w:val="0"/>
          <w:sz w:val="24"/>
          <w:szCs w:val="24"/>
        </w:rPr>
        <w:t>〕22号）</w:t>
      </w:r>
      <w:r>
        <w:rPr>
          <w:rFonts w:hint="eastAsia" w:ascii="仿宋" w:hAnsi="仿宋" w:eastAsia="仿宋" w:cs="仿宋"/>
          <w:i w:val="0"/>
          <w:caps w:val="0"/>
          <w:color w:val="auto"/>
          <w:spacing w:val="0"/>
          <w:sz w:val="24"/>
          <w:szCs w:val="24"/>
          <w:lang w:eastAsia="zh-CN"/>
        </w:rPr>
        <w:t>、</w:t>
      </w:r>
      <w:r>
        <w:rPr>
          <w:rFonts w:hint="eastAsia" w:ascii="仿宋" w:hAnsi="仿宋" w:eastAsia="仿宋" w:cs="仿宋"/>
          <w:b/>
          <w:bCs/>
          <w:i w:val="0"/>
          <w:caps w:val="0"/>
          <w:color w:val="auto"/>
          <w:spacing w:val="0"/>
          <w:sz w:val="24"/>
          <w:szCs w:val="24"/>
          <w:lang w:eastAsia="zh-CN"/>
        </w:rPr>
        <w:t>《浙江省财政厅关于进一步加大政府采购支持中小企业力度 助力扎实稳住经济的通知》</w:t>
      </w:r>
      <w:r>
        <w:rPr>
          <w:rFonts w:hint="eastAsia" w:ascii="仿宋" w:hAnsi="仿宋" w:eastAsia="仿宋" w:cs="仿宋"/>
          <w:b/>
          <w:bCs/>
          <w:i w:val="0"/>
          <w:caps w:val="0"/>
          <w:color w:val="auto"/>
          <w:spacing w:val="0"/>
          <w:sz w:val="24"/>
          <w:szCs w:val="24"/>
        </w:rPr>
        <w:t>（浙财采监〔2022〕</w:t>
      </w:r>
      <w:r>
        <w:rPr>
          <w:rFonts w:hint="eastAsia" w:ascii="仿宋" w:hAnsi="仿宋" w:eastAsia="仿宋" w:cs="仿宋"/>
          <w:b/>
          <w:bCs/>
          <w:i w:val="0"/>
          <w:caps w:val="0"/>
          <w:color w:val="auto"/>
          <w:spacing w:val="0"/>
          <w:sz w:val="24"/>
          <w:szCs w:val="24"/>
          <w:lang w:val="en-US" w:eastAsia="zh-CN"/>
        </w:rPr>
        <w:t>8</w:t>
      </w:r>
      <w:r>
        <w:rPr>
          <w:rFonts w:hint="eastAsia" w:ascii="仿宋" w:hAnsi="仿宋" w:eastAsia="仿宋" w:cs="仿宋"/>
          <w:b/>
          <w:bCs/>
          <w:i w:val="0"/>
          <w:caps w:val="0"/>
          <w:color w:val="auto"/>
          <w:spacing w:val="0"/>
          <w:sz w:val="24"/>
          <w:szCs w:val="24"/>
        </w:rPr>
        <w:t>号）</w:t>
      </w:r>
      <w:r>
        <w:rPr>
          <w:rFonts w:hint="eastAsia" w:ascii="仿宋" w:hAnsi="仿宋" w:eastAsia="仿宋" w:cs="仿宋"/>
          <w:i w:val="0"/>
          <w:caps w:val="0"/>
          <w:color w:val="auto"/>
          <w:spacing w:val="0"/>
          <w:sz w:val="24"/>
          <w:szCs w:val="24"/>
        </w:rPr>
        <w:t>已分别于2022年1月29日</w:t>
      </w:r>
      <w:r>
        <w:rPr>
          <w:rFonts w:hint="eastAsia" w:ascii="仿宋" w:hAnsi="仿宋" w:eastAsia="仿宋" w:cs="仿宋"/>
          <w:i w:val="0"/>
          <w:caps w:val="0"/>
          <w:color w:val="auto"/>
          <w:spacing w:val="0"/>
          <w:sz w:val="24"/>
          <w:szCs w:val="24"/>
          <w:lang w:eastAsia="zh-CN"/>
        </w:rPr>
        <w:t>、</w:t>
      </w:r>
      <w:r>
        <w:rPr>
          <w:rFonts w:hint="eastAsia" w:ascii="仿宋" w:hAnsi="仿宋" w:eastAsia="仿宋" w:cs="仿宋"/>
          <w:i w:val="0"/>
          <w:caps w:val="0"/>
          <w:color w:val="auto"/>
          <w:spacing w:val="0"/>
          <w:sz w:val="24"/>
          <w:szCs w:val="24"/>
        </w:rPr>
        <w:t>2022年2月1日</w:t>
      </w:r>
      <w:r>
        <w:rPr>
          <w:rFonts w:hint="eastAsia" w:ascii="仿宋" w:hAnsi="仿宋" w:eastAsia="仿宋" w:cs="仿宋"/>
          <w:i w:val="0"/>
          <w:caps w:val="0"/>
          <w:color w:val="auto"/>
          <w:spacing w:val="0"/>
          <w:sz w:val="24"/>
          <w:szCs w:val="24"/>
          <w:lang w:eastAsia="zh-CN"/>
        </w:rPr>
        <w:t>和</w:t>
      </w:r>
      <w:r>
        <w:rPr>
          <w:rFonts w:hint="eastAsia" w:ascii="仿宋" w:hAnsi="仿宋" w:eastAsia="仿宋" w:cs="仿宋"/>
          <w:b/>
          <w:bCs/>
          <w:i w:val="0"/>
          <w:caps w:val="0"/>
          <w:color w:val="auto"/>
          <w:spacing w:val="0"/>
          <w:sz w:val="24"/>
          <w:szCs w:val="24"/>
        </w:rPr>
        <w:t>2022年</w:t>
      </w:r>
      <w:r>
        <w:rPr>
          <w:rFonts w:hint="eastAsia" w:ascii="仿宋" w:hAnsi="仿宋" w:eastAsia="仿宋" w:cs="仿宋"/>
          <w:b/>
          <w:bCs/>
          <w:i w:val="0"/>
          <w:caps w:val="0"/>
          <w:color w:val="auto"/>
          <w:spacing w:val="0"/>
          <w:sz w:val="24"/>
          <w:szCs w:val="24"/>
          <w:lang w:val="en-US" w:eastAsia="zh-CN"/>
        </w:rPr>
        <w:t>7</w:t>
      </w:r>
      <w:r>
        <w:rPr>
          <w:rFonts w:hint="eastAsia" w:ascii="仿宋" w:hAnsi="仿宋" w:eastAsia="仿宋" w:cs="仿宋"/>
          <w:b/>
          <w:bCs/>
          <w:i w:val="0"/>
          <w:caps w:val="0"/>
          <w:color w:val="auto"/>
          <w:spacing w:val="0"/>
          <w:sz w:val="24"/>
          <w:szCs w:val="24"/>
        </w:rPr>
        <w:t>月1日</w:t>
      </w:r>
      <w:r>
        <w:rPr>
          <w:rFonts w:hint="eastAsia" w:ascii="仿宋" w:hAnsi="仿宋" w:eastAsia="仿宋" w:cs="仿宋"/>
          <w:i w:val="0"/>
          <w:caps w:val="0"/>
          <w:color w:val="auto"/>
          <w:spacing w:val="0"/>
          <w:sz w:val="24"/>
          <w:szCs w:val="24"/>
        </w:rPr>
        <w:t>开始实施，此前有关规定与上述文件内容不一致的，按上述文件要求执行。</w:t>
      </w:r>
    </w:p>
    <w:p>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80" w:firstLineChars="200"/>
        <w:jc w:val="both"/>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80" w:firstLineChars="200"/>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i w:val="0"/>
          <w:caps w:val="0"/>
          <w:color w:val="auto"/>
          <w:spacing w:val="0"/>
          <w:sz w:val="24"/>
          <w:szCs w:val="24"/>
          <w:highlight w:val="none"/>
          <w:u w:val="none"/>
        </w:rPr>
        <w:t>，对采购文件需求的以书面形式向采购人提出质疑，对其他内容的以书面形式向采购人和采购代理机构提出质疑。质疑供应商对</w:t>
      </w:r>
      <w:r>
        <w:rPr>
          <w:rFonts w:hint="eastAsia" w:ascii="仿宋" w:hAnsi="仿宋" w:eastAsia="仿宋" w:cs="仿宋"/>
          <w:i w:val="0"/>
          <w:caps w:val="0"/>
          <w:color w:val="auto"/>
          <w:spacing w:val="0"/>
          <w:sz w:val="24"/>
          <w:szCs w:val="24"/>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480" w:firstLineChars="200"/>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4.其他事项：</w:t>
      </w:r>
      <w:r>
        <w:rPr>
          <w:rFonts w:hint="eastAsia" w:ascii="仿宋" w:hAnsi="仿宋" w:eastAsia="仿宋" w:cs="仿宋"/>
          <w:i w:val="0"/>
          <w:caps w:val="0"/>
          <w:color w:val="auto"/>
          <w:spacing w:val="0"/>
          <w:kern w:val="0"/>
          <w:sz w:val="24"/>
          <w:szCs w:val="24"/>
          <w:lang w:val="en-US" w:eastAsia="zh-CN" w:bidi="ar"/>
        </w:rPr>
        <w:t>见招标文件</w:t>
      </w:r>
      <w:r>
        <w:rPr>
          <w:rFonts w:hint="eastAsia" w:ascii="仿宋" w:hAnsi="仿宋" w:eastAsia="仿宋" w:cs="仿宋"/>
          <w:i w:val="0"/>
          <w:caps w:val="0"/>
          <w:color w:val="auto"/>
          <w:spacing w:val="0"/>
          <w:sz w:val="24"/>
          <w:szCs w:val="24"/>
        </w:rPr>
        <w:t> </w:t>
      </w:r>
    </w:p>
    <w:p>
      <w:pPr>
        <w:keepNext w:val="0"/>
        <w:keepLines w:val="0"/>
        <w:pageBreakBefore w:val="0"/>
        <w:kinsoku/>
        <w:wordWrap/>
        <w:overflowPunct/>
        <w:topLinePunct w:val="0"/>
        <w:bidi w:val="0"/>
        <w:spacing w:line="240" w:lineRule="auto"/>
        <w:ind w:firstLine="480" w:firstLineChars="200"/>
        <w:textAlignment w:val="auto"/>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482" w:firstLineChars="200"/>
        <w:textAlignment w:val="auto"/>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b/>
          <w:bCs/>
          <w:i w:val="0"/>
          <w:caps w:val="0"/>
          <w:color w:val="auto"/>
          <w:spacing w:val="0"/>
          <w:kern w:val="0"/>
          <w:sz w:val="24"/>
          <w:szCs w:val="24"/>
          <w:lang w:val="en-US" w:eastAsia="zh-CN" w:bidi="ar"/>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pStyle w:val="19"/>
        <w:spacing w:before="0" w:beforeAutospacing="0" w:after="0" w:afterAutospacing="0" w:line="336" w:lineRule="auto"/>
        <w:rPr>
          <w:rFonts w:hint="eastAsia" w:ascii="仿宋" w:hAnsi="仿宋" w:eastAsia="仿宋" w:cs="仿宋"/>
          <w:color w:val="auto"/>
          <w:sz w:val="24"/>
          <w:szCs w:val="24"/>
        </w:rPr>
      </w:pPr>
      <w:r>
        <w:rPr>
          <w:rStyle w:val="23"/>
          <w:rFonts w:hint="eastAsia" w:ascii="仿宋" w:hAnsi="仿宋" w:eastAsia="仿宋" w:cs="仿宋"/>
          <w:color w:val="auto"/>
          <w:sz w:val="24"/>
          <w:szCs w:val="24"/>
          <w:lang w:eastAsia="zh-CN"/>
        </w:rPr>
        <w:t>八</w:t>
      </w:r>
      <w:r>
        <w:rPr>
          <w:rStyle w:val="23"/>
          <w:rFonts w:hint="eastAsia" w:ascii="仿宋" w:hAnsi="仿宋" w:eastAsia="仿宋" w:cs="仿宋"/>
          <w:color w:val="auto"/>
          <w:sz w:val="24"/>
          <w:szCs w:val="24"/>
        </w:rPr>
        <w:t>、对本次招标提出询问、质疑、投诉，请按以下方式联系：</w:t>
      </w:r>
      <w:r>
        <w:rPr>
          <w:rFonts w:hint="eastAsia" w:ascii="仿宋" w:hAnsi="仿宋" w:eastAsia="仿宋" w:cs="仿宋"/>
          <w:color w:val="auto"/>
          <w:sz w:val="24"/>
          <w:szCs w:val="24"/>
        </w:rPr>
        <w:t>　　　　　　　　　　</w:t>
      </w:r>
    </w:p>
    <w:p>
      <w:pPr>
        <w:pStyle w:val="19"/>
        <w:spacing w:before="0" w:beforeAutospacing="0" w:after="0" w:afterAutospacing="0" w:line="336" w:lineRule="auto"/>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lang w:eastAsia="zh-CN"/>
        </w:rPr>
        <w:t>武义县疾病预防控制中心</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武义县江山新村2路2幢2号</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eastAsia="zh-CN"/>
        </w:rPr>
        <w:t>顾先生</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lang w:val="en-US" w:eastAsia="zh-CN"/>
        </w:rPr>
        <w:t>13967961323</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eastAsia="zh-CN"/>
        </w:rPr>
        <w:t>顾先生</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lang w:val="en-US" w:eastAsia="zh-CN"/>
        </w:rPr>
        <w:t>13967961323</w:t>
      </w:r>
    </w:p>
    <w:p>
      <w:pPr>
        <w:pStyle w:val="19"/>
        <w:spacing w:before="75" w:beforeAutospacing="0" w:after="75" w:afterAutospacing="0" w:line="336" w:lineRule="auto"/>
        <w:rPr>
          <w:rFonts w:hint="eastAsia" w:ascii="仿宋" w:hAnsi="仿宋" w:eastAsia="仿宋" w:cs="仿宋"/>
          <w:color w:val="auto"/>
          <w:sz w:val="24"/>
          <w:szCs w:val="24"/>
        </w:rPr>
      </w:pPr>
      <w:r>
        <w:rPr>
          <w:rFonts w:hint="eastAsia" w:ascii="仿宋" w:hAnsi="仿宋" w:eastAsia="仿宋" w:cs="仿宋"/>
          <w:color w:val="auto"/>
          <w:sz w:val="24"/>
          <w:szCs w:val="24"/>
        </w:rPr>
        <w:t> 2.采购代理机构信息</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金华同慷建设管理咨询有限公司</w:t>
      </w:r>
      <w:r>
        <w:rPr>
          <w:rFonts w:hint="eastAsia" w:ascii="仿宋" w:hAnsi="仿宋" w:eastAsia="仿宋" w:cs="仿宋"/>
          <w:color w:val="auto"/>
          <w:sz w:val="24"/>
          <w:szCs w:val="24"/>
        </w:rPr>
        <w:t>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武义县中南名城2号楼商业2-001铺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项目联系人（询问）：邹晓露</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项目联系方式（询问）：13857921876</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质疑联系人：程博翔</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质疑联系方式：15925951663</w:t>
      </w:r>
    </w:p>
    <w:p>
      <w:pPr>
        <w:pStyle w:val="19"/>
        <w:spacing w:before="0" w:beforeAutospacing="0" w:after="0" w:afterAutospacing="0" w:line="336" w:lineRule="auto"/>
        <w:rPr>
          <w:rFonts w:hint="eastAsia" w:ascii="仿宋" w:hAnsi="仿宋" w:eastAsia="仿宋" w:cs="仿宋"/>
          <w:color w:val="auto"/>
          <w:sz w:val="24"/>
          <w:szCs w:val="24"/>
        </w:rPr>
      </w:pPr>
      <w:r>
        <w:rPr>
          <w:rFonts w:hint="eastAsia" w:ascii="仿宋" w:hAnsi="仿宋" w:eastAsia="仿宋" w:cs="仿宋"/>
          <w:color w:val="auto"/>
          <w:sz w:val="24"/>
          <w:szCs w:val="24"/>
        </w:rPr>
        <w:t>3.同级政府采购监督管理部门</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武义县财政局政府采购监管科</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武义县温泉南路100号502室</w:t>
      </w:r>
      <w:r>
        <w:rPr>
          <w:rFonts w:hint="eastAsia" w:ascii="仿宋" w:hAnsi="仿宋" w:eastAsia="仿宋" w:cs="仿宋"/>
          <w:color w:val="auto"/>
          <w:sz w:val="24"/>
          <w:szCs w:val="24"/>
        </w:rPr>
        <w:t> </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u w:val="single"/>
          <w:lang w:eastAsia="zh-CN"/>
        </w:rPr>
        <w:t>魏</w:t>
      </w:r>
      <w:r>
        <w:rPr>
          <w:rFonts w:hint="eastAsia" w:ascii="仿宋" w:hAnsi="仿宋" w:eastAsia="仿宋" w:cs="仿宋"/>
          <w:color w:val="auto"/>
          <w:sz w:val="24"/>
          <w:szCs w:val="24"/>
          <w:u w:val="single"/>
        </w:rPr>
        <w:t>女士</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360" w:firstLineChars="15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监督投诉电话：</w:t>
      </w:r>
      <w:r>
        <w:rPr>
          <w:rFonts w:hint="eastAsia" w:ascii="仿宋" w:hAnsi="仿宋" w:eastAsia="仿宋" w:cs="仿宋"/>
          <w:color w:val="auto"/>
          <w:sz w:val="24"/>
          <w:szCs w:val="24"/>
          <w:u w:val="single"/>
        </w:rPr>
        <w:t>0579-87646372</w:t>
      </w:r>
      <w:r>
        <w:rPr>
          <w:rFonts w:hint="eastAsia" w:ascii="仿宋" w:hAnsi="仿宋" w:eastAsia="仿宋" w:cs="仿宋"/>
          <w:color w:val="auto"/>
          <w:sz w:val="24"/>
          <w:szCs w:val="24"/>
        </w:rPr>
        <w:t> </w:t>
      </w:r>
    </w:p>
    <w:p>
      <w:pPr>
        <w:pStyle w:val="27"/>
        <w:ind w:firstLine="420" w:firstLineChars="200"/>
        <w:rPr>
          <w:rFonts w:ascii="仿宋" w:hAnsi="仿宋" w:eastAsia="仿宋" w:cs="仿宋"/>
          <w:color w:val="auto"/>
          <w:sz w:val="36"/>
          <w:szCs w:val="36"/>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w:t>
      </w:r>
      <w:bookmarkEnd w:id="1"/>
      <w:bookmarkStart w:id="2" w:name="_Toc125344503"/>
    </w:p>
    <w:p>
      <w:pPr>
        <w:pStyle w:val="3"/>
        <w:rPr>
          <w:rFonts w:ascii="仿宋" w:hAnsi="仿宋" w:eastAsia="仿宋" w:cs="仿宋"/>
          <w:color w:val="auto"/>
          <w:sz w:val="36"/>
          <w:szCs w:val="36"/>
        </w:rPr>
      </w:pPr>
    </w:p>
    <w:p>
      <w:pPr>
        <w:rPr>
          <w:color w:val="auto"/>
        </w:rPr>
        <w:sectPr>
          <w:footerReference r:id="rId7" w:type="first"/>
          <w:footerReference r:id="rId6" w:type="default"/>
          <w:pgSz w:w="11906" w:h="16838"/>
          <w:pgMar w:top="1247" w:right="1134" w:bottom="1020" w:left="1418" w:header="851" w:footer="907" w:gutter="0"/>
          <w:pgBorders>
            <w:top w:val="none" w:sz="0" w:space="0"/>
            <w:left w:val="none" w:sz="0" w:space="0"/>
            <w:bottom w:val="none" w:sz="0" w:space="0"/>
            <w:right w:val="none" w:sz="0" w:space="0"/>
          </w:pgBorders>
          <w:pgNumType w:fmt="numberInDash" w:start="1"/>
          <w:cols w:space="720" w:num="1"/>
          <w:docGrid w:type="lines" w:linePitch="312" w:charSpace="0"/>
        </w:sectPr>
      </w:pPr>
    </w:p>
    <w:p>
      <w:pPr>
        <w:jc w:val="center"/>
        <w:rPr>
          <w:rFonts w:ascii="仿宋" w:hAnsi="仿宋" w:eastAsia="仿宋" w:cs="仿宋"/>
          <w:b/>
          <w:color w:val="auto"/>
          <w:kern w:val="44"/>
          <w:sz w:val="36"/>
          <w:szCs w:val="36"/>
        </w:rPr>
      </w:pPr>
      <w:r>
        <w:rPr>
          <w:rFonts w:hint="eastAsia" w:ascii="仿宋" w:hAnsi="仿宋" w:eastAsia="仿宋" w:cs="仿宋"/>
          <w:b/>
          <w:color w:val="auto"/>
          <w:kern w:val="44"/>
          <w:sz w:val="36"/>
          <w:szCs w:val="36"/>
        </w:rPr>
        <w:t>第二章  投标须知</w:t>
      </w:r>
    </w:p>
    <w:p>
      <w:pPr>
        <w:pStyle w:val="3"/>
        <w:spacing w:before="0" w:after="0" w:line="420" w:lineRule="exact"/>
        <w:jc w:val="center"/>
        <w:rPr>
          <w:rFonts w:ascii="仿宋" w:hAnsi="仿宋" w:eastAsia="仿宋" w:cs="仿宋"/>
          <w:color w:val="auto"/>
          <w:sz w:val="30"/>
          <w:szCs w:val="30"/>
        </w:rPr>
      </w:pPr>
      <w:r>
        <w:rPr>
          <w:rFonts w:hint="eastAsia" w:ascii="仿宋" w:hAnsi="仿宋" w:eastAsia="仿宋" w:cs="仿宋"/>
          <w:color w:val="auto"/>
          <w:sz w:val="30"/>
          <w:szCs w:val="30"/>
        </w:rPr>
        <w:t>前  附  表</w:t>
      </w:r>
    </w:p>
    <w:tbl>
      <w:tblPr>
        <w:tblStyle w:val="21"/>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
                <w:color w:val="auto"/>
                <w:szCs w:val="24"/>
              </w:rPr>
            </w:pPr>
            <w:r>
              <w:rPr>
                <w:rFonts w:hint="eastAsia" w:ascii="仿宋" w:hAnsi="仿宋" w:eastAsia="仿宋" w:cs="仿宋"/>
                <w:b/>
                <w:color w:val="auto"/>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
                <w:color w:val="auto"/>
                <w:szCs w:val="24"/>
              </w:rPr>
            </w:pPr>
            <w:r>
              <w:rPr>
                <w:rFonts w:hint="eastAsia" w:ascii="仿宋" w:hAnsi="仿宋" w:eastAsia="仿宋" w:cs="仿宋"/>
                <w:b/>
                <w:color w:val="auto"/>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
                <w:color w:val="auto"/>
                <w:szCs w:val="24"/>
              </w:rPr>
            </w:pPr>
            <w:r>
              <w:rPr>
                <w:rFonts w:hint="eastAsia" w:ascii="仿宋" w:hAnsi="仿宋" w:eastAsia="仿宋" w:cs="仿宋"/>
                <w:b/>
                <w:color w:val="auto"/>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szCs w:val="24"/>
              </w:rPr>
            </w:pPr>
            <w:r>
              <w:rPr>
                <w:rFonts w:hint="eastAsia" w:ascii="仿宋" w:hAnsi="仿宋" w:eastAsia="仿宋" w:cs="仿宋"/>
                <w:bCs/>
                <w:color w:val="auto"/>
                <w:szCs w:val="24"/>
              </w:rPr>
              <w:t>1</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
                <w:color w:val="auto"/>
                <w:szCs w:val="24"/>
              </w:rPr>
            </w:pPr>
            <w:r>
              <w:rPr>
                <w:rFonts w:hint="eastAsia" w:ascii="仿宋" w:hAnsi="仿宋" w:eastAsia="仿宋" w:cs="仿宋"/>
                <w:color w:val="auto"/>
                <w:szCs w:val="24"/>
              </w:rPr>
              <w:t>项目名称</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武义县公共卫生中心实验楼和血站专业改造项目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szCs w:val="24"/>
              </w:rPr>
            </w:pPr>
            <w:r>
              <w:rPr>
                <w:rFonts w:hint="eastAsia" w:ascii="仿宋" w:hAnsi="仿宋" w:eastAsia="仿宋" w:cs="仿宋"/>
                <w:bCs/>
                <w:color w:val="auto"/>
                <w:szCs w:val="24"/>
              </w:rPr>
              <w:t>2</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
                <w:color w:val="auto"/>
                <w:szCs w:val="24"/>
              </w:rPr>
            </w:pPr>
            <w:r>
              <w:rPr>
                <w:rFonts w:hint="eastAsia" w:ascii="仿宋" w:hAnsi="仿宋" w:eastAsia="仿宋" w:cs="仿宋"/>
                <w:color w:val="auto"/>
                <w:szCs w:val="24"/>
              </w:rPr>
              <w:t>采购方式</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textAlignment w:val="auto"/>
              <w:rPr>
                <w:rFonts w:ascii="仿宋" w:hAnsi="仿宋" w:eastAsia="仿宋" w:cs="仿宋"/>
                <w:color w:val="auto"/>
                <w:szCs w:val="24"/>
              </w:rPr>
            </w:pPr>
            <w:r>
              <w:rPr>
                <w:rFonts w:hint="eastAsia" w:ascii="仿宋" w:hAnsi="仿宋" w:eastAsia="仿宋" w:cs="仿宋"/>
                <w:color w:val="auto"/>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szCs w:val="24"/>
              </w:rPr>
            </w:pPr>
            <w:r>
              <w:rPr>
                <w:rFonts w:hint="eastAsia" w:ascii="仿宋" w:hAnsi="仿宋" w:eastAsia="仿宋" w:cs="仿宋"/>
                <w:bCs/>
                <w:color w:val="auto"/>
                <w:szCs w:val="24"/>
              </w:rPr>
              <w:t>3</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
                <w:color w:val="auto"/>
                <w:szCs w:val="24"/>
              </w:rPr>
            </w:pPr>
            <w:r>
              <w:rPr>
                <w:rFonts w:hint="eastAsia" w:ascii="仿宋" w:hAnsi="仿宋" w:eastAsia="仿宋" w:cs="仿宋"/>
                <w:color w:val="auto"/>
                <w:szCs w:val="24"/>
              </w:rPr>
              <w:t>评标办法</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textAlignment w:val="auto"/>
              <w:rPr>
                <w:rFonts w:ascii="仿宋" w:hAnsi="仿宋" w:eastAsia="仿宋" w:cs="仿宋"/>
                <w:color w:val="auto"/>
                <w:szCs w:val="24"/>
              </w:rPr>
            </w:pPr>
            <w:r>
              <w:rPr>
                <w:rFonts w:hint="eastAsia" w:ascii="仿宋" w:hAnsi="仿宋" w:eastAsia="仿宋" w:cs="仿宋"/>
                <w:color w:val="auto"/>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szCs w:val="24"/>
              </w:rPr>
            </w:pPr>
            <w:r>
              <w:rPr>
                <w:rFonts w:hint="eastAsia" w:ascii="仿宋" w:hAnsi="仿宋" w:eastAsia="仿宋" w:cs="仿宋"/>
                <w:bCs/>
                <w:color w:val="auto"/>
                <w:szCs w:val="24"/>
              </w:rPr>
              <w:t>4</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最高限价</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本项目设有最高限价，任何超过最高限价的报价将被认定为无效报价。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szCs w:val="24"/>
              </w:rPr>
            </w:pPr>
            <w:r>
              <w:rPr>
                <w:rFonts w:hint="eastAsia" w:ascii="仿宋" w:hAnsi="仿宋" w:eastAsia="仿宋" w:cs="仿宋"/>
                <w:bCs/>
                <w:color w:val="auto"/>
                <w:szCs w:val="24"/>
              </w:rPr>
              <w:t>5</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投标人（供应商）资格要求</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ascii="仿宋" w:hAnsi="仿宋" w:eastAsia="仿宋" w:cs="仿宋"/>
                <w:color w:val="auto"/>
                <w:szCs w:val="24"/>
              </w:rPr>
            </w:pPr>
            <w:r>
              <w:rPr>
                <w:rFonts w:hint="eastAsia" w:ascii="仿宋" w:hAnsi="仿宋" w:eastAsia="仿宋" w:cs="仿宋"/>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szCs w:val="24"/>
              </w:rPr>
            </w:pPr>
            <w:r>
              <w:rPr>
                <w:rFonts w:hint="eastAsia" w:ascii="仿宋" w:hAnsi="仿宋" w:eastAsia="仿宋" w:cs="仿宋"/>
                <w:bCs/>
                <w:color w:val="auto"/>
                <w:szCs w:val="24"/>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
                <w:color w:val="auto"/>
                <w:szCs w:val="24"/>
              </w:rPr>
            </w:pPr>
            <w:r>
              <w:rPr>
                <w:rFonts w:hint="eastAsia" w:ascii="仿宋" w:hAnsi="仿宋" w:eastAsia="仿宋" w:cs="仿宋"/>
                <w:color w:val="auto"/>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textAlignment w:val="auto"/>
              <w:rPr>
                <w:rFonts w:ascii="仿宋" w:hAnsi="仿宋" w:eastAsia="仿宋" w:cs="仿宋"/>
                <w:color w:val="auto"/>
                <w:szCs w:val="24"/>
              </w:rPr>
            </w:pPr>
            <w:r>
              <w:rPr>
                <w:rFonts w:hint="eastAsia" w:ascii="仿宋" w:hAnsi="仿宋" w:eastAsia="仿宋" w:cs="仿宋"/>
                <w:color w:val="auto"/>
                <w:szCs w:val="24"/>
              </w:rPr>
              <w:t>本项目不接收联合体投标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szCs w:val="24"/>
              </w:rPr>
            </w:pPr>
            <w:r>
              <w:rPr>
                <w:rFonts w:hint="eastAsia" w:ascii="仿宋" w:hAnsi="仿宋" w:eastAsia="仿宋" w:cs="仿宋"/>
                <w:bCs/>
                <w:color w:val="auto"/>
                <w:szCs w:val="24"/>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标的划分</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本次招标共</w:t>
            </w:r>
            <w:r>
              <w:rPr>
                <w:rFonts w:hint="eastAsia" w:ascii="仿宋" w:hAnsi="仿宋" w:eastAsia="仿宋" w:cs="仿宋"/>
                <w:b/>
                <w:bCs/>
                <w:color w:val="auto"/>
                <w:sz w:val="24"/>
                <w:szCs w:val="24"/>
                <w:u w:val="single"/>
              </w:rPr>
              <w:t>1</w:t>
            </w:r>
            <w:r>
              <w:rPr>
                <w:rFonts w:hint="eastAsia" w:ascii="仿宋" w:hAnsi="仿宋" w:eastAsia="仿宋" w:cs="仿宋"/>
                <w:color w:val="auto"/>
                <w:sz w:val="24"/>
                <w:szCs w:val="24"/>
              </w:rPr>
              <w:t>个标的，采购人将整体择定中标人。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szCs w:val="24"/>
              </w:rPr>
            </w:pPr>
            <w:r>
              <w:rPr>
                <w:rFonts w:hint="eastAsia" w:ascii="仿宋" w:hAnsi="仿宋" w:eastAsia="仿宋" w:cs="仿宋"/>
                <w:bCs/>
                <w:color w:val="auto"/>
                <w:szCs w:val="24"/>
              </w:rPr>
              <w:t>8</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资格审查</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供应商资格采用资格后审方式，由评标委员会进行审查。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szCs w:val="24"/>
              </w:rPr>
            </w:pPr>
            <w:r>
              <w:rPr>
                <w:rFonts w:hint="eastAsia" w:ascii="仿宋" w:hAnsi="仿宋" w:eastAsia="仿宋" w:cs="仿宋"/>
                <w:bCs/>
                <w:color w:val="auto"/>
                <w:szCs w:val="24"/>
              </w:rPr>
              <w:t>9</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招标文件的</w:t>
            </w:r>
          </w:p>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
                <w:color w:val="auto"/>
                <w:szCs w:val="24"/>
              </w:rPr>
            </w:pPr>
            <w:r>
              <w:rPr>
                <w:rFonts w:hint="eastAsia" w:ascii="仿宋" w:hAnsi="仿宋" w:eastAsia="仿宋" w:cs="仿宋"/>
                <w:color w:val="auto"/>
                <w:szCs w:val="24"/>
              </w:rPr>
              <w:t>获取</w:t>
            </w:r>
          </w:p>
        </w:tc>
        <w:tc>
          <w:tcPr>
            <w:tcW w:w="7605" w:type="dxa"/>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kinsoku/>
              <w:wordWrap/>
              <w:overflowPunct/>
              <w:topLinePunct w:val="0"/>
              <w:bidi w:val="0"/>
              <w:snapToGrid/>
              <w:spacing w:before="0" w:beforeAutospacing="0" w:after="0" w:afterAutospacing="0" w:line="240" w:lineRule="auto"/>
              <w:textAlignment w:val="auto"/>
              <w:rPr>
                <w:rFonts w:ascii="仿宋" w:hAnsi="仿宋" w:eastAsia="仿宋" w:cs="仿宋"/>
                <w:color w:val="auto"/>
              </w:rPr>
            </w:pPr>
            <w:r>
              <w:rPr>
                <w:rFonts w:hint="eastAsia" w:ascii="仿宋" w:hAnsi="仿宋" w:eastAsia="仿宋" w:cs="仿宋"/>
                <w:color w:val="auto"/>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szCs w:val="24"/>
              </w:rPr>
            </w:pPr>
            <w:r>
              <w:rPr>
                <w:rFonts w:hint="eastAsia" w:ascii="仿宋" w:hAnsi="仿宋" w:eastAsia="仿宋" w:cs="仿宋"/>
                <w:bCs/>
                <w:color w:val="auto"/>
                <w:szCs w:val="24"/>
              </w:rPr>
              <w:t>10</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投标保证金</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11</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eastAsia="方正仿宋_GB2312"/>
                <w:color w:val="auto"/>
                <w:szCs w:val="24"/>
              </w:rPr>
              <w:t>投标报价方式及其他要求</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ind w:firstLine="480" w:firstLineChars="200"/>
              <w:textAlignment w:val="auto"/>
              <w:rPr>
                <w:rFonts w:eastAsia="方正仿宋_GB2312"/>
                <w:color w:val="auto"/>
                <w:szCs w:val="24"/>
              </w:rPr>
            </w:pPr>
            <w:r>
              <w:rPr>
                <w:rFonts w:eastAsia="方正仿宋_GB2312"/>
                <w:bCs/>
                <w:color w:val="auto"/>
                <w:szCs w:val="24"/>
              </w:rPr>
              <w:t>1.</w:t>
            </w:r>
            <w:r>
              <w:rPr>
                <w:rFonts w:hint="eastAsia" w:eastAsia="方正仿宋_GB2312"/>
                <w:b/>
                <w:bCs/>
                <w:color w:val="auto"/>
                <w:szCs w:val="24"/>
              </w:rPr>
              <w:t>本项目最高限价</w:t>
            </w:r>
            <w:r>
              <w:rPr>
                <w:rFonts w:hint="eastAsia" w:eastAsia="方正仿宋_GB2312"/>
                <w:b/>
                <w:bCs/>
                <w:color w:val="auto"/>
                <w:szCs w:val="24"/>
                <w:lang w:eastAsia="zh-CN"/>
              </w:rPr>
              <w:t>15811347</w:t>
            </w:r>
            <w:r>
              <w:rPr>
                <w:rFonts w:hint="eastAsia" w:eastAsia="方正仿宋_GB2312"/>
                <w:b/>
                <w:bCs/>
                <w:color w:val="auto"/>
                <w:szCs w:val="24"/>
              </w:rPr>
              <w:t>元</w:t>
            </w:r>
            <w:r>
              <w:rPr>
                <w:rFonts w:hint="eastAsia" w:eastAsia="方正仿宋_GB2312"/>
                <w:b/>
                <w:bCs/>
                <w:color w:val="auto"/>
                <w:szCs w:val="24"/>
                <w:lang w:eastAsia="zh-CN"/>
              </w:rPr>
              <w:t>，</w:t>
            </w:r>
            <w:r>
              <w:rPr>
                <w:rFonts w:hint="eastAsia" w:eastAsia="方正仿宋_GB2312"/>
                <w:b/>
                <w:bCs/>
                <w:color w:val="auto"/>
                <w:szCs w:val="24"/>
              </w:rPr>
              <w:t>投标人报价高于最高限价的报价无效</w:t>
            </w:r>
            <w:r>
              <w:rPr>
                <w:rFonts w:eastAsia="方正仿宋_GB2312"/>
                <w:b/>
                <w:bCs/>
                <w:color w:val="auto"/>
                <w:szCs w:val="24"/>
              </w:rPr>
              <w:t>。投标人须以</w:t>
            </w:r>
            <w:r>
              <w:rPr>
                <w:rFonts w:hint="eastAsia" w:eastAsia="方正仿宋_GB2312"/>
                <w:b/>
                <w:bCs/>
                <w:color w:val="auto"/>
                <w:szCs w:val="24"/>
              </w:rPr>
              <w:t>本项目的</w:t>
            </w:r>
            <w:r>
              <w:rPr>
                <w:rFonts w:eastAsia="方正仿宋_GB2312"/>
                <w:b/>
                <w:bCs/>
                <w:color w:val="auto"/>
                <w:szCs w:val="24"/>
              </w:rPr>
              <w:t>最高限价</w:t>
            </w:r>
            <w:r>
              <w:rPr>
                <w:rFonts w:hint="eastAsia" w:eastAsia="方正仿宋_GB2312"/>
                <w:b/>
                <w:bCs/>
                <w:color w:val="auto"/>
                <w:szCs w:val="24"/>
              </w:rPr>
              <w:t>为基础，进行合理报价</w:t>
            </w:r>
            <w:r>
              <w:rPr>
                <w:rFonts w:eastAsia="方正仿宋_GB2312"/>
                <w:b/>
                <w:bCs/>
                <w:color w:val="auto"/>
                <w:szCs w:val="24"/>
              </w:rPr>
              <w:t>（保留小数点后两位，小数点后第三位“四舍五入”）。</w:t>
            </w:r>
            <w:r>
              <w:rPr>
                <w:rFonts w:eastAsia="方正仿宋_GB2312"/>
                <w:color w:val="auto"/>
                <w:szCs w:val="24"/>
              </w:rPr>
              <w:t>投标文件只允许有一个报价，有选择的或有条件的报价将不予接受。</w:t>
            </w:r>
            <w:r>
              <w:rPr>
                <w:rFonts w:eastAsia="方正仿宋_GB2312"/>
                <w:b/>
                <w:bCs/>
                <w:color w:val="auto"/>
                <w:szCs w:val="24"/>
              </w:rPr>
              <w:t>报价并不是中标的唯一条件，采购人不保证最低报价中标。</w:t>
            </w:r>
            <w:r>
              <w:rPr>
                <w:rFonts w:eastAsia="方正仿宋_GB2312"/>
                <w:color w:val="auto"/>
                <w:szCs w:val="24"/>
              </w:rPr>
              <w:t>报价若低于市场价的，应提供书面说明或者提供相关佐证材料（如成本测算资料），证明其报价的合理性。</w:t>
            </w:r>
          </w:p>
          <w:p>
            <w:pPr>
              <w:pStyle w:val="13"/>
              <w:keepNext w:val="0"/>
              <w:keepLines w:val="0"/>
              <w:pageBreakBefore w:val="0"/>
              <w:kinsoku/>
              <w:wordWrap/>
              <w:overflowPunct/>
              <w:topLinePunct w:val="0"/>
              <w:bidi w:val="0"/>
              <w:snapToGrid/>
              <w:spacing w:line="240" w:lineRule="auto"/>
              <w:ind w:firstLine="480" w:firstLineChars="200"/>
              <w:jc w:val="left"/>
              <w:textAlignment w:val="auto"/>
              <w:rPr>
                <w:rFonts w:eastAsia="方正仿宋_GB2312"/>
                <w:color w:val="auto"/>
                <w:szCs w:val="24"/>
              </w:rPr>
            </w:pPr>
            <w:r>
              <w:rPr>
                <w:rFonts w:eastAsia="方正仿宋_GB2312"/>
                <w:color w:val="auto"/>
                <w:szCs w:val="24"/>
              </w:rPr>
              <w:t>2.</w:t>
            </w:r>
            <w:r>
              <w:rPr>
                <w:rFonts w:hint="eastAsia" w:eastAsia="方正仿宋_GB2312"/>
                <w:color w:val="auto"/>
                <w:szCs w:val="24"/>
              </w:rPr>
              <w:t>投标报价是履行合同的最终价格，投标报价表上的总价应包括：</w:t>
            </w:r>
            <w:r>
              <w:rPr>
                <w:rFonts w:hint="eastAsia" w:eastAsia="方正仿宋_GB2312"/>
                <w:color w:val="auto"/>
                <w:szCs w:val="24"/>
                <w:lang w:eastAsia="zh-CN"/>
              </w:rPr>
              <w:t>设备生产、</w:t>
            </w:r>
            <w:r>
              <w:rPr>
                <w:rFonts w:hint="eastAsia" w:eastAsia="方正仿宋_GB2312"/>
                <w:color w:val="auto"/>
                <w:szCs w:val="24"/>
              </w:rPr>
              <w:t>包装、运输、装卸、</w:t>
            </w:r>
            <w:r>
              <w:rPr>
                <w:rFonts w:hint="eastAsia" w:eastAsia="方正仿宋_GB2312"/>
                <w:color w:val="auto"/>
                <w:szCs w:val="24"/>
                <w:lang w:eastAsia="zh-CN"/>
              </w:rPr>
              <w:t>安装</w:t>
            </w:r>
            <w:r>
              <w:rPr>
                <w:rFonts w:hint="eastAsia" w:eastAsia="方正仿宋_GB2312"/>
                <w:color w:val="auto"/>
                <w:szCs w:val="24"/>
              </w:rPr>
              <w:t>、</w:t>
            </w:r>
            <w:r>
              <w:rPr>
                <w:rFonts w:hint="eastAsia" w:eastAsia="方正仿宋_GB2312"/>
                <w:color w:val="auto"/>
                <w:szCs w:val="24"/>
                <w:lang w:eastAsia="zh-CN"/>
              </w:rPr>
              <w:t>调试</w:t>
            </w:r>
            <w:r>
              <w:rPr>
                <w:rFonts w:hint="eastAsia" w:eastAsia="方正仿宋_GB2312"/>
                <w:color w:val="auto"/>
                <w:szCs w:val="24"/>
              </w:rPr>
              <w:t>费用、技术支持报务费、利润、规费、税金、招标代理服务费及工作所发生的一切应有费用。投标报价为签订合同的依据</w:t>
            </w:r>
            <w:r>
              <w:rPr>
                <w:rFonts w:eastAsia="方正仿宋_GB2312"/>
                <w:color w:val="auto"/>
                <w:szCs w:val="24"/>
              </w:rPr>
              <w:t>。</w:t>
            </w:r>
          </w:p>
          <w:p>
            <w:pPr>
              <w:pStyle w:val="13"/>
              <w:keepNext w:val="0"/>
              <w:keepLines w:val="0"/>
              <w:pageBreakBefore w:val="0"/>
              <w:kinsoku/>
              <w:wordWrap/>
              <w:overflowPunct/>
              <w:topLinePunct w:val="0"/>
              <w:bidi w:val="0"/>
              <w:snapToGrid/>
              <w:spacing w:line="240" w:lineRule="auto"/>
              <w:ind w:firstLine="480" w:firstLineChars="200"/>
              <w:jc w:val="left"/>
              <w:textAlignment w:val="auto"/>
              <w:rPr>
                <w:rFonts w:eastAsia="方正仿宋_GB2312"/>
                <w:color w:val="auto"/>
                <w:szCs w:val="24"/>
              </w:rPr>
            </w:pPr>
            <w:r>
              <w:rPr>
                <w:rFonts w:hint="eastAsia" w:eastAsia="方正仿宋_GB2312"/>
                <w:color w:val="auto"/>
                <w:szCs w:val="24"/>
              </w:rPr>
              <w:t>3.本</w:t>
            </w:r>
            <w:r>
              <w:rPr>
                <w:rFonts w:hint="eastAsia" w:eastAsia="方正仿宋_GB2312"/>
                <w:color w:val="auto"/>
                <w:szCs w:val="24"/>
                <w:lang w:val="zh-CN"/>
              </w:rPr>
              <w:t>项目</w:t>
            </w:r>
            <w:r>
              <w:rPr>
                <w:rFonts w:hint="eastAsia" w:eastAsia="方正仿宋_GB2312"/>
                <w:color w:val="auto"/>
                <w:szCs w:val="24"/>
              </w:rPr>
              <w:t>招标代理服务费由中标人向招标代理机构支付</w:t>
            </w:r>
            <w:r>
              <w:rPr>
                <w:rFonts w:eastAsia="方正仿宋_GB2312"/>
                <w:color w:val="auto"/>
                <w:szCs w:val="24"/>
              </w:rPr>
              <w:t>，招标代理服务费按</w:t>
            </w:r>
            <w:r>
              <w:rPr>
                <w:rFonts w:hint="eastAsia" w:eastAsia="方正仿宋_GB2312"/>
                <w:color w:val="auto"/>
                <w:szCs w:val="24"/>
              </w:rPr>
              <w:t>《招标代理服务收费管理暂行办法》(计价格[2002]1980号)的差额定率累进法</w:t>
            </w:r>
            <w:r>
              <w:rPr>
                <w:rFonts w:hint="eastAsia" w:eastAsia="方正仿宋_GB2312"/>
                <w:color w:val="auto"/>
                <w:szCs w:val="24"/>
                <w:lang w:eastAsia="zh-CN"/>
              </w:rPr>
              <w:t>计取</w:t>
            </w:r>
            <w:r>
              <w:rPr>
                <w:rFonts w:hint="eastAsia" w:eastAsia="方正仿宋_GB2312"/>
                <w:color w:val="auto"/>
                <w:szCs w:val="24"/>
              </w:rPr>
              <w:t>。</w:t>
            </w:r>
          </w:p>
          <w:p>
            <w:pPr>
              <w:pStyle w:val="13"/>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eastAsia="方正仿宋_GB2312"/>
                <w:color w:val="auto"/>
                <w:szCs w:val="24"/>
              </w:rPr>
            </w:pPr>
            <w:r>
              <w:rPr>
                <w:rFonts w:eastAsia="方正仿宋_GB2312"/>
                <w:color w:val="auto"/>
                <w:szCs w:val="24"/>
              </w:rPr>
              <w:t>招标代理服务费缴纳形式：转账或现金；</w:t>
            </w:r>
          </w:p>
          <w:p>
            <w:pPr>
              <w:pStyle w:val="13"/>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ascii="仿宋" w:hAnsi="仿宋" w:eastAsia="仿宋" w:cs="仿宋"/>
                <w:bCs/>
                <w:color w:val="auto"/>
                <w:szCs w:val="24"/>
              </w:rPr>
            </w:pPr>
            <w:r>
              <w:rPr>
                <w:rFonts w:eastAsia="方正仿宋_GB2312"/>
                <w:color w:val="auto"/>
                <w:szCs w:val="24"/>
              </w:rPr>
              <w:t>户 名：</w:t>
            </w:r>
            <w:r>
              <w:rPr>
                <w:rFonts w:hint="eastAsia" w:ascii="仿宋" w:hAnsi="仿宋" w:eastAsia="仿宋" w:cs="仿宋"/>
                <w:bCs/>
                <w:color w:val="auto"/>
                <w:szCs w:val="24"/>
              </w:rPr>
              <w:t>金华同慷建设管理咨询有限公司；</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开户行及账号：武义农商营业部201000196279614。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12</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2312" w:cs="Times New Roman"/>
                <w:color w:val="auto"/>
                <w:sz w:val="24"/>
                <w:szCs w:val="24"/>
                <w:lang w:val="en-US" w:eastAsia="zh-CN" w:bidi="ar-SA"/>
              </w:rPr>
            </w:pPr>
            <w:r>
              <w:rPr>
                <w:rFonts w:eastAsia="方正仿宋_GB2312"/>
                <w:color w:val="auto"/>
                <w:sz w:val="24"/>
                <w:szCs w:val="24"/>
              </w:rPr>
              <w:t>投标文件份数及其他要求</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电子版投标文件1份，本项目实行投标文件CA电子签章，投标人在编制生成“电子投标文件”时需进行CA电子签章加密。</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应按本招标采购文件规定的格式和顺序编制投标文件并按照“政采云电子投标客户端”的顺序关联，并标注目录和页码，投标文件内容不完整、关联、编排混乱导致投标文件被误读、漏读或者查找不到相关内容的，是投标人的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是否要求提交纸质版投标文件：</w:t>
            </w:r>
            <w:r>
              <w:rPr>
                <w:rFonts w:hint="eastAsia" w:ascii="仿宋" w:hAnsi="仿宋" w:eastAsia="仿宋" w:cs="仿宋"/>
                <w:color w:val="auto"/>
                <w:sz w:val="24"/>
                <w:szCs w:val="24"/>
                <w:u w:val="single"/>
              </w:rPr>
              <w:t>否；但中标后，中标人需在领取中标通知书前向采购代理机构提交与投标时一致的电子投标文件（</w:t>
            </w:r>
            <w:r>
              <w:rPr>
                <w:rFonts w:hint="eastAsia" w:ascii="仿宋" w:hAnsi="仿宋" w:eastAsia="仿宋" w:cs="仿宋"/>
                <w:color w:val="auto"/>
                <w:sz w:val="24"/>
                <w:szCs w:val="24"/>
                <w:u w:val="single"/>
                <w:lang w:eastAsia="zh-CN"/>
              </w:rPr>
              <w:t>资格文件</w:t>
            </w:r>
            <w:r>
              <w:rPr>
                <w:rFonts w:hint="eastAsia" w:ascii="仿宋" w:hAnsi="仿宋" w:eastAsia="仿宋" w:cs="仿宋"/>
                <w:color w:val="auto"/>
                <w:sz w:val="24"/>
                <w:szCs w:val="24"/>
                <w:u w:val="single"/>
              </w:rPr>
              <w:t>、商务技术文件、报价文件）打印纸质版3份（须按照招标采购文件要求签字盖章）。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13</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资格文件</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（1）企业法人营业执照复印件；</w:t>
            </w:r>
          </w:p>
          <w:p>
            <w:pPr>
              <w:keepNext w:val="0"/>
              <w:keepLines w:val="0"/>
              <w:pageBreakBefore w:val="0"/>
              <w:kinsoku/>
              <w:wordWrap/>
              <w:overflowPunct/>
              <w:topLinePunct w:val="0"/>
              <w:bidi w:val="0"/>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（2）法定代表人资格书或法定代表人授权委托书，格式以采购文件要求为准；</w:t>
            </w:r>
          </w:p>
          <w:p>
            <w:pPr>
              <w:keepNext w:val="0"/>
              <w:keepLines w:val="0"/>
              <w:pageBreakBefore w:val="0"/>
              <w:kinsoku/>
              <w:wordWrap/>
              <w:overflowPunct/>
              <w:topLinePunct w:val="0"/>
              <w:bidi w:val="0"/>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kinsoku/>
              <w:wordWrap/>
              <w:overflowPunct/>
              <w:topLinePunct w:val="0"/>
              <w:bidi w:val="0"/>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）符合参加政府采购活动应当具备的一般条件的承诺函</w:t>
            </w:r>
            <w:r>
              <w:rPr>
                <w:rFonts w:hint="eastAsia" w:ascii="仿宋" w:hAnsi="仿宋" w:eastAsia="仿宋" w:cs="仿宋"/>
                <w:color w:val="auto"/>
                <w:sz w:val="24"/>
                <w:szCs w:val="24"/>
              </w:rPr>
              <w:t>；</w:t>
            </w:r>
          </w:p>
          <w:p>
            <w:pPr>
              <w:keepNext w:val="0"/>
              <w:keepLines w:val="0"/>
              <w:pageBreakBefore w:val="0"/>
              <w:kinsoku/>
              <w:wordWrap/>
              <w:overflowPunct/>
              <w:topLinePunct w:val="0"/>
              <w:bidi w:val="0"/>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本项目</w:t>
            </w:r>
            <w:r>
              <w:rPr>
                <w:rFonts w:hint="eastAsia" w:ascii="仿宋" w:hAnsi="仿宋" w:eastAsia="仿宋" w:cs="仿宋"/>
                <w:color w:val="auto"/>
                <w:sz w:val="24"/>
                <w:szCs w:val="24"/>
              </w:rPr>
              <w:t>特定资格条件</w:t>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t>①</w:t>
            </w:r>
            <w:r>
              <w:rPr>
                <w:rFonts w:hint="eastAsia" w:ascii="仿宋" w:hAnsi="仿宋" w:eastAsia="仿宋" w:cs="仿宋"/>
                <w:color w:val="auto"/>
                <w:sz w:val="24"/>
                <w:szCs w:val="24"/>
              </w:rPr>
              <w:t>具备建筑机电安装工程专业承包贰级及以上资质；</w:t>
            </w:r>
            <w:r>
              <w:rPr>
                <w:rFonts w:hint="default" w:ascii="仿宋" w:hAnsi="仿宋" w:eastAsia="仿宋" w:cs="仿宋"/>
                <w:color w:val="auto"/>
                <w:sz w:val="24"/>
                <w:szCs w:val="24"/>
              </w:rPr>
              <w:t>②</w:t>
            </w:r>
            <w:r>
              <w:rPr>
                <w:rFonts w:hint="eastAsia" w:ascii="仿宋" w:hAnsi="仿宋" w:eastAsia="仿宋" w:cs="仿宋"/>
                <w:color w:val="auto"/>
                <w:sz w:val="24"/>
                <w:szCs w:val="24"/>
              </w:rPr>
              <w:t>具备医疗器械经营许可证；</w:t>
            </w:r>
            <w:r>
              <w:rPr>
                <w:rFonts w:hint="default" w:ascii="仿宋" w:hAnsi="仿宋" w:eastAsia="仿宋" w:cs="仿宋"/>
                <w:color w:val="auto"/>
                <w:sz w:val="24"/>
                <w:szCs w:val="24"/>
              </w:rPr>
              <w:t>③</w:t>
            </w:r>
            <w:r>
              <w:rPr>
                <w:rFonts w:hint="eastAsia" w:ascii="仿宋" w:hAnsi="仿宋" w:eastAsia="仿宋" w:cs="仿宋"/>
                <w:color w:val="auto"/>
                <w:sz w:val="24"/>
                <w:szCs w:val="24"/>
              </w:rPr>
              <w:t>具备特种设备生产许可证且许可子项目包含工业管道安装GC2</w:t>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t>④</w:t>
            </w:r>
            <w:r>
              <w:rPr>
                <w:rFonts w:hint="eastAsia" w:ascii="仿宋" w:hAnsi="仿宋" w:eastAsia="仿宋" w:cs="仿宋"/>
                <w:color w:val="auto"/>
                <w:sz w:val="24"/>
                <w:szCs w:val="24"/>
              </w:rPr>
              <w:t>具备有效的安全生产许可证；</w:t>
            </w:r>
          </w:p>
          <w:p>
            <w:pPr>
              <w:keepNext w:val="0"/>
              <w:keepLines w:val="0"/>
              <w:pageBreakBefore w:val="0"/>
              <w:kinsoku/>
              <w:wordWrap/>
              <w:overflowPunct/>
              <w:topLinePunct w:val="0"/>
              <w:bidi w:val="0"/>
              <w:snapToGrid/>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招标采购</w:t>
            </w:r>
            <w:r>
              <w:rPr>
                <w:rFonts w:hint="eastAsia" w:ascii="仿宋" w:hAnsi="仿宋" w:eastAsia="仿宋" w:cs="仿宋"/>
                <w:color w:val="auto"/>
                <w:sz w:val="24"/>
                <w:szCs w:val="24"/>
              </w:rPr>
              <w:t>文件要求的其他</w:t>
            </w:r>
            <w:r>
              <w:rPr>
                <w:rFonts w:hint="eastAsia" w:ascii="仿宋" w:hAnsi="仿宋" w:eastAsia="仿宋" w:cs="仿宋"/>
                <w:color w:val="auto"/>
                <w:sz w:val="24"/>
                <w:szCs w:val="24"/>
                <w:lang w:eastAsia="zh-CN"/>
              </w:rPr>
              <w:t>资格文件</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14</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（1）投标人基本情况介绍；</w:t>
            </w:r>
          </w:p>
          <w:p>
            <w:pPr>
              <w:keepNext w:val="0"/>
              <w:keepLines w:val="0"/>
              <w:pageBreakBefore w:val="0"/>
              <w:kinsoku/>
              <w:wordWrap/>
              <w:overflowPunct/>
              <w:topLinePunct w:val="0"/>
              <w:bidi w:val="0"/>
              <w:snapToGrid/>
              <w:spacing w:line="240" w:lineRule="auto"/>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（2）根据招标文件第三章评分细则中涉及的相关内容描述；</w:t>
            </w:r>
          </w:p>
          <w:p>
            <w:pPr>
              <w:keepNext w:val="0"/>
              <w:keepLines w:val="0"/>
              <w:pageBreakBefore w:val="0"/>
              <w:kinsoku/>
              <w:wordWrap/>
              <w:overflowPunct/>
              <w:topLinePunct w:val="0"/>
              <w:bidi w:val="0"/>
              <w:snapToGrid/>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（3）包括但不限于以上技术文件或说明</w:t>
            </w:r>
            <w:r>
              <w:rPr>
                <w:rFonts w:hint="eastAsia" w:ascii="仿宋" w:hAnsi="仿宋" w:eastAsia="仿宋" w:cs="仿宋"/>
                <w:color w:val="auto"/>
                <w:sz w:val="24"/>
                <w:szCs w:val="24"/>
                <w:lang w:eastAsia="zh-CN"/>
              </w:rPr>
              <w:t>；</w:t>
            </w:r>
          </w:p>
          <w:p>
            <w:pPr>
              <w:pStyle w:val="13"/>
              <w:keepNext w:val="0"/>
              <w:keepLines w:val="0"/>
              <w:pageBreakBefore w:val="0"/>
              <w:kinsoku/>
              <w:wordWrap/>
              <w:overflowPunct/>
              <w:topLinePunct w:val="0"/>
              <w:bidi w:val="0"/>
              <w:snapToGrid/>
              <w:spacing w:line="240" w:lineRule="auto"/>
              <w:textAlignment w:val="auto"/>
              <w:rPr>
                <w:rFonts w:ascii="仿宋" w:hAnsi="仿宋" w:eastAsia="仿宋" w:cs="仿宋"/>
                <w:b/>
                <w:color w:val="auto"/>
                <w:szCs w:val="24"/>
                <w:highlight w:val="yellow"/>
              </w:rPr>
            </w:pPr>
            <w:r>
              <w:rPr>
                <w:rFonts w:hint="eastAsia" w:ascii="仿宋" w:hAnsi="仿宋" w:eastAsia="仿宋" w:cs="仿宋"/>
                <w:bCs/>
                <w:color w:val="auto"/>
                <w:szCs w:val="24"/>
              </w:rPr>
              <w:t>投标人在“商务技术文件资料”中应对招标文件作实质性响应，该项内容将作为评标重要指标。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15</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报价文件</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870"/>
                <w:tab w:val="left" w:pos="4085"/>
              </w:tabs>
              <w:kinsoku/>
              <w:wordWrap/>
              <w:overflowPunct/>
              <w:topLinePunct w:val="0"/>
              <w:bidi w:val="0"/>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（1）投标函（格式见附件）； </w:t>
            </w:r>
          </w:p>
          <w:p>
            <w:pPr>
              <w:keepNext w:val="0"/>
              <w:keepLines w:val="0"/>
              <w:pageBreakBefore w:val="0"/>
              <w:tabs>
                <w:tab w:val="left" w:pos="3870"/>
                <w:tab w:val="left" w:pos="4085"/>
              </w:tabs>
              <w:kinsoku/>
              <w:wordWrap/>
              <w:overflowPunct/>
              <w:topLinePunct w:val="0"/>
              <w:bidi w:val="0"/>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（2）开标一览表（格式见附件）；</w:t>
            </w:r>
          </w:p>
          <w:p>
            <w:pPr>
              <w:keepNext w:val="0"/>
              <w:keepLines w:val="0"/>
              <w:pageBreakBefore w:val="0"/>
              <w:tabs>
                <w:tab w:val="left" w:pos="3870"/>
                <w:tab w:val="left" w:pos="4085"/>
              </w:tabs>
              <w:kinsoku/>
              <w:wordWrap/>
              <w:overflowPunct/>
              <w:topLinePunct w:val="0"/>
              <w:bidi w:val="0"/>
              <w:snapToGrid/>
              <w:spacing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工程量清单及报价表（格式见附件）</w:t>
            </w:r>
            <w:r>
              <w:rPr>
                <w:rFonts w:hint="eastAsia" w:ascii="仿宋" w:hAnsi="仿宋" w:eastAsia="仿宋" w:cs="仿宋"/>
                <w:color w:val="auto"/>
                <w:sz w:val="24"/>
                <w:szCs w:val="24"/>
                <w:lang w:eastAsia="zh-CN"/>
              </w:rPr>
              <w:t>；</w:t>
            </w:r>
          </w:p>
          <w:p>
            <w:pPr>
              <w:keepNext w:val="0"/>
              <w:keepLines w:val="0"/>
              <w:pageBreakBefore w:val="0"/>
              <w:tabs>
                <w:tab w:val="left" w:pos="3870"/>
                <w:tab w:val="left" w:pos="4085"/>
              </w:tabs>
              <w:kinsoku/>
              <w:wordWrap/>
              <w:overflowPunct/>
              <w:topLinePunct w:val="0"/>
              <w:bidi w:val="0"/>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16</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现场演示</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870"/>
                <w:tab w:val="left" w:pos="4085"/>
              </w:tabs>
              <w:kinsoku/>
              <w:wordWrap/>
              <w:overflowPunct/>
              <w:topLinePunct w:val="0"/>
              <w:bidi w:val="0"/>
              <w:snapToGrid/>
              <w:spacing w:line="240" w:lineRule="auto"/>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17</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投标样品</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18</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left"/>
              <w:textAlignment w:val="auto"/>
              <w:rPr>
                <w:rFonts w:ascii="仿宋" w:hAnsi="仿宋" w:eastAsia="仿宋" w:cs="仿宋"/>
                <w:bCs/>
                <w:color w:val="auto"/>
                <w:sz w:val="24"/>
                <w:szCs w:val="24"/>
              </w:rPr>
            </w:pPr>
            <w:r>
              <w:rPr>
                <w:rFonts w:hint="eastAsia" w:ascii="仿宋" w:hAnsi="仿宋" w:eastAsia="仿宋" w:cs="仿宋"/>
                <w:bCs/>
                <w:color w:val="auto"/>
                <w:sz w:val="24"/>
                <w:szCs w:val="24"/>
              </w:rPr>
              <w:t>供应商应于</w:t>
            </w:r>
            <w:r>
              <w:rPr>
                <w:rFonts w:hint="eastAsia" w:ascii="仿宋" w:hAnsi="仿宋" w:eastAsia="仿宋" w:cs="仿宋"/>
                <w:bCs/>
                <w:color w:val="auto"/>
                <w:sz w:val="24"/>
                <w:szCs w:val="24"/>
                <w:lang w:eastAsia="zh-CN"/>
              </w:rPr>
              <w:t>2022年11月28日09:00时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19</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投标有效期</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textAlignment w:val="auto"/>
              <w:rPr>
                <w:rFonts w:ascii="仿宋" w:hAnsi="仿宋" w:eastAsia="仿宋" w:cs="仿宋"/>
                <w:bCs/>
                <w:color w:val="auto"/>
                <w:szCs w:val="24"/>
              </w:rPr>
            </w:pPr>
            <w:r>
              <w:rPr>
                <w:rFonts w:hint="eastAsia" w:ascii="仿宋" w:hAnsi="仿宋" w:eastAsia="仿宋" w:cs="仿宋"/>
                <w:bCs/>
                <w:color w:val="auto"/>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20</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签订合同时间</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textAlignment w:val="auto"/>
              <w:rPr>
                <w:rFonts w:ascii="仿宋" w:hAnsi="仿宋" w:eastAsia="仿宋" w:cs="仿宋"/>
                <w:bCs/>
                <w:color w:val="auto"/>
                <w:szCs w:val="24"/>
              </w:rPr>
            </w:pPr>
            <w:r>
              <w:rPr>
                <w:rFonts w:hint="eastAsia" w:ascii="仿宋" w:hAnsi="仿宋" w:eastAsia="仿宋" w:cs="仿宋"/>
                <w:bCs/>
                <w:color w:val="auto"/>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21</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转包与分包</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textAlignment w:val="auto"/>
              <w:rPr>
                <w:rFonts w:ascii="仿宋" w:hAnsi="仿宋" w:eastAsia="仿宋" w:cs="仿宋"/>
                <w:bCs/>
                <w:color w:val="auto"/>
                <w:szCs w:val="24"/>
              </w:rPr>
            </w:pPr>
            <w:r>
              <w:rPr>
                <w:rFonts w:hint="eastAsia" w:ascii="仿宋" w:hAnsi="仿宋" w:eastAsia="仿宋" w:cs="仿宋"/>
                <w:bCs/>
                <w:color w:val="auto"/>
                <w:szCs w:val="24"/>
              </w:rPr>
              <w:t>本项目不允许转包和分包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22</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履约保证金</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textAlignment w:val="auto"/>
              <w:rPr>
                <w:rFonts w:ascii="仿宋" w:hAnsi="仿宋" w:eastAsia="仿宋" w:cs="仿宋"/>
                <w:bCs/>
                <w:color w:val="auto"/>
                <w:szCs w:val="24"/>
              </w:rPr>
            </w:pPr>
            <w:r>
              <w:rPr>
                <w:rFonts w:hint="eastAsia" w:ascii="仿宋" w:hAnsi="仿宋" w:eastAsia="仿宋" w:cs="仿宋"/>
                <w:bCs/>
                <w:color w:val="auto"/>
                <w:szCs w:val="24"/>
              </w:rPr>
              <w:t>本项目不收取</w:t>
            </w:r>
            <w:r>
              <w:rPr>
                <w:rFonts w:hint="eastAsia" w:ascii="仿宋" w:hAnsi="仿宋" w:eastAsia="仿宋" w:cs="仿宋"/>
                <w:color w:val="auto"/>
                <w:szCs w:val="24"/>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24</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ascii="仿宋" w:hAnsi="仿宋" w:eastAsia="仿宋" w:cs="仿宋"/>
                <w:bCs/>
                <w:color w:val="auto"/>
                <w:sz w:val="24"/>
                <w:szCs w:val="24"/>
                <w:lang w:eastAsia="zh-CN"/>
              </w:rPr>
              <w:t>2022年11月28日09:00时</w:t>
            </w:r>
            <w:r>
              <w:rPr>
                <w:rFonts w:hint="eastAsia" w:ascii="仿宋" w:hAnsi="仿宋" w:eastAsia="仿宋" w:cs="仿宋"/>
                <w:bCs/>
                <w:color w:val="auto"/>
                <w:sz w:val="24"/>
                <w:szCs w:val="24"/>
              </w:rPr>
              <w:t>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25</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投标文件递交地点</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26</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开标时间</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ascii="仿宋" w:hAnsi="仿宋" w:eastAsia="仿宋" w:cs="仿宋"/>
                <w:bCs/>
                <w:color w:val="auto"/>
                <w:kern w:val="2"/>
                <w:sz w:val="24"/>
                <w:szCs w:val="24"/>
              </w:rPr>
            </w:pPr>
            <w:r>
              <w:rPr>
                <w:rFonts w:hint="eastAsia" w:ascii="仿宋" w:hAnsi="仿宋" w:eastAsia="仿宋" w:cs="仿宋"/>
                <w:bCs/>
                <w:color w:val="auto"/>
                <w:sz w:val="24"/>
                <w:szCs w:val="24"/>
                <w:lang w:eastAsia="zh-CN"/>
              </w:rPr>
              <w:t>2022年11月28日09:00时</w:t>
            </w:r>
            <w:r>
              <w:rPr>
                <w:rFonts w:hint="eastAsia" w:ascii="仿宋" w:hAnsi="仿宋" w:eastAsia="仿宋" w:cs="仿宋"/>
                <w:bCs/>
                <w:color w:val="auto"/>
                <w:sz w:val="24"/>
                <w:szCs w:val="24"/>
              </w:rPr>
              <w:t>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Cs/>
                <w:color w:val="auto"/>
                <w:szCs w:val="24"/>
              </w:rPr>
            </w:pPr>
            <w:r>
              <w:rPr>
                <w:rFonts w:hint="eastAsia" w:ascii="仿宋" w:hAnsi="仿宋" w:eastAsia="仿宋" w:cs="仿宋"/>
                <w:bCs/>
                <w:color w:val="auto"/>
                <w:szCs w:val="24"/>
              </w:rPr>
              <w:t>27</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color w:val="auto"/>
                <w:szCs w:val="24"/>
              </w:rPr>
              <w:t>开标地点</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ascii="仿宋" w:hAnsi="仿宋" w:eastAsia="仿宋" w:cs="仿宋"/>
                <w:b/>
                <w:bCs/>
                <w:color w:val="auto"/>
                <w:kern w:val="2"/>
                <w:sz w:val="24"/>
                <w:szCs w:val="24"/>
              </w:rPr>
            </w:pPr>
            <w:r>
              <w:rPr>
                <w:rFonts w:hint="eastAsia" w:ascii="仿宋" w:hAnsi="仿宋" w:eastAsia="仿宋" w:cs="仿宋"/>
                <w:color w:val="auto"/>
                <w:sz w:val="24"/>
                <w:szCs w:val="24"/>
              </w:rPr>
              <w:t>金华市公共资源交易中心武义县分中心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28</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2312" w:cs="Times New Roman"/>
                <w:color w:val="auto"/>
                <w:sz w:val="24"/>
                <w:szCs w:val="24"/>
                <w:lang w:val="en-US" w:eastAsia="zh-CN" w:bidi="ar-SA"/>
              </w:rPr>
            </w:pPr>
            <w:r>
              <w:rPr>
                <w:rFonts w:eastAsia="方正仿宋_GB2312"/>
                <w:color w:val="auto"/>
                <w:sz w:val="24"/>
                <w:szCs w:val="24"/>
              </w:rPr>
              <w:t>开标程序</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方正仿宋_GB2312"/>
                <w:color w:val="auto"/>
                <w:sz w:val="24"/>
                <w:szCs w:val="24"/>
              </w:rPr>
            </w:pPr>
            <w:r>
              <w:rPr>
                <w:rFonts w:eastAsia="方正仿宋_GB2312"/>
                <w:color w:val="auto"/>
                <w:sz w:val="24"/>
                <w:szCs w:val="24"/>
              </w:rPr>
              <w:t>1.开标会由采购代理机构主持，主持人宣布开标会议开始；</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方正仿宋_GB2312"/>
                <w:color w:val="auto"/>
                <w:sz w:val="24"/>
                <w:szCs w:val="24"/>
              </w:rPr>
            </w:pPr>
            <w:r>
              <w:rPr>
                <w:rFonts w:eastAsia="方正仿宋_GB2312"/>
                <w:color w:val="auto"/>
                <w:sz w:val="24"/>
                <w:szCs w:val="24"/>
              </w:rPr>
              <w:t xml:space="preserve">2.主持人介绍参加开标会的人员名单； </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方正仿宋_GB2312"/>
                <w:color w:val="auto"/>
                <w:sz w:val="24"/>
                <w:szCs w:val="24"/>
              </w:rPr>
            </w:pPr>
            <w:r>
              <w:rPr>
                <w:rFonts w:eastAsia="方正仿宋_GB2312"/>
                <w:color w:val="auto"/>
                <w:sz w:val="24"/>
                <w:szCs w:val="24"/>
              </w:rPr>
              <w:t>3.由工作人员宣布评标期间的有关事项；告知应当回避的情形,提请有关人员回避；</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方正仿宋_GB2312"/>
                <w:color w:val="auto"/>
                <w:sz w:val="24"/>
                <w:szCs w:val="24"/>
              </w:rPr>
            </w:pPr>
            <w:r>
              <w:rPr>
                <w:rFonts w:eastAsia="方正仿宋_GB2312"/>
                <w:color w:val="auto"/>
                <w:sz w:val="24"/>
                <w:szCs w:val="24"/>
              </w:rPr>
              <w:t>4.投标人须在开标时间前准备好电脑（确保网络已连接）与本单位制作电子投标文件时的同一个CA</w:t>
            </w:r>
            <w:r>
              <w:rPr>
                <w:rFonts w:hint="eastAsia" w:eastAsia="方正仿宋_GB2312"/>
                <w:color w:val="auto"/>
                <w:sz w:val="24"/>
                <w:szCs w:val="24"/>
              </w:rPr>
              <w:t>数字证书</w:t>
            </w:r>
            <w:r>
              <w:rPr>
                <w:rFonts w:eastAsia="方正仿宋_GB2312"/>
                <w:color w:val="auto"/>
                <w:sz w:val="24"/>
                <w:szCs w:val="24"/>
              </w:rPr>
              <w:t>，并登录“政府采购云平台”点击项目采购-开标评标功能进行解密投标文件(或登入“政采云电子投标客户端”点击项目开标-项目采购-开标评标)功能进行解密投标文件（解密的CA</w:t>
            </w:r>
            <w:r>
              <w:rPr>
                <w:rFonts w:hint="eastAsia" w:eastAsia="方正仿宋_GB2312"/>
                <w:color w:val="auto"/>
                <w:sz w:val="24"/>
                <w:szCs w:val="24"/>
              </w:rPr>
              <w:t>数字证书</w:t>
            </w:r>
            <w:r>
              <w:rPr>
                <w:rFonts w:eastAsia="方正仿宋_GB2312"/>
                <w:color w:val="auto"/>
                <w:sz w:val="24"/>
                <w:szCs w:val="24"/>
              </w:rPr>
              <w:t>和制作电子投标文件时加密的CA</w:t>
            </w:r>
            <w:r>
              <w:rPr>
                <w:rFonts w:hint="eastAsia" w:eastAsia="方正仿宋_GB2312"/>
                <w:color w:val="auto"/>
                <w:sz w:val="24"/>
                <w:szCs w:val="24"/>
              </w:rPr>
              <w:t>数字证书</w:t>
            </w:r>
            <w:r>
              <w:rPr>
                <w:rFonts w:eastAsia="方正仿宋_GB2312"/>
                <w:color w:val="auto"/>
                <w:sz w:val="24"/>
                <w:szCs w:val="24"/>
              </w:rPr>
              <w:t>必须</w:t>
            </w:r>
            <w:r>
              <w:rPr>
                <w:rFonts w:hint="eastAsia" w:eastAsia="方正仿宋_GB2312"/>
                <w:color w:val="auto"/>
                <w:sz w:val="24"/>
                <w:szCs w:val="24"/>
              </w:rPr>
              <w:t>相同</w:t>
            </w:r>
            <w:r>
              <w:rPr>
                <w:rFonts w:eastAsia="方正仿宋_GB2312"/>
                <w:color w:val="auto"/>
                <w:sz w:val="24"/>
                <w:szCs w:val="24"/>
              </w:rPr>
              <w:t>）。</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方正仿宋_GB2312"/>
                <w:color w:val="auto"/>
                <w:sz w:val="24"/>
                <w:szCs w:val="24"/>
              </w:rPr>
            </w:pPr>
            <w:r>
              <w:rPr>
                <w:rFonts w:eastAsia="方正仿宋_GB2312"/>
                <w:color w:val="auto"/>
                <w:sz w:val="24"/>
                <w:szCs w:val="24"/>
              </w:rPr>
              <w:t>投标供应商须在开标时间始30分钟内对投标文件进行解密。</w:t>
            </w:r>
            <w:r>
              <w:rPr>
                <w:rFonts w:hint="eastAsia" w:eastAsia="方正仿宋_GB2312"/>
                <w:color w:val="auto"/>
                <w:sz w:val="24"/>
                <w:szCs w:val="24"/>
              </w:rPr>
              <w:t>若投标供应商在规定时间内无法解密或解密失败的,投标无效。</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方正仿宋_GB2312"/>
                <w:color w:val="auto"/>
                <w:sz w:val="24"/>
                <w:szCs w:val="24"/>
              </w:rPr>
            </w:pPr>
            <w:r>
              <w:rPr>
                <w:rFonts w:hint="eastAsia" w:eastAsia="方正仿宋_GB2312"/>
                <w:color w:val="auto"/>
                <w:sz w:val="24"/>
                <w:szCs w:val="24"/>
              </w:rPr>
              <w:t>投标供应商应全程参加电子开标会议，若开标会议结束前中途退出的，其行为不影响评审结果。</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方正仿宋_GB2312"/>
                <w:color w:val="auto"/>
                <w:sz w:val="24"/>
                <w:szCs w:val="24"/>
              </w:rPr>
            </w:pPr>
            <w:r>
              <w:rPr>
                <w:rFonts w:eastAsia="方正仿宋_GB2312"/>
                <w:color w:val="auto"/>
                <w:sz w:val="24"/>
                <w:szCs w:val="24"/>
              </w:rPr>
              <w:t>5.采购人或采购代理机构对投标人的</w:t>
            </w:r>
            <w:r>
              <w:rPr>
                <w:rFonts w:hint="eastAsia" w:eastAsia="方正仿宋_GB2312"/>
                <w:color w:val="auto"/>
                <w:sz w:val="24"/>
                <w:szCs w:val="24"/>
                <w:lang w:eastAsia="zh-CN"/>
              </w:rPr>
              <w:t>资格文件</w:t>
            </w:r>
            <w:r>
              <w:rPr>
                <w:rFonts w:eastAsia="方正仿宋_GB2312"/>
                <w:color w:val="auto"/>
                <w:sz w:val="24"/>
                <w:szCs w:val="24"/>
              </w:rPr>
              <w:t>进行审查，如对投标文件有疑问，对投标人进行在线询标，投标人须在澄清截止时间前上传澄清函，若在澄清截止时间前未进行有效澄清的，逾期将不再接受澄清。资格审查不合格的投标人不再进入商务技术文件评审。</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方正仿宋_GB2312"/>
                <w:color w:val="auto"/>
                <w:sz w:val="24"/>
                <w:szCs w:val="24"/>
              </w:rPr>
            </w:pPr>
            <w:r>
              <w:rPr>
                <w:rFonts w:eastAsia="方正仿宋_GB2312"/>
                <w:color w:val="auto"/>
                <w:sz w:val="24"/>
                <w:szCs w:val="24"/>
              </w:rPr>
              <w:t>6.评标委员会先对商务技术文件进行评审，如对投标文件有疑问，对投标人进行在线询标，投标人须在澄清截止时间前上传澄清函，若在澄清截止时间前未进行有效澄清的，逾期将不再接受澄清。商务技术文件评审不合格的投标人不再进入报价文件评审。</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方正仿宋_GB2312"/>
                <w:color w:val="auto"/>
                <w:sz w:val="24"/>
                <w:szCs w:val="24"/>
              </w:rPr>
            </w:pPr>
            <w:r>
              <w:rPr>
                <w:rFonts w:eastAsia="方正仿宋_GB2312"/>
                <w:color w:val="auto"/>
                <w:sz w:val="24"/>
                <w:szCs w:val="24"/>
              </w:rPr>
              <w:t>7.商务技术文件评审结果公布后，在线开启报价文件，并由评标委员会进行报价评审。在开启报价文件时，投标供应商认为开标一览表与报价文件不符时，投标供应商可在“政府采购云平台”开标大厅提出异议。</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方正仿宋_GB2312"/>
                <w:color w:val="auto"/>
                <w:sz w:val="24"/>
                <w:szCs w:val="24"/>
              </w:rPr>
            </w:pPr>
            <w:r>
              <w:rPr>
                <w:rFonts w:eastAsia="方正仿宋_GB2312"/>
                <w:color w:val="auto"/>
                <w:sz w:val="24"/>
                <w:szCs w:val="24"/>
              </w:rPr>
              <w:t>8.在线公布各投标人得分汇总，并宣布中标候选人， 同时由记录人、监督人当场在开标记录上签字确认。</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eastAsia="方正仿宋_GB2312"/>
                <w:color w:val="auto"/>
                <w:sz w:val="24"/>
                <w:szCs w:val="24"/>
              </w:rPr>
            </w:pPr>
            <w:r>
              <w:rPr>
                <w:rFonts w:eastAsia="方正仿宋_GB2312"/>
                <w:color w:val="auto"/>
                <w:sz w:val="24"/>
                <w:szCs w:val="24"/>
              </w:rPr>
              <w:t>9.主持人宣布开标会议结束。</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方正仿宋_GB2312" w:cs="Times New Roman"/>
                <w:color w:val="auto"/>
                <w:sz w:val="24"/>
                <w:szCs w:val="24"/>
                <w:lang w:val="en-US" w:eastAsia="zh-CN" w:bidi="ar-SA"/>
              </w:rPr>
            </w:pPr>
            <w:r>
              <w:rPr>
                <w:rFonts w:eastAsia="方正仿宋_GB2312"/>
                <w:color w:val="auto"/>
                <w:sz w:val="24"/>
                <w:szCs w:val="24"/>
              </w:rPr>
              <w:t>特别说明：政采云公司如对电子化开标及评审程序有调整的，按调整后的程序操作。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29</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评标委员会的组建</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方正仿宋_GB2312" w:cs="Times New Roman"/>
                <w:color w:val="auto"/>
                <w:sz w:val="24"/>
                <w:szCs w:val="24"/>
                <w:lang w:val="en-US" w:eastAsia="zh-CN" w:bidi="ar-SA"/>
              </w:rPr>
            </w:pPr>
            <w:r>
              <w:rPr>
                <w:rFonts w:eastAsia="方正仿宋_GB2312"/>
                <w:color w:val="auto"/>
                <w:sz w:val="24"/>
                <w:szCs w:val="24"/>
              </w:rPr>
              <w:t>评标委员会由</w:t>
            </w:r>
            <w:r>
              <w:rPr>
                <w:rFonts w:hint="eastAsia" w:eastAsia="方正仿宋_GB2312"/>
                <w:color w:val="auto"/>
                <w:sz w:val="24"/>
                <w:szCs w:val="24"/>
              </w:rPr>
              <w:t>采购</w:t>
            </w:r>
            <w:r>
              <w:rPr>
                <w:rFonts w:eastAsia="方正仿宋_GB2312"/>
                <w:color w:val="auto"/>
                <w:sz w:val="24"/>
                <w:szCs w:val="24"/>
              </w:rPr>
              <w:t>人依法组建</w:t>
            </w:r>
            <w:r>
              <w:rPr>
                <w:rFonts w:hint="eastAsia" w:eastAsia="方正仿宋_GB2312"/>
                <w:color w:val="auto"/>
                <w:sz w:val="24"/>
                <w:szCs w:val="24"/>
              </w:rPr>
              <w:t>。</w:t>
            </w:r>
            <w:r>
              <w:rPr>
                <w:rFonts w:eastAsia="方正仿宋_GB2312"/>
                <w:color w:val="auto"/>
                <w:sz w:val="24"/>
                <w:szCs w:val="24"/>
              </w:rPr>
              <w:t>评标委员会构成：</w:t>
            </w:r>
            <w:r>
              <w:rPr>
                <w:rFonts w:eastAsia="方正仿宋_GB2312"/>
                <w:color w:val="auto"/>
                <w:sz w:val="24"/>
                <w:szCs w:val="24"/>
                <w:u w:val="single"/>
              </w:rPr>
              <w:t>5</w:t>
            </w:r>
            <w:r>
              <w:rPr>
                <w:rFonts w:eastAsia="方正仿宋_GB2312"/>
                <w:color w:val="auto"/>
                <w:sz w:val="24"/>
                <w:szCs w:val="24"/>
              </w:rPr>
              <w:t xml:space="preserve">人，其中采购人代表 </w:t>
            </w:r>
            <w:r>
              <w:rPr>
                <w:rFonts w:eastAsia="方正仿宋_GB2312"/>
                <w:color w:val="auto"/>
                <w:sz w:val="24"/>
                <w:szCs w:val="24"/>
                <w:u w:val="single"/>
              </w:rPr>
              <w:t xml:space="preserve">1 </w:t>
            </w:r>
            <w:r>
              <w:rPr>
                <w:rFonts w:eastAsia="方正仿宋_GB2312"/>
                <w:color w:val="auto"/>
                <w:sz w:val="24"/>
                <w:szCs w:val="24"/>
              </w:rPr>
              <w:t>人，专家</w:t>
            </w:r>
            <w:r>
              <w:rPr>
                <w:rFonts w:eastAsia="方正仿宋_GB2312"/>
                <w:color w:val="auto"/>
                <w:sz w:val="24"/>
                <w:szCs w:val="24"/>
                <w:u w:val="single"/>
              </w:rPr>
              <w:t xml:space="preserve"> 4</w:t>
            </w:r>
            <w:r>
              <w:rPr>
                <w:rFonts w:eastAsia="方正仿宋_GB2312"/>
                <w:color w:val="auto"/>
                <w:sz w:val="24"/>
                <w:szCs w:val="24"/>
              </w:rPr>
              <w:t>人；评标专家确定方式：从政府采购综合评标专家库</w:t>
            </w:r>
            <w:r>
              <w:rPr>
                <w:rFonts w:hint="eastAsia" w:eastAsia="方正仿宋_GB2312"/>
                <w:color w:val="auto"/>
                <w:sz w:val="24"/>
                <w:szCs w:val="24"/>
                <w:lang w:eastAsia="zh-CN"/>
              </w:rPr>
              <w:t>或采购人推荐名单</w:t>
            </w:r>
            <w:r>
              <w:rPr>
                <w:rFonts w:eastAsia="方正仿宋_GB2312"/>
                <w:color w:val="auto"/>
                <w:sz w:val="24"/>
                <w:szCs w:val="24"/>
              </w:rPr>
              <w:t>中电脑随机抽取。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30</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评标委员会推荐中标候选人的人数</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2312" w:cs="Times New Roman"/>
                <w:color w:val="auto"/>
                <w:sz w:val="24"/>
                <w:szCs w:val="24"/>
                <w:lang w:val="en-US" w:eastAsia="zh-CN" w:bidi="ar-SA"/>
              </w:rPr>
            </w:pPr>
            <w:r>
              <w:rPr>
                <w:rFonts w:eastAsia="方正仿宋_GB2312"/>
                <w:color w:val="auto"/>
                <w:sz w:val="24"/>
                <w:szCs w:val="24"/>
              </w:rPr>
              <w:t>评标委员会推荐的中标候选人数：</w:t>
            </w:r>
            <w:r>
              <w:rPr>
                <w:rFonts w:eastAsia="方正仿宋_GB2312"/>
                <w:color w:val="auto"/>
                <w:sz w:val="24"/>
                <w:szCs w:val="24"/>
                <w:u w:val="single"/>
              </w:rPr>
              <w:t>1</w:t>
            </w:r>
            <w:r>
              <w:rPr>
                <w:rFonts w:eastAsia="方正仿宋_GB2312"/>
                <w:color w:val="auto"/>
                <w:sz w:val="24"/>
                <w:szCs w:val="24"/>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31</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是否委托评标委员会确定中标人</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2312" w:cs="Times New Roman"/>
                <w:color w:val="auto"/>
                <w:sz w:val="24"/>
                <w:szCs w:val="24"/>
                <w:lang w:val="en-US" w:eastAsia="zh-CN" w:bidi="ar-SA"/>
              </w:rPr>
            </w:pPr>
            <w:r>
              <w:rPr>
                <w:rFonts w:eastAsia="方正仿宋_GB2312"/>
                <w:color w:val="auto"/>
                <w:sz w:val="24"/>
                <w:szCs w:val="24"/>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32</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eastAsia="方正仿宋_GB2312"/>
                <w:color w:val="auto"/>
                <w:sz w:val="24"/>
                <w:szCs w:val="24"/>
              </w:rPr>
            </w:pPr>
            <w:r>
              <w:rPr>
                <w:rFonts w:eastAsia="方正仿宋_GB2312"/>
                <w:color w:val="auto"/>
                <w:sz w:val="24"/>
                <w:szCs w:val="24"/>
              </w:rPr>
              <w:t>中标结果公告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2312" w:cs="Times New Roman"/>
                <w:color w:val="auto"/>
                <w:kern w:val="2"/>
                <w:sz w:val="24"/>
                <w:szCs w:val="24"/>
                <w:lang w:val="en-US" w:eastAsia="zh-CN" w:bidi="ar-SA"/>
              </w:rPr>
            </w:pPr>
            <w:r>
              <w:rPr>
                <w:rFonts w:eastAsia="方正仿宋_GB2312"/>
                <w:color w:val="auto"/>
                <w:sz w:val="24"/>
                <w:szCs w:val="24"/>
              </w:rPr>
              <w:t>媒介及期限</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方正仿宋_GB2312" w:cs="Times New Roman"/>
                <w:color w:val="auto"/>
                <w:sz w:val="24"/>
                <w:szCs w:val="24"/>
                <w:lang w:val="en-US" w:eastAsia="zh-CN" w:bidi="ar-SA"/>
              </w:rPr>
            </w:pPr>
            <w:r>
              <w:rPr>
                <w:rFonts w:eastAsia="方正仿宋_GB2312"/>
                <w:color w:val="auto"/>
                <w:sz w:val="24"/>
                <w:szCs w:val="24"/>
              </w:rPr>
              <w:t>中标人确定之日起2个工作日内，中标结果在浙江政府采购网和武义县公共资源交易网公告</w:t>
            </w:r>
            <w:r>
              <w:rPr>
                <w:rFonts w:hint="eastAsia" w:eastAsia="方正仿宋_GB2312"/>
                <w:color w:val="auto"/>
                <w:sz w:val="24"/>
                <w:szCs w:val="24"/>
              </w:rPr>
              <w:t>不得少于</w:t>
            </w:r>
            <w:r>
              <w:rPr>
                <w:rFonts w:eastAsia="方正仿宋_GB2312"/>
                <w:color w:val="auto"/>
                <w:sz w:val="24"/>
                <w:szCs w:val="24"/>
              </w:rPr>
              <w:t>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33</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b/>
                <w:color w:val="auto"/>
                <w:szCs w:val="24"/>
              </w:rPr>
            </w:pPr>
            <w:r>
              <w:rPr>
                <w:rFonts w:hint="eastAsia" w:ascii="仿宋" w:hAnsi="仿宋" w:eastAsia="仿宋" w:cs="仿宋"/>
                <w:color w:val="auto"/>
                <w:szCs w:val="24"/>
              </w:rPr>
              <w:t>质疑与答疑时间</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textAlignment w:val="auto"/>
              <w:rPr>
                <w:rFonts w:ascii="仿宋" w:hAnsi="仿宋" w:eastAsia="仿宋" w:cs="仿宋"/>
                <w:color w:val="auto"/>
                <w:szCs w:val="24"/>
              </w:rPr>
            </w:pPr>
            <w:r>
              <w:rPr>
                <w:rFonts w:hint="eastAsia" w:ascii="仿宋" w:hAnsi="仿宋" w:eastAsia="仿宋" w:cs="仿宋"/>
                <w:color w:val="auto"/>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34</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textAlignment w:val="auto"/>
              <w:rPr>
                <w:rFonts w:ascii="仿宋" w:hAnsi="仿宋" w:eastAsia="仿宋" w:cs="仿宋"/>
                <w:color w:val="auto"/>
                <w:szCs w:val="24"/>
              </w:rPr>
            </w:pPr>
            <w:r>
              <w:rPr>
                <w:rFonts w:hint="eastAsia" w:ascii="仿宋" w:hAnsi="仿宋" w:eastAsia="仿宋" w:cs="仿宋"/>
                <w:color w:val="auto"/>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35</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textAlignment w:val="auto"/>
              <w:rPr>
                <w:rFonts w:ascii="仿宋" w:hAnsi="仿宋" w:eastAsia="仿宋" w:cs="仿宋"/>
                <w:color w:val="auto"/>
                <w:szCs w:val="24"/>
              </w:rPr>
            </w:pPr>
            <w:r>
              <w:rPr>
                <w:rFonts w:hint="eastAsia" w:ascii="仿宋" w:hAnsi="仿宋" w:eastAsia="仿宋" w:cs="仿宋"/>
                <w:bCs/>
                <w:color w:val="auto"/>
                <w:szCs w:val="24"/>
                <w:lang w:val="zh-CN"/>
              </w:rPr>
              <w:t>根据财库</w:t>
            </w:r>
            <w:r>
              <w:rPr>
                <w:rFonts w:hint="eastAsia" w:ascii="仿宋" w:hAnsi="仿宋" w:eastAsia="仿宋" w:cs="仿宋"/>
                <w:bCs/>
                <w:color w:val="auto"/>
                <w:szCs w:val="24"/>
              </w:rPr>
              <w:t>[2019]9号、</w:t>
            </w:r>
            <w:r>
              <w:rPr>
                <w:rFonts w:hint="eastAsia" w:ascii="仿宋" w:hAnsi="仿宋" w:eastAsia="仿宋" w:cs="仿宋"/>
                <w:bCs/>
                <w:color w:val="auto"/>
                <w:szCs w:val="24"/>
                <w:lang w:val="zh-CN"/>
              </w:rPr>
              <w:t>财库</w:t>
            </w:r>
            <w:r>
              <w:rPr>
                <w:rFonts w:hint="eastAsia" w:ascii="仿宋" w:hAnsi="仿宋" w:eastAsia="仿宋" w:cs="仿宋"/>
                <w:bCs/>
                <w:color w:val="auto"/>
                <w:szCs w:val="24"/>
              </w:rPr>
              <w:t>[2019]18号、</w:t>
            </w:r>
            <w:r>
              <w:rPr>
                <w:rFonts w:hint="eastAsia" w:ascii="仿宋" w:hAnsi="仿宋" w:eastAsia="仿宋" w:cs="仿宋"/>
                <w:bCs/>
                <w:color w:val="auto"/>
                <w:szCs w:val="24"/>
                <w:lang w:val="zh-CN"/>
              </w:rPr>
              <w:t>财库</w:t>
            </w:r>
            <w:r>
              <w:rPr>
                <w:rFonts w:hint="eastAsia" w:ascii="仿宋" w:hAnsi="仿宋" w:eastAsia="仿宋" w:cs="仿宋"/>
                <w:bCs/>
                <w:color w:val="auto"/>
                <w:szCs w:val="24"/>
              </w:rPr>
              <w:t>[2019]19号规定，</w:t>
            </w:r>
            <w:r>
              <w:rPr>
                <w:rFonts w:hint="eastAsia" w:ascii="仿宋" w:hAnsi="仿宋" w:eastAsia="仿宋" w:cs="仿宋"/>
                <w:bCs/>
                <w:color w:val="auto"/>
                <w:szCs w:val="24"/>
                <w:lang w:val="zh-CN"/>
              </w:rPr>
              <w:t>采购人拟采购的产品属于品目清单范围的，采购人及其委托的采购代理机构将依据国家确定的认证机构</w:t>
            </w:r>
            <w:r>
              <w:rPr>
                <w:rFonts w:hint="eastAsia" w:ascii="仿宋" w:hAnsi="仿宋" w:eastAsia="仿宋" w:cs="仿宋"/>
                <w:color w:val="auto"/>
                <w:szCs w:val="24"/>
                <w:lang w:val="zh-CN"/>
              </w:rPr>
              <w:t>出具</w:t>
            </w:r>
            <w:r>
              <w:rPr>
                <w:rFonts w:hint="eastAsia" w:ascii="仿宋" w:hAnsi="仿宋" w:eastAsia="仿宋" w:cs="仿宋"/>
                <w:bCs/>
                <w:color w:val="auto"/>
                <w:szCs w:val="24"/>
                <w:lang w:val="zh-CN"/>
              </w:rPr>
              <w:t>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Cs/>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36</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ascii="仿宋" w:hAnsi="仿宋" w:eastAsia="仿宋" w:cs="仿宋"/>
                <w:color w:val="auto"/>
                <w:szCs w:val="24"/>
              </w:rPr>
            </w:pPr>
            <w:r>
              <w:rPr>
                <w:rFonts w:hint="eastAsia" w:ascii="仿宋" w:hAnsi="仿宋" w:eastAsia="仿宋" w:cs="仿宋"/>
                <w:bCs/>
                <w:color w:val="auto"/>
                <w:szCs w:val="24"/>
              </w:rPr>
              <w:t>其他</w:t>
            </w:r>
          </w:p>
        </w:tc>
        <w:tc>
          <w:tcPr>
            <w:tcW w:w="760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textAlignment w:val="auto"/>
              <w:rPr>
                <w:rFonts w:hint="eastAsia" w:ascii="仿宋" w:hAnsi="仿宋" w:eastAsia="仿宋" w:cs="仿宋"/>
                <w:bCs/>
                <w:color w:val="auto"/>
                <w:szCs w:val="24"/>
                <w:lang w:val="zh-CN"/>
              </w:rPr>
            </w:pPr>
            <w:r>
              <w:rPr>
                <w:rFonts w:hint="eastAsia" w:ascii="仿宋" w:hAnsi="仿宋" w:eastAsia="仿宋" w:cs="仿宋"/>
                <w:bCs/>
                <w:color w:val="auto"/>
                <w:szCs w:val="24"/>
                <w:lang w:val="zh-CN"/>
              </w:rPr>
              <w:t>本前附表内容与投标人须知正文不符的，以本前附表为准。</w:t>
            </w:r>
          </w:p>
          <w:p>
            <w:pPr>
              <w:pStyle w:val="13"/>
              <w:keepNext w:val="0"/>
              <w:keepLines w:val="0"/>
              <w:pageBreakBefore w:val="0"/>
              <w:kinsoku/>
              <w:wordWrap/>
              <w:overflowPunct/>
              <w:topLinePunct w:val="0"/>
              <w:bidi w:val="0"/>
              <w:snapToGrid/>
              <w:spacing w:line="240" w:lineRule="auto"/>
              <w:textAlignment w:val="auto"/>
              <w:rPr>
                <w:rFonts w:hint="eastAsia" w:ascii="仿宋" w:hAnsi="仿宋" w:eastAsia="仿宋" w:cs="仿宋"/>
                <w:bCs/>
                <w:color w:val="auto"/>
                <w:szCs w:val="24"/>
                <w:lang w:val="zh-CN"/>
              </w:rPr>
            </w:pPr>
            <w:r>
              <w:rPr>
                <w:rFonts w:hint="eastAsia" w:ascii="仿宋" w:hAnsi="仿宋" w:eastAsia="仿宋" w:cs="仿宋"/>
                <w:bCs/>
                <w:color w:val="auto"/>
                <w:szCs w:val="24"/>
                <w:lang w:val="zh-CN"/>
              </w:rPr>
              <w:t>凡涉及本采购文件的解释权均属于采购人和采购代理机构。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37</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lang w:val="en-US" w:eastAsia="zh-CN"/>
              </w:rPr>
              <w:t>政策落实</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1、扶持中小企业（监狱企业、残疾人福利性单位）：</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（1）项目预算：</w:t>
            </w:r>
            <w:r>
              <w:rPr>
                <w:rFonts w:hint="eastAsia" w:ascii="仿宋_GB2312" w:hAnsi="仿宋_GB2312" w:eastAsia="仿宋_GB2312" w:cs="仿宋_GB2312"/>
                <w:color w:val="auto"/>
                <w:kern w:val="0"/>
                <w:sz w:val="24"/>
                <w:szCs w:val="24"/>
                <w:highlight w:val="none"/>
                <w:u w:val="single"/>
                <w:lang w:val="en-US" w:eastAsia="zh-CN"/>
              </w:rPr>
              <w:t>15811347</w:t>
            </w:r>
            <w:r>
              <w:rPr>
                <w:rFonts w:hint="eastAsia" w:ascii="仿宋_GB2312" w:hAnsi="仿宋_GB2312" w:eastAsia="仿宋_GB2312" w:cs="仿宋_GB2312"/>
                <w:color w:val="auto"/>
                <w:kern w:val="0"/>
                <w:sz w:val="24"/>
                <w:szCs w:val="24"/>
                <w:highlight w:val="none"/>
              </w:rPr>
              <w:t>元</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（2）项目属性：</w:t>
            </w:r>
            <w:r>
              <w:rPr>
                <w:rFonts w:hint="eastAsia" w:ascii="仿宋_GB2312" w:hAnsi="仿宋_GB2312" w:eastAsia="仿宋_GB2312" w:cs="仿宋_GB2312"/>
                <w:color w:val="auto"/>
                <w:kern w:val="0"/>
                <w:sz w:val="24"/>
                <w:szCs w:val="24"/>
                <w:highlight w:val="none"/>
                <w:u w:val="single"/>
                <w:lang w:val="en-US" w:eastAsia="zh-CN"/>
              </w:rPr>
              <w:t>  ①货物类   </w:t>
            </w:r>
            <w:r>
              <w:rPr>
                <w:rFonts w:hint="eastAsia" w:ascii="仿宋_GB2312" w:hAnsi="仿宋_GB2312" w:eastAsia="仿宋_GB2312" w:cs="仿宋_GB2312"/>
                <w:color w:val="auto"/>
                <w:kern w:val="0"/>
                <w:sz w:val="24"/>
                <w:szCs w:val="24"/>
                <w:highlight w:val="none"/>
              </w:rPr>
              <w:t>（①货物类/②服务类/③工程类）</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（3）项目对应的中小企业划分标准所属行业：</w:t>
            </w:r>
            <w:r>
              <w:rPr>
                <w:rFonts w:hint="eastAsia" w:ascii="仿宋_GB2312" w:hAnsi="仿宋_GB2312" w:eastAsia="仿宋_GB2312" w:cs="仿宋_GB2312"/>
                <w:color w:val="auto"/>
                <w:kern w:val="0"/>
                <w:sz w:val="24"/>
                <w:szCs w:val="24"/>
                <w:highlight w:val="none"/>
                <w:u w:val="single"/>
                <w:lang w:val="en-US" w:eastAsia="zh-CN"/>
              </w:rPr>
              <w:t>工业</w:t>
            </w:r>
            <w:r>
              <w:rPr>
                <w:rFonts w:hint="eastAsia" w:ascii="仿宋_GB2312" w:hAnsi="仿宋_GB2312" w:eastAsia="仿宋_GB2312" w:cs="仿宋_GB2312"/>
                <w:color w:val="auto"/>
                <w:kern w:val="0"/>
                <w:sz w:val="24"/>
                <w:szCs w:val="24"/>
                <w:highlight w:val="none"/>
              </w:rPr>
              <w:t>（具体根据《中小企业划型标准规定》执行）</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（4）本项目 </w:t>
            </w:r>
            <w:r>
              <w:rPr>
                <w:rFonts w:hint="eastAsia" w:ascii="仿宋_GB2312" w:hAnsi="仿宋_GB2312" w:eastAsia="仿宋_GB2312" w:cs="仿宋_GB2312"/>
                <w:color w:val="auto"/>
                <w:kern w:val="0"/>
                <w:sz w:val="24"/>
                <w:szCs w:val="24"/>
                <w:highlight w:val="none"/>
                <w:u w:val="single"/>
                <w:lang w:val="en-US" w:eastAsia="zh-CN"/>
              </w:rPr>
              <w:t xml:space="preserve"> 否 </w:t>
            </w:r>
            <w:r>
              <w:rPr>
                <w:rFonts w:hint="eastAsia" w:ascii="仿宋_GB2312" w:hAnsi="仿宋_GB2312" w:eastAsia="仿宋_GB2312" w:cs="仿宋_GB2312"/>
                <w:color w:val="auto"/>
                <w:kern w:val="0"/>
                <w:sz w:val="24"/>
                <w:szCs w:val="24"/>
                <w:highlight w:val="none"/>
              </w:rPr>
              <w:t>（是/否）属于预留份额专门面向中小企业采购的项目。</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（5）上述第4项中确定为“是”的采购项目，预留份额通过（①）措施进行：</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①将采购项目整体或者设置采购包专门面向中小企业采购； </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②要求供应商以联合体形式参加采购活动，且联合体中中小企业承担的部分达到</w:t>
            </w:r>
            <w:r>
              <w:rPr>
                <w:rFonts w:hint="eastAsia" w:ascii="仿宋_GB2312" w:hAnsi="仿宋_GB2312" w:eastAsia="仿宋_GB2312" w:cs="仿宋_GB2312"/>
                <w:color w:val="auto"/>
                <w:kern w:val="0"/>
                <w:sz w:val="24"/>
                <w:szCs w:val="24"/>
                <w:highlight w:val="none"/>
                <w:u w:val="single"/>
              </w:rPr>
              <w:t> / </w:t>
            </w:r>
            <w:r>
              <w:rPr>
                <w:rFonts w:hint="eastAsia" w:ascii="仿宋_GB2312" w:hAnsi="仿宋_GB2312" w:eastAsia="仿宋_GB2312" w:cs="仿宋_GB2312"/>
                <w:color w:val="auto"/>
                <w:kern w:val="0"/>
                <w:sz w:val="24"/>
                <w:szCs w:val="24"/>
                <w:highlight w:val="none"/>
              </w:rPr>
              <w:t xml:space="preserve">(比例)； </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③要求获得采购合同的供应商将采购项目中的</w:t>
            </w:r>
            <w:r>
              <w:rPr>
                <w:rFonts w:hint="eastAsia" w:ascii="仿宋_GB2312" w:hAnsi="仿宋_GB2312" w:eastAsia="仿宋_GB2312" w:cs="仿宋_GB2312"/>
                <w:color w:val="auto"/>
                <w:kern w:val="0"/>
                <w:sz w:val="24"/>
                <w:szCs w:val="24"/>
                <w:highlight w:val="none"/>
                <w:u w:val="single"/>
              </w:rPr>
              <w:t xml:space="preserve"> / </w:t>
            </w:r>
            <w:r>
              <w:rPr>
                <w:rFonts w:hint="eastAsia" w:ascii="仿宋_GB2312" w:hAnsi="仿宋_GB2312" w:eastAsia="仿宋_GB2312" w:cs="仿宋_GB2312"/>
                <w:color w:val="auto"/>
                <w:kern w:val="0"/>
                <w:sz w:val="24"/>
                <w:szCs w:val="24"/>
                <w:highlight w:val="none"/>
              </w:rPr>
              <w:t>(比例)分包给一家或者多家中小企业。</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color w:val="auto"/>
              </w:rPr>
            </w:pP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对于经主管预算单位统筹后未预留份额专门面向中小企业采购的采购项目，以及预留份额项目中的非预留部分采购包，对小微企业报价给予</w:t>
            </w:r>
            <w:r>
              <w:rPr>
                <w:rFonts w:hint="eastAsia" w:ascii="仿宋_GB2312" w:hAnsi="仿宋_GB2312" w:eastAsia="仿宋_GB2312" w:cs="仿宋_GB2312"/>
                <w:color w:val="auto"/>
                <w:kern w:val="0"/>
                <w:sz w:val="24"/>
                <w:szCs w:val="24"/>
                <w:highlight w:val="none"/>
                <w:u w:val="single"/>
              </w:rPr>
              <w:t> </w:t>
            </w:r>
            <w:r>
              <w:rPr>
                <w:rFonts w:hint="eastAsia" w:ascii="仿宋_GB2312" w:hAnsi="仿宋_GB2312" w:eastAsia="仿宋_GB2312" w:cs="仿宋_GB2312"/>
                <w:color w:val="auto"/>
                <w:kern w:val="0"/>
                <w:sz w:val="24"/>
                <w:szCs w:val="24"/>
                <w:highlight w:val="none"/>
                <w:u w:val="single"/>
                <w:lang w:val="en-US" w:eastAsia="zh-CN"/>
              </w:rPr>
              <w:t>20</w:t>
            </w:r>
            <w:r>
              <w:rPr>
                <w:rFonts w:hint="eastAsia" w:ascii="仿宋_GB2312" w:hAnsi="仿宋_GB2312" w:eastAsia="仿宋_GB2312" w:cs="仿宋_GB2312"/>
                <w:color w:val="auto"/>
                <w:kern w:val="0"/>
                <w:sz w:val="24"/>
                <w:szCs w:val="24"/>
                <w:highlight w:val="none"/>
                <w:u w:val="single"/>
              </w:rPr>
              <w:t> </w:t>
            </w:r>
            <w:r>
              <w:rPr>
                <w:rFonts w:hint="eastAsia" w:ascii="仿宋_GB2312" w:hAnsi="仿宋_GB2312" w:eastAsia="仿宋_GB2312" w:cs="仿宋_GB2312"/>
                <w:color w:val="auto"/>
                <w:kern w:val="0"/>
                <w:sz w:val="24"/>
                <w:szCs w:val="24"/>
                <w:highlight w:val="none"/>
                <w:u w:val="single"/>
                <w:lang w:val="en-US" w:eastAsia="zh-CN"/>
              </w:rPr>
              <w:t>%</w:t>
            </w:r>
            <w:r>
              <w:rPr>
                <w:rFonts w:hint="eastAsia" w:ascii="仿宋_GB2312" w:hAnsi="仿宋_GB2312" w:eastAsia="仿宋_GB2312" w:cs="仿宋_GB2312"/>
                <w:color w:val="auto"/>
                <w:kern w:val="0"/>
                <w:sz w:val="24"/>
                <w:szCs w:val="24"/>
                <w:highlight w:val="none"/>
              </w:rPr>
              <w:t xml:space="preserve"> 的扣除，用扣除后的价格参加评审。 </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color w:val="auto"/>
              </w:rPr>
            </w:pPr>
            <w:r>
              <w:rPr>
                <w:rFonts w:hint="eastAsia" w:ascii="仿宋_GB2312" w:hAnsi="仿宋_GB2312" w:eastAsia="仿宋_GB2312" w:cs="仿宋_GB2312"/>
                <w:color w:val="auto"/>
                <w:kern w:val="0"/>
                <w:sz w:val="24"/>
                <w:szCs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_GB2312" w:hAnsi="仿宋_GB2312" w:eastAsia="仿宋_GB2312" w:cs="仿宋_GB2312"/>
                <w:color w:val="auto"/>
                <w:kern w:val="0"/>
                <w:sz w:val="24"/>
                <w:szCs w:val="24"/>
                <w:highlight w:val="none"/>
                <w:u w:val="single"/>
              </w:rPr>
              <w:t>  </w:t>
            </w:r>
            <w:r>
              <w:rPr>
                <w:rFonts w:hint="eastAsia" w:ascii="仿宋_GB2312" w:hAnsi="仿宋_GB2312" w:eastAsia="仿宋_GB2312" w:cs="仿宋_GB2312"/>
                <w:color w:val="auto"/>
                <w:kern w:val="0"/>
                <w:sz w:val="24"/>
                <w:szCs w:val="24"/>
                <w:highlight w:val="none"/>
                <w:u w:val="single"/>
                <w:lang w:val="en-US" w:eastAsia="zh-CN"/>
              </w:rPr>
              <w:t>6%</w:t>
            </w:r>
            <w:r>
              <w:rPr>
                <w:rFonts w:hint="eastAsia" w:ascii="仿宋_GB2312" w:hAnsi="仿宋_GB2312" w:eastAsia="仿宋_GB2312" w:cs="仿宋_GB2312"/>
                <w:color w:val="auto"/>
                <w:kern w:val="0"/>
                <w:sz w:val="24"/>
                <w:szCs w:val="24"/>
                <w:highlight w:val="none"/>
                <w:u w:val="single"/>
              </w:rPr>
              <w:t> </w:t>
            </w:r>
            <w:r>
              <w:rPr>
                <w:rFonts w:hint="eastAsia" w:ascii="仿宋_GB2312" w:hAnsi="仿宋_GB2312" w:eastAsia="仿宋_GB2312" w:cs="仿宋_GB2312"/>
                <w:color w:val="auto"/>
                <w:kern w:val="0"/>
                <w:sz w:val="24"/>
                <w:szCs w:val="24"/>
                <w:highlight w:val="none"/>
              </w:rPr>
              <w:t>的扣除，用扣除后的价格参加评审。</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专门面向中小企业采购的项目或者标项，不再执行价格评审优惠的扶持政策。</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2、节能产品、环境标志产品的强制采购政策</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3、节能产品、环境标志产品的优先采购政策</w:t>
            </w:r>
          </w:p>
          <w:p>
            <w:pPr>
              <w:pStyle w:val="13"/>
              <w:keepNext w:val="0"/>
              <w:keepLines w:val="0"/>
              <w:pageBreakBefore w:val="0"/>
              <w:kinsoku/>
              <w:wordWrap/>
              <w:overflowPunct/>
              <w:topLinePunct w:val="0"/>
              <w:bidi w:val="0"/>
              <w:snapToGrid/>
              <w:spacing w:line="240" w:lineRule="auto"/>
              <w:textAlignment w:val="auto"/>
              <w:rPr>
                <w:rFonts w:hint="eastAsia" w:ascii="仿宋" w:hAnsi="仿宋" w:eastAsia="仿宋" w:cs="仿宋"/>
                <w:bCs/>
                <w:color w:val="auto"/>
                <w:szCs w:val="24"/>
              </w:rPr>
            </w:pPr>
            <w:r>
              <w:rPr>
                <w:rFonts w:hint="eastAsia" w:ascii="仿宋_GB2312" w:hAnsi="仿宋_GB2312" w:eastAsia="仿宋_GB2312" w:cs="仿宋_GB2312"/>
                <w:color w:val="auto"/>
                <w:kern w:val="0"/>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r>
              <w:rPr>
                <w:rFonts w:hint="eastAsia" w:ascii="仿宋_GB2312" w:hAnsi="仿宋_GB2312" w:eastAsia="仿宋_GB2312" w:cs="仿宋_GB2312"/>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38</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信用查询</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105" w:leftChars="5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根据《关于在政府采购活动中查询及使用信用记录有关问题的通知》财库[2016]125号的规定：</w:t>
            </w:r>
          </w:p>
          <w:p>
            <w:pPr>
              <w:keepNext w:val="0"/>
              <w:keepLines w:val="0"/>
              <w:pageBreakBefore w:val="0"/>
              <w:kinsoku/>
              <w:wordWrap/>
              <w:overflowPunct/>
              <w:topLinePunct w:val="0"/>
              <w:bidi w:val="0"/>
              <w:snapToGrid/>
              <w:spacing w:line="240" w:lineRule="auto"/>
              <w:ind w:left="105" w:leftChars="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1）招标人或采购代理机构将对本项目供应商的信用记录进行查询。查询渠道为信用中国网站（www.creditchina.gov.cn）、中国政府采购网（www.ccgp.gov.cn）；</w:t>
            </w:r>
          </w:p>
          <w:p>
            <w:pPr>
              <w:keepNext w:val="0"/>
              <w:keepLines w:val="0"/>
              <w:pageBreakBefore w:val="0"/>
              <w:kinsoku/>
              <w:wordWrap/>
              <w:overflowPunct/>
              <w:topLinePunct w:val="0"/>
              <w:bidi w:val="0"/>
              <w:snapToGrid/>
              <w:spacing w:line="240" w:lineRule="auto"/>
              <w:ind w:firstLine="120" w:firstLineChars="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2）截止时点：提交投标文件（响应文件）截止时间前3年内；</w:t>
            </w:r>
          </w:p>
          <w:p>
            <w:pPr>
              <w:keepNext w:val="0"/>
              <w:keepLines w:val="0"/>
              <w:pageBreakBefore w:val="0"/>
              <w:kinsoku/>
              <w:wordWrap/>
              <w:overflowPunct/>
              <w:topLinePunct w:val="0"/>
              <w:bidi w:val="0"/>
              <w:snapToGrid/>
              <w:spacing w:line="240" w:lineRule="auto"/>
              <w:ind w:left="105" w:leftChars="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3）查询记录和证据的留存：信用信息查询记录和证据以网页截图等方式留存。</w:t>
            </w:r>
          </w:p>
          <w:p>
            <w:pPr>
              <w:keepNext w:val="0"/>
              <w:keepLines w:val="0"/>
              <w:pageBreakBefore w:val="0"/>
              <w:kinsoku/>
              <w:wordWrap/>
              <w:overflowPunct/>
              <w:topLinePunct w:val="0"/>
              <w:bidi w:val="0"/>
              <w:snapToGrid/>
              <w:spacing w:line="240" w:lineRule="auto"/>
              <w:ind w:left="105" w:leftChars="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pStyle w:val="13"/>
              <w:keepNext w:val="0"/>
              <w:keepLines w:val="0"/>
              <w:pageBreakBefore w:val="0"/>
              <w:kinsoku/>
              <w:wordWrap/>
              <w:overflowPunct/>
              <w:topLinePunct w:val="0"/>
              <w:bidi w:val="0"/>
              <w:snapToGrid/>
              <w:spacing w:line="240" w:lineRule="auto"/>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39</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rPr>
              <w:t>根据《关于印发中小企业划型标准规定的通知》（工信部联企业〔2011〕300号），本企业按所属行业为“</w:t>
            </w:r>
            <w:r>
              <w:rPr>
                <w:rFonts w:hint="eastAsia" w:ascii="仿宋_GB2312" w:hAnsi="仿宋_GB2312" w:eastAsia="仿宋_GB2312" w:cs="仿宋_GB2312"/>
                <w:b w:val="0"/>
                <w:bCs w:val="0"/>
                <w:color w:val="auto"/>
                <w:kern w:val="0"/>
                <w:sz w:val="24"/>
                <w:szCs w:val="24"/>
                <w:highlight w:val="none"/>
                <w:lang w:val="en-US" w:eastAsia="zh-CN"/>
              </w:rPr>
              <w:t>XXXXX</w:t>
            </w:r>
            <w:r>
              <w:rPr>
                <w:rFonts w:hint="eastAsia" w:ascii="仿宋_GB2312" w:hAnsi="仿宋_GB2312" w:eastAsia="仿宋_GB2312" w:cs="仿宋_GB2312"/>
                <w:b w:val="0"/>
                <w:bCs w:val="0"/>
                <w:color w:val="auto"/>
                <w:kern w:val="0"/>
                <w:sz w:val="24"/>
                <w:szCs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40</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节能产品</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hint="eastAsia" w:ascii="仿宋" w:hAnsi="仿宋" w:eastAsia="仿宋" w:cs="仿宋"/>
                <w:b/>
                <w:bCs/>
                <w:color w:val="auto"/>
                <w:kern w:val="2"/>
                <w:sz w:val="24"/>
                <w:szCs w:val="21"/>
                <w:lang w:val="en-US" w:eastAsia="zh-CN" w:bidi="ar-SA"/>
              </w:rPr>
            </w:pPr>
            <w:r>
              <w:rPr>
                <w:rFonts w:hint="eastAsia" w:ascii="仿宋" w:hAnsi="仿宋" w:eastAsia="仿宋" w:cs="仿宋"/>
                <w:color w:val="auto"/>
                <w:kern w:val="2"/>
                <w:sz w:val="24"/>
                <w:highlight w:val="none"/>
              </w:rPr>
              <w:t>优先采购节能产品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41</w:t>
            </w:r>
          </w:p>
        </w:tc>
        <w:tc>
          <w:tcPr>
            <w:tcW w:w="17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环境标志产品</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rPr>
              <w:t>优先采购环境标志产品</w:t>
            </w:r>
          </w:p>
        </w:tc>
      </w:tr>
    </w:tbl>
    <w:p>
      <w:pPr>
        <w:pStyle w:val="7"/>
        <w:spacing w:line="312" w:lineRule="auto"/>
        <w:ind w:firstLine="602"/>
        <w:jc w:val="center"/>
        <w:rPr>
          <w:rFonts w:ascii="仿宋" w:hAnsi="仿宋" w:eastAsia="仿宋" w:cs="仿宋"/>
          <w:b/>
          <w:bCs/>
          <w:color w:val="auto"/>
          <w:sz w:val="30"/>
          <w:szCs w:val="30"/>
        </w:rPr>
        <w:sectPr>
          <w:pgSz w:w="11906" w:h="16838"/>
          <w:pgMar w:top="1247" w:right="1134" w:bottom="1020" w:left="1418" w:header="851" w:footer="907" w:gutter="0"/>
          <w:pgBorders>
            <w:top w:val="none" w:sz="0" w:space="0"/>
            <w:left w:val="none" w:sz="0" w:space="0"/>
            <w:bottom w:val="none" w:sz="0" w:space="0"/>
            <w:right w:val="none" w:sz="0" w:space="0"/>
          </w:pgBorders>
          <w:pgNumType w:fmt="numberInDash"/>
          <w:cols w:space="720" w:num="1"/>
          <w:titlePg/>
          <w:docGrid w:type="lines" w:linePitch="312" w:charSpace="0"/>
        </w:sectPr>
      </w:pPr>
    </w:p>
    <w:bookmarkEnd w:id="2"/>
    <w:p>
      <w:pPr>
        <w:pStyle w:val="3"/>
        <w:spacing w:before="0" w:after="0" w:line="420" w:lineRule="exact"/>
        <w:jc w:val="center"/>
        <w:rPr>
          <w:rFonts w:ascii="仿宋" w:hAnsi="仿宋" w:eastAsia="仿宋" w:cs="仿宋"/>
          <w:color w:val="auto"/>
          <w:sz w:val="30"/>
          <w:szCs w:val="30"/>
        </w:rPr>
      </w:pPr>
      <w:r>
        <w:rPr>
          <w:rFonts w:hint="eastAsia" w:ascii="仿宋" w:hAnsi="仿宋" w:eastAsia="仿宋" w:cs="仿宋"/>
          <w:color w:val="auto"/>
          <w:sz w:val="30"/>
          <w:szCs w:val="30"/>
        </w:rPr>
        <w:t>一、总  则</w:t>
      </w:r>
    </w:p>
    <w:p>
      <w:pPr>
        <w:snapToGrid w:val="0"/>
        <w:spacing w:line="336" w:lineRule="auto"/>
        <w:ind w:firstLine="482" w:firstLineChars="200"/>
        <w:jc w:val="left"/>
        <w:outlineLvl w:val="1"/>
        <w:rPr>
          <w:rFonts w:ascii="仿宋" w:hAnsi="仿宋" w:eastAsia="仿宋" w:cs="仿宋"/>
          <w:color w:val="auto"/>
        </w:rPr>
      </w:pPr>
      <w:r>
        <w:rPr>
          <w:rFonts w:hint="eastAsia" w:ascii="仿宋" w:hAnsi="仿宋" w:eastAsia="仿宋" w:cs="仿宋"/>
          <w:b/>
          <w:bCs/>
          <w:color w:val="auto"/>
          <w:sz w:val="24"/>
        </w:rPr>
        <w:t>1.</w:t>
      </w:r>
      <w:r>
        <w:rPr>
          <w:rFonts w:hint="eastAsia" w:ascii="仿宋" w:hAnsi="仿宋" w:eastAsia="仿宋" w:cs="仿宋"/>
          <w:b/>
          <w:color w:val="auto"/>
          <w:sz w:val="24"/>
        </w:rPr>
        <w:t>适用范围</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本招标文件适用于本次所述项目的招标。</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2.定义</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2.1“采购人”系指组织本次招标的采购单位。</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2.2“采购代理机构”系指金华同慷建设管理咨询有限公司。</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2.3“投标人”系指向采购人和采购代理机构提交投标文件的供应商。</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2.4“货物”系指供方按招标文件规定，须向采购人提供的一切设备、保险、税 金、备品备件、工具、手册及其它有关技术资料和材料。</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2.5“服务”系指招标文件规定投标人须承担的安装、调试、技术协助、校准、培训、技术指导以及其他类似的义务。</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2.6“项目”系指投标人按招标文件规定向采购人提供的货物和服务。</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2.7“书面形式”包括信函、传真、电报等。</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2.8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2.9“▲”系指实质性要求条款，不允许负偏离，否则作无效标处理；“★”为重要参数。</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3.采购方式</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本次采购采用公开招标方式进行。</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4.投标人及投标委托有关说明</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4.1投标人代表不是法定代表人，须有法定代表人出具的授权委托书。</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5.投标费用</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投标人应自行承担获得招标文件和编制、提交投标文件所涉及的一切费用。不论投标结果如何，投标人均应自行承担所有与投标有关的全部费用。</w:t>
      </w:r>
      <w:r>
        <w:rPr>
          <w:rFonts w:hint="eastAsia" w:ascii="仿宋" w:hAnsi="仿宋" w:eastAsia="仿宋" w:cs="仿宋"/>
          <w:b/>
          <w:bCs/>
          <w:color w:val="auto"/>
          <w:sz w:val="24"/>
        </w:rPr>
        <w:t>对中标人收取政府采购代理服务费。</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6.特别说明：</w:t>
      </w:r>
    </w:p>
    <w:p>
      <w:pPr>
        <w:pStyle w:val="13"/>
        <w:snapToGrid w:val="0"/>
        <w:spacing w:line="336" w:lineRule="auto"/>
        <w:ind w:firstLine="480" w:firstLineChars="200"/>
        <w:jc w:val="left"/>
        <w:rPr>
          <w:rFonts w:ascii="仿宋" w:hAnsi="仿宋" w:eastAsia="仿宋" w:cs="仿宋"/>
          <w:color w:val="auto"/>
        </w:rPr>
      </w:pPr>
      <w:r>
        <w:rPr>
          <w:rFonts w:hint="eastAsia" w:ascii="仿宋" w:hAnsi="仿宋" w:eastAsia="仿宋" w:cs="仿宋"/>
          <w:color w:val="auto"/>
        </w:rPr>
        <w:t>6.1投标人应仔细阅读招标文件的所有内容，按照招标文件的要求提交投标文件，并对所提供的全部资料的真实性承担法律责任。</w:t>
      </w:r>
    </w:p>
    <w:p>
      <w:pPr>
        <w:pStyle w:val="13"/>
        <w:snapToGrid w:val="0"/>
        <w:spacing w:line="336" w:lineRule="auto"/>
        <w:ind w:firstLine="480" w:firstLineChars="200"/>
        <w:jc w:val="left"/>
        <w:rPr>
          <w:rFonts w:ascii="仿宋" w:hAnsi="仿宋" w:eastAsia="仿宋" w:cs="仿宋"/>
          <w:color w:val="auto"/>
        </w:rPr>
      </w:pPr>
      <w:r>
        <w:rPr>
          <w:rFonts w:hint="eastAsia" w:ascii="仿宋" w:hAnsi="仿宋" w:eastAsia="仿宋" w:cs="仿宋"/>
          <w:color w:val="auto"/>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3"/>
        <w:snapToGrid w:val="0"/>
        <w:spacing w:line="336" w:lineRule="auto"/>
        <w:ind w:firstLine="480" w:firstLineChars="200"/>
        <w:jc w:val="left"/>
        <w:rPr>
          <w:rFonts w:ascii="仿宋" w:hAnsi="仿宋" w:eastAsia="仿宋" w:cs="仿宋"/>
          <w:color w:val="auto"/>
        </w:rPr>
      </w:pPr>
      <w:r>
        <w:rPr>
          <w:rFonts w:hint="eastAsia" w:ascii="仿宋" w:hAnsi="仿宋" w:eastAsia="仿宋" w:cs="仿宋"/>
          <w:color w:val="auto"/>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3"/>
        <w:snapToGrid w:val="0"/>
        <w:spacing w:line="336" w:lineRule="auto"/>
        <w:ind w:firstLine="480" w:firstLineChars="200"/>
        <w:rPr>
          <w:rFonts w:ascii="仿宋" w:hAnsi="仿宋" w:eastAsia="仿宋" w:cs="仿宋"/>
          <w:color w:val="auto"/>
        </w:rPr>
      </w:pPr>
      <w:r>
        <w:rPr>
          <w:rFonts w:hint="eastAsia" w:ascii="仿宋" w:hAnsi="仿宋" w:eastAsia="仿宋" w:cs="仿宋"/>
          <w:color w:val="auto"/>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3"/>
        <w:snapToGrid w:val="0"/>
        <w:spacing w:line="336" w:lineRule="auto"/>
        <w:ind w:firstLine="480" w:firstLineChars="200"/>
        <w:rPr>
          <w:rFonts w:ascii="仿宋" w:hAnsi="仿宋" w:eastAsia="仿宋" w:cs="仿宋"/>
          <w:color w:val="auto"/>
        </w:rPr>
      </w:pPr>
      <w:r>
        <w:rPr>
          <w:rFonts w:hint="eastAsia" w:ascii="仿宋" w:hAnsi="仿宋" w:eastAsia="仿宋" w:cs="仿宋"/>
          <w:color w:val="auto"/>
        </w:rPr>
        <w:t>6.5本项目涉及采购货物必须是全新、未使用过的原装合格正品（包括零部件），如安装或配置了软件的，须为正版软件。</w:t>
      </w:r>
    </w:p>
    <w:p>
      <w:pPr>
        <w:pStyle w:val="13"/>
        <w:snapToGrid w:val="0"/>
        <w:spacing w:line="336" w:lineRule="auto"/>
        <w:ind w:firstLine="480" w:firstLineChars="200"/>
        <w:rPr>
          <w:rFonts w:ascii="仿宋" w:hAnsi="仿宋" w:eastAsia="仿宋" w:cs="仿宋"/>
          <w:color w:val="auto"/>
        </w:rPr>
      </w:pPr>
      <w:r>
        <w:rPr>
          <w:rFonts w:hint="eastAsia" w:ascii="仿宋" w:hAnsi="仿宋" w:eastAsia="仿宋" w:cs="仿宋"/>
          <w:color w:val="auto"/>
        </w:rPr>
        <w:t>6.6国产的货物及其有关服务必须符合中华人民共和国的设计和制造生产标准或行业标准。招标公告有其他要求的，亦应符合其要求。</w:t>
      </w:r>
    </w:p>
    <w:p>
      <w:pPr>
        <w:pStyle w:val="13"/>
        <w:snapToGrid w:val="0"/>
        <w:spacing w:line="336" w:lineRule="auto"/>
        <w:ind w:firstLine="480" w:firstLineChars="200"/>
        <w:rPr>
          <w:rFonts w:ascii="仿宋" w:hAnsi="仿宋" w:eastAsia="仿宋" w:cs="仿宋"/>
          <w:color w:val="auto"/>
        </w:rPr>
      </w:pPr>
      <w:r>
        <w:rPr>
          <w:rFonts w:hint="eastAsia" w:ascii="仿宋" w:hAnsi="仿宋" w:eastAsia="仿宋" w:cs="仿宋"/>
          <w:color w:val="auto"/>
        </w:rPr>
        <w:t>6.7</w:t>
      </w:r>
      <w:r>
        <w:rPr>
          <w:rFonts w:hint="eastAsia" w:ascii="仿宋" w:hAnsi="仿宋" w:eastAsia="仿宋" w:cs="仿宋"/>
          <w:color w:val="auto"/>
          <w:lang w:eastAsia="zh-CN"/>
        </w:rPr>
        <w:t>若投标人拟投产品中有进口货物，</w:t>
      </w:r>
      <w:r>
        <w:rPr>
          <w:rFonts w:hint="eastAsia" w:ascii="仿宋" w:hAnsi="仿宋" w:eastAsia="仿宋" w:cs="仿宋"/>
          <w:color w:val="auto"/>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7.质疑和投诉</w:t>
      </w:r>
    </w:p>
    <w:p>
      <w:pPr>
        <w:pStyle w:val="13"/>
        <w:snapToGrid w:val="0"/>
        <w:spacing w:line="336" w:lineRule="auto"/>
        <w:ind w:firstLine="480" w:firstLineChars="200"/>
        <w:rPr>
          <w:rFonts w:ascii="仿宋" w:hAnsi="仿宋" w:eastAsia="仿宋" w:cs="仿宋"/>
          <w:bCs/>
          <w:color w:val="auto"/>
        </w:rPr>
      </w:pPr>
      <w:r>
        <w:rPr>
          <w:rFonts w:hint="eastAsia" w:ascii="仿宋" w:hAnsi="仿宋" w:eastAsia="仿宋" w:cs="仿宋"/>
          <w:bCs/>
          <w:color w:val="auto"/>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p>
      <w:pPr>
        <w:pStyle w:val="13"/>
        <w:snapToGrid w:val="0"/>
        <w:spacing w:line="336" w:lineRule="auto"/>
        <w:ind w:firstLine="480" w:firstLineChars="200"/>
        <w:rPr>
          <w:rFonts w:ascii="仿宋" w:hAnsi="仿宋" w:eastAsia="仿宋" w:cs="仿宋"/>
          <w:color w:val="auto"/>
        </w:rPr>
      </w:pPr>
      <w:r>
        <w:rPr>
          <w:rFonts w:hint="eastAsia" w:ascii="仿宋" w:hAnsi="仿宋" w:eastAsia="仿宋" w:cs="仿宋"/>
          <w:bCs/>
          <w:color w:val="auto"/>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color w:val="auto"/>
        </w:rPr>
        <w:t>其来源或线索，便于有关单位调查、答复和处理。</w:t>
      </w:r>
    </w:p>
    <w:p>
      <w:pPr>
        <w:pStyle w:val="13"/>
        <w:snapToGrid w:val="0"/>
        <w:spacing w:line="336" w:lineRule="auto"/>
        <w:ind w:firstLine="480" w:firstLineChars="200"/>
        <w:rPr>
          <w:rFonts w:ascii="仿宋" w:hAnsi="仿宋" w:eastAsia="仿宋" w:cs="仿宋"/>
          <w:color w:val="auto"/>
          <w:szCs w:val="24"/>
        </w:rPr>
      </w:pPr>
      <w:r>
        <w:rPr>
          <w:rFonts w:hint="eastAsia" w:ascii="仿宋" w:hAnsi="仿宋" w:eastAsia="仿宋" w:cs="仿宋"/>
          <w:color w:val="auto"/>
        </w:rPr>
        <w:t>7.3</w:t>
      </w:r>
      <w:r>
        <w:rPr>
          <w:rFonts w:hint="eastAsia" w:ascii="仿宋" w:hAnsi="仿宋" w:eastAsia="仿宋" w:cs="仿宋"/>
          <w:color w:val="auto"/>
          <w:szCs w:val="24"/>
        </w:rPr>
        <w:t>采购代理机构与采购人研究后，对认为有必要回答的问题，采购人和采购代理机构将补充（更正）以网上发布公告的形式通知所有投标人，补充（更正）是招标文件的组成部分。</w:t>
      </w:r>
    </w:p>
    <w:p>
      <w:pPr>
        <w:pStyle w:val="13"/>
        <w:snapToGrid w:val="0"/>
        <w:spacing w:line="336" w:lineRule="auto"/>
        <w:ind w:firstLine="482" w:firstLineChars="200"/>
        <w:rPr>
          <w:rFonts w:ascii="仿宋" w:hAnsi="仿宋" w:eastAsia="仿宋" w:cs="仿宋"/>
          <w:b/>
          <w:color w:val="auto"/>
        </w:rPr>
      </w:pPr>
      <w:r>
        <w:rPr>
          <w:rFonts w:hint="eastAsia" w:ascii="仿宋" w:hAnsi="仿宋" w:eastAsia="仿宋" w:cs="仿宋"/>
          <w:b/>
          <w:bCs/>
          <w:color w:val="auto"/>
          <w:szCs w:val="24"/>
        </w:rPr>
        <w:t>7.4</w:t>
      </w:r>
      <w:r>
        <w:rPr>
          <w:rFonts w:hint="eastAsia" w:ascii="仿宋" w:hAnsi="仿宋" w:eastAsia="仿宋" w:cs="仿宋"/>
          <w:b/>
          <w:bCs/>
          <w:color w:val="auto"/>
          <w:u w:val="single"/>
        </w:rPr>
        <w:t>质疑供应商在收到该更正（补充）公告后应于1日内，以书面或传真形式（签署意见并加盖公章）向采购代理机构回函给予确认。过期未回复的，视为默认接受。</w:t>
      </w:r>
    </w:p>
    <w:p>
      <w:pPr>
        <w:snapToGrid w:val="0"/>
        <w:spacing w:line="420" w:lineRule="exact"/>
        <w:ind w:firstLine="443" w:firstLineChars="147"/>
        <w:jc w:val="center"/>
        <w:rPr>
          <w:rFonts w:ascii="仿宋" w:hAnsi="仿宋" w:eastAsia="仿宋" w:cs="仿宋"/>
          <w:b/>
          <w:bCs/>
          <w:color w:val="auto"/>
          <w:kern w:val="2"/>
          <w:sz w:val="30"/>
          <w:szCs w:val="30"/>
        </w:rPr>
      </w:pPr>
    </w:p>
    <w:p>
      <w:pPr>
        <w:snapToGrid w:val="0"/>
        <w:spacing w:line="420" w:lineRule="exact"/>
        <w:ind w:firstLine="443" w:firstLineChars="147"/>
        <w:jc w:val="center"/>
        <w:rPr>
          <w:rFonts w:ascii="仿宋" w:hAnsi="仿宋" w:eastAsia="仿宋" w:cs="仿宋"/>
          <w:b/>
          <w:bCs/>
          <w:color w:val="auto"/>
          <w:kern w:val="2"/>
          <w:sz w:val="30"/>
          <w:szCs w:val="30"/>
        </w:rPr>
      </w:pPr>
    </w:p>
    <w:p>
      <w:pPr>
        <w:pStyle w:val="3"/>
        <w:spacing w:before="0" w:after="0" w:line="420" w:lineRule="exact"/>
        <w:jc w:val="center"/>
        <w:rPr>
          <w:rFonts w:ascii="仿宋" w:hAnsi="仿宋" w:eastAsia="仿宋" w:cs="仿宋"/>
          <w:color w:val="auto"/>
          <w:sz w:val="30"/>
          <w:szCs w:val="30"/>
        </w:rPr>
      </w:pPr>
      <w:r>
        <w:rPr>
          <w:rFonts w:hint="eastAsia" w:ascii="仿宋" w:hAnsi="仿宋" w:eastAsia="仿宋" w:cs="仿宋"/>
          <w:color w:val="auto"/>
          <w:sz w:val="30"/>
          <w:szCs w:val="30"/>
        </w:rPr>
        <w:t>二、招标文件</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8.招标文件的构成</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本招标文件由以下部分组成：</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8.1招标公告；</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8.2投标须知；</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8.3评标办法及评分标准；</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8.4采购需求；</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8.5应提交的有关格式范例；</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8.6本项目招标文件的澄清、答复、修改、补充的内容。</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9.投标人的风险</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 xml:space="preserve">10.招标文件的澄清与修改 </w:t>
      </w:r>
    </w:p>
    <w:p>
      <w:pPr>
        <w:pStyle w:val="13"/>
        <w:snapToGrid w:val="0"/>
        <w:spacing w:line="420" w:lineRule="exact"/>
        <w:ind w:firstLine="480" w:firstLineChars="200"/>
        <w:rPr>
          <w:rFonts w:ascii="仿宋" w:hAnsi="仿宋" w:eastAsia="仿宋" w:cs="仿宋"/>
          <w:color w:val="auto"/>
          <w:szCs w:val="24"/>
        </w:rPr>
      </w:pPr>
      <w:r>
        <w:rPr>
          <w:rFonts w:hint="eastAsia" w:ascii="仿宋" w:hAnsi="仿宋" w:eastAsia="仿宋" w:cs="仿宋"/>
          <w:color w:val="auto"/>
        </w:rPr>
        <w:t>10.1</w:t>
      </w:r>
      <w:r>
        <w:rPr>
          <w:rFonts w:hint="eastAsia" w:ascii="仿宋" w:hAnsi="仿宋" w:eastAsia="仿宋" w:cs="仿宋"/>
          <w:bCs/>
          <w:color w:val="auto"/>
        </w:rPr>
        <w:t>投标人下载招标文件后，应认真阅读本招标文件的所有内容，发现其中有误或有不合理要求的，投标人必须按前附表规定的时间前以书面形式</w:t>
      </w:r>
      <w:r>
        <w:rPr>
          <w:rFonts w:hint="eastAsia" w:ascii="仿宋" w:hAnsi="仿宋" w:eastAsia="仿宋" w:cs="仿宋"/>
          <w:color w:val="auto"/>
        </w:rPr>
        <w:t>(包括书面文字、传真等)</w:t>
      </w:r>
      <w:r>
        <w:rPr>
          <w:rFonts w:hint="eastAsia" w:ascii="仿宋" w:hAnsi="仿宋" w:eastAsia="仿宋" w:cs="仿宋"/>
          <w:bCs/>
          <w:color w:val="auto"/>
        </w:rPr>
        <w:t>要求采购人澄清</w:t>
      </w:r>
      <w:r>
        <w:rPr>
          <w:rFonts w:hint="eastAsia" w:ascii="仿宋" w:hAnsi="仿宋" w:eastAsia="仿宋" w:cs="仿宋"/>
          <w:color w:val="auto"/>
        </w:rPr>
        <w:t>。逾期提出的，采购人将不予受理。</w:t>
      </w:r>
      <w:r>
        <w:rPr>
          <w:rFonts w:hint="eastAsia" w:ascii="仿宋" w:hAnsi="仿宋" w:eastAsia="仿宋" w:cs="仿宋"/>
          <w:color w:val="auto"/>
          <w:szCs w:val="24"/>
        </w:rPr>
        <w:t>采购代理机构与采购人研究后，对认为有必要回答的问题，采购人将补充（更正内容）以网上发布公告的形式通知所有投标人，补充（更正）内容是招标文件的组成部分。投标人可以通过武义县公共资源交易网自行下载，以确认已阅知该澄清或修改内容，否则，由此导致的风险由投标人自行承担，采购人不承担任何责任。</w:t>
      </w:r>
    </w:p>
    <w:p>
      <w:pPr>
        <w:pStyle w:val="13"/>
        <w:snapToGrid w:val="0"/>
        <w:spacing w:line="420" w:lineRule="exact"/>
        <w:ind w:firstLine="480" w:firstLineChars="200"/>
        <w:rPr>
          <w:rFonts w:ascii="仿宋" w:hAnsi="仿宋" w:eastAsia="仿宋" w:cs="仿宋"/>
          <w:color w:val="auto"/>
          <w:szCs w:val="24"/>
        </w:rPr>
      </w:pPr>
      <w:r>
        <w:rPr>
          <w:rFonts w:hint="eastAsia" w:ascii="仿宋" w:hAnsi="仿宋" w:eastAsia="仿宋" w:cs="仿宋"/>
          <w:color w:val="auto"/>
          <w:szCs w:val="24"/>
        </w:rPr>
        <w:t>10.2</w:t>
      </w:r>
      <w:r>
        <w:rPr>
          <w:rFonts w:hint="eastAsia" w:ascii="仿宋" w:hAnsi="仿宋" w:eastAsia="仿宋" w:cs="仿宋"/>
          <w:color w:val="auto"/>
        </w:rPr>
        <w:t>招标文件澄清、答复、修改、补充的内容为招标文件的组成部分。当招标文件与招标文件的答复、澄清、修改、补充公告就同一内容的表述不一致时，以最后发出的文件或公告或通知为准。</w:t>
      </w:r>
    </w:p>
    <w:p>
      <w:pPr>
        <w:pStyle w:val="13"/>
        <w:snapToGrid w:val="0"/>
        <w:spacing w:line="420" w:lineRule="exact"/>
        <w:ind w:firstLine="480" w:firstLineChars="200"/>
        <w:rPr>
          <w:rFonts w:ascii="仿宋" w:hAnsi="仿宋" w:eastAsia="仿宋" w:cs="仿宋"/>
          <w:color w:val="auto"/>
        </w:rPr>
      </w:pPr>
      <w:r>
        <w:rPr>
          <w:rFonts w:hint="eastAsia" w:ascii="仿宋" w:hAnsi="仿宋" w:eastAsia="仿宋" w:cs="仿宋"/>
          <w:color w:val="auto"/>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3"/>
        <w:snapToGrid w:val="0"/>
        <w:spacing w:line="420" w:lineRule="exact"/>
        <w:ind w:firstLine="480" w:firstLineChars="200"/>
        <w:rPr>
          <w:rFonts w:ascii="仿宋" w:hAnsi="仿宋" w:eastAsia="仿宋" w:cs="仿宋"/>
          <w:color w:val="auto"/>
        </w:rPr>
      </w:pPr>
      <w:r>
        <w:rPr>
          <w:rFonts w:hint="eastAsia" w:ascii="仿宋" w:hAnsi="仿宋" w:eastAsia="仿宋" w:cs="仿宋"/>
          <w:color w:val="auto"/>
        </w:rPr>
        <w:t>10.4为使投标人在编制投标文件时，把补充公告内容进行研究，采购代理机构可以酌情推迟递交投标文件的截止时间。</w:t>
      </w:r>
    </w:p>
    <w:p>
      <w:pPr>
        <w:pStyle w:val="13"/>
        <w:snapToGrid w:val="0"/>
        <w:spacing w:line="420" w:lineRule="exact"/>
        <w:ind w:firstLine="480" w:firstLineChars="200"/>
        <w:rPr>
          <w:rFonts w:ascii="仿宋" w:hAnsi="仿宋" w:eastAsia="仿宋" w:cs="仿宋"/>
          <w:color w:val="auto"/>
        </w:rPr>
      </w:pPr>
      <w:r>
        <w:rPr>
          <w:rFonts w:hint="eastAsia" w:ascii="仿宋" w:hAnsi="仿宋" w:eastAsia="仿宋" w:cs="仿宋"/>
          <w:color w:val="auto"/>
        </w:rPr>
        <w:t>10.5投标人一旦参与本次招标活动，即被视为接受了本招标文件的所有内容，如有任何异议，均须在答疑截止时间前提出。</w:t>
      </w:r>
    </w:p>
    <w:p>
      <w:pPr>
        <w:pStyle w:val="3"/>
        <w:spacing w:before="0" w:after="0" w:line="420" w:lineRule="exact"/>
        <w:jc w:val="center"/>
        <w:rPr>
          <w:rFonts w:ascii="仿宋" w:hAnsi="仿宋" w:eastAsia="仿宋" w:cs="仿宋"/>
          <w:color w:val="auto"/>
          <w:sz w:val="30"/>
          <w:szCs w:val="30"/>
        </w:rPr>
      </w:pPr>
      <w:bookmarkStart w:id="3" w:name="_Toc125344505"/>
      <w:r>
        <w:rPr>
          <w:rFonts w:hint="eastAsia" w:ascii="仿宋" w:hAnsi="仿宋" w:eastAsia="仿宋" w:cs="仿宋"/>
          <w:color w:val="auto"/>
          <w:sz w:val="30"/>
          <w:szCs w:val="30"/>
        </w:rPr>
        <w:t>三、投标文件编制</w:t>
      </w:r>
      <w:bookmarkEnd w:id="3"/>
      <w:r>
        <w:rPr>
          <w:rFonts w:hint="eastAsia" w:ascii="仿宋" w:hAnsi="仿宋" w:eastAsia="仿宋" w:cs="仿宋"/>
          <w:color w:val="auto"/>
          <w:sz w:val="30"/>
          <w:szCs w:val="30"/>
        </w:rPr>
        <w:t>和提交</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11.投标文件的组成</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w:t>
      </w:r>
      <w:r>
        <w:rPr>
          <w:rFonts w:hint="eastAsia" w:ascii="仿宋" w:hAnsi="仿宋" w:eastAsia="仿宋" w:cs="仿宋"/>
          <w:color w:val="auto"/>
          <w:sz w:val="24"/>
          <w:lang w:eastAsia="zh-CN"/>
        </w:rPr>
        <w:t>资格文件</w:t>
      </w:r>
      <w:r>
        <w:rPr>
          <w:rFonts w:hint="eastAsia" w:ascii="仿宋" w:hAnsi="仿宋" w:eastAsia="仿宋" w:cs="仿宋"/>
          <w:color w:val="auto"/>
          <w:sz w:val="24"/>
        </w:rPr>
        <w:t>、商务技术文件、报价文件三部分组成。详见前附表。</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12.投标文件的语言及计量</w:t>
      </w:r>
    </w:p>
    <w:p>
      <w:pPr>
        <w:pStyle w:val="13"/>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pPr>
        <w:pStyle w:val="13"/>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12.2投标计量单位，招标文件已有明确规定的，使用招标文件规定的计量单位；招标文件没有规定的，应采用中华人民共和国法定计量单位（货币单位：人民币元），否则视同未响应。</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13.</w:t>
      </w:r>
      <w:r>
        <w:rPr>
          <w:rFonts w:hint="eastAsia" w:ascii="仿宋" w:hAnsi="仿宋" w:eastAsia="仿宋" w:cs="仿宋"/>
          <w:b/>
          <w:color w:val="auto"/>
          <w:sz w:val="24"/>
          <w:szCs w:val="24"/>
        </w:rPr>
        <w:t>投标</w:t>
      </w:r>
      <w:r>
        <w:rPr>
          <w:rFonts w:hint="eastAsia" w:ascii="仿宋" w:hAnsi="仿宋" w:eastAsia="仿宋" w:cs="仿宋"/>
          <w:b/>
          <w:color w:val="auto"/>
          <w:sz w:val="24"/>
        </w:rPr>
        <w:t>报价</w:t>
      </w:r>
    </w:p>
    <w:p>
      <w:pPr>
        <w:pStyle w:val="13"/>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13.1投标报价应按招标文件中相关附表格式填写。本项目的投标应以人民币计。</w:t>
      </w:r>
    </w:p>
    <w:p>
      <w:pPr>
        <w:pStyle w:val="13"/>
        <w:spacing w:line="360" w:lineRule="auto"/>
        <w:ind w:firstLine="480" w:firstLineChars="200"/>
        <w:rPr>
          <w:rFonts w:ascii="仿宋" w:hAnsi="仿宋" w:eastAsia="仿宋" w:cs="仿宋"/>
          <w:color w:val="auto"/>
        </w:rPr>
      </w:pPr>
      <w:r>
        <w:rPr>
          <w:rFonts w:hint="eastAsia" w:ascii="仿宋" w:hAnsi="仿宋" w:eastAsia="仿宋" w:cs="仿宋"/>
          <w:color w:val="auto"/>
        </w:rPr>
        <w:t>13.2投标报价应包括市场调研、数据整理、外业调查、资料费、成果验收费、交通费、相关专家评审费、成果印制费、售后服务费、差旅费、招标代理费、利润、税费及工作所发生的一切费用。投标报价（包括单价、总价等）均保留到小数点后两位（如：100.88元）。投标人必须报有合理单价，其将作为设备增减的主要依据。如有漏项，视同已包含在其它项目中，合同总价和单价不做调整。</w:t>
      </w:r>
    </w:p>
    <w:p>
      <w:pPr>
        <w:pStyle w:val="13"/>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13.3投标文件只允许有一个报价，有选择的或有条件的报价将不予接受。</w:t>
      </w:r>
    </w:p>
    <w:p>
      <w:pPr>
        <w:pStyle w:val="13"/>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13.4招标文件未列明，而投标人认为必需的费用也需列入报价。</w:t>
      </w:r>
    </w:p>
    <w:p>
      <w:pPr>
        <w:pStyle w:val="13"/>
        <w:spacing w:line="360" w:lineRule="auto"/>
        <w:ind w:firstLine="480" w:firstLineChars="200"/>
        <w:rPr>
          <w:rFonts w:ascii="仿宋" w:hAnsi="仿宋" w:eastAsia="仿宋" w:cs="仿宋"/>
          <w:color w:val="auto"/>
          <w:szCs w:val="24"/>
        </w:rPr>
      </w:pPr>
      <w:r>
        <w:rPr>
          <w:rFonts w:hint="eastAsia" w:ascii="仿宋" w:hAnsi="仿宋" w:eastAsia="仿宋" w:cs="仿宋"/>
          <w:color w:val="auto"/>
        </w:rPr>
        <w:t>13.5</w:t>
      </w:r>
      <w:r>
        <w:rPr>
          <w:rFonts w:hint="eastAsia" w:ascii="仿宋" w:hAnsi="仿宋" w:eastAsia="仿宋" w:cs="仿宋"/>
          <w:color w:val="auto"/>
          <w:szCs w:val="24"/>
        </w:rPr>
        <w:t>中标后，中标人所填写的单价在合同实施期间不因市场变化因素而变动，投标人在计算报价时应考虑一定的风险系数。</w:t>
      </w:r>
    </w:p>
    <w:p>
      <w:pPr>
        <w:pStyle w:val="13"/>
        <w:snapToGrid w:val="0"/>
        <w:spacing w:line="360" w:lineRule="auto"/>
        <w:ind w:firstLine="480" w:firstLineChars="200"/>
        <w:rPr>
          <w:rFonts w:ascii="仿宋" w:hAnsi="仿宋" w:eastAsia="仿宋" w:cs="仿宋"/>
          <w:bCs/>
          <w:color w:val="auto"/>
        </w:rPr>
      </w:pPr>
      <w:r>
        <w:rPr>
          <w:rFonts w:hint="eastAsia" w:ascii="仿宋" w:hAnsi="仿宋" w:eastAsia="仿宋" w:cs="仿宋"/>
          <w:bCs/>
          <w:color w:val="auto"/>
        </w:rPr>
        <w:t>13.6投标人若有方案和报价未被唱标，应在开标时及时声明或提请采购代理机构宣读，否则是投标人自己的风险，采购代理机构对此不承担任何责任。</w:t>
      </w:r>
    </w:p>
    <w:p>
      <w:pPr>
        <w:snapToGrid w:val="0"/>
        <w:spacing w:line="336" w:lineRule="auto"/>
        <w:ind w:firstLine="482" w:firstLineChars="200"/>
        <w:jc w:val="left"/>
        <w:outlineLvl w:val="1"/>
        <w:rPr>
          <w:rFonts w:ascii="仿宋" w:hAnsi="仿宋" w:eastAsia="仿宋" w:cs="仿宋"/>
          <w:b/>
          <w:color w:val="auto"/>
          <w:sz w:val="24"/>
          <w:szCs w:val="24"/>
        </w:rPr>
      </w:pPr>
      <w:r>
        <w:rPr>
          <w:rFonts w:hint="eastAsia" w:ascii="仿宋" w:hAnsi="仿宋" w:eastAsia="仿宋" w:cs="仿宋"/>
          <w:b/>
          <w:color w:val="auto"/>
          <w:sz w:val="24"/>
          <w:szCs w:val="24"/>
        </w:rPr>
        <w:t>14.投标</w:t>
      </w:r>
      <w:r>
        <w:rPr>
          <w:rFonts w:hint="eastAsia" w:ascii="仿宋" w:hAnsi="仿宋" w:eastAsia="仿宋" w:cs="仿宋"/>
          <w:b/>
          <w:color w:val="auto"/>
          <w:sz w:val="24"/>
        </w:rPr>
        <w:t>文件</w:t>
      </w:r>
      <w:r>
        <w:rPr>
          <w:rFonts w:hint="eastAsia" w:ascii="仿宋" w:hAnsi="仿宋" w:eastAsia="仿宋" w:cs="仿宋"/>
          <w:b/>
          <w:color w:val="auto"/>
          <w:sz w:val="24"/>
          <w:szCs w:val="24"/>
        </w:rPr>
        <w:t>的有效期</w:t>
      </w:r>
    </w:p>
    <w:p>
      <w:pPr>
        <w:pStyle w:val="13"/>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14.1</w:t>
      </w:r>
      <w:r>
        <w:rPr>
          <w:rFonts w:hint="eastAsia" w:ascii="仿宋" w:hAnsi="仿宋" w:eastAsia="仿宋" w:cs="仿宋"/>
          <w:color w:val="auto"/>
          <w:szCs w:val="21"/>
        </w:rPr>
        <w:t>投标有效期为从投标截止之日算起的日历天数，</w:t>
      </w:r>
      <w:r>
        <w:rPr>
          <w:rFonts w:hint="eastAsia" w:ascii="仿宋" w:hAnsi="仿宋" w:eastAsia="仿宋" w:cs="仿宋"/>
          <w:color w:val="auto"/>
        </w:rPr>
        <w:t>自投标截止日起90天投标书应保持有效。如采购人认为必要，可延长投标有效期。有效期短于这个规定期限的投标将被拒绝。</w:t>
      </w:r>
    </w:p>
    <w:p>
      <w:pPr>
        <w:pStyle w:val="13"/>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14.2在特殊情况下，采购人可与投标人协商延长投标书的有效期，这种要求和答复均以书面形式进行。</w:t>
      </w:r>
    </w:p>
    <w:p>
      <w:pPr>
        <w:pStyle w:val="13"/>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14.3投标人可拒绝接受延期要求，但其投标在原投标有效期满后不再有效。同意延长有效期的投标人不能修改投标文件。 </w:t>
      </w:r>
    </w:p>
    <w:p>
      <w:pPr>
        <w:pStyle w:val="13"/>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14.4中标人的投标文件自开标之日起至合同履行完毕止均应保持有效。</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15.投标</w:t>
      </w:r>
      <w:r>
        <w:rPr>
          <w:rFonts w:hint="eastAsia" w:ascii="仿宋" w:hAnsi="仿宋" w:eastAsia="仿宋" w:cs="仿宋"/>
          <w:b/>
          <w:color w:val="auto"/>
          <w:sz w:val="24"/>
          <w:szCs w:val="24"/>
        </w:rPr>
        <w:t>保证金</w:t>
      </w:r>
    </w:p>
    <w:p>
      <w:pPr>
        <w:snapToGrid w:val="0"/>
        <w:spacing w:line="360" w:lineRule="auto"/>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15.1本项目免收投标保证金。</w:t>
      </w:r>
    </w:p>
    <w:p>
      <w:pPr>
        <w:snapToGrid w:val="0"/>
        <w:spacing w:line="360" w:lineRule="auto"/>
        <w:ind w:firstLine="480" w:firstLineChars="200"/>
        <w:jc w:val="left"/>
        <w:outlineLvl w:val="0"/>
        <w:rPr>
          <w:rFonts w:ascii="仿宋" w:hAnsi="仿宋" w:eastAsia="仿宋" w:cs="仿宋"/>
          <w:color w:val="auto"/>
          <w:sz w:val="24"/>
        </w:rPr>
      </w:pPr>
      <w:r>
        <w:rPr>
          <w:rFonts w:hint="eastAsia" w:ascii="仿宋" w:hAnsi="仿宋" w:eastAsia="仿宋" w:cs="仿宋"/>
          <w:color w:val="auto"/>
          <w:sz w:val="24"/>
          <w:szCs w:val="24"/>
        </w:rPr>
        <w:t>15.2如投标人有下列情形</w:t>
      </w:r>
      <w:r>
        <w:rPr>
          <w:rFonts w:hint="eastAsia" w:ascii="仿宋" w:hAnsi="仿宋" w:eastAsia="仿宋" w:cs="仿宋"/>
          <w:color w:val="auto"/>
          <w:sz w:val="24"/>
        </w:rPr>
        <w:t>之一的，应当按照本项目采购预算价2%的标准承担因此给采购单位造成的损失的赔偿责任及相应的法律责任：</w:t>
      </w:r>
    </w:p>
    <w:p>
      <w:pPr>
        <w:snapToGrid w:val="0"/>
        <w:spacing w:line="360" w:lineRule="auto"/>
        <w:ind w:firstLine="480" w:firstLineChars="200"/>
        <w:jc w:val="left"/>
        <w:outlineLvl w:val="0"/>
        <w:rPr>
          <w:rFonts w:ascii="仿宋" w:hAnsi="仿宋" w:eastAsia="仿宋" w:cs="仿宋"/>
          <w:bCs/>
          <w:color w:val="auto"/>
          <w:sz w:val="24"/>
          <w:szCs w:val="24"/>
        </w:rPr>
      </w:pPr>
      <w:r>
        <w:rPr>
          <w:rFonts w:hint="eastAsia" w:ascii="仿宋" w:hAnsi="仿宋" w:eastAsia="仿宋" w:cs="仿宋"/>
          <w:color w:val="auto"/>
          <w:sz w:val="24"/>
        </w:rPr>
        <w:t>15.3.1投标人在投标有效期内撤回投标</w:t>
      </w:r>
      <w:r>
        <w:rPr>
          <w:rFonts w:hint="eastAsia" w:ascii="仿宋" w:hAnsi="仿宋" w:eastAsia="仿宋" w:cs="仿宋"/>
          <w:bCs/>
          <w:color w:val="auto"/>
          <w:sz w:val="24"/>
          <w:szCs w:val="24"/>
        </w:rPr>
        <w:t>文件的；</w:t>
      </w:r>
    </w:p>
    <w:p>
      <w:pPr>
        <w:snapToGrid w:val="0"/>
        <w:spacing w:line="360" w:lineRule="auto"/>
        <w:ind w:firstLine="480" w:firstLineChars="200"/>
        <w:jc w:val="left"/>
        <w:rPr>
          <w:rFonts w:ascii="仿宋" w:hAnsi="仿宋" w:eastAsia="仿宋" w:cs="仿宋"/>
          <w:bCs/>
          <w:color w:val="auto"/>
          <w:sz w:val="24"/>
          <w:szCs w:val="24"/>
        </w:rPr>
      </w:pPr>
      <w:r>
        <w:rPr>
          <w:rFonts w:hint="eastAsia" w:ascii="仿宋" w:hAnsi="仿宋" w:eastAsia="仿宋" w:cs="仿宋"/>
          <w:bCs/>
          <w:color w:val="auto"/>
          <w:sz w:val="24"/>
          <w:szCs w:val="24"/>
        </w:rPr>
        <w:t>15.3.2投标人在投标过程中弄虚作假，提供虚假材料的；</w:t>
      </w:r>
    </w:p>
    <w:p>
      <w:pPr>
        <w:snapToGrid w:val="0"/>
        <w:spacing w:line="360" w:lineRule="auto"/>
        <w:ind w:firstLine="480" w:firstLineChars="200"/>
        <w:jc w:val="left"/>
        <w:rPr>
          <w:rFonts w:ascii="仿宋" w:hAnsi="仿宋" w:eastAsia="仿宋" w:cs="仿宋"/>
          <w:bCs/>
          <w:color w:val="auto"/>
          <w:sz w:val="24"/>
          <w:szCs w:val="24"/>
        </w:rPr>
      </w:pPr>
      <w:r>
        <w:rPr>
          <w:rFonts w:hint="eastAsia" w:ascii="仿宋" w:hAnsi="仿宋" w:eastAsia="仿宋" w:cs="仿宋"/>
          <w:bCs/>
          <w:color w:val="auto"/>
          <w:sz w:val="24"/>
          <w:szCs w:val="24"/>
        </w:rPr>
        <w:t>15.3.3中标人无正当理由在规定的时间内不与采购人签订合同的；</w:t>
      </w:r>
    </w:p>
    <w:p>
      <w:pPr>
        <w:snapToGrid w:val="0"/>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15.3.4</w:t>
      </w:r>
      <w:r>
        <w:rPr>
          <w:rFonts w:hint="eastAsia" w:ascii="仿宋" w:hAnsi="仿宋" w:eastAsia="仿宋" w:cs="仿宋"/>
          <w:color w:val="auto"/>
          <w:sz w:val="24"/>
          <w:szCs w:val="24"/>
        </w:rPr>
        <w:t>将中标项目转让给他人或者在投标文件中未说明且未经采购人同意，将中标项目分包给他人的；</w:t>
      </w:r>
    </w:p>
    <w:p>
      <w:pPr>
        <w:snapToGrid w:val="0"/>
        <w:spacing w:line="360" w:lineRule="auto"/>
        <w:ind w:firstLine="480" w:firstLineChars="200"/>
        <w:rPr>
          <w:rFonts w:ascii="仿宋" w:hAnsi="仿宋" w:eastAsia="仿宋" w:cs="仿宋"/>
          <w:b/>
          <w:color w:val="auto"/>
          <w:sz w:val="24"/>
          <w:szCs w:val="24"/>
        </w:rPr>
      </w:pPr>
      <w:r>
        <w:rPr>
          <w:rFonts w:hint="eastAsia" w:ascii="仿宋" w:hAnsi="仿宋" w:eastAsia="仿宋" w:cs="仿宋"/>
          <w:bCs/>
          <w:color w:val="auto"/>
          <w:sz w:val="24"/>
          <w:szCs w:val="24"/>
        </w:rPr>
        <w:t>15.3</w:t>
      </w:r>
      <w:r>
        <w:rPr>
          <w:rFonts w:hint="eastAsia" w:ascii="仿宋" w:hAnsi="仿宋" w:eastAsia="仿宋" w:cs="仿宋"/>
          <w:color w:val="auto"/>
          <w:sz w:val="24"/>
          <w:szCs w:val="24"/>
        </w:rPr>
        <w:t>.5其他严重扰乱招投标程序的；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15.3.6向有关人员行贿或者采取其他不正当手段谋取中标的；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15.3.7中标人无正当理由放弃中标的；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15.3.8投标人质疑投诉提供虚假情况；</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15.3.9存在法律、法规规定的其它损害采购人或采购单位利益或社会公共利益的情形的。</w:t>
      </w:r>
    </w:p>
    <w:p>
      <w:pPr>
        <w:snapToGrid w:val="0"/>
        <w:spacing w:line="336" w:lineRule="auto"/>
        <w:ind w:firstLine="482" w:firstLineChars="200"/>
        <w:jc w:val="left"/>
        <w:outlineLvl w:val="1"/>
        <w:rPr>
          <w:rFonts w:ascii="仿宋" w:hAnsi="仿宋" w:eastAsia="仿宋" w:cs="仿宋"/>
          <w:b/>
          <w:color w:val="auto"/>
          <w:sz w:val="24"/>
          <w:szCs w:val="24"/>
        </w:rPr>
      </w:pPr>
      <w:r>
        <w:rPr>
          <w:rFonts w:hint="eastAsia" w:ascii="仿宋" w:hAnsi="仿宋" w:eastAsia="仿宋" w:cs="仿宋"/>
          <w:b/>
          <w:color w:val="auto"/>
          <w:sz w:val="24"/>
          <w:szCs w:val="24"/>
        </w:rPr>
        <w:t>16.投标文件的制作</w:t>
      </w:r>
    </w:p>
    <w:p>
      <w:pPr>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16.1投标人应按招标文件前附表规定的内容编制投标文件。</w:t>
      </w:r>
    </w:p>
    <w:p>
      <w:pPr>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16.2投标人应按本招标文件规定的格式和顺序编制投标文件并标注页码，投标文件内容不完整、编排混乱导致投标文件被误读、漏读或者查找不到相关内容的，是投标人的责任。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仿宋" w:hAnsi="仿宋" w:eastAsia="仿宋" w:cs="仿宋"/>
          <w:b/>
          <w:color w:val="auto"/>
          <w:sz w:val="24"/>
          <w:szCs w:val="24"/>
        </w:rPr>
      </w:pPr>
      <w:r>
        <w:rPr>
          <w:rFonts w:hint="eastAsia" w:ascii="仿宋" w:hAnsi="仿宋" w:eastAsia="仿宋" w:cs="仿宋"/>
          <w:color w:val="auto"/>
          <w:sz w:val="24"/>
          <w:szCs w:val="24"/>
        </w:rPr>
        <w:t>16.3投标文件须由投标人在规定位置盖章，投标人应写全称。</w:t>
      </w:r>
      <w:r>
        <w:rPr>
          <w:rFonts w:hint="eastAsia" w:ascii="仿宋" w:hAnsi="仿宋" w:eastAsia="仿宋" w:cs="仿宋"/>
          <w:b/>
          <w:color w:val="auto"/>
          <w:sz w:val="24"/>
          <w:szCs w:val="24"/>
        </w:rPr>
        <w:t>电子投标文件中所有加盖公章均采用CA签章。</w:t>
      </w:r>
    </w:p>
    <w:p>
      <w:pPr>
        <w:snapToGrid w:val="0"/>
        <w:spacing w:line="360" w:lineRule="auto"/>
        <w:ind w:firstLine="480" w:firstLineChars="200"/>
        <w:jc w:val="left"/>
        <w:rPr>
          <w:rFonts w:ascii="仿宋" w:hAnsi="仿宋" w:eastAsia="仿宋" w:cs="仿宋"/>
          <w:b/>
          <w:color w:val="auto"/>
          <w:sz w:val="24"/>
          <w:szCs w:val="24"/>
        </w:rPr>
      </w:pPr>
      <w:r>
        <w:rPr>
          <w:rFonts w:hint="eastAsia" w:ascii="仿宋" w:hAnsi="仿宋" w:eastAsia="仿宋" w:cs="仿宋"/>
          <w:color w:val="auto"/>
          <w:sz w:val="24"/>
          <w:szCs w:val="24"/>
        </w:rPr>
        <w:t>16.4投标文件不得涂改，若有修改错漏处，须加盖单位公章。投标文件因表达不清所引起的后果由投标人负责。</w:t>
      </w:r>
    </w:p>
    <w:p>
      <w:pPr>
        <w:snapToGrid w:val="0"/>
        <w:spacing w:line="360" w:lineRule="auto"/>
        <w:ind w:firstLine="480" w:firstLineChars="200"/>
        <w:jc w:val="left"/>
        <w:rPr>
          <w:rFonts w:ascii="仿宋" w:hAnsi="仿宋" w:eastAsia="仿宋" w:cs="仿宋"/>
          <w:bCs/>
          <w:color w:val="auto"/>
          <w:sz w:val="24"/>
          <w:szCs w:val="24"/>
        </w:rPr>
      </w:pPr>
      <w:r>
        <w:rPr>
          <w:rFonts w:hint="eastAsia" w:ascii="仿宋" w:hAnsi="仿宋" w:eastAsia="仿宋" w:cs="仿宋"/>
          <w:bCs/>
          <w:color w:val="auto"/>
          <w:sz w:val="24"/>
          <w:szCs w:val="24"/>
        </w:rPr>
        <w:t>16.5投标人应认真阅读招标文件中所有的内容。如果投标人编制的投标文件实质上不响应招标文件的要求，其投标文件将作无效标处理。</w:t>
      </w:r>
    </w:p>
    <w:p>
      <w:pPr>
        <w:snapToGrid w:val="0"/>
        <w:spacing w:line="336" w:lineRule="auto"/>
        <w:ind w:firstLine="482" w:firstLineChars="200"/>
        <w:jc w:val="left"/>
        <w:outlineLvl w:val="1"/>
        <w:rPr>
          <w:rFonts w:ascii="仿宋" w:hAnsi="仿宋" w:eastAsia="仿宋" w:cs="仿宋"/>
          <w:b/>
          <w:color w:val="auto"/>
          <w:sz w:val="24"/>
          <w:szCs w:val="24"/>
        </w:rPr>
      </w:pPr>
      <w:r>
        <w:rPr>
          <w:rFonts w:hint="eastAsia" w:ascii="仿宋" w:hAnsi="仿宋" w:eastAsia="仿宋" w:cs="仿宋"/>
          <w:b/>
          <w:color w:val="auto"/>
          <w:sz w:val="24"/>
          <w:szCs w:val="24"/>
        </w:rPr>
        <w:t>17.投标</w:t>
      </w:r>
      <w:r>
        <w:rPr>
          <w:rFonts w:hint="eastAsia" w:ascii="仿宋" w:hAnsi="仿宋" w:eastAsia="仿宋" w:cs="仿宋"/>
          <w:b/>
          <w:color w:val="auto"/>
          <w:sz w:val="24"/>
        </w:rPr>
        <w:t>文件</w:t>
      </w:r>
      <w:r>
        <w:rPr>
          <w:rFonts w:hint="eastAsia" w:ascii="仿宋" w:hAnsi="仿宋" w:eastAsia="仿宋" w:cs="仿宋"/>
          <w:b/>
          <w:color w:val="auto"/>
          <w:sz w:val="24"/>
          <w:szCs w:val="24"/>
        </w:rPr>
        <w:t>的递交、修改和撤回</w:t>
      </w:r>
    </w:p>
    <w:p>
      <w:pPr>
        <w:pStyle w:val="5"/>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17.1投标人应将投标文件的</w:t>
      </w:r>
      <w:r>
        <w:rPr>
          <w:rFonts w:hint="eastAsia" w:ascii="仿宋" w:hAnsi="仿宋" w:eastAsia="仿宋" w:cs="仿宋"/>
          <w:color w:val="auto"/>
          <w:sz w:val="24"/>
          <w:lang w:eastAsia="zh-CN"/>
        </w:rPr>
        <w:t>资格文件</w:t>
      </w:r>
      <w:r>
        <w:rPr>
          <w:rFonts w:hint="eastAsia" w:ascii="仿宋" w:hAnsi="仿宋" w:eastAsia="仿宋" w:cs="仿宋"/>
          <w:color w:val="auto"/>
          <w:sz w:val="24"/>
          <w:szCs w:val="24"/>
        </w:rPr>
        <w:t>、商务技术文件、报价文件分开制作。</w:t>
      </w:r>
      <w:r>
        <w:rPr>
          <w:rFonts w:hint="eastAsia" w:ascii="仿宋" w:hAnsi="仿宋" w:eastAsia="仿宋" w:cs="仿宋"/>
          <w:b/>
          <w:color w:val="auto"/>
          <w:sz w:val="24"/>
          <w:szCs w:val="24"/>
        </w:rPr>
        <w:t>如投标文件技术标内容含有商务报价的内容，将被视作无效标处理。</w:t>
      </w:r>
    </w:p>
    <w:p>
      <w:pPr>
        <w:pStyle w:val="5"/>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17.2投标人应在开标前在“政采云”上自行加密上传电子投标文件，逾期上传或未按要求上传的投标文件将予以拒收。</w:t>
      </w:r>
    </w:p>
    <w:p>
      <w:pPr>
        <w:pStyle w:val="5"/>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17.3</w:t>
      </w:r>
      <w:r>
        <w:rPr>
          <w:rFonts w:hint="eastAsia" w:ascii="仿宋" w:hAnsi="仿宋" w:eastAsia="仿宋" w:cs="仿宋"/>
          <w:color w:val="auto"/>
          <w:sz w:val="24"/>
          <w:szCs w:val="24"/>
        </w:rPr>
        <w:t>投标人在投标截止时间之前，可以对已提交的投标文件进行修改或撤回，补充、修改的内容为投标文件的组成部分。</w:t>
      </w:r>
    </w:p>
    <w:p>
      <w:pPr>
        <w:pStyle w:val="5"/>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17.4投标截止时间后，投标人不得撤回、修改投标文件。</w:t>
      </w:r>
    </w:p>
    <w:p>
      <w:pPr>
        <w:pStyle w:val="5"/>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17.5不论投标人中标与否，投标人文件均不得撤回其投标。</w:t>
      </w:r>
    </w:p>
    <w:p>
      <w:pPr>
        <w:pStyle w:val="5"/>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17.6未按时解密的，视为投标文件撤回。</w:t>
      </w:r>
    </w:p>
    <w:p>
      <w:pPr>
        <w:snapToGrid w:val="0"/>
        <w:spacing w:line="336" w:lineRule="auto"/>
        <w:ind w:firstLine="482" w:firstLineChars="200"/>
        <w:jc w:val="left"/>
        <w:outlineLvl w:val="1"/>
        <w:rPr>
          <w:rFonts w:ascii="仿宋" w:hAnsi="仿宋" w:eastAsia="仿宋" w:cs="仿宋"/>
          <w:b/>
          <w:color w:val="auto"/>
          <w:sz w:val="24"/>
          <w:szCs w:val="24"/>
        </w:rPr>
      </w:pPr>
      <w:r>
        <w:rPr>
          <w:rFonts w:hint="eastAsia" w:ascii="仿宋" w:hAnsi="仿宋" w:eastAsia="仿宋" w:cs="仿宋"/>
          <w:b/>
          <w:color w:val="auto"/>
          <w:sz w:val="24"/>
          <w:szCs w:val="24"/>
        </w:rPr>
        <w:t>18.投标</w:t>
      </w:r>
      <w:r>
        <w:rPr>
          <w:rFonts w:hint="eastAsia" w:ascii="仿宋" w:hAnsi="仿宋" w:eastAsia="仿宋" w:cs="仿宋"/>
          <w:b/>
          <w:color w:val="auto"/>
          <w:sz w:val="24"/>
        </w:rPr>
        <w:t>无效</w:t>
      </w:r>
      <w:r>
        <w:rPr>
          <w:rFonts w:hint="eastAsia" w:ascii="仿宋" w:hAnsi="仿宋" w:eastAsia="仿宋" w:cs="仿宋"/>
          <w:b/>
          <w:color w:val="auto"/>
          <w:sz w:val="24"/>
          <w:szCs w:val="24"/>
        </w:rPr>
        <w:t>的情形</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实质上没有响应招标文件要求的投标将被视为无效投标。投标人不得通过修正或撤销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6"/>
        <w:snapToGrid w:val="0"/>
        <w:spacing w:after="0" w:line="360" w:lineRule="auto"/>
        <w:ind w:left="0" w:leftChars="0"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18.1在符合性审查和资格性审查时，如发现下列情形之一的，投标文件将被视为无效投标：</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18.1.1</w:t>
      </w:r>
      <w:r>
        <w:rPr>
          <w:rFonts w:hint="eastAsia" w:ascii="仿宋" w:hAnsi="仿宋" w:eastAsia="仿宋" w:cs="仿宋"/>
          <w:color w:val="auto"/>
          <w:sz w:val="24"/>
          <w:szCs w:val="24"/>
          <w:lang w:eastAsia="zh-CN"/>
        </w:rPr>
        <w:t>资格文件</w:t>
      </w:r>
      <w:r>
        <w:rPr>
          <w:rFonts w:hint="eastAsia" w:ascii="仿宋" w:hAnsi="仿宋" w:eastAsia="仿宋" w:cs="仿宋"/>
          <w:color w:val="auto"/>
          <w:sz w:val="24"/>
          <w:szCs w:val="24"/>
        </w:rPr>
        <w:t>不全的，或者不符合招标文件标明的资格要求的；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18.1.2未按照招标文件规定要求盖章；</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18.1.3投标文件项目不齐全或者内容虚假的；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18.1.4投标文件的实质性内容未使用中文表述、意思表述不明确、前后矛盾或者使用计量单位不符合招标文件要求的；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18.1.5投标有效期、交货时间、质保期、售后服务承诺等条款不能满足招标文件要求的；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18.1.6投标文件的技术标内容含有商务报价的内容；</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18.1.7投标文件含有采购人不能接受的附加条件的；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18.1.8不符合法律、法规或未实质性响应招标文件要求或者投标文件有采购人不能接受的附加条件的。</w:t>
      </w:r>
    </w:p>
    <w:p>
      <w:pPr>
        <w:pStyle w:val="6"/>
        <w:snapToGrid w:val="0"/>
        <w:spacing w:after="0" w:line="360" w:lineRule="auto"/>
        <w:ind w:left="0" w:leftChars="0"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18.2在技术评审时，如发现下列情形之一的，投标文件将被视为无效：</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18.2.1未提供或未如实提供投标货物的技术参数，或者投标文件标明的响应或偏离与事实不符或虚假投标的；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18.2.2允许偏离的技术、性能指标或者辅助功能项目发生负偏离达20项（含）以上的；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18.2.3投标技术方案不明确，存在一个或一个以上备选（替代）投标方案的；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18.2.4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6"/>
        <w:snapToGrid w:val="0"/>
        <w:spacing w:after="0" w:line="360" w:lineRule="auto"/>
        <w:ind w:left="0" w:leftChars="0"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18.3在报价评审时，如发现下列情形之一的，投标文件将被视为无效：</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（1）未采用人民币报价或者未按照招标文件标明的币种报价的；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（2）投标报价超过招标文件中规定的最高限价的；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（3）评标委员会认为投标人的报价明显低于其他通过符合性审查投标人的报价，有可能影响产品质量或者不能诚信履约，且投标人不能证明其报价合理性的；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（4）投标人不接受报价文件中修正后的报价的；</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（5）投标报价具有选择性。</w:t>
      </w:r>
    </w:p>
    <w:p>
      <w:pPr>
        <w:pStyle w:val="6"/>
        <w:snapToGrid w:val="0"/>
        <w:spacing w:after="0" w:line="360" w:lineRule="auto"/>
        <w:ind w:left="0" w:leftChars="0"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18.4符合招标文件明确规定的其他无效投标条款的。</w:t>
      </w:r>
    </w:p>
    <w:p>
      <w:pPr>
        <w:pStyle w:val="3"/>
        <w:spacing w:before="0" w:after="0" w:line="420" w:lineRule="exact"/>
        <w:jc w:val="center"/>
        <w:rPr>
          <w:rFonts w:ascii="仿宋" w:hAnsi="仿宋" w:eastAsia="仿宋" w:cs="仿宋"/>
          <w:color w:val="auto"/>
          <w:sz w:val="30"/>
          <w:szCs w:val="30"/>
        </w:rPr>
      </w:pPr>
      <w:bookmarkStart w:id="4" w:name="_Toc125344507"/>
      <w:r>
        <w:rPr>
          <w:rFonts w:hint="eastAsia" w:ascii="仿宋" w:hAnsi="仿宋" w:eastAsia="仿宋" w:cs="仿宋"/>
          <w:color w:val="auto"/>
          <w:sz w:val="30"/>
          <w:szCs w:val="30"/>
        </w:rPr>
        <w:t>四、开  标</w:t>
      </w:r>
      <w:bookmarkEnd w:id="4"/>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bCs/>
          <w:color w:val="auto"/>
          <w:sz w:val="24"/>
        </w:rPr>
        <w:t>19.</w:t>
      </w:r>
      <w:r>
        <w:rPr>
          <w:rFonts w:hint="eastAsia" w:ascii="仿宋" w:hAnsi="仿宋" w:eastAsia="仿宋" w:cs="仿宋"/>
          <w:b/>
          <w:color w:val="auto"/>
          <w:sz w:val="24"/>
        </w:rPr>
        <w:t>开标</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19.1采购代理机构将在前附表规定的时间、地点进行开标。无关人员不得进入开标现场。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19.2本项目实行电子开评标，投标人无须前往开评标现场，只需在规定时间内在“政采云”平台上上传电子投标文件。 </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20.开标程序</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20.1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20.2评标委员会对投标人的资格和商务技术响应文件进行评审；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20.3对技术标有效的投标单位的投标报价在“政采云”平台上予以公开；</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20.4评标委员会对技术标有效的投标单位进行投标报价评审，确定投标报价评审有效投标单位；</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20.5对投标报价评审后有效的投标单位计算投标报价分和综合得分；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20.6确定预中标人。</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特别说明：</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1、政采云公司如对电子化开标及评审程序有调整的，按调整后的程序操作。</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2、如中标单位投标文件和招标文件要求不一致，且评审过程中未发现的，履约应按有利于采购人的要求执行。</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3、采购过程中出现以下情形，导致电子交易平台无法正常运行，或者无法保证电子交易的公平、公正和安全时，采购组织机构可中止电子交易活动：</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（一）电子交易平台发生故障而无法登录访问的； </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（二）电子交易平台应用或数据库出现错误，不能进行正常操作的；</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（三）电子交易平台发现严重安全漏洞，有潜在泄密危险的；</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（四）病毒发作导致不能进行正常操作的； </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（五）其他无法保证电子交易的公平、公正和安全的情况。</w:t>
      </w:r>
    </w:p>
    <w:p>
      <w:pPr>
        <w:pStyle w:val="16"/>
        <w:spacing w:line="360" w:lineRule="auto"/>
        <w:ind w:firstLine="480" w:firstLineChars="200"/>
        <w:rPr>
          <w:rFonts w:ascii="仿宋" w:hAnsi="仿宋" w:eastAsia="仿宋" w:cs="仿宋"/>
          <w:color w:val="auto"/>
        </w:rPr>
      </w:pPr>
      <w:r>
        <w:rPr>
          <w:rFonts w:hint="eastAsia" w:ascii="仿宋" w:hAnsi="仿宋" w:eastAsia="仿宋" w:cs="仿宋"/>
          <w:color w:val="auto"/>
          <w:sz w:val="24"/>
        </w:rPr>
        <w:t> 出现前款规定情形，不影响采购公平、公正性的，采购组织机构可以待上述情形消除后继续组织电子交易活动；影响或可能影响采购公平、公正性的，应当重新采购。</w:t>
      </w:r>
      <w:bookmarkStart w:id="5" w:name="_Toc125344508"/>
    </w:p>
    <w:p>
      <w:pPr>
        <w:pStyle w:val="3"/>
        <w:spacing w:before="0" w:after="0" w:line="420" w:lineRule="exact"/>
        <w:jc w:val="center"/>
        <w:rPr>
          <w:rFonts w:ascii="仿宋" w:hAnsi="仿宋" w:eastAsia="仿宋" w:cs="仿宋"/>
          <w:color w:val="auto"/>
          <w:sz w:val="30"/>
          <w:szCs w:val="30"/>
        </w:rPr>
      </w:pPr>
      <w:r>
        <w:rPr>
          <w:rFonts w:hint="eastAsia" w:ascii="仿宋" w:hAnsi="仿宋" w:eastAsia="仿宋" w:cs="仿宋"/>
          <w:color w:val="auto"/>
          <w:sz w:val="30"/>
          <w:szCs w:val="30"/>
        </w:rPr>
        <w:t>五、评　标</w:t>
      </w:r>
      <w:bookmarkEnd w:id="5"/>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21. 组建评标委员会</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评标委员会按照有关规定组建，由1位采购人代表和4位评审专家组成。</w:t>
      </w:r>
    </w:p>
    <w:p>
      <w:pPr>
        <w:snapToGrid w:val="0"/>
        <w:spacing w:line="336" w:lineRule="auto"/>
        <w:ind w:firstLine="482" w:firstLineChars="200"/>
        <w:jc w:val="left"/>
        <w:outlineLvl w:val="1"/>
        <w:rPr>
          <w:rFonts w:hint="eastAsia" w:ascii="仿宋" w:hAnsi="仿宋" w:eastAsia="仿宋" w:cs="仿宋"/>
          <w:b/>
          <w:color w:val="auto"/>
          <w:sz w:val="24"/>
          <w:lang w:val="en-US" w:eastAsia="zh-CN"/>
        </w:rPr>
      </w:pPr>
      <w:r>
        <w:rPr>
          <w:rFonts w:hint="eastAsia" w:ascii="仿宋" w:hAnsi="仿宋" w:eastAsia="仿宋" w:cs="仿宋"/>
          <w:b/>
          <w:color w:val="auto"/>
          <w:sz w:val="24"/>
        </w:rPr>
        <w:t>22.</w:t>
      </w:r>
      <w:r>
        <w:rPr>
          <w:rFonts w:hint="eastAsia" w:ascii="仿宋" w:hAnsi="仿宋" w:eastAsia="仿宋" w:cs="仿宋"/>
          <w:b/>
          <w:color w:val="auto"/>
          <w:sz w:val="24"/>
          <w:lang w:val="en-US" w:eastAsia="zh-CN"/>
        </w:rPr>
        <w:t>评审纪律和要求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22.1</w:t>
      </w:r>
      <w:r>
        <w:rPr>
          <w:rFonts w:hint="eastAsia" w:ascii="仿宋_GB2312" w:hAnsi="仿宋_GB2312" w:eastAsia="仿宋_GB2312" w:cs="仿宋_GB2312"/>
          <w:color w:val="auto"/>
          <w:sz w:val="24"/>
          <w:szCs w:val="24"/>
        </w:rPr>
        <w:t>评审专家必须公平、公正评审，遵纪守法，客观、廉洁地履行职责。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22.2</w:t>
      </w:r>
      <w:r>
        <w:rPr>
          <w:rFonts w:hint="eastAsia" w:ascii="仿宋_GB2312" w:hAnsi="仿宋_GB2312" w:eastAsia="仿宋_GB2312" w:cs="仿宋_GB2312"/>
          <w:color w:val="auto"/>
          <w:sz w:val="24"/>
          <w:szCs w:val="24"/>
        </w:rPr>
        <w:t>评审专家在评审开始前，应关闭并上交随身携带的各种通信工具。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22.3</w:t>
      </w:r>
      <w:r>
        <w:rPr>
          <w:rFonts w:hint="eastAsia" w:ascii="仿宋_GB2312" w:hAnsi="仿宋_GB2312" w:eastAsia="仿宋_GB2312" w:cs="仿宋_GB2312"/>
          <w:color w:val="auto"/>
          <w:sz w:val="24"/>
          <w:szCs w:val="24"/>
        </w:rPr>
        <w:t>评审专家在评审过程中，未经许可不得中途离开评审现场，不得迟到早退。</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22.4</w:t>
      </w:r>
      <w:r>
        <w:rPr>
          <w:rFonts w:hint="eastAsia" w:ascii="仿宋_GB2312" w:hAnsi="仿宋_GB2312" w:eastAsia="仿宋_GB2312" w:cs="仿宋_GB2312"/>
          <w:color w:val="auto"/>
          <w:sz w:val="24"/>
          <w:szCs w:val="24"/>
        </w:rPr>
        <w:t>评审专家和工作人员不得透露评审过程中的讨论情况和评审结果。</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22.5</w:t>
      </w:r>
      <w:r>
        <w:rPr>
          <w:rFonts w:hint="eastAsia" w:ascii="仿宋_GB2312" w:hAnsi="仿宋_GB2312" w:eastAsia="仿宋_GB2312" w:cs="仿宋_GB2312"/>
          <w:color w:val="auto"/>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w:t>
      </w:r>
      <w:r>
        <w:rPr>
          <w:rFonts w:hint="eastAsia" w:ascii="仿宋_GB2312" w:hAnsi="仿宋_GB2312" w:eastAsia="仿宋_GB2312" w:cs="仿宋_GB2312"/>
          <w:color w:val="auto"/>
          <w:sz w:val="24"/>
          <w:szCs w:val="24"/>
          <w:highlight w:val="none"/>
        </w:rPr>
        <w:t>可询问投标人，并允许投标人进行陈述申辩，</w:t>
      </w:r>
      <w:r>
        <w:rPr>
          <w:rFonts w:hint="eastAsia" w:ascii="仿宋_GB2312" w:hAnsi="仿宋_GB2312" w:eastAsia="仿宋_GB2312" w:cs="仿宋_GB2312"/>
          <w:color w:val="auto"/>
          <w:sz w:val="24"/>
          <w:szCs w:val="24"/>
        </w:rPr>
        <w:t>但不允许其对偏离条款进行补充、修正或撤回。</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22.6</w:t>
      </w:r>
      <w:r>
        <w:rPr>
          <w:rFonts w:hint="eastAsia" w:ascii="仿宋_GB2312" w:hAnsi="仿宋_GB2312" w:eastAsia="仿宋_GB2312" w:cs="仿宋_GB2312"/>
          <w:color w:val="auto"/>
          <w:sz w:val="24"/>
          <w:szCs w:val="24"/>
        </w:rPr>
        <w:t>采购人、采购代理机构不得向评审委员会的评审专家作倾向性、误导性的解释或者说明。</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22.7</w:t>
      </w:r>
      <w:r>
        <w:rPr>
          <w:rFonts w:hint="eastAsia" w:ascii="仿宋_GB2312" w:hAnsi="仿宋_GB2312" w:eastAsia="仿宋_GB2312" w:cs="仿宋_GB2312"/>
          <w:color w:val="auto"/>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22.8</w:t>
      </w:r>
      <w:r>
        <w:rPr>
          <w:rFonts w:hint="eastAsia" w:ascii="仿宋_GB2312" w:hAnsi="仿宋_GB2312" w:eastAsia="仿宋_GB2312" w:cs="仿宋_GB2312"/>
          <w:color w:val="auto"/>
          <w:sz w:val="24"/>
          <w:szCs w:val="24"/>
        </w:rPr>
        <w:t>评审专家在评审过程中不得将自己的观点强加给其他评审专家，评审专家应自主发表见解，对评审意见承担个人责任。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22.9</w:t>
      </w:r>
      <w:r>
        <w:rPr>
          <w:rFonts w:hint="eastAsia" w:ascii="仿宋_GB2312" w:hAnsi="仿宋_GB2312" w:eastAsia="仿宋_GB2312" w:cs="仿宋_GB2312"/>
          <w:color w:val="auto"/>
          <w:sz w:val="24"/>
          <w:szCs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w:t>
      </w:r>
      <w:r>
        <w:rPr>
          <w:rFonts w:hint="eastAsia" w:ascii="仿宋_GB2312" w:hAnsi="仿宋_GB2312" w:eastAsia="仿宋_GB2312" w:cs="仿宋_GB2312"/>
          <w:color w:val="auto"/>
          <w:sz w:val="24"/>
          <w:szCs w:val="24"/>
          <w:highlight w:val="none"/>
        </w:rPr>
        <w:t>评审报告中须对其报价的合理性等进行分析和特别说明。</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22.10</w:t>
      </w:r>
      <w:r>
        <w:rPr>
          <w:rFonts w:hint="eastAsia" w:ascii="仿宋_GB2312" w:hAnsi="仿宋_GB2312" w:eastAsia="仿宋_GB2312" w:cs="仿宋_GB2312"/>
          <w:color w:val="auto"/>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22.11</w:t>
      </w:r>
      <w:r>
        <w:rPr>
          <w:rFonts w:hint="eastAsia" w:ascii="仿宋_GB2312" w:hAnsi="仿宋_GB2312" w:eastAsia="仿宋_GB2312" w:cs="仿宋_GB2312"/>
          <w:color w:val="auto"/>
          <w:sz w:val="24"/>
          <w:szCs w:val="24"/>
        </w:rPr>
        <w:t>评审专家应当遵守评审工作纪律，不得泄露评审文件、评审情况和评审中获悉的商业秘密。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评审委员会在评审过程中发现投标人有行贿、提供虚假材料或者串通等违法行为的，应当及时向财政部门报告。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22.12</w:t>
      </w:r>
      <w:r>
        <w:rPr>
          <w:rFonts w:hint="eastAsia" w:ascii="仿宋_GB2312" w:hAnsi="仿宋_GB2312" w:eastAsia="仿宋_GB2312" w:cs="仿宋_GB2312"/>
          <w:color w:val="auto"/>
          <w:sz w:val="24"/>
          <w:szCs w:val="24"/>
        </w:rPr>
        <w:t>招标文件内容违反国家有关强制性规定的，评审委员会应当停止评审并向采购代理机构说明情况。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22.13</w:t>
      </w:r>
      <w:r>
        <w:rPr>
          <w:rFonts w:hint="eastAsia" w:ascii="仿宋_GB2312" w:hAnsi="仿宋_GB2312" w:eastAsia="仿宋_GB2312" w:cs="仿宋_GB2312"/>
          <w:color w:val="auto"/>
          <w:sz w:val="24"/>
          <w:szCs w:val="24"/>
        </w:rPr>
        <w:t>评审专家应当配合</w:t>
      </w:r>
      <w:r>
        <w:rPr>
          <w:rFonts w:hint="eastAsia" w:ascii="仿宋_GB2312" w:hAnsi="仿宋_GB2312" w:eastAsia="仿宋_GB2312" w:cs="仿宋_GB2312"/>
          <w:color w:val="auto"/>
          <w:sz w:val="24"/>
          <w:szCs w:val="24"/>
          <w:highlight w:val="none"/>
        </w:rPr>
        <w:t>采购代理机构</w:t>
      </w:r>
      <w:r>
        <w:rPr>
          <w:rFonts w:hint="eastAsia" w:ascii="仿宋_GB2312" w:hAnsi="仿宋_GB2312" w:eastAsia="仿宋_GB2312" w:cs="仿宋_GB2312"/>
          <w:color w:val="auto"/>
          <w:sz w:val="24"/>
          <w:szCs w:val="24"/>
        </w:rPr>
        <w:t>答复投标人提出的质疑。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22.14</w:t>
      </w:r>
      <w:r>
        <w:rPr>
          <w:rFonts w:hint="eastAsia" w:ascii="仿宋_GB2312" w:hAnsi="仿宋_GB2312" w:eastAsia="仿宋_GB2312" w:cs="仿宋_GB2312"/>
          <w:color w:val="auto"/>
          <w:sz w:val="24"/>
          <w:szCs w:val="24"/>
        </w:rPr>
        <w:t>评审专家应当配合财政部门的投诉处理工作。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22.15</w:t>
      </w:r>
      <w:r>
        <w:rPr>
          <w:rFonts w:hint="eastAsia" w:ascii="仿宋_GB2312" w:hAnsi="仿宋_GB2312" w:eastAsia="仿宋_GB2312" w:cs="仿宋_GB2312"/>
          <w:color w:val="auto"/>
          <w:sz w:val="24"/>
          <w:szCs w:val="24"/>
        </w:rPr>
        <w:t>评审专家有如下行为之一的，责令改正，给予警告，可以并处一千元以下的罚款：</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①</w:t>
      </w:r>
      <w:r>
        <w:rPr>
          <w:rFonts w:hint="eastAsia" w:ascii="仿宋_GB2312" w:hAnsi="仿宋_GB2312" w:eastAsia="仿宋_GB2312" w:cs="仿宋_GB2312"/>
          <w:color w:val="auto"/>
          <w:sz w:val="24"/>
          <w:szCs w:val="24"/>
        </w:rPr>
        <w:t>明知应当回避而未主动回避的；</w:t>
      </w:r>
    </w:p>
    <w:p>
      <w:pPr>
        <w:keepNext w:val="0"/>
        <w:keepLines w:val="0"/>
        <w:pageBreakBefore w:val="0"/>
        <w:kinsoku/>
        <w:wordWrap/>
        <w:overflowPunct/>
        <w:topLinePunct w:val="0"/>
        <w:autoSpaceDE/>
        <w:autoSpaceDN/>
        <w:bidi w:val="0"/>
        <w:adjustRightInd w:val="0"/>
        <w:snapToGrid w:val="0"/>
        <w:spacing w:line="360" w:lineRule="auto"/>
        <w:ind w:firstLine="436"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spacing w:val="-11"/>
          <w:kern w:val="0"/>
          <w:sz w:val="24"/>
          <w:szCs w:val="24"/>
          <w:lang w:eastAsia="zh-CN"/>
        </w:rPr>
        <w:t>②</w:t>
      </w:r>
      <w:r>
        <w:rPr>
          <w:rFonts w:hint="eastAsia" w:ascii="仿宋_GB2312" w:hAnsi="仿宋_GB2312" w:eastAsia="仿宋_GB2312" w:cs="仿宋_GB2312"/>
          <w:snapToGrid w:val="0"/>
          <w:color w:val="auto"/>
          <w:spacing w:val="-11"/>
          <w:kern w:val="0"/>
          <w:sz w:val="24"/>
          <w:szCs w:val="24"/>
        </w:rPr>
        <w:t>在</w:t>
      </w:r>
      <w:r>
        <w:rPr>
          <w:rFonts w:hint="eastAsia" w:ascii="仿宋_GB2312" w:hAnsi="仿宋_GB2312" w:eastAsia="仿宋_GB2312" w:cs="仿宋_GB2312"/>
          <w:snapToGrid w:val="0"/>
          <w:color w:val="auto"/>
          <w:spacing w:val="-11"/>
          <w:kern w:val="0"/>
          <w:sz w:val="24"/>
          <w:szCs w:val="24"/>
          <w:lang w:eastAsia="zh-CN"/>
        </w:rPr>
        <w:t>得知</w:t>
      </w:r>
      <w:r>
        <w:rPr>
          <w:rFonts w:hint="eastAsia" w:ascii="仿宋_GB2312" w:hAnsi="仿宋_GB2312" w:eastAsia="仿宋_GB2312" w:cs="仿宋_GB2312"/>
          <w:snapToGrid w:val="0"/>
          <w:color w:val="auto"/>
          <w:spacing w:val="-11"/>
          <w:kern w:val="0"/>
          <w:sz w:val="24"/>
          <w:szCs w:val="24"/>
        </w:rPr>
        <w:t>自己为评审专家身份后至评审结束前时段内私下接触投标人的</w:t>
      </w:r>
      <w:r>
        <w:rPr>
          <w:rFonts w:hint="eastAsia"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③</w:t>
      </w:r>
      <w:r>
        <w:rPr>
          <w:rFonts w:hint="eastAsia" w:ascii="仿宋_GB2312" w:hAnsi="仿宋_GB2312" w:eastAsia="仿宋_GB2312" w:cs="仿宋_GB2312"/>
          <w:color w:val="auto"/>
          <w:sz w:val="24"/>
          <w:szCs w:val="24"/>
        </w:rPr>
        <w:t>在评审过程中擅离职守，影响评审程序正常进行的；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④</w:t>
      </w:r>
      <w:r>
        <w:rPr>
          <w:rFonts w:hint="eastAsia" w:ascii="仿宋_GB2312" w:hAnsi="仿宋_GB2312" w:eastAsia="仿宋_GB2312" w:cs="仿宋_GB2312"/>
          <w:color w:val="auto"/>
          <w:sz w:val="24"/>
          <w:szCs w:val="24"/>
        </w:rPr>
        <w:t>在评审过程有明显不合理或者不正当倾向性的；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⑤</w:t>
      </w:r>
      <w:r>
        <w:rPr>
          <w:rFonts w:hint="eastAsia" w:ascii="仿宋_GB2312" w:hAnsi="仿宋_GB2312" w:eastAsia="仿宋_GB2312" w:cs="仿宋_GB2312"/>
          <w:color w:val="auto"/>
          <w:sz w:val="24"/>
          <w:szCs w:val="24"/>
        </w:rPr>
        <w:t>未按招标文件规定的评审方法和标准进行评审的。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⑥</w:t>
      </w:r>
      <w:r>
        <w:rPr>
          <w:rFonts w:hint="eastAsia" w:ascii="仿宋_GB2312" w:hAnsi="仿宋_GB2312" w:eastAsia="仿宋_GB2312" w:cs="仿宋_GB2312"/>
          <w:color w:val="auto"/>
          <w:sz w:val="24"/>
          <w:szCs w:val="24"/>
        </w:rPr>
        <w:t>上述</w:t>
      </w:r>
      <w:r>
        <w:rPr>
          <w:rFonts w:hint="eastAsia" w:ascii="仿宋_GB2312" w:hAnsi="仿宋_GB2312" w:eastAsia="仿宋_GB2312" w:cs="仿宋_GB2312"/>
          <w:color w:val="auto"/>
          <w:sz w:val="24"/>
          <w:szCs w:val="24"/>
          <w:lang w:eastAsia="zh-CN"/>
        </w:rPr>
        <w:t>①</w:t>
      </w:r>
      <w:r>
        <w:rPr>
          <w:rFonts w:hint="eastAsia" w:ascii="仿宋_GB2312" w:hAnsi="仿宋_GB2312" w:eastAsia="仿宋_GB2312" w:cs="仿宋_GB2312"/>
          <w:color w:val="auto"/>
          <w:sz w:val="24"/>
          <w:szCs w:val="24"/>
        </w:rPr>
        <w:t>至</w:t>
      </w:r>
      <w:r>
        <w:rPr>
          <w:rFonts w:hint="eastAsia" w:ascii="仿宋_GB2312" w:hAnsi="仿宋_GB2312" w:eastAsia="仿宋_GB2312" w:cs="仿宋_GB2312"/>
          <w:color w:val="auto"/>
          <w:sz w:val="24"/>
          <w:szCs w:val="24"/>
          <w:lang w:eastAsia="zh-CN"/>
        </w:rPr>
        <w:t>⑤</w:t>
      </w:r>
      <w:r>
        <w:rPr>
          <w:rFonts w:hint="eastAsia" w:ascii="仿宋_GB2312" w:hAnsi="仿宋_GB2312" w:eastAsia="仿宋_GB2312" w:cs="仿宋_GB2312"/>
          <w:color w:val="auto"/>
          <w:sz w:val="24"/>
          <w:szCs w:val="24"/>
        </w:rPr>
        <w:t>行为影响中标结果的，中标结果无效。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22.16</w:t>
      </w:r>
      <w:r>
        <w:rPr>
          <w:rFonts w:hint="eastAsia" w:ascii="仿宋_GB2312" w:hAnsi="仿宋_GB2312" w:eastAsia="仿宋_GB2312" w:cs="仿宋_GB2312"/>
          <w:color w:val="auto"/>
          <w:sz w:val="24"/>
          <w:szCs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政府采购评审专家与投标人存在利害关系未回避的，处2万元以上5万元以下的罚款，禁止其参加政府采购评审活动。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政府采购评审专家有上述违法行为的，其评审意见无效，不得获取评审费；有违法所得的，没收违法所得；给他人造成损失的，依法承担民事责任。</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23.评标程序</w:t>
      </w:r>
    </w:p>
    <w:p>
      <w:pPr>
        <w:snapToGrid w:val="0"/>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23.1资格审查</w:t>
      </w:r>
    </w:p>
    <w:p>
      <w:pPr>
        <w:snapToGrid w:val="0"/>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评标委员会对投标人的资格进行审查。</w:t>
      </w:r>
    </w:p>
    <w:p>
      <w:pPr>
        <w:snapToGrid w:val="0"/>
        <w:spacing w:line="360" w:lineRule="auto"/>
        <w:ind w:firstLine="482" w:firstLineChars="200"/>
        <w:rPr>
          <w:rFonts w:ascii="仿宋" w:hAnsi="仿宋" w:eastAsia="仿宋" w:cs="仿宋"/>
          <w:b/>
          <w:bCs/>
          <w:color w:val="auto"/>
          <w:sz w:val="24"/>
          <w:szCs w:val="20"/>
        </w:rPr>
      </w:pPr>
      <w:r>
        <w:rPr>
          <w:rFonts w:hint="eastAsia" w:ascii="仿宋" w:hAnsi="仿宋" w:eastAsia="仿宋" w:cs="仿宋"/>
          <w:b/>
          <w:bCs/>
          <w:color w:val="auto"/>
          <w:sz w:val="24"/>
        </w:rPr>
        <w:t>23.2形式审查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2"/>
          <w:sz w:val="24"/>
          <w:szCs w:val="24"/>
        </w:rPr>
        <w:t>评标委员会对投标人的</w:t>
      </w:r>
      <w:r>
        <w:rPr>
          <w:rFonts w:hint="eastAsia" w:ascii="仿宋" w:hAnsi="仿宋" w:eastAsia="仿宋" w:cs="仿宋"/>
          <w:color w:val="auto"/>
          <w:sz w:val="24"/>
        </w:rPr>
        <w:t>投标文件的完整性、合法性等进行审查。</w:t>
      </w:r>
    </w:p>
    <w:p>
      <w:pPr>
        <w:snapToGrid w:val="0"/>
        <w:spacing w:line="360" w:lineRule="auto"/>
        <w:ind w:firstLine="482" w:firstLineChars="200"/>
        <w:rPr>
          <w:rFonts w:ascii="仿宋" w:hAnsi="仿宋" w:eastAsia="仿宋" w:cs="仿宋"/>
          <w:b/>
          <w:bCs/>
          <w:color w:val="auto"/>
          <w:sz w:val="24"/>
          <w:szCs w:val="20"/>
        </w:rPr>
      </w:pPr>
      <w:r>
        <w:rPr>
          <w:rFonts w:hint="eastAsia" w:ascii="仿宋" w:hAnsi="仿宋" w:eastAsia="仿宋" w:cs="仿宋"/>
          <w:b/>
          <w:bCs/>
          <w:color w:val="auto"/>
          <w:sz w:val="24"/>
        </w:rPr>
        <w:t>23.3实质审查与比较</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23.3.2评标委员会将根据投标人的投标文件进行审查、核对,如有疑问,将对投标人进行询标,投标人要向评标委员会澄清有关问题,并最终以“政采云”在线询标或其他有效形式形式进行答复。投标人代表拒绝澄清或者澄清的内容改变了投标文件的实质性内容的，评标委员会有权对该投标文件作出不利于投标人的评判。</w:t>
      </w:r>
    </w:p>
    <w:p>
      <w:pPr>
        <w:pStyle w:val="16"/>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23.3.4如果投标文件实质不响应招标文件的各项要求，评标委员会将予以拒绝，并且不允许投标人通过修改或撤销其不符合要求的差异或保留，使之成为具有响应性的投标。</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23.3.5各投标人的技术得分为所有评委的有效评分的算术平均数。</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23.3.6评标委员会完成评标后,评委对各部分得分汇总,计算出本项目最终得分。评标委员会按评标原则推荐中标候选人，同时起草评标报告。</w:t>
      </w:r>
    </w:p>
    <w:p>
      <w:pPr>
        <w:pStyle w:val="16"/>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23.3.7评标委员会对明显不合理的投标报价，有权要求投标人在规定时间内提交说明，投标人不能提供的或提供的材料不能说明问题的，评标委员会可以判定其投标无效。</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24.如投标人或采购人有下列情形之一的，应按串通投标行为认定，禁止其一至三年内进入本市政府采购市场，情节严重的移送有关部门依法处理。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24.1不同投标人的投标文件由同一单位或人员编制；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24.2不同投标人委托同一单位或个人办理投标事宜；</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24.3不同投标人的投标文件载明的项目管理或联系人员为同一人；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24.4不同投标人的投标文件异常一致或者投标报价呈规律性差异；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24.5不同投标人的投标文件遗留其他投标人不属于本投标人参加政府采购必需的信息资料的；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24.6不同投标人的授权代表为同一单位的工作人员的；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24.7采购响应截止时间后，采购人协助投标人撤换或更改投标文件的；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24.8采购人泄露有意向参加政府采购的投标人名称、数量等应当保密的事项的；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24.9不同投标人之间私下达成书面或口头协议，指定一家投标人中标或轮流中标的；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24.10属于同一集团、协会、商会等组织成员的投标人按照该组织要求协同的投标；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24.11投标人之间为谋取中标或者排斥特定投标人而采取的其他联合行动；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24.12不同投标人与同一投标人联合投标的；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24.13采购人（或采购代理机构）明示或者暗示投标人压低或者抬高投标报价；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24.14采购人（或采购代理机构）明示或者暗示投标人为特定投标人中标提供方便；</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24.15采购人（或采购代理机构）与投标人为谋求特定投标人中标而采取的其他串通行为；</w:t>
      </w:r>
    </w:p>
    <w:p>
      <w:pPr>
        <w:snapToGrid w:val="0"/>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24.16法律、法规或规章规定的其他串通行为。</w:t>
      </w:r>
    </w:p>
    <w:p>
      <w:pPr>
        <w:snapToGrid w:val="0"/>
        <w:spacing w:line="336" w:lineRule="auto"/>
        <w:ind w:firstLine="482" w:firstLineChars="200"/>
        <w:jc w:val="left"/>
        <w:outlineLvl w:val="1"/>
        <w:rPr>
          <w:rFonts w:ascii="仿宋" w:hAnsi="仿宋" w:eastAsia="仿宋" w:cs="仿宋"/>
          <w:b/>
          <w:color w:val="auto"/>
          <w:sz w:val="24"/>
          <w:szCs w:val="24"/>
        </w:rPr>
      </w:pPr>
      <w:r>
        <w:rPr>
          <w:rFonts w:hint="eastAsia" w:ascii="仿宋" w:hAnsi="仿宋" w:eastAsia="仿宋" w:cs="仿宋"/>
          <w:b/>
          <w:color w:val="auto"/>
          <w:sz w:val="24"/>
          <w:szCs w:val="24"/>
        </w:rPr>
        <w:t>25.投标文件的澄清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26.错误修正</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投标文件报价出现前后不一致的，按照下列规定修正：</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26.1投标文件中开标一览表（报价表）内容与投标文件中相应内容不一致的，以开标一览表（报价表）为准。</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26.2大写金额和小写金额不一致的，以大写金额为准。</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26.3单价金额小数点或者百分比有明显错位的，以开标一览表的总价为准，并修改单价。</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26.4总价金额与按单价汇总金额不一致的，以单价金额计算结果为准。</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同时出现两种以上不一致的，按照上述规定的顺序修正。</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按上述修正错误的原则及方法调整或修正投标文件的投标报价，投标人同意并加盖公章确认，调整后的投标报价对投标人具有约束作用。如果投标人不接受修正后的报价，则其投标将作为无效投标处理。</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27.评标办法</w:t>
      </w:r>
    </w:p>
    <w:p>
      <w:pPr>
        <w:pStyle w:val="16"/>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本项目评标办法是综合评分法，具体评标内容及评分标准等详见《第三章：评标办法及评分标准》。</w:t>
      </w: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28.评标过程的保密</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28.3中标人确定后，采购人不对未中标人就评标过程以及未能中标原因作出任何解释。未中标人不得向评标委员会或其他有关人员索问评标过程的情况和材料。</w:t>
      </w:r>
    </w:p>
    <w:p>
      <w:pPr>
        <w:pStyle w:val="3"/>
        <w:spacing w:before="0" w:after="0" w:line="420" w:lineRule="exact"/>
        <w:jc w:val="center"/>
        <w:rPr>
          <w:rFonts w:hint="eastAsia" w:ascii="仿宋" w:hAnsi="仿宋" w:eastAsia="仿宋" w:cs="仿宋"/>
          <w:color w:val="auto"/>
          <w:sz w:val="30"/>
          <w:szCs w:val="30"/>
        </w:rPr>
      </w:pPr>
    </w:p>
    <w:p>
      <w:pPr>
        <w:pStyle w:val="3"/>
        <w:spacing w:before="0" w:after="0" w:line="420" w:lineRule="exact"/>
        <w:jc w:val="center"/>
        <w:rPr>
          <w:rFonts w:ascii="仿宋" w:hAnsi="仿宋" w:eastAsia="仿宋" w:cs="仿宋"/>
          <w:color w:val="auto"/>
          <w:sz w:val="30"/>
          <w:szCs w:val="30"/>
        </w:rPr>
      </w:pPr>
      <w:r>
        <w:rPr>
          <w:rFonts w:hint="eastAsia" w:ascii="仿宋" w:hAnsi="仿宋" w:eastAsia="仿宋" w:cs="仿宋"/>
          <w:color w:val="auto"/>
          <w:sz w:val="30"/>
          <w:szCs w:val="30"/>
        </w:rPr>
        <w:t>六、定标</w:t>
      </w:r>
    </w:p>
    <w:p>
      <w:pPr>
        <w:pStyle w:val="16"/>
        <w:spacing w:line="420" w:lineRule="exact"/>
        <w:ind w:firstLine="482" w:firstLineChars="200"/>
        <w:rPr>
          <w:rFonts w:ascii="仿宋" w:hAnsi="仿宋" w:eastAsia="仿宋" w:cs="仿宋"/>
          <w:b/>
          <w:bCs/>
          <w:color w:val="auto"/>
          <w:sz w:val="24"/>
        </w:rPr>
      </w:pPr>
    </w:p>
    <w:p>
      <w:pPr>
        <w:snapToGrid w:val="0"/>
        <w:spacing w:line="336" w:lineRule="auto"/>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29.确定中标人</w:t>
      </w:r>
    </w:p>
    <w:p>
      <w:pPr>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本项目由采购人确定中标人。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29.2第一名中标候选人无正当理由放弃中标成交或被取消中标资格的，将上报武义县财政局，武义县财政局将按《中华人民共和国政府采购法》、《武义县招投标市场不良行为记录暂行规定》等有关法律、法规、制度进行处理。</w:t>
      </w:r>
      <w:r>
        <w:rPr>
          <w:rFonts w:hint="eastAsia" w:ascii="仿宋" w:hAnsi="仿宋" w:eastAsia="仿宋" w:cs="仿宋"/>
          <w:b/>
          <w:color w:val="auto"/>
          <w:sz w:val="24"/>
        </w:rPr>
        <w:t>此标的将另行组织采购</w:t>
      </w:r>
      <w:r>
        <w:rPr>
          <w:rFonts w:hint="eastAsia" w:ascii="仿宋" w:hAnsi="仿宋" w:eastAsia="仿宋" w:cs="仿宋"/>
          <w:color w:val="auto"/>
          <w:sz w:val="24"/>
        </w:rPr>
        <w:t>。</w:t>
      </w: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30.中标通知与</w:t>
      </w:r>
      <w:r>
        <w:rPr>
          <w:rFonts w:hint="eastAsia" w:ascii="仿宋" w:hAnsi="仿宋" w:eastAsia="仿宋" w:cs="仿宋"/>
          <w:b/>
          <w:color w:val="auto"/>
          <w:sz w:val="24"/>
        </w:rPr>
        <w:t>中标</w:t>
      </w:r>
      <w:r>
        <w:rPr>
          <w:rFonts w:hint="eastAsia" w:ascii="仿宋" w:hAnsi="仿宋" w:eastAsia="仿宋" w:cs="仿宋"/>
          <w:b/>
          <w:bCs/>
          <w:color w:val="auto"/>
          <w:sz w:val="24"/>
        </w:rPr>
        <w:t>结果公告</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30.1采购结果经采购人确认后，采购代理机构将于2个工作日内在浙江省政府采购网上发布中标公告，并同时发放《中标通知书》，中标结果公告期限为1个工作日。《中标通知书》一经发出即发生法律效力。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31. 中标</w:t>
      </w:r>
      <w:r>
        <w:rPr>
          <w:rFonts w:hint="eastAsia" w:ascii="仿宋" w:hAnsi="仿宋" w:eastAsia="仿宋" w:cs="仿宋"/>
          <w:b/>
          <w:color w:val="auto"/>
          <w:sz w:val="24"/>
        </w:rPr>
        <w:t>无效</w:t>
      </w:r>
      <w:r>
        <w:rPr>
          <w:rFonts w:hint="eastAsia" w:ascii="仿宋" w:hAnsi="仿宋" w:eastAsia="仿宋" w:cs="仿宋"/>
          <w:b/>
          <w:bCs/>
          <w:color w:val="auto"/>
          <w:sz w:val="24"/>
        </w:rPr>
        <w:t>情形</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中标人存在下列情形之一的，中标无效：</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31.1提供虚假材料谋取中标的；</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31.2采取不正当手段诋毁、排挤其他投标人的；</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31.3与采购人、其他投标人恶意串通的；</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31.4向采购人、采购代理机构行贿或者提供其他不正当利益的；</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31.5在招标过程中与采购人进行协商谈判；不按照招标文件和投标文件订立合同或者与采购人另行背离合同实质性内容的协议的；</w:t>
      </w:r>
    </w:p>
    <w:p>
      <w:pPr>
        <w:pStyle w:val="1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31.6拖延、拒签合同的；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rPr>
        <w:t>31.7存在法律、法规规定的其它损害采购人或采购单位利益或社会公共利益的情形的</w:t>
      </w:r>
      <w:r>
        <w:rPr>
          <w:rFonts w:hint="eastAsia" w:ascii="仿宋" w:hAnsi="仿宋" w:eastAsia="仿宋" w:cs="仿宋"/>
          <w:color w:val="auto"/>
          <w:sz w:val="24"/>
          <w:szCs w:val="24"/>
        </w:rPr>
        <w:t>。</w:t>
      </w: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rPr>
        <w:t>32.重新招标</w:t>
      </w:r>
    </w:p>
    <w:p>
      <w:pPr>
        <w:snapToGrid w:val="0"/>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投标截止时间及评审期间，出现有效供应商不足3家的，本项目流标，重新组织采购。</w:t>
      </w:r>
    </w:p>
    <w:p>
      <w:pPr>
        <w:snapToGrid w:val="0"/>
        <w:spacing w:line="336" w:lineRule="auto"/>
        <w:ind w:firstLine="482" w:firstLineChars="200"/>
        <w:jc w:val="left"/>
        <w:outlineLvl w:val="1"/>
        <w:rPr>
          <w:rFonts w:hint="eastAsia" w:ascii="仿宋" w:hAnsi="仿宋" w:eastAsia="仿宋" w:cs="仿宋"/>
          <w:b/>
          <w:bCs/>
          <w:color w:val="auto"/>
          <w:sz w:val="24"/>
        </w:rPr>
      </w:pPr>
      <w:r>
        <w:rPr>
          <w:rFonts w:hint="eastAsia" w:ascii="仿宋" w:hAnsi="仿宋" w:eastAsia="仿宋" w:cs="仿宋"/>
          <w:b/>
          <w:bCs/>
          <w:color w:val="auto"/>
          <w:sz w:val="24"/>
          <w:lang w:val="en-US" w:eastAsia="zh-CN"/>
        </w:rPr>
        <w:t>33.政府采购政策落实</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33.1采购项目需要落实的政府采购政策</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.2 支持绿色发展</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.3支持中小企业发展</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符合中小企业划分标准的个体工商户，在政府采购活动中视同中小企业。</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.3.2在政府采购活动中，供应商提供的货物、工程或者服务符合下列情形的，享受中小企业扶持政策：</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.3.2.1在货物采购项目中，货物由中小企业制造，即货物由中小企业生产且使用该中小企业商号或者注册商标；</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.3.2.2在工程采购项目中，工程由中小企业承建，即工程施工单位为中小企业；</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.3.2.3在服务采购项目中，服务由中小企业承接，即提供服务的人员为中小企业依照《中华人民共和国劳动合同法》订立劳动合同的从业人员。</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在货物采购项目中，供应商提供的货物既有中小企业制造货物，也有大型企业制造货物的，不享受中小企业扶持政策。</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以联合体形式参加政府采购活动，联合体各方均为中小企业的，联合体视同中小企业。其中，联合体各方均为小微企业的，联合体视同小微企业。</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.3.4符合《关于促进残疾人就业政府采购政策的通知》（财库〔2017〕141号）规定的条件并提供《残疾人福利性单位声明函》（附件1）的残疾人福利性单位视同小型、微型企业；</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.3.7中小企业享受扶持政策获得政府采购合同的，小微企业不得将合同分包给大中型企业，中型企业不得将合同分包给大型企业。</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.4支持创新发展</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.4.1 采购人优先采购被认定为首台套产品和“制造精品”的自主创新产品。</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auto"/>
          <w:spacing w:val="0"/>
          <w:kern w:val="0"/>
          <w:sz w:val="24"/>
          <w:szCs w:val="24"/>
          <w:lang w:val="en-US" w:eastAsia="zh-CN" w:bidi="ar"/>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.4.2首台套产品被纳入《首台套产品推广应用指导目录》之日起</w:t>
      </w:r>
      <w:r>
        <w:rPr>
          <w:rFonts w:hint="eastAsia" w:ascii="仿宋_GB2312" w:hAnsi="仿宋_GB2312" w:eastAsia="仿宋_GB2312" w:cs="仿宋_GB2312"/>
          <w:b/>
          <w:bCs/>
          <w:i w:val="0"/>
          <w:caps w:val="0"/>
          <w:color w:val="auto"/>
          <w:spacing w:val="0"/>
          <w:kern w:val="0"/>
          <w:sz w:val="24"/>
          <w:szCs w:val="24"/>
          <w:lang w:val="en-US" w:eastAsia="zh-CN" w:bidi="ar"/>
        </w:rPr>
        <w:t>3年内</w:t>
      </w:r>
      <w:r>
        <w:rPr>
          <w:rFonts w:hint="eastAsia" w:ascii="仿宋_GB2312" w:hAnsi="仿宋_GB2312" w:eastAsia="仿宋_GB2312" w:cs="仿宋_GB2312"/>
          <w:b w:val="0"/>
          <w:bCs w:val="0"/>
          <w:i w:val="0"/>
          <w:caps w:val="0"/>
          <w:color w:val="auto"/>
          <w:spacing w:val="0"/>
          <w:kern w:val="0"/>
          <w:sz w:val="24"/>
          <w:szCs w:val="24"/>
          <w:lang w:val="en-US" w:eastAsia="zh-CN" w:bidi="ar"/>
        </w:rPr>
        <w:t>，以及产品核心技术高于国内领先水平，并具有明晰自主知识产权的“制造精品”产品，自认定之日起2年内视同已具备相应销售业绩，参加政府采购活动时业绩分值为满分。</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color w:val="auto"/>
        </w:rPr>
      </w:pPr>
      <w:r>
        <w:rPr>
          <w:rFonts w:hint="eastAsia" w:ascii="仿宋_GB2312" w:hAnsi="仿宋_GB2312" w:eastAsia="仿宋_GB2312" w:cs="仿宋_GB2312"/>
          <w:b w:val="0"/>
          <w:bCs w:val="0"/>
          <w:i w:val="0"/>
          <w:caps w:val="0"/>
          <w:color w:val="auto"/>
          <w:spacing w:val="0"/>
          <w:kern w:val="0"/>
          <w:sz w:val="24"/>
          <w:szCs w:val="24"/>
          <w:lang w:val="en-US" w:eastAsia="zh-CN" w:bidi="ar"/>
        </w:rPr>
        <w:t>33.</w:t>
      </w:r>
      <w:r>
        <w:rPr>
          <w:rFonts w:hint="default" w:ascii="仿宋_GB2312" w:hAnsi="仿宋_GB2312" w:eastAsia="仿宋_GB2312" w:cs="仿宋_GB2312"/>
          <w:b w:val="0"/>
          <w:bCs w:val="0"/>
          <w:i w:val="0"/>
          <w:caps w:val="0"/>
          <w:color w:val="auto"/>
          <w:spacing w:val="0"/>
          <w:kern w:val="0"/>
          <w:sz w:val="24"/>
          <w:szCs w:val="24"/>
          <w:lang w:val="en" w:eastAsia="zh-CN" w:bidi="ar"/>
        </w:rPr>
        <w:t>1</w:t>
      </w:r>
      <w:r>
        <w:rPr>
          <w:rFonts w:hint="eastAsia" w:ascii="仿宋_GB2312" w:hAnsi="仿宋_GB2312" w:eastAsia="仿宋_GB2312" w:cs="仿宋_GB2312"/>
          <w:b w:val="0"/>
          <w:bCs w:val="0"/>
          <w:i w:val="0"/>
          <w:caps w:val="0"/>
          <w:color w:val="auto"/>
          <w:spacing w:val="0"/>
          <w:kern w:val="0"/>
          <w:sz w:val="24"/>
          <w:szCs w:val="24"/>
          <w:lang w:val="en-US" w:eastAsia="zh-CN"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pStyle w:val="3"/>
        <w:spacing w:before="0" w:after="0" w:line="420" w:lineRule="exact"/>
        <w:jc w:val="center"/>
        <w:rPr>
          <w:rFonts w:ascii="仿宋" w:hAnsi="仿宋" w:eastAsia="仿宋" w:cs="仿宋"/>
          <w:color w:val="auto"/>
          <w:sz w:val="30"/>
          <w:szCs w:val="30"/>
        </w:rPr>
      </w:pPr>
      <w:r>
        <w:rPr>
          <w:rFonts w:hint="eastAsia" w:ascii="仿宋" w:hAnsi="仿宋" w:eastAsia="仿宋" w:cs="仿宋"/>
          <w:color w:val="auto"/>
          <w:sz w:val="30"/>
          <w:szCs w:val="30"/>
        </w:rPr>
        <w:t>七、授予合同</w:t>
      </w:r>
    </w:p>
    <w:p>
      <w:pPr>
        <w:snapToGrid w:val="0"/>
        <w:spacing w:line="420" w:lineRule="exact"/>
        <w:ind w:firstLine="472" w:firstLineChars="196"/>
        <w:rPr>
          <w:rFonts w:ascii="仿宋" w:hAnsi="仿宋" w:eastAsia="仿宋" w:cs="仿宋"/>
          <w:b/>
          <w:bCs/>
          <w:color w:val="auto"/>
          <w:sz w:val="24"/>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left="403" w:leftChars="192" w:firstLine="0" w:firstLineChars="0"/>
        <w:textAlignment w:val="auto"/>
        <w:rPr>
          <w:rFonts w:ascii="仿宋" w:hAnsi="仿宋" w:eastAsia="仿宋" w:cs="仿宋_GB2312"/>
          <w:b/>
          <w:color w:val="auto"/>
          <w:sz w:val="24"/>
          <w:szCs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w:t>
      </w:r>
      <w:r>
        <w:rPr>
          <w:rFonts w:hint="eastAsia" w:ascii="仿宋" w:hAnsi="仿宋" w:eastAsia="仿宋" w:cs="仿宋_GB2312"/>
          <w:b/>
          <w:color w:val="auto"/>
          <w:sz w:val="24"/>
          <w:szCs w:val="24"/>
        </w:rPr>
        <w:t>合同的签订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.1除不可抗力等特殊情况外，采购人原则上应当在中标通知书发出之日起</w:t>
      </w:r>
      <w:r>
        <w:rPr>
          <w:rFonts w:hint="eastAsia" w:ascii="仿宋" w:hAnsi="仿宋" w:eastAsia="仿宋" w:cs="仿宋_GB2312"/>
          <w:b/>
          <w:bCs/>
          <w:color w:val="auto"/>
          <w:kern w:val="2"/>
          <w:sz w:val="24"/>
          <w:szCs w:val="24"/>
          <w:highlight w:val="yellow"/>
          <w:lang w:val="en-US" w:eastAsia="zh-CN" w:bidi="ar-SA"/>
        </w:rPr>
        <w:t>20日</w:t>
      </w:r>
      <w:r>
        <w:rPr>
          <w:rFonts w:hint="eastAsia" w:ascii="仿宋" w:hAnsi="仿宋" w:eastAsia="仿宋" w:cs="仿宋"/>
          <w:color w:val="auto"/>
          <w:sz w:val="24"/>
          <w:szCs w:val="24"/>
        </w:rPr>
        <w:t>内，与成交人按照采购文件确定的事项签订政府采购合同，并在签订之日起2个工作日内将政府采购合同在浙江政府采购网上公告。</w:t>
      </w:r>
    </w:p>
    <w:p>
      <w:pPr>
        <w:pStyle w:val="38"/>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ascii="仿宋" w:hAnsi="仿宋" w:eastAsia="仿宋"/>
          <w:color w:val="auto"/>
          <w:kern w:val="0"/>
          <w:sz w:val="24"/>
          <w:szCs w:val="24"/>
        </w:rPr>
      </w:pPr>
      <w:r>
        <w:rPr>
          <w:rFonts w:hint="eastAsia" w:ascii="仿宋" w:hAnsi="仿宋" w:eastAsia="仿宋" w:cs="仿宋_GB2312"/>
          <w:color w:val="auto"/>
          <w:kern w:val="0"/>
          <w:sz w:val="24"/>
          <w:szCs w:val="24"/>
          <w:lang w:val="en-US" w:eastAsia="zh-CN"/>
        </w:rPr>
        <w:t>34</w:t>
      </w:r>
      <w:r>
        <w:rPr>
          <w:rFonts w:ascii="仿宋" w:hAnsi="仿宋" w:eastAsia="仿宋" w:cs="仿宋_GB2312"/>
          <w:color w:val="auto"/>
          <w:kern w:val="0"/>
          <w:sz w:val="24"/>
          <w:szCs w:val="24"/>
          <w:lang w:val="zh-CN"/>
        </w:rPr>
        <w:t>.2</w:t>
      </w:r>
      <w:r>
        <w:rPr>
          <w:rFonts w:hint="eastAsia" w:ascii="仿宋" w:hAnsi="仿宋" w:eastAsia="仿宋"/>
          <w:color w:val="auto"/>
          <w:kern w:val="0"/>
          <w:sz w:val="24"/>
          <w:szCs w:val="24"/>
          <w:lang w:val="zh-CN"/>
        </w:rPr>
        <w:t>成交人按规定的日期、时间、地点，由法定代表人或其授权代表与采购人代表签订合同。如成交人为联合体的，由联合体成员各方法定代表人或其授权代表与采购人代表签订合同。</w:t>
      </w:r>
    </w:p>
    <w:p>
      <w:pPr>
        <w:pStyle w:val="38"/>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ascii="仿宋" w:hAnsi="仿宋" w:eastAsia="仿宋" w:cs="仿宋_GB2312"/>
          <w:color w:val="auto"/>
          <w:sz w:val="24"/>
          <w:szCs w:val="24"/>
        </w:rPr>
      </w:pPr>
      <w:r>
        <w:rPr>
          <w:rFonts w:hint="eastAsia" w:ascii="仿宋" w:hAnsi="仿宋" w:eastAsia="仿宋" w:cs="仿宋_GB2312"/>
          <w:color w:val="auto"/>
          <w:sz w:val="24"/>
          <w:szCs w:val="24"/>
          <w:lang w:val="en-US" w:eastAsia="zh-CN"/>
        </w:rPr>
        <w:t>34</w:t>
      </w:r>
      <w:r>
        <w:rPr>
          <w:rFonts w:ascii="仿宋" w:hAnsi="仿宋" w:eastAsia="仿宋" w:cs="仿宋_GB2312"/>
          <w:color w:val="auto"/>
          <w:sz w:val="24"/>
          <w:szCs w:val="24"/>
        </w:rPr>
        <w:t>.3如签订合同并生效后，供应商无故拒绝或延期，除按照合同条款处理外，列入不良行为记录一次，并给予通报。</w:t>
      </w:r>
    </w:p>
    <w:p>
      <w:pPr>
        <w:pStyle w:val="38"/>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ascii="仿宋" w:hAnsi="仿宋" w:eastAsia="仿宋" w:cs="仿宋_GB2312"/>
          <w:color w:val="auto"/>
          <w:sz w:val="24"/>
          <w:szCs w:val="24"/>
        </w:rPr>
      </w:pPr>
      <w:r>
        <w:rPr>
          <w:rFonts w:hint="eastAsia" w:ascii="仿宋" w:hAnsi="仿宋" w:eastAsia="仿宋" w:cs="仿宋_GB2312"/>
          <w:color w:val="auto"/>
          <w:sz w:val="24"/>
          <w:szCs w:val="24"/>
          <w:lang w:val="en-US" w:eastAsia="zh-CN"/>
        </w:rPr>
        <w:t>34</w:t>
      </w:r>
      <w:r>
        <w:rPr>
          <w:rFonts w:ascii="仿宋" w:hAnsi="仿宋" w:eastAsia="仿宋" w:cs="仿宋_GB2312"/>
          <w:color w:val="auto"/>
          <w:sz w:val="24"/>
          <w:szCs w:val="24"/>
        </w:rPr>
        <w:t>.4成交人</w:t>
      </w:r>
      <w:r>
        <w:rPr>
          <w:rFonts w:hint="eastAsia" w:ascii="仿宋" w:hAnsi="仿宋" w:eastAsia="仿宋" w:cs="仿宋_GB2312"/>
          <w:color w:val="auto"/>
          <w:sz w:val="24"/>
          <w:szCs w:val="24"/>
        </w:rPr>
        <w:t>拒绝与采购人签订合同的，采购人可以按照评审报告推荐的中标或者成交候选人名单排序，确定下一候选人为成交人，也可以重新开展政府采购活动。</w:t>
      </w:r>
    </w:p>
    <w:p>
      <w:pPr>
        <w:pStyle w:val="38"/>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lang w:val="en-US" w:eastAsia="zh-CN"/>
        </w:rPr>
        <w:t>34</w:t>
      </w:r>
      <w:r>
        <w:rPr>
          <w:rFonts w:ascii="仿宋" w:hAnsi="仿宋" w:eastAsia="仿宋" w:cs="仿宋_GB2312"/>
          <w:color w:val="auto"/>
          <w:sz w:val="24"/>
          <w:szCs w:val="24"/>
        </w:rPr>
        <w:t>.5采购合同由采购人与成交人根据</w:t>
      </w:r>
      <w:r>
        <w:rPr>
          <w:rFonts w:hint="eastAsia" w:ascii="仿宋" w:hAnsi="仿宋" w:eastAsia="仿宋" w:cs="仿宋_GB2312"/>
          <w:color w:val="auto"/>
          <w:sz w:val="24"/>
          <w:szCs w:val="24"/>
        </w:rPr>
        <w:t>采购文件、磋商响应文件等内容通过政府采购电子交易平台在线签订，自动备案。</w:t>
      </w:r>
    </w:p>
    <w:p>
      <w:pPr>
        <w:spacing w:line="360" w:lineRule="auto"/>
        <w:ind w:firstLine="482" w:firstLineChars="200"/>
        <w:rPr>
          <w:rFonts w:ascii="仿宋" w:hAnsi="仿宋" w:eastAsia="仿宋" w:cs="仿宋"/>
          <w:b/>
          <w:color w:val="auto"/>
          <w:sz w:val="24"/>
        </w:rPr>
      </w:pPr>
      <w:r>
        <w:rPr>
          <w:rFonts w:hint="eastAsia" w:ascii="仿宋" w:hAnsi="仿宋" w:eastAsia="仿宋" w:cs="仿宋_GB2312"/>
          <w:b/>
          <w:bCs/>
          <w:color w:val="auto"/>
          <w:sz w:val="24"/>
          <w:szCs w:val="24"/>
          <w:lang w:val="en-US" w:eastAsia="zh-CN"/>
        </w:rPr>
        <w:t>34.6政府采购货物和服务项目不得收取质量保证金。政府采购工程以及与工程建设有关的货物、服务，采用招标方式采购的，按国家和省有关规定执行。</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403" w:leftChars="192" w:firstLine="0" w:firstLineChars="0"/>
        <w:textAlignment w:val="auto"/>
        <w:rPr>
          <w:rFonts w:hint="eastAsia" w:ascii="仿宋" w:hAnsi="仿宋" w:eastAsia="仿宋" w:cs="仿宋_GB2312"/>
          <w:b/>
          <w:color w:val="auto"/>
          <w:sz w:val="24"/>
          <w:szCs w:val="24"/>
        </w:rPr>
      </w:pPr>
      <w:r>
        <w:rPr>
          <w:rFonts w:hint="eastAsia" w:ascii="仿宋" w:hAnsi="仿宋" w:eastAsia="仿宋" w:cs="仿宋_GB2312"/>
          <w:b/>
          <w:color w:val="auto"/>
          <w:sz w:val="24"/>
          <w:szCs w:val="24"/>
          <w:lang w:val="en-US" w:eastAsia="zh-CN"/>
        </w:rPr>
        <w:t>35.</w:t>
      </w:r>
      <w:r>
        <w:rPr>
          <w:rFonts w:hint="eastAsia" w:ascii="仿宋" w:hAnsi="仿宋" w:eastAsia="仿宋" w:cs="仿宋_GB2312"/>
          <w:b/>
          <w:color w:val="auto"/>
          <w:sz w:val="24"/>
          <w:szCs w:val="24"/>
        </w:rPr>
        <w:t>履约保证金</w:t>
      </w:r>
    </w:p>
    <w:p>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rPr>
          <w:rFonts w:hint="eastAsia" w:ascii="仿宋" w:hAnsi="仿宋" w:eastAsia="仿宋"/>
          <w:b/>
          <w:bCs/>
          <w:color w:val="auto"/>
          <w:sz w:val="24"/>
          <w:szCs w:val="24"/>
        </w:rPr>
      </w:pPr>
      <w:r>
        <w:rPr>
          <w:rFonts w:hint="eastAsia" w:ascii="仿宋" w:hAnsi="仿宋" w:eastAsia="仿宋" w:cs="Helvetica"/>
          <w:b/>
          <w:bCs/>
          <w:color w:val="auto"/>
          <w:kern w:val="0"/>
          <w:sz w:val="24"/>
          <w:szCs w:val="24"/>
        </w:rPr>
        <w:t>拟签订的合同文本要求成交人提交履约保证金的，供应商应当以支票、汇票、本票或者金融机构、担保机构出具的保函等非现金形式提交</w:t>
      </w:r>
      <w:r>
        <w:rPr>
          <w:rFonts w:hint="eastAsia" w:ascii="仿宋" w:hAnsi="仿宋" w:eastAsia="仿宋"/>
          <w:b/>
          <w:bCs/>
          <w:color w:val="auto"/>
          <w:sz w:val="24"/>
          <w:szCs w:val="24"/>
        </w:rPr>
        <w:t>。履约保证金的数额不得超过政府采购合同金额的</w:t>
      </w:r>
      <w:r>
        <w:rPr>
          <w:rFonts w:hint="eastAsia" w:ascii="仿宋" w:hAnsi="仿宋" w:eastAsia="仿宋"/>
          <w:b/>
          <w:bCs/>
          <w:color w:val="auto"/>
          <w:sz w:val="24"/>
          <w:szCs w:val="24"/>
          <w:lang w:val="en-US" w:eastAsia="zh-CN"/>
        </w:rPr>
        <w:t>1</w:t>
      </w:r>
      <w:r>
        <w:rPr>
          <w:rFonts w:ascii="仿宋" w:hAnsi="仿宋" w:eastAsia="仿宋"/>
          <w:b/>
          <w:bCs/>
          <w:color w:val="auto"/>
          <w:sz w:val="24"/>
          <w:szCs w:val="24"/>
        </w:rPr>
        <w:t>%。</w:t>
      </w:r>
      <w:r>
        <w:rPr>
          <w:rFonts w:hint="eastAsia" w:ascii="仿宋" w:hAnsi="仿宋" w:eastAsia="仿宋"/>
          <w:b/>
          <w:bCs/>
          <w:color w:val="auto"/>
          <w:sz w:val="24"/>
          <w:szCs w:val="24"/>
        </w:rPr>
        <w:t>鼓励和支持供应商以履约保函形式提供履约保证金。</w:t>
      </w:r>
    </w:p>
    <w:p>
      <w:pPr>
        <w:pStyle w:val="38"/>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403" w:leftChars="192" w:firstLine="0" w:firstLineChars="0"/>
        <w:textAlignment w:val="auto"/>
        <w:rPr>
          <w:rFonts w:hint="eastAsia" w:ascii="仿宋" w:hAnsi="仿宋" w:eastAsia="仿宋" w:cs="仿宋_GB2312"/>
          <w:b/>
          <w:color w:val="auto"/>
          <w:sz w:val="24"/>
          <w:szCs w:val="24"/>
          <w:lang w:val="en-US" w:eastAsia="zh-CN"/>
        </w:rPr>
      </w:pPr>
      <w:r>
        <w:rPr>
          <w:rFonts w:hint="eastAsia" w:ascii="仿宋" w:hAnsi="仿宋" w:eastAsia="仿宋" w:cs="仿宋_GB2312"/>
          <w:b/>
          <w:color w:val="auto"/>
          <w:sz w:val="24"/>
          <w:szCs w:val="24"/>
          <w:lang w:val="en-US" w:eastAsia="zh-CN"/>
        </w:rPr>
        <w:t>36.预付款</w:t>
      </w:r>
    </w:p>
    <w:p>
      <w:pPr>
        <w:pStyle w:val="38"/>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仿宋" w:hAnsi="仿宋" w:eastAsia="仿宋" w:cs="仿宋_GB2312"/>
          <w:color w:val="auto"/>
          <w:sz w:val="24"/>
          <w:szCs w:val="24"/>
        </w:rPr>
      </w:pPr>
      <w:r>
        <w:rPr>
          <w:rFonts w:hint="eastAsia" w:ascii="仿宋" w:hAnsi="仿宋" w:eastAsia="仿宋" w:cs="仿宋_GB2312"/>
          <w:color w:val="auto"/>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ascii="仿宋" w:hAnsi="仿宋" w:eastAsia="仿宋" w:cs="仿宋_GB2312"/>
          <w:b/>
          <w:bCs/>
          <w:color w:val="auto"/>
          <w:sz w:val="24"/>
          <w:szCs w:val="24"/>
        </w:rPr>
        <w:t>人工投入为主</w:t>
      </w:r>
      <w:r>
        <w:rPr>
          <w:rFonts w:hint="eastAsia" w:ascii="仿宋" w:hAnsi="仿宋" w:eastAsia="仿宋" w:cs="仿宋_GB2312"/>
          <w:color w:val="auto"/>
          <w:sz w:val="24"/>
          <w:szCs w:val="24"/>
        </w:rPr>
        <w:t>的，可适当降低预付款比例，但不得低于</w:t>
      </w:r>
      <w:r>
        <w:rPr>
          <w:rFonts w:hint="eastAsia" w:ascii="仿宋" w:hAnsi="仿宋" w:eastAsia="仿宋" w:cs="仿宋_GB2312"/>
          <w:b/>
          <w:bCs/>
          <w:color w:val="auto"/>
          <w:sz w:val="40"/>
          <w:szCs w:val="40"/>
          <w:lang w:val="en-US" w:eastAsia="zh-CN"/>
        </w:rPr>
        <w:t>30</w:t>
      </w:r>
      <w:r>
        <w:rPr>
          <w:rFonts w:hint="eastAsia" w:ascii="仿宋" w:hAnsi="仿宋" w:eastAsia="仿宋" w:cs="仿宋_GB2312"/>
          <w:b/>
          <w:bCs/>
          <w:color w:val="auto"/>
          <w:sz w:val="40"/>
          <w:szCs w:val="40"/>
        </w:rPr>
        <w:t>%。</w:t>
      </w:r>
      <w:r>
        <w:rPr>
          <w:rFonts w:hint="eastAsia" w:ascii="仿宋" w:hAnsi="仿宋" w:eastAsia="仿宋" w:cs="仿宋_GB2312"/>
          <w:color w:val="auto"/>
          <w:sz w:val="24"/>
          <w:szCs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ascii="仿宋" w:hAnsi="仿宋" w:eastAsia="仿宋" w:cs="仿宋_GB2312"/>
          <w:color w:val="auto"/>
          <w:sz w:val="24"/>
          <w:szCs w:val="24"/>
          <w:u w:val="single"/>
        </w:rPr>
        <w:t>合同生效以及具备实施条件后</w:t>
      </w:r>
      <w:r>
        <w:rPr>
          <w:rFonts w:hint="eastAsia" w:ascii="仿宋" w:hAnsi="仿宋" w:eastAsia="仿宋" w:cs="仿宋_GB2312"/>
          <w:b/>
          <w:bCs/>
          <w:color w:val="auto"/>
          <w:sz w:val="24"/>
          <w:szCs w:val="24"/>
        </w:rPr>
        <w:t>7个工作日内</w:t>
      </w:r>
      <w:r>
        <w:rPr>
          <w:rFonts w:hint="eastAsia" w:ascii="仿宋" w:hAnsi="仿宋" w:eastAsia="仿宋" w:cs="仿宋_GB2312"/>
          <w:color w:val="auto"/>
          <w:sz w:val="24"/>
          <w:szCs w:val="24"/>
        </w:rPr>
        <w:t>支付。政府采购工程以及与工程建设有关的货物、服务，采用招标方式采购的，预付款从其相关规定。</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403" w:leftChars="192" w:firstLine="0" w:firstLineChars="0"/>
        <w:textAlignment w:val="auto"/>
        <w:rPr>
          <w:rFonts w:hint="eastAsia" w:ascii="仿宋" w:hAnsi="仿宋" w:eastAsia="仿宋" w:cs="仿宋_GB2312"/>
          <w:b/>
          <w:color w:val="auto"/>
          <w:sz w:val="24"/>
          <w:szCs w:val="24"/>
          <w:lang w:val="en-US" w:eastAsia="zh-CN"/>
        </w:rPr>
      </w:pPr>
      <w:r>
        <w:rPr>
          <w:rFonts w:hint="eastAsia" w:ascii="仿宋" w:hAnsi="仿宋" w:eastAsia="仿宋" w:cs="仿宋_GB2312"/>
          <w:b/>
          <w:color w:val="auto"/>
          <w:sz w:val="24"/>
          <w:szCs w:val="24"/>
          <w:lang w:val="en-US" w:eastAsia="zh-CN"/>
        </w:rPr>
        <w:t>37.资金支付</w:t>
      </w:r>
    </w:p>
    <w:p>
      <w:pPr>
        <w:pStyle w:val="38"/>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仿宋" w:hAnsi="仿宋" w:eastAsia="仿宋" w:cs="仿宋"/>
          <w:b/>
          <w:bCs/>
          <w:color w:val="auto"/>
          <w:sz w:val="24"/>
        </w:rPr>
      </w:pPr>
      <w:r>
        <w:rPr>
          <w:rFonts w:hint="default" w:ascii="仿宋" w:hAnsi="仿宋" w:eastAsia="仿宋" w:cs="仿宋_GB2312"/>
          <w:color w:val="auto"/>
          <w:sz w:val="24"/>
          <w:szCs w:val="24"/>
          <w:lang w:val="en-US" w:eastAsia="zh-CN"/>
        </w:rPr>
        <w:t>采购单位应当及时组织项目验收，</w:t>
      </w:r>
      <w:r>
        <w:rPr>
          <w:rFonts w:hint="default" w:ascii="仿宋" w:hAnsi="仿宋" w:eastAsia="仿宋" w:cs="仿宋_GB2312"/>
          <w:b/>
          <w:bCs/>
          <w:color w:val="auto"/>
          <w:sz w:val="24"/>
          <w:szCs w:val="24"/>
          <w:lang w:val="en-US" w:eastAsia="zh-CN"/>
        </w:rPr>
        <w:t>不得以政府部门审计作为支付供应商款项的条件。</w:t>
      </w:r>
      <w:r>
        <w:rPr>
          <w:rFonts w:hint="default" w:ascii="仿宋" w:hAnsi="仿宋" w:eastAsia="仿宋" w:cs="仿宋_GB2312"/>
          <w:color w:val="auto"/>
          <w:sz w:val="24"/>
          <w:szCs w:val="24"/>
          <w:lang w:val="en-US" w:eastAsia="zh-CN"/>
        </w:rPr>
        <w:t>采购单位对于满足合同约定支付条件的，</w:t>
      </w:r>
      <w:r>
        <w:rPr>
          <w:rFonts w:hint="default" w:ascii="仿宋" w:hAnsi="仿宋" w:eastAsia="仿宋" w:cs="仿宋_GB2312"/>
          <w:b/>
          <w:bCs/>
          <w:color w:val="auto"/>
          <w:sz w:val="24"/>
          <w:szCs w:val="24"/>
          <w:lang w:val="en-US" w:eastAsia="zh-CN"/>
        </w:rPr>
        <w:t>自收到发票后7个工作日内</w:t>
      </w:r>
      <w:r>
        <w:rPr>
          <w:rFonts w:hint="default" w:ascii="仿宋" w:hAnsi="仿宋" w:eastAsia="仿宋" w:cs="仿宋_GB2312"/>
          <w:color w:val="auto"/>
          <w:sz w:val="24"/>
          <w:szCs w:val="24"/>
          <w:lang w:val="en-US" w:eastAsia="zh-CN"/>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8.</w:t>
      </w:r>
      <w:r>
        <w:rPr>
          <w:rFonts w:hint="eastAsia" w:ascii="仿宋" w:hAnsi="仿宋" w:eastAsia="仿宋" w:cs="仿宋"/>
          <w:b/>
          <w:bCs/>
          <w:color w:val="auto"/>
          <w:sz w:val="24"/>
        </w:rPr>
        <w:t>合同一式陆份，采购单位和中标人各执两份，采监科、代理机构各执一份。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9.</w:t>
      </w:r>
      <w:r>
        <w:rPr>
          <w:rFonts w:hint="eastAsia" w:ascii="仿宋" w:hAnsi="仿宋" w:eastAsia="仿宋" w:cs="仿宋"/>
          <w:color w:val="auto"/>
          <w:sz w:val="24"/>
        </w:rPr>
        <w:t>中标人和采购单位不得擅自变更、中止或者终止合同，不得另外订立背离合同实质性内容的其它协议。</w:t>
      </w:r>
    </w:p>
    <w:p>
      <w:pPr>
        <w:rPr>
          <w:rFonts w:ascii="仿宋" w:hAnsi="仿宋" w:eastAsia="仿宋" w:cs="仿宋"/>
          <w:color w:val="auto"/>
        </w:rPr>
      </w:pPr>
      <w:bookmarkStart w:id="6" w:name="_Toc339459646"/>
      <w:bookmarkStart w:id="7" w:name="_Toc352165696"/>
      <w:bookmarkStart w:id="8" w:name="_Toc125344511"/>
    </w:p>
    <w:p>
      <w:pPr>
        <w:pStyle w:val="3"/>
        <w:numPr>
          <w:ilvl w:val="0"/>
          <w:numId w:val="2"/>
        </w:numPr>
        <w:spacing w:before="0" w:after="0" w:line="420" w:lineRule="exact"/>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验收</w:t>
      </w:r>
    </w:p>
    <w:p>
      <w:pPr>
        <w:spacing w:line="360" w:lineRule="auto"/>
        <w:ind w:firstLine="480" w:firstLineChars="200"/>
        <w:rPr>
          <w:rFonts w:ascii="仿宋" w:hAnsi="仿宋" w:eastAsia="仿宋" w:cs="Helvetica"/>
          <w:color w:val="auto"/>
          <w:kern w:val="0"/>
          <w:sz w:val="24"/>
          <w:szCs w:val="24"/>
        </w:rPr>
      </w:pPr>
      <w:r>
        <w:rPr>
          <w:rFonts w:hint="eastAsia" w:ascii="仿宋" w:hAnsi="仿宋" w:eastAsia="仿宋" w:cs="Helvetica"/>
          <w:color w:val="auto"/>
          <w:kern w:val="0"/>
          <w:sz w:val="24"/>
          <w:szCs w:val="24"/>
          <w:lang w:val="en-US" w:eastAsia="zh-CN"/>
        </w:rPr>
        <w:t>40.</w:t>
      </w:r>
      <w:r>
        <w:rPr>
          <w:rFonts w:ascii="仿宋" w:hAnsi="仿宋" w:eastAsia="仿宋" w:cs="Helvetica"/>
          <w:color w:val="auto"/>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仿宋" w:hAnsi="仿宋" w:eastAsia="仿宋" w:cs="Helvetica"/>
          <w:color w:val="auto"/>
          <w:kern w:val="0"/>
          <w:sz w:val="24"/>
          <w:szCs w:val="24"/>
        </w:rPr>
      </w:pPr>
      <w:r>
        <w:rPr>
          <w:rFonts w:hint="eastAsia" w:ascii="仿宋" w:hAnsi="仿宋" w:eastAsia="仿宋" w:cs="Helvetica"/>
          <w:color w:val="auto"/>
          <w:kern w:val="0"/>
          <w:sz w:val="24"/>
          <w:szCs w:val="24"/>
          <w:lang w:val="en-US" w:eastAsia="zh-CN"/>
        </w:rPr>
        <w:t>41.</w:t>
      </w:r>
      <w:r>
        <w:rPr>
          <w:rFonts w:ascii="仿宋" w:hAnsi="仿宋" w:eastAsia="仿宋" w:cs="Helvetica"/>
          <w:color w:val="auto"/>
          <w:kern w:val="0"/>
          <w:sz w:val="24"/>
          <w:szCs w:val="24"/>
        </w:rPr>
        <w:t>采购人可以邀请参加本项目的其他供应商或者第三方机构参与验收。参与验收的供应商或者第三方机构的意见作为</w:t>
      </w:r>
      <w:r>
        <w:rPr>
          <w:rFonts w:hint="eastAsia" w:ascii="仿宋" w:hAnsi="仿宋" w:eastAsia="仿宋" w:cs="Helvetica"/>
          <w:color w:val="auto"/>
          <w:kern w:val="0"/>
          <w:sz w:val="24"/>
          <w:szCs w:val="24"/>
        </w:rPr>
        <w:t>验收书的参考资料一并存档。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Helvetica"/>
          <w:color w:val="auto"/>
          <w:kern w:val="0"/>
          <w:sz w:val="24"/>
          <w:szCs w:val="24"/>
        </w:rPr>
      </w:pPr>
      <w:r>
        <w:rPr>
          <w:rFonts w:hint="eastAsia" w:ascii="仿宋" w:hAnsi="仿宋" w:eastAsia="仿宋" w:cs="Helvetica"/>
          <w:color w:val="auto"/>
          <w:kern w:val="0"/>
          <w:sz w:val="24"/>
          <w:szCs w:val="24"/>
          <w:lang w:val="en-US" w:eastAsia="zh-CN"/>
        </w:rPr>
        <w:t>42.</w:t>
      </w:r>
      <w:r>
        <w:rPr>
          <w:rFonts w:ascii="仿宋" w:hAnsi="仿宋" w:eastAsia="仿宋" w:cs="Helvetica"/>
          <w:color w:val="auto"/>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Helvetica"/>
          <w:color w:val="auto"/>
          <w:kern w:val="0"/>
          <w:sz w:val="24"/>
          <w:szCs w:val="24"/>
        </w:rPr>
      </w:pPr>
      <w:r>
        <w:rPr>
          <w:rFonts w:hint="eastAsia" w:ascii="仿宋" w:hAnsi="仿宋" w:eastAsia="仿宋" w:cs="Helvetica"/>
          <w:color w:val="auto"/>
          <w:kern w:val="0"/>
          <w:sz w:val="24"/>
          <w:szCs w:val="24"/>
          <w:lang w:val="en-US" w:eastAsia="zh-CN"/>
        </w:rPr>
        <w:t>43.</w:t>
      </w:r>
      <w:r>
        <w:rPr>
          <w:rFonts w:hint="eastAsia" w:ascii="仿宋" w:hAnsi="仿宋" w:eastAsia="仿宋" w:cs="仿宋"/>
          <w:color w:val="auto"/>
          <w:sz w:val="24"/>
          <w:szCs w:val="24"/>
        </w:rPr>
        <w:t>采购人原则上</w:t>
      </w:r>
      <w:r>
        <w:rPr>
          <w:rFonts w:hint="eastAsia" w:ascii="仿宋" w:hAnsi="仿宋" w:eastAsia="仿宋" w:cs="Helvetica"/>
          <w:color w:val="auto"/>
          <w:kern w:val="0"/>
          <w:sz w:val="24"/>
          <w:szCs w:val="24"/>
        </w:rPr>
        <w:t>应当在</w:t>
      </w:r>
      <w:r>
        <w:rPr>
          <w:rFonts w:hint="eastAsia" w:ascii="仿宋" w:hAnsi="仿宋" w:eastAsia="仿宋" w:cs="Helvetica"/>
          <w:color w:val="auto"/>
          <w:kern w:val="0"/>
          <w:sz w:val="24"/>
          <w:szCs w:val="24"/>
          <w:lang w:eastAsia="zh-CN"/>
        </w:rPr>
        <w:t>履约验收</w:t>
      </w:r>
      <w:r>
        <w:rPr>
          <w:rFonts w:hint="eastAsia" w:ascii="仿宋" w:hAnsi="仿宋" w:eastAsia="仿宋" w:cs="Helvetica"/>
          <w:color w:val="auto"/>
          <w:kern w:val="0"/>
          <w:sz w:val="24"/>
          <w:szCs w:val="24"/>
        </w:rPr>
        <w:t>之日起</w:t>
      </w:r>
      <w:r>
        <w:rPr>
          <w:rFonts w:hint="eastAsia" w:ascii="仿宋" w:hAnsi="仿宋" w:eastAsia="仿宋" w:cs="Helvetica"/>
          <w:color w:val="auto"/>
          <w:kern w:val="0"/>
          <w:sz w:val="24"/>
          <w:szCs w:val="24"/>
          <w:lang w:val="en-US" w:eastAsia="zh-CN"/>
        </w:rPr>
        <w:t>2</w:t>
      </w:r>
      <w:r>
        <w:rPr>
          <w:rFonts w:hint="eastAsia" w:ascii="仿宋" w:hAnsi="仿宋" w:eastAsia="仿宋" w:cs="Helvetica"/>
          <w:color w:val="auto"/>
          <w:kern w:val="0"/>
          <w:sz w:val="24"/>
          <w:szCs w:val="24"/>
        </w:rPr>
        <w:t>个工作日内</w:t>
      </w:r>
      <w:r>
        <w:rPr>
          <w:rFonts w:hint="eastAsia" w:ascii="仿宋" w:hAnsi="仿宋" w:eastAsia="仿宋" w:cs="Helvetica"/>
          <w:color w:val="auto"/>
          <w:kern w:val="0"/>
          <w:sz w:val="24"/>
          <w:szCs w:val="24"/>
          <w:lang w:eastAsia="zh-CN"/>
        </w:rPr>
        <w:t>，</w:t>
      </w:r>
      <w:r>
        <w:rPr>
          <w:rFonts w:hint="eastAsia" w:ascii="仿宋" w:hAnsi="仿宋" w:eastAsia="仿宋" w:cs="Helvetica"/>
          <w:color w:val="auto"/>
          <w:kern w:val="0"/>
          <w:sz w:val="24"/>
          <w:szCs w:val="24"/>
        </w:rPr>
        <w:t>将</w:t>
      </w:r>
      <w:r>
        <w:rPr>
          <w:rFonts w:hint="eastAsia" w:ascii="仿宋" w:hAnsi="仿宋" w:eastAsia="仿宋" w:cs="Helvetica"/>
          <w:color w:val="auto"/>
          <w:kern w:val="0"/>
          <w:sz w:val="24"/>
          <w:szCs w:val="24"/>
          <w:lang w:eastAsia="zh-CN"/>
        </w:rPr>
        <w:t>履约验收结果</w:t>
      </w:r>
      <w:r>
        <w:rPr>
          <w:rFonts w:hint="eastAsia" w:ascii="仿宋" w:hAnsi="仿宋" w:eastAsia="仿宋" w:cs="Helvetica"/>
          <w:color w:val="auto"/>
          <w:kern w:val="0"/>
          <w:sz w:val="24"/>
          <w:szCs w:val="24"/>
        </w:rPr>
        <w:t>在浙江政府采购网上公告。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Helvetica"/>
          <w:color w:val="auto"/>
          <w:kern w:val="0"/>
          <w:sz w:val="24"/>
          <w:szCs w:val="24"/>
        </w:rPr>
      </w:pPr>
      <w:r>
        <w:rPr>
          <w:rFonts w:hint="eastAsia" w:ascii="仿宋" w:hAnsi="仿宋" w:eastAsia="仿宋" w:cs="Helvetica"/>
          <w:color w:val="auto"/>
          <w:kern w:val="0"/>
          <w:sz w:val="24"/>
          <w:szCs w:val="24"/>
          <w:lang w:val="en-US" w:eastAsia="zh-CN"/>
        </w:rPr>
        <w:t>44.</w:t>
      </w:r>
      <w:r>
        <w:rPr>
          <w:rFonts w:ascii="仿宋" w:hAnsi="仿宋" w:eastAsia="仿宋" w:cs="Helvetica"/>
          <w:color w:val="auto"/>
          <w:kern w:val="0"/>
          <w:sz w:val="24"/>
          <w:szCs w:val="24"/>
        </w:rPr>
        <w:t>验收合格的项目，采购人将根据采购合同的约定及时向供应商支付采购资金、退还履约保证金。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Helvetica"/>
          <w:color w:val="auto"/>
          <w:kern w:val="0"/>
          <w:sz w:val="24"/>
          <w:szCs w:val="24"/>
          <w:lang w:eastAsia="zh-CN"/>
        </w:rPr>
      </w:pPr>
      <w:r>
        <w:rPr>
          <w:rFonts w:ascii="仿宋" w:hAnsi="仿宋" w:eastAsia="仿宋" w:cs="Helvetica"/>
          <w:color w:val="auto"/>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spacing w:before="0" w:after="0" w:line="420" w:lineRule="exact"/>
        <w:jc w:val="center"/>
        <w:rPr>
          <w:rFonts w:ascii="仿宋" w:hAnsi="仿宋" w:eastAsia="仿宋" w:cs="仿宋"/>
          <w:color w:val="auto"/>
          <w:sz w:val="30"/>
          <w:szCs w:val="30"/>
        </w:rPr>
      </w:pPr>
      <w:r>
        <w:rPr>
          <w:rFonts w:hint="eastAsia" w:ascii="仿宋" w:hAnsi="仿宋" w:eastAsia="仿宋" w:cs="仿宋"/>
          <w:color w:val="auto"/>
          <w:sz w:val="30"/>
          <w:szCs w:val="30"/>
          <w:lang w:eastAsia="zh-CN"/>
        </w:rPr>
        <w:t>九</w:t>
      </w:r>
      <w:r>
        <w:rPr>
          <w:rFonts w:hint="eastAsia" w:ascii="仿宋" w:hAnsi="仿宋" w:eastAsia="仿宋" w:cs="仿宋"/>
          <w:color w:val="auto"/>
          <w:sz w:val="30"/>
          <w:szCs w:val="30"/>
        </w:rPr>
        <w:t>、质疑和投诉</w:t>
      </w:r>
    </w:p>
    <w:p>
      <w:pPr>
        <w:snapToGrid w:val="0"/>
        <w:spacing w:line="336" w:lineRule="auto"/>
        <w:ind w:firstLine="482" w:firstLineChars="200"/>
        <w:jc w:val="left"/>
        <w:outlineLvl w:val="1"/>
        <w:rPr>
          <w:rFonts w:ascii="仿宋" w:hAnsi="仿宋" w:eastAsia="仿宋" w:cs="仿宋"/>
          <w:b/>
          <w:bCs/>
          <w:color w:val="auto"/>
          <w:sz w:val="24"/>
        </w:rPr>
      </w:pPr>
      <w:r>
        <w:rPr>
          <w:rFonts w:hint="eastAsia" w:ascii="仿宋" w:hAnsi="仿宋" w:eastAsia="仿宋" w:cs="仿宋"/>
          <w:b/>
          <w:bCs/>
          <w:color w:val="auto"/>
          <w:sz w:val="24"/>
          <w:lang w:val="en-US" w:eastAsia="zh-CN"/>
        </w:rPr>
        <w:t>45</w:t>
      </w:r>
      <w:r>
        <w:rPr>
          <w:rFonts w:hint="eastAsia" w:ascii="仿宋" w:hAnsi="仿宋" w:eastAsia="仿宋" w:cs="仿宋"/>
          <w:b/>
          <w:bCs/>
          <w:color w:val="auto"/>
          <w:sz w:val="24"/>
        </w:rPr>
        <w:t>.质疑与投诉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45</w:t>
      </w:r>
      <w:r>
        <w:rPr>
          <w:rFonts w:hint="eastAsia" w:ascii="仿宋" w:hAnsi="仿宋" w:eastAsia="仿宋" w:cs="仿宋"/>
          <w:color w:val="auto"/>
          <w:sz w:val="24"/>
        </w:rPr>
        <w:t>.1开标过程中，投标人对开标有异议的，应当在“政采云”平台上及时提出，评审委员应对异常情况制作相关记录。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45</w:t>
      </w:r>
      <w:r>
        <w:rPr>
          <w:rFonts w:hint="eastAsia" w:ascii="仿宋" w:hAnsi="仿宋" w:eastAsia="仿宋" w:cs="仿宋"/>
          <w:color w:val="auto"/>
          <w:sz w:val="24"/>
        </w:rPr>
        <w:t>.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45</w:t>
      </w:r>
      <w:r>
        <w:rPr>
          <w:rFonts w:hint="eastAsia" w:ascii="仿宋" w:hAnsi="仿宋" w:eastAsia="仿宋" w:cs="仿宋"/>
          <w:color w:val="auto"/>
          <w:sz w:val="24"/>
        </w:rPr>
        <w:t>.3质疑投诉的相关规定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（一）质疑投诉递交的资料需为书面材料。质疑投诉书面材料需法人代表人（或负责人）或授权代表签字并加盖公章。</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（二）质疑投诉属于以下情况之一的，将不予受理：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(1).质疑投诉人不是所投诉项目的参与者，或者与质疑投诉项目无任何利害关系。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(2).质疑投诉事项不具体，且未提供有效线索，难以查证。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(3).未提供书面质疑或者质疑未加盖公章的；投诉人为法人或者其他组织，其投诉书未经法定代表人或者主要负责人签字并加盖公章的。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(4).已超过招标文件规定质疑投诉提出期限的事项。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(5).投诉事项已作出处理决定，并且投诉人没有提出新的证据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(6).质疑投诉的事项已经进入行政复议或者行政诉讼程序的；投诉事项应先提出质疑而没有提出质疑的。</w:t>
      </w:r>
    </w:p>
    <w:p>
      <w:pPr>
        <w:spacing w:line="360" w:lineRule="auto"/>
        <w:ind w:firstLine="480" w:firstLineChars="200"/>
        <w:rPr>
          <w:rFonts w:ascii="仿宋" w:hAnsi="仿宋" w:eastAsia="仿宋" w:cs="仿宋"/>
          <w:color w:val="auto"/>
          <w:sz w:val="30"/>
          <w:szCs w:val="30"/>
        </w:rPr>
      </w:pPr>
      <w:r>
        <w:rPr>
          <w:rFonts w:hint="eastAsia" w:ascii="仿宋" w:hAnsi="仿宋" w:eastAsia="仿宋" w:cs="仿宋"/>
          <w:color w:val="auto"/>
          <w:sz w:val="24"/>
        </w:rPr>
        <w:t>(7).不符合《政府采购质疑和投诉办法》（财政部令第94号）等有关规定的投诉。</w:t>
      </w:r>
      <w:bookmarkEnd w:id="6"/>
      <w:bookmarkEnd w:id="7"/>
    </w:p>
    <w:p>
      <w:pPr>
        <w:pStyle w:val="3"/>
        <w:spacing w:before="0" w:after="0" w:line="420" w:lineRule="exact"/>
        <w:jc w:val="center"/>
        <w:rPr>
          <w:rFonts w:ascii="仿宋" w:hAnsi="仿宋" w:eastAsia="仿宋" w:cs="仿宋"/>
          <w:color w:val="auto"/>
          <w:sz w:val="30"/>
          <w:szCs w:val="30"/>
        </w:rPr>
      </w:pPr>
    </w:p>
    <w:p>
      <w:pPr>
        <w:pStyle w:val="3"/>
        <w:spacing w:before="0" w:after="0" w:line="420" w:lineRule="exact"/>
        <w:jc w:val="center"/>
        <w:rPr>
          <w:rFonts w:ascii="仿宋" w:hAnsi="仿宋" w:eastAsia="仿宋" w:cs="仿宋"/>
          <w:color w:val="auto"/>
          <w:sz w:val="30"/>
          <w:szCs w:val="30"/>
        </w:rPr>
      </w:pPr>
      <w:r>
        <w:rPr>
          <w:rFonts w:hint="eastAsia" w:ascii="仿宋" w:hAnsi="仿宋" w:eastAsia="仿宋" w:cs="仿宋"/>
          <w:color w:val="auto"/>
          <w:sz w:val="30"/>
          <w:szCs w:val="30"/>
          <w:lang w:eastAsia="zh-CN"/>
        </w:rPr>
        <w:t>十</w:t>
      </w:r>
      <w:r>
        <w:rPr>
          <w:rFonts w:hint="eastAsia" w:ascii="仿宋" w:hAnsi="仿宋" w:eastAsia="仿宋" w:cs="仿宋"/>
          <w:color w:val="auto"/>
          <w:sz w:val="30"/>
          <w:szCs w:val="30"/>
        </w:rPr>
        <w:t>、监督和解释</w:t>
      </w:r>
      <w:bookmarkEnd w:id="8"/>
    </w:p>
    <w:p>
      <w:pPr>
        <w:spacing w:line="420" w:lineRule="exact"/>
        <w:ind w:firstLine="482" w:firstLineChars="200"/>
        <w:rPr>
          <w:rFonts w:ascii="仿宋" w:hAnsi="仿宋" w:eastAsia="仿宋" w:cs="仿宋"/>
          <w:b/>
          <w:bCs/>
          <w:color w:val="auto"/>
          <w:sz w:val="24"/>
        </w:rPr>
      </w:pPr>
    </w:p>
    <w:p>
      <w:pPr>
        <w:snapToGrid w:val="0"/>
        <w:spacing w:line="336" w:lineRule="auto"/>
        <w:ind w:firstLine="482" w:firstLineChars="200"/>
        <w:jc w:val="left"/>
        <w:outlineLvl w:val="1"/>
        <w:rPr>
          <w:rFonts w:ascii="仿宋" w:hAnsi="仿宋" w:eastAsia="仿宋" w:cs="仿宋"/>
          <w:b/>
          <w:color w:val="auto"/>
        </w:rPr>
      </w:pPr>
      <w:r>
        <w:rPr>
          <w:rFonts w:hint="eastAsia" w:ascii="仿宋" w:hAnsi="仿宋" w:eastAsia="仿宋" w:cs="仿宋"/>
          <w:b/>
          <w:bCs/>
          <w:color w:val="auto"/>
          <w:sz w:val="24"/>
          <w:lang w:val="en-US" w:eastAsia="zh-CN"/>
        </w:rPr>
        <w:t>46</w:t>
      </w:r>
      <w:r>
        <w:rPr>
          <w:rFonts w:hint="eastAsia" w:ascii="仿宋" w:hAnsi="仿宋" w:eastAsia="仿宋" w:cs="仿宋"/>
          <w:b/>
          <w:bCs/>
          <w:color w:val="auto"/>
          <w:sz w:val="24"/>
        </w:rPr>
        <w:t>.本招标文件的解释权属于采购人和金华同慷建设管理咨询有限公司。</w:t>
      </w:r>
    </w:p>
    <w:p>
      <w:pPr>
        <w:widowControl/>
        <w:tabs>
          <w:tab w:val="left" w:pos="450"/>
          <w:tab w:val="left" w:pos="2520"/>
          <w:tab w:val="left" w:pos="8280"/>
        </w:tabs>
        <w:spacing w:line="312" w:lineRule="auto"/>
        <w:jc w:val="center"/>
        <w:rPr>
          <w:rFonts w:ascii="仿宋" w:hAnsi="仿宋" w:eastAsia="仿宋" w:cs="仿宋"/>
          <w:b/>
          <w:color w:val="auto"/>
          <w:kern w:val="44"/>
          <w:sz w:val="36"/>
          <w:szCs w:val="36"/>
        </w:rPr>
      </w:pPr>
      <w:r>
        <w:rPr>
          <w:rFonts w:hint="eastAsia" w:ascii="仿宋" w:hAnsi="仿宋" w:eastAsia="仿宋" w:cs="仿宋"/>
          <w:b/>
          <w:color w:val="auto"/>
          <w:sz w:val="32"/>
          <w:szCs w:val="32"/>
        </w:rPr>
        <w:br w:type="page"/>
      </w:r>
      <w:r>
        <w:rPr>
          <w:rFonts w:hint="eastAsia" w:ascii="仿宋" w:hAnsi="仿宋" w:eastAsia="仿宋" w:cs="仿宋"/>
          <w:b/>
          <w:color w:val="auto"/>
          <w:kern w:val="44"/>
          <w:sz w:val="36"/>
          <w:szCs w:val="36"/>
        </w:rPr>
        <w:t>第三章  招标需求</w:t>
      </w:r>
    </w:p>
    <w:p>
      <w:pPr>
        <w:numPr>
          <w:ilvl w:val="0"/>
          <w:numId w:val="3"/>
        </w:numPr>
        <w:autoSpaceDE w:val="0"/>
        <w:autoSpaceDN w:val="0"/>
        <w:adjustRightInd w:val="0"/>
        <w:spacing w:line="480" w:lineRule="exact"/>
        <w:ind w:firstLine="482" w:firstLineChars="200"/>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项目</w:t>
      </w:r>
      <w:r>
        <w:rPr>
          <w:rFonts w:hint="eastAsia" w:ascii="仿宋" w:hAnsi="仿宋" w:eastAsia="仿宋" w:cs="仿宋"/>
          <w:b/>
          <w:color w:val="auto"/>
          <w:kern w:val="0"/>
          <w:sz w:val="24"/>
          <w:szCs w:val="24"/>
          <w:lang w:eastAsia="zh-CN"/>
        </w:rPr>
        <w:t>内容</w:t>
      </w:r>
    </w:p>
    <w:tbl>
      <w:tblPr>
        <w:tblStyle w:val="2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121"/>
        <w:gridCol w:w="1069"/>
        <w:gridCol w:w="1100"/>
        <w:gridCol w:w="1562"/>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73" w:type="dxa"/>
            <w:noWrap w:val="0"/>
            <w:vAlign w:val="center"/>
          </w:tcPr>
          <w:p>
            <w:pPr>
              <w:autoSpaceDE w:val="0"/>
              <w:autoSpaceDN w:val="0"/>
              <w:adjustRightInd w:val="0"/>
              <w:spacing w:line="300" w:lineRule="exact"/>
              <w:jc w:val="center"/>
              <w:rPr>
                <w:rFonts w:hint="eastAsia" w:ascii="仿宋" w:hAnsi="仿宋" w:eastAsia="仿宋" w:cs="仿宋"/>
                <w:b/>
                <w:bCs/>
                <w:color w:val="auto"/>
                <w:kern w:val="0"/>
                <w:sz w:val="24"/>
                <w:szCs w:val="24"/>
              </w:rPr>
            </w:pPr>
            <w:bookmarkStart w:id="9" w:name="_Toc160850497"/>
            <w:bookmarkStart w:id="10" w:name="_Toc178576792"/>
            <w:r>
              <w:rPr>
                <w:rFonts w:hint="eastAsia" w:ascii="仿宋" w:hAnsi="仿宋" w:eastAsia="仿宋" w:cs="仿宋"/>
                <w:b/>
                <w:bCs/>
                <w:color w:val="auto"/>
                <w:kern w:val="0"/>
                <w:sz w:val="24"/>
                <w:szCs w:val="24"/>
              </w:rPr>
              <w:t>序号</w:t>
            </w:r>
          </w:p>
        </w:tc>
        <w:tc>
          <w:tcPr>
            <w:tcW w:w="3121" w:type="dxa"/>
            <w:noWrap w:val="0"/>
            <w:vAlign w:val="center"/>
          </w:tcPr>
          <w:p>
            <w:pPr>
              <w:autoSpaceDE w:val="0"/>
              <w:autoSpaceDN w:val="0"/>
              <w:adjustRightInd w:val="0"/>
              <w:spacing w:line="30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项目名称</w:t>
            </w:r>
          </w:p>
        </w:tc>
        <w:tc>
          <w:tcPr>
            <w:tcW w:w="1069" w:type="dxa"/>
            <w:noWrap w:val="0"/>
            <w:vAlign w:val="center"/>
          </w:tcPr>
          <w:p>
            <w:pPr>
              <w:snapToGrid w:val="0"/>
              <w:jc w:val="center"/>
              <w:rPr>
                <w:rFonts w:hint="eastAsia" w:ascii="仿宋" w:hAnsi="仿宋" w:eastAsia="仿宋" w:cs="仿宋"/>
                <w:b/>
                <w:bCs/>
                <w:color w:val="000000"/>
                <w:sz w:val="24"/>
                <w:szCs w:val="21"/>
                <w:lang w:val="en-US" w:eastAsia="zh-CN" w:bidi="ar-SA"/>
              </w:rPr>
            </w:pPr>
            <w:r>
              <w:rPr>
                <w:rFonts w:hint="eastAsia" w:ascii="仿宋" w:hAnsi="仿宋" w:eastAsia="仿宋" w:cs="仿宋"/>
                <w:b/>
                <w:bCs/>
                <w:color w:val="000000"/>
                <w:sz w:val="24"/>
              </w:rPr>
              <w:t>数量</w:t>
            </w:r>
          </w:p>
        </w:tc>
        <w:tc>
          <w:tcPr>
            <w:tcW w:w="1100" w:type="dxa"/>
            <w:noWrap w:val="0"/>
            <w:vAlign w:val="center"/>
          </w:tcPr>
          <w:p>
            <w:pPr>
              <w:jc w:val="center"/>
              <w:rPr>
                <w:rFonts w:hint="eastAsia" w:ascii="仿宋" w:hAnsi="仿宋" w:eastAsia="仿宋" w:cs="仿宋"/>
                <w:b/>
                <w:bCs/>
                <w:color w:val="000000"/>
                <w:sz w:val="24"/>
                <w:szCs w:val="21"/>
                <w:lang w:val="en-US" w:eastAsia="zh-CN" w:bidi="ar-SA"/>
              </w:rPr>
            </w:pPr>
            <w:r>
              <w:rPr>
                <w:rFonts w:hint="eastAsia" w:ascii="仿宋" w:hAnsi="仿宋" w:eastAsia="仿宋" w:cs="仿宋"/>
                <w:b/>
                <w:bCs/>
                <w:color w:val="000000"/>
                <w:sz w:val="24"/>
              </w:rPr>
              <w:t>单位</w:t>
            </w:r>
          </w:p>
        </w:tc>
        <w:tc>
          <w:tcPr>
            <w:tcW w:w="1562" w:type="dxa"/>
            <w:noWrap w:val="0"/>
            <w:vAlign w:val="center"/>
          </w:tcPr>
          <w:p>
            <w:pPr>
              <w:autoSpaceDE w:val="0"/>
              <w:autoSpaceDN w:val="0"/>
              <w:adjustRightInd w:val="0"/>
              <w:spacing w:line="300" w:lineRule="exact"/>
              <w:jc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最高限价</w:t>
            </w:r>
          </w:p>
        </w:tc>
        <w:tc>
          <w:tcPr>
            <w:tcW w:w="1777" w:type="dxa"/>
            <w:noWrap w:val="0"/>
            <w:vAlign w:val="center"/>
          </w:tcPr>
          <w:p>
            <w:pPr>
              <w:autoSpaceDE w:val="0"/>
              <w:autoSpaceDN w:val="0"/>
              <w:adjustRightInd w:val="0"/>
              <w:spacing w:line="30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73" w:type="dxa"/>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121" w:type="dxa"/>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武义县公共卫生中心实验楼和血站专业改造项目</w:t>
            </w:r>
          </w:p>
        </w:tc>
        <w:tc>
          <w:tcPr>
            <w:tcW w:w="1069" w:type="dxa"/>
            <w:noWrap w:val="0"/>
            <w:vAlign w:val="center"/>
          </w:tcPr>
          <w:p>
            <w:pPr>
              <w:spacing w:line="360" w:lineRule="auto"/>
              <w:jc w:val="center"/>
              <w:rPr>
                <w:rFonts w:hint="eastAsia" w:ascii="仿宋" w:hAnsi="仿宋" w:eastAsia="仿宋" w:cs="仿宋"/>
                <w:color w:val="000000"/>
                <w:sz w:val="24"/>
                <w:szCs w:val="21"/>
                <w:lang w:val="en-US" w:eastAsia="zh-CN" w:bidi="ar-SA"/>
              </w:rPr>
            </w:pPr>
            <w:r>
              <w:rPr>
                <w:rFonts w:hint="eastAsia" w:ascii="仿宋" w:hAnsi="仿宋" w:eastAsia="仿宋" w:cs="仿宋"/>
                <w:color w:val="000000"/>
                <w:sz w:val="24"/>
              </w:rPr>
              <w:t>1</w:t>
            </w:r>
          </w:p>
        </w:tc>
        <w:tc>
          <w:tcPr>
            <w:tcW w:w="1100" w:type="dxa"/>
            <w:noWrap w:val="0"/>
            <w:vAlign w:val="center"/>
          </w:tcPr>
          <w:p>
            <w:pPr>
              <w:spacing w:line="360" w:lineRule="auto"/>
              <w:jc w:val="center"/>
              <w:rPr>
                <w:rFonts w:hint="eastAsia" w:ascii="仿宋" w:hAnsi="仿宋" w:eastAsia="仿宋" w:cs="仿宋"/>
                <w:color w:val="000000"/>
                <w:sz w:val="24"/>
                <w:szCs w:val="21"/>
                <w:lang w:val="en-US" w:eastAsia="zh-CN" w:bidi="ar-SA"/>
              </w:rPr>
            </w:pPr>
            <w:r>
              <w:rPr>
                <w:rFonts w:hint="eastAsia" w:ascii="仿宋" w:hAnsi="仿宋" w:eastAsia="仿宋" w:cs="仿宋"/>
                <w:color w:val="000000"/>
                <w:sz w:val="24"/>
                <w:lang w:eastAsia="zh-CN"/>
              </w:rPr>
              <w:t>项</w:t>
            </w:r>
          </w:p>
        </w:tc>
        <w:tc>
          <w:tcPr>
            <w:tcW w:w="1562" w:type="dxa"/>
            <w:noWrap w:val="0"/>
            <w:vAlign w:val="center"/>
          </w:tcPr>
          <w:p>
            <w:pPr>
              <w:autoSpaceDE w:val="0"/>
              <w:autoSpaceDN w:val="0"/>
              <w:adjustRightInd w:val="0"/>
              <w:spacing w:line="300" w:lineRule="exact"/>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15811347</w:t>
            </w:r>
            <w:r>
              <w:rPr>
                <w:rFonts w:hint="eastAsia" w:ascii="仿宋" w:hAnsi="仿宋" w:eastAsia="仿宋" w:cs="仿宋"/>
                <w:color w:val="auto"/>
                <w:kern w:val="0"/>
                <w:sz w:val="24"/>
                <w:szCs w:val="24"/>
              </w:rPr>
              <w:t>元</w:t>
            </w:r>
          </w:p>
        </w:tc>
        <w:tc>
          <w:tcPr>
            <w:tcW w:w="1777" w:type="dxa"/>
            <w:noWrap w:val="0"/>
            <w:vAlign w:val="center"/>
          </w:tcPr>
          <w:p>
            <w:pPr>
              <w:autoSpaceDE w:val="0"/>
              <w:autoSpaceDN w:val="0"/>
              <w:adjustRightInd w:val="0"/>
              <w:spacing w:line="30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rPr>
              <w:t>按采购人指定地点交货</w:t>
            </w:r>
            <w:r>
              <w:rPr>
                <w:rFonts w:hint="eastAsia" w:ascii="仿宋" w:hAnsi="仿宋" w:eastAsia="仿宋" w:cs="仿宋"/>
                <w:color w:val="auto"/>
                <w:sz w:val="24"/>
                <w:szCs w:val="24"/>
                <w:lang w:eastAsia="zh-CN"/>
              </w:rPr>
              <w:t>安装</w:t>
            </w:r>
            <w:r>
              <w:rPr>
                <w:rFonts w:hint="eastAsia" w:ascii="仿宋" w:hAnsi="仿宋" w:eastAsia="仿宋" w:cs="仿宋"/>
                <w:color w:val="auto"/>
                <w:sz w:val="24"/>
                <w:szCs w:val="24"/>
              </w:rPr>
              <w:t>。</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right="0" w:firstLine="482" w:firstLineChars="200"/>
        <w:jc w:val="left"/>
        <w:textAlignment w:val="auto"/>
        <w:outlineLvl w:val="1"/>
        <w:rPr>
          <w:rFonts w:hint="eastAsia" w:ascii="仿宋" w:hAnsi="仿宋" w:eastAsia="仿宋" w:cs="仿宋"/>
          <w:b/>
          <w:color w:val="000000"/>
          <w:sz w:val="24"/>
          <w:szCs w:val="24"/>
          <w:lang w:eastAsia="zh-CN"/>
        </w:rPr>
      </w:pPr>
      <w:r>
        <w:rPr>
          <w:rFonts w:hint="eastAsia" w:ascii="仿宋" w:hAnsi="仿宋" w:eastAsia="仿宋" w:cs="仿宋"/>
          <w:b/>
          <w:color w:val="auto"/>
          <w:sz w:val="24"/>
          <w:szCs w:val="24"/>
        </w:rPr>
        <w:t>二、</w:t>
      </w:r>
      <w:bookmarkEnd w:id="9"/>
      <w:bookmarkEnd w:id="10"/>
      <w:r>
        <w:rPr>
          <w:rFonts w:hint="eastAsia" w:ascii="仿宋" w:hAnsi="仿宋" w:eastAsia="仿宋" w:cs="仿宋"/>
          <w:b/>
          <w:color w:val="000000"/>
          <w:sz w:val="24"/>
          <w:szCs w:val="24"/>
        </w:rPr>
        <w:t>实验室装饰系统</w:t>
      </w:r>
      <w:r>
        <w:rPr>
          <w:rFonts w:hint="eastAsia" w:ascii="仿宋" w:hAnsi="仿宋" w:eastAsia="仿宋" w:cs="仿宋"/>
          <w:b/>
          <w:color w:val="000000"/>
          <w:sz w:val="24"/>
          <w:szCs w:val="24"/>
          <w:lang w:eastAsia="zh-CN"/>
        </w:rPr>
        <w:t>技术要求</w:t>
      </w:r>
    </w:p>
    <w:p>
      <w:pPr>
        <w:pStyle w:val="4"/>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1、墙面</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rPr>
        <w:t>手工岩棉保温彩钢板</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bCs/>
          <w:sz w:val="24"/>
        </w:rPr>
      </w:pPr>
      <w:r>
        <w:rPr>
          <w:rFonts w:hint="eastAsia" w:ascii="仿宋" w:hAnsi="仿宋" w:eastAsia="仿宋" w:cs="仿宋"/>
          <w:sz w:val="24"/>
        </w:rPr>
        <w:t>1)采用厚度≥50mm厚手工岩棉保温彩钢板，</w:t>
      </w:r>
      <w:r>
        <w:rPr>
          <w:rFonts w:hint="eastAsia" w:ascii="仿宋" w:hAnsi="仿宋" w:eastAsia="仿宋" w:cs="仿宋"/>
          <w:bCs/>
          <w:sz w:val="24"/>
        </w:rPr>
        <w:t>吸声、隔音、保温、防震、防虫、防水防潮、不受凝结水珠和潮湿空气影响，无毒无味无污染。</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2)彩钢板厚度≥50mm，彩钢板基板厚度δ≥0.476mm，传热系数≤0.73W/(㎡.k)，粘接强度≥0.15MPa，剥离性能≥85%，抗弯承载力≥0.9KN/㎡；两面钢板≥0.5mm，岩棉容重≥100Kg/m³，耐火性能满足GB/T9978-2008.1.10.2.2要求的≥60min要求。</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lang w:eastAsia="zh-CN"/>
        </w:rPr>
      </w:pPr>
      <w:r>
        <w:rPr>
          <w:rFonts w:hint="eastAsia" w:ascii="仿宋" w:hAnsi="仿宋" w:eastAsia="仿宋" w:cs="仿宋"/>
          <w:sz w:val="24"/>
        </w:rPr>
        <w:t>3）顶板与隔断立板连接处、隔断立板间转角及与地面连接处全部采用R50内圆弧铝型材修饰，不留死角。铝合金型材采用电泳或喷塑铝材</w:t>
      </w:r>
      <w:r>
        <w:rPr>
          <w:rFonts w:hint="eastAsia" w:ascii="仿宋" w:hAnsi="仿宋" w:eastAsia="仿宋" w:cs="仿宋"/>
          <w:sz w:val="24"/>
          <w:lang w:eastAsia="zh-CN"/>
        </w:rPr>
        <w:t>。</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1.2石膏板隔墙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采用75#轻钢龙骨，两面贴12mm厚纸面石膏板，中间填充50mm厚岩棉。石膏板面层刮两遍腻子，涂刷三遍乳胶漆。</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1.3轻质砖墙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新砌墙体为蒸压加气块混凝土墙，砌筑墙体应满足国家相关标准图集L13J3-3《加气混凝土砌块墙》规范相关要</w:t>
      </w:r>
      <w:r>
        <w:rPr>
          <w:rFonts w:hint="eastAsia" w:ascii="仿宋" w:hAnsi="仿宋" w:eastAsia="仿宋" w:cs="仿宋"/>
          <w:sz w:val="24"/>
          <w:szCs w:val="24"/>
        </w:rPr>
        <w:t>求</w:t>
      </w:r>
      <w:r>
        <w:rPr>
          <w:rFonts w:hint="eastAsia" w:ascii="仿宋" w:hAnsi="仿宋" w:eastAsia="仿宋" w:cs="仿宋"/>
          <w:sz w:val="24"/>
          <w:szCs w:val="24"/>
          <w:lang w:eastAsia="zh-CN"/>
        </w:rPr>
        <w:t>，</w:t>
      </w:r>
      <w:r>
        <w:rPr>
          <w:rFonts w:hint="eastAsia" w:ascii="仿宋" w:hAnsi="仿宋" w:eastAsia="仿宋" w:cs="仿宋"/>
          <w:sz w:val="24"/>
          <w:szCs w:val="24"/>
        </w:rPr>
        <w:t>砖砌隔墙墙体</w:t>
      </w:r>
      <w:r>
        <w:rPr>
          <w:rFonts w:hint="eastAsia" w:ascii="仿宋" w:hAnsi="仿宋" w:eastAsia="仿宋" w:cs="仿宋"/>
          <w:sz w:val="24"/>
          <w:szCs w:val="24"/>
          <w:lang w:eastAsia="zh-CN"/>
        </w:rPr>
        <w:t>高度至本层</w:t>
      </w:r>
      <w:r>
        <w:rPr>
          <w:rFonts w:hint="eastAsia" w:ascii="仿宋" w:hAnsi="仿宋" w:eastAsia="仿宋" w:cs="仿宋"/>
          <w:sz w:val="24"/>
          <w:szCs w:val="24"/>
        </w:rPr>
        <w:t>楼板</w:t>
      </w:r>
      <w:r>
        <w:rPr>
          <w:rFonts w:hint="eastAsia" w:ascii="仿宋" w:hAnsi="仿宋" w:eastAsia="仿宋" w:cs="仿宋"/>
          <w:sz w:val="24"/>
          <w:szCs w:val="24"/>
          <w:lang w:eastAsia="zh-CN"/>
        </w:rPr>
        <w:t>板底</w:t>
      </w:r>
      <w:r>
        <w:rPr>
          <w:rFonts w:hint="eastAsia" w:ascii="仿宋" w:hAnsi="仿宋" w:eastAsia="仿宋" w:cs="仿宋"/>
          <w:sz w:val="24"/>
          <w:szCs w:val="24"/>
        </w:rPr>
        <w:t>或梁底。</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砖墙面层</w:t>
      </w:r>
      <w:r>
        <w:rPr>
          <w:rFonts w:hint="eastAsia" w:ascii="仿宋" w:hAnsi="仿宋" w:eastAsia="仿宋" w:cs="仿宋"/>
          <w:sz w:val="24"/>
          <w:szCs w:val="24"/>
        </w:rPr>
        <w:t>外</w:t>
      </w:r>
      <w:r>
        <w:rPr>
          <w:rFonts w:hint="eastAsia" w:ascii="仿宋" w:hAnsi="仿宋" w:eastAsia="仿宋" w:cs="仿宋"/>
          <w:sz w:val="24"/>
          <w:szCs w:val="24"/>
          <w:lang w:val="en-US" w:eastAsia="zh-CN"/>
        </w:rPr>
        <w:t>刮两遍腻子，涂刷三遍乳胶漆。</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1.4成品全玻隔断</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（1）产品结构：</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隔断整体厚度≥80mm，隔断配套天地轨道、壁轨及专用龙骨；</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天轨为热熔镀锌钢板SGCC，厚度≥1.0mm；</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地轨为热熔镀锌钢板SGCC，厚度≥1.0mm；</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壁轨为热熔镀锌钢板SGCC，厚度≥1.2mm；</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所有隔断设备带及门框中需配置专用龙骨，龙骨与隔断天地轨道采用旋转插接方式固定，龙骨材质为热熔镀锌钢板SGCC，厚度≥1.5mm；</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成品隔断下部配置水平高度调节器用以吸收建筑和装饰误差；</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设备面板为热熔镀锌钢板SGCC，厚度≥0.8mm，背衬12mm高强度石膏板</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▲（2）涂装工艺：</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采用全自动粉静电末喷涂，高温固化成膜，涂装前进行脱脂、锐化处理；涂层均匀、附着力强，漆膜厚度可达60μm，漆面硬度经GB/T 6739-2006，达到4H标准，提供国家权威检测机构检测报告。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隔断及门体颜色可根据需求自由定制，颜色根据业主选样结果确定。</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投标单位需提供满足以下产品参数的检测报告：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环保性：根据HJ571-2010检测，产品总挥发性有机化合物的释放率不超过0.50mg/㎡*h(72h)；甲醛释放量不超过0.12mg/m³，提供国家权威检测机构检测报告。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抗菌性：根据ASTM G21-15标准检测，提供国家权威检测机构检测报告。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综合性能：隔断相配套的气密钢质门，门体经50万次使用寿命测试，气密性能达到8级，抗风压5级，水密性能2级，抗风压性能9级，提供国家权威检测机构检测报告。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隔声性能：隔断具备35db以上的隔音效果，提供国家权威机构检测报告。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lang w:val="en-US" w:eastAsia="zh-CN"/>
        </w:rPr>
      </w:pPr>
      <w:r>
        <w:rPr>
          <w:rFonts w:hint="eastAsia" w:ascii="仿宋" w:hAnsi="仿宋" w:eastAsia="仿宋" w:cs="仿宋"/>
          <w:sz w:val="24"/>
          <w:szCs w:val="24"/>
          <w:lang w:val="en-US" w:eastAsia="zh-CN"/>
        </w:rPr>
        <w:t>板材燃烧性能：按照GB8624-2012判定达到A（不燃性）级。</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1.5防爆墙体</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墙面做横竖向</w:t>
      </w:r>
      <w:r>
        <w:rPr>
          <w:rFonts w:hint="eastAsia" w:ascii="仿宋" w:hAnsi="仿宋" w:eastAsia="仿宋" w:cs="仿宋"/>
          <w:sz w:val="24"/>
          <w:szCs w:val="24"/>
        </w:rPr>
        <w:t>抗爆龙骨</w:t>
      </w:r>
      <w:r>
        <w:rPr>
          <w:rFonts w:hint="eastAsia" w:ascii="仿宋" w:hAnsi="仿宋" w:eastAsia="仿宋" w:cs="仿宋"/>
          <w:sz w:val="24"/>
          <w:szCs w:val="24"/>
          <w:lang w:eastAsia="zh-CN"/>
        </w:rPr>
        <w:t>（</w:t>
      </w:r>
      <w:r>
        <w:rPr>
          <w:rFonts w:hint="eastAsia" w:ascii="仿宋" w:hAnsi="仿宋" w:eastAsia="仿宋" w:cs="仿宋"/>
          <w:sz w:val="24"/>
          <w:szCs w:val="24"/>
        </w:rPr>
        <w:t>100x45x0.6mm@408mm</w:t>
      </w:r>
      <w:r>
        <w:rPr>
          <w:rFonts w:hint="eastAsia" w:ascii="仿宋" w:hAnsi="仿宋" w:eastAsia="仿宋" w:cs="仿宋"/>
          <w:sz w:val="24"/>
          <w:szCs w:val="24"/>
          <w:lang w:eastAsia="zh-CN"/>
        </w:rPr>
        <w:t>），</w:t>
      </w:r>
      <w:r>
        <w:rPr>
          <w:rFonts w:hint="eastAsia" w:ascii="仿宋" w:hAnsi="仿宋" w:eastAsia="仿宋" w:cs="仿宋"/>
          <w:sz w:val="24"/>
          <w:szCs w:val="24"/>
        </w:rPr>
        <w:t>挂9.5mm厚水泥纤维复合钢板，</w:t>
      </w:r>
      <w:r>
        <w:rPr>
          <w:rFonts w:hint="eastAsia" w:ascii="仿宋" w:hAnsi="仿宋" w:eastAsia="仿宋" w:cs="仿宋"/>
          <w:sz w:val="24"/>
          <w:szCs w:val="24"/>
          <w:lang w:eastAsia="zh-CN"/>
        </w:rPr>
        <w:t>内空腔</w:t>
      </w:r>
      <w:r>
        <w:rPr>
          <w:rFonts w:hint="eastAsia" w:ascii="仿宋" w:hAnsi="仿宋" w:eastAsia="仿宋" w:cs="仿宋"/>
          <w:sz w:val="24"/>
          <w:szCs w:val="24"/>
        </w:rPr>
        <w:t>填</w:t>
      </w:r>
      <w:r>
        <w:rPr>
          <w:rFonts w:hint="eastAsia" w:ascii="仿宋" w:hAnsi="仿宋" w:eastAsia="仿宋" w:cs="仿宋"/>
          <w:sz w:val="24"/>
          <w:szCs w:val="24"/>
          <w:lang w:eastAsia="zh-CN"/>
        </w:rPr>
        <w:t>充</w:t>
      </w:r>
      <w:r>
        <w:rPr>
          <w:rFonts w:hint="eastAsia" w:ascii="仿宋" w:hAnsi="仿宋" w:eastAsia="仿宋" w:cs="仿宋"/>
          <w:sz w:val="24"/>
          <w:szCs w:val="24"/>
        </w:rPr>
        <w:t xml:space="preserve">150mm厚岩棉。 </w:t>
      </w:r>
    </w:p>
    <w:p>
      <w:pPr>
        <w:pageBreakBefore w:val="0"/>
        <w:kinsoku/>
        <w:wordWrap/>
        <w:overflowPunct/>
        <w:topLinePunct w:val="0"/>
        <w:bidi w:val="0"/>
        <w:ind w:left="0" w:leftChars="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r>
        <w:rPr>
          <w:rFonts w:hint="eastAsia" w:ascii="仿宋" w:hAnsi="仿宋" w:eastAsia="仿宋" w:cs="仿宋"/>
          <w:color w:val="000000" w:themeColor="text1"/>
          <w:sz w:val="24"/>
          <w:lang w:val="en-US" w:eastAsia="zh-CN"/>
        </w:rPr>
        <w:t>装配式抗菌生物医疗板</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标准板尺寸：2393mm（长）*1193mm（宽）*50mm（厚）,可根据实际情况定制，最大长度2993mm，最大宽度1193mm。</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a.墙面结构为：双面50mm厚装配式抗菌生物医疗板墙体:4.5mm厚A级不燃医疗板+铝合金中字龙骨(壁厚1.2mm)+内填充防火憎水岩棉120kg/m3+4.5mm厚A级不燃医疗板，，配套金属弧形阴角不小于R10中性密封胶收边，踢脚翻边做高100(针对不同请参考踢脚施工说明)并保证同墙体平或不超过墙面，配套型材使用4*13铆钉固定同彩钢夹芯板固定。</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bCs/>
          <w:sz w:val="24"/>
          <w:szCs w:val="24"/>
          <w:lang w:val="en-US" w:eastAsia="zh-CN"/>
        </w:rPr>
        <w:t>▲</w:t>
      </w:r>
      <w:r>
        <w:rPr>
          <w:rFonts w:hint="eastAsia" w:ascii="仿宋" w:hAnsi="仿宋" w:eastAsia="仿宋" w:cs="仿宋"/>
          <w:sz w:val="24"/>
          <w:szCs w:val="24"/>
          <w:lang w:eastAsia="zh-CN"/>
        </w:rPr>
        <w:t>需提供由国家防火建筑材料质量监督检验中心提供的型式检测（安全性能）的检测报告；耐火性能</w:t>
      </w:r>
      <w:r>
        <w:rPr>
          <w:rFonts w:hint="eastAsia" w:ascii="仿宋" w:hAnsi="仿宋" w:eastAsia="仿宋" w:cs="仿宋"/>
          <w:sz w:val="24"/>
          <w:szCs w:val="24"/>
          <w:lang w:val="en-US" w:eastAsia="zh-CN"/>
        </w:rPr>
        <w:t>≥90</w:t>
      </w:r>
      <w:r>
        <w:rPr>
          <w:rFonts w:hint="eastAsia" w:ascii="仿宋" w:hAnsi="仿宋" w:eastAsia="仿宋" w:cs="仿宋"/>
          <w:sz w:val="24"/>
          <w:szCs w:val="24"/>
          <w:lang w:eastAsia="zh-CN"/>
        </w:rPr>
        <w:t>分钟。</w:t>
      </w:r>
    </w:p>
    <w:p>
      <w:pPr>
        <w:pStyle w:val="42"/>
        <w:pageBreakBefore w:val="0"/>
        <w:kinsoku/>
        <w:wordWrap/>
        <w:overflowPunct/>
        <w:topLinePunct w:val="0"/>
        <w:bidi w:val="0"/>
        <w:ind w:left="0" w:leftChars="0" w:right="0" w:firstLine="480" w:firstLineChars="200"/>
        <w:rPr>
          <w:rFonts w:hint="eastAsia" w:ascii="仿宋" w:hAnsi="仿宋" w:eastAsia="仿宋" w:cs="仿宋"/>
          <w:lang w:eastAsia="zh-CN"/>
        </w:rPr>
      </w:pPr>
      <w:r>
        <w:rPr>
          <w:rFonts w:hint="eastAsia" w:ascii="仿宋" w:hAnsi="仿宋" w:eastAsia="仿宋" w:cs="仿宋"/>
          <w:color w:val="auto"/>
          <w:sz w:val="24"/>
          <w:szCs w:val="24"/>
          <w:lang w:val="en-US" w:eastAsia="zh-CN"/>
        </w:rPr>
        <w:t>要求：能够提供满足以上参数要求的相应检测报告复印件加盖鲜章</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b .外圆柱须和板材纯平，板材和板材之间保持2.5~3.5mm板缝，并保证板面纯平；以减少微生物滋生。墙板整体承载力不应低于150kg/m2,用于疏散走道时耐火极限≥1小时。</w:t>
      </w:r>
    </w:p>
    <w:p>
      <w:pPr>
        <w:pStyle w:val="42"/>
        <w:pageBreakBefore w:val="0"/>
        <w:kinsoku/>
        <w:wordWrap/>
        <w:overflowPunct/>
        <w:topLinePunct w:val="0"/>
        <w:bidi w:val="0"/>
        <w:ind w:left="0" w:leftChars="0" w:right="0" w:firstLine="480" w:firstLineChars="200"/>
        <w:rPr>
          <w:rFonts w:hint="eastAsia" w:ascii="仿宋" w:hAnsi="仿宋" w:eastAsia="仿宋" w:cs="仿宋"/>
          <w:lang w:eastAsia="zh-CN"/>
        </w:rPr>
      </w:pPr>
      <w:r>
        <w:rPr>
          <w:rFonts w:hint="eastAsia" w:ascii="仿宋" w:hAnsi="仿宋" w:eastAsia="仿宋" w:cs="仿宋"/>
          <w:sz w:val="24"/>
          <w:szCs w:val="24"/>
          <w:lang w:val="en-US" w:eastAsia="zh-CN"/>
        </w:rPr>
        <w:t>c</w:t>
      </w: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面层</w:t>
      </w:r>
      <w:r>
        <w:rPr>
          <w:rFonts w:hint="eastAsia" w:ascii="仿宋" w:hAnsi="仿宋" w:eastAsia="仿宋" w:cs="仿宋"/>
          <w:sz w:val="24"/>
          <w:szCs w:val="24"/>
          <w:lang w:eastAsia="zh-CN"/>
        </w:rPr>
        <w:t>4.5mm厚A级不燃医疗板</w:t>
      </w:r>
      <w:r>
        <w:rPr>
          <w:rFonts w:hint="eastAsia" w:ascii="仿宋" w:hAnsi="仿宋" w:eastAsia="仿宋" w:cs="仿宋"/>
          <w:color w:val="000000" w:themeColor="text1"/>
          <w:sz w:val="24"/>
        </w:rPr>
        <w:t>，由装饰层和无机芯材经高温高压制作而成，牛皮纸和装饰纸均为</w:t>
      </w:r>
      <w:r>
        <w:rPr>
          <w:rFonts w:hint="eastAsia" w:ascii="仿宋" w:hAnsi="仿宋" w:eastAsia="仿宋" w:cs="仿宋"/>
          <w:color w:val="000000" w:themeColor="text1"/>
          <w:sz w:val="24"/>
          <w:lang w:eastAsia="zh-CN"/>
        </w:rPr>
        <w:t>精致产品。</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color w:val="000000" w:themeColor="text1"/>
          <w:sz w:val="24"/>
          <w:lang w:eastAsia="zh-CN"/>
        </w:rPr>
      </w:pPr>
      <w:r>
        <w:rPr>
          <w:rFonts w:hint="eastAsia" w:ascii="仿宋" w:hAnsi="仿宋" w:eastAsia="仿宋" w:cs="仿宋"/>
          <w:bCs/>
          <w:sz w:val="24"/>
          <w:szCs w:val="24"/>
          <w:lang w:val="en-US" w:eastAsia="zh-CN"/>
        </w:rPr>
        <w:t>▲</w:t>
      </w:r>
      <w:r>
        <w:rPr>
          <w:rFonts w:hint="eastAsia" w:ascii="仿宋" w:hAnsi="仿宋" w:eastAsia="仿宋" w:cs="仿宋"/>
          <w:color w:val="000000" w:themeColor="text1"/>
          <w:sz w:val="24"/>
        </w:rPr>
        <w:t>投标需提供</w:t>
      </w:r>
      <w:r>
        <w:rPr>
          <w:rFonts w:hint="eastAsia" w:ascii="仿宋" w:hAnsi="仿宋" w:eastAsia="仿宋" w:cs="仿宋"/>
          <w:color w:val="000000" w:themeColor="text1"/>
          <w:sz w:val="24"/>
          <w:lang w:val="en-US" w:eastAsia="zh-CN"/>
        </w:rPr>
        <w:t>医疗板</w:t>
      </w:r>
      <w:r>
        <w:rPr>
          <w:rFonts w:hint="eastAsia" w:ascii="仿宋" w:hAnsi="仿宋" w:eastAsia="仿宋" w:cs="仿宋"/>
          <w:color w:val="000000" w:themeColor="text1"/>
          <w:sz w:val="24"/>
        </w:rPr>
        <w:t>以下文件性能参数</w:t>
      </w:r>
      <w:r>
        <w:rPr>
          <w:rFonts w:hint="eastAsia" w:ascii="仿宋" w:hAnsi="仿宋" w:eastAsia="仿宋" w:cs="仿宋"/>
          <w:color w:val="000000" w:themeColor="text1"/>
          <w:sz w:val="24"/>
          <w:lang w:eastAsia="zh-CN"/>
        </w:rPr>
        <w:t>：</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燃烧性能要求：通过GB8624-2012国家标准检验，燃烧性能达到A级建筑材料要求，属于A级不燃材料，其中整体制品燃烧总热值≤1.5MJ/kg，SBI单体燃烧增长速率指数≤40W/s，600s总放热量≤2.5MJ，烟气生成速率指数≤4㎡/s2，600s总产烟量≤45㎡，600s内无燃烧滴落物或颗粒，烟气毒性等级达到ZA1级。</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（2）墙面为绿色环保产品，具备PEFC 森林认证体系认可，提供相关文件复印件。</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（3）抗菌防霉性能要求：通过JIS Z 2801:2010标准检验，对大肠杆菌、金黄色葡萄球菌、肺炎克雷伯氏菌、粪肠球菌、肠沙门氏菌肠亚的24小时抗菌活性值≥6；通过ASTM G 21-15标准检验，对巴西曲霉、绳状青霉、出芽短梗霉、球毛壳、绿色木霉的28天生长级别为0级不生长。</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（4）甲醛释放量要求：通过GB18580-2001国家标准检验，采用气候箱法，甲醛释放量≤0.050mg/m³，符合限量标识E1级技术要求。</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（5）物理性能要求：通过NEMA LD3-2005标准检验，耐污染性、易清洁、耐沸水、耐高温性能、抗落球冲击性、耐刮划性、表面耐磨性的检验结果判定合格，其中表面耐磨性（500g）≥800转，耐刮划性（金刚石划痕法）达2级，抗落球冲击性（224g）≥1.5m无变化，易清洁指数≤10。</w:t>
      </w:r>
    </w:p>
    <w:p>
      <w:pPr>
        <w:pStyle w:val="42"/>
        <w:pageBreakBefore w:val="0"/>
        <w:kinsoku/>
        <w:wordWrap/>
        <w:overflowPunct/>
        <w:topLinePunct w:val="0"/>
        <w:bidi w:val="0"/>
        <w:ind w:left="0" w:leftChars="0" w:right="0" w:firstLine="480" w:firstLineChars="200"/>
        <w:rPr>
          <w:rFonts w:hint="eastAsia" w:ascii="仿宋" w:hAnsi="仿宋" w:eastAsia="仿宋" w:cs="仿宋"/>
        </w:rPr>
      </w:pPr>
      <w:r>
        <w:rPr>
          <w:rFonts w:hint="eastAsia" w:ascii="仿宋" w:hAnsi="仿宋" w:eastAsia="仿宋" w:cs="仿宋"/>
          <w:color w:val="auto"/>
          <w:sz w:val="24"/>
          <w:szCs w:val="24"/>
          <w:lang w:val="en-US" w:eastAsia="zh-CN"/>
        </w:rPr>
        <w:t>要求：能够提供满足以上参数要求的相应检测报告复印件加盖鲜章。</w:t>
      </w:r>
    </w:p>
    <w:p>
      <w:pPr>
        <w:pStyle w:val="4"/>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2、顶面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r>
        <w:rPr>
          <w:rFonts w:hint="eastAsia" w:ascii="仿宋" w:hAnsi="仿宋" w:eastAsia="仿宋" w:cs="仿宋"/>
          <w:kern w:val="2"/>
          <w:sz w:val="24"/>
          <w:szCs w:val="24"/>
          <w:lang w:val="en-US" w:eastAsia="zh-CN" w:bidi="ar"/>
        </w:rPr>
        <w:t>手工玻镁岩棉夹芯板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（1）采用厚度≥50mm厚玻镁手工岩棉保温彩钢板，玻镁板厚度≥5mm，吸声、隔音、保温、防震、防虫、防水防潮、不受凝结水珠和潮湿空气影响，无毒无味无污染。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2）彩钢板厚度≥50mm，彩钢板基板厚度δ≥0.476mm，传热系数≤0.73W/(㎡.k)，粘接强度≥0.15MPa，剥离性能≥85%，抗弯承载力≥0.9KN/㎡；两面钢板≥0.5mm，岩棉容重≥100Kg/m³，耐火性能满足GB/T9978-2008.1.10.2.2要求的≥60min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（3）顶板与隔断立板连接处、隔断立板间转角及与地面连接处全部采用R50内圆弧铝型材修饰，不留死角。铝合金型材采用电泳或喷塑铝材；</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3"/>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w:t>
      </w:r>
      <w:r>
        <w:rPr>
          <w:rFonts w:hint="eastAsia" w:ascii="仿宋" w:hAnsi="仿宋" w:eastAsia="仿宋" w:cs="仿宋"/>
          <w:bCs/>
          <w:sz w:val="24"/>
          <w:szCs w:val="24"/>
        </w:rPr>
        <w:t>铝扣板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采用600*600*0</w:t>
      </w:r>
      <w:r>
        <w:rPr>
          <w:rFonts w:hint="eastAsia" w:ascii="仿宋" w:hAnsi="仿宋" w:eastAsia="仿宋" w:cs="仿宋"/>
          <w:kern w:val="2"/>
          <w:sz w:val="24"/>
          <w:szCs w:val="24"/>
          <w:highlight w:val="none"/>
          <w:lang w:val="en-US" w:eastAsia="zh-CN" w:bidi="ar"/>
        </w:rPr>
        <w:t>.8铝扣板</w:t>
      </w:r>
      <w:r>
        <w:rPr>
          <w:rFonts w:hint="eastAsia" w:ascii="仿宋" w:hAnsi="仿宋" w:eastAsia="仿宋" w:cs="仿宋"/>
          <w:kern w:val="2"/>
          <w:sz w:val="24"/>
          <w:szCs w:val="24"/>
          <w:lang w:val="en-US" w:eastAsia="zh-CN" w:bidi="ar"/>
        </w:rPr>
        <w:t>。顶面铝合金方板及龙骨的材质、品种、式样、规格应符合设计要求。铝合金方板表面光华，外形美观，送风均匀，安装便捷，天花板颜色需与恒温室墙体颜色搭配协调一致。全牙丝杆直径不小于φ8mm，</w:t>
      </w:r>
      <w:r>
        <w:rPr>
          <w:rFonts w:hint="eastAsia" w:ascii="仿宋" w:hAnsi="仿宋" w:eastAsia="仿宋" w:cs="仿宋"/>
          <w:bCs/>
          <w:sz w:val="24"/>
          <w:szCs w:val="24"/>
        </w:rPr>
        <w:t>38#龙骨，配三角龙骨</w:t>
      </w:r>
      <w:r>
        <w:rPr>
          <w:rFonts w:hint="eastAsia" w:ascii="仿宋" w:hAnsi="仿宋" w:eastAsia="仿宋" w:cs="仿宋"/>
          <w:kern w:val="2"/>
          <w:sz w:val="24"/>
          <w:szCs w:val="24"/>
          <w:lang w:val="en-US" w:eastAsia="zh-CN" w:bidi="ar"/>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3"/>
        <w:rPr>
          <w:rFonts w:hint="eastAsia" w:ascii="仿宋" w:hAnsi="仿宋" w:eastAsia="仿宋" w:cs="仿宋"/>
          <w:bCs/>
          <w:sz w:val="24"/>
          <w:szCs w:val="24"/>
          <w:lang w:val="en-US" w:eastAsia="zh-CN"/>
        </w:rPr>
      </w:pPr>
      <w:r>
        <w:rPr>
          <w:rFonts w:hint="eastAsia" w:ascii="仿宋" w:hAnsi="仿宋" w:eastAsia="仿宋" w:cs="仿宋"/>
          <w:kern w:val="2"/>
          <w:sz w:val="24"/>
          <w:szCs w:val="24"/>
          <w:lang w:val="en-US" w:eastAsia="zh-CN" w:bidi="ar-SA"/>
        </w:rPr>
        <w:t>2.3</w:t>
      </w:r>
      <w:r>
        <w:rPr>
          <w:rFonts w:hint="eastAsia" w:ascii="仿宋" w:hAnsi="仿宋" w:eastAsia="仿宋" w:cs="仿宋"/>
          <w:bCs/>
          <w:sz w:val="24"/>
          <w:szCs w:val="24"/>
          <w:lang w:val="en-US" w:eastAsia="zh-CN"/>
        </w:rPr>
        <w:t>原顶喷涂乳胶漆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原顶面处理平整，喷涂两遍黑色乳胶漆。</w:t>
      </w:r>
    </w:p>
    <w:p>
      <w:pPr>
        <w:pStyle w:val="4"/>
        <w:pageBreakBefore w:val="0"/>
        <w:numPr>
          <w:ilvl w:val="0"/>
          <w:numId w:val="4"/>
        </w:numPr>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地面</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▲3.1无方向同质透心PVC卷材</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无方向花纹、PVC</w:t>
      </w:r>
      <w:r>
        <w:rPr>
          <w:rFonts w:hint="eastAsia" w:ascii="仿宋" w:hAnsi="仿宋" w:eastAsia="仿宋" w:cs="仿宋"/>
          <w:kern w:val="2"/>
          <w:sz w:val="24"/>
          <w:szCs w:val="24"/>
          <w:lang w:val="en-US" w:eastAsia="zh-CN" w:bidi="ar"/>
        </w:rPr>
        <w:t>晶体颗粒贯穿整个地板厚度。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 w:val="0"/>
          <w:bCs w:val="0"/>
          <w:kern w:val="2"/>
          <w:sz w:val="24"/>
          <w:szCs w:val="24"/>
          <w:lang w:val="en-US" w:eastAsia="zh-CN" w:bidi="ar"/>
        </w:rPr>
        <w:t>（1）</w:t>
      </w:r>
      <w:r>
        <w:rPr>
          <w:rFonts w:hint="eastAsia" w:ascii="仿宋" w:hAnsi="仿宋" w:eastAsia="仿宋" w:cs="仿宋"/>
          <w:bCs/>
          <w:sz w:val="24"/>
          <w:szCs w:val="24"/>
          <w:lang w:val="en-US" w:eastAsia="zh-CN"/>
        </w:rPr>
        <w:t>厚度：2mm，宽度：≥2m，长度：≥20m。</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 w:val="0"/>
          <w:bCs w:val="0"/>
          <w:kern w:val="2"/>
          <w:sz w:val="24"/>
          <w:szCs w:val="24"/>
          <w:lang w:val="en-US" w:eastAsia="zh-CN" w:bidi="ar"/>
        </w:rPr>
        <w:t>（2）</w:t>
      </w:r>
      <w:r>
        <w:rPr>
          <w:rFonts w:hint="eastAsia" w:ascii="仿宋" w:hAnsi="仿宋" w:eastAsia="仿宋" w:cs="仿宋"/>
          <w:bCs/>
          <w:sz w:val="24"/>
          <w:szCs w:val="24"/>
          <w:lang w:val="en-US" w:eastAsia="zh-CN"/>
        </w:rPr>
        <w:t>防火等级不低于B1级，提供国标检测报告(GB8624-2012)。</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 w:val="0"/>
          <w:bCs w:val="0"/>
          <w:kern w:val="2"/>
          <w:sz w:val="24"/>
          <w:szCs w:val="24"/>
          <w:lang w:val="en-US" w:eastAsia="zh-CN" w:bidi="ar"/>
        </w:rPr>
        <w:t>（3）</w:t>
      </w:r>
      <w:r>
        <w:rPr>
          <w:rFonts w:hint="eastAsia" w:ascii="仿宋" w:hAnsi="仿宋" w:eastAsia="仿宋" w:cs="仿宋"/>
          <w:bCs/>
          <w:sz w:val="24"/>
          <w:szCs w:val="24"/>
          <w:lang w:val="en-US" w:eastAsia="zh-CN"/>
        </w:rPr>
        <w:t>耐磨等级：耐磨等级不低于欧洲标准T级(EN660-2)。</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 w:val="0"/>
          <w:bCs w:val="0"/>
          <w:kern w:val="2"/>
          <w:sz w:val="24"/>
          <w:szCs w:val="24"/>
          <w:lang w:val="en-US" w:eastAsia="zh-CN" w:bidi="ar"/>
        </w:rPr>
        <w:t>（4）</w:t>
      </w:r>
      <w:r>
        <w:rPr>
          <w:rFonts w:hint="eastAsia" w:ascii="仿宋" w:hAnsi="仿宋" w:eastAsia="仿宋" w:cs="仿宋"/>
          <w:bCs/>
          <w:sz w:val="24"/>
          <w:szCs w:val="24"/>
          <w:lang w:val="en-US" w:eastAsia="zh-CN"/>
        </w:rPr>
        <w:t>厂家必须具备生产性质ISO9001和ISO14001的认证，必须为品牌原厂生产，不接受OEM贴牌生产产品。</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（5）产品洁净等级：提供ISO14644洁净等级3级认证。</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（6）Tvoc排放量（28天后）：小于5ug/m³，提供AGBB/DIBT检测报告。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（7）致癌物（28天后）：小于1ug/m³，提供AGBB/DIBT检测报告。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（8）通过REACH法则，不含220项有害化学物质。</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（9）ISO 21702抗冠状病毒灭杀性能达到99%以上，提供检测报告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highlight w:val="yellow"/>
          <w:lang w:val="en-US" w:eastAsia="zh-CN"/>
        </w:rPr>
      </w:pPr>
      <w:r>
        <w:rPr>
          <w:rFonts w:hint="eastAsia" w:ascii="仿宋" w:hAnsi="仿宋" w:eastAsia="仿宋" w:cs="仿宋"/>
          <w:bCs/>
          <w:sz w:val="24"/>
          <w:szCs w:val="24"/>
          <w:lang w:val="en-US" w:eastAsia="zh-CN"/>
        </w:rPr>
        <w:t>（10）抗化学性： 14mol/L 醋酸、12mol/L 盐酸、15mol/L 磷酸、10.8mol/L 氨水，5%高锰酸钾水溶液、双氧水、18mol/L 硫酸， 2小时地板表面无变化；</w:t>
      </w:r>
    </w:p>
    <w:p>
      <w:pPr>
        <w:pStyle w:val="42"/>
        <w:pageBreakBefore w:val="0"/>
        <w:kinsoku/>
        <w:wordWrap/>
        <w:overflowPunct/>
        <w:topLinePunct w:val="0"/>
        <w:bidi w:val="0"/>
        <w:ind w:left="0" w:leftChars="0" w:right="0" w:firstLine="480" w:firstLineChars="200"/>
        <w:rPr>
          <w:rFonts w:hint="eastAsia" w:ascii="仿宋" w:hAnsi="仿宋" w:eastAsia="仿宋" w:cs="仿宋"/>
          <w:lang w:val="en-US" w:eastAsia="zh-CN"/>
        </w:rPr>
      </w:pPr>
      <w:r>
        <w:rPr>
          <w:rFonts w:hint="eastAsia" w:ascii="仿宋" w:hAnsi="仿宋" w:eastAsia="仿宋" w:cs="仿宋"/>
          <w:color w:val="auto"/>
          <w:sz w:val="24"/>
          <w:szCs w:val="24"/>
          <w:lang w:val="en-US" w:eastAsia="zh-CN"/>
        </w:rPr>
        <w:t>要求：能够提供满足以上参数要求的相应检测报告复印件加盖鲜章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3.2地砖</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采用</w:t>
      </w:r>
      <w:r>
        <w:rPr>
          <w:rFonts w:hint="eastAsia" w:ascii="仿宋" w:hAnsi="仿宋" w:eastAsia="仿宋" w:cs="仿宋"/>
          <w:sz w:val="24"/>
          <w:szCs w:val="24"/>
          <w:lang w:eastAsia="zh-CN"/>
        </w:rPr>
        <w:t>40mm厚1:2.5水泥砂浆找平层，撒素水泥砂浆粘贴，</w:t>
      </w:r>
      <w:r>
        <w:rPr>
          <w:rFonts w:hint="eastAsia" w:ascii="仿宋" w:hAnsi="仿宋" w:eastAsia="仿宋" w:cs="仿宋"/>
          <w:sz w:val="24"/>
          <w:szCs w:val="24"/>
          <w:lang w:val="en-US" w:eastAsia="zh-CN"/>
        </w:rPr>
        <w:t>面层采用</w:t>
      </w:r>
      <w:r>
        <w:rPr>
          <w:rFonts w:hint="eastAsia" w:ascii="仿宋" w:hAnsi="仿宋" w:eastAsia="仿宋" w:cs="仿宋"/>
          <w:sz w:val="24"/>
          <w:szCs w:val="24"/>
          <w:lang w:eastAsia="zh-CN"/>
        </w:rPr>
        <w:t>800*800*10mm防滑地砖。</w:t>
      </w:r>
      <w:r>
        <w:rPr>
          <w:rFonts w:hint="eastAsia" w:ascii="仿宋" w:hAnsi="仿宋" w:eastAsia="仿宋" w:cs="仿宋"/>
          <w:sz w:val="24"/>
          <w:szCs w:val="24"/>
          <w:lang w:val="en-US" w:eastAsia="zh-CN"/>
        </w:rPr>
        <w:t>瓷砖踢脚线</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高度80</w:t>
      </w:r>
      <w:r>
        <w:rPr>
          <w:rFonts w:hint="eastAsia" w:ascii="仿宋" w:hAnsi="仿宋" w:eastAsia="仿宋" w:cs="仿宋"/>
          <w:sz w:val="24"/>
          <w:szCs w:val="24"/>
          <w:lang w:eastAsia="zh-CN"/>
        </w:rPr>
        <w:t>mm。</w:t>
      </w:r>
    </w:p>
    <w:p>
      <w:pPr>
        <w:pStyle w:val="4"/>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4、门窗</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sz w:val="24"/>
          <w:szCs w:val="24"/>
          <w:lang w:eastAsia="zh-CN"/>
        </w:rPr>
      </w:pPr>
      <w:r>
        <w:rPr>
          <w:rFonts w:hint="eastAsia" w:ascii="仿宋" w:hAnsi="仿宋" w:eastAsia="仿宋" w:cs="仿宋"/>
          <w:sz w:val="24"/>
          <w:szCs w:val="24"/>
          <w:lang w:val="en-US" w:eastAsia="zh-CN"/>
        </w:rPr>
        <w:t>4.1</w:t>
      </w:r>
      <w:r>
        <w:rPr>
          <w:rFonts w:hint="eastAsia" w:ascii="仿宋" w:hAnsi="仿宋" w:eastAsia="仿宋" w:cs="仿宋"/>
          <w:sz w:val="24"/>
          <w:szCs w:val="24"/>
        </w:rPr>
        <w:t>成品保温钢板门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门上带视窗400*600mm，双层钢化玻璃（5mm+40mm+5mm），带闭门器、门锁、门边加密封条，加强密闭性。</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门板：50mm厚，采用≥0.6mm优质电镀锌钢板，静电粉末喷涂，表面平整、整洁无划痕、无麻点、凹坑，表面涂料颜色均匀一致，涂膜光洁美观。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五金配件：优质暗插式两级锁体，优质黄铜锁芯，不锈钢弧状把手，联体盖板，双开门固定扇配整体暗插销。每樘彩钢密闭门必须装三个优质铰链。</w:t>
      </w:r>
    </w:p>
    <w:p>
      <w:pPr>
        <w:pStyle w:val="7"/>
        <w:pageBreakBefore w:val="0"/>
        <w:kinsoku/>
        <w:wordWrap/>
        <w:overflowPunct/>
        <w:topLinePunct w:val="0"/>
        <w:bidi w:val="0"/>
        <w:spacing w:after="0"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门框：配套铝型材</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sz w:val="24"/>
          <w:szCs w:val="24"/>
        </w:rPr>
      </w:pPr>
      <w:r>
        <w:rPr>
          <w:rFonts w:hint="eastAsia" w:ascii="仿宋" w:hAnsi="仿宋" w:eastAsia="仿宋" w:cs="仿宋"/>
          <w:sz w:val="24"/>
          <w:szCs w:val="24"/>
          <w:lang w:val="en-US" w:eastAsia="zh-CN"/>
        </w:rPr>
        <w:t>4.2</w:t>
      </w:r>
      <w:r>
        <w:rPr>
          <w:rFonts w:hint="eastAsia" w:ascii="仿宋" w:hAnsi="仿宋" w:eastAsia="仿宋" w:cs="仿宋"/>
          <w:sz w:val="24"/>
          <w:szCs w:val="24"/>
        </w:rPr>
        <w:t>观察窗</w:t>
      </w:r>
    </w:p>
    <w:p>
      <w:pPr>
        <w:pStyle w:val="6"/>
        <w:pageBreakBefore w:val="0"/>
        <w:kinsoku/>
        <w:wordWrap/>
        <w:overflowPunct/>
        <w:topLinePunct w:val="0"/>
        <w:bidi w:val="0"/>
        <w:spacing w:line="360" w:lineRule="auto"/>
        <w:ind w:left="0" w:leftChars="0" w:right="0" w:firstLine="480" w:firstLineChars="200"/>
        <w:rPr>
          <w:rFonts w:hint="eastAsia" w:ascii="仿宋" w:hAnsi="仿宋" w:eastAsia="仿宋" w:cs="仿宋"/>
          <w:lang w:val="en-US" w:eastAsia="zh-CN"/>
        </w:rPr>
      </w:pPr>
      <w:r>
        <w:rPr>
          <w:rFonts w:hint="eastAsia" w:ascii="仿宋" w:hAnsi="仿宋" w:eastAsia="仿宋" w:cs="仿宋"/>
          <w:sz w:val="24"/>
          <w:szCs w:val="24"/>
        </w:rPr>
        <w:t>观察窗为(5+40A+5)mm中空</w:t>
      </w:r>
      <w:r>
        <w:rPr>
          <w:rFonts w:hint="eastAsia" w:ascii="仿宋" w:hAnsi="仿宋" w:eastAsia="仿宋" w:cs="仿宋"/>
          <w:sz w:val="24"/>
          <w:szCs w:val="24"/>
          <w:lang w:val="en-US" w:eastAsia="zh-CN"/>
        </w:rPr>
        <w:t>双层钢化</w:t>
      </w:r>
      <w:r>
        <w:rPr>
          <w:rFonts w:hint="eastAsia" w:ascii="仿宋" w:hAnsi="仿宋" w:eastAsia="仿宋" w:cs="仿宋"/>
          <w:sz w:val="24"/>
          <w:szCs w:val="24"/>
        </w:rPr>
        <w:t>玻璃</w:t>
      </w:r>
      <w:r>
        <w:rPr>
          <w:rFonts w:hint="eastAsia" w:ascii="仿宋" w:hAnsi="仿宋" w:eastAsia="仿宋" w:cs="仿宋"/>
          <w:sz w:val="24"/>
          <w:szCs w:val="24"/>
          <w:lang w:val="en-US" w:eastAsia="zh-CN"/>
        </w:rPr>
        <w:t>成品</w:t>
      </w:r>
      <w:r>
        <w:rPr>
          <w:rFonts w:hint="eastAsia" w:ascii="仿宋" w:hAnsi="仿宋" w:eastAsia="仿宋" w:cs="仿宋"/>
          <w:sz w:val="24"/>
          <w:szCs w:val="24"/>
        </w:rPr>
        <w:t>观察窗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与彩钢板表面齐平，有防潮、防雾化等有效处理措施，内衬色泽与墙板颜色一致。窗的安装上边高度与门框高度一致。玻璃内外完全密封处理，四周圆角处理，预装在墙板中，与墙面平滑连接。</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sz w:val="24"/>
          <w:szCs w:val="24"/>
          <w:lang w:eastAsia="zh-CN"/>
        </w:rPr>
      </w:pPr>
      <w:r>
        <w:rPr>
          <w:rFonts w:hint="eastAsia" w:ascii="仿宋" w:hAnsi="仿宋" w:eastAsia="仿宋" w:cs="仿宋"/>
          <w:sz w:val="24"/>
          <w:szCs w:val="24"/>
          <w:lang w:val="en-US" w:eastAsia="zh-CN"/>
        </w:rPr>
        <w:t>4.3木门</w:t>
      </w:r>
    </w:p>
    <w:p>
      <w:pPr>
        <w:pStyle w:val="7"/>
        <w:pageBreakBefore w:val="0"/>
        <w:kinsoku/>
        <w:wordWrap/>
        <w:overflowPunct/>
        <w:topLinePunct w:val="0"/>
        <w:bidi w:val="0"/>
        <w:spacing w:after="0" w:line="360" w:lineRule="auto"/>
        <w:ind w:left="0" w:leftChars="0" w:right="0" w:firstLine="480" w:firstLineChars="200"/>
        <w:jc w:val="left"/>
        <w:textAlignment w:val="auto"/>
        <w:rPr>
          <w:rFonts w:hint="eastAsia" w:ascii="仿宋" w:hAnsi="仿宋" w:eastAsia="仿宋" w:cs="仿宋"/>
          <w:kern w:val="10"/>
          <w:sz w:val="24"/>
          <w:szCs w:val="24"/>
        </w:rPr>
      </w:pPr>
      <w:r>
        <w:rPr>
          <w:rFonts w:hint="eastAsia" w:ascii="仿宋" w:hAnsi="仿宋" w:eastAsia="仿宋" w:cs="仿宋"/>
          <w:kern w:val="10"/>
          <w:sz w:val="24"/>
          <w:szCs w:val="24"/>
        </w:rPr>
        <w:t>成品</w:t>
      </w:r>
      <w:r>
        <w:rPr>
          <w:rFonts w:hint="eastAsia" w:ascii="仿宋" w:hAnsi="仿宋" w:eastAsia="仿宋" w:cs="仿宋"/>
          <w:kern w:val="10"/>
          <w:sz w:val="24"/>
          <w:szCs w:val="24"/>
          <w:lang w:val="en-US" w:eastAsia="zh-CN"/>
        </w:rPr>
        <w:t>实木复合门</w:t>
      </w:r>
      <w:r>
        <w:rPr>
          <w:rFonts w:hint="eastAsia" w:ascii="仿宋" w:hAnsi="仿宋" w:eastAsia="仿宋" w:cs="仿宋"/>
          <w:kern w:val="10"/>
          <w:sz w:val="24"/>
          <w:szCs w:val="24"/>
        </w:rPr>
        <w:t>，配套</w:t>
      </w:r>
      <w:r>
        <w:rPr>
          <w:rFonts w:hint="eastAsia" w:ascii="仿宋" w:hAnsi="仿宋" w:eastAsia="仿宋" w:cs="仿宋"/>
          <w:kern w:val="10"/>
          <w:sz w:val="24"/>
          <w:szCs w:val="24"/>
          <w:lang w:val="en-US" w:eastAsia="zh-CN"/>
        </w:rPr>
        <w:t>木</w:t>
      </w:r>
      <w:r>
        <w:rPr>
          <w:rFonts w:hint="eastAsia" w:ascii="仿宋" w:hAnsi="仿宋" w:eastAsia="仿宋" w:cs="仿宋"/>
          <w:kern w:val="10"/>
          <w:sz w:val="24"/>
          <w:szCs w:val="24"/>
        </w:rPr>
        <w:t>门框。</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sz w:val="24"/>
          <w:szCs w:val="24"/>
          <w:lang w:eastAsia="zh-CN"/>
        </w:rPr>
      </w:pPr>
      <w:r>
        <w:rPr>
          <w:rFonts w:hint="eastAsia" w:ascii="仿宋" w:hAnsi="仿宋" w:eastAsia="仿宋" w:cs="仿宋"/>
          <w:sz w:val="24"/>
          <w:szCs w:val="24"/>
          <w:lang w:val="en-US" w:eastAsia="zh-CN"/>
        </w:rPr>
        <w:t>4.4</w:t>
      </w:r>
      <w:r>
        <w:rPr>
          <w:rFonts w:hint="eastAsia" w:ascii="仿宋" w:hAnsi="仿宋" w:eastAsia="仿宋" w:cs="仿宋"/>
          <w:kern w:val="10"/>
          <w:sz w:val="24"/>
          <w:szCs w:val="24"/>
          <w:lang w:val="en-US" w:eastAsia="zh-CN"/>
        </w:rPr>
        <w:t>钢化</w:t>
      </w:r>
      <w:r>
        <w:rPr>
          <w:rFonts w:hint="eastAsia" w:ascii="仿宋" w:hAnsi="仿宋" w:eastAsia="仿宋" w:cs="仿宋"/>
          <w:kern w:val="10"/>
          <w:sz w:val="24"/>
          <w:szCs w:val="24"/>
        </w:rPr>
        <w:t>玻璃门</w:t>
      </w:r>
    </w:p>
    <w:p>
      <w:pPr>
        <w:pStyle w:val="7"/>
        <w:pageBreakBefore w:val="0"/>
        <w:kinsoku/>
        <w:wordWrap/>
        <w:overflowPunct/>
        <w:topLinePunct w:val="0"/>
        <w:bidi w:val="0"/>
        <w:spacing w:after="0" w:line="360" w:lineRule="auto"/>
        <w:ind w:left="0" w:leftChars="0" w:right="0" w:firstLine="480" w:firstLineChars="200"/>
        <w:jc w:val="left"/>
        <w:textAlignment w:val="auto"/>
        <w:rPr>
          <w:rFonts w:hint="eastAsia" w:ascii="仿宋" w:hAnsi="仿宋" w:eastAsia="仿宋" w:cs="仿宋"/>
          <w:kern w:val="10"/>
          <w:sz w:val="24"/>
          <w:szCs w:val="24"/>
        </w:rPr>
      </w:pPr>
      <w:r>
        <w:rPr>
          <w:rFonts w:hint="eastAsia" w:ascii="仿宋" w:hAnsi="仿宋" w:eastAsia="仿宋" w:cs="仿宋"/>
          <w:kern w:val="10"/>
          <w:sz w:val="24"/>
          <w:szCs w:val="24"/>
          <w:lang w:val="en-US" w:eastAsia="zh-CN"/>
        </w:rPr>
        <w:t>门板：厚度≥8mm厚防火钢化玻璃；五金配件：要求门铰链安装后便于清洁。</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kern w:val="10"/>
          <w:sz w:val="24"/>
          <w:szCs w:val="24"/>
          <w:lang w:val="en-US" w:eastAsia="zh-CN"/>
        </w:rPr>
      </w:pPr>
      <w:r>
        <w:rPr>
          <w:rFonts w:hint="eastAsia" w:ascii="仿宋" w:hAnsi="仿宋" w:eastAsia="仿宋" w:cs="仿宋"/>
          <w:sz w:val="24"/>
          <w:szCs w:val="24"/>
          <w:lang w:val="en-US" w:eastAsia="zh-CN"/>
        </w:rPr>
        <w:t>4.5</w:t>
      </w:r>
      <w:r>
        <w:rPr>
          <w:rFonts w:hint="eastAsia" w:ascii="仿宋" w:hAnsi="仿宋" w:eastAsia="仿宋" w:cs="仿宋"/>
          <w:kern w:val="10"/>
          <w:sz w:val="24"/>
          <w:szCs w:val="24"/>
          <w:lang w:val="en-US" w:eastAsia="zh-CN"/>
        </w:rPr>
        <w:t>防爆门</w:t>
      </w:r>
    </w:p>
    <w:p>
      <w:pPr>
        <w:pStyle w:val="6"/>
        <w:pageBreakBefore w:val="0"/>
        <w:kinsoku/>
        <w:wordWrap/>
        <w:overflowPunct/>
        <w:topLinePunct w:val="0"/>
        <w:bidi w:val="0"/>
        <w:spacing w:line="360" w:lineRule="auto"/>
        <w:ind w:left="0" w:leftChars="0" w:right="0" w:firstLine="480" w:firstLineChars="200"/>
        <w:rPr>
          <w:rFonts w:hint="eastAsia" w:ascii="仿宋" w:hAnsi="仿宋" w:eastAsia="仿宋" w:cs="仿宋"/>
          <w:lang w:val="en-US" w:eastAsia="zh-CN"/>
        </w:rPr>
      </w:pPr>
      <w:r>
        <w:rPr>
          <w:rFonts w:hint="eastAsia" w:ascii="仿宋" w:hAnsi="仿宋" w:eastAsia="仿宋" w:cs="仿宋"/>
          <w:kern w:val="10"/>
          <w:sz w:val="24"/>
          <w:szCs w:val="24"/>
          <w:lang w:val="en-US" w:eastAsia="zh-CN"/>
        </w:rPr>
        <w:t>成品钢制防爆门。</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sz w:val="24"/>
          <w:szCs w:val="24"/>
          <w:lang w:eastAsia="zh-CN"/>
        </w:rPr>
      </w:pPr>
      <w:r>
        <w:rPr>
          <w:rFonts w:hint="eastAsia" w:ascii="仿宋" w:hAnsi="仿宋" w:eastAsia="仿宋" w:cs="仿宋"/>
          <w:sz w:val="24"/>
          <w:szCs w:val="24"/>
          <w:lang w:val="en-US" w:eastAsia="zh-CN"/>
        </w:rPr>
        <w:t>4.6</w:t>
      </w:r>
      <w:r>
        <w:rPr>
          <w:rFonts w:hint="eastAsia" w:ascii="仿宋" w:hAnsi="仿宋" w:eastAsia="仿宋" w:cs="仿宋"/>
          <w:kern w:val="10"/>
          <w:sz w:val="24"/>
          <w:szCs w:val="24"/>
          <w:lang w:val="en-US" w:eastAsia="zh-CN"/>
        </w:rPr>
        <w:t>甲级防火门</w:t>
      </w:r>
    </w:p>
    <w:p>
      <w:pPr>
        <w:pStyle w:val="7"/>
        <w:pageBreakBefore w:val="0"/>
        <w:kinsoku/>
        <w:wordWrap/>
        <w:overflowPunct/>
        <w:topLinePunct w:val="0"/>
        <w:bidi w:val="0"/>
        <w:spacing w:after="0" w:line="360" w:lineRule="auto"/>
        <w:ind w:left="0" w:leftChars="0" w:right="0" w:firstLine="480" w:firstLineChars="200"/>
        <w:jc w:val="left"/>
        <w:textAlignment w:val="auto"/>
        <w:rPr>
          <w:rFonts w:hint="eastAsia" w:ascii="仿宋" w:hAnsi="仿宋" w:eastAsia="仿宋" w:cs="仿宋"/>
          <w:kern w:val="10"/>
          <w:sz w:val="24"/>
          <w:szCs w:val="24"/>
          <w:lang w:val="en-US" w:eastAsia="zh-CN"/>
        </w:rPr>
      </w:pPr>
      <w:r>
        <w:rPr>
          <w:rFonts w:hint="eastAsia" w:ascii="仿宋" w:hAnsi="仿宋" w:eastAsia="仿宋" w:cs="仿宋"/>
          <w:kern w:val="10"/>
          <w:sz w:val="24"/>
          <w:szCs w:val="24"/>
          <w:lang w:val="en-US" w:eastAsia="zh-CN"/>
        </w:rPr>
        <w:t>防火门门框、门扇面板应采用性能不低于冷轧薄钢板的钢质材料，防火门加固件可采用性能不低于热轧钢材的钢质材料。</w:t>
      </w:r>
    </w:p>
    <w:p>
      <w:pPr>
        <w:pStyle w:val="7"/>
        <w:pageBreakBefore w:val="0"/>
        <w:kinsoku/>
        <w:wordWrap/>
        <w:overflowPunct/>
        <w:topLinePunct w:val="0"/>
        <w:bidi w:val="0"/>
        <w:spacing w:after="0" w:line="360" w:lineRule="auto"/>
        <w:ind w:left="0" w:leftChars="0" w:right="0" w:firstLine="480" w:firstLineChars="200"/>
        <w:jc w:val="left"/>
        <w:textAlignment w:val="auto"/>
        <w:rPr>
          <w:rFonts w:hint="eastAsia" w:ascii="仿宋" w:hAnsi="仿宋" w:eastAsia="仿宋" w:cs="仿宋"/>
          <w:kern w:val="10"/>
          <w:sz w:val="24"/>
          <w:szCs w:val="24"/>
          <w:lang w:val="en-US" w:eastAsia="zh-CN"/>
        </w:rPr>
      </w:pPr>
      <w:r>
        <w:rPr>
          <w:rFonts w:hint="eastAsia" w:ascii="仿宋" w:hAnsi="仿宋" w:eastAsia="仿宋" w:cs="仿宋"/>
          <w:kern w:val="10"/>
          <w:sz w:val="24"/>
          <w:szCs w:val="24"/>
          <w:lang w:val="en-US" w:eastAsia="zh-CN"/>
        </w:rPr>
        <w:t>钢材应进行磷化处理，并涂刷两遍防锈底漆，表面静电粉末喷涂，涂层厚度≥40um，涂层均匀，平整、光滑、无麻点、起泡、起鼓和碰伤划痕。</w:t>
      </w:r>
    </w:p>
    <w:p>
      <w:pPr>
        <w:pageBreakBefore w:val="0"/>
        <w:kinsoku/>
        <w:wordWrap/>
        <w:overflowPunct/>
        <w:topLinePunct w:val="0"/>
        <w:bidi w:val="0"/>
        <w:ind w:left="0" w:leftChars="0" w:right="0" w:firstLine="480" w:firstLineChars="200"/>
        <w:rPr>
          <w:rFonts w:hint="eastAsia" w:ascii="仿宋" w:hAnsi="仿宋" w:eastAsia="仿宋" w:cs="仿宋"/>
          <w:lang w:val="en-US" w:eastAsia="zh-CN"/>
        </w:rPr>
      </w:pPr>
      <w:r>
        <w:rPr>
          <w:rFonts w:hint="eastAsia" w:ascii="仿宋" w:hAnsi="仿宋" w:eastAsia="仿宋" w:cs="仿宋"/>
          <w:kern w:val="10"/>
          <w:sz w:val="24"/>
          <w:szCs w:val="24"/>
          <w:lang w:val="en-US" w:eastAsia="zh-CN"/>
        </w:rPr>
        <w:t>门框板钢板厚度不小于1.2mm，门扇板钢板厚度不小于0.8mm。</w:t>
      </w:r>
    </w:p>
    <w:p>
      <w:pPr>
        <w:pageBreakBefore w:val="0"/>
        <w:kinsoku/>
        <w:wordWrap/>
        <w:overflowPunct/>
        <w:topLinePunct w:val="0"/>
        <w:bidi w:val="0"/>
        <w:spacing w:line="360" w:lineRule="auto"/>
        <w:ind w:left="0" w:leftChars="0" w:right="0" w:firstLine="480" w:firstLineChars="200"/>
        <w:jc w:val="left"/>
        <w:textAlignment w:val="auto"/>
        <w:outlineLvl w:val="3"/>
        <w:rPr>
          <w:rFonts w:hint="eastAsia" w:ascii="仿宋" w:hAnsi="仿宋" w:eastAsia="仿宋" w:cs="仿宋"/>
          <w:kern w:val="10"/>
          <w:sz w:val="24"/>
          <w:szCs w:val="24"/>
          <w:lang w:val="en-US" w:eastAsia="zh-CN"/>
        </w:rPr>
      </w:pPr>
      <w:r>
        <w:rPr>
          <w:rFonts w:hint="eastAsia" w:ascii="仿宋" w:hAnsi="仿宋" w:eastAsia="仿宋" w:cs="仿宋"/>
          <w:sz w:val="24"/>
          <w:szCs w:val="24"/>
          <w:lang w:val="en-US" w:eastAsia="zh-CN"/>
        </w:rPr>
        <w:t>4.7</w:t>
      </w:r>
      <w:r>
        <w:rPr>
          <w:rFonts w:hint="eastAsia" w:ascii="仿宋" w:hAnsi="仿宋" w:eastAsia="仿宋" w:cs="仿宋"/>
          <w:kern w:val="10"/>
          <w:sz w:val="24"/>
          <w:szCs w:val="24"/>
          <w:lang w:val="en-US" w:eastAsia="zh-CN"/>
        </w:rPr>
        <w:t>防盗门</w:t>
      </w:r>
    </w:p>
    <w:p>
      <w:pPr>
        <w:pStyle w:val="6"/>
        <w:pageBreakBefore w:val="0"/>
        <w:kinsoku/>
        <w:wordWrap/>
        <w:overflowPunct/>
        <w:topLinePunct w:val="0"/>
        <w:bidi w:val="0"/>
        <w:spacing w:line="360" w:lineRule="auto"/>
        <w:ind w:left="0" w:leftChars="0" w:right="0" w:firstLine="480" w:firstLineChars="200"/>
        <w:rPr>
          <w:rFonts w:hint="eastAsia" w:ascii="仿宋" w:hAnsi="仿宋" w:eastAsia="仿宋" w:cs="仿宋"/>
          <w:kern w:val="10"/>
          <w:sz w:val="24"/>
          <w:szCs w:val="24"/>
          <w:lang w:val="en-US" w:eastAsia="zh-CN"/>
        </w:rPr>
      </w:pPr>
      <w:r>
        <w:rPr>
          <w:rFonts w:hint="eastAsia" w:ascii="仿宋" w:hAnsi="仿宋" w:eastAsia="仿宋" w:cs="仿宋"/>
          <w:kern w:val="10"/>
          <w:sz w:val="24"/>
          <w:szCs w:val="24"/>
          <w:lang w:val="en-US" w:eastAsia="zh-CN"/>
        </w:rPr>
        <w:t>成品钢制防盗门。</w:t>
      </w:r>
    </w:p>
    <w:p>
      <w:pPr>
        <w:pStyle w:val="6"/>
        <w:pageBreakBefore w:val="0"/>
        <w:kinsoku/>
        <w:wordWrap/>
        <w:overflowPunct/>
        <w:topLinePunct w:val="0"/>
        <w:bidi w:val="0"/>
        <w:spacing w:line="360" w:lineRule="auto"/>
        <w:ind w:left="0" w:leftChars="0" w:right="0"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、实验家具技术要求</w:t>
      </w:r>
    </w:p>
    <w:p>
      <w:pPr>
        <w:pageBreakBefore w:val="0"/>
        <w:kinsoku/>
        <w:wordWrap/>
        <w:overflowPunct/>
        <w:topLinePunct w:val="0"/>
        <w:bidi w:val="0"/>
        <w:spacing w:line="360" w:lineRule="auto"/>
        <w:ind w:left="0" w:leftChars="0" w:right="0" w:righ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实验台</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1.1带柜体的实验边台、中央台、仪器台、高温矮台</w:t>
      </w:r>
    </w:p>
    <w:p>
      <w:pPr>
        <w:pStyle w:val="43"/>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（1）台面</w:t>
      </w:r>
    </w:p>
    <w:p>
      <w:pPr>
        <w:pStyle w:val="43"/>
        <w:pageBreakBefore w:val="0"/>
        <w:numPr>
          <w:ilvl w:val="0"/>
          <w:numId w:val="0"/>
        </w:numPr>
        <w:kinsoku/>
        <w:wordWrap/>
        <w:overflowPunct/>
        <w:topLinePunct w:val="0"/>
        <w:bidi w:val="0"/>
        <w:spacing w:line="360" w:lineRule="auto"/>
        <w:ind w:left="0" w:leftChars="0" w:right="0" w:righ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1）高温矮台采用≥18mm厚黑色大理石台面。</w:t>
      </w:r>
    </w:p>
    <w:p>
      <w:pPr>
        <w:pStyle w:val="43"/>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color w:val="auto"/>
          <w:sz w:val="24"/>
          <w:szCs w:val="24"/>
          <w:lang w:val="en-US" w:eastAsia="zh-CN"/>
        </w:rPr>
        <w:t>2）其他带柜体的实验台台面必须采用≥12.7m厚度的知名品牌耐腐蚀实芯耐蚀理化板，参照边缘加厚至25.4mm，实验台面技术要求如下：</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a.台面理化性能需通过 “国家建筑工程质量监督检验中心”参照GB/T17657-2013进行化学性能测试，通过实验室常用化学试剂浓度且在室温24h测试条件下覆盖及不覆盖玻板进行测试，，其中测试项目包括无水甲醇、无水乙醇、甲醇、乙酸乙酯、乙酸丁酯、乳酸、盐酸37%、硝酸50%、硫酸98%、过氧化氢、氨水等100项以上，检验结果均为“无明显变化”，分级结果为“5级”。同时需提供常规49种化学试剂的检测报告，检测方法参照：SEFA3-2010第2.1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b.理化板台面需提供由国家建筑工程质量监督检验中心出具 的2017年型式检验报告（委托抽样型）；经GB18580-2001标准检测，甲醛 释放量（气候箱法）检测结果≤0.053；燃烧性能符合 GB8624-2012标准中B1级建筑材料要求。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c.理化板台面需提供由国家化学建筑材料测试中心出具 的2020年抽样检验报告（报告中检验项目包含有：防静电性能、耐刮划性能、耐污染性能、耐磨性能等）。经GB/T17657-2013标准检测，抗拉强度≥97Mpa，弯曲强度≥149Mpa。耐香烟灼烧≥5级，表面无变化，耐光色牢度≥5级，表面无变化，防静电性能≤1.1x109 Ω。</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d.由SGS检测部门出具的抗菌性能测试报告（2019年版本）经JIS Z 2801:2010标准测试，其中大肠杆菌，金黄色葡萄球菌，肺炎克雷伯氏菌等菌种的抑菌率达到99.6%以上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e.理化板台面通过2018年“国家建筑工程质量监督检验中心”化学物排放测试报告，目标化合物14天的释放量结果，TVOC总挥发性有机化合物≤0.068mg/m³，苯，甲苯，二甲苯未检出。</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f.理化板台面需提供由国家建筑工程质量监督检验中心出具的2021年A类装饰装修材料放射性报告；材料放射性核素限量经GB6566-2010标准检测，内照射指数Ira和外照射指数Iγ均＜0.1，检验结果合格。</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Cs/>
          <w:sz w:val="24"/>
          <w:szCs w:val="24"/>
          <w:lang w:val="en-US" w:eastAsia="zh-CN"/>
        </w:rPr>
        <w:t>g.要求台面材料厂家持有SEFA证书、PEFC证书，FSC证书，并通过ISO4001/9001认证</w:t>
      </w:r>
      <w:r>
        <w:rPr>
          <w:rFonts w:hint="eastAsia" w:ascii="仿宋" w:hAnsi="仿宋" w:eastAsia="仿宋" w:cs="仿宋"/>
          <w:color w:val="auto"/>
          <w:sz w:val="24"/>
          <w:szCs w:val="24"/>
          <w:lang w:val="en-US" w:eastAsia="zh-CN"/>
        </w:rPr>
        <w:t>要求：能够提供满足以上台面参数的相应检测报告复印件加盖鲜章，另外提供台面厂家出具的针对本项目的授权及十年质保承诺函。</w:t>
      </w:r>
    </w:p>
    <w:p>
      <w:pPr>
        <w:pStyle w:val="43"/>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（2）钢制柜体</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sz w:val="24"/>
          <w:szCs w:val="24"/>
          <w:lang w:val="en-US" w:eastAsia="zh-CN"/>
        </w:rPr>
        <w:t>钢制柜体符合SEFA8M-2016标准，测试内容包括：柜加载试验；柜集中加载试验；柜扭曲试验；门铰链试验；门冲击试验；门循环试验；抽屉静载试验；抽屉冲击试验；抽屉内部滚动冲击试验；抽屉循环试验；搁板静载试验等项目。须提供钢制柜体由权威机构出具的合格检测报告复印件。</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sz w:val="24"/>
          <w:szCs w:val="24"/>
          <w:lang w:val="en-US" w:eastAsia="zh-CN"/>
        </w:rPr>
        <w:t>钢制柜体主结构、抽屉、门板、活动层板、试剂架、水电管道功能立柱、装饰封板等钢材基本厚度≥1.0mm冷轧碳素钢板；表面使用品牌环氧树脂粉末喷涂防腐处理；</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sz w:val="24"/>
          <w:szCs w:val="24"/>
          <w:lang w:val="en-US" w:eastAsia="zh-CN"/>
        </w:rPr>
        <w:t>环氧树脂粉末需符合欧盟RoHS指令2011/65/EU附录II的修正指令（EU)2015/863的限值要求并提供环氧树脂粉末厂家委托检测的检测报告；</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sz w:val="24"/>
          <w:szCs w:val="24"/>
          <w:lang w:val="en-US" w:eastAsia="zh-CN"/>
        </w:rPr>
        <w:t>钢制件喷涂符合HJ2547-2016《环境标志产品技术要求家具》标准，提供包括钡、铬、镉、铅、汞、硒、锑、砷等重金属物检测报告；</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sz w:val="24"/>
          <w:szCs w:val="24"/>
          <w:lang w:val="en-US" w:eastAsia="zh-CN"/>
        </w:rPr>
        <w:t>提供喷塑后的钢板经24h盐雾试验后，其检验结果≧10级检测报告。</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sz w:val="24"/>
          <w:szCs w:val="24"/>
          <w:lang w:val="en-US" w:eastAsia="zh-CN"/>
        </w:rPr>
        <w:t>柜体门板为双层结构，内外面均经环氧树脂粉末静电喷涂，配置门扣组及缓冲垫；</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sz w:val="24"/>
          <w:szCs w:val="24"/>
          <w:lang w:val="en-US" w:eastAsia="zh-CN"/>
        </w:rPr>
        <w:t>抽屉面板为双层结构，内外面均经环氧树脂粉末静电喷涂；抽屉底部和四面抽墙为钢板一体成形设计，配置缓冲垫，以避免与柜体钢板碰撞，拆卸方便。</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sz w:val="24"/>
          <w:szCs w:val="24"/>
          <w:lang w:val="en-US" w:eastAsia="zh-CN"/>
        </w:rPr>
        <w:t>活动背板：采用≥1.0mm厚冷连轧碳素钢板，表面使用环氧树脂粉末喷涂防腐处理；配暗扣拉手，不用辅助工具可手工拆卸。</w:t>
      </w:r>
    </w:p>
    <w:p>
      <w:pPr>
        <w:keepNext w:val="0"/>
        <w:keepLines w:val="0"/>
        <w:pageBreakBefore w:val="0"/>
        <w:widowControl w:val="0"/>
        <w:shd w:val="clear" w:color="auto" w:fill="FFFFFF"/>
        <w:tabs>
          <w:tab w:val="left" w:pos="1532"/>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sz w:val="24"/>
          <w:szCs w:val="24"/>
          <w:lang w:val="en-US" w:eastAsia="zh-CN"/>
        </w:rPr>
        <w:t>五金及配件：</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合页：采用304及以上不锈钢材质合页铰链，180度开启。耐腐蚀性能通过48h中性盐雾测试（QB/T 4595.1-2013）（并提供检测报告）；</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抽屉导轨：采用表面经环氧树脂粉末静电喷涂的钢制一体化高承载导轨；提供满足依据GB/T 10125-2012 人造气氛腐蚀试验、盐雾试验，技术满足≥72小时中性盐雾试验检测结果，至少达到10级。按照 GB/T 6461-2002标准的金属基体上金属和其他无机覆盖层经腐蚀试验后的试样和试件的评级，提供第三方机构出具的防腐三节静音导轨检测报告。</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把手：采用304及以上不锈钢材质把手或一体成型拉手；</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层板支撑扣：采用厚1.2mm及以上的304及以上不锈钢材质；</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1.2不锈钢实验台（无柜体，带层板）</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sz w:val="24"/>
          <w:szCs w:val="24"/>
          <w:lang w:val="en-US" w:eastAsia="zh-CN"/>
        </w:rPr>
        <w:t>台面：采用不小于1.2mm厚304#双面不锈钢板内包不小于18mm</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sz w:val="24"/>
          <w:szCs w:val="24"/>
          <w:lang w:val="en-US" w:eastAsia="zh-CN"/>
        </w:rPr>
        <w:t>每个工作台均应为完整独立的落地型全钢制框架结构设计，主框架应采用至少40×40×1.2mm厚矩形304不锈钢管整体焊接成型制作，每个框架单元应配备4个304不锈钢螺杆调整脚，以支撑框架及调节水平，框架底部离地板距离应不少于10mm以隔离地面潮气。</w:t>
      </w:r>
    </w:p>
    <w:p>
      <w:pPr>
        <w:pStyle w:val="4"/>
        <w:pageBreakBefore w:val="0"/>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、通风柜</w:t>
      </w:r>
      <w:r>
        <w:rPr>
          <w:rFonts w:hint="eastAsia" w:ascii="仿宋" w:hAnsi="仿宋" w:eastAsia="仿宋" w:cs="仿宋"/>
          <w:sz w:val="24"/>
          <w:szCs w:val="24"/>
        </w:rPr>
        <w:tab/>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rPr>
        <w:t>▲</w:t>
      </w:r>
      <w:r>
        <w:rPr>
          <w:rFonts w:hint="eastAsia" w:ascii="仿宋" w:hAnsi="仿宋" w:eastAsia="仿宋" w:cs="仿宋"/>
          <w:bCs/>
          <w:sz w:val="24"/>
          <w:szCs w:val="24"/>
          <w:lang w:val="en-US" w:eastAsia="zh-CN"/>
        </w:rPr>
        <w:t>（1）</w:t>
      </w:r>
      <w:r>
        <w:rPr>
          <w:rFonts w:hint="eastAsia" w:ascii="仿宋" w:hAnsi="仿宋" w:eastAsia="仿宋" w:cs="仿宋"/>
          <w:sz w:val="24"/>
          <w:szCs w:val="24"/>
          <w:lang w:val="en-US" w:eastAsia="zh-CN"/>
        </w:rPr>
        <w:t>全钢通风柜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台面采用总厚25mm实验室专业陶瓷台面，配备同品牌陶瓷水杯260*210*150mm</w:t>
      </w:r>
      <w:r>
        <w:rPr>
          <w:rFonts w:hint="eastAsia" w:ascii="仿宋" w:hAnsi="仿宋" w:eastAsia="仿宋" w:cs="仿宋"/>
          <w:color w:val="000000" w:themeColor="text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投标单位须提供满足以下所有性能要求证明文件，其检测报告复印件和相关证明须含有品牌厂家的红色鲜章，并标注专用于本项目投标使用字样，同时出具台面品牌针对该项目不少于15年的产品质保承诺书。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水杯耐腐蚀要求：提供国家化学建筑材料测试中心出具的陶瓷水杯表面耐污性能的测定，参照GB/T17657,检测结果包括：高氯酸90%，盐酸37%，硝酸65%，氢氧化钠40%和硫酸98%五种检测种类，检测结果符合5级无明显变化。</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为保证实验人员的安全，防止液体外溢，碟型台面阻水边要求一体成型（非后期黏贴），提供边缘凸起测量结果阻水边的厚度为（7±1）mm的检测报告。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稳定的耐酸碱腐蚀性：须提供同一检测机构出具的累计五年SEFA测试项目为化学试剂测试的检测报告,检测报告中应至少包含有不少于49种检测种类,且检测结果等级为0级无可见变化的不少于48项。</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破坏强度：参照T/CIQA 10-2020标准，提供提供测试项目为“破坏强度”检测报告，检测结果符合：破坏强度≥15000N。</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质量稳定性：为确保台面质量的稳定性，需提供权威机构的产品质量溯源认证文件，并能通过二维码扫码识别。</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2.2.2通风柜柜体:</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▲1.总体技术要求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外形尺寸：长*宽*高1524/1829mm*946mm*2273mm</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总体性能及技术要求：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通风柜应满足以下性能要求并提供第三方检测机构出具的检测报告：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通风柜表面风速应稳定，在任意设计点测到的通风柜表面风速不能大于平均表面风速的10%以上。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空气交换效率≥65%；</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可视化测试要求满足烟雾可排出无可见外泄；</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示踪气体浓度测试要求满足示踪气体泄漏浓度平均值不得大于0.01ppm；</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外沿移动浓度测试，示踪气体浓度不得大于0.01ppm。</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通风柜必须能达到在0.3～0.5m/s的面风速的情况下起到有效地排放有毒气体的作用，此风速范围内，通风柜内有毒气体残留需小于0.01ppm。</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不超过23.5N的力就可以升、降移门。</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通风柜照度：不得低于800Lux。</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通风柜底柜与外壳选用冷轧钢板，表面经环氧树脂静电喷涂，外部金属部分喷涂抗腐蚀性能的至少耐49种化学试剂，油漆反应级别应不大于4个3级。</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评级标准：0级-无可见变化；1级-颜色或光泽发生轻微变化；2级-轻微表面腐蚀或严重沾污；3级-涂层出现起坑、凹陷、凸起或侵蚀等明显和剧烈的损害。</w:t>
      </w:r>
      <w:r>
        <w:rPr>
          <w:rFonts w:hint="eastAsia" w:ascii="仿宋" w:hAnsi="仿宋" w:eastAsia="仿宋" w:cs="仿宋"/>
          <w:bCs/>
          <w:sz w:val="24"/>
          <w:szCs w:val="24"/>
          <w:lang w:val="en-US" w:eastAsia="zh-CN"/>
        </w:rPr>
        <w:tab/>
      </w:r>
      <w:r>
        <w:rPr>
          <w:rFonts w:hint="eastAsia" w:ascii="仿宋" w:hAnsi="仿宋" w:eastAsia="仿宋" w:cs="仿宋"/>
          <w:bCs/>
          <w:sz w:val="24"/>
          <w:szCs w:val="24"/>
          <w:lang w:val="en-US" w:eastAsia="zh-CN"/>
        </w:rPr>
        <w:t xml:space="preserve"> 通风柜耐火性能应符合UL1805标准并提供认证资料。</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2.通风柜材料及结构的技术要求：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A.材料要求：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通风柜上部柜体为全钢外壳，高分子材料内衬的双层结构；底柜为钢制柜体；</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▲钢制柜体钢材基本厚度应达到或优于以下标准：</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1.2mmTH：通风柜外壳，通风柜上装饰封板；底柜柜体主结构，标准型底柜外门板，装饰封板。</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1.5mmTH：通风柜主框架。</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3.0mmTH：底柜调整脚支撑板。</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所有通风柜内部的连接装置都需隐藏布置和抗腐蚀，禁止有外露的金属部件；</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调节门：</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视窗玻璃：采用厚6mm及以上的安全胶合玻璃，由两片厚3mm及以上的优级浮法玻璃胶合制作。</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调节门牵引：采用钢质调节门齿槽链条。</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调节门把手：采用耐蚀塑料材质(聚丙烯或聚氯乙烯等)，或编号316不锈钢材质制作。</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调节门钢索滑轮座：固定座具防钢索脱落设计。</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集气风罩：采用钟型集气风罩，以聚丙烯或其它更佳的耐蚀塑料材质无缝一体成型制作，或采用厚1.2mm及以上的编号316不锈钢材质无缝成型制作；</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底柜五金及配件：(除有特别说明者外，依下列规定配置)</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铰链：采用编号304或316不锈钢材质180°合页铰链。</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把手：采用ABS工程塑料，铝合金，或编号304、316等不锈钢材质的把手。</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门缝条：采用塑料材质。</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门扣组：采用塑料材质，或编号304、316等不锈钢材质的伸缩滚轮止动门扣组。</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层板支撑扣：采用厚1.2mm及以上的编号304或316不锈钢材质制作。</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踢脚线装饰板及护角：采用约100mm(4英吋)高，黑色或灰色的塑料材质。</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B.结构要求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通风柜上柜结构：</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通风柜双层结构的夹层空间厚度不得低于100mm，以便容纳公用系统管线；</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公用系统出口与远程控制阀采用隐藏式管道连接，通风柜两侧内衬板应具可拆式维修门以方便管道维修；</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通风柜至少可通过卸除里面维修门板，或者正面左右操作面板等两种方式，对双层框架内公用设备进行安装维修；</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通风柜在正面右侧操作面板上应按招标人要求预留通风柜监控器安装孔位；</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扰流板及排气夹层：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所有扰流板均应为可重复拆装式，以方便排气夹层内的清洁，且拆装时不需借助特殊工具。</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扰流板固定座数量及安装位置应能使扰流板达到最佳稳固性。</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工作区深度(自下通风板内缘起量至扰流板前缘)应不小于635mm(约25英吋)；另外，通风柜工作区高度(自台面板至柜内顶板*)应不小于990mm(约39英吋)*量测范围为下通风板内缘起量至工作区深度的2/3范围内向上的空间；</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下通风板：</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工作台面前缘上方应具有斜面型可拆缷式下通风板设计，拆缷时不需使用特殊工具。</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下通风板两侧应具可移动或掀盖式穿线孔设计，以方便电源插头通过衔接至柜外插座，穿线孔大小应足以通过插头。</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装饰封板：当在通风柜与吊顶之间有空隙时，须使用装饰封板遮盖，封板的材质与颜色应与通风柜相同，不得在现场直接以其它材料加工制作装饰封板；</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调节门：</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除有特别说明者外，调节门为单片垂直移动式设计。</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调节门最高开启高度在下通风板上方至少710mm(约28英吋)。</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调节门最低关闭高度在下通风板上方约5～10mm内。</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移动调节门时施力不应过重，一般应低于2.5公斤(约5.5磅)，调节门的操作须能平顺的上下移动及保持水平不斜翘，当施力停止时能稳定的停留在行程中的任一位置。</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调节门玻璃外缘应具有保护边条，以确保安全。</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每片调节门应采用单一平衡配重。</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调节门的全启、全闭状态有避免碰撞的缓冲装置。</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照明装置：</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照明灯具应安装于通风柜上部外侧，对通风柜内提供照明。</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照明灯具下方应使用厚5mm及以上的钢化玻璃与通风柜内部隔离，以避免灯具与柜内气体接触。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灯罩应为全罩式，其上并具散热孔设计。</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电气设备：</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除有特别说明者外，于正面左右操作面板上各装设2组(即共4组)电源插座。</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除有特别说明者外，所有电源插座均为3线，10A， 220 V.A.C.万用型。</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通风柜标准型底柜结构：</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每个柜体均应为完整独立的落地型全钢制柜体设计；</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柜体一般深度至少为549mm，高度(含调整脚) 除有特别说明者外，为895mm(±1.5%)；底柜后方应具备容易拆装的活动背板，具体安装尺寸需现场确认后确定。</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服务通道：柜体背面离墙有一个服务通道距离，用来布设电、水、气管路，隐藏设计；</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所有柜体正面应为平装嵌入式结构设计，如各端面板(如门板)，上/侧/底部柜体边框以及垂直支柱都必须在同一水平面不可有突出，以避免勾住实验袍等造成意外，所有钣金的表面接缝均应满焊，焊接处均应打磨平整以保持为连续的平滑表面；</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除有特别说明者外，采用双开门款式柜体，柜体两片门间无中央垂直支柱阻挡。柜体内有层板上下调节孔，每个双开门柜体设聚丙烯制活动层板及集水底盘各一只，层板宽度与柜体内宽度相当，不得于两侧有各超过3mm的间隙；</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每个柜体单元应配备4个镀锌钢螺杆调整脚，以支撑柜体及调节水平，柜体底部离地板距离应不少于10mm以隔离地面潮气； </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踼脚板凹入部分位于柜体下方正面，为一约高100mm(4英吋)深75mm(3英吋)的凹陷空间，踢脚板除正面凹入部分外，两侧须与柜体钢板一体成型，不得以小料拼接烧焊制作，以确保整体荷重能力；踼脚板表面加装踢脚线装饰板及护角将踼脚板与地面空隙遮盖；护角锁合螺丝可为编号304或316不锈钢材质自攻螺丝；</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门板：</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门板为双层结构，内外面均经环氧树酯粉末静电喷涂，夹层内具消音材料，喷涂颜色由现场确定近似色（提供色卡）。</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门板合页铰链以不锈钢螺丝与门板及柜体相固定。</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门板配置门扣组及橡胶缓冲垫。</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门板能开关顺畅达180度。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五金及配件：</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铰链：每片门板至少配置两只合页铰链。</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把手：把手须以不锈钢螺丝固定。</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门缝条：所有双开式门片间须装设门缝条，安装时以不锈钢螺丝与门片锁合。</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门扣组：门扣组须以不锈钢螺丝固定。</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2.2.3内衬板:</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内衬板厚度为4.75mm，抗酸碱腐蚀、阻燃、自动熄火，内外材质一致，双面光滑而且内外均为白色。</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投标单位须提供满足以下性能要求证明文件，其检测报告复印件和相关证明须含有品牌厂家的红色鲜章，并标注专用于本项目投标使用字样。</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▲内衬板弯曲强度：要求须提供第三方检测机构出具的检测报告测试结果≥127MPa。</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▲内衬板耐高温性能：提供第三方检测机构出具的耐高温（700℃）的检测报告，结果符合：1级，无开裂、变色，无难闻气味。</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2.2.4导流板:分上中下三块，其材质与内衬板相同，导流板安装位置与角度需使排气分布均匀，在标准状況下，导流板上方与中、下方出口排员量各约50±10％，以确保不同比重之气体均能有效排除。</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 PP通风柜</w:t>
      </w:r>
      <w:r>
        <w:rPr>
          <w:rFonts w:hint="eastAsia" w:ascii="仿宋" w:hAnsi="仿宋" w:eastAsia="仿宋" w:cs="仿宋"/>
          <w:sz w:val="24"/>
          <w:szCs w:val="24"/>
          <w:lang w:val="en-US" w:eastAsia="zh-CN"/>
        </w:rPr>
        <w:tab/>
      </w:r>
    </w:p>
    <w:p>
      <w:pPr>
        <w:pageBreakBefore w:val="0"/>
        <w:kinsoku/>
        <w:wordWrap/>
        <w:overflowPunct/>
        <w:topLinePunct w:val="0"/>
        <w:bidi w:val="0"/>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）柜</w:t>
      </w:r>
      <w:r>
        <w:rPr>
          <w:rFonts w:hint="eastAsia" w:ascii="仿宋" w:hAnsi="仿宋" w:eastAsia="仿宋" w:cs="仿宋"/>
          <w:sz w:val="24"/>
          <w:szCs w:val="24"/>
        </w:rPr>
        <w:t>体：采用厚8mm国产优质实验室专用瓷白色PP板经CNC精密切割后高温焊接制作，表面倒角无锐角。通过整体焊接后的通风柜整体抗折弯强度高，不易变形，外形美观，表面光洁；具有低压损、易清洁、耐酸碱性能优异的特性。使用寿命是普通材质的几倍。</w:t>
      </w:r>
    </w:p>
    <w:p>
      <w:pPr>
        <w:pageBreakBefore w:val="0"/>
        <w:kinsoku/>
        <w:wordWrap/>
        <w:overflowPunct/>
        <w:topLinePunct w:val="0"/>
        <w:bidi w:val="0"/>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上部柜体：排气柜，采用顶置式集气口抽气设计。出风口直径为∮300mm，具有烟气捕捉性能优异及低压损的特性。</w:t>
      </w:r>
    </w:p>
    <w:p>
      <w:pPr>
        <w:pageBreakBefore w:val="0"/>
        <w:kinsoku/>
        <w:wordWrap/>
        <w:overflowPunct/>
        <w:topLinePunct w:val="0"/>
        <w:bidi w:val="0"/>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导流板： 采用同质8mmPP板制作，耐酸碱性能优异。各开孔位置依据欧盟标准设计，气流分布均匀，减少气流死角，提供最优良之废气捕捉能力，可抽除不同比重之有害气体。</w:t>
      </w:r>
    </w:p>
    <w:p>
      <w:pPr>
        <w:pageBreakBefore w:val="0"/>
        <w:kinsoku/>
        <w:wordWrap/>
        <w:overflowPunct/>
        <w:topLinePunct w:val="0"/>
        <w:bidi w:val="0"/>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操作台面：采用</w:t>
      </w:r>
      <w:r>
        <w:rPr>
          <w:rFonts w:hint="eastAsia" w:ascii="仿宋" w:hAnsi="仿宋" w:eastAsia="仿宋" w:cs="仿宋"/>
          <w:sz w:val="24"/>
          <w:szCs w:val="24"/>
          <w:lang w:val="en-US" w:eastAsia="zh-CN"/>
        </w:rPr>
        <w:t>厚度不小于12</w:t>
      </w:r>
      <w:r>
        <w:rPr>
          <w:rFonts w:hint="eastAsia" w:ascii="仿宋" w:hAnsi="仿宋" w:eastAsia="仿宋" w:cs="仿宋"/>
          <w:sz w:val="24"/>
          <w:szCs w:val="24"/>
        </w:rPr>
        <w:t>mmPP板，其中根据需要加装遥控气阀等。用水采用PP龙头，下水采用PP杯槽。</w:t>
      </w:r>
    </w:p>
    <w:p>
      <w:pPr>
        <w:pageBreakBefore w:val="0"/>
        <w:kinsoku/>
        <w:wordWrap/>
        <w:overflowPunct/>
        <w:topLinePunct w:val="0"/>
        <w:bidi w:val="0"/>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下部柜体：容纳柜设计，8mm板材制作。设计有可调节抽风口1个连接至上部排风，可抽出底柜余留之废气。</w:t>
      </w:r>
    </w:p>
    <w:p>
      <w:pPr>
        <w:pStyle w:val="4"/>
        <w:pageBreakBefore w:val="0"/>
        <w:kinsoku/>
        <w:wordWrap/>
        <w:overflowPunct/>
        <w:topLinePunct w:val="0"/>
        <w:bidi w:val="0"/>
        <w:spacing w:line="360" w:lineRule="auto"/>
        <w:ind w:left="0" w:leftChars="0" w:right="0" w:firstLine="482" w:firstLineChars="200"/>
        <w:rPr>
          <w:rFonts w:hint="eastAsia" w:ascii="仿宋" w:hAnsi="仿宋" w:eastAsia="仿宋" w:cs="仿宋"/>
          <w:sz w:val="24"/>
        </w:rPr>
      </w:pPr>
      <w:r>
        <w:rPr>
          <w:rFonts w:hint="eastAsia" w:ascii="仿宋" w:hAnsi="仿宋" w:eastAsia="仿宋" w:cs="仿宋"/>
          <w:sz w:val="24"/>
        </w:rPr>
        <w:t>3、生物安全柜</w:t>
      </w:r>
    </w:p>
    <w:p>
      <w:pPr>
        <w:pageBreakBefore w:val="0"/>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3.1型别：Ⅱ级A2垂直层流负压机型,气幕式隔离设计,防止内外交叉感染;70%气体循环、30%排气的层流方式。</w:t>
      </w:r>
    </w:p>
    <w:p>
      <w:pPr>
        <w:pageBreakBefore w:val="0"/>
        <w:tabs>
          <w:tab w:val="left" w:pos="360"/>
        </w:tabs>
        <w:kinsoku/>
        <w:wordWrap/>
        <w:overflowPunct/>
        <w:topLinePunct w:val="0"/>
        <w:bidi w:val="0"/>
        <w:snapToGrid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3.2采用HEPA Filter( 高效过滤技术，HV高效滤纸) 过滤效率99.995%（≥ 0.12μm颗粒）</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▲3.3洁净度：ISO 4 级</w:t>
      </w:r>
    </w:p>
    <w:p>
      <w:pPr>
        <w:pageBreakBefore w:val="0"/>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3.4气流平衡生物防护</w:t>
      </w:r>
    </w:p>
    <w:p>
      <w:pPr>
        <w:pageBreakBefore w:val="0"/>
        <w:numPr>
          <w:ilvl w:val="0"/>
          <w:numId w:val="5"/>
        </w:numPr>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人员防护（5-8×108/ml 浓度枯草杆菌芽孢液喷雾试验，连续三次）：</w:t>
      </w:r>
    </w:p>
    <w:p>
      <w:pPr>
        <w:pageBreakBefore w:val="0"/>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撞击式采样器的菌落总数≤10 CFU/每次</w:t>
      </w:r>
    </w:p>
    <w:p>
      <w:pPr>
        <w:pageBreakBefore w:val="0"/>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狭缝式采样器菌落总数≤5 CFU/每次</w:t>
      </w:r>
    </w:p>
    <w:p>
      <w:pPr>
        <w:pageBreakBefore w:val="0"/>
        <w:numPr>
          <w:ilvl w:val="0"/>
          <w:numId w:val="5"/>
        </w:numPr>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受试产品防护（5-8×108/ml 浓度枯草杆菌芽孢液喷雾试验，连续三次）：</w:t>
      </w:r>
    </w:p>
    <w:p>
      <w:pPr>
        <w:pageBreakBefore w:val="0"/>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菌落总数≤5 CFU/每次</w:t>
      </w:r>
    </w:p>
    <w:p>
      <w:pPr>
        <w:pageBreakBefore w:val="0"/>
        <w:numPr>
          <w:ilvl w:val="0"/>
          <w:numId w:val="5"/>
        </w:numPr>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交叉感染防护（5-8×108/ml 浓度枯草杆菌芽孢液喷雾试验，连续三次）：</w:t>
      </w:r>
    </w:p>
    <w:p>
      <w:pPr>
        <w:pageBreakBefore w:val="0"/>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菌落总数≤2 CFU/每次</w:t>
      </w:r>
    </w:p>
    <w:p>
      <w:pPr>
        <w:pageBreakBefore w:val="0"/>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3.5噪音 ≤65dB(A)</w:t>
      </w:r>
    </w:p>
    <w:p>
      <w:pPr>
        <w:pageBreakBefore w:val="0"/>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 xml:space="preserve">3.6前口风速（工作窗口吸入风速）：≥0.53m/s </w:t>
      </w:r>
    </w:p>
    <w:p>
      <w:pPr>
        <w:pageBreakBefore w:val="0"/>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 xml:space="preserve">3.7下降风速：0.33m/s </w:t>
      </w:r>
    </w:p>
    <w:p>
      <w:pPr>
        <w:pageBreakBefore w:val="0"/>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3.8振动半峰值  ≤5μm</w:t>
      </w:r>
    </w:p>
    <w:p>
      <w:pPr>
        <w:pageBreakBefore w:val="0"/>
        <w:kinsoku/>
        <w:wordWrap/>
        <w:overflowPunct/>
        <w:topLinePunct w:val="0"/>
        <w:bidi w:val="0"/>
        <w:spacing w:line="360" w:lineRule="auto"/>
        <w:ind w:left="0" w:leftChars="0" w:right="0" w:firstLine="480" w:firstLineChars="200"/>
        <w:jc w:val="left"/>
        <w:rPr>
          <w:rFonts w:hint="eastAsia" w:ascii="仿宋" w:hAnsi="仿宋" w:eastAsia="仿宋" w:cs="仿宋"/>
          <w:sz w:val="24"/>
        </w:rPr>
      </w:pPr>
      <w:r>
        <w:rPr>
          <w:rFonts w:hint="eastAsia" w:ascii="仿宋" w:hAnsi="仿宋" w:eastAsia="仿宋" w:cs="仿宋"/>
          <w:sz w:val="24"/>
        </w:rPr>
        <w:t>3.9照度≥800Lux</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3.10结构：外箱体全部采用宝钢优质冷轧钢板静电涂装抗腐蚀能力强,工作区全部采用SUS304优质不锈钢，圆弧角R10内胆一次成形增强自洁功能，四面双层结构使工作区在负压通道包围之下始终处于负压状态，确保无污染泄漏。SUS304优质不锈钢工作台面，台板可移动。</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3.11可移动式不锈钢工作台面和容量＞4000mL的集液槽下设排污阀门，方便收集泼溅液体和清洗消毒。</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3.12操作挡板为钢化安全玻璃移门，升降系统控制位置，上下任意可调，升降自如、定位准确、无故障、免维护，并能完全关闭以便灭菌。即使意外停电移窗也能正常关闭。</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3.13独立主机与支架分体设计，便于搬运，能调节安全柜的水平度和稳定性。</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3.14 1×30W紫外线杀菌灯，消除微生物污染隐患，当风机、荧光灯关闭时，紫外灯才能运行，；内置万年历，可任意设置紫外灯的预约启停日期、时间以及延时关闭等。照明系统采用知名品牌灯具,护眼设计,照度大于国家标准。</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3.15移窗清洗：无需人员钻入安全柜操作区，即可进行移窗玻璃的全幅擦洗消毒，无死角。</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▲3.16环保节能：在运行状态下关闭前窗，3s后安全柜能进入低速节能运行模式，维持操作区的洁净度。一旦需要工作打开移窗，安全柜即刻进入正常运行状态，无需等待自净时间。有效提高操作人员的工作效率。</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▲3.17采用256色2.8吋真彩显示器，可实时显示安全柜的运行参数及报警。同时具备人机交互对话的窗口功能。可对运行参数进行监控调整，并伴有相关操作程序提示友好界面，监视显示项目：</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过滤器阻力监测报警、风机运行状态监测与故障报警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工作窗开启超过规定高度报警。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实时监测与显示下降风速，吸入口风速。</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机组运行时间累计与显示。</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3.18风机系统：BLDC直流无刷自适应恒风量风机，根据双微风速传感器实时信号，稳定输出送风量。同比消耗功率节省40%以上。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3.19配置 ：双插座设计，可断电保护功能。并为用户提供四个可连接实验室专用阀门的水汽接管通道。</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3.20配备微生物检测验证实验室，噪声测试实验室，对生物安全柜进行微生物验证测试和噪声测试，保证产品质量。</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▲3.21需提供外观专利、移窗系统、气幕隔离系统专利证书。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▲3.22需提供三类医疗器械注册证、国家CFDA注册认证、ISO9001质量管理体系认证及IS013485医疗器械质量管理体系认证。</w:t>
      </w:r>
    </w:p>
    <w:p>
      <w:pPr>
        <w:pStyle w:val="4"/>
        <w:pageBreakBefore w:val="0"/>
        <w:numPr>
          <w:ilvl w:val="0"/>
          <w:numId w:val="0"/>
        </w:numPr>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4、试剂架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4.1立柱：采用150*100*1.0mm优质冷轧钢板折弯焊接而成，表面磷化EOPXY粉末静电喷涂防腐处理，双侧模具冲孔，对试剂架侧翼起支撑作用，结构坚固。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4.2层板：底托采用1.0mm优质冷轧钢板机加工而成，与立柱衔接固定，高度可调，配钢制玻璃托板，层板选用10mm厚单面钢化玻璃，防腐，易清洁。防止试剂瓶跌落。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4.3护栏：尺寸为40x24mm，厚度1.0mm，底部带试剂架层板托边，两侧带固定孔位，采用不绣钢螺丝固定， 正面带装饰凹槽，可插入不同颜色的封边条装饰，铝合金型材经剪裁、定位打孔后成型，酸洗磷化处理后喷涂环氧树脂粉末高温烘烤固化，表面需附着力高、硬度耐腐蚀性强，外形美观。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4.4托板架：采用1.5mm优质冷轧钢板焊接而成，表面磷化EOPXY粉末静电喷涂防腐处理。</w:t>
      </w:r>
    </w:p>
    <w:p>
      <w:pPr>
        <w:pStyle w:val="4"/>
        <w:pageBreakBefore w:val="0"/>
        <w:numPr>
          <w:ilvl w:val="0"/>
          <w:numId w:val="0"/>
        </w:numPr>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5、天平台</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5.1</w:t>
      </w:r>
      <w:r>
        <w:rPr>
          <w:rFonts w:hint="eastAsia" w:ascii="仿宋" w:hAnsi="仿宋" w:eastAsia="仿宋" w:cs="仿宋"/>
          <w:sz w:val="24"/>
          <w:szCs w:val="24"/>
        </w:rPr>
        <w:t>主体框架</w:t>
      </w:r>
      <w:r>
        <w:rPr>
          <w:rFonts w:hint="eastAsia" w:ascii="仿宋" w:hAnsi="仿宋" w:eastAsia="仿宋" w:cs="仿宋"/>
          <w:sz w:val="24"/>
          <w:szCs w:val="24"/>
          <w:lang w:eastAsia="zh-CN"/>
        </w:rPr>
        <w:t>：</w:t>
      </w:r>
      <w:r>
        <w:rPr>
          <w:rFonts w:hint="eastAsia" w:ascii="仿宋" w:hAnsi="仿宋" w:eastAsia="仿宋" w:cs="仿宋"/>
          <w:sz w:val="24"/>
          <w:szCs w:val="24"/>
        </w:rPr>
        <w:t>采用60*40*2mm矩形钢管经二氧化碳焊接制作成C形钢支架、连接支撑横梁采用60*40*2mm矩形钢管，表面经除油、酸洗、磷化作防锈处理，再静电粉沫喷涂EPOXY防护层做耐酸碱耐腐蚀表面处理，其喷涂EPOXY防护层附着力经落物撞击试验测试合格；框架静态承重﹥500公斤以上。</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5.2</w:t>
      </w:r>
      <w:r>
        <w:rPr>
          <w:rFonts w:hint="eastAsia" w:ascii="仿宋" w:hAnsi="仿宋" w:eastAsia="仿宋" w:cs="仿宋"/>
          <w:sz w:val="24"/>
          <w:szCs w:val="24"/>
        </w:rPr>
        <w:t>柜体抽面与门板：采用18mm厚的国产优质环保型中纤板，表面粘压国产优质1.0mm厚珍珠面防火板，所有断面经经国产优质2.0mm厚PVC封边防水处理，四周做倒角圆滑处理，外表美观、光滑</w:t>
      </w:r>
      <w:r>
        <w:rPr>
          <w:rFonts w:hint="eastAsia" w:ascii="仿宋" w:hAnsi="仿宋" w:eastAsia="仿宋" w:cs="仿宋"/>
          <w:sz w:val="24"/>
          <w:szCs w:val="24"/>
          <w:lang w:eastAsia="zh-CN"/>
        </w:rPr>
        <w:t>。</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5.3</w:t>
      </w:r>
      <w:r>
        <w:rPr>
          <w:rFonts w:hint="eastAsia" w:ascii="仿宋" w:hAnsi="仿宋" w:eastAsia="仿宋" w:cs="仿宋"/>
          <w:sz w:val="24"/>
          <w:szCs w:val="24"/>
        </w:rPr>
        <w:t>台面：采用</w:t>
      </w:r>
      <w:r>
        <w:rPr>
          <w:rFonts w:hint="eastAsia" w:ascii="仿宋" w:hAnsi="仿宋" w:eastAsia="仿宋" w:cs="仿宋"/>
          <w:sz w:val="24"/>
          <w:szCs w:val="24"/>
          <w:lang w:val="en-US" w:eastAsia="zh-CN"/>
        </w:rPr>
        <w:t>4</w:t>
      </w:r>
      <w:r>
        <w:rPr>
          <w:rFonts w:hint="eastAsia" w:ascii="仿宋" w:hAnsi="仿宋" w:eastAsia="仿宋" w:cs="仿宋"/>
          <w:sz w:val="24"/>
          <w:szCs w:val="24"/>
        </w:rPr>
        <w:t>0mm厚（双层）优质天然大理石制作，使台身更加稳固。</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5.4</w:t>
      </w:r>
      <w:r>
        <w:rPr>
          <w:rFonts w:hint="eastAsia" w:ascii="仿宋" w:hAnsi="仿宋" w:eastAsia="仿宋" w:cs="仿宋"/>
          <w:sz w:val="24"/>
          <w:szCs w:val="24"/>
        </w:rPr>
        <w:t>附属配件铰链：采用国产优质全开式90-175度高质镀铬钢铰链，与柜体面水平角度&amp;lt;15度时，柜门即可自行关闭，弹性好，外形美观，使用过程中无噪音，可自由开合五万次以上。拉手：采用不锈钢拉手。支承横梁为60＊40mm冷轧矩形钢管，支撑立柱为同规格钢管两面组焊镶嵌冷轧槽钢，表面电镀彩锌作防锈预处理，经二氧化碳冷焊组合后再酸洗、磷化并静电粉沫喷涂环氧化树脂防护层作耐酸碱耐腐蚀表面处理。</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5.5</w:t>
      </w:r>
      <w:r>
        <w:rPr>
          <w:rFonts w:hint="eastAsia" w:ascii="仿宋" w:hAnsi="仿宋" w:eastAsia="仿宋" w:cs="仿宋"/>
          <w:sz w:val="24"/>
          <w:szCs w:val="24"/>
        </w:rPr>
        <w:t>可调节组合地脚：具有防滑、减震、耐酸碱、耐腐蚀、承重力强等特点。</w:t>
      </w:r>
    </w:p>
    <w:p>
      <w:pPr>
        <w:pStyle w:val="4"/>
        <w:pageBreakBefore w:val="0"/>
        <w:numPr>
          <w:ilvl w:val="0"/>
          <w:numId w:val="0"/>
        </w:numPr>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6、PP水槽</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水槽边沿平整，契合台面。水槽可自带溢水功能，防止在实验过程中无人看管时水漫过台面的情况。水槽材质为防腐蚀材质。主要搭配 PP存水器，防止虹吸现象。</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6.1材质：采用高密度PP新料注塑成型，耐腐蚀耐酸碱；稳定性强，并具弹性、韧性，不易老化耐划。           </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6.2厚度：根据强度要求设计厚度为5mm-8mm。</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6.3附件：高密度PP去水；含阻水盖、PP提笼。</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▲6.4耐化学性：经10%醋酸，10%NaOH,15%次氯酸钠，饱和NaCL溶液，70%乙醇分别试验，经试验后表面应无永久腐蚀或变形。其中外观及其承载能力的检测也都符合要求。提供第三方检测机构出具的加盖CMA章的检测报告。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6.5耐污染性：在常温下将样块浸泡40%硫酸、40%硝酸、40%盐酸、王水、40%氢氧化钠、甲醛（分析纯）等不少于24种化学试剂24小时后表面无变化。其中外观及其承载能力的检测也都符合要求。提供第三方检测机构出具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6.6耐高温性：将150℃油温灌入水槽后无变形、损坏。提供第三方检测机构出具的的检测报告。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▲6.7抗细菌性：依据ISO 22196:2011检测标准，检测结果必须符合：抗菌活性值金黄色葡萄球菌≤6，大肠埃希氏菌≤4；并提供具有CMA资质的第三方检测机构出具的检测报告。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▲6.8甲醛释放量：依据JG/T 528-2017检测标准，在温度23℃，相对湿度RH50%的环境舱中平衡释放168h采气测试结果，甲醛释放量未检出。并提供具有CMA资质的第三方检测机构出具的检测报告。</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6.9防霉性：依据GB/T 24128-2018/ISO16869:2008检测标准，检测结果： 防霉性能（黑曲霉、球毛壳梅、宛氏拟青霉、绳状表霉、长枝木霉）1级。提供具有CMA资质的第三方检测机构出具的检测报告。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▲6.10投标人投标时须提供符合EN 13792：2002标准的CE证书及国内保险公司承保合同复印件并加盖生产厂家公章。</w:t>
      </w:r>
    </w:p>
    <w:p>
      <w:pPr>
        <w:pStyle w:val="4"/>
        <w:pageBreakBefore w:val="0"/>
        <w:numPr>
          <w:ilvl w:val="0"/>
          <w:numId w:val="0"/>
        </w:numPr>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7、三口水龙头</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7.1主体加厚铜质，涂层经环氧树脂粉末涂料热固处理，防紫外线辐射，耐酸碱、耐腐蚀；</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7.2开关采用精密陶瓷阀芯可90度旋转、耐磨、耐腐蚀，开关使用寿命测试可达50万次，静态最大耐压2.5MPa,鹅颈出水管可360度旋转，旋钮把手高密度PP（HDPP）；</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7.3产品外接非密封管螺纹符合GB/T 7307的要求，其中外螺纹不低于GB/T 7307的B级精度；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7.4向金属管螺纹施加61N·m的扭力矩，保持（60±5）s，螺纹无裂纹、无损坏；</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7.5装配好的手柄应平稳，轻便、无卡阻。手柄与阀杆连接牢固，不得松动。水嘴手柄或手轮在开启或关闭方向上施加（6±0.2）N.m扭力矩后，无可见变形或损坏；水嘴手柄或手轮承受45N的轴向拉力，保持（60±5）s，无松动现象；</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7.6水嘴密封性能：（1）阀芯上游：1.6 MPa ±0.05 MPa压力</w:t>
      </w:r>
      <w:r>
        <w:rPr>
          <w:rFonts w:hint="eastAsia" w:ascii="仿宋" w:hAnsi="仿宋" w:eastAsia="仿宋" w:cs="仿宋"/>
          <w:sz w:val="24"/>
          <w:szCs w:val="24"/>
          <w:lang w:val="en-US" w:eastAsia="zh-CN"/>
        </w:rPr>
        <w:t>，关闭阀芯，打开出水口，稳压时间（60±5）s，阀芯及上游过水通道无渗漏；（2）阀芯下游：0.4 MPa±0.02 MPa压力，阀芯打开，出水口关闭，稳压时间（60±5）s，阀芯下游任何密封部位无渗漏；水压（0.05±0.01）Mpa,阀芯打开，出水口关闭，保压时间（60±5）s，阀芯下游任何密封部位无渗漏；</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▲7.7水嘴按GB/T 10125- 2012进行24h酸性盐雾试验后，达到GB/T 6461-2002标准中外观评级10级的要求；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▲7.8涂镀层附着强度按照GB/T 9286-1998规定的方法在水嘴上较平整的表面进行划格试验达到1级要求；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7.9水嘴开关寿命：符合GB 18145-2014标准中8.6.9的要求；</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7.10水嘴流量：符合GB 18145-2014标准中7.6.3.1的要求，0.05L/s≤流量≤0.15L/s；</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7.11管螺纹精度：符合GB/T 7307的螺纹呈牙形角55°；</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7.12水龙头耐腐蚀性：提供国家认可的第三方检测机构出具的表面耐污染检测报告，检测项目包含包含四氯化碳、6%尿素水溶液、无水乙醇、30%硫酸、5%盐酸、煤油等60种以上有机无机试剂，表面停留24小时后无明显变化，检验结果为5级，检测报告须盖CMA及CNAS章。</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▲7.13水龙头金属污染物析出：依据GB 18145-2014标准检测，检测结果铅析出统计值Q＜5，锑析出量＜0.6，砷析出量＜1.0，钡析出量＜200，铍析出量＜0.4等不少于8种金属析出物的检测，提供国家节水器具产品质量检验检测中心出具的加盖CMA及CNAS章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▲7.14水龙头RoHS环保测试:依据IEC 62321-4:2013+AMD1:2017,IEC 62321-5:2013, IEC 62321-7-1:2015等标准,采用ICP-OES,UV-Vis和GC-MS进行分析，铅、汞、镉、六价铬、多溴联苯(PBBs)、多溴二苯醚(PBDEs)和邻苯二甲酸酯(如邻苯二甲酸二丁酯（DBP）等的测试结果符合欧盟RoHS指令2011/65/EU的附录Ⅱ修正指令(EU)2015/863的限值要求。提供第三方检测机构出具的检测报告并加盖CMA及CNAS章。</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7.15对实验室安全性，节水性要求的需要，水龙头配件好坏对实验尤为重要，投标人投标时还须提供水龙头以下证书和检测报告复印件并加盖生产厂家公章：</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1）实验室化验水龙头需提供中国节水产品CQC认证证书；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实验室化验水龙头需提供CSA认证证书；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实验室化验水龙头符合CE-EN 13792:2002认证标准，提供CE认证报告；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4）实验室化验水龙头需提供ACS认证证书；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5）实验室化验水龙头需提供WRAS认证证书；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6）实验室水龙头提供国家认可的第三方检测机构出具的主材铜含量测试报告；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▲7）实验室化验水龙头需提供中国环境标志（II型）产品认证证书；</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8）实验室化验水龙头提供有效的国内保险公司承保合同；</w:t>
      </w:r>
    </w:p>
    <w:p>
      <w:pPr>
        <w:pStyle w:val="4"/>
        <w:pageBreakBefore w:val="0"/>
        <w:numPr>
          <w:ilvl w:val="0"/>
          <w:numId w:val="0"/>
        </w:numPr>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8、原子吸收罩</w:t>
      </w:r>
    </w:p>
    <w:p>
      <w:pPr>
        <w:pageBreakBefore w:val="0"/>
        <w:widowControl/>
        <w:shd w:val="clear" w:color="auto" w:fill="FFFFFF"/>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8.1</w:t>
      </w:r>
      <w:r>
        <w:rPr>
          <w:rFonts w:hint="eastAsia" w:ascii="仿宋" w:hAnsi="仿宋" w:eastAsia="仿宋" w:cs="仿宋"/>
          <w:sz w:val="24"/>
          <w:szCs w:val="24"/>
        </w:rPr>
        <w:t>材质:整体为拉丝饰面304不锈钢1.2mm折弯焊接成型后打磨抛光处理</w:t>
      </w:r>
      <w:r>
        <w:rPr>
          <w:rFonts w:hint="eastAsia" w:ascii="仿宋" w:hAnsi="仿宋" w:eastAsia="仿宋" w:cs="仿宋"/>
          <w:sz w:val="24"/>
          <w:szCs w:val="24"/>
          <w:lang w:eastAsia="zh-CN"/>
        </w:rPr>
        <w:t>。</w:t>
      </w:r>
    </w:p>
    <w:p>
      <w:pPr>
        <w:pageBreakBefore w:val="0"/>
        <w:widowControl/>
        <w:shd w:val="clear" w:color="auto" w:fill="FFFFFF"/>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8.2罩口尺寸：</w:t>
      </w:r>
      <w:r>
        <w:rPr>
          <w:rFonts w:hint="eastAsia" w:ascii="仿宋" w:hAnsi="仿宋" w:eastAsia="仿宋" w:cs="仿宋"/>
          <w:sz w:val="24"/>
          <w:szCs w:val="24"/>
        </w:rPr>
        <w:t>罩口尺寸</w:t>
      </w:r>
      <w:r>
        <w:rPr>
          <w:rFonts w:hint="eastAsia" w:ascii="仿宋" w:hAnsi="仿宋" w:eastAsia="仿宋" w:cs="仿宋"/>
          <w:sz w:val="24"/>
          <w:szCs w:val="24"/>
          <w:lang w:eastAsia="zh-CN"/>
        </w:rPr>
        <w:t>为</w:t>
      </w:r>
      <w:r>
        <w:rPr>
          <w:rFonts w:hint="eastAsia" w:ascii="仿宋" w:hAnsi="仿宋" w:eastAsia="仿宋" w:cs="仿宋"/>
          <w:sz w:val="24"/>
          <w:szCs w:val="24"/>
        </w:rPr>
        <w:t>400*400mm</w:t>
      </w:r>
      <w:r>
        <w:rPr>
          <w:rFonts w:hint="eastAsia" w:ascii="仿宋" w:hAnsi="仿宋" w:eastAsia="仿宋" w:cs="仿宋"/>
          <w:sz w:val="24"/>
          <w:szCs w:val="24"/>
          <w:lang w:val="en-US" w:eastAsia="zh-CN"/>
        </w:rPr>
        <w:t>,</w:t>
      </w:r>
      <w:r>
        <w:rPr>
          <w:rFonts w:hint="eastAsia" w:ascii="仿宋" w:hAnsi="仿宋" w:eastAsia="仿宋" w:cs="仿宋"/>
          <w:sz w:val="24"/>
          <w:szCs w:val="24"/>
        </w:rPr>
        <w:t>风口直</w:t>
      </w:r>
      <w:r>
        <w:rPr>
          <w:rFonts w:hint="eastAsia" w:ascii="仿宋" w:hAnsi="仿宋" w:eastAsia="仿宋" w:cs="仿宋"/>
          <w:sz w:val="24"/>
          <w:szCs w:val="24"/>
          <w:lang w:eastAsia="zh-CN"/>
        </w:rPr>
        <w:t>为</w:t>
      </w:r>
      <w:r>
        <w:rPr>
          <w:rFonts w:hint="eastAsia" w:ascii="仿宋" w:hAnsi="仿宋" w:eastAsia="仿宋" w:cs="仿宋"/>
          <w:sz w:val="24"/>
          <w:szCs w:val="24"/>
        </w:rPr>
        <w:t>110mm</w:t>
      </w:r>
      <w:r>
        <w:rPr>
          <w:rFonts w:hint="eastAsia" w:ascii="仿宋" w:hAnsi="仿宋" w:eastAsia="仿宋" w:cs="仿宋"/>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导管规格</w:t>
      </w:r>
      <w:r>
        <w:rPr>
          <w:rFonts w:hint="eastAsia" w:ascii="仿宋" w:hAnsi="仿宋" w:eastAsia="仿宋" w:cs="仿宋"/>
          <w:sz w:val="24"/>
          <w:szCs w:val="24"/>
          <w:lang w:eastAsia="zh-CN"/>
        </w:rPr>
        <w:t>：</w:t>
      </w:r>
      <w:r>
        <w:rPr>
          <w:rFonts w:hint="eastAsia" w:ascii="仿宋" w:hAnsi="仿宋" w:eastAsia="仿宋" w:cs="仿宋"/>
          <w:sz w:val="24"/>
          <w:szCs w:val="24"/>
        </w:rPr>
        <w:t>方形</w:t>
      </w:r>
      <w:r>
        <w:rPr>
          <w:rFonts w:hint="eastAsia" w:ascii="仿宋" w:hAnsi="仿宋" w:eastAsia="仿宋" w:cs="仿宋"/>
          <w:sz w:val="24"/>
          <w:szCs w:val="24"/>
          <w:lang w:eastAsia="zh-CN"/>
        </w:rPr>
        <w:t>，</w:t>
      </w:r>
      <w:r>
        <w:rPr>
          <w:rFonts w:hint="eastAsia" w:ascii="仿宋" w:hAnsi="仿宋" w:eastAsia="仿宋" w:cs="仿宋"/>
          <w:sz w:val="24"/>
          <w:szCs w:val="24"/>
        </w:rPr>
        <w:t>尺寸100*100mm、可伸缩不锈钢集气罩、带手动调节不锈钢导风管等</w:t>
      </w:r>
      <w:r>
        <w:rPr>
          <w:rFonts w:hint="eastAsia" w:ascii="仿宋" w:hAnsi="仿宋" w:eastAsia="仿宋" w:cs="仿宋"/>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8.4</w:t>
      </w:r>
      <w:r>
        <w:rPr>
          <w:rFonts w:hint="eastAsia" w:ascii="仿宋" w:hAnsi="仿宋" w:eastAsia="仿宋" w:cs="仿宋"/>
          <w:sz w:val="24"/>
          <w:szCs w:val="24"/>
        </w:rPr>
        <w:t>伸缩范围：1.1-1.4m，在导风管上配有手动调节阀，开启度可以0°到180°</w:t>
      </w:r>
      <w:r>
        <w:rPr>
          <w:rFonts w:hint="eastAsia" w:ascii="仿宋" w:hAnsi="仿宋" w:eastAsia="仿宋" w:cs="仿宋"/>
          <w:sz w:val="24"/>
          <w:szCs w:val="24"/>
          <w:lang w:eastAsia="zh-CN"/>
        </w:rPr>
        <w:t>，</w:t>
      </w:r>
      <w:r>
        <w:rPr>
          <w:rFonts w:hint="eastAsia" w:ascii="仿宋" w:hAnsi="仿宋" w:eastAsia="仿宋" w:cs="仿宋"/>
          <w:sz w:val="24"/>
          <w:szCs w:val="24"/>
        </w:rPr>
        <w:t>可任意调节风量。</w:t>
      </w:r>
    </w:p>
    <w:p>
      <w:pPr>
        <w:pStyle w:val="4"/>
        <w:pageBreakBefore w:val="0"/>
        <w:numPr>
          <w:ilvl w:val="0"/>
          <w:numId w:val="0"/>
        </w:numPr>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9、台式洗眼器</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9.1主体:加厚铜质H59-1；                                       </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9.2洗眼喷头:加厚铜质环氧树脂涂层外加软性橡胶,出水经缓压处理呈泡沫状水柱,防止冲伤眼睛；</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9.3莲蓬头护罩：Φ70橡胶质护杯，以避免紧急使用时瞬间接触眼部造成碰撞二次伤害；</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9.4防尘盖: PP材质, 平常可防尘，使用时可随时被水冲开，并降低突然时短暂的高水压，防止冲伤眼睛，防尘盖有连接于护罩可防尘脱落。使用时自动被水冲开；</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9.5水流锁定开关:水流开启,水流锁定功能一次完成,方便使用；</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9.6控水阀:止逆阀,其阀门可自动关闭；</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9.7前置过滤器：配有小型前置过滤器主要的去除管道所产生的沉淀杂质和细菌、微生物残骸、铁锈、沙泥等大于5微米以上的颗粒杂质，避免眼睛及人体肌肤受到伤害；</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9.8供水软管:长度1.5米,软性PVC管外覆不锈钢网,外层包裹PE管,有效防止生锈、渗漏。</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9.9出水量：单口洗眼器＞6升/分钟，双口洗眼器＞11.4升/分钟；</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9.10在测试压力0.20MPa下， 测试时间3min/次， 提供冲洗液流量：6.9L/min，能保持洗眼时间：15min；</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9.11阀门在1s的时间内能完全打开。阀门一经打开，除使用者有意关闭的情况之外，能始终保持开启状态；</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9.12喷头位于距离使用者站立的水平面的高度距离可调（838mm～1143mm），距离墙壁或最近的障碍物距离可调（≥153mm）；</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▲9.13以上10-12点内容需提供第三方检测机构出具的检测报告并加盖CMA及CNAS章；</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▲9.14提供国家认可的第三方检测机构出具的包含①管螺纹精度，②螺纹表面，③抗压强度，④外观，⑤启动开关灵活，⑥水柱喷射高度，⑦水流量，⑧耐压性，⑨密封性等9项检测项目的检测报告；</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▲9.15洗眼器一般要求(密封、尺寸、流量)符合GB/T 38144.1- 2019标准的要求，并提供第三方检测机构出具的加盖CMA及CNAS章的检测报告。</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9.16耐腐蚀性：10%乙酸、70%乙醇、15%次氯酸钠、饱和NaCL，5%肥皂水，在常温下将样品浸泡在上述试剂中48小时，样品表面无明显变化；24h乙酸盐雾试验无腐蚀。提供第三方检测机构出具的检测报告；</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9.17投标人投标时须提供国内保险公司承保合同复印件并加盖生产厂家公章。</w:t>
      </w:r>
    </w:p>
    <w:p>
      <w:pPr>
        <w:pStyle w:val="4"/>
        <w:pageBreakBefore w:val="0"/>
        <w:numPr>
          <w:ilvl w:val="0"/>
          <w:numId w:val="0"/>
        </w:numPr>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10、PP滴水架</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10.1材质：高密度PP，款式新颖，有现代感；</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10.2类型：单面；</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10.3底部托盘中间设有排水孔；</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10.4可拆卸式滴水棒，滴水棒27/52根，有三种不同功能及长度的滴水棒，方便不同规格的器皿挂放；</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10.5安装方式：壁挂式/台式；</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10.6颜色：黑色、白色、灰色；</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10.7尺寸：550*400*108mm / 700*550*122mm；</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▲10.8性能参数</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（1）主体的挂拉强度达到36 kgf及以上。</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(2)根据相关的试验协会(ASTM)D638-03标准，产品的抗拉强度达到256kgf/cm2及以上。</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(3)根据相关的试验协会(ASTM)D790-03标准，产品的抗弯强度达到557kgf/cm及以上。</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(4)滴水棒承重能力达到68N及以上。</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需提供符合或优于上述性能参数指标的第三方检测机构的检测报告。</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10.9经测试干架应能承受19.6N挂重测试,面板应能承受100N拉力测试，提供国家认可的第三方检测机构出具的检测报告。</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▲10.10提供符合EN 13792：2002标准的CE证书。</w:t>
      </w:r>
    </w:p>
    <w:p>
      <w:pPr>
        <w:pStyle w:val="4"/>
        <w:pageBreakBefore w:val="0"/>
        <w:numPr>
          <w:ilvl w:val="0"/>
          <w:numId w:val="0"/>
        </w:numPr>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11、高柜（器皿柜、试剂柜等）</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11.1钢板选材：</w:t>
      </w:r>
      <w:r>
        <w:rPr>
          <w:rFonts w:hint="eastAsia" w:ascii="仿宋" w:hAnsi="仿宋" w:eastAsia="仿宋" w:cs="仿宋"/>
          <w:sz w:val="24"/>
          <w:szCs w:val="24"/>
        </w:rPr>
        <w:t>主体材质采用国内十大钢厂的1.</w:t>
      </w:r>
      <w:r>
        <w:rPr>
          <w:rFonts w:hint="eastAsia" w:ascii="仿宋" w:hAnsi="仿宋" w:eastAsia="仿宋" w:cs="仿宋"/>
          <w:sz w:val="24"/>
          <w:szCs w:val="24"/>
          <w:lang w:val="en-US" w:eastAsia="zh-CN"/>
        </w:rPr>
        <w:t>0mm</w:t>
      </w:r>
      <w:r>
        <w:rPr>
          <w:rFonts w:hint="eastAsia" w:ascii="仿宋" w:hAnsi="仿宋" w:eastAsia="仿宋" w:cs="仿宋"/>
          <w:sz w:val="24"/>
          <w:szCs w:val="24"/>
        </w:rPr>
        <w:t>实厚冷扎钢板</w:t>
      </w:r>
      <w:r>
        <w:rPr>
          <w:rFonts w:hint="eastAsia" w:ascii="仿宋" w:hAnsi="仿宋" w:eastAsia="仿宋" w:cs="仿宋"/>
          <w:sz w:val="24"/>
          <w:szCs w:val="24"/>
          <w:lang w:eastAsia="zh-CN"/>
        </w:rPr>
        <w:t>，</w:t>
      </w:r>
      <w:r>
        <w:rPr>
          <w:rFonts w:hint="eastAsia" w:ascii="仿宋" w:hAnsi="仿宋" w:eastAsia="仿宋" w:cs="仿宋"/>
          <w:sz w:val="24"/>
          <w:szCs w:val="24"/>
        </w:rPr>
        <w:t>钢板焊接经环氧树脂粉喷涂后，目视平整无焊点。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11.2</w:t>
      </w:r>
      <w:r>
        <w:rPr>
          <w:rFonts w:hint="eastAsia" w:ascii="仿宋" w:hAnsi="仿宋" w:eastAsia="仿宋" w:cs="仿宋"/>
          <w:sz w:val="24"/>
          <w:szCs w:val="24"/>
        </w:rPr>
        <w:t>铰链：快装铰链，开合无噪音，防锈、耐腐蚀。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11.3产品工序：</w:t>
      </w:r>
      <w:r>
        <w:rPr>
          <w:rFonts w:hint="eastAsia" w:ascii="仿宋" w:hAnsi="仿宋" w:eastAsia="仿宋" w:cs="仿宋"/>
          <w:sz w:val="24"/>
          <w:szCs w:val="24"/>
        </w:rPr>
        <w:t>表面处理方式经酸洗-磷化-烘干-抛光-打磨工序。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11.4</w:t>
      </w:r>
      <w:r>
        <w:rPr>
          <w:rFonts w:hint="eastAsia" w:ascii="仿宋" w:hAnsi="仿宋" w:eastAsia="仿宋" w:cs="仿宋"/>
          <w:sz w:val="24"/>
          <w:szCs w:val="24"/>
        </w:rPr>
        <w:t>喷涂材质</w:t>
      </w:r>
      <w:r>
        <w:rPr>
          <w:rFonts w:hint="eastAsia" w:ascii="仿宋" w:hAnsi="仿宋" w:eastAsia="仿宋" w:cs="仿宋"/>
          <w:sz w:val="24"/>
          <w:szCs w:val="24"/>
          <w:lang w:eastAsia="zh-CN"/>
        </w:rPr>
        <w:t>：</w:t>
      </w:r>
      <w:r>
        <w:rPr>
          <w:rFonts w:hint="eastAsia" w:ascii="仿宋" w:hAnsi="仿宋" w:eastAsia="仿宋" w:cs="仿宋"/>
          <w:sz w:val="24"/>
          <w:szCs w:val="24"/>
        </w:rPr>
        <w:t>采用环氧树脂粉末喷涂厚度80um，经180度高温固化。</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11.5柜</w:t>
      </w:r>
      <w:r>
        <w:rPr>
          <w:rFonts w:hint="eastAsia" w:ascii="仿宋" w:hAnsi="仿宋" w:eastAsia="仿宋" w:cs="仿宋"/>
          <w:sz w:val="24"/>
          <w:szCs w:val="24"/>
        </w:rPr>
        <w:t>门板视窗</w:t>
      </w:r>
      <w:r>
        <w:rPr>
          <w:rFonts w:hint="eastAsia" w:ascii="仿宋" w:hAnsi="仿宋" w:eastAsia="仿宋" w:cs="仿宋"/>
          <w:sz w:val="24"/>
          <w:szCs w:val="24"/>
          <w:lang w:eastAsia="zh-CN"/>
        </w:rPr>
        <w:t>：</w:t>
      </w:r>
      <w:r>
        <w:rPr>
          <w:rFonts w:hint="eastAsia" w:ascii="仿宋" w:hAnsi="仿宋" w:eastAsia="仿宋" w:cs="仿宋"/>
          <w:sz w:val="24"/>
          <w:szCs w:val="24"/>
        </w:rPr>
        <w:t>采用5mm钢化玻璃，四周用黑色PVC或橡胶镶边密封保护</w:t>
      </w:r>
      <w:r>
        <w:rPr>
          <w:rFonts w:hint="eastAsia" w:ascii="仿宋" w:hAnsi="仿宋" w:eastAsia="仿宋" w:cs="仿宋"/>
          <w:sz w:val="24"/>
          <w:szCs w:val="24"/>
          <w:lang w:val="en-US" w:eastAsia="zh-CN"/>
        </w:rPr>
        <w:t>处</w:t>
      </w:r>
      <w:r>
        <w:rPr>
          <w:rFonts w:hint="eastAsia" w:ascii="仿宋" w:hAnsi="仿宋" w:eastAsia="仿宋" w:cs="仿宋"/>
          <w:sz w:val="24"/>
          <w:szCs w:val="24"/>
        </w:rPr>
        <w:t>理</w:t>
      </w:r>
      <w:r>
        <w:rPr>
          <w:rFonts w:hint="eastAsia" w:ascii="仿宋" w:hAnsi="仿宋" w:eastAsia="仿宋" w:cs="仿宋"/>
          <w:color w:val="auto"/>
          <w:kern w:val="2"/>
          <w:sz w:val="24"/>
          <w:szCs w:val="24"/>
          <w:lang w:val="en-US" w:eastAsia="zh-CN" w:bidi="ar-SA"/>
        </w:rPr>
        <w:t>。</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11.6</w:t>
      </w:r>
      <w:r>
        <w:rPr>
          <w:rFonts w:hint="eastAsia" w:ascii="仿宋" w:hAnsi="仿宋" w:eastAsia="仿宋" w:cs="仿宋"/>
          <w:sz w:val="24"/>
          <w:szCs w:val="24"/>
        </w:rPr>
        <w:t>门板铰链：</w:t>
      </w:r>
      <w:r>
        <w:rPr>
          <w:rFonts w:hint="eastAsia" w:ascii="仿宋" w:hAnsi="仿宋" w:eastAsia="仿宋" w:cs="仿宋"/>
          <w:sz w:val="24"/>
          <w:szCs w:val="24"/>
          <w:lang w:val="en-US" w:eastAsia="zh-CN"/>
        </w:rPr>
        <w:t>采用</w:t>
      </w:r>
      <w:r>
        <w:rPr>
          <w:rFonts w:hint="eastAsia" w:ascii="仿宋" w:hAnsi="仿宋" w:eastAsia="仿宋" w:cs="仿宋"/>
          <w:sz w:val="24"/>
          <w:szCs w:val="24"/>
        </w:rPr>
        <w:t>304不锈钢合页，内盖门最大开启角度180度。</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11.7</w:t>
      </w:r>
      <w:r>
        <w:rPr>
          <w:rFonts w:hint="eastAsia" w:ascii="仿宋" w:hAnsi="仿宋" w:eastAsia="仿宋" w:cs="仿宋"/>
          <w:sz w:val="24"/>
          <w:szCs w:val="24"/>
        </w:rPr>
        <w:t>门板拉手：</w:t>
      </w:r>
      <w:r>
        <w:rPr>
          <w:rFonts w:hint="eastAsia" w:ascii="仿宋" w:hAnsi="仿宋" w:eastAsia="仿宋" w:cs="仿宋"/>
          <w:sz w:val="24"/>
          <w:szCs w:val="24"/>
          <w:lang w:val="en-US" w:eastAsia="zh-CN"/>
        </w:rPr>
        <w:t>采用</w:t>
      </w:r>
      <w:r>
        <w:rPr>
          <w:rFonts w:hint="eastAsia" w:ascii="仿宋" w:hAnsi="仿宋" w:eastAsia="仿宋" w:cs="仿宋"/>
          <w:sz w:val="24"/>
          <w:szCs w:val="24"/>
        </w:rPr>
        <w:t>128mm铝合金喷塑拉手</w:t>
      </w:r>
      <w:r>
        <w:rPr>
          <w:rFonts w:hint="eastAsia" w:ascii="仿宋" w:hAnsi="仿宋" w:eastAsia="仿宋" w:cs="仿宋"/>
          <w:sz w:val="24"/>
          <w:szCs w:val="24"/>
          <w:lang w:eastAsia="zh-CN"/>
        </w:rPr>
        <w:t>，</w:t>
      </w:r>
      <w:r>
        <w:rPr>
          <w:rFonts w:hint="eastAsia" w:ascii="仿宋" w:hAnsi="仿宋" w:eastAsia="仿宋" w:cs="仿宋"/>
          <w:sz w:val="24"/>
          <w:szCs w:val="24"/>
        </w:rPr>
        <w:t>门板吸合方式采用塑料包覆</w:t>
      </w:r>
      <w:r>
        <w:rPr>
          <w:rFonts w:hint="eastAsia" w:ascii="仿宋" w:hAnsi="仿宋" w:eastAsia="仿宋" w:cs="仿宋"/>
          <w:sz w:val="24"/>
          <w:szCs w:val="24"/>
          <w:lang w:val="en-US" w:eastAsia="zh-CN"/>
        </w:rPr>
        <w:t>强磁碰起到防撞降音作用。</w:t>
      </w:r>
    </w:p>
    <w:p>
      <w:pPr>
        <w:pageBreakBefore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11.8调整脚：调整脚采用内置M6内六角，最大调整高度50mm，配孔盖。</w:t>
      </w:r>
    </w:p>
    <w:p>
      <w:pPr>
        <w:pStyle w:val="4"/>
        <w:pageBreakBefore w:val="0"/>
        <w:numPr>
          <w:ilvl w:val="0"/>
          <w:numId w:val="0"/>
        </w:numPr>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12、货架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12.1</w:t>
      </w:r>
      <w:r>
        <w:rPr>
          <w:rFonts w:hint="eastAsia" w:ascii="仿宋" w:hAnsi="仿宋" w:eastAsia="仿宋" w:cs="仿宋"/>
          <w:sz w:val="24"/>
          <w:szCs w:val="24"/>
        </w:rPr>
        <w:t>结构：采用全钢结构。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12.2</w:t>
      </w:r>
      <w:r>
        <w:rPr>
          <w:rFonts w:hint="eastAsia" w:ascii="仿宋" w:hAnsi="仿宋" w:eastAsia="仿宋" w:cs="仿宋"/>
          <w:sz w:val="24"/>
          <w:szCs w:val="24"/>
        </w:rPr>
        <w:t>框架：主体采用1.0</w:t>
      </w:r>
      <w:r>
        <w:rPr>
          <w:rFonts w:hint="eastAsia" w:ascii="仿宋" w:hAnsi="仿宋" w:eastAsia="仿宋" w:cs="仿宋"/>
          <w:sz w:val="24"/>
          <w:szCs w:val="24"/>
          <w:lang w:val="en-US" w:eastAsia="zh-CN"/>
        </w:rPr>
        <w:t>mm</w:t>
      </w:r>
      <w:r>
        <w:rPr>
          <w:rFonts w:hint="eastAsia" w:ascii="仿宋" w:hAnsi="仿宋" w:eastAsia="仿宋" w:cs="仿宋"/>
          <w:sz w:val="24"/>
          <w:szCs w:val="24"/>
        </w:rPr>
        <w:t>冷轧钢板，特殊承重部位采用1.2～1.5</w:t>
      </w:r>
      <w:r>
        <w:rPr>
          <w:rFonts w:hint="eastAsia" w:ascii="仿宋" w:hAnsi="仿宋" w:eastAsia="仿宋" w:cs="仿宋"/>
          <w:sz w:val="24"/>
          <w:szCs w:val="24"/>
          <w:lang w:val="en-US" w:eastAsia="zh-CN"/>
        </w:rPr>
        <w:t>mm</w:t>
      </w:r>
      <w:r>
        <w:rPr>
          <w:rFonts w:hint="eastAsia" w:ascii="仿宋" w:hAnsi="仿宋" w:eastAsia="仿宋" w:cs="仿宋"/>
          <w:sz w:val="24"/>
          <w:szCs w:val="24"/>
        </w:rPr>
        <w:t>冷扎板，通过剪切、折弯、焊接、冲压、打磨一系列复杂工艺精致而成</w:t>
      </w:r>
      <w:r>
        <w:rPr>
          <w:rFonts w:hint="eastAsia" w:ascii="仿宋" w:hAnsi="仿宋" w:eastAsia="仿宋" w:cs="仿宋"/>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12.3</w:t>
      </w:r>
      <w:r>
        <w:rPr>
          <w:rFonts w:hint="eastAsia" w:ascii="仿宋" w:hAnsi="仿宋" w:eastAsia="仿宋" w:cs="仿宋"/>
          <w:sz w:val="24"/>
          <w:szCs w:val="24"/>
        </w:rPr>
        <w:t>层板</w:t>
      </w:r>
      <w:r>
        <w:rPr>
          <w:rFonts w:hint="eastAsia" w:ascii="仿宋" w:hAnsi="仿宋" w:eastAsia="仿宋" w:cs="仿宋"/>
          <w:color w:val="000000"/>
          <w:sz w:val="24"/>
          <w:szCs w:val="24"/>
        </w:rPr>
        <w:t>:</w:t>
      </w:r>
      <w:r>
        <w:rPr>
          <w:rFonts w:hint="eastAsia" w:ascii="仿宋" w:hAnsi="仿宋" w:eastAsia="仿宋" w:cs="仿宋"/>
          <w:sz w:val="24"/>
          <w:szCs w:val="24"/>
        </w:rPr>
        <w:t>层板采用1.0钢板，表面经除油、酸洗、磷化作防锈处理，再静电粉沫喷EPOXY防护层做耐酸碱耐腐蚀表面处理。可上下调整高度</w:t>
      </w:r>
      <w:r>
        <w:rPr>
          <w:rFonts w:hint="eastAsia" w:ascii="仿宋" w:hAnsi="仿宋" w:eastAsia="仿宋" w:cs="仿宋"/>
          <w:sz w:val="24"/>
          <w:szCs w:val="24"/>
          <w:lang w:eastAsia="zh-CN"/>
        </w:rPr>
        <w:t>。</w:t>
      </w:r>
    </w:p>
    <w:p>
      <w:pPr>
        <w:pStyle w:val="4"/>
        <w:pageBreakBefore w:val="0"/>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、紧急喷淋装置</w:t>
      </w:r>
      <w:r>
        <w:rPr>
          <w:rFonts w:hint="eastAsia" w:ascii="仿宋" w:hAnsi="仿宋" w:eastAsia="仿宋" w:cs="仿宋"/>
          <w:sz w:val="24"/>
          <w:szCs w:val="24"/>
        </w:rPr>
        <w:tab/>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13.1主体材料：不锈钢 304，厚度：不低于3mm。可以抗弱酸、碱、盐和油类腐蚀的现场；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13.3根据国家标准洗眼器标准之规定，洗眼器的喷淋系统和洗眼系统易于操作，操作者一个人就可以完成，不需要其他人员协助；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13.4洗眼器正常水压要求：0.3—0.6 MPa，洗眼器管件密封部件必须承受 1 MPa 长时间没有泄漏；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13.5工作压力：0.3—0.6Mpa</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13.6密封压力：0.8Mpa</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13.7喷淋流量：&gt;75.7L/min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13.8洗眼流量：&gt;11.4L/min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13.9洗眼器进水口尺寸：DN25</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13.10洗眼系统排水口尺寸：DN25</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13.11排水盘排水口尺寸：DN40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13.12喷淋系统要求：在距离地面 2154mm 处，喷淋水直径不小于20英寸，且喷淋水是满喷；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13.13洗眼系统要求：配备过滤装置，洗眼弯头出水在同一个平面上，在洗眼盆中间上方位置交汇；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13.14不锈钢手推柄配100mm*100mm绿底白色洗眼符号牌.符号符合阿联酋法规；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13.15主体1500mm以上管子处、或者可以贴在墙体上配200mm*300mm绿底白色洗眼符号塑料标。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▲13.16提供国家认可的第三方检测机构出具的包含①管螺纹精度，②螺纹表面，③抗压强度，④外观，⑤启动开关灵活，⑥水柱喷射高度，⑦水流量，⑧耐压性，⑨密封性等9项检测项目的检测报告。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▲13.17产品荣获省级工业新产品证书。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13.18产品获得国家专利证书。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▲13.19提供紧急冲淋洗眼器TUV检测报告及CE证书。</w:t>
      </w:r>
    </w:p>
    <w:p>
      <w:pPr>
        <w:pageBreakBefore w:val="0"/>
        <w:kinsoku/>
        <w:wordWrap/>
        <w:overflowPunct/>
        <w:topLinePunct w:val="0"/>
        <w:bidi w:val="0"/>
        <w:ind w:left="0" w:leftChars="0" w:right="0"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、实验室气路部分技术要求</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半自动切换特气控制面板技术参数</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rPr>
      </w:pPr>
      <w:r>
        <w:rPr>
          <w:rFonts w:hint="eastAsia" w:ascii="仿宋" w:hAnsi="仿宋" w:eastAsia="仿宋" w:cs="仿宋"/>
          <w:sz w:val="24"/>
          <w:szCs w:val="24"/>
        </w:rPr>
        <w:t xml:space="preserve">   双侧高压气瓶通过减压压力差原理，自动切换的连续型供气装置，最大输入压力3000psi(20.7mpa)，出气范围：0-250psi（0-1.7mpa）可调，适用于实验室、气</w:t>
      </w:r>
      <w:r>
        <w:rPr>
          <w:rFonts w:hint="eastAsia" w:ascii="仿宋" w:hAnsi="仿宋" w:eastAsia="仿宋" w:cs="仿宋"/>
          <w:color w:val="auto"/>
          <w:sz w:val="24"/>
          <w:szCs w:val="24"/>
        </w:rPr>
        <w:t>体分析等高纯气体场合。</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1.1结构特点：</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（1）采用特气单级式减压器</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（2）膜片阀旋钮，带开关指示窗</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（3）配置单向阀</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（4）可采用汇流管具扩展性</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（5）采用墙式安装</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（6）每侧两级过滤装置（每级双层过滤网）</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（7）可选配压力报警装置</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1.2材料结构：</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减压器母体：316L</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（2）减压器密封材质：PTFE、PCTFE、PEEK</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（3）膜片阀母体：316L</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（4）减压器膜片：哈氏合金</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1.3技术参数：</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（1）最大输入压力：3000Psi</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（2）输出压力：0-250 Psi（0-1.7mpa）可调</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（3）安全测试压力：1.5倍的最大输出压力</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（4）适用温度：-40℃-+74℃</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（5）泄漏率：1.1*10-8atm cc/sec He</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2、二级减压器技术参数</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膜片式减压器，输出压力稳定，适用于实验室气体分析仪、高纯气体、腐蚀性气体场合。</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1.1结构特点：</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（1）采用特气单级式减压器</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（2）母体与膜片采用硬密封形式</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（3）母体螺纹：1/4”NPT(F)</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（4）内部结构易吹扫</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（5）内设双层过滤网</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（6）可采用面板或墙式安装</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1.2材料结构：</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（1）减压器母体：316L</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（2）减压器密封材质：PTFE、PCTFE、PEEK</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（3）减压器膜片：哈氏合金</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1.3技术参数：</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（1）最大输入压力：3000Psi</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（2）输出压力：0-150 Psi（0-1mpa）可调</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（3）安全测试压力：1.5倍的最大输出压力</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（4）适用温度：-40℃-+74℃</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（5）泄漏率：1.1*10-8atm cc/sec He </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（6）CV：0.15</w:t>
      </w:r>
    </w:p>
    <w:p>
      <w:pPr>
        <w:pageBreakBefore w:val="0"/>
        <w:kinsoku/>
        <w:wordWrap/>
        <w:overflowPunct/>
        <w:topLinePunct w:val="0"/>
        <w:bidi w:val="0"/>
        <w:ind w:left="0" w:leftChars="0" w:right="0"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五</w:t>
      </w:r>
      <w:r>
        <w:rPr>
          <w:rFonts w:hint="eastAsia" w:ascii="仿宋" w:hAnsi="仿宋" w:eastAsia="仿宋" w:cs="仿宋"/>
          <w:b/>
          <w:color w:val="000000"/>
          <w:sz w:val="24"/>
          <w:szCs w:val="24"/>
        </w:rPr>
        <w:t>、实验室</w:t>
      </w:r>
      <w:r>
        <w:rPr>
          <w:rFonts w:hint="eastAsia" w:ascii="仿宋" w:hAnsi="仿宋" w:eastAsia="仿宋" w:cs="仿宋"/>
          <w:b/>
          <w:color w:val="000000"/>
          <w:sz w:val="24"/>
          <w:szCs w:val="24"/>
          <w:lang w:val="en-US" w:eastAsia="zh-CN"/>
        </w:rPr>
        <w:t>暖通</w:t>
      </w:r>
      <w:r>
        <w:rPr>
          <w:rFonts w:hint="eastAsia" w:ascii="仿宋" w:hAnsi="仿宋" w:eastAsia="仿宋" w:cs="仿宋"/>
          <w:b/>
          <w:color w:val="000000"/>
          <w:sz w:val="24"/>
          <w:szCs w:val="24"/>
          <w:lang w:eastAsia="zh-CN"/>
        </w:rPr>
        <w:t>技术要求</w:t>
      </w:r>
    </w:p>
    <w:p>
      <w:pPr>
        <w:pageBreakBefore w:val="0"/>
        <w:kinsoku/>
        <w:wordWrap/>
        <w:overflowPunct/>
        <w:topLinePunct w:val="0"/>
        <w:bidi w:val="0"/>
        <w:spacing w:line="360" w:lineRule="auto"/>
        <w:ind w:left="0" w:leftChars="0" w:right="0" w:rightChars="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设计依据</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.《通风与空调工程施工质量验收规范》        GB 50243-2016</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.《公共建筑节能设计标准》                  GB 50189-2015</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.《建筑机电工程抗震设计规范》              GB 50981-2014</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 xml:space="preserve">.《实验室生物安全通用要求》                GB 19489-2008    </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 xml:space="preserve">.《工业建筑供暖通风与空气调节设计规范》    GB 50019-2015 </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 xml:space="preserve">.《大气污染物综合排放标准》                GB 16297-1996 </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w:t>
      </w:r>
      <w:r>
        <w:rPr>
          <w:rFonts w:hint="eastAsia" w:ascii="仿宋" w:hAnsi="仿宋" w:eastAsia="仿宋" w:cs="仿宋"/>
          <w:kern w:val="0"/>
          <w:sz w:val="24"/>
        </w:rPr>
        <w:t>.《生物安全实验室建筑技术规范》            GB 50346-2011</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.《理化实验室工程技术规程》                T/CECS 770-2020</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 xml:space="preserve">.《洁净厂房设计规范 》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GB50073-2013</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.《疾病预防控制中心建筑技术规范》         GB 50881-2013</w:t>
      </w:r>
    </w:p>
    <w:p>
      <w:pPr>
        <w:pageBreakBefore w:val="0"/>
        <w:kinsoku/>
        <w:wordWrap/>
        <w:overflowPunct/>
        <w:topLinePunct w:val="0"/>
        <w:bidi w:val="0"/>
        <w:spacing w:line="360" w:lineRule="auto"/>
        <w:ind w:left="0" w:leftChars="0" w:right="0" w:rightChars="0" w:firstLine="482" w:firstLineChars="200"/>
        <w:jc w:val="left"/>
        <w:textAlignment w:val="auto"/>
        <w:outlineLvl w:val="2"/>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空气处理机组</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2.1设备生产厂家认证</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所提供设备须是通过ISO9001及质ISO14001体系认证的生产厂家制造；</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2.2设备认证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▲所提供的设备需通过Eruovent认证、AHRI认证、TUV认证；提供认证证书或检测报告。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2.3机组箱体材料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▲箱体双层面板的中间应夹以足够厚的阻燃型无氟聚氨酯发泡保温材料，密度≥40kg/m³。保温材料的导热系数不应大于0.021W/m.℃，并保证外壁不产生结露现象。箱板厚度不小于50mm。</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2.4冷桥</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▲机组箱体的防冷桥系数达到欧洲空气处理机组标准《EN1886》TB2、T2级的要求。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2.5机组箱体结构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▲机组的箱体应有足够的强度，必须具有完整可靠的框架结构，不得采用榫卯连接等无框架结构，提供满足机械强度的级别，机械稳定性要求达到EN1886 D1标准,在运输和启动、运行、停机时都不得出现凹凸变形现象。</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2.6机组壁板厚度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箱板内层壁板应采用0.5mm厚度镀锌钢板，外层采用0.5mm厚度彩钢板，具有良好的防腐、防锈性能。</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2.7机组过滤器旁通</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暖通机组箱体的密封应可靠。过滤器旁通漏风率符合最高标准F9过滤器框架泄漏值，提供检测报告；</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2.8空调箱底座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机组底部均须垫高度不小于80mm底座，以便运输及安装。</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2.9风阀</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风阀应为多页对开喷涂风阀，气流阻力损失小，凹凸槽特制橡胶密封啮合，确保密闭性。风阀需有足够的空间进行更换和安装执行器而不需要移动风阀或设备。</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2.10机组内部结构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机组内部结构应便于清洗，并能顺利排放清洗废水，不易结尘、滋生细菌。</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2.11风机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风机使用高效节能风机。所选用的风机风量—全压曲线应比较平缓，电动机应带强冷风扇并具有良好的调速性能，适合变负荷调节，电动机防护等级不低于 IP54，电动机绝缘等级 F。</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2.12表冷盘管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表冷盘管应采用无缝紫铜管穿铝翅片结构；表冷盘管应容易清洗。</w:t>
      </w:r>
    </w:p>
    <w:p>
      <w:pPr>
        <w:pageBreakBefore w:val="0"/>
        <w:kinsoku/>
        <w:wordWrap/>
        <w:overflowPunct/>
        <w:topLinePunct w:val="0"/>
        <w:bidi w:val="0"/>
        <w:spacing w:line="360" w:lineRule="auto"/>
        <w:ind w:left="0" w:leftChars="0" w:right="0" w:rightChars="0" w:firstLine="480" w:firstLineChars="200"/>
        <w:jc w:val="left"/>
        <w:textAlignment w:val="auto"/>
        <w:outlineLvl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2.13机组室外机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室外机压缩机采用直流变频压缩机，实现无级变频与自适应控制技术相结合，采用多个高精度的电子膨胀阀，可根据指令快速精确调节机组的愣没流量，室外机采用先进的多重油分离技术和回油控制技术，实现高达99.9%的系统回油，确保压缩机安全油面，确保机组长期安全可靠运行。</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right="0" w:firstLine="482" w:firstLineChars="200"/>
        <w:jc w:val="left"/>
        <w:textAlignment w:val="auto"/>
        <w:outlineLvl w:val="1"/>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六、实验室电气技术要求</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1、设计依据</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1.1《建筑设计防火规范（2018年版）》（GB50016-2014）</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1.2《低压配电设计规范》（GB50054-2011）</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1.3《建筑照明设计标准》（GB50034-2013）</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1.4《民用建筑统一设计标准》（GB50352-2005）</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1.5《通用用电设备配电设计规范》（GB50055-2011）</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1.6《供配电系统设计规范》（GB50052-2009）</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1.7《民用建筑电气设计标准》（GB51348-2019）</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1.8《智能建筑设计标准》（GB/T 50314-2015）</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1.9《综合布线系统工程设计规范》（GB50311-2016）</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2、设计范围</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2.1本次招标电气施工范围为强电竖井总配电柜以下部分，实验室总配电柜的进线电缆由招标人负责预留至每层强电井。</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2.2中标人负责将空调设备所需的动力电缆施工至暖通机房，应配置的总、分配电箱（柜）由中标人负责。</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2.3中标人负责将照明、插座及小型仪器设备所需的照明电缆施工至配电箱指定位置，实验室内的照明、空调末端及仪器插座的电缆施工及取电均由中标人负责。</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3、照明系统设计</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3.1本次工程精密实验室照度为500Lx，折合功率密度≤13.5W/m2。其他实验室的照度均按照度300lx，折合功率密度≤8W/m2。</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（1）实验室内带备用电源平板灯为四线制，其中多出的一条为充电线。</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（2）净化实验室照明采用1200*300mm、600*300mm（应急）LED洁净灯；普通实验室照明采用1200*300mm、600mm*600mm（应急）LED平板灯；</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（3）LED平板灯厚度宜在70mm以内。</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高效节能LED平板灯，光通量不小于3400Lm。</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照明采用WDZC-BYJ-450/750V-3×2.5的电力电线，电线的敷设方式是沿墙、吊顶内敷设，电线的护套管采用JDG管。与灯具连接软管采用包塑金属软管，金属灯具外壳需与PE线连接。所用线管需防腐及防火处理。</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4、低压配电</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4.1电压级数：配电系统电源就近引自配电房低压配电屏，电压等级~220/380V；</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4.2负荷分级：</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一级负荷：实验室及血站；除一级负荷外其它所有负荷均按三级负荷供电。</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4.3接地形式：本设计低压配电系统接地形式采用TN-S系统，整个系统的中性线（N）与保护线（PE）分离。</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4.4配电回路：本设计的房间照明回路由楼层照明总箱提供，插座回路由房间配电箱提供回路</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 配电方式：照明及一般用电设备采用放射式配电方式。</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4.6剩余电流动作断路器：单相剩余电流动作断路器均采用2P型，三相剩余电流动作断路器均采用4P型，额定动作电流30mA，动作时间不大0.1s，选用一般型（无延时）剩余电流动作保护器。</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5、线路敷设</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本工程实验室照明开关及插座除注明外，原则上均为暗装，86型；照明开关规格为250V/10A,底边距地1.3m，距离门框0.2m;单相插座规格为250V/16A，三相插座规格为400V/25A。潮湿场所插座底边距地1.5m，电视机插座底边距地2.1m，其他插座均为底边距地0.3m.。照明部分采用JDG导管沿吊顶、墙内敷设。</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5.2凡图中未注明导线根数的线路均为三根，其中：普通照明线路为WDZC-BYJ-3x2.5mm2。</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5.3一般设备的配电线路明敷时，应穿JDG导管保护或在电缆桥架内敷设；穿JDG导管保护暗敷在顶板、地坪、墙内时应有不小于15mm厚的保护层。</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5.4所有穿过建筑物伸缩缝、沉降缝、后浇带的管线应按《建筑电气安装工程图集》中的有关做法施工。</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 PE保护线均采用黄/绿双色导线或标识。</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6、设备安装</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除注明外，各设备安装作如下规定：</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6.1落地式配电箱安装时应下设基础，[10#槽钢落地安装。</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6.2各照明配电箱除竖井、机房、防火分区隔墙及剪力墙明装外，其他均为嵌墙暗装，底边距地1.5m安装。</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各动力箱除竖井、机房、防火分区隔墙及剪力墙明装外，其他均为暗装，箱体高度600mm以下,底边距地1.5m；箱体高度600mm~800mm,底边距地1.2m；箱体高度800mm~1000mm,底边距地1.0m；箱体高度1000mm~1200mm,底边距地0.8m；箱体高度1200mm以上,落地安装。</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6.4墙壁开关底边距地1.3m，距门框0.2m嵌墙安装。</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6.5灯具嵌顶或吸顶安装，详见图例表中说明。</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设备及灯具安装参见国标图集《常用低压配电设备安装》04D702-1、国标图集《常用低压配电设备及灯具安装》D702-1~3及国标图集《特殊灯具安装》03D702-3。</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7、接地与安全</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防止人身触电的危险，本工程设置专用接地保护线（PE线），凡正常情况下不带电，绝缘破坏时可能带电的电气设备的金属外壳、等电位联结母排、公用设施的金属管道、建筑物金属结构等互相连通，并与基础接地网可靠连接。做法详见《等电位联结安装》15D502第10~17页。</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8、保护接地</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8.1穿线金属管、金属线槽和桥架、电缆外皮、支架等均应可靠地与接地系统连接。</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8.2本工程采用TN-S接地型式，保护接地线（即PE线）的截面规定为：</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（1）当相线截面小于16mm2，PE线截面与相线相同；</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（2）当相线截面为16~35 mm2，PE线截面为16mm2；</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（3）当相线截面为35~400 mm2，PE线截面为相线截面的一半；</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8.3不应使用蛇皮管、保温管的金属网、薄壁钢管或外皮作接地线或保护线。</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9、电气系统材质说明</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9.1电线、电缆</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电线采用WDZC-BYJ-450/750V，电缆采用WDZA-YJY-0.6/1kV，通过ISO 9001质量体系认证。</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9.2穿线管</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采用电线的护套管采用JDG管，国家质优产品。</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9.3灯具</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净化实验室照明采用1200*300mm、600*300mm（应急）LED洁净灯；普通实验室照明采用1200*300mm、600mm*600mm（应急）LED平板灯；</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特点：</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安装方便、维护容易，满足不同环境的要求。</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9.4开关、插座</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开关、插座应产品符合国家标准。开关、插座的电性能、机械性能等符合国家标准要求。</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9.5断路器</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所有微型断路器、剩余电流动作断路器、塑壳断路器等为知名品牌，产品符合国家标准。</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10、实验室弱电智能化系统技术要求</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11.1综合布线系统</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综合布线系统包括计算机网络通讯布线和语音通信系统布线。</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计算机网络通讯系统采用六类非屏蔽双绞线，以弱电机房为中心，向各楼层配线间敷设。以各楼层配线间为中心，呈星型向所属区域敷设六类非屏蔽双绞线至各工作区。其它各楼层配线间敷设呈星型布线方式，连接建筑物内的数据设备、电子通讯设备和网络交换设备等，并能使这些设备与外界各相关系统连接，为语音、数据及多媒体应用提供实用的、可靠地、灵活的、可拓展的介质通路，最终为信息基础链路的开通使用，提供可靠保障。</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（2）语音通信系统布线采用六类非屏蔽双绞线。工作区子系统的末端设备如电话插座和网络插座，可根据不同时期的使用要求随意替换，灵活方便。</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11.2门禁系统</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采用刷卡+密码的形式进行开关门管理，门禁采用网络联网，使用门禁管理系统进行统一管理。</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（1）门禁系统安全、可靠，符合安防技术要求。</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（2）系统管理操作为汉字菜单，除系统管理员外，其他任何人无权更改系统数据和实时数据。</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（3）在系统或采集器出现故障时，应能及时、方便地开启大门。</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（4）对每个工作人员可进行开门权限设置，包括开启的大门和开启的时间。</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（5）可采用刷卡+密码的开门方式。</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（6）可以实现多人开锁功能，可以实现365天任意指定时间段组合定义。</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11.3视频监控系统</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（1）在公共区域及重要区域设置半球形彩色摄像机。</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（2）摄像机布置在监视目标附近不易受外界损伤的地方，安装位置不应影响现场设备运行和人员正常活动。室内有吊顶区域吸顶安装。</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（3）镜头与摄像机的选择应相互对应。</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（4）摄像机连接至楼层POE交换机。</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11.4可视对讲系统</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在有生物安全需求的重要实验室，设置可视对讲系统，可视对讲主机设置在值班室，并具有输出声光报警功能；</w:t>
      </w:r>
    </w:p>
    <w:p>
      <w:pPr>
        <w:pageBreakBefore w:val="0"/>
        <w:kinsoku/>
        <w:wordWrap/>
        <w:overflowPunct/>
        <w:topLinePunct w:val="0"/>
        <w:bidi w:val="0"/>
        <w:spacing w:line="360" w:lineRule="auto"/>
        <w:ind w:left="0" w:leftChars="0" w:right="0" w:firstLine="482" w:firstLineChars="200"/>
        <w:jc w:val="left"/>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11、通风柜变风量控制系统技术要求</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12.1通风柜面风速控制系统</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台通风柜配置一套高品质VAV面风速控制系统。该控制系统保证通风柜调节门在任意位置下通风柜面风速能迅速稳定到设定值。VAV面风速控制系统一般包括如下产品：一个4.3寸液晶触摸显示面板、一个通风柜控制器、一个面风速传感器、一个调节窗位移传感器，一个变风量文丘里测量流量阀。</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以上变风量控制系统：</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要提供符合CNAS认证的第三方检测机构提供的通过ASHRAE-110-2016检测报告，报告中须包括如下指标，面风速试验最大，最小，算数平均值偏差小于15%，响应时间小于3秒，六氟化硫示踪气体泄露浓度小于0.5ppm，以上关键指标都合格的检测报告。</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▲需要提供第三方检测机构符合GB/T2423.1-2008 ,GB/T2423.2-2008高低温测试，以上关键指标都合格的检测报告。</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VAV面风速控制系统具有以下功能特性：</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自动调节以恒定不同状态下的安全面风速设定要求；</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不安全的条件下，声光及显示报警，面风速目标值参数可设定，报警阈值参数可设定。</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支持实测面风速并数字显示面风速值；</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支持显示当前变风量阀门状态以提醒用户通风柜使用状态；</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支持一键最大风量紧急排放功能；</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支持有线485或以太网通信功能 。</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产品技术要求：</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1）通风柜面风速显示面板及控制器</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4.3寸彩色液晶触摸显示面板，电容屏，可实时显示当前通风柜面风速值，并能进行相关参数设置。</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显示面板可实时显示当前通风柜面风速值，并能进行相关参数设置。</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支持位移与面风速双路控制模式，通过位移传感器进行快速调节，待调节窗稳定后，依据实测面风速值进行精确调节，维持面风速恒定。</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所有参数均可就地设置，液晶显示屏应有调整相应指示，且进入界面应设置密码保护避免误操作。</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可依据室内气流环境，调整面风速传感器敏感度，减少系统波动。</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具备紧急排风按键，紧急情况下，通过此按键实现最大排风操作。</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通过液晶屏显示当前安全/危险运行状态，具有声光报警功能，可设定面风速报警上下限及调节窗位移报警限值。</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支持扩展电动门功能，并触摸控制自动门高度。</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AU" w:eastAsia="zh-CN"/>
        </w:rPr>
      </w:pPr>
      <w:r>
        <w:rPr>
          <w:rFonts w:hint="eastAsia" w:ascii="仿宋" w:hAnsi="仿宋" w:eastAsia="仿宋" w:cs="仿宋"/>
          <w:sz w:val="24"/>
          <w:szCs w:val="24"/>
          <w:lang w:val="en-US" w:eastAsia="zh-CN"/>
        </w:rPr>
        <w:t>▲需要提供第三方检测机构符合GB/T26125-2011限用物质铅汞镉合格的的检测报告。</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▲要求提供CE认证证书。</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2）面风速传感器</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安装于通风柜一侧，实际测量通风柜面风速，测量范围：0-1m/s；测量精度±1.0%；</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传感器测量应采用热敏或热风式直接测量方式，内部含比对热敏模块可定期自动校核。</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▲要求提供CE认证证书。</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3）位移传感器</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高精度电位器带一条钢丝，钢丝直连到调节门或者其配重上</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调节门开关，电位器电阻改变，通风柜控制器上产生一个0～10VDC的调节门开度信号</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行程范围为0-1000mm，适用于通用通风柜调节窗</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轮彀材料：绝缘颗粒涂层阳极氧化铝</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测量精度：0.25mm</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可重复性：0.12mm</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▲要求提供CE认证证书。</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bookmarkStart w:id="11" w:name="_Toc364499105"/>
      <w:bookmarkEnd w:id="11"/>
      <w:bookmarkStart w:id="12" w:name="_Toc364485150"/>
      <w:bookmarkEnd w:id="12"/>
      <w:r>
        <w:rPr>
          <w:rFonts w:hint="eastAsia" w:ascii="仿宋" w:hAnsi="仿宋" w:eastAsia="仿宋" w:cs="仿宋"/>
          <w:sz w:val="24"/>
          <w:szCs w:val="24"/>
          <w:lang w:val="en-US" w:eastAsia="zh-CN"/>
        </w:rPr>
        <w:t>4）变风量文丘里测量流量阀</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▲4.1变风量文丘里测量流量阀</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变风量文丘里测量流量阀是高速反应的风量控制设备。按照要求风量的变化，在小于3秒的时间内，完成精确的风量控制，防止有害气体的扩散。</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风量控制精度：控制风量的±10%。</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高速反应，执行器驱动方式：电动，0～90°全行程≤1.5s。此指标为关键参数，需要有第三方检测机构出具的测试报告。</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阀体采用抗腐蚀材质制成，带文丘里流量测量段，带法兰，带气密环。</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第三方检测机构出具的GB8624-2012燃烧性能不低于B1等级的测试报告。</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变风量控制系统应采用成套产品，包括传感器、显示面板、控制器、阀门等均应采用同一厂家同一品牌产品，以保持控制完整性以及维护可靠性。投标人需提供系统完整性及可靠性承诺书。</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AU" w:eastAsia="zh-CN"/>
        </w:rPr>
      </w:pPr>
      <w:r>
        <w:rPr>
          <w:rFonts w:hint="eastAsia" w:ascii="仿宋" w:hAnsi="仿宋" w:eastAsia="仿宋" w:cs="仿宋"/>
          <w:sz w:val="24"/>
          <w:szCs w:val="24"/>
          <w:lang w:val="en-US" w:eastAsia="zh-CN"/>
        </w:rPr>
        <w:t>变风量控制系统</w:t>
      </w:r>
      <w:r>
        <w:rPr>
          <w:rFonts w:hint="eastAsia" w:ascii="仿宋" w:hAnsi="仿宋" w:eastAsia="仿宋" w:cs="仿宋"/>
          <w:sz w:val="24"/>
          <w:szCs w:val="24"/>
          <w:lang w:val="en-AU" w:eastAsia="zh-CN"/>
        </w:rPr>
        <w:t>，需要提供符合CNAS认证的第三方检测机构提供的通过ASHRAE-110-2016检测报告，报告中须包括如下指标，面风速试验最大，最小，算数平均值偏差小于15%，响应时间小于3秒，六氟化硫示踪气体泄露浓度小于0.5ppm，以上关键指标都合格的检测报告。</w:t>
      </w:r>
    </w:p>
    <w:p>
      <w:pPr>
        <w:pStyle w:val="42"/>
        <w:pageBreakBefore w:val="0"/>
        <w:kinsoku/>
        <w:wordWrap/>
        <w:overflowPunct/>
        <w:topLinePunct w:val="0"/>
        <w:bidi w:val="0"/>
        <w:ind w:left="0" w:leftChars="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通风柜变风量控制系统产品需提供CE证书，并加盖生产厂家公章。</w:t>
      </w:r>
    </w:p>
    <w:p>
      <w:pPr>
        <w:pStyle w:val="45"/>
        <w:pageBreakBefore w:val="0"/>
        <w:kinsoku/>
        <w:wordWrap/>
        <w:overflowPunct/>
        <w:topLinePunct w:val="0"/>
        <w:bidi w:val="0"/>
        <w:ind w:left="0" w:leftChars="0" w:right="0"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12、通风控制系统技术要求</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rPr>
        <w:t>（1）</w:t>
      </w:r>
      <w:r>
        <w:rPr>
          <w:rFonts w:hint="eastAsia" w:ascii="仿宋" w:hAnsi="仿宋" w:eastAsia="仿宋" w:cs="仿宋"/>
          <w:sz w:val="24"/>
          <w:szCs w:val="24"/>
          <w:lang w:val="en-US" w:eastAsia="zh-CN"/>
        </w:rPr>
        <w:t>通风柜面风速控制系统</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台通风柜配置一套高品质VAV面风速控制系统。该控制系统保证通风柜调节门在任意位置下通风柜面风速能迅速稳定到设定值。VAV面风速控制系统一般包括如下产品：一个4.3寸液晶触摸显示面板、一个通风柜控制器、一个面风速传感器、一个调节窗位移传感器，一个变风量文丘里测量流量阀。以上变风量控制系统，</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要提供符合CNAS认证的第三方检测机构提供的通过ASHRAE-110-2016检测报告，报告中须包括如下指标，面风速试验最大，最小，算数平均值偏差小于15%，响应时间小于3秒，六氟化硫示踪气体泄露浓度小于0.5ppm，以上关键指标都合格的检测报告。</w:t>
      </w:r>
    </w:p>
    <w:p>
      <w:pPr>
        <w:pageBreakBefore w:val="0"/>
        <w:kinsoku/>
        <w:wordWrap/>
        <w:overflowPunct/>
        <w:topLinePunct w:val="0"/>
        <w:bidi w:val="0"/>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▲需要提供第三方检测机构符合GB/T2423.1-2008 ,GB/T2423.2-2008高低温测试，以上关键指标都合格的检测报告。</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VAV面风速控制系统具有以下功能特性：</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自动调节以恒定不同状态下的安全面风速设定要求；</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不安全的条件下，声光及显示报警，面风速目标值参数可设定，报警阈值参数可设定。</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支持实测面风速并数字显示面风速值；</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支持显示当前变风量阀门状态以提醒用户通风柜使用状态；</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支持一键最大风量紧急排放功能；</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支持有线485或以太网通信功能 。</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产品技术要求：</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1）通风柜面风速显示面板及控制器</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4.3寸彩色液晶触摸显示面板，电容屏，可实时显示当前通风柜面风速值，并能进行相关参数设置。</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显示面板可实时显示当前通风柜面风速值，并能进行相关参数设置。</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支持位移与面风速双路控制模式，通过位移传感器进行快速调节，待调节窗稳定后，依据实测面风速值进行精确调节，维持面风速恒定。</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所有参数均可就地设置，液晶显示屏应有调整相应指示，且进入界面应设置密码保护避免误操作。</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可依据室内气流环境，调整面风速传感器敏感度，减少系统波动。</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具备紧急排风按键，紧急情况下，通过此按键实现最大排风操作。</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通过液晶屏显示当前安全/危险运行状态，具有声光报警功能，可设定面风速报警上下限及调节窗位移报警限值。</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支持扩展电动门功能，并触摸控制自动门高度。</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AU" w:eastAsia="zh-CN"/>
        </w:rPr>
      </w:pPr>
      <w:r>
        <w:rPr>
          <w:rFonts w:hint="eastAsia" w:ascii="仿宋" w:hAnsi="仿宋" w:eastAsia="仿宋" w:cs="仿宋"/>
          <w:bCs/>
          <w:sz w:val="24"/>
          <w:szCs w:val="24"/>
          <w:lang w:val="en-US" w:eastAsia="zh-CN"/>
        </w:rPr>
        <w:t>需要提供第三方检测机构符合GB/T26125-2011限用物质铅汞镉合格的的检测报告。</w:t>
      </w:r>
    </w:p>
    <w:p>
      <w:pPr>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要求提供CE认证证书。</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2）面风速传感器</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安装于通风柜一侧，实际测量通风柜面风速，测量范围：0-1m/s；测量精度±1.0%</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传感器测量应采用热敏或热风式直接测量方式，内部含比对热敏模块可定期自动校核</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要求提供CE认证证书。</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3）位移传感器</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高精度电位器带一条钢丝，钢丝直连到调节门或者其配重上</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调节门开关，电位器电阻改变，通风柜控制器上产生一个0～10VDC的调节门开度信号</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行程范围为0-1000mm，适用于通用通风柜调节窗</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轮彀材料：绝缘颗粒涂层阳极氧化铝</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测量精度：0.25mm</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可重复性：0.12mm</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要求提供CE认证证书。</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4）变风量文丘里测量流量阀</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szCs w:val="24"/>
          <w:lang w:val="en-US" w:eastAsia="zh-CN"/>
        </w:rPr>
        <w:t>▲</w:t>
      </w:r>
      <w:r>
        <w:rPr>
          <w:rFonts w:hint="eastAsia" w:ascii="仿宋" w:hAnsi="仿宋" w:eastAsia="仿宋" w:cs="仿宋"/>
          <w:sz w:val="24"/>
        </w:rPr>
        <w:t>4.1变风量文丘里测量流量阀</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lang w:val="en-US" w:eastAsia="zh-CN"/>
        </w:rPr>
      </w:pPr>
      <w:r>
        <w:rPr>
          <w:rFonts w:hint="eastAsia" w:ascii="仿宋" w:hAnsi="仿宋" w:eastAsia="仿宋" w:cs="仿宋"/>
          <w:sz w:val="24"/>
        </w:rPr>
        <w:t>阀体采用抗腐蚀材质制成，带文丘里流量测量段的流量阀测量阀，带法兰，带气密环</w:t>
      </w:r>
      <w:r>
        <w:rPr>
          <w:rFonts w:hint="eastAsia" w:ascii="仿宋" w:hAnsi="仿宋" w:eastAsia="仿宋" w:cs="仿宋"/>
          <w:sz w:val="24"/>
          <w:lang w:eastAsia="zh-CN"/>
        </w:rPr>
        <w:t>。</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第三方检测机构出具的GB8624-2012燃烧性能不低于B1等级的测试报告。</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变风量控制系统应采用成套产品，包括传感器、显示面板、控制器、阀门等均应采用同一厂家同一品牌产品，以保持控制完整性以及维护可靠性。投标人需提供系统完整性及可靠性承诺书。</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lang w:val="en-AU"/>
        </w:rPr>
      </w:pPr>
      <w:r>
        <w:rPr>
          <w:rFonts w:hint="eastAsia" w:ascii="仿宋" w:hAnsi="仿宋" w:eastAsia="仿宋" w:cs="仿宋"/>
          <w:sz w:val="24"/>
        </w:rPr>
        <w:t>变风量控制系统</w:t>
      </w:r>
      <w:r>
        <w:rPr>
          <w:rFonts w:hint="eastAsia" w:ascii="仿宋" w:hAnsi="仿宋" w:eastAsia="仿宋" w:cs="仿宋"/>
          <w:sz w:val="24"/>
          <w:lang w:val="en-AU"/>
        </w:rPr>
        <w:t>，需要提供符合CNAS认证的第三方检测机构提供的通过ASHRAE-110-2016检测报告，报告中须包括如下指标，面风速试验最大，最小，算数平均值偏差小于15%，响应时间小于</w:t>
      </w:r>
      <w:r>
        <w:rPr>
          <w:rFonts w:hint="eastAsia" w:ascii="仿宋" w:hAnsi="仿宋" w:eastAsia="仿宋" w:cs="仿宋"/>
          <w:sz w:val="24"/>
          <w:lang w:val="en-US" w:eastAsia="zh-CN"/>
        </w:rPr>
        <w:t>5</w:t>
      </w:r>
      <w:r>
        <w:rPr>
          <w:rFonts w:hint="eastAsia" w:ascii="仿宋" w:hAnsi="仿宋" w:eastAsia="仿宋" w:cs="仿宋"/>
          <w:sz w:val="24"/>
          <w:lang w:val="en-AU"/>
        </w:rPr>
        <w:t>秒，六氟化硫示踪气体泄露浓度小于0.5ppm，以上关键指标都合格的检测报告。</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变风量控制系统在本项目中非常关键，需提供由厂家或代理商出具的针对本项目的投标授权函。</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通风柜变风量控制系统产品需提供CE证书，并加盖生产厂家公章。</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rPr>
      </w:pPr>
      <w:r>
        <w:rPr>
          <w:rFonts w:hint="eastAsia" w:ascii="仿宋" w:hAnsi="仿宋" w:eastAsia="仿宋" w:cs="仿宋"/>
          <w:sz w:val="24"/>
        </w:rPr>
        <w:t>竞标单位需提供的样品， 4.3吋彩色液晶显示面板（VAV）1个，排风柜调节门位移传感器1个，面风速</w:t>
      </w:r>
      <w:r>
        <w:rPr>
          <w:rFonts w:hint="eastAsia" w:ascii="仿宋" w:hAnsi="仿宋" w:eastAsia="仿宋" w:cs="仿宋"/>
          <w:kern w:val="0"/>
          <w:sz w:val="24"/>
        </w:rPr>
        <w:t>传感器1个，区域有人无人传感器1个，变风量文丘里测量流量阀1个。</w:t>
      </w:r>
    </w:p>
    <w:p>
      <w:pPr>
        <w:pStyle w:val="45"/>
        <w:pageBreakBefore w:val="0"/>
        <w:kinsoku/>
        <w:wordWrap/>
        <w:overflowPunct/>
        <w:topLinePunct w:val="0"/>
        <w:bidi w:val="0"/>
        <w:ind w:left="0" w:leftChars="0" w:right="0"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13、压差控制系统</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1、控制原理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1"/>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送风采用变频暖通机组，排风采用变频排风机，通过控制新风机和排风机组对密闭房间新、排风量之差来维持房间微负压。</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2、PLC控制盘</w:t>
      </w:r>
    </w:p>
    <w:p>
      <w:pPr>
        <w:pageBreakBefore w:val="0"/>
        <w:kinsoku/>
        <w:wordWrap/>
        <w:overflowPunct/>
        <w:topLinePunct w:val="0"/>
        <w:bidi w:val="0"/>
        <w:spacing w:line="360" w:lineRule="auto"/>
        <w:ind w:left="0" w:leftChars="0" w:right="0" w:firstLine="440" w:firstLineChars="200"/>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1</w:t>
      </w:r>
      <w:r>
        <w:rPr>
          <w:rFonts w:hint="eastAsia" w:ascii="仿宋" w:hAnsi="仿宋" w:eastAsia="仿宋" w:cs="仿宋"/>
          <w:sz w:val="22"/>
          <w:szCs w:val="22"/>
          <w:lang w:eastAsia="zh-CN"/>
        </w:rPr>
        <w:t>）</w:t>
      </w:r>
      <w:r>
        <w:rPr>
          <w:rFonts w:hint="eastAsia" w:ascii="仿宋" w:hAnsi="仿宋" w:eastAsia="仿宋" w:cs="仿宋"/>
          <w:sz w:val="22"/>
          <w:szCs w:val="22"/>
        </w:rPr>
        <w:t>控制器选用PLC可编程控制器。控制系统具备可扩展性，IO模块需预留10-20%的点位余量。</w:t>
      </w:r>
    </w:p>
    <w:p>
      <w:pPr>
        <w:pageBreakBefore w:val="0"/>
        <w:kinsoku/>
        <w:wordWrap/>
        <w:overflowPunct/>
        <w:topLinePunct w:val="0"/>
        <w:bidi w:val="0"/>
        <w:spacing w:line="360" w:lineRule="auto"/>
        <w:ind w:left="0" w:leftChars="0" w:right="0" w:firstLine="440" w:firstLineChars="200"/>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2</w:t>
      </w:r>
      <w:r>
        <w:rPr>
          <w:rFonts w:hint="eastAsia" w:ascii="仿宋" w:hAnsi="仿宋" w:eastAsia="仿宋" w:cs="仿宋"/>
          <w:sz w:val="22"/>
          <w:szCs w:val="22"/>
          <w:lang w:eastAsia="zh-CN"/>
        </w:rPr>
        <w:t>）</w:t>
      </w:r>
      <w:r>
        <w:rPr>
          <w:rFonts w:hint="eastAsia" w:ascii="仿宋" w:hAnsi="仿宋" w:eastAsia="仿宋" w:cs="仿宋"/>
          <w:sz w:val="22"/>
          <w:szCs w:val="22"/>
        </w:rPr>
        <w:t>控制器控制器能在高噪声，电磁干扰和振动环境下连续运行。具备远程下载与上载的功能，可实时远程维护控制程序。控制器电源：要求严格核算各模块消耗电流，配置有足够输出电流余量的高可靠电源。</w:t>
      </w:r>
    </w:p>
    <w:p>
      <w:pPr>
        <w:pageBreakBefore w:val="0"/>
        <w:kinsoku/>
        <w:wordWrap/>
        <w:overflowPunct/>
        <w:topLinePunct w:val="0"/>
        <w:bidi w:val="0"/>
        <w:spacing w:line="360" w:lineRule="auto"/>
        <w:ind w:left="0" w:leftChars="0" w:right="0" w:firstLine="440" w:firstLineChars="200"/>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3</w:t>
      </w:r>
      <w:r>
        <w:rPr>
          <w:rFonts w:hint="eastAsia" w:ascii="仿宋" w:hAnsi="仿宋" w:eastAsia="仿宋" w:cs="仿宋"/>
          <w:sz w:val="22"/>
          <w:szCs w:val="22"/>
          <w:lang w:eastAsia="zh-CN"/>
        </w:rPr>
        <w:t>）</w:t>
      </w:r>
      <w:r>
        <w:rPr>
          <w:rFonts w:hint="eastAsia" w:ascii="仿宋" w:hAnsi="仿宋" w:eastAsia="仿宋" w:cs="仿宋"/>
          <w:sz w:val="22"/>
          <w:szCs w:val="22"/>
        </w:rPr>
        <w:t>电磁兼容性符合EMC规程的要求，应满足IEC 61000-6-2，IEC 61000-4-2，IEC 61000-4-3，IEC 61000-4-4，IEC 61000-4-5，IEC 61000-4-6，EN50081-2规定的要求。数字量、模拟量输入输出信号要求采用信号隔离器等隔离原件。</w:t>
      </w:r>
    </w:p>
    <w:p>
      <w:pPr>
        <w:pageBreakBefore w:val="0"/>
        <w:kinsoku/>
        <w:wordWrap/>
        <w:overflowPunct/>
        <w:topLinePunct w:val="0"/>
        <w:bidi w:val="0"/>
        <w:spacing w:line="360" w:lineRule="auto"/>
        <w:ind w:left="0" w:leftChars="0" w:right="0" w:firstLine="440" w:firstLineChars="200"/>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4</w:t>
      </w:r>
      <w:r>
        <w:rPr>
          <w:rFonts w:hint="eastAsia" w:ascii="仿宋" w:hAnsi="仿宋" w:eastAsia="仿宋" w:cs="仿宋"/>
          <w:sz w:val="22"/>
          <w:szCs w:val="22"/>
          <w:lang w:eastAsia="zh-CN"/>
        </w:rPr>
        <w:t>）</w:t>
      </w:r>
      <w:r>
        <w:rPr>
          <w:rFonts w:hint="eastAsia" w:ascii="仿宋" w:hAnsi="仿宋" w:eastAsia="仿宋" w:cs="仿宋"/>
          <w:sz w:val="22"/>
          <w:szCs w:val="22"/>
        </w:rPr>
        <w:t>数字输入模块：24VDC直流输入，光电隔离型。</w:t>
      </w:r>
    </w:p>
    <w:p>
      <w:pPr>
        <w:pageBreakBefore w:val="0"/>
        <w:tabs>
          <w:tab w:val="left" w:pos="467"/>
        </w:tabs>
        <w:kinsoku/>
        <w:wordWrap/>
        <w:overflowPunct/>
        <w:topLinePunct w:val="0"/>
        <w:bidi w:val="0"/>
        <w:spacing w:line="360" w:lineRule="auto"/>
        <w:ind w:left="0" w:leftChars="0" w:right="0" w:firstLine="440" w:firstLineChars="200"/>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5</w:t>
      </w:r>
      <w:r>
        <w:rPr>
          <w:rFonts w:hint="eastAsia" w:ascii="仿宋" w:hAnsi="仿宋" w:eastAsia="仿宋" w:cs="仿宋"/>
          <w:sz w:val="22"/>
          <w:szCs w:val="22"/>
          <w:lang w:eastAsia="zh-CN"/>
        </w:rPr>
        <w:t>）</w:t>
      </w:r>
      <w:r>
        <w:rPr>
          <w:rFonts w:hint="eastAsia" w:ascii="仿宋" w:hAnsi="仿宋" w:eastAsia="仿宋" w:cs="仿宋"/>
          <w:sz w:val="22"/>
          <w:szCs w:val="22"/>
        </w:rPr>
        <w:t>数字输出模块：24VDC，0.5A，继电器输出，光电隔离型。</w:t>
      </w:r>
    </w:p>
    <w:p>
      <w:pPr>
        <w:pageBreakBefore w:val="0"/>
        <w:kinsoku/>
        <w:wordWrap/>
        <w:overflowPunct/>
        <w:topLinePunct w:val="0"/>
        <w:bidi w:val="0"/>
        <w:spacing w:line="360" w:lineRule="auto"/>
        <w:ind w:left="0" w:leftChars="0" w:right="0" w:firstLine="440" w:firstLineChars="200"/>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6</w:t>
      </w:r>
      <w:r>
        <w:rPr>
          <w:rFonts w:hint="eastAsia" w:ascii="仿宋" w:hAnsi="仿宋" w:eastAsia="仿宋" w:cs="仿宋"/>
          <w:sz w:val="22"/>
          <w:szCs w:val="22"/>
          <w:lang w:eastAsia="zh-CN"/>
        </w:rPr>
        <w:t>）</w:t>
      </w:r>
      <w:r>
        <w:rPr>
          <w:rFonts w:hint="eastAsia" w:ascii="仿宋" w:hAnsi="仿宋" w:eastAsia="仿宋" w:cs="仿宋"/>
          <w:sz w:val="22"/>
          <w:szCs w:val="22"/>
        </w:rPr>
        <w:t>模拟量输入模块：具备诊断功能。在整个温度范围内运行极限的误差/精度为±0.1%，基本误差极限不高于0.05%。</w:t>
      </w:r>
    </w:p>
    <w:p>
      <w:pPr>
        <w:pageBreakBefore w:val="0"/>
        <w:kinsoku/>
        <w:wordWrap/>
        <w:overflowPunct/>
        <w:topLinePunct w:val="0"/>
        <w:bidi w:val="0"/>
        <w:spacing w:line="360" w:lineRule="auto"/>
        <w:ind w:left="0" w:leftChars="0" w:right="0" w:firstLine="440" w:firstLineChars="200"/>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7</w:t>
      </w:r>
      <w:r>
        <w:rPr>
          <w:rFonts w:hint="eastAsia" w:ascii="仿宋" w:hAnsi="仿宋" w:eastAsia="仿宋" w:cs="仿宋"/>
          <w:sz w:val="22"/>
          <w:szCs w:val="22"/>
          <w:lang w:eastAsia="zh-CN"/>
        </w:rPr>
        <w:t>）</w:t>
      </w:r>
      <w:r>
        <w:rPr>
          <w:rFonts w:hint="eastAsia" w:ascii="仿宋" w:hAnsi="仿宋" w:eastAsia="仿宋" w:cs="仿宋"/>
          <w:sz w:val="22"/>
          <w:szCs w:val="22"/>
        </w:rPr>
        <w:t>模拟量输出模块：具备诊断功能。在整个温度范围内运行极限的误差/精度为±0.12%，基本误差极限不高于0.02%。</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3、控制机柜</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rPr>
        <w:t>采用不低于1mm厚优质冷轧钢板折弯而成柜体(安装底板1.5mm厚),外经环氧树脂静电防腐喷涂处理，为确保防护等级为IP54，要求门框与门边所有接合处均采用聚氨酯发泡密封条进行密封，内设专用走线槽,设有各种信号端子、多路强弱电开关。柜体全框架结构，侧板、顶板、底板均可取下，以方便安装检修。具备防静电功能，具有快速拆装各种器件等功能。控制箱内配散热风扇及进气过滤网，保证柜内通风。散热风扇采用精度、长寿命双滚珠轴承，铝合金压铸防腐结构。</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4、触摸屏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控制系统</w:t>
      </w:r>
      <w:r>
        <w:rPr>
          <w:rFonts w:hint="eastAsia" w:ascii="仿宋" w:hAnsi="仿宋" w:eastAsia="仿宋" w:cs="仿宋"/>
          <w:sz w:val="24"/>
          <w:szCs w:val="24"/>
          <w:lang w:val="en-US" w:eastAsia="zh-CN"/>
        </w:rPr>
        <w:t>在实验室区域内</w:t>
      </w:r>
      <w:r>
        <w:rPr>
          <w:rFonts w:hint="eastAsia" w:ascii="仿宋" w:hAnsi="仿宋" w:eastAsia="仿宋" w:cs="仿宋"/>
          <w:sz w:val="24"/>
          <w:szCs w:val="24"/>
        </w:rPr>
        <w:t>应采用</w:t>
      </w:r>
      <w:r>
        <w:rPr>
          <w:rFonts w:hint="eastAsia" w:ascii="仿宋" w:hAnsi="仿宋" w:eastAsia="仿宋" w:cs="仿宋"/>
          <w:color w:val="auto"/>
          <w:sz w:val="24"/>
          <w:szCs w:val="24"/>
        </w:rPr>
        <w:t>不小于10寸的</w:t>
      </w:r>
      <w:r>
        <w:rPr>
          <w:rFonts w:hint="eastAsia" w:ascii="仿宋" w:hAnsi="仿宋" w:eastAsia="仿宋" w:cs="仿宋"/>
          <w:sz w:val="24"/>
          <w:szCs w:val="24"/>
        </w:rPr>
        <w:t>液晶触摸屏，</w:t>
      </w:r>
      <w:r>
        <w:rPr>
          <w:rFonts w:hint="eastAsia" w:ascii="仿宋" w:hAnsi="仿宋" w:eastAsia="仿宋" w:cs="仿宋"/>
          <w:color w:val="000000"/>
          <w:kern w:val="0"/>
          <w:sz w:val="24"/>
          <w:szCs w:val="24"/>
          <w:lang w:val="en-US" w:eastAsia="zh-CN" w:bidi="ar"/>
        </w:rPr>
        <w:t>分辨率不小于1080*720（带 RJ45 接口支持以太网通讯协议）；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液晶界面演示：至少具有多项自定义指标的输入输出显示和控制功能，包括暖通机组运行频率显示、管道压力显示及设定、空调机组运行状态显示、房间高效过滤器状态显示、空调机组新风电动阀显示及手动/自动控制、空调机组送风温度显示、实验室压差显示、实验室排风电动阀开关状态显示与控制、通风柜运行状态显示、通风柜面风速显示、系统运行状态显示、系统报警信息状态显示、室内压差曲线和报表、存储数据能导出至电脑转化为 excel 表格，同时能存储不低于 30天的数据曲线、控制器输入输出点位状态显示、控制器通信状态显示等；</w:t>
      </w:r>
      <w:r>
        <w:rPr>
          <w:rFonts w:hint="eastAsia" w:ascii="仿宋" w:hAnsi="仿宋" w:eastAsia="仿宋" w:cs="仿宋"/>
          <w:sz w:val="24"/>
          <w:szCs w:val="24"/>
        </w:rPr>
        <w:t>所有需要检测和控制的点位都可以以文字或者图形的形式显示在触摸屏上，简单易操作。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多级操作权限管理</w:t>
      </w:r>
      <w:r>
        <w:rPr>
          <w:rFonts w:hint="eastAsia" w:ascii="仿宋" w:hAnsi="仿宋" w:eastAsia="仿宋" w:cs="仿宋"/>
          <w:sz w:val="24"/>
          <w:szCs w:val="24"/>
        </w:rPr>
        <w:t>，更加智能化，人性化</w:t>
      </w:r>
      <w:r>
        <w:rPr>
          <w:rFonts w:hint="eastAsia" w:ascii="仿宋" w:hAnsi="仿宋" w:eastAsia="仿宋" w:cs="仿宋"/>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可以支持Modbus通讯标准,可方便连接各种标书内规定的带Modbus通讯接口设备；支持以太网通讯标准。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具有以太网100M自适应端口（可外接网络接口转换设备），3 个RS485端口、1个USB端口；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lang w:val="en-US" w:eastAsia="zh-CN"/>
        </w:rPr>
      </w:pPr>
      <w:r>
        <w:rPr>
          <w:rFonts w:hint="eastAsia" w:ascii="仿宋" w:hAnsi="仿宋" w:eastAsia="仿宋" w:cs="仿宋"/>
          <w:color w:val="000000"/>
          <w:kern w:val="0"/>
          <w:sz w:val="24"/>
          <w:szCs w:val="24"/>
          <w:lang w:val="en-US" w:eastAsia="zh-CN" w:bidi="ar"/>
        </w:rPr>
        <w:t xml:space="preserve">触摸屏具备时钟功能、可以定时开关机模式设定； </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5、变频器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不同功率等级变频器必须采用同一品牌、同一系列和同一技术规格以便运行维护和备品备件的采购和控制。招标人有权拒绝不同品牌多种系列的组合。其相应安装的控制柜防护等级不低于IP54，柜内变频器防护等级不低于 IP20。</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各厂家在选型时，须至少与负载功率平行选型，不得降档选型使用。为保证项目中所选用设备的稳定性，不接受三年内推出的新产品。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变频器操作面板要求配置具有图形显示功能的多行</w:t>
      </w:r>
      <w:r>
        <w:rPr>
          <w:rFonts w:hint="eastAsia" w:ascii="仿宋" w:hAnsi="仿宋" w:eastAsia="仿宋" w:cs="仿宋"/>
          <w:sz w:val="24"/>
          <w:szCs w:val="24"/>
          <w:lang w:val="en-US" w:eastAsia="zh-CN"/>
        </w:rPr>
        <w:t>触摸屏</w:t>
      </w:r>
      <w:r>
        <w:rPr>
          <w:rFonts w:hint="eastAsia" w:ascii="仿宋" w:hAnsi="仿宋" w:eastAsia="仿宋" w:cs="仿宋"/>
          <w:sz w:val="24"/>
          <w:szCs w:val="24"/>
        </w:rPr>
        <w:t>、具有现场手动/远程自动转换操控按钮及参数拷贝功能，支持中文文本显示及密码锁功能。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变频器必须提供如下可自由组态的标准 DDC 接口：</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最少有 6 个以上数字量输入点；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路及以上的模拟量输入口，可接受可编程的 0~10V 和 4~20mA 或电阻输入作为控制信号；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变频器还要求提供二个可编程继电器输出作为准备、运行、故障、停止的信号输出。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为便于现场调试，变频器应能支持 USB 通讯，变频器厂家应免费提供相关 PC 软件。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变频器应内置通讯接口并驻留开放协议如 Mondbus TCP，Ethernet IP，MetasysN2 及 FLN Apogee 等以便于与系统进行通讯，并上传故障代码至 FMCS。</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变频器必须具有过流、过载、缺相、短路等完备的保护功能。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w:t>
      </w:r>
      <w:r>
        <w:rPr>
          <w:rFonts w:hint="eastAsia" w:ascii="仿宋" w:hAnsi="仿宋" w:eastAsia="仿宋" w:cs="仿宋"/>
          <w:sz w:val="24"/>
          <w:szCs w:val="24"/>
        </w:rPr>
        <w:t>使用变频器系统需配置旁路，因电源波动或变频器故障等能自动切换至工频运行。上述异常报警信号应纳入空调自控系统监控中。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w:t>
      </w:r>
      <w:r>
        <w:rPr>
          <w:rFonts w:hint="eastAsia" w:ascii="仿宋" w:hAnsi="仿宋" w:eastAsia="仿宋" w:cs="仿宋"/>
          <w:sz w:val="24"/>
          <w:szCs w:val="24"/>
        </w:rPr>
        <w:t>变频器转矩过载能力须达到 110%以上，持续时间不少于 1 分钟。该数据以变频器生产商技术手册为准，在投标时提供。</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w:t>
      </w:r>
      <w:r>
        <w:rPr>
          <w:rFonts w:hint="eastAsia" w:ascii="仿宋" w:hAnsi="仿宋" w:eastAsia="仿宋" w:cs="仿宋"/>
          <w:sz w:val="24"/>
          <w:szCs w:val="24"/>
        </w:rPr>
        <w:t>变频器应能在不加设额外的仪表的条件下，可显示并记录电机的 “总消耗量 KWH”和“总运行时间”，方便用户统计有关数据，进一步优化各项参数。</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14</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变频器必须具有时钟功能，可以根据时钟调用预设的运行模式，并可通过操作面板和总线对时钟进行修改。</w:t>
      </w:r>
    </w:p>
    <w:p>
      <w:pPr>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15</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变频器的散热风扇能进行有级调速或管理风扇功能，以延长变频器的寿命，同时降低噪音。</w:t>
      </w:r>
    </w:p>
    <w:p>
      <w:pPr>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16</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变频器应具有在上端输入电压短时间波动（通常是 100-200ms 内电压暂降幅度在 50%以内）的情况下，借能或降频运行以保证水泵风机正常运行的能力，须取得 PSL 的 SEMI F47-0706 认证，提供认证证书供业主审查。</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17</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变频器应具有风机转速跟踪再启动功能，以保证在瞬间失电或电压波动较大的情况下风机不会停机。</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6、静压传感器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风管静压采用空气压差传感器方式测量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测量精度不低于±2.5％ ，</w:t>
      </w:r>
      <w:r>
        <w:rPr>
          <w:rFonts w:hint="eastAsia" w:ascii="仿宋" w:hAnsi="仿宋" w:eastAsia="仿宋" w:cs="仿宋"/>
          <w:sz w:val="24"/>
          <w:szCs w:val="24"/>
        </w:rPr>
        <w:t>可在线校准精度。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量程应按空调器机外余压数据选取（一般为0~1000Pa）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防护等级≥IP54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电压AC24V或DC24V</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输出信号4～20ma DC或0～10VDC </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7、室内压差传感器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测量精度不低于±2.5％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测量范围：±50Pa</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防护等级≥IP54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电压AC24V或DC24V</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输出信号4～20ma DC或0～10VDC 或Modbus</w:t>
      </w:r>
    </w:p>
    <w:p>
      <w:pPr>
        <w:pageBreakBefore w:val="0"/>
        <w:kinsoku/>
        <w:wordWrap/>
        <w:overflowPunct/>
        <w:topLinePunct w:val="0"/>
        <w:bidi w:val="0"/>
        <w:spacing w:line="360" w:lineRule="auto"/>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8、新型压差控制系统软件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color w:val="000000"/>
          <w:kern w:val="0"/>
          <w:sz w:val="24"/>
          <w:szCs w:val="24"/>
          <w:lang w:val="en-US" w:eastAsia="zh-Hans" w:bidi="ar"/>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Hans" w:bidi="ar"/>
        </w:rPr>
        <w:t>软件须提供中国国家版权局计算机软件著作权登记证书，且投标软件须与软件著作权登记证书一致。</w:t>
      </w:r>
    </w:p>
    <w:p>
      <w:pPr>
        <w:pStyle w:val="45"/>
        <w:pageBreakBefore w:val="0"/>
        <w:kinsoku/>
        <w:wordWrap/>
        <w:overflowPunct/>
        <w:topLinePunct w:val="0"/>
        <w:bidi w:val="0"/>
        <w:ind w:left="0" w:leftChars="0" w:right="0"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14、实验室中央监控系统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1</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系统必须具备很高的可靠性和一定的实时性；采用成熟、先进的开发平台，采用多任务工业标准技术，保证其开放性和可扩展性，使得系统的开发和集成变得十分简便。设计符合标准化、规范化要求。广泛采用分布处理技术和冗余技术。具有良好的可移植性，可扩性和联网功能。便于功能和系统的扩充和升级，并充分保护用户投资，使系统能适应功能的增加和规模的扩充要求。系统应确保监控主机出现故障时不影响控制器独立完成监控功能. 在控制器外接电源断电时, 其相关的状态资料也能送至监控主机. 一旦断电恢复, 则所有受断电影响的设备也能自动复位, 而不需重新设定。系统分类应用软件应使用同一种高级语言, 采用同一种数据库管理系统设备可以在“在线”运行情况下，方便地修改程序，改变设置点，调节设置时间。所有设备应该用高级的适合工程技术人员的编程语言，使工程师及操作人员能方便地编写程序，编辑和做其它类似的工作。过程监控软件要求可实现图形化的过程监控、数据采集、标准动态数据交换及指定文档的数据管理功能。系统结构开放灵活，动态操作画面类似Windows风格。软件易于安装、备份。按不同的用户级别，操作者拥有不同的权限。系统应用程序的每项功能可按用户要求及系统设计而改编，并可随系统的扩充或运行需要而作修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rPr>
        <w:t>（2）图形工作站应能提供集成化的开发环境, 有强大的图形功能, 具有丰富的各种设备三维形象图库, 可对全部设备的运行停止, 阀门及风门开闭, 液体流动等工艺状态, 通过颜色变化, 移动, 旋转, 闪烁, 百分比动态数字显示以及更复杂的动画形式来反映各种被控设备的工作状态, 使图形界面更生动活泼, 直观形象, 操作简便而不易出错. 支持多窗口动态图形显示, 支持实时参数显示 (包括可定义的物理量)。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用户可自定义图形符号, 可进行修改, 支持多层对象显示, 可输入各种标准图形格式, 为BMP, PCX, JPG, AUTOCAD工程设计图(DWG)等。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4</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重要的界面应利用数码相机拍摄的照片做成形象图形界面. 除数据输入操作外, 均可用鼠标完成所有操作. 系统应采用先进的现代化软件技术, 能方便地集成其他第三方组件. 组态软件具备安全容错功能, 完全避免数据丢失, 中断控制过程. 系统采用人机对话, 交互图形显示和复合窗口技术. 可同步显示模多个拟量趋势曲线, 设备状态菜单及各种数据报表. 显示屏所显示的画面均可以实时打印出来。系统能够实时显示、记录实时数值和超限报警信息，并存储归档；能够显示各种阀门执行机构的开关状态或开度；能够自动记录及保存操作人员的所有操作行为及操作时间；以上所有信息均自动保存24个月，并能够按时间段查阅、打印。</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5</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历史记录显示及打印方式可自由选择表格或曲线形式；显示历史曲线及报表打印具有灵活选择性，如可按某一房间（或系统）显示或打印所有参数(如温度、湿度、压差等)；也可在同一画面有选择地显示及打印不同区域的同一种参数，如集中显示及打印不同房间及系统的温度曲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6</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操作行为的追溯：记录登陆信息、数据修改、报警确认等操作行为。</w:t>
      </w:r>
    </w:p>
    <w:p>
      <w:pPr>
        <w:pStyle w:val="45"/>
        <w:pageBreakBefore w:val="0"/>
        <w:kinsoku/>
        <w:wordWrap/>
        <w:overflowPunct/>
        <w:topLinePunct w:val="0"/>
        <w:bidi w:val="0"/>
        <w:ind w:left="0" w:leftChars="0" w:right="0"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15、实验室</w:t>
      </w:r>
      <w:r>
        <w:rPr>
          <w:rFonts w:hint="eastAsia" w:ascii="仿宋" w:hAnsi="仿宋" w:eastAsia="仿宋" w:cs="仿宋"/>
          <w:b/>
          <w:bCs/>
          <w:kern w:val="2"/>
          <w:sz w:val="24"/>
          <w:szCs w:val="24"/>
          <w:lang w:val="en-GB" w:eastAsia="zh-CN" w:bidi="ar-SA"/>
        </w:rPr>
        <w:t>远程</w:t>
      </w:r>
      <w:r>
        <w:rPr>
          <w:rFonts w:hint="eastAsia" w:ascii="仿宋" w:hAnsi="仿宋" w:eastAsia="仿宋" w:cs="仿宋"/>
          <w:b/>
          <w:bCs/>
          <w:kern w:val="2"/>
          <w:sz w:val="24"/>
          <w:szCs w:val="24"/>
          <w:lang w:val="en-US" w:eastAsia="zh-CN" w:bidi="ar-SA"/>
        </w:rPr>
        <w:t>监控系统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1</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依托互联网，控制系统通过远程云模块接入互联网。系统内空调系统数据上传至</w:t>
      </w:r>
      <w:r>
        <w:rPr>
          <w:rFonts w:hint="eastAsia" w:ascii="仿宋" w:hAnsi="仿宋" w:eastAsia="仿宋" w:cs="仿宋"/>
          <w:bCs/>
          <w:kern w:val="0"/>
          <w:sz w:val="24"/>
          <w:szCs w:val="24"/>
          <w:lang w:val="en-US" w:eastAsia="zh-CN"/>
        </w:rPr>
        <w:t>储存器</w:t>
      </w:r>
      <w:r>
        <w:rPr>
          <w:rFonts w:hint="eastAsia" w:ascii="仿宋" w:hAnsi="仿宋" w:eastAsia="仿宋" w:cs="仿宋"/>
          <w:bCs/>
          <w:kern w:val="0"/>
          <w:sz w:val="24"/>
          <w:szCs w:val="24"/>
          <w:lang w:val="en-GB"/>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根据授权级别，不同管理权限的人员，授予不同的操作权级，通过手机、ipad、电脑访问</w:t>
      </w:r>
      <w:r>
        <w:rPr>
          <w:rFonts w:hint="eastAsia" w:ascii="仿宋" w:hAnsi="仿宋" w:eastAsia="仿宋" w:cs="仿宋"/>
          <w:bCs/>
          <w:kern w:val="0"/>
          <w:sz w:val="24"/>
          <w:szCs w:val="24"/>
          <w:lang w:val="en-US" w:eastAsia="zh-CN"/>
        </w:rPr>
        <w:t>储存器</w:t>
      </w:r>
      <w:r>
        <w:rPr>
          <w:rFonts w:hint="eastAsia" w:ascii="仿宋" w:hAnsi="仿宋" w:eastAsia="仿宋" w:cs="仿宋"/>
          <w:bCs/>
          <w:kern w:val="0"/>
          <w:sz w:val="24"/>
          <w:szCs w:val="24"/>
          <w:lang w:val="en-GB"/>
        </w:rPr>
        <w:t>数据，对系统进行数据监测、设备操作、远程维护巡检等。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Cs/>
          <w:kern w:val="0"/>
          <w:sz w:val="24"/>
          <w:szCs w:val="24"/>
          <w:lang w:val="en-GB"/>
        </w:rPr>
      </w:pPr>
      <w:r>
        <w:rPr>
          <w:rFonts w:hint="eastAsia" w:ascii="仿宋" w:hAnsi="仿宋" w:eastAsia="仿宋" w:cs="仿宋"/>
          <w:sz w:val="24"/>
          <w:szCs w:val="24"/>
          <w:lang w:val="en-US" w:eastAsia="zh-CN"/>
        </w:rPr>
        <w:t>▲</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系统通过 Internet 公共网络，通过 S-link 技术，进行远程的工业数据安全加密， 并进行协议上的转发，实现 PLC 和异地远程 PC 之间的互相通讯，可以实现数据采集， 程序上下载和在线诊断、维护。</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仿宋" w:hAnsi="仿宋" w:eastAsia="仿宋" w:cs="仿宋"/>
          <w:color w:val="000000"/>
          <w:kern w:val="0"/>
          <w:sz w:val="24"/>
          <w:szCs w:val="24"/>
          <w:lang w:val="en-GB" w:eastAsia="zh-CN" w:bidi="ar"/>
        </w:rPr>
      </w:pPr>
      <w:r>
        <w:rPr>
          <w:rFonts w:hint="eastAsia" w:ascii="仿宋" w:hAnsi="仿宋" w:eastAsia="仿宋" w:cs="仿宋"/>
          <w:color w:val="000000"/>
          <w:kern w:val="0"/>
          <w:sz w:val="24"/>
          <w:szCs w:val="24"/>
          <w:lang w:val="en-US" w:eastAsia="zh-CN" w:bidi="ar"/>
        </w:rPr>
        <w:t>投标单位需提供实验室远程监控系统</w:t>
      </w:r>
      <w:r>
        <w:rPr>
          <w:rFonts w:hint="eastAsia" w:ascii="仿宋" w:hAnsi="仿宋" w:eastAsia="仿宋" w:cs="仿宋"/>
          <w:color w:val="000000"/>
          <w:kern w:val="0"/>
          <w:sz w:val="24"/>
          <w:szCs w:val="24"/>
          <w:lang w:val="en-US" w:eastAsia="zh-Hans" w:bidi="ar"/>
        </w:rPr>
        <w:t>软件须提供中国国家版权局计算机软件著作权登记证书，且投标软件须与软件著作权登记证书一致。</w:t>
      </w:r>
    </w:p>
    <w:p>
      <w:pPr>
        <w:pageBreakBefore w:val="0"/>
        <w:kinsoku/>
        <w:wordWrap/>
        <w:overflowPunct/>
        <w:topLinePunct w:val="0"/>
        <w:bidi w:val="0"/>
        <w:spacing w:line="360" w:lineRule="auto"/>
        <w:ind w:left="0" w:leftChars="0" w:right="0" w:firstLine="480" w:firstLineChars="200"/>
        <w:outlineLvl w:val="1"/>
        <w:rPr>
          <w:rFonts w:hint="eastAsia" w:ascii="仿宋" w:hAnsi="仿宋" w:eastAsia="仿宋" w:cs="仿宋"/>
          <w:b w:val="0"/>
          <w:bCs w:val="0"/>
          <w:sz w:val="24"/>
          <w:szCs w:val="24"/>
          <w:lang w:val="en-GB" w:eastAsia="zh-CN"/>
        </w:rPr>
      </w:pPr>
      <w:r>
        <w:rPr>
          <w:rFonts w:hint="eastAsia" w:ascii="仿宋" w:hAnsi="仿宋" w:eastAsia="仿宋" w:cs="仿宋"/>
          <w:b w:val="0"/>
          <w:bCs w:val="0"/>
          <w:sz w:val="24"/>
          <w:szCs w:val="24"/>
          <w:lang w:val="en-GB" w:eastAsia="zh-CN"/>
        </w:rPr>
        <w:t>工业级的安全通讯模块</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1</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RJ45 电气接口： 4个 LAN 口，1 个 WAN 口，100/10 Mbps，支持ADSL、XDSL、3G等接入方式；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支持西门子，罗克韦尔，施耐德，ABB，三菱等品牌的PLC系统的远程程序在线；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可以通过第三层网络加密S-Link协议建立虚拟专用 通道(VLAN)；既可作为</w:t>
      </w:r>
      <w:r>
        <w:rPr>
          <w:rFonts w:hint="eastAsia" w:ascii="仿宋" w:hAnsi="仿宋" w:eastAsia="仿宋" w:cs="仿宋"/>
          <w:bCs/>
          <w:kern w:val="0"/>
          <w:sz w:val="24"/>
          <w:szCs w:val="24"/>
          <w:lang w:val="en-US" w:eastAsia="zh-CN"/>
        </w:rPr>
        <w:t>储存器</w:t>
      </w:r>
      <w:r>
        <w:rPr>
          <w:rFonts w:hint="eastAsia" w:ascii="仿宋" w:hAnsi="仿宋" w:eastAsia="仿宋" w:cs="仿宋"/>
          <w:bCs/>
          <w:kern w:val="0"/>
          <w:sz w:val="24"/>
          <w:szCs w:val="24"/>
          <w:lang w:val="en-GB"/>
        </w:rPr>
        <w:t>，也可以作为客户端；</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4</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支持全双工，28MB防火墙吞吐量，40MB路由吞吐量；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5</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全状态检测防火墙：封包、URL过滤、访问控制、 流量分割(QoS)及端口优先级控制；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6</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双电源24VDC冗余输入，电源断电继电器报警输出, IP31防护等级；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7</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电压输入：+18〜72 VDC，电流消耗：160 mA；</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8</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工作温度：-25°C〜75°C；</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9</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存储温度：-40°C〜85°C；</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GB"/>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10</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工作湿度：5%〜90%；</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GB" w:eastAsia="zh-CN"/>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11</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按照IS09001标准生产，采用SMT工艺，全铝屏蔽外壳，DIN35导轨式安装</w:t>
      </w:r>
      <w:r>
        <w:rPr>
          <w:rFonts w:hint="eastAsia" w:ascii="仿宋" w:hAnsi="仿宋" w:eastAsia="仿宋" w:cs="仿宋"/>
          <w:bCs/>
          <w:kern w:val="0"/>
          <w:sz w:val="24"/>
          <w:szCs w:val="24"/>
          <w:lang w:val="en-GB"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US" w:eastAsia="zh-CN"/>
        </w:rPr>
        <w:t>12</w:t>
      </w:r>
      <w:r>
        <w:rPr>
          <w:rFonts w:hint="eastAsia" w:ascii="仿宋" w:hAnsi="仿宋" w:eastAsia="仿宋" w:cs="仿宋"/>
          <w:bCs/>
          <w:kern w:val="0"/>
          <w:sz w:val="24"/>
          <w:szCs w:val="24"/>
          <w:lang w:val="en-GB" w:eastAsia="zh-CN"/>
        </w:rPr>
        <w:t>）</w:t>
      </w:r>
      <w:r>
        <w:rPr>
          <w:rFonts w:hint="eastAsia" w:ascii="仿宋" w:hAnsi="仿宋" w:eastAsia="仿宋" w:cs="仿宋"/>
          <w:bCs/>
          <w:kern w:val="0"/>
          <w:sz w:val="24"/>
          <w:szCs w:val="24"/>
          <w:lang w:val="en-GB"/>
        </w:rPr>
        <w:t>工业级的IC设计，抗干扰能力强，性能稳定可靠，符合FCC Class B，CSA标</w:t>
      </w:r>
      <w:r>
        <w:rPr>
          <w:rFonts w:hint="eastAsia" w:ascii="仿宋" w:hAnsi="仿宋" w:eastAsia="仿宋" w:cs="仿宋"/>
          <w:bCs/>
          <w:kern w:val="0"/>
          <w:sz w:val="24"/>
          <w:szCs w:val="24"/>
          <w:lang w:val="en-US" w:eastAsia="zh-CN"/>
        </w:rPr>
        <w:t>准。</w:t>
      </w:r>
    </w:p>
    <w:p>
      <w:pPr>
        <w:keepNext w:val="0"/>
        <w:keepLines w:val="0"/>
        <w:pageBreakBefore w:val="0"/>
        <w:widowControl/>
        <w:suppressLineNumbers w:val="0"/>
        <w:kinsoku/>
        <w:wordWrap/>
        <w:overflowPunct/>
        <w:topLinePunct w:val="0"/>
        <w:bidi w:val="0"/>
        <w:ind w:left="0" w:leftChars="0" w:right="0" w:firstLine="482" w:firstLineChars="200"/>
        <w:jc w:val="lef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七</w:t>
      </w:r>
      <w:r>
        <w:rPr>
          <w:rFonts w:hint="eastAsia" w:ascii="仿宋" w:hAnsi="仿宋" w:eastAsia="仿宋" w:cs="仿宋"/>
          <w:b/>
          <w:color w:val="000000"/>
          <w:sz w:val="24"/>
          <w:szCs w:val="24"/>
        </w:rPr>
        <w:t>、实验室</w:t>
      </w:r>
      <w:r>
        <w:rPr>
          <w:rFonts w:hint="eastAsia" w:ascii="仿宋" w:hAnsi="仿宋" w:eastAsia="仿宋" w:cs="仿宋"/>
          <w:b/>
          <w:color w:val="000000"/>
          <w:sz w:val="24"/>
          <w:szCs w:val="24"/>
          <w:lang w:val="en-US" w:eastAsia="zh-CN"/>
        </w:rPr>
        <w:t>给排水</w:t>
      </w:r>
      <w:r>
        <w:rPr>
          <w:rFonts w:hint="eastAsia" w:ascii="仿宋" w:hAnsi="仿宋" w:eastAsia="仿宋" w:cs="仿宋"/>
          <w:b/>
          <w:color w:val="000000"/>
          <w:sz w:val="24"/>
          <w:szCs w:val="24"/>
          <w:lang w:eastAsia="zh-CN"/>
        </w:rPr>
        <w:t>技术要求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1.设计依据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建设单位提供的本工程有关资料和设计任务书；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工艺及各专业所提供的给水排水技术条件及相关图纸；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国家颁布的现行给水排水设计规范、标准规定；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《建筑给水排水设计标准》 GB50015-2019</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《科研建筑设计标准》 JGJ91-2019</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《建筑给水排水及采暖工程施工质量验收规范》GB50242-2002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《建筑排水塑料管道工程技术规程》CJJ/T29－2010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《建筑设计防火规范》GB50016-2014（2018年版）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《公共建筑节能设计标准》GBT50189-2015</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《建筑给水排水与节水通用规范》GB55020-2021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《检验检测实验室设计与建设技术要求》 第1部分：通用要求GB/T 32146.1-2015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《洁净室施工及验收规范》GB50591-2010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《疾病预防控制中心建筑技术规范》GB50881-2013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《建筑设计防火规范》GB50016-2014</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sz w:val="24"/>
          <w:szCs w:val="24"/>
          <w:lang w:val="en-US" w:eastAsia="zh-CN"/>
        </w:rPr>
        <w:t>2.</w:t>
      </w:r>
      <w:r>
        <w:rPr>
          <w:rFonts w:hint="eastAsia" w:ascii="仿宋" w:hAnsi="仿宋" w:eastAsia="仿宋" w:cs="仿宋"/>
          <w:color w:val="auto"/>
          <w:sz w:val="24"/>
          <w:szCs w:val="24"/>
        </w:rPr>
        <w:t>水质：市政自来水已满足《生活饮用水卫生标准》及《生活饮用水水质卫生规范》标准。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管材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（1）实验室给水管采用PPR管（S5级），热熔连接；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（2）实验室废水排水管材采用PP管，承插粘接；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（3）空调冷凝水管采用UPVC排水管，承插粘接。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卫生洁具的选用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（1）卫生洁具给水及排水五金配件应采用与卫生洁具配套的节水型,并符合《节水型生活用水器具》CJ/T164-2014、《节水型产品通用技术条件》GB/T18870-2011的有关规定；卫生器具用水效率等级应达到一级。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（2）洗手龙头采用节水型，正常压力下出水量不大于6.0L/min；洗手盆、洗涤池（盆）采用陶瓷片等密封耐用、性能优良的水嘴。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b/>
          <w:bCs/>
          <w:color w:val="auto"/>
          <w:spacing w:val="-1"/>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b w:val="0"/>
          <w:bCs w:val="0"/>
          <w:color w:val="auto"/>
          <w:spacing w:val="-1"/>
          <w:sz w:val="24"/>
          <w:szCs w:val="24"/>
          <w:lang w:val="en-US" w:eastAsia="zh-CN"/>
        </w:rPr>
        <w:t>阀门及附件</w:t>
      </w:r>
    </w:p>
    <w:p>
      <w:pPr>
        <w:keepNext w:val="0"/>
        <w:keepLines w:val="0"/>
        <w:pageBreakBefore w:val="0"/>
        <w:widowControl w:val="0"/>
        <w:kinsoku/>
        <w:wordWrap/>
        <w:overflowPunct/>
        <w:topLinePunct w:val="0"/>
        <w:autoSpaceDE/>
        <w:autoSpaceDN/>
        <w:bidi w:val="0"/>
        <w:snapToGrid w:val="0"/>
        <w:spacing w:line="360" w:lineRule="auto"/>
        <w:ind w:left="0" w:leftChars="0" w:right="0" w:firstLine="480" w:firstLineChars="200"/>
        <w:jc w:val="left"/>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pacing w:val="-1"/>
          <w:sz w:val="24"/>
          <w:szCs w:val="24"/>
          <w:lang w:val="en-US" w:eastAsia="zh-CN"/>
        </w:rPr>
        <w:t>管道配件应采用与管材相应的材料，管道及附件的工作压力应与管道系统的供水压力相一致。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pacing w:val="-1"/>
          <w:sz w:val="24"/>
          <w:szCs w:val="24"/>
          <w:lang w:val="en-US" w:eastAsia="zh-CN"/>
        </w:rPr>
        <w:t>给水管道应采取设置倒流防止器或其他有效的防止回流污染的装置。</w:t>
      </w:r>
    </w:p>
    <w:p>
      <w:pPr>
        <w:keepNext w:val="0"/>
        <w:keepLines w:val="0"/>
        <w:pageBreakBefore w:val="0"/>
        <w:widowControl w:val="0"/>
        <w:kinsoku/>
        <w:wordWrap/>
        <w:overflowPunct/>
        <w:topLinePunct w:val="0"/>
        <w:autoSpaceDE/>
        <w:autoSpaceDN/>
        <w:bidi w:val="0"/>
        <w:snapToGrid w:val="0"/>
        <w:spacing w:line="360" w:lineRule="auto"/>
        <w:ind w:left="0" w:leftChars="0" w:right="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pacing w:val="-1"/>
          <w:sz w:val="24"/>
          <w:szCs w:val="24"/>
          <w:lang w:val="en-US" w:eastAsia="zh-CN"/>
        </w:rPr>
        <w:t>地漏为DN50防臭型内置水封不锈钢地漏。地漏及卫生器具存水弯水封高度不小于50mm，严禁采用钟式结构地漏，严禁采用活动机械活瓣代替水封。洁净区采用洁净地漏。塑料排水管道上设置的清扫口宜与管道相同材质，清扫口表面与地面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pacing w:val="-1"/>
          <w:sz w:val="24"/>
          <w:szCs w:val="24"/>
          <w:lang w:val="en-US" w:eastAsia="zh-CN"/>
        </w:rPr>
        <w:t>给排水管道的强度试验、气密性试验、排水管道的灌水试验及系统的通水试验应按国家有关规范进行。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（5）管道冲洗</w:t>
      </w:r>
    </w:p>
    <w:p>
      <w:pPr>
        <w:pStyle w:val="10"/>
        <w:keepNext w:val="0"/>
        <w:keepLines w:val="0"/>
        <w:pageBreakBefore w:val="0"/>
        <w:widowControl w:val="0"/>
        <w:kinsoku/>
        <w:wordWrap/>
        <w:overflowPunct/>
        <w:topLinePunct w:val="0"/>
        <w:autoSpaceDE/>
        <w:autoSpaceDN/>
        <w:bidi w:val="0"/>
        <w:spacing w:after="0"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1）管道在压力试验合格后应进行冲洗，冲洗前应将管道上安装的滤网、温度计、调节阀等拆除，待冲洗合格后再装上。</w:t>
      </w:r>
    </w:p>
    <w:p>
      <w:pPr>
        <w:pStyle w:val="10"/>
        <w:keepNext w:val="0"/>
        <w:keepLines w:val="0"/>
        <w:pageBreakBefore w:val="0"/>
        <w:widowControl w:val="0"/>
        <w:kinsoku/>
        <w:wordWrap/>
        <w:overflowPunct/>
        <w:topLinePunct w:val="0"/>
        <w:autoSpaceDE/>
        <w:autoSpaceDN/>
        <w:bidi w:val="0"/>
        <w:spacing w:after="0" w:line="360" w:lineRule="auto"/>
        <w:ind w:left="0" w:leftChars="0" w:right="0" w:firstLine="480" w:firstLineChars="200"/>
        <w:jc w:val="left"/>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sz w:val="24"/>
          <w:szCs w:val="24"/>
          <w:lang w:val="en-US" w:eastAsia="zh-CN"/>
        </w:rPr>
        <w:t>2）生产、生活给水管道用清水冲洗和消毒，按照《建筑给水排水及采暖工程施工质量验收规范》GB50242-2002、《给水排水管道工程施工及验收规范》</w:t>
      </w:r>
      <w:r>
        <w:rPr>
          <w:rFonts w:hint="eastAsia" w:ascii="仿宋" w:hAnsi="仿宋" w:eastAsia="仿宋" w:cs="仿宋"/>
          <w:color w:val="auto"/>
          <w:spacing w:val="-1"/>
          <w:sz w:val="24"/>
          <w:szCs w:val="24"/>
          <w:lang w:val="en-US" w:eastAsia="zh-CN"/>
        </w:rPr>
        <w:t>GB50268-2008中相关规定进行。并经有关部门取样检验，符合国家《生活饮用水标准》方可使用。</w:t>
      </w:r>
    </w:p>
    <w:p>
      <w:pPr>
        <w:pStyle w:val="10"/>
        <w:keepNext w:val="0"/>
        <w:keepLines w:val="0"/>
        <w:pageBreakBefore w:val="0"/>
        <w:widowControl w:val="0"/>
        <w:kinsoku/>
        <w:wordWrap/>
        <w:overflowPunct/>
        <w:topLinePunct w:val="0"/>
        <w:autoSpaceDE/>
        <w:autoSpaceDN/>
        <w:bidi w:val="0"/>
        <w:spacing w:after="0" w:line="360" w:lineRule="auto"/>
        <w:ind w:left="0" w:leftChars="0" w:right="0" w:firstLine="476" w:firstLineChars="200"/>
        <w:jc w:val="left"/>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3）排水管道以管道畅通为合格。</w:t>
      </w:r>
    </w:p>
    <w:p>
      <w:pPr>
        <w:pStyle w:val="10"/>
        <w:keepNext w:val="0"/>
        <w:keepLines w:val="0"/>
        <w:pageBreakBefore w:val="0"/>
        <w:widowControl w:val="0"/>
        <w:kinsoku/>
        <w:wordWrap/>
        <w:overflowPunct/>
        <w:topLinePunct w:val="0"/>
        <w:autoSpaceDE/>
        <w:autoSpaceDN/>
        <w:bidi w:val="0"/>
        <w:spacing w:after="0" w:line="360" w:lineRule="auto"/>
        <w:ind w:left="0" w:leftChars="0" w:right="0" w:firstLine="476" w:firstLineChars="200"/>
        <w:jc w:val="left"/>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（6）管道设备保温及防腐</w:t>
      </w:r>
    </w:p>
    <w:p>
      <w:pPr>
        <w:pStyle w:val="10"/>
        <w:keepNext w:val="0"/>
        <w:keepLines w:val="0"/>
        <w:pageBreakBefore w:val="0"/>
        <w:widowControl w:val="0"/>
        <w:kinsoku/>
        <w:wordWrap/>
        <w:overflowPunct/>
        <w:topLinePunct w:val="0"/>
        <w:autoSpaceDE/>
        <w:autoSpaceDN/>
        <w:bidi w:val="0"/>
        <w:spacing w:after="0" w:line="360" w:lineRule="auto"/>
        <w:ind w:left="0" w:leftChars="0" w:right="0" w:firstLine="476" w:firstLineChars="200"/>
        <w:jc w:val="left"/>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1）热水管、室外明露给水管道及在外走道顶部安装的所有给水管道均需做保温，保温材料采用B1级橡塑管壳，橡塑海棉保温材料,氧指数大于等于32，室内厚度40mm，室外厚度50mm。</w:t>
      </w:r>
    </w:p>
    <w:p>
      <w:pPr>
        <w:pStyle w:val="10"/>
        <w:keepNext w:val="0"/>
        <w:keepLines w:val="0"/>
        <w:pageBreakBefore w:val="0"/>
        <w:widowControl w:val="0"/>
        <w:kinsoku/>
        <w:wordWrap/>
        <w:overflowPunct/>
        <w:topLinePunct w:val="0"/>
        <w:autoSpaceDE/>
        <w:autoSpaceDN/>
        <w:bidi w:val="0"/>
        <w:spacing w:after="0" w:line="360" w:lineRule="auto"/>
        <w:ind w:left="0" w:leftChars="0" w:right="0" w:firstLine="476" w:firstLineChars="200"/>
        <w:jc w:val="left"/>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2）保温做法参见图集16S401，保温应在完成试压合格及除锈防腐处理后进行。</w:t>
      </w:r>
    </w:p>
    <w:p>
      <w:pPr>
        <w:pStyle w:val="10"/>
        <w:keepNext w:val="0"/>
        <w:keepLines w:val="0"/>
        <w:pageBreakBefore w:val="0"/>
        <w:widowControl w:val="0"/>
        <w:kinsoku/>
        <w:wordWrap/>
        <w:overflowPunct/>
        <w:topLinePunct w:val="0"/>
        <w:autoSpaceDE/>
        <w:autoSpaceDN/>
        <w:bidi w:val="0"/>
        <w:spacing w:after="0" w:line="360" w:lineRule="auto"/>
        <w:ind w:left="0" w:leftChars="0" w:right="0" w:firstLine="476" w:firstLineChars="200"/>
        <w:jc w:val="left"/>
        <w:textAlignment w:val="auto"/>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3）在涂刷底漆前，应清除表面的灰尘、污垢、锈斑、焊渣等物。涂刷油漆厚度应均匀，不得有脱皮、起泡、流淌和漏涂现象。管道支架除锈后刷樟丹二道，灰色调和漆二道。但铜管、不锈钢管应在管道与支架之间加橡胶垫隔绝。</w:t>
      </w:r>
    </w:p>
    <w:p>
      <w:pPr>
        <w:pStyle w:val="10"/>
        <w:keepNext w:val="0"/>
        <w:keepLines w:val="0"/>
        <w:pageBreakBefore w:val="0"/>
        <w:widowControl w:val="0"/>
        <w:kinsoku/>
        <w:wordWrap/>
        <w:overflowPunct/>
        <w:topLinePunct w:val="0"/>
        <w:autoSpaceDE/>
        <w:autoSpaceDN/>
        <w:bidi w:val="0"/>
        <w:spacing w:after="0" w:line="360" w:lineRule="auto"/>
        <w:ind w:left="0" w:leftChars="0" w:right="0" w:firstLine="476" w:firstLineChars="200"/>
        <w:jc w:val="left"/>
        <w:textAlignment w:val="auto"/>
        <w:rPr>
          <w:rStyle w:val="22"/>
          <w:rFonts w:hint="eastAsia" w:ascii="仿宋" w:hAnsi="仿宋" w:eastAsia="仿宋" w:cs="仿宋"/>
          <w:sz w:val="24"/>
          <w:szCs w:val="24"/>
          <w:lang w:val="en-US" w:eastAsia="zh-CN"/>
        </w:rPr>
      </w:pPr>
      <w:r>
        <w:rPr>
          <w:rFonts w:hint="eastAsia" w:ascii="仿宋" w:hAnsi="仿宋" w:eastAsia="仿宋" w:cs="仿宋"/>
          <w:color w:val="auto"/>
          <w:spacing w:val="-1"/>
          <w:sz w:val="24"/>
          <w:szCs w:val="24"/>
          <w:lang w:val="en-US" w:eastAsia="zh-CN"/>
        </w:rPr>
        <w:t>4）所有架空管应做防结露处理。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6.抗震设计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为防止地震时给排水管道系统及消防管道系统失效或跌落造成人员伤亡及财产损失，根据《建筑机电工程抗震设计规范》（GB50981－2014）第1.0.4条等强制性条文，应对机电管线系统进行抗震加固。本项目对直径≥DN65的给水、热水、消防管道，当其采用吊架、支架或托架固定时，应按规范要求设置抗震支承。室内自动喷淋灭火系统和气体灭火系统等消防系统还应按相关施工及验收规范要求设置防晃支架；管道设置抗震支架与防晃支架重合处，可只设抗震支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（2）管道穿过内墙或楼板时，应设置套管；套管与管道之间的缝隙，应采用柔性防火材料封堵。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（3）运行时不产生振动的给水水箱、水加热器、太阳能集热设备、冷却塔、开水炉等设备、设施应与主体结构牢固连接，与其连接的管道应采用金属管道。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（4）管道设置抗震支吊架,与混凝土、钢结构、木结构等须采取可靠的锚固形式，具体深化设计由专业公司完成,所有产品需满足《建筑机电设备抗震支吊架通用技术条件》CJ/T476-2015。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5386070" cy="1562100"/>
            <wp:effectExtent l="0" t="0" r="5080" b="0"/>
            <wp:docPr id="1" name="图片 7"/>
            <wp:cNvGraphicFramePr/>
            <a:graphic xmlns:a="http://schemas.openxmlformats.org/drawingml/2006/main">
              <a:graphicData uri="http://schemas.openxmlformats.org/drawingml/2006/picture">
                <pic:pic xmlns:pic="http://schemas.openxmlformats.org/drawingml/2006/picture">
                  <pic:nvPicPr>
                    <pic:cNvPr id="1" name="图片 7"/>
                    <pic:cNvPicPr/>
                  </pic:nvPicPr>
                  <pic:blipFill>
                    <a:blip r:embed="rId9"/>
                    <a:stretch>
                      <a:fillRect/>
                    </a:stretch>
                  </pic:blipFill>
                  <pic:spPr>
                    <a:xfrm>
                      <a:off x="0" y="0"/>
                      <a:ext cx="5386070" cy="15621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bidi w:val="0"/>
        <w:ind w:left="0" w:leftChars="0" w:right="0" w:firstLine="482" w:firstLineChars="200"/>
        <w:jc w:val="left"/>
        <w:rPr>
          <w:rFonts w:hint="eastAsia" w:ascii="仿宋" w:hAnsi="仿宋" w:eastAsia="仿宋" w:cs="仿宋"/>
          <w:b/>
          <w:color w:val="000000"/>
          <w:sz w:val="24"/>
          <w:szCs w:val="24"/>
          <w:lang w:val="en-US" w:eastAsia="zh-CN"/>
        </w:rPr>
      </w:pPr>
    </w:p>
    <w:p>
      <w:pPr>
        <w:keepNext w:val="0"/>
        <w:keepLines w:val="0"/>
        <w:pageBreakBefore w:val="0"/>
        <w:widowControl/>
        <w:suppressLineNumbers w:val="0"/>
        <w:kinsoku/>
        <w:wordWrap/>
        <w:overflowPunct/>
        <w:topLinePunct w:val="0"/>
        <w:bidi w:val="0"/>
        <w:ind w:left="0" w:leftChars="0" w:right="0" w:firstLine="482" w:firstLineChars="200"/>
        <w:jc w:val="left"/>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八、工程量编制说明：</w:t>
      </w:r>
    </w:p>
    <w:p>
      <w:pPr>
        <w:keepNext w:val="0"/>
        <w:keepLines w:val="0"/>
        <w:pageBreakBefore w:val="0"/>
        <w:widowControl/>
        <w:suppressLineNumbers w:val="0"/>
        <w:kinsoku/>
        <w:wordWrap/>
        <w:overflowPunct/>
        <w:topLinePunct w:val="0"/>
        <w:bidi w:val="0"/>
        <w:ind w:left="0" w:leftChars="0" w:right="0" w:firstLine="482" w:firstLineChars="200"/>
        <w:jc w:val="left"/>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（一）工程概况</w:t>
      </w:r>
    </w:p>
    <w:p>
      <w:pPr>
        <w:spacing w:line="56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工程名称：</w:t>
      </w:r>
      <w:r>
        <w:rPr>
          <w:rFonts w:hint="eastAsia" w:ascii="仿宋" w:hAnsi="仿宋" w:eastAsia="仿宋" w:cs="仿宋"/>
          <w:bCs/>
          <w:sz w:val="24"/>
          <w:szCs w:val="24"/>
          <w:lang w:val="en-US" w:eastAsia="zh-CN"/>
        </w:rPr>
        <w:t>武义县公共卫生中心实验楼和血站专业改造项目</w:t>
      </w:r>
      <w:r>
        <w:rPr>
          <w:rFonts w:hint="eastAsia" w:ascii="仿宋" w:hAnsi="仿宋" w:eastAsia="仿宋" w:cs="仿宋"/>
          <w:bCs/>
          <w:sz w:val="24"/>
          <w:szCs w:val="24"/>
        </w:rPr>
        <w:t>；</w:t>
      </w:r>
    </w:p>
    <w:p>
      <w:pPr>
        <w:spacing w:line="56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建设地点：</w:t>
      </w:r>
      <w:r>
        <w:rPr>
          <w:rFonts w:hint="eastAsia" w:ascii="仿宋" w:hAnsi="仿宋" w:eastAsia="仿宋" w:cs="仿宋"/>
          <w:bCs/>
          <w:sz w:val="24"/>
          <w:szCs w:val="24"/>
          <w:lang w:val="en-US" w:eastAsia="zh-CN"/>
        </w:rPr>
        <w:t>武义县公共卫生中心</w:t>
      </w:r>
      <w:r>
        <w:rPr>
          <w:rFonts w:hint="eastAsia" w:ascii="仿宋" w:hAnsi="仿宋" w:eastAsia="仿宋" w:cs="仿宋"/>
          <w:sz w:val="24"/>
          <w:szCs w:val="24"/>
        </w:rPr>
        <w:t>;</w:t>
      </w:r>
    </w:p>
    <w:p>
      <w:pPr>
        <w:spacing w:line="560" w:lineRule="exact"/>
        <w:ind w:firstLine="480" w:firstLineChars="200"/>
        <w:outlineLvl w:val="0"/>
        <w:rPr>
          <w:rFonts w:hint="eastAsia" w:ascii="仿宋" w:hAnsi="仿宋" w:eastAsia="仿宋" w:cs="仿宋"/>
          <w:color w:val="FF0000"/>
          <w:sz w:val="24"/>
          <w:szCs w:val="24"/>
          <w:lang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工程规模：</w:t>
      </w:r>
      <w:r>
        <w:rPr>
          <w:rFonts w:hint="eastAsia" w:ascii="仿宋" w:hAnsi="仿宋" w:eastAsia="仿宋" w:cs="仿宋"/>
          <w:bCs/>
          <w:sz w:val="24"/>
          <w:szCs w:val="24"/>
          <w:lang w:val="en-US" w:eastAsia="zh-CN"/>
        </w:rPr>
        <w:t>武义县公共卫生中心实验楼和血站专业改造项目拆除原有土建墙体约40m3，新建混砌块墙约27m3，单开保温密闭门38樘，子母保温密闭门6樘，成品中空玻璃观察窗29樘，防爆墙体约101m2，石膏板隔墙约803m2，手工岩棉洁净板墙面约1500m2，同质透心PVC卷材地面约1411m2,800*800mm防滑地砖地面约1455m2，铝扣板吊顶约1940m2，实验用具及设备等</w:t>
      </w:r>
      <w:r>
        <w:rPr>
          <w:rFonts w:hint="eastAsia" w:ascii="仿宋" w:hAnsi="仿宋" w:eastAsia="仿宋" w:cs="仿宋"/>
          <w:color w:val="auto"/>
          <w:sz w:val="24"/>
          <w:szCs w:val="24"/>
          <w:lang w:eastAsia="zh-CN"/>
        </w:rPr>
        <w:t>。</w:t>
      </w:r>
    </w:p>
    <w:p>
      <w:pPr>
        <w:keepNext w:val="0"/>
        <w:keepLines w:val="0"/>
        <w:pageBreakBefore w:val="0"/>
        <w:widowControl/>
        <w:suppressLineNumbers w:val="0"/>
        <w:kinsoku/>
        <w:wordWrap/>
        <w:overflowPunct/>
        <w:topLinePunct w:val="0"/>
        <w:bidi w:val="0"/>
        <w:ind w:left="0" w:leftChars="0" w:right="0" w:firstLine="482" w:firstLineChars="200"/>
        <w:jc w:val="left"/>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（二）编制依据</w:t>
      </w:r>
    </w:p>
    <w:p>
      <w:pPr>
        <w:spacing w:line="56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计价依据：</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《建设工程工程量清单计价规范》（GB50500-2013）及浙江省补充规定；</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1.2《通用安装工程工程量计算规范》GB50856-2013</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《浙江省建设工程计价规则》（2018版)；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《浙江省房屋建筑与装饰工程预算定额》(2018版);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《浙江省</w:t>
      </w:r>
      <w:r>
        <w:rPr>
          <w:rFonts w:hint="eastAsia" w:ascii="仿宋" w:hAnsi="仿宋" w:eastAsia="仿宋" w:cs="仿宋"/>
          <w:sz w:val="24"/>
          <w:szCs w:val="24"/>
          <w:lang w:eastAsia="zh-CN"/>
        </w:rPr>
        <w:t>通用安装</w:t>
      </w:r>
      <w:r>
        <w:rPr>
          <w:rFonts w:hint="eastAsia" w:ascii="仿宋" w:hAnsi="仿宋" w:eastAsia="仿宋" w:cs="仿宋"/>
          <w:sz w:val="24"/>
          <w:szCs w:val="24"/>
        </w:rPr>
        <w:t>工程预算定额》（2018版）；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《浙江省建设工程施工机械台班费用定额》（2018版）；</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rPr>
        <w:t>浙江省、金华市有关文件及法律法规和省造价管理总站的有关定额解释及浙江省、金华市造价信息期刊</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建设单位提供的由浙江大学建筑设计研究院有限公司出具的《武义县公共卫生中心实验楼和血站专业改造项目》施工设计图</w:t>
      </w:r>
      <w:r>
        <w:rPr>
          <w:rFonts w:hint="eastAsia" w:ascii="仿宋" w:hAnsi="仿宋" w:eastAsia="仿宋" w:cs="仿宋"/>
          <w:bCs/>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材料价格及人工信息价：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材料单价：</w:t>
      </w:r>
      <w:r>
        <w:rPr>
          <w:rFonts w:hint="eastAsia" w:ascii="仿宋" w:hAnsi="仿宋" w:eastAsia="仿宋" w:cs="仿宋"/>
          <w:bCs/>
          <w:sz w:val="24"/>
          <w:szCs w:val="24"/>
        </w:rPr>
        <w:t>按《武义县材料信息价》（202</w:t>
      </w:r>
      <w:r>
        <w:rPr>
          <w:rFonts w:hint="eastAsia" w:ascii="仿宋" w:hAnsi="仿宋" w:eastAsia="仿宋" w:cs="仿宋"/>
          <w:bCs/>
          <w:sz w:val="24"/>
          <w:szCs w:val="24"/>
          <w:lang w:val="en-US" w:eastAsia="zh-CN"/>
        </w:rPr>
        <w:t>2</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9</w:t>
      </w:r>
      <w:r>
        <w:rPr>
          <w:rFonts w:hint="eastAsia" w:ascii="仿宋" w:hAnsi="仿宋" w:eastAsia="仿宋" w:cs="仿宋"/>
          <w:bCs/>
          <w:sz w:val="24"/>
          <w:szCs w:val="24"/>
        </w:rPr>
        <w:t>月份）、《金华造价信息》（202</w:t>
      </w:r>
      <w:r>
        <w:rPr>
          <w:rFonts w:hint="eastAsia" w:ascii="仿宋" w:hAnsi="仿宋" w:eastAsia="仿宋" w:cs="仿宋"/>
          <w:bCs/>
          <w:sz w:val="24"/>
          <w:szCs w:val="24"/>
          <w:lang w:val="en-US" w:eastAsia="zh-CN"/>
        </w:rPr>
        <w:t>2</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9</w:t>
      </w:r>
      <w:r>
        <w:rPr>
          <w:rFonts w:hint="eastAsia" w:ascii="仿宋" w:hAnsi="仿宋" w:eastAsia="仿宋" w:cs="仿宋"/>
          <w:bCs/>
          <w:sz w:val="24"/>
          <w:szCs w:val="24"/>
        </w:rPr>
        <w:t>月份）、《浙江造价信息》（202</w:t>
      </w:r>
      <w:r>
        <w:rPr>
          <w:rFonts w:hint="eastAsia" w:ascii="仿宋" w:hAnsi="仿宋" w:eastAsia="仿宋" w:cs="仿宋"/>
          <w:bCs/>
          <w:sz w:val="24"/>
          <w:szCs w:val="24"/>
          <w:lang w:val="en-US" w:eastAsia="zh-CN"/>
        </w:rPr>
        <w:t>2</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9</w:t>
      </w:r>
      <w:r>
        <w:rPr>
          <w:rFonts w:hint="eastAsia" w:ascii="仿宋" w:hAnsi="仿宋" w:eastAsia="仿宋" w:cs="仿宋"/>
          <w:bCs/>
          <w:sz w:val="24"/>
          <w:szCs w:val="24"/>
        </w:rPr>
        <w:t>月份）及市场价计取；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rPr>
        <w:t>人工单价：</w:t>
      </w:r>
      <w:r>
        <w:rPr>
          <w:rFonts w:hint="eastAsia" w:ascii="仿宋" w:hAnsi="仿宋" w:eastAsia="仿宋" w:cs="仿宋"/>
          <w:bCs/>
          <w:sz w:val="24"/>
          <w:szCs w:val="24"/>
        </w:rPr>
        <w:t>按202</w:t>
      </w:r>
      <w:r>
        <w:rPr>
          <w:rFonts w:hint="eastAsia" w:ascii="仿宋" w:hAnsi="仿宋" w:eastAsia="仿宋" w:cs="仿宋"/>
          <w:bCs/>
          <w:sz w:val="24"/>
          <w:szCs w:val="24"/>
          <w:lang w:val="en-US" w:eastAsia="zh-CN"/>
        </w:rPr>
        <w:t>2</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九</w:t>
      </w:r>
      <w:r>
        <w:rPr>
          <w:rFonts w:hint="eastAsia" w:ascii="仿宋" w:hAnsi="仿宋" w:eastAsia="仿宋" w:cs="仿宋"/>
          <w:bCs/>
          <w:sz w:val="24"/>
          <w:szCs w:val="24"/>
        </w:rPr>
        <w:t>月份金华市建设工程人工市场信息价计取；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以上材料价格均已按除税信息价进行组价；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浙江省、金华市相关造价文件。</w:t>
      </w:r>
    </w:p>
    <w:p>
      <w:pPr>
        <w:keepNext w:val="0"/>
        <w:keepLines w:val="0"/>
        <w:pageBreakBefore w:val="0"/>
        <w:widowControl/>
        <w:suppressLineNumbers w:val="0"/>
        <w:kinsoku/>
        <w:wordWrap/>
        <w:overflowPunct/>
        <w:topLinePunct w:val="0"/>
        <w:bidi w:val="0"/>
        <w:ind w:left="0" w:leftChars="0" w:right="0" w:firstLine="482" w:firstLineChars="200"/>
        <w:jc w:val="left"/>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（三）预算编制原则及办法</w:t>
      </w:r>
    </w:p>
    <w:p>
      <w:pPr>
        <w:autoSpaceDE w:val="0"/>
        <w:autoSpaceDN w:val="0"/>
        <w:adjustRightIn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编制原则及方法：</w:t>
      </w:r>
    </w:p>
    <w:p>
      <w:pPr>
        <w:spacing w:line="560" w:lineRule="exact"/>
        <w:ind w:firstLine="480" w:firstLineChars="200"/>
        <w:outlineLvl w:val="0"/>
        <w:rPr>
          <w:rFonts w:hint="eastAsia" w:ascii="仿宋" w:hAnsi="仿宋" w:eastAsia="仿宋" w:cs="仿宋"/>
          <w:b/>
          <w:sz w:val="24"/>
          <w:szCs w:val="24"/>
        </w:rPr>
      </w:pPr>
      <w:r>
        <w:rPr>
          <w:rFonts w:hint="eastAsia" w:ascii="仿宋" w:hAnsi="仿宋" w:eastAsia="仿宋" w:cs="仿宋"/>
          <w:sz w:val="24"/>
          <w:szCs w:val="24"/>
        </w:rPr>
        <w:t>本工程计税方法选用一般计税法计价；</w:t>
      </w:r>
    </w:p>
    <w:p>
      <w:pPr>
        <w:autoSpaceDE w:val="0"/>
        <w:autoSpaceDN w:val="0"/>
        <w:adjustRightIn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计费标准：</w:t>
      </w:r>
    </w:p>
    <w:p>
      <w:pPr>
        <w:autoSpaceDE w:val="0"/>
        <w:autoSpaceDN w:val="0"/>
        <w:adjustRightIn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装饰工程：企业</w:t>
      </w:r>
      <w:r>
        <w:rPr>
          <w:rFonts w:hint="eastAsia" w:ascii="仿宋" w:hAnsi="仿宋" w:eastAsia="仿宋" w:cs="仿宋"/>
          <w:sz w:val="24"/>
          <w:szCs w:val="24"/>
        </w:rPr>
        <w:t>管理费按中值</w:t>
      </w:r>
      <w:r>
        <w:rPr>
          <w:rFonts w:hint="eastAsia" w:ascii="仿宋" w:hAnsi="仿宋" w:eastAsia="仿宋" w:cs="仿宋"/>
          <w:sz w:val="24"/>
          <w:szCs w:val="24"/>
          <w:lang w:val="en-US" w:eastAsia="zh-CN"/>
        </w:rPr>
        <w:t>15.16</w:t>
      </w:r>
      <w:r>
        <w:rPr>
          <w:rFonts w:hint="eastAsia" w:ascii="仿宋" w:hAnsi="仿宋" w:eastAsia="仿宋" w:cs="仿宋"/>
          <w:sz w:val="24"/>
          <w:szCs w:val="24"/>
        </w:rPr>
        <w:t>%计取；利润按中值</w:t>
      </w:r>
      <w:r>
        <w:rPr>
          <w:rFonts w:hint="eastAsia" w:ascii="仿宋" w:hAnsi="仿宋" w:eastAsia="仿宋" w:cs="仿宋"/>
          <w:sz w:val="24"/>
          <w:szCs w:val="24"/>
          <w:lang w:val="en-US" w:eastAsia="zh-CN"/>
        </w:rPr>
        <w:t>7.62</w:t>
      </w:r>
      <w:r>
        <w:rPr>
          <w:rFonts w:hint="eastAsia" w:ascii="仿宋" w:hAnsi="仿宋" w:eastAsia="仿宋" w:cs="仿宋"/>
          <w:sz w:val="24"/>
          <w:szCs w:val="24"/>
        </w:rPr>
        <w:t>%计取；安全文明施工费取费按市区工程中值</w:t>
      </w:r>
      <w:r>
        <w:rPr>
          <w:rFonts w:hint="eastAsia" w:ascii="仿宋" w:hAnsi="仿宋" w:eastAsia="仿宋" w:cs="仿宋"/>
          <w:sz w:val="24"/>
          <w:szCs w:val="24"/>
          <w:lang w:val="en-US" w:eastAsia="zh-CN"/>
        </w:rPr>
        <w:t>5.47</w:t>
      </w:r>
      <w:r>
        <w:rPr>
          <w:rFonts w:hint="eastAsia" w:ascii="仿宋" w:hAnsi="仿宋" w:eastAsia="仿宋" w:cs="仿宋"/>
          <w:sz w:val="24"/>
          <w:szCs w:val="24"/>
        </w:rPr>
        <w:t>%计取；规费按</w:t>
      </w:r>
      <w:r>
        <w:rPr>
          <w:rFonts w:hint="eastAsia" w:ascii="仿宋" w:hAnsi="仿宋" w:eastAsia="仿宋" w:cs="仿宋"/>
          <w:sz w:val="24"/>
          <w:szCs w:val="24"/>
          <w:lang w:val="en-US" w:eastAsia="zh-CN"/>
        </w:rPr>
        <w:t>13.96</w:t>
      </w:r>
      <w:r>
        <w:rPr>
          <w:rFonts w:hint="eastAsia" w:ascii="仿宋" w:hAnsi="仿宋" w:eastAsia="仿宋" w:cs="仿宋"/>
          <w:sz w:val="24"/>
          <w:szCs w:val="24"/>
        </w:rPr>
        <w:t>%计取；税金按增值税9%计取；</w:t>
      </w:r>
    </w:p>
    <w:p>
      <w:pPr>
        <w:autoSpaceDE w:val="0"/>
        <w:autoSpaceDN w:val="0"/>
        <w:adjustRightInd w:val="0"/>
        <w:spacing w:line="5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zh-CN" w:eastAsia="zh-CN"/>
        </w:rPr>
        <w:t>安装工程</w:t>
      </w:r>
      <w:r>
        <w:rPr>
          <w:rFonts w:hint="eastAsia" w:ascii="仿宋" w:hAnsi="仿宋" w:eastAsia="仿宋" w:cs="仿宋"/>
          <w:sz w:val="24"/>
          <w:szCs w:val="24"/>
          <w:lang w:eastAsia="zh-CN"/>
        </w:rPr>
        <w:t>：</w:t>
      </w:r>
      <w:r>
        <w:rPr>
          <w:rFonts w:hint="eastAsia" w:ascii="仿宋" w:hAnsi="仿宋" w:eastAsia="仿宋" w:cs="仿宋"/>
          <w:sz w:val="24"/>
          <w:szCs w:val="24"/>
          <w:lang w:val="zh-CN"/>
        </w:rPr>
        <w:t>企业</w:t>
      </w:r>
      <w:r>
        <w:rPr>
          <w:rFonts w:hint="eastAsia" w:ascii="仿宋" w:hAnsi="仿宋" w:eastAsia="仿宋" w:cs="仿宋"/>
          <w:sz w:val="24"/>
          <w:szCs w:val="24"/>
        </w:rPr>
        <w:t>管理费按中值</w:t>
      </w:r>
      <w:r>
        <w:rPr>
          <w:rFonts w:hint="eastAsia" w:ascii="仿宋" w:hAnsi="仿宋" w:eastAsia="仿宋" w:cs="仿宋"/>
          <w:sz w:val="24"/>
          <w:szCs w:val="24"/>
          <w:lang w:val="en-US" w:eastAsia="zh-CN"/>
        </w:rPr>
        <w:t>21.72</w:t>
      </w:r>
      <w:r>
        <w:rPr>
          <w:rFonts w:hint="eastAsia" w:ascii="仿宋" w:hAnsi="仿宋" w:eastAsia="仿宋" w:cs="仿宋"/>
          <w:sz w:val="24"/>
          <w:szCs w:val="24"/>
        </w:rPr>
        <w:t>%计取；利润按中值</w:t>
      </w:r>
      <w:r>
        <w:rPr>
          <w:rFonts w:hint="eastAsia" w:ascii="仿宋" w:hAnsi="仿宋" w:eastAsia="仿宋" w:cs="仿宋"/>
          <w:sz w:val="24"/>
          <w:szCs w:val="24"/>
          <w:lang w:val="en-US" w:eastAsia="zh-CN"/>
        </w:rPr>
        <w:t>10.4</w:t>
      </w:r>
      <w:r>
        <w:rPr>
          <w:rFonts w:hint="eastAsia" w:ascii="仿宋" w:hAnsi="仿宋" w:eastAsia="仿宋" w:cs="仿宋"/>
          <w:sz w:val="24"/>
          <w:szCs w:val="24"/>
        </w:rPr>
        <w:t>%计取；安全文明施工费取费按市区工程中值</w:t>
      </w:r>
      <w:r>
        <w:rPr>
          <w:rFonts w:hint="eastAsia" w:ascii="仿宋" w:hAnsi="仿宋" w:eastAsia="仿宋" w:cs="仿宋"/>
          <w:sz w:val="24"/>
          <w:szCs w:val="24"/>
          <w:lang w:val="en-US" w:eastAsia="zh-CN"/>
        </w:rPr>
        <w:t>8.17</w:t>
      </w:r>
      <w:r>
        <w:rPr>
          <w:rFonts w:hint="eastAsia" w:ascii="仿宋" w:hAnsi="仿宋" w:eastAsia="仿宋" w:cs="仿宋"/>
          <w:sz w:val="24"/>
          <w:szCs w:val="24"/>
        </w:rPr>
        <w:t>%计取；规费按</w:t>
      </w:r>
      <w:r>
        <w:rPr>
          <w:rFonts w:hint="eastAsia" w:ascii="仿宋" w:hAnsi="仿宋" w:eastAsia="仿宋" w:cs="仿宋"/>
          <w:sz w:val="24"/>
          <w:szCs w:val="24"/>
          <w:lang w:val="en-US" w:eastAsia="zh-CN"/>
        </w:rPr>
        <w:t>15.315</w:t>
      </w:r>
      <w:r>
        <w:rPr>
          <w:rFonts w:hint="eastAsia" w:ascii="仿宋" w:hAnsi="仿宋" w:eastAsia="仿宋" w:cs="仿宋"/>
          <w:sz w:val="24"/>
          <w:szCs w:val="24"/>
        </w:rPr>
        <w:t>%计取；税金按增值税9%计取</w:t>
      </w:r>
    </w:p>
    <w:p>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bCs/>
          <w:sz w:val="24"/>
          <w:szCs w:val="24"/>
          <w:lang w:val="en-US" w:eastAsia="zh-CN"/>
        </w:rPr>
        <w:t>3.</w:t>
      </w:r>
      <w:r>
        <w:rPr>
          <w:rFonts w:hint="eastAsia" w:ascii="仿宋" w:hAnsi="仿宋" w:eastAsia="仿宋" w:cs="仿宋"/>
          <w:sz w:val="24"/>
          <w:szCs w:val="24"/>
        </w:rPr>
        <w:t>其它需要说明的问题：</w:t>
      </w:r>
    </w:p>
    <w:p>
      <w:pPr>
        <w:spacing w:line="56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3.1</w:t>
      </w:r>
      <w:r>
        <w:rPr>
          <w:rFonts w:hint="eastAsia" w:ascii="仿宋" w:hAnsi="仿宋" w:eastAsia="仿宋" w:cs="仿宋"/>
          <w:bCs/>
          <w:sz w:val="24"/>
          <w:szCs w:val="24"/>
          <w:lang w:eastAsia="zh-CN"/>
        </w:rPr>
        <w:t>自流平地面按</w:t>
      </w:r>
      <w:r>
        <w:rPr>
          <w:rFonts w:hint="eastAsia" w:ascii="仿宋" w:hAnsi="仿宋" w:eastAsia="仿宋" w:cs="仿宋"/>
          <w:bCs/>
          <w:sz w:val="24"/>
          <w:szCs w:val="24"/>
          <w:lang w:val="en-US" w:eastAsia="zh-CN"/>
        </w:rPr>
        <w:t>3mm厚环氧自流平列入计算</w:t>
      </w:r>
      <w:r>
        <w:rPr>
          <w:rFonts w:hint="eastAsia" w:ascii="仿宋" w:hAnsi="仿宋" w:eastAsia="仿宋" w:cs="仿宋"/>
          <w:bCs/>
          <w:sz w:val="24"/>
          <w:szCs w:val="24"/>
        </w:rPr>
        <w:t>；</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3.2一层采血窗口钢混压顶钢筋按4根Ф6钢筋列入计算；</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安装部分：</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1.楼层总箱进线电缆工程量按50m预留；</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2.应急照明灯具与普通照明为同一回路，电线根数按系统图3根计；</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3.接线盒 86型安装高度按0.3m计，操作台处按0.95m计，储水式热水器处按2.4m计；</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4.强电井道内竖向桥架未计；</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5.综合布线进线光缆由园区弱电机房引来，暂按50米预留；</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6.视频监控系统中的弱电机柜与综合布线系统中的弱电机柜按共用计，但进线光缆、24口POE交换机、24口配线架按不共用考虑；</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7.视频监控进线光缆由园区弱电机房引来，暂按50米预留；</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8.门禁系统中的进线光缆、24口POE交换机、24口配线架与视频监控系统中的按共用考虑；</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9.门禁系统中系统图管线规格与平面图不一致，按平面图计；</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10.平面图通风柜管线工程量不明确，未计；</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11.土方开挖及回填暂未计入预算；</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12.风井内排风管规格按平面尺寸计入预算；</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13.实验室4~5楼排风按PP风管计入，其余楼层按镀锌风管计入，送风按净化风管计入，新风按镀锌风管计入预算；</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14.消火栓移位暂未计入预算；</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15.应业主要求UPS取消，暂不计入预算</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16.结算时工程量按实际工程量结算。</w:t>
      </w:r>
    </w:p>
    <w:p>
      <w:pPr>
        <w:spacing w:line="560" w:lineRule="exact"/>
        <w:ind w:firstLine="480" w:firstLineChars="200"/>
        <w:rPr>
          <w:rFonts w:hint="eastAsia" w:ascii="仿宋" w:hAnsi="仿宋" w:eastAsia="仿宋" w:cs="仿宋"/>
          <w:bCs/>
          <w:sz w:val="24"/>
          <w:szCs w:val="24"/>
          <w:lang w:val="en-US" w:eastAsia="zh-CN"/>
        </w:rPr>
      </w:pPr>
    </w:p>
    <w:p>
      <w:pPr>
        <w:keepNext w:val="0"/>
        <w:keepLines w:val="0"/>
        <w:pageBreakBefore w:val="0"/>
        <w:widowControl/>
        <w:suppressLineNumbers w:val="0"/>
        <w:kinsoku/>
        <w:wordWrap/>
        <w:overflowPunct/>
        <w:topLinePunct w:val="0"/>
        <w:bidi w:val="0"/>
        <w:ind w:left="0" w:leftChars="0" w:right="0" w:firstLine="482" w:firstLineChars="200"/>
        <w:jc w:val="left"/>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（四）工程量清单见招标公告“附件-工程量清单”</w:t>
      </w:r>
    </w:p>
    <w:p>
      <w:pPr>
        <w:pStyle w:val="2"/>
        <w:rPr>
          <w:rFonts w:hint="eastAsia"/>
          <w:lang w:val="en-US" w:eastAsia="zh-CN"/>
        </w:rPr>
      </w:pPr>
    </w:p>
    <w:p>
      <w:pP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br w:type="page"/>
      </w:r>
    </w:p>
    <w:p>
      <w:pPr>
        <w:keepNext w:val="0"/>
        <w:keepLines w:val="0"/>
        <w:pageBreakBefore w:val="0"/>
        <w:widowControl/>
        <w:suppressLineNumbers w:val="0"/>
        <w:kinsoku/>
        <w:wordWrap/>
        <w:overflowPunct/>
        <w:topLinePunct w:val="0"/>
        <w:bidi w:val="0"/>
        <w:ind w:left="0" w:leftChars="0" w:right="0" w:firstLine="482" w:firstLineChars="200"/>
        <w:jc w:val="left"/>
        <w:rPr>
          <w:rFonts w:hint="eastAsia" w:ascii="仿宋" w:hAnsi="仿宋" w:eastAsia="仿宋" w:cs="仿宋"/>
        </w:rPr>
      </w:pPr>
      <w:r>
        <w:rPr>
          <w:rFonts w:hint="eastAsia" w:ascii="仿宋" w:hAnsi="仿宋" w:eastAsia="仿宋" w:cs="仿宋"/>
          <w:b/>
          <w:color w:val="000000"/>
          <w:sz w:val="24"/>
          <w:szCs w:val="24"/>
          <w:lang w:val="en-US" w:eastAsia="zh-CN"/>
        </w:rPr>
        <w:t>九、商务要求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03"/>
        <w:gridCol w:w="1558"/>
        <w:gridCol w:w="5939"/>
        <w:gridCol w:w="98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9" w:hRule="atLeast"/>
          <w:jc w:val="center"/>
        </w:trPr>
        <w:tc>
          <w:tcPr>
            <w:tcW w:w="603" w:type="dxa"/>
            <w:tcBorders>
              <w:top w:val="single" w:color="auto" w:sz="4" w:space="0"/>
              <w:bottom w:val="single" w:color="auto" w:sz="4" w:space="0"/>
            </w:tcBorders>
            <w:shd w:val="clear" w:color="auto" w:fill="BEBEBE"/>
            <w:noWrap w:val="0"/>
            <w:tcMar>
              <w:left w:w="0" w:type="dxa"/>
              <w:right w:w="0" w:type="dxa"/>
            </w:tcMar>
            <w:vAlign w:val="center"/>
          </w:tcPr>
          <w:p>
            <w:pPr>
              <w:ind w:firstLine="0" w:firstLineChars="0"/>
              <w:jc w:val="center"/>
              <w:rPr>
                <w:rFonts w:hint="eastAsia" w:ascii="仿宋" w:hAnsi="仿宋" w:eastAsia="仿宋" w:cs="仿宋"/>
                <w:b/>
                <w:bCs/>
                <w:szCs w:val="21"/>
              </w:rPr>
            </w:pPr>
            <w:bookmarkStart w:id="13" w:name="_Toc5542"/>
            <w:bookmarkStart w:id="14" w:name="_Toc18662672"/>
            <w:bookmarkStart w:id="15" w:name="_Toc14979"/>
            <w:r>
              <w:rPr>
                <w:rFonts w:hint="eastAsia" w:ascii="仿宋" w:hAnsi="仿宋" w:eastAsia="仿宋" w:cs="仿宋"/>
                <w:b/>
                <w:bCs/>
                <w:szCs w:val="21"/>
              </w:rPr>
              <w:t>序号</w:t>
            </w:r>
          </w:p>
        </w:tc>
        <w:tc>
          <w:tcPr>
            <w:tcW w:w="1558" w:type="dxa"/>
            <w:tcBorders>
              <w:top w:val="single" w:color="auto" w:sz="4" w:space="0"/>
              <w:bottom w:val="single" w:color="auto" w:sz="4" w:space="0"/>
            </w:tcBorders>
            <w:shd w:val="clear" w:color="auto" w:fill="BEBEBE"/>
            <w:noWrap w:val="0"/>
            <w:tcMar>
              <w:left w:w="0" w:type="dxa"/>
              <w:right w:w="0" w:type="dxa"/>
            </w:tcMar>
            <w:vAlign w:val="center"/>
          </w:tcPr>
          <w:p>
            <w:pPr>
              <w:ind w:firstLine="0" w:firstLineChars="0"/>
              <w:jc w:val="center"/>
              <w:rPr>
                <w:rFonts w:hint="eastAsia" w:ascii="仿宋" w:hAnsi="仿宋" w:eastAsia="仿宋" w:cs="仿宋"/>
                <w:b/>
                <w:bCs/>
                <w:szCs w:val="21"/>
              </w:rPr>
            </w:pPr>
            <w:r>
              <w:rPr>
                <w:rFonts w:hint="eastAsia" w:ascii="仿宋" w:hAnsi="仿宋" w:eastAsia="仿宋" w:cs="仿宋"/>
                <w:b/>
                <w:bCs/>
                <w:szCs w:val="21"/>
              </w:rPr>
              <w:t>条款名称</w:t>
            </w:r>
          </w:p>
        </w:tc>
        <w:tc>
          <w:tcPr>
            <w:tcW w:w="5939" w:type="dxa"/>
            <w:tcBorders>
              <w:top w:val="single" w:color="auto" w:sz="4" w:space="0"/>
              <w:bottom w:val="single" w:color="auto" w:sz="4" w:space="0"/>
            </w:tcBorders>
            <w:shd w:val="clear" w:color="auto" w:fill="BEBEBE"/>
            <w:noWrap w:val="0"/>
            <w:tcMar>
              <w:left w:w="0" w:type="dxa"/>
              <w:right w:w="0" w:type="dxa"/>
            </w:tcMar>
            <w:vAlign w:val="center"/>
          </w:tcPr>
          <w:p>
            <w:pPr>
              <w:ind w:firstLine="0" w:firstLineChars="0"/>
              <w:jc w:val="center"/>
              <w:rPr>
                <w:rFonts w:hint="eastAsia" w:ascii="仿宋" w:hAnsi="仿宋" w:eastAsia="仿宋" w:cs="仿宋"/>
                <w:b/>
                <w:bCs/>
                <w:szCs w:val="21"/>
              </w:rPr>
            </w:pPr>
            <w:r>
              <w:rPr>
                <w:rFonts w:hint="eastAsia" w:ascii="仿宋" w:hAnsi="仿宋" w:eastAsia="仿宋" w:cs="仿宋"/>
                <w:b/>
                <w:bCs/>
                <w:szCs w:val="21"/>
              </w:rPr>
              <w:t>约定内容</w:t>
            </w:r>
          </w:p>
        </w:tc>
        <w:tc>
          <w:tcPr>
            <w:tcW w:w="987" w:type="dxa"/>
            <w:tcBorders>
              <w:top w:val="single" w:color="auto" w:sz="4" w:space="0"/>
              <w:bottom w:val="single" w:color="auto" w:sz="4" w:space="0"/>
            </w:tcBorders>
            <w:shd w:val="clear" w:color="auto" w:fill="BEBEBE"/>
            <w:noWrap w:val="0"/>
            <w:vAlign w:val="center"/>
          </w:tcPr>
          <w:p>
            <w:pPr>
              <w:ind w:firstLine="0" w:firstLineChars="0"/>
              <w:jc w:val="center"/>
              <w:rPr>
                <w:rFonts w:hint="eastAsia"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603" w:type="dxa"/>
            <w:noWrap w:val="0"/>
            <w:tcMar>
              <w:left w:w="0" w:type="dxa"/>
              <w:right w:w="0" w:type="dxa"/>
            </w:tcMar>
            <w:vAlign w:val="center"/>
          </w:tcPr>
          <w:p>
            <w:pPr>
              <w:numPr>
                <w:ilvl w:val="0"/>
                <w:numId w:val="6"/>
              </w:numPr>
              <w:ind w:firstLineChars="0"/>
              <w:jc w:val="center"/>
              <w:rPr>
                <w:rFonts w:hint="eastAsia" w:ascii="仿宋" w:hAnsi="仿宋" w:eastAsia="仿宋" w:cs="仿宋"/>
                <w:szCs w:val="21"/>
              </w:rPr>
            </w:pPr>
          </w:p>
        </w:tc>
        <w:tc>
          <w:tcPr>
            <w:tcW w:w="1558" w:type="dxa"/>
            <w:noWrap w:val="0"/>
            <w:tcMar>
              <w:left w:w="0" w:type="dxa"/>
              <w:right w:w="0" w:type="dxa"/>
            </w:tcMar>
            <w:vAlign w:val="center"/>
          </w:tcPr>
          <w:p>
            <w:pPr>
              <w:pStyle w:val="48"/>
              <w:jc w:val="center"/>
              <w:rPr>
                <w:rFonts w:hint="eastAsia" w:ascii="仿宋" w:hAnsi="仿宋" w:eastAsia="仿宋" w:cs="仿宋"/>
              </w:rPr>
            </w:pPr>
            <w:r>
              <w:rPr>
                <w:rFonts w:hint="eastAsia" w:ascii="仿宋" w:hAnsi="仿宋" w:eastAsia="仿宋" w:cs="仿宋"/>
              </w:rPr>
              <w:t>工期</w:t>
            </w:r>
          </w:p>
        </w:tc>
        <w:tc>
          <w:tcPr>
            <w:tcW w:w="5939" w:type="dxa"/>
            <w:noWrap w:val="0"/>
            <w:tcMar>
              <w:left w:w="0" w:type="dxa"/>
              <w:right w:w="0" w:type="dxa"/>
            </w:tcMar>
            <w:vAlign w:val="center"/>
          </w:tcPr>
          <w:p>
            <w:pPr>
              <w:pStyle w:val="48"/>
              <w:jc w:val="center"/>
              <w:rPr>
                <w:rFonts w:hint="eastAsia" w:ascii="仿宋" w:hAnsi="仿宋" w:eastAsia="仿宋" w:cs="仿宋"/>
                <w:lang w:val="en-US" w:eastAsia="zh-CN"/>
              </w:rPr>
            </w:pPr>
            <w:r>
              <w:rPr>
                <w:rFonts w:hint="eastAsia" w:ascii="仿宋" w:hAnsi="仿宋" w:eastAsia="仿宋" w:cs="仿宋"/>
                <w:lang w:val="en-US" w:eastAsia="zh-CN"/>
              </w:rPr>
              <w:t>合同签订生效后于2023年4月20日前完成</w:t>
            </w:r>
          </w:p>
        </w:tc>
        <w:tc>
          <w:tcPr>
            <w:tcW w:w="987" w:type="dxa"/>
            <w:noWrap w:val="0"/>
            <w:vAlign w:val="center"/>
          </w:tcPr>
          <w:p>
            <w:pPr>
              <w:ind w:firstLine="0" w:firstLineChar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8" w:hRule="atLeast"/>
          <w:jc w:val="center"/>
        </w:trPr>
        <w:tc>
          <w:tcPr>
            <w:tcW w:w="603" w:type="dxa"/>
            <w:noWrap w:val="0"/>
            <w:tcMar>
              <w:left w:w="0" w:type="dxa"/>
              <w:right w:w="0" w:type="dxa"/>
            </w:tcMar>
            <w:vAlign w:val="center"/>
          </w:tcPr>
          <w:p>
            <w:pPr>
              <w:numPr>
                <w:ilvl w:val="0"/>
                <w:numId w:val="6"/>
              </w:numPr>
              <w:ind w:firstLineChars="0"/>
              <w:jc w:val="center"/>
              <w:rPr>
                <w:rFonts w:hint="eastAsia" w:ascii="仿宋" w:hAnsi="仿宋" w:eastAsia="仿宋" w:cs="仿宋"/>
                <w:szCs w:val="21"/>
              </w:rPr>
            </w:pPr>
          </w:p>
        </w:tc>
        <w:tc>
          <w:tcPr>
            <w:tcW w:w="1558" w:type="dxa"/>
            <w:noWrap w:val="0"/>
            <w:tcMar>
              <w:left w:w="0" w:type="dxa"/>
              <w:right w:w="0" w:type="dxa"/>
            </w:tcMar>
            <w:vAlign w:val="center"/>
          </w:tcPr>
          <w:p>
            <w:pPr>
              <w:pStyle w:val="48"/>
              <w:jc w:val="center"/>
              <w:rPr>
                <w:rFonts w:hint="eastAsia" w:ascii="仿宋" w:hAnsi="仿宋" w:eastAsia="仿宋" w:cs="仿宋"/>
              </w:rPr>
            </w:pPr>
            <w:r>
              <w:rPr>
                <w:rFonts w:hint="eastAsia" w:ascii="仿宋" w:hAnsi="仿宋" w:eastAsia="仿宋" w:cs="仿宋"/>
              </w:rPr>
              <w:t>履约保证金</w:t>
            </w:r>
          </w:p>
        </w:tc>
        <w:tc>
          <w:tcPr>
            <w:tcW w:w="5939" w:type="dxa"/>
            <w:noWrap w:val="0"/>
            <w:tcMar>
              <w:left w:w="0" w:type="dxa"/>
              <w:right w:w="0" w:type="dxa"/>
            </w:tcMar>
            <w:vAlign w:val="center"/>
          </w:tcPr>
          <w:p>
            <w:pPr>
              <w:pStyle w:val="48"/>
              <w:jc w:val="center"/>
              <w:rPr>
                <w:rFonts w:hint="eastAsia" w:ascii="仿宋" w:hAnsi="仿宋" w:eastAsia="仿宋" w:cs="仿宋"/>
                <w:lang w:eastAsia="zh-CN"/>
              </w:rPr>
            </w:pPr>
            <w:r>
              <w:rPr>
                <w:rFonts w:hint="eastAsia" w:ascii="仿宋" w:hAnsi="仿宋" w:eastAsia="仿宋" w:cs="仿宋"/>
                <w:lang w:eastAsia="zh-CN"/>
              </w:rPr>
              <w:t>本项目不适用</w:t>
            </w:r>
          </w:p>
        </w:tc>
        <w:tc>
          <w:tcPr>
            <w:tcW w:w="987" w:type="dxa"/>
            <w:noWrap w:val="0"/>
            <w:vAlign w:val="center"/>
          </w:tcPr>
          <w:p>
            <w:pPr>
              <w:ind w:firstLine="0" w:firstLineChar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3" w:hRule="atLeast"/>
          <w:jc w:val="center"/>
        </w:trPr>
        <w:tc>
          <w:tcPr>
            <w:tcW w:w="603" w:type="dxa"/>
            <w:noWrap w:val="0"/>
            <w:tcMar>
              <w:left w:w="0" w:type="dxa"/>
              <w:right w:w="0" w:type="dxa"/>
            </w:tcMar>
            <w:vAlign w:val="center"/>
          </w:tcPr>
          <w:p>
            <w:pPr>
              <w:numPr>
                <w:ilvl w:val="0"/>
                <w:numId w:val="6"/>
              </w:numPr>
              <w:ind w:firstLineChars="0"/>
              <w:jc w:val="center"/>
              <w:rPr>
                <w:rFonts w:hint="eastAsia" w:ascii="仿宋" w:hAnsi="仿宋" w:eastAsia="仿宋" w:cs="仿宋"/>
                <w:szCs w:val="21"/>
              </w:rPr>
            </w:pPr>
          </w:p>
        </w:tc>
        <w:tc>
          <w:tcPr>
            <w:tcW w:w="1558" w:type="dxa"/>
            <w:noWrap w:val="0"/>
            <w:tcMar>
              <w:left w:w="0" w:type="dxa"/>
              <w:right w:w="0" w:type="dxa"/>
            </w:tcMar>
            <w:vAlign w:val="center"/>
          </w:tcPr>
          <w:p>
            <w:pPr>
              <w:pStyle w:val="48"/>
              <w:jc w:val="center"/>
              <w:rPr>
                <w:rFonts w:hint="eastAsia" w:ascii="仿宋" w:hAnsi="仿宋" w:eastAsia="仿宋" w:cs="仿宋"/>
                <w:kern w:val="2"/>
                <w:sz w:val="21"/>
                <w:szCs w:val="22"/>
                <w:lang w:val="en-US" w:eastAsia="zh-CN" w:bidi="ar-SA"/>
              </w:rPr>
            </w:pPr>
            <w:r>
              <w:rPr>
                <w:rFonts w:hint="eastAsia" w:ascii="仿宋" w:hAnsi="仿宋" w:eastAsia="仿宋" w:cs="仿宋"/>
              </w:rPr>
              <w:t>质量标准</w:t>
            </w:r>
          </w:p>
        </w:tc>
        <w:tc>
          <w:tcPr>
            <w:tcW w:w="5939" w:type="dxa"/>
            <w:noWrap w:val="0"/>
            <w:tcMar>
              <w:left w:w="0" w:type="dxa"/>
              <w:right w:w="0" w:type="dxa"/>
            </w:tcMar>
            <w:vAlign w:val="center"/>
          </w:tcPr>
          <w:p>
            <w:pPr>
              <w:pStyle w:val="48"/>
              <w:jc w:val="center"/>
              <w:rPr>
                <w:rFonts w:hint="eastAsia" w:ascii="仿宋" w:hAnsi="仿宋" w:eastAsia="仿宋" w:cs="仿宋"/>
                <w:kern w:val="2"/>
                <w:sz w:val="21"/>
                <w:szCs w:val="22"/>
                <w:lang w:val="en-US" w:eastAsia="zh-CN" w:bidi="ar-SA"/>
              </w:rPr>
            </w:pPr>
            <w:r>
              <w:rPr>
                <w:rFonts w:hint="eastAsia" w:ascii="仿宋" w:hAnsi="仿宋" w:eastAsia="仿宋" w:cs="仿宋"/>
              </w:rPr>
              <w:t>合格</w:t>
            </w:r>
          </w:p>
        </w:tc>
        <w:tc>
          <w:tcPr>
            <w:tcW w:w="987" w:type="dxa"/>
            <w:noWrap w:val="0"/>
            <w:vAlign w:val="center"/>
          </w:tcPr>
          <w:p>
            <w:pPr>
              <w:ind w:firstLine="0" w:firstLineChar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6" w:hRule="atLeast"/>
          <w:jc w:val="center"/>
        </w:trPr>
        <w:tc>
          <w:tcPr>
            <w:tcW w:w="603" w:type="dxa"/>
            <w:noWrap w:val="0"/>
            <w:tcMar>
              <w:left w:w="0" w:type="dxa"/>
              <w:right w:w="0" w:type="dxa"/>
            </w:tcMar>
            <w:vAlign w:val="center"/>
          </w:tcPr>
          <w:p>
            <w:pPr>
              <w:numPr>
                <w:ilvl w:val="0"/>
                <w:numId w:val="6"/>
              </w:numPr>
              <w:ind w:firstLineChars="0"/>
              <w:jc w:val="center"/>
              <w:rPr>
                <w:rFonts w:hint="eastAsia" w:ascii="仿宋" w:hAnsi="仿宋" w:eastAsia="仿宋" w:cs="仿宋"/>
                <w:szCs w:val="21"/>
              </w:rPr>
            </w:pPr>
          </w:p>
        </w:tc>
        <w:tc>
          <w:tcPr>
            <w:tcW w:w="1558" w:type="dxa"/>
            <w:noWrap w:val="0"/>
            <w:tcMar>
              <w:left w:w="0" w:type="dxa"/>
              <w:right w:w="0" w:type="dxa"/>
            </w:tcMar>
            <w:vAlign w:val="center"/>
          </w:tcPr>
          <w:p>
            <w:pPr>
              <w:pStyle w:val="48"/>
              <w:jc w:val="center"/>
              <w:rPr>
                <w:rFonts w:hint="eastAsia" w:ascii="仿宋" w:hAnsi="仿宋" w:eastAsia="仿宋" w:cs="仿宋"/>
                <w:kern w:val="2"/>
                <w:sz w:val="21"/>
                <w:szCs w:val="22"/>
                <w:lang w:val="en-US" w:eastAsia="zh-CN" w:bidi="ar-SA"/>
              </w:rPr>
            </w:pPr>
            <w:r>
              <w:rPr>
                <w:rFonts w:hint="eastAsia" w:ascii="仿宋" w:hAnsi="仿宋" w:eastAsia="仿宋" w:cs="仿宋"/>
              </w:rPr>
              <w:t>预付款金额</w:t>
            </w:r>
          </w:p>
        </w:tc>
        <w:tc>
          <w:tcPr>
            <w:tcW w:w="5939" w:type="dxa"/>
            <w:noWrap w:val="0"/>
            <w:tcMar>
              <w:left w:w="0" w:type="dxa"/>
              <w:right w:w="0" w:type="dxa"/>
            </w:tcMar>
            <w:vAlign w:val="center"/>
          </w:tcPr>
          <w:p>
            <w:pPr>
              <w:pStyle w:val="48"/>
              <w:jc w:val="center"/>
              <w:rPr>
                <w:rFonts w:hint="eastAsia" w:ascii="仿宋" w:hAnsi="仿宋" w:eastAsia="仿宋" w:cs="仿宋"/>
                <w:kern w:val="2"/>
                <w:sz w:val="21"/>
                <w:szCs w:val="22"/>
                <w:lang w:val="en-US" w:eastAsia="zh-CN" w:bidi="ar-SA"/>
              </w:rPr>
            </w:pPr>
            <w:r>
              <w:rPr>
                <w:rFonts w:hint="eastAsia" w:ascii="仿宋" w:hAnsi="仿宋" w:eastAsia="仿宋" w:cs="仿宋"/>
              </w:rPr>
              <w:t>合同价格的</w:t>
            </w:r>
            <w:r>
              <w:rPr>
                <w:rFonts w:hint="eastAsia" w:ascii="仿宋" w:hAnsi="仿宋" w:eastAsia="仿宋" w:cs="仿宋"/>
                <w:u w:val="single"/>
                <w:lang w:val="en-US" w:eastAsia="zh-CN"/>
              </w:rPr>
              <w:t xml:space="preserve"> 30 </w:t>
            </w:r>
            <w:r>
              <w:rPr>
                <w:rFonts w:hint="eastAsia" w:ascii="仿宋" w:hAnsi="仿宋" w:eastAsia="仿宋" w:cs="仿宋"/>
              </w:rPr>
              <w:t>%</w:t>
            </w:r>
          </w:p>
        </w:tc>
        <w:tc>
          <w:tcPr>
            <w:tcW w:w="987" w:type="dxa"/>
            <w:noWrap w:val="0"/>
            <w:vAlign w:val="center"/>
          </w:tcPr>
          <w:p>
            <w:pPr>
              <w:ind w:firstLine="0" w:firstLineChar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7" w:hRule="atLeast"/>
          <w:jc w:val="center"/>
        </w:trPr>
        <w:tc>
          <w:tcPr>
            <w:tcW w:w="603" w:type="dxa"/>
            <w:noWrap w:val="0"/>
            <w:tcMar>
              <w:left w:w="0" w:type="dxa"/>
              <w:right w:w="0" w:type="dxa"/>
            </w:tcMar>
            <w:vAlign w:val="center"/>
          </w:tcPr>
          <w:p>
            <w:pPr>
              <w:numPr>
                <w:ilvl w:val="0"/>
                <w:numId w:val="6"/>
              </w:numPr>
              <w:ind w:firstLineChars="0"/>
              <w:jc w:val="center"/>
              <w:rPr>
                <w:rFonts w:hint="eastAsia" w:ascii="仿宋" w:hAnsi="仿宋" w:eastAsia="仿宋" w:cs="仿宋"/>
                <w:szCs w:val="21"/>
              </w:rPr>
            </w:pPr>
          </w:p>
        </w:tc>
        <w:tc>
          <w:tcPr>
            <w:tcW w:w="1558" w:type="dxa"/>
            <w:noWrap w:val="0"/>
            <w:tcMar>
              <w:left w:w="0" w:type="dxa"/>
              <w:right w:w="0" w:type="dxa"/>
            </w:tcMar>
            <w:vAlign w:val="center"/>
          </w:tcPr>
          <w:p>
            <w:pPr>
              <w:pStyle w:val="48"/>
              <w:jc w:val="center"/>
              <w:rPr>
                <w:rFonts w:hint="eastAsia" w:ascii="仿宋" w:hAnsi="仿宋" w:eastAsia="仿宋" w:cs="仿宋"/>
                <w:kern w:val="2"/>
                <w:sz w:val="21"/>
                <w:szCs w:val="22"/>
                <w:lang w:val="en-US" w:eastAsia="zh-CN" w:bidi="ar-SA"/>
              </w:rPr>
            </w:pPr>
            <w:r>
              <w:rPr>
                <w:rFonts w:hint="eastAsia" w:ascii="仿宋" w:hAnsi="仿宋" w:eastAsia="仿宋" w:cs="仿宋"/>
                <w:lang w:eastAsia="zh-CN"/>
              </w:rPr>
              <w:t>质保期</w:t>
            </w:r>
          </w:p>
        </w:tc>
        <w:tc>
          <w:tcPr>
            <w:tcW w:w="5939" w:type="dxa"/>
            <w:noWrap w:val="0"/>
            <w:tcMar>
              <w:left w:w="0" w:type="dxa"/>
              <w:right w:w="0" w:type="dxa"/>
            </w:tcMar>
            <w:vAlign w:val="center"/>
          </w:tcPr>
          <w:p>
            <w:pPr>
              <w:pStyle w:val="48"/>
              <w:jc w:val="center"/>
              <w:rPr>
                <w:rFonts w:hint="eastAsia" w:ascii="仿宋" w:hAnsi="仿宋" w:eastAsia="仿宋" w:cs="仿宋"/>
                <w:kern w:val="2"/>
                <w:sz w:val="21"/>
                <w:szCs w:val="22"/>
                <w:lang w:val="en-US" w:eastAsia="zh-CN" w:bidi="ar-SA"/>
              </w:rPr>
            </w:pPr>
            <w:r>
              <w:rPr>
                <w:rFonts w:hint="eastAsia" w:ascii="仿宋" w:hAnsi="仿宋" w:eastAsia="仿宋" w:cs="仿宋"/>
                <w:u w:val="single"/>
                <w:lang w:val="en-US" w:eastAsia="zh-CN"/>
              </w:rPr>
              <w:t xml:space="preserve"> 3年 </w:t>
            </w:r>
            <w:r>
              <w:rPr>
                <w:rFonts w:hint="eastAsia" w:ascii="仿宋" w:hAnsi="仿宋" w:eastAsia="仿宋" w:cs="仿宋"/>
                <w:lang w:val="en-US" w:eastAsia="zh-CN"/>
              </w:rPr>
              <w:t>（以验收合格之日开始计算时间）</w:t>
            </w:r>
          </w:p>
        </w:tc>
        <w:tc>
          <w:tcPr>
            <w:tcW w:w="987" w:type="dxa"/>
            <w:noWrap w:val="0"/>
            <w:vAlign w:val="center"/>
          </w:tcPr>
          <w:p>
            <w:pPr>
              <w:ind w:firstLine="0" w:firstLineChar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3" w:hRule="atLeast"/>
          <w:jc w:val="center"/>
        </w:trPr>
        <w:tc>
          <w:tcPr>
            <w:tcW w:w="603" w:type="dxa"/>
            <w:noWrap w:val="0"/>
            <w:tcMar>
              <w:left w:w="0" w:type="dxa"/>
              <w:right w:w="0" w:type="dxa"/>
            </w:tcMar>
            <w:vAlign w:val="center"/>
          </w:tcPr>
          <w:p>
            <w:pPr>
              <w:numPr>
                <w:ilvl w:val="0"/>
                <w:numId w:val="6"/>
              </w:numPr>
              <w:ind w:firstLineChars="0"/>
              <w:jc w:val="center"/>
              <w:rPr>
                <w:rFonts w:hint="eastAsia" w:ascii="仿宋" w:hAnsi="仿宋" w:eastAsia="仿宋" w:cs="仿宋"/>
                <w:szCs w:val="21"/>
              </w:rPr>
            </w:pPr>
          </w:p>
        </w:tc>
        <w:tc>
          <w:tcPr>
            <w:tcW w:w="1558" w:type="dxa"/>
            <w:noWrap w:val="0"/>
            <w:tcMar>
              <w:left w:w="0" w:type="dxa"/>
              <w:right w:w="0" w:type="dxa"/>
            </w:tcMar>
            <w:vAlign w:val="center"/>
          </w:tcPr>
          <w:p>
            <w:pPr>
              <w:pStyle w:val="48"/>
              <w:jc w:val="center"/>
              <w:rPr>
                <w:rFonts w:hint="eastAsia" w:ascii="仿宋" w:hAnsi="仿宋" w:eastAsia="仿宋" w:cs="仿宋"/>
                <w:kern w:val="2"/>
                <w:sz w:val="21"/>
                <w:szCs w:val="22"/>
                <w:lang w:val="en-US" w:eastAsia="zh-CN" w:bidi="ar-SA"/>
              </w:rPr>
            </w:pPr>
            <w:r>
              <w:rPr>
                <w:rFonts w:hint="eastAsia" w:ascii="仿宋" w:hAnsi="仿宋" w:eastAsia="仿宋" w:cs="仿宋"/>
              </w:rPr>
              <w:t>保修响应时间</w:t>
            </w:r>
          </w:p>
        </w:tc>
        <w:tc>
          <w:tcPr>
            <w:tcW w:w="5939" w:type="dxa"/>
            <w:noWrap w:val="0"/>
            <w:tcMar>
              <w:left w:w="0" w:type="dxa"/>
              <w:right w:w="0" w:type="dxa"/>
            </w:tcMar>
            <w:vAlign w:val="center"/>
          </w:tcPr>
          <w:p>
            <w:pPr>
              <w:pStyle w:val="48"/>
              <w:jc w:val="center"/>
              <w:rPr>
                <w:rFonts w:hint="eastAsia" w:ascii="仿宋" w:hAnsi="仿宋" w:eastAsia="仿宋" w:cs="仿宋"/>
                <w:kern w:val="2"/>
                <w:sz w:val="21"/>
                <w:szCs w:val="22"/>
                <w:lang w:val="en-US" w:eastAsia="zh-CN" w:bidi="ar-SA"/>
              </w:rPr>
            </w:pPr>
            <w:r>
              <w:rPr>
                <w:rFonts w:hint="eastAsia" w:ascii="仿宋" w:hAnsi="仿宋" w:eastAsia="仿宋" w:cs="仿宋"/>
              </w:rPr>
              <w:t>24小时</w:t>
            </w:r>
          </w:p>
        </w:tc>
        <w:tc>
          <w:tcPr>
            <w:tcW w:w="987" w:type="dxa"/>
            <w:noWrap w:val="0"/>
            <w:vAlign w:val="center"/>
          </w:tcPr>
          <w:p>
            <w:pPr>
              <w:ind w:firstLine="0" w:firstLineChars="0"/>
              <w:jc w:val="center"/>
              <w:rPr>
                <w:rFonts w:hint="eastAsia" w:ascii="仿宋" w:hAnsi="仿宋" w:eastAsia="仿宋" w:cs="仿宋"/>
                <w:szCs w:val="21"/>
              </w:rPr>
            </w:pPr>
          </w:p>
        </w:tc>
      </w:tr>
    </w:tbl>
    <w:p>
      <w:pPr>
        <w:keepNext w:val="0"/>
        <w:keepLines w:val="0"/>
        <w:pageBreakBefore w:val="0"/>
        <w:widowControl/>
        <w:suppressLineNumbers w:val="0"/>
        <w:kinsoku/>
        <w:wordWrap/>
        <w:overflowPunct/>
        <w:topLinePunct w:val="0"/>
        <w:bidi w:val="0"/>
        <w:ind w:left="0" w:leftChars="0" w:right="0" w:firstLine="482" w:firstLineChars="200"/>
        <w:jc w:val="left"/>
        <w:rPr>
          <w:rFonts w:hint="eastAsia" w:ascii="仿宋" w:hAnsi="仿宋" w:eastAsia="仿宋" w:cs="仿宋"/>
          <w:b/>
          <w:color w:val="000000"/>
          <w:sz w:val="24"/>
          <w:szCs w:val="24"/>
          <w:lang w:val="en-US" w:eastAsia="zh-CN"/>
        </w:rPr>
      </w:pPr>
      <w:bookmarkStart w:id="16" w:name="_Toc2600"/>
      <w:r>
        <w:rPr>
          <w:rFonts w:hint="eastAsia" w:ascii="仿宋" w:hAnsi="仿宋" w:eastAsia="仿宋" w:cs="仿宋"/>
          <w:b/>
          <w:color w:val="000000"/>
          <w:sz w:val="24"/>
          <w:szCs w:val="24"/>
          <w:lang w:val="en-US" w:eastAsia="zh-CN"/>
        </w:rPr>
        <w:t>（1）付款条件：</w:t>
      </w:r>
      <w:bookmarkEnd w:id="16"/>
    </w:p>
    <w:p>
      <w:pPr>
        <w:ind w:firstLine="420"/>
        <w:rPr>
          <w:rFonts w:hint="eastAsia" w:ascii="仿宋" w:hAnsi="仿宋" w:eastAsia="仿宋" w:cs="仿宋"/>
          <w:sz w:val="24"/>
          <w:szCs w:val="24"/>
        </w:rPr>
      </w:pPr>
      <w:r>
        <w:rPr>
          <w:rFonts w:hint="eastAsia" w:ascii="仿宋" w:hAnsi="仿宋" w:eastAsia="仿宋" w:cs="仿宋"/>
          <w:sz w:val="24"/>
          <w:szCs w:val="24"/>
        </w:rPr>
        <w:t>合同签订生效以及具备实施条件后7个工作日内支付</w:t>
      </w:r>
      <w:r>
        <w:rPr>
          <w:rFonts w:hint="eastAsia" w:ascii="仿宋" w:hAnsi="仿宋" w:eastAsia="仿宋" w:cs="仿宋"/>
          <w:sz w:val="24"/>
          <w:szCs w:val="24"/>
          <w:lang w:val="en-US" w:eastAsia="zh-CN"/>
        </w:rPr>
        <w:t>合同金额的3</w:t>
      </w:r>
      <w:r>
        <w:rPr>
          <w:rFonts w:hint="eastAsia" w:ascii="仿宋" w:hAnsi="仿宋" w:eastAsia="仿宋" w:cs="仿宋"/>
          <w:sz w:val="24"/>
          <w:szCs w:val="24"/>
        </w:rPr>
        <w:t>0%</w:t>
      </w:r>
      <w:r>
        <w:rPr>
          <w:rFonts w:hint="eastAsia" w:ascii="仿宋" w:hAnsi="仿宋" w:eastAsia="仿宋" w:cs="仿宋"/>
          <w:sz w:val="24"/>
          <w:szCs w:val="24"/>
          <w:lang w:eastAsia="zh-CN"/>
        </w:rPr>
        <w:t>作为</w:t>
      </w:r>
      <w:r>
        <w:rPr>
          <w:rFonts w:hint="eastAsia" w:ascii="仿宋" w:hAnsi="仿宋" w:eastAsia="仿宋" w:cs="仿宋"/>
          <w:sz w:val="24"/>
          <w:szCs w:val="24"/>
        </w:rPr>
        <w:t>预付款</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在主要货物送达指定地点后支付至合同金额的50%，安装完毕后支付至各批次合同金额的70%，最终验收合格后支付至合同金额的90%，经结算经有资质的造价机构审定并出具审计报告后，支付至审计价款的100%</w:t>
      </w:r>
      <w:r>
        <w:rPr>
          <w:rFonts w:hint="eastAsia" w:ascii="仿宋" w:hAnsi="仿宋" w:eastAsia="仿宋" w:cs="仿宋"/>
          <w:sz w:val="24"/>
          <w:szCs w:val="24"/>
        </w:rPr>
        <w:t>。（注：货款发票卖方必须开具国家统一正式发票，否则货款不予支付）。</w:t>
      </w:r>
    </w:p>
    <w:p>
      <w:pPr>
        <w:ind w:firstLine="420"/>
        <w:rPr>
          <w:rFonts w:hint="eastAsia" w:ascii="仿宋" w:hAnsi="仿宋" w:eastAsia="仿宋" w:cs="仿宋"/>
          <w:sz w:val="24"/>
          <w:szCs w:val="24"/>
          <w:u w:val="none"/>
        </w:rPr>
      </w:pPr>
      <w:bookmarkStart w:id="17" w:name="_Toc22754"/>
      <w:r>
        <w:rPr>
          <w:rFonts w:hint="eastAsia" w:ascii="仿宋" w:hAnsi="仿宋" w:eastAsia="仿宋" w:cs="仿宋"/>
          <w:b/>
          <w:color w:val="000000"/>
          <w:sz w:val="24"/>
          <w:szCs w:val="24"/>
          <w:lang w:val="en-US" w:eastAsia="zh-CN"/>
        </w:rPr>
        <w:t>（2）</w:t>
      </w:r>
      <w:bookmarkEnd w:id="13"/>
      <w:bookmarkEnd w:id="14"/>
      <w:bookmarkEnd w:id="15"/>
      <w:bookmarkEnd w:id="17"/>
      <w:r>
        <w:rPr>
          <w:rFonts w:hint="eastAsia" w:ascii="仿宋" w:hAnsi="仿宋" w:eastAsia="仿宋" w:cs="仿宋"/>
          <w:b/>
          <w:bCs/>
          <w:sz w:val="24"/>
          <w:szCs w:val="24"/>
        </w:rPr>
        <w:t>本项目采用总价合同，合同签订后不再调整。合同价款中包括的风险范围</w:t>
      </w:r>
      <w:r>
        <w:rPr>
          <w:rFonts w:hint="eastAsia" w:ascii="仿宋" w:hAnsi="仿宋" w:eastAsia="仿宋" w:cs="仿宋"/>
          <w:sz w:val="24"/>
          <w:szCs w:val="24"/>
        </w:rPr>
        <w:t>：1、合同履行期间人工价格和材料价格上</w:t>
      </w:r>
      <w:r>
        <w:rPr>
          <w:rFonts w:hint="eastAsia" w:ascii="仿宋" w:hAnsi="仿宋" w:eastAsia="仿宋" w:cs="仿宋"/>
          <w:sz w:val="24"/>
          <w:szCs w:val="24"/>
          <w:u w:val="none"/>
        </w:rPr>
        <w:t>涨(另有约定除外)；2、定额、标准及规范调整：国家政策变化以及一个有经验的承包人可以或应该预见的风险。3、因临时停电、停水引起的费用增加。</w:t>
      </w:r>
    </w:p>
    <w:p>
      <w:pPr>
        <w:ind w:firstLine="420"/>
        <w:rPr>
          <w:rFonts w:hint="eastAsia" w:ascii="仿宋" w:hAnsi="仿宋" w:eastAsia="仿宋" w:cs="仿宋"/>
          <w:sz w:val="24"/>
          <w:szCs w:val="24"/>
          <w:lang w:val="zh-CN"/>
        </w:rPr>
      </w:pPr>
      <w:r>
        <w:rPr>
          <w:rFonts w:hint="eastAsia" w:ascii="仿宋" w:hAnsi="仿宋" w:eastAsia="仿宋" w:cs="仿宋"/>
          <w:b w:val="0"/>
          <w:bCs w:val="0"/>
          <w:kern w:val="2"/>
          <w:sz w:val="24"/>
          <w:szCs w:val="24"/>
          <w:lang w:val="en-US" w:eastAsia="zh-CN" w:bidi="ar-SA"/>
        </w:rPr>
        <w:t>风险费用的计算方法：以上风险费用已在报价时考虑，不再另行计取。如因此而造成停工、罢工的，除按工期有关条款外，还须没收全部履约保证金，罚没的保证金归甲方所有(在工程款中扣除〉。</w:t>
      </w:r>
    </w:p>
    <w:p>
      <w:pPr>
        <w:pStyle w:val="32"/>
        <w:keepNext/>
        <w:keepLines/>
        <w:pageBreakBefore w:val="0"/>
        <w:widowControl w:val="0"/>
        <w:numPr>
          <w:ilvl w:val="0"/>
          <w:numId w:val="0"/>
        </w:numPr>
        <w:kinsoku/>
        <w:wordWrap/>
        <w:overflowPunct/>
        <w:topLinePunct w:val="0"/>
        <w:autoSpaceDE w:val="0"/>
        <w:autoSpaceDN w:val="0"/>
        <w:bidi w:val="0"/>
        <w:adjustRightInd w:val="0"/>
        <w:snapToGrid/>
        <w:spacing w:after="180"/>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eastAsia="zh-CN"/>
        </w:rPr>
        <w:t>十</w:t>
      </w:r>
      <w:r>
        <w:rPr>
          <w:rFonts w:hint="eastAsia" w:ascii="仿宋" w:hAnsi="仿宋" w:eastAsia="仿宋" w:cs="仿宋"/>
          <w:b/>
          <w:bCs/>
          <w:color w:val="auto"/>
          <w:sz w:val="24"/>
          <w:szCs w:val="24"/>
        </w:rPr>
        <w:t>、投标人中标后因提供假冒、劣质产品或不能履行产品质量售后服务保证的供应商将按《中华人民共和国政府采购法》和其他法规进行相应的处罚。</w:t>
      </w:r>
    </w:p>
    <w:p>
      <w:pPr>
        <w:rPr>
          <w:rFonts w:ascii="仿宋" w:hAnsi="仿宋" w:eastAsia="仿宋" w:cs="仿宋"/>
          <w:b/>
          <w:color w:val="auto"/>
          <w:kern w:val="44"/>
          <w:sz w:val="36"/>
          <w:szCs w:val="36"/>
        </w:rPr>
      </w:pPr>
      <w:r>
        <w:rPr>
          <w:rFonts w:hint="eastAsia" w:ascii="仿宋" w:hAnsi="仿宋" w:eastAsia="仿宋" w:cs="仿宋"/>
          <w:b/>
          <w:color w:val="auto"/>
          <w:kern w:val="44"/>
          <w:sz w:val="36"/>
          <w:szCs w:val="36"/>
        </w:rPr>
        <w:br w:type="page"/>
      </w:r>
    </w:p>
    <w:p>
      <w:pPr>
        <w:jc w:val="center"/>
        <w:rPr>
          <w:rFonts w:ascii="仿宋" w:hAnsi="仿宋" w:eastAsia="仿宋" w:cs="仿宋"/>
          <w:b/>
          <w:color w:val="auto"/>
          <w:kern w:val="44"/>
          <w:sz w:val="36"/>
          <w:szCs w:val="36"/>
        </w:rPr>
      </w:pPr>
      <w:r>
        <w:rPr>
          <w:rFonts w:hint="eastAsia" w:ascii="仿宋" w:hAnsi="仿宋" w:eastAsia="仿宋" w:cs="仿宋"/>
          <w:b/>
          <w:color w:val="auto"/>
          <w:kern w:val="44"/>
          <w:sz w:val="36"/>
          <w:szCs w:val="36"/>
        </w:rPr>
        <w:t>第四章  评标办法及评分标准</w:t>
      </w:r>
    </w:p>
    <w:p>
      <w:pPr>
        <w:spacing w:line="420" w:lineRule="exact"/>
        <w:ind w:firstLine="480" w:firstLineChars="200"/>
        <w:rPr>
          <w:rFonts w:ascii="仿宋" w:hAnsi="仿宋" w:eastAsia="仿宋" w:cs="仿宋"/>
          <w:color w:val="auto"/>
          <w:sz w:val="24"/>
          <w:szCs w:val="24"/>
        </w:rPr>
      </w:pPr>
    </w:p>
    <w:p>
      <w:pPr>
        <w:spacing w:line="360" w:lineRule="auto"/>
        <w:ind w:firstLine="480" w:firstLineChars="200"/>
        <w:rPr>
          <w:rFonts w:ascii="仿宋" w:hAnsi="仿宋" w:eastAsia="仿宋" w:cs="仿宋"/>
          <w:color w:val="auto"/>
          <w:sz w:val="24"/>
          <w:szCs w:val="24"/>
        </w:rPr>
      </w:pPr>
      <w:bookmarkStart w:id="18" w:name="_Hlk36476656"/>
      <w:r>
        <w:rPr>
          <w:rFonts w:hint="eastAsia" w:ascii="仿宋" w:hAnsi="仿宋" w:eastAsia="仿宋" w:cs="仿宋"/>
          <w:color w:val="auto"/>
          <w:sz w:val="24"/>
          <w:szCs w:val="24"/>
        </w:rPr>
        <w:t>一、采用</w:t>
      </w:r>
      <w:r>
        <w:rPr>
          <w:rFonts w:hint="eastAsia" w:ascii="仿宋" w:hAnsi="仿宋" w:eastAsia="仿宋" w:cs="仿宋"/>
          <w:color w:val="auto"/>
          <w:sz w:val="24"/>
          <w:szCs w:val="24"/>
          <w:u w:val="single"/>
        </w:rPr>
        <w:t>　综合评分法　</w:t>
      </w:r>
      <w:r>
        <w:rPr>
          <w:rFonts w:hint="eastAsia" w:ascii="仿宋" w:hAnsi="仿宋" w:eastAsia="仿宋" w:cs="仿宋"/>
          <w:color w:val="auto"/>
          <w:sz w:val="24"/>
          <w:szCs w:val="24"/>
        </w:rPr>
        <w:t>。即在符合招标文件要求的前提下，择定最高得分者为第一中标候选人，即预中标人。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 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cs="仿宋"/>
          <w:bCs/>
          <w:color w:val="auto"/>
          <w:sz w:val="24"/>
          <w:szCs w:val="24"/>
        </w:rPr>
        <w:t>评分过程中采用四舍五入</w:t>
      </w:r>
      <w:r>
        <w:rPr>
          <w:rFonts w:hint="eastAsia" w:ascii="仿宋" w:hAnsi="仿宋" w:eastAsia="仿宋" w:cs="仿宋"/>
          <w:color w:val="auto"/>
          <w:sz w:val="24"/>
          <w:szCs w:val="24"/>
        </w:rPr>
        <w:t>法，并保留小数2位。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三、评分办法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（一）满分为100分。总得分=商务技术分（</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0分）+报价分（</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（二）技术得分=技术评分，技术评分=所有评委的有效评分的算术平均数。</w:t>
      </w:r>
    </w:p>
    <w:p>
      <w:pPr>
        <w:spacing w:line="360" w:lineRule="auto"/>
        <w:ind w:firstLine="480" w:firstLineChars="200"/>
        <w:rPr>
          <w:rFonts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报价评分将在有效投标人范围内进行，最高得</w:t>
      </w:r>
      <w:r>
        <w:rPr>
          <w:rFonts w:hint="eastAsia" w:ascii="仿宋" w:hAnsi="仿宋" w:eastAsia="仿宋" w:cs="仿宋"/>
          <w:color w:val="auto"/>
          <w:kern w:val="1"/>
          <w:sz w:val="24"/>
          <w:szCs w:val="24"/>
          <w:lang w:val="en-US" w:eastAsia="zh-CN"/>
        </w:rPr>
        <w:t>3</w:t>
      </w:r>
      <w:r>
        <w:rPr>
          <w:rFonts w:hint="eastAsia" w:ascii="仿宋" w:hAnsi="仿宋" w:eastAsia="仿宋" w:cs="仿宋"/>
          <w:color w:val="auto"/>
          <w:kern w:val="1"/>
          <w:sz w:val="24"/>
          <w:szCs w:val="24"/>
        </w:rPr>
        <w:t>0分，小数点后保留2位小数。</w:t>
      </w:r>
      <w:r>
        <w:rPr>
          <w:rFonts w:hint="eastAsia" w:ascii="仿宋" w:hAnsi="仿宋" w:eastAsia="仿宋" w:cs="仿宋"/>
          <w:color w:val="auto"/>
          <w:sz w:val="24"/>
          <w:szCs w:val="24"/>
        </w:rPr>
        <w:t>以合格投标人且投标折扣率最低（投标价格最低）的投标报价为评标基准价，其报价分为满分</w:t>
      </w:r>
      <w:r>
        <w:rPr>
          <w:rFonts w:hint="eastAsia" w:ascii="仿宋" w:hAnsi="仿宋" w:eastAsia="仿宋" w:cs="仿宋"/>
          <w:color w:val="auto"/>
          <w:kern w:val="1"/>
          <w:sz w:val="24"/>
          <w:szCs w:val="24"/>
        </w:rPr>
        <w:t>。其他投标人的价格分按照下列公式计算：</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报价分=(评标基准价／投标报价)×</w:t>
      </w:r>
      <w:r>
        <w:rPr>
          <w:rFonts w:hint="eastAsia" w:ascii="仿宋" w:hAnsi="仿宋" w:eastAsia="仿宋" w:cs="仿宋"/>
          <w:color w:val="auto"/>
          <w:kern w:val="1"/>
          <w:sz w:val="24"/>
          <w:szCs w:val="24"/>
          <w:lang w:val="en-US" w:eastAsia="zh-CN"/>
        </w:rPr>
        <w:t>3</w:t>
      </w:r>
      <w:r>
        <w:rPr>
          <w:rFonts w:hint="eastAsia" w:ascii="仿宋" w:hAnsi="仿宋" w:eastAsia="仿宋" w:cs="仿宋"/>
          <w:color w:val="auto"/>
          <w:kern w:val="1"/>
          <w:sz w:val="24"/>
          <w:szCs w:val="24"/>
        </w:rPr>
        <w:t>0</w:t>
      </w:r>
      <w:r>
        <w:rPr>
          <w:rFonts w:hint="eastAsia" w:ascii="仿宋" w:hAnsi="仿宋" w:eastAsia="仿宋" w:cs="仿宋"/>
          <w:color w:val="auto"/>
          <w:sz w:val="24"/>
          <w:szCs w:val="24"/>
        </w:rPr>
        <w:t>，计算结果四舍五入</w:t>
      </w:r>
      <w:r>
        <w:rPr>
          <w:rFonts w:hint="eastAsia" w:ascii="仿宋" w:hAnsi="仿宋" w:eastAsia="仿宋" w:cs="仿宋"/>
          <w:color w:val="auto"/>
          <w:kern w:val="1"/>
          <w:sz w:val="24"/>
          <w:szCs w:val="24"/>
        </w:rPr>
        <w:t>小数点</w:t>
      </w:r>
      <w:r>
        <w:rPr>
          <w:rFonts w:hint="eastAsia" w:ascii="仿宋" w:hAnsi="仿宋" w:eastAsia="仿宋" w:cs="仿宋"/>
          <w:color w:val="auto"/>
          <w:sz w:val="24"/>
          <w:szCs w:val="24"/>
        </w:rPr>
        <w:t>保留2位小数</w:t>
      </w:r>
      <w:r>
        <w:rPr>
          <w:rFonts w:hint="eastAsia" w:ascii="仿宋" w:hAnsi="仿宋" w:eastAsia="仿宋" w:cs="仿宋"/>
          <w:color w:val="auto"/>
          <w:kern w:val="1"/>
          <w:sz w:val="24"/>
          <w:szCs w:val="24"/>
        </w:rPr>
        <w:t>。</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（四）落实政府采购政策说明：</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依据财政部和工业和信息化部《关于印发《政府采购促进中小企业发展管理办法》的通知》（财库〔2020〕46号的规定，对小型和微型企业产品的价格给予</w:t>
      </w:r>
      <w:r>
        <w:rPr>
          <w:rFonts w:hint="eastAsia" w:ascii="仿宋" w:hAnsi="仿宋" w:eastAsia="仿宋" w:cs="仿宋"/>
          <w:color w:val="auto"/>
          <w:kern w:val="1"/>
          <w:sz w:val="24"/>
          <w:szCs w:val="24"/>
          <w:lang w:val="en-US" w:eastAsia="zh-CN"/>
        </w:rPr>
        <w:t>2</w:t>
      </w:r>
      <w:r>
        <w:rPr>
          <w:rFonts w:hint="eastAsia" w:ascii="仿宋" w:hAnsi="仿宋" w:eastAsia="仿宋" w:cs="仿宋"/>
          <w:color w:val="auto"/>
          <w:kern w:val="1"/>
          <w:sz w:val="24"/>
          <w:szCs w:val="24"/>
        </w:rPr>
        <w:t>0%的扣除，用扣除后的价格参与评审；依据财库[2014]68号文件规定，监狱企业视同小型、微型企业；依据《财政部、民政部、中国残疾人联合会关于促进残疾人就业政府采购政策的通知》（财库〔2017〕141号）的规定，残疾人福利性单位视同小型、微型企业。)</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若投标人是中小企业优惠政策的应按照规定，在报价文件中按照规定格式，提供《中小型企业声明函》及“国家企业信用信息公示系统—小微企业名录”投标截止时间前5天内页面查询结果网页截图；若投标人是残疾人福利单位的须按照规定格式，提供《残疾人福利性单位声明函》及财库【2017】141号文第一条（一）至（五）的材料。若投标人是监狱企业须提供（省级以上监狱管理局、戒毒管理局（含新疆生产建设兵团）出具的属于监狱企业的</w:t>
      </w:r>
      <w:r>
        <w:rPr>
          <w:rFonts w:hint="eastAsia" w:ascii="仿宋" w:hAnsi="仿宋" w:eastAsia="仿宋" w:cs="仿宋"/>
          <w:color w:val="auto"/>
          <w:kern w:val="1"/>
          <w:sz w:val="24"/>
          <w:szCs w:val="24"/>
          <w:lang w:eastAsia="zh-CN"/>
        </w:rPr>
        <w:t>资格文件</w:t>
      </w:r>
      <w:r>
        <w:rPr>
          <w:rFonts w:hint="eastAsia" w:ascii="仿宋" w:hAnsi="仿宋" w:eastAsia="仿宋" w:cs="仿宋"/>
          <w:color w:val="auto"/>
          <w:kern w:val="1"/>
          <w:sz w:val="24"/>
          <w:szCs w:val="24"/>
        </w:rPr>
        <w:t>）。其报价扣减</w:t>
      </w:r>
      <w:r>
        <w:rPr>
          <w:rFonts w:hint="eastAsia" w:ascii="仿宋" w:hAnsi="仿宋" w:eastAsia="仿宋" w:cs="仿宋"/>
          <w:color w:val="auto"/>
          <w:kern w:val="1"/>
          <w:sz w:val="24"/>
          <w:szCs w:val="24"/>
          <w:lang w:val="en-US" w:eastAsia="zh-CN"/>
        </w:rPr>
        <w:t>2</w:t>
      </w:r>
      <w:r>
        <w:rPr>
          <w:rFonts w:hint="eastAsia" w:ascii="仿宋" w:hAnsi="仿宋" w:eastAsia="仿宋" w:cs="仿宋"/>
          <w:color w:val="auto"/>
          <w:kern w:val="1"/>
          <w:sz w:val="24"/>
          <w:szCs w:val="24"/>
        </w:rPr>
        <w:t>0%后再计入报价得分的评审（不累计扣减）。即投标报价得分=(评标基准价／(投标报价*</w:t>
      </w:r>
      <w:r>
        <w:rPr>
          <w:rFonts w:hint="eastAsia" w:ascii="仿宋" w:hAnsi="仿宋" w:eastAsia="仿宋" w:cs="仿宋"/>
          <w:color w:val="auto"/>
          <w:kern w:val="1"/>
          <w:sz w:val="24"/>
          <w:szCs w:val="24"/>
          <w:lang w:val="en-US" w:eastAsia="zh-CN"/>
        </w:rPr>
        <w:t>8</w:t>
      </w:r>
      <w:r>
        <w:rPr>
          <w:rFonts w:hint="eastAsia" w:ascii="仿宋" w:hAnsi="仿宋" w:eastAsia="仿宋" w:cs="仿宋"/>
          <w:color w:val="auto"/>
          <w:kern w:val="1"/>
          <w:sz w:val="24"/>
          <w:szCs w:val="24"/>
        </w:rPr>
        <w:t>0%)×报价分权重。</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注：1.若本项目所有供应商均属小型、微型企业或监狱企业或残疾人福利性单位的，按原报价进行评审。</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2.监狱企业、残疾人福利性单位属于小型、微型企业的，不重复享受政策。</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3.若投标人提供的中小企业声明函与实际情况不符的，视为投标人提供虚假材料投标，投标无效。</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1"/>
          <w:sz w:val="24"/>
          <w:szCs w:val="24"/>
        </w:rPr>
        <w:t>4.投标人未提供上述相关材料的，不享受上述扶持政策。</w:t>
      </w:r>
    </w:p>
    <w:p>
      <w:pPr>
        <w:spacing w:line="360" w:lineRule="auto"/>
        <w:ind w:firstLine="482" w:firstLineChars="200"/>
        <w:rPr>
          <w:color w:val="auto"/>
        </w:rPr>
      </w:pPr>
      <w:r>
        <w:rPr>
          <w:rFonts w:hint="eastAsia" w:ascii="仿宋" w:hAnsi="仿宋" w:eastAsia="仿宋" w:cs="仿宋"/>
          <w:b/>
          <w:color w:val="auto"/>
          <w:sz w:val="24"/>
          <w:szCs w:val="24"/>
        </w:rPr>
        <w:t>（五）</w:t>
      </w:r>
      <w:r>
        <w:rPr>
          <w:rFonts w:ascii="仿宋" w:hAnsi="仿宋" w:eastAsia="仿宋"/>
          <w:b/>
          <w:bCs/>
          <w:color w:val="auto"/>
          <w:sz w:val="24"/>
          <w:szCs w:val="24"/>
        </w:rPr>
        <w:t>评标办法前附表</w:t>
      </w:r>
    </w:p>
    <w:tbl>
      <w:tblPr>
        <w:tblStyle w:val="21"/>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05"/>
        <w:gridCol w:w="957"/>
        <w:gridCol w:w="6291"/>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pStyle w:val="33"/>
              <w:spacing w:line="240" w:lineRule="auto"/>
              <w:ind w:firstLine="0" w:firstLineChars="0"/>
              <w:jc w:val="center"/>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序号</w:t>
            </w:r>
          </w:p>
        </w:tc>
        <w:tc>
          <w:tcPr>
            <w:tcW w:w="9490" w:type="dxa"/>
            <w:gridSpan w:val="4"/>
            <w:shd w:val="clear" w:color="auto" w:fill="auto"/>
            <w:vAlign w:val="center"/>
          </w:tcPr>
          <w:p>
            <w:pPr>
              <w:pStyle w:val="33"/>
              <w:spacing w:line="240" w:lineRule="auto"/>
              <w:ind w:firstLine="0" w:firstLineChars="0"/>
              <w:jc w:val="center"/>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pStyle w:val="33"/>
              <w:spacing w:line="240" w:lineRule="auto"/>
              <w:ind w:firstLine="0" w:firstLineChars="0"/>
              <w:jc w:val="center"/>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1</w:t>
            </w:r>
          </w:p>
        </w:tc>
        <w:tc>
          <w:tcPr>
            <w:tcW w:w="9490" w:type="dxa"/>
            <w:gridSpan w:val="4"/>
            <w:shd w:val="clear" w:color="auto" w:fill="auto"/>
            <w:vAlign w:val="center"/>
          </w:tcPr>
          <w:p>
            <w:pPr>
              <w:ind w:firstLine="480" w:firstLineChars="200"/>
              <w:outlineLvl w:val="0"/>
              <w:rPr>
                <w:rFonts w:ascii="仿宋" w:hAnsi="仿宋" w:eastAsia="仿宋" w:cs="宋体"/>
                <w:color w:val="auto"/>
                <w:sz w:val="24"/>
              </w:rPr>
            </w:pPr>
            <w:r>
              <w:rPr>
                <w:rFonts w:hint="eastAsia" w:ascii="仿宋" w:hAnsi="仿宋" w:eastAsia="仿宋" w:cs="宋体"/>
                <w:color w:val="auto"/>
                <w:sz w:val="24"/>
              </w:rPr>
              <w:t>1.本次评标采用综合评分法。</w:t>
            </w:r>
          </w:p>
          <w:p>
            <w:pPr>
              <w:ind w:firstLine="480" w:firstLineChars="200"/>
              <w:outlineLvl w:val="0"/>
              <w:rPr>
                <w:rFonts w:ascii="仿宋" w:hAnsi="仿宋" w:eastAsia="仿宋" w:cs="宋体"/>
                <w:color w:val="auto"/>
                <w:sz w:val="24"/>
              </w:rPr>
            </w:pPr>
            <w:r>
              <w:rPr>
                <w:rFonts w:hint="eastAsia" w:ascii="仿宋" w:hAnsi="仿宋" w:eastAsia="仿宋" w:cs="宋体"/>
                <w:color w:val="auto"/>
                <w:sz w:val="24"/>
              </w:rPr>
              <w:t>2.评标委员会先对投标文件进行符合性审查，对满足招标采购文件实质性要求的投标文件再进行</w:t>
            </w:r>
            <w:r>
              <w:rPr>
                <w:rFonts w:hint="eastAsia" w:ascii="仿宋" w:hAnsi="仿宋" w:eastAsia="仿宋" w:cs="宋体"/>
                <w:color w:val="auto"/>
                <w:sz w:val="24"/>
                <w:lang w:eastAsia="zh-CN"/>
              </w:rPr>
              <w:t>资格文件</w:t>
            </w:r>
            <w:r>
              <w:rPr>
                <w:rFonts w:hint="eastAsia" w:ascii="仿宋" w:hAnsi="仿宋" w:eastAsia="仿宋" w:cs="宋体"/>
                <w:color w:val="auto"/>
                <w:sz w:val="24"/>
              </w:rPr>
              <w:t>、商务技术文件评审，最后对报价文件进行评审。</w:t>
            </w:r>
          </w:p>
          <w:p>
            <w:pPr>
              <w:ind w:firstLine="480" w:firstLineChars="200"/>
              <w:outlineLvl w:val="0"/>
              <w:rPr>
                <w:rFonts w:hint="eastAsia" w:ascii="仿宋" w:hAnsi="仿宋" w:eastAsia="仿宋" w:cs="Times New Roman"/>
                <w:b/>
                <w:bCs/>
                <w:color w:val="auto"/>
                <w:sz w:val="24"/>
                <w:szCs w:val="21"/>
                <w:lang w:val="en-US" w:eastAsia="zh-CN" w:bidi="ar-SA"/>
              </w:rPr>
            </w:pPr>
            <w:r>
              <w:rPr>
                <w:rFonts w:hint="eastAsia" w:ascii="仿宋" w:hAnsi="仿宋" w:eastAsia="仿宋" w:cs="宋体"/>
                <w:color w:val="auto"/>
                <w:sz w:val="24"/>
              </w:rPr>
              <w:t>3.投标人的评标总得分=商务技术文件得分+报价文件得分；评标委员会按照 投标人最终总得分从高到低的顺序对投标人排名并编号，确定第一名为中标候选 人。如岀现总得分相同的，以商务技术文件得分高者优先；若商务技术文件得分和报价文件得分均相同的，由评标委员会进行投票表决得票多者为中标候选人。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278" w:type="dxa"/>
            <w:gridSpan w:val="5"/>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left"/>
              <w:textAlignment w:val="auto"/>
              <w:rPr>
                <w:rFonts w:hint="eastAsia" w:ascii="仿宋" w:hAnsi="仿宋" w:eastAsia="仿宋" w:cs="宋体"/>
                <w:color w:val="auto"/>
                <w:sz w:val="22"/>
                <w:szCs w:val="22"/>
                <w:lang w:val="zh-TW" w:eastAsia="zh-TW" w:bidi="zh-TW"/>
              </w:rPr>
            </w:pPr>
            <w:r>
              <w:rPr>
                <w:rFonts w:hint="eastAsia" w:ascii="仿宋" w:hAnsi="仿宋" w:eastAsia="仿宋"/>
                <w:b/>
                <w:bCs/>
                <w:color w:val="auto"/>
                <w:sz w:val="24"/>
                <w:lang w:val="en-US" w:eastAsia="zh-CN" w:bidi="ar-SA"/>
              </w:rPr>
              <w:t>一、资格评审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序号</w:t>
            </w:r>
          </w:p>
        </w:tc>
        <w:tc>
          <w:tcPr>
            <w:tcW w:w="2162" w:type="dxa"/>
            <w:gridSpan w:val="2"/>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评审因素</w:t>
            </w:r>
          </w:p>
        </w:tc>
        <w:tc>
          <w:tcPr>
            <w:tcW w:w="7328" w:type="dxa"/>
            <w:gridSpan w:val="2"/>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zh-TW" w:eastAsia="zh-TW" w:bidi="zh-TW"/>
              </w:rPr>
            </w:pPr>
            <w:r>
              <w:rPr>
                <w:rFonts w:hint="eastAsia" w:ascii="仿宋" w:hAnsi="仿宋" w:eastAsia="仿宋"/>
                <w:color w:val="auto"/>
                <w:sz w:val="24"/>
                <w:szCs w:val="24"/>
              </w:rPr>
              <w:t>1</w:t>
            </w:r>
          </w:p>
        </w:tc>
        <w:tc>
          <w:tcPr>
            <w:tcW w:w="2162" w:type="dxa"/>
            <w:gridSpan w:val="2"/>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zh-TW" w:eastAsia="zh-TW" w:bidi="zh-TW"/>
              </w:rPr>
            </w:pPr>
            <w:r>
              <w:rPr>
                <w:rFonts w:hint="eastAsia" w:ascii="仿宋" w:hAnsi="仿宋" w:eastAsia="仿宋"/>
                <w:color w:val="auto"/>
                <w:sz w:val="24"/>
                <w:szCs w:val="24"/>
              </w:rPr>
              <w:t>营业执照</w:t>
            </w:r>
          </w:p>
        </w:tc>
        <w:tc>
          <w:tcPr>
            <w:tcW w:w="7328" w:type="dxa"/>
            <w:gridSpan w:val="2"/>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left"/>
              <w:textAlignment w:val="auto"/>
              <w:rPr>
                <w:rFonts w:hint="eastAsia" w:ascii="仿宋" w:hAnsi="仿宋" w:eastAsia="仿宋" w:cs="宋体"/>
                <w:color w:val="auto"/>
                <w:sz w:val="24"/>
                <w:szCs w:val="24"/>
                <w:lang w:val="zh-TW" w:eastAsia="zh-CN" w:bidi="zh-TW"/>
              </w:rPr>
            </w:pPr>
            <w:r>
              <w:rPr>
                <w:rFonts w:hint="eastAsia" w:ascii="仿宋" w:hAnsi="仿宋" w:eastAsia="仿宋"/>
                <w:color w:val="auto"/>
                <w:sz w:val="24"/>
                <w:szCs w:val="24"/>
              </w:rPr>
              <w:t>有效的营业执照</w:t>
            </w:r>
            <w:r>
              <w:rPr>
                <w:rFonts w:hint="eastAsia" w:ascii="仿宋" w:hAnsi="仿宋" w:eastAsia="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en-US" w:eastAsia="zh-CN" w:bidi="zh-TW"/>
              </w:rPr>
            </w:pPr>
            <w:r>
              <w:rPr>
                <w:rFonts w:hint="eastAsia" w:ascii="仿宋" w:hAnsi="仿宋" w:eastAsia="仿宋"/>
                <w:color w:val="auto"/>
                <w:sz w:val="24"/>
                <w:szCs w:val="24"/>
                <w:lang w:val="en-US" w:eastAsia="zh-CN"/>
              </w:rPr>
              <w:t>2</w:t>
            </w:r>
          </w:p>
        </w:tc>
        <w:tc>
          <w:tcPr>
            <w:tcW w:w="2162" w:type="dxa"/>
            <w:gridSpan w:val="2"/>
            <w:shd w:val="clear" w:color="auto" w:fill="auto"/>
            <w:vAlign w:val="center"/>
          </w:tcPr>
          <w:p>
            <w:pPr>
              <w:autoSpaceDE/>
              <w:autoSpaceDN/>
              <w:adjustRightInd/>
              <w:spacing w:line="280" w:lineRule="exact"/>
              <w:jc w:val="center"/>
              <w:rPr>
                <w:rFonts w:hint="eastAsia" w:ascii="仿宋" w:hAnsi="仿宋" w:eastAsia="仿宋" w:cs="Times New Roman"/>
                <w:bCs/>
                <w:color w:val="000000"/>
                <w:sz w:val="24"/>
                <w:szCs w:val="24"/>
                <w:lang w:val="zh-TW" w:eastAsia="zh-CN" w:bidi="ar-SA"/>
              </w:rPr>
            </w:pPr>
            <w:r>
              <w:rPr>
                <w:rFonts w:hint="eastAsia" w:ascii="仿宋" w:hAnsi="仿宋" w:eastAsia="仿宋"/>
                <w:bCs/>
                <w:color w:val="auto"/>
                <w:sz w:val="24"/>
                <w:szCs w:val="24"/>
              </w:rPr>
              <w:t>特定资质</w:t>
            </w:r>
          </w:p>
        </w:tc>
        <w:tc>
          <w:tcPr>
            <w:tcW w:w="7328" w:type="dxa"/>
            <w:gridSpan w:val="2"/>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1</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具备建筑机电安装工程专业承包贰级及以上资质；</w:t>
            </w:r>
          </w:p>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（2）具备医疗器械经营许可证；</w:t>
            </w:r>
          </w:p>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（3）具备特种设备生产许可证且许可子项目包含工业管道安装GC2;</w:t>
            </w:r>
          </w:p>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s="宋体"/>
                <w:color w:val="auto"/>
                <w:sz w:val="24"/>
                <w:szCs w:val="24"/>
                <w:lang w:val="zh-TW" w:eastAsia="zh-CN"/>
              </w:rPr>
            </w:pPr>
            <w:r>
              <w:rPr>
                <w:rFonts w:hint="eastAsia" w:ascii="仿宋" w:hAnsi="仿宋" w:eastAsia="仿宋" w:cs="宋体"/>
                <w:color w:val="auto"/>
                <w:sz w:val="24"/>
                <w:szCs w:val="24"/>
                <w:lang w:val="en-US" w:eastAsia="zh-CN"/>
              </w:rPr>
              <w:t>（4）具备有效的安全生产许可证；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default" w:ascii="仿宋" w:hAnsi="仿宋" w:eastAsia="仿宋" w:cs="宋体"/>
                <w:color w:val="auto"/>
                <w:sz w:val="24"/>
                <w:szCs w:val="24"/>
                <w:lang w:val="en-US" w:eastAsia="zh-CN" w:bidi="zh-TW"/>
              </w:rPr>
            </w:pPr>
            <w:r>
              <w:rPr>
                <w:rFonts w:hint="eastAsia" w:ascii="仿宋" w:hAnsi="仿宋" w:eastAsia="仿宋" w:cs="宋体"/>
                <w:color w:val="auto"/>
                <w:sz w:val="24"/>
                <w:szCs w:val="24"/>
                <w:lang w:val="en-US" w:eastAsia="zh-CN" w:bidi="zh-TW"/>
              </w:rPr>
              <w:t>3</w:t>
            </w:r>
          </w:p>
        </w:tc>
        <w:tc>
          <w:tcPr>
            <w:tcW w:w="2162" w:type="dxa"/>
            <w:gridSpan w:val="2"/>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zh-TW" w:eastAsia="zh-CN" w:bidi="zh-TW"/>
              </w:rPr>
            </w:pPr>
            <w:r>
              <w:rPr>
                <w:rFonts w:hint="eastAsia" w:ascii="仿宋" w:hAnsi="仿宋" w:eastAsia="仿宋"/>
                <w:color w:val="auto"/>
                <w:sz w:val="24"/>
                <w:szCs w:val="24"/>
                <w:lang w:eastAsia="zh-CN"/>
              </w:rPr>
              <w:t>基本资质</w:t>
            </w:r>
          </w:p>
        </w:tc>
        <w:tc>
          <w:tcPr>
            <w:tcW w:w="7328" w:type="dxa"/>
            <w:gridSpan w:val="2"/>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s="宋体"/>
                <w:color w:val="auto"/>
                <w:sz w:val="24"/>
                <w:szCs w:val="24"/>
                <w:lang w:val="zh-TW" w:eastAsia="zh-CN" w:bidi="zh-TW"/>
              </w:rPr>
            </w:pPr>
            <w:r>
              <w:rPr>
                <w:rFonts w:hint="eastAsia" w:ascii="仿宋" w:hAnsi="仿宋" w:eastAsia="仿宋"/>
                <w:color w:val="auto"/>
                <w:sz w:val="24"/>
                <w:szCs w:val="24"/>
                <w:lang w:eastAsia="zh-CN"/>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default" w:ascii="仿宋" w:hAnsi="仿宋" w:eastAsia="仿宋" w:cs="宋体"/>
                <w:color w:val="auto"/>
                <w:sz w:val="24"/>
                <w:szCs w:val="24"/>
                <w:lang w:val="en-US" w:eastAsia="zh-CN" w:bidi="zh-TW"/>
              </w:rPr>
            </w:pPr>
            <w:r>
              <w:rPr>
                <w:rFonts w:hint="eastAsia" w:ascii="仿宋" w:hAnsi="仿宋" w:eastAsia="仿宋"/>
                <w:color w:val="auto"/>
                <w:sz w:val="24"/>
                <w:szCs w:val="24"/>
                <w:lang w:val="en-US" w:eastAsia="zh-CN"/>
              </w:rPr>
              <w:t>4</w:t>
            </w:r>
          </w:p>
        </w:tc>
        <w:tc>
          <w:tcPr>
            <w:tcW w:w="2162" w:type="dxa"/>
            <w:gridSpan w:val="2"/>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zh-TW" w:eastAsia="zh-CN" w:bidi="zh-TW"/>
              </w:rPr>
            </w:pPr>
            <w:r>
              <w:rPr>
                <w:rFonts w:hint="eastAsia" w:ascii="仿宋" w:hAnsi="仿宋" w:eastAsia="仿宋" w:cs="宋体"/>
                <w:color w:val="auto"/>
                <w:sz w:val="24"/>
                <w:szCs w:val="24"/>
                <w:lang w:val="zh-TW" w:eastAsia="zh-CN" w:bidi="zh-TW"/>
              </w:rPr>
              <w:t>基本资质</w:t>
            </w:r>
          </w:p>
        </w:tc>
        <w:tc>
          <w:tcPr>
            <w:tcW w:w="7328" w:type="dxa"/>
            <w:gridSpan w:val="2"/>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s="宋体"/>
                <w:color w:val="auto"/>
                <w:sz w:val="24"/>
                <w:szCs w:val="24"/>
                <w:lang w:val="zh-TW" w:eastAsia="zh-CN" w:bidi="zh-TW"/>
              </w:rPr>
            </w:pPr>
            <w:r>
              <w:rPr>
                <w:rFonts w:hint="eastAsia" w:ascii="仿宋" w:hAnsi="仿宋" w:eastAsia="仿宋" w:cs="仿宋"/>
                <w:color w:val="auto"/>
                <w:sz w:val="24"/>
                <w:szCs w:val="24"/>
              </w:rPr>
              <w:t>法定代表人资格书或法定代表人授权委托书</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olor w:val="auto"/>
                <w:sz w:val="24"/>
                <w:szCs w:val="24"/>
                <w:lang w:val="en-US" w:eastAsia="zh-CN"/>
              </w:rPr>
            </w:pPr>
            <w:r>
              <w:rPr>
                <w:rFonts w:hint="eastAsia" w:ascii="仿宋" w:hAnsi="仿宋" w:eastAsia="仿宋" w:cs="宋体"/>
                <w:color w:val="auto"/>
                <w:sz w:val="24"/>
                <w:szCs w:val="24"/>
                <w:lang w:val="en-US" w:eastAsia="zh-CN" w:bidi="zh-TW"/>
              </w:rPr>
              <w:t>5</w:t>
            </w:r>
          </w:p>
        </w:tc>
        <w:tc>
          <w:tcPr>
            <w:tcW w:w="2162" w:type="dxa"/>
            <w:gridSpan w:val="2"/>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zh-TW" w:eastAsia="zh-TW" w:bidi="zh-TW"/>
              </w:rPr>
            </w:pPr>
            <w:r>
              <w:rPr>
                <w:rFonts w:hint="eastAsia" w:ascii="仿宋" w:hAnsi="仿宋" w:eastAsia="仿宋"/>
                <w:color w:val="auto"/>
                <w:sz w:val="24"/>
                <w:szCs w:val="24"/>
              </w:rPr>
              <w:t>信用</w:t>
            </w:r>
            <w:r>
              <w:rPr>
                <w:rFonts w:hint="eastAsia" w:ascii="仿宋" w:hAnsi="仿宋" w:eastAsia="仿宋"/>
                <w:color w:val="auto"/>
                <w:sz w:val="24"/>
                <w:szCs w:val="24"/>
                <w:lang w:eastAsia="zh-CN"/>
              </w:rPr>
              <w:t>记录</w:t>
            </w:r>
          </w:p>
        </w:tc>
        <w:tc>
          <w:tcPr>
            <w:tcW w:w="7328" w:type="dxa"/>
            <w:gridSpan w:val="2"/>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s="宋体"/>
                <w:color w:val="auto"/>
                <w:sz w:val="24"/>
                <w:szCs w:val="24"/>
                <w:lang w:val="zh-TW" w:eastAsia="zh-TW" w:bidi="zh-TW"/>
              </w:rPr>
            </w:pPr>
            <w:r>
              <w:rPr>
                <w:rFonts w:hint="eastAsia" w:ascii="仿宋" w:hAnsi="仿宋" w:eastAsia="仿宋"/>
                <w:color w:val="auto"/>
                <w:sz w:val="24"/>
                <w:szCs w:val="24"/>
              </w:rPr>
              <w:t>未被</w:t>
            </w:r>
            <w:r>
              <w:rPr>
                <w:rFonts w:hint="eastAsia" w:ascii="仿宋" w:hAnsi="仿宋" w:eastAsia="仿宋"/>
                <w:color w:val="auto"/>
                <w:sz w:val="24"/>
                <w:szCs w:val="24"/>
                <w:lang w:val="zh-CN" w:eastAsia="zh-CN" w:bidi="zh-CN"/>
              </w:rPr>
              <w:t>“信用</w:t>
            </w:r>
            <w:r>
              <w:rPr>
                <w:rFonts w:hint="eastAsia" w:ascii="仿宋" w:hAnsi="仿宋" w:eastAsia="仿宋"/>
                <w:color w:val="auto"/>
                <w:sz w:val="24"/>
                <w:szCs w:val="24"/>
              </w:rPr>
              <w:t>中国”</w:t>
            </w:r>
            <w:r>
              <w:rPr>
                <w:rFonts w:hint="eastAsia" w:ascii="仿宋" w:hAnsi="仿宋" w:eastAsia="仿宋"/>
                <w:color w:val="auto"/>
                <w:sz w:val="24"/>
                <w:szCs w:val="24"/>
                <w:lang w:val="zh-CN" w:eastAsia="zh-CN" w:bidi="zh-CN"/>
              </w:rPr>
              <w:t>、“中</w:t>
            </w:r>
            <w:r>
              <w:rPr>
                <w:rFonts w:hint="eastAsia" w:ascii="仿宋" w:hAnsi="仿宋" w:eastAsia="仿宋"/>
                <w:color w:val="auto"/>
                <w:sz w:val="24"/>
                <w:szCs w:val="24"/>
              </w:rPr>
              <w:t>国政府</w:t>
            </w:r>
            <w:r>
              <w:rPr>
                <w:rFonts w:hint="eastAsia" w:ascii="仿宋" w:hAnsi="仿宋" w:eastAsia="仿宋"/>
                <w:color w:val="auto"/>
                <w:sz w:val="24"/>
                <w:szCs w:val="24"/>
                <w:lang w:eastAsia="zh-CN"/>
              </w:rPr>
              <w:t>采</w:t>
            </w:r>
            <w:r>
              <w:rPr>
                <w:rFonts w:hint="eastAsia" w:ascii="仿宋" w:hAnsi="仿宋" w:eastAsia="仿宋"/>
                <w:color w:val="auto"/>
                <w:sz w:val="24"/>
                <w:szCs w:val="24"/>
              </w:rPr>
              <w:t>购网”列入失信被执行人、重大税收违法案件当事人名单、政府</w:t>
            </w:r>
            <w:r>
              <w:rPr>
                <w:rFonts w:hint="eastAsia" w:ascii="仿宋" w:hAnsi="仿宋" w:eastAsia="仿宋"/>
                <w:color w:val="auto"/>
                <w:sz w:val="24"/>
                <w:szCs w:val="24"/>
                <w:lang w:eastAsia="zh-CN"/>
              </w:rPr>
              <w:t>采</w:t>
            </w:r>
            <w:r>
              <w:rPr>
                <w:rFonts w:hint="eastAsia" w:ascii="仿宋" w:hAnsi="仿宋" w:eastAsia="仿宋"/>
                <w:color w:val="auto"/>
                <w:sz w:val="24"/>
                <w:szCs w:val="24"/>
              </w:rPr>
              <w:t>购严重违法失信行为记录名单或浙江政府</w:t>
            </w:r>
            <w:r>
              <w:rPr>
                <w:rFonts w:hint="eastAsia" w:ascii="仿宋" w:hAnsi="仿宋" w:eastAsia="仿宋"/>
                <w:color w:val="auto"/>
                <w:sz w:val="24"/>
                <w:szCs w:val="24"/>
                <w:lang w:eastAsia="zh-CN"/>
              </w:rPr>
              <w:t>采</w:t>
            </w:r>
            <w:r>
              <w:rPr>
                <w:rFonts w:hint="eastAsia" w:ascii="仿宋" w:hAnsi="仿宋" w:eastAsia="仿宋"/>
                <w:color w:val="auto"/>
                <w:sz w:val="24"/>
                <w:szCs w:val="24"/>
              </w:rPr>
              <w:t>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pStyle w:val="3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default" w:ascii="仿宋" w:hAnsi="仿宋" w:eastAsia="仿宋" w:cs="宋体"/>
                <w:color w:val="auto"/>
                <w:sz w:val="24"/>
                <w:szCs w:val="24"/>
                <w:lang w:val="en-US" w:eastAsia="zh-CN" w:bidi="zh-TW"/>
              </w:rPr>
            </w:pPr>
            <w:r>
              <w:rPr>
                <w:rFonts w:hint="eastAsia" w:ascii="仿宋" w:hAnsi="仿宋" w:eastAsia="仿宋" w:cs="宋体"/>
                <w:color w:val="auto"/>
                <w:sz w:val="24"/>
                <w:szCs w:val="24"/>
                <w:lang w:val="en-US" w:eastAsia="zh-CN" w:bidi="zh-TW"/>
              </w:rPr>
              <w:t>6</w:t>
            </w:r>
          </w:p>
        </w:tc>
        <w:tc>
          <w:tcPr>
            <w:tcW w:w="2162" w:type="dxa"/>
            <w:gridSpan w:val="2"/>
            <w:shd w:val="clear" w:color="auto" w:fill="auto"/>
            <w:vAlign w:val="center"/>
          </w:tcPr>
          <w:p>
            <w:pPr>
              <w:autoSpaceDE/>
              <w:autoSpaceDN/>
              <w:adjustRightInd/>
              <w:jc w:val="center"/>
              <w:rPr>
                <w:rFonts w:hint="eastAsia" w:ascii="仿宋" w:hAnsi="仿宋" w:eastAsia="仿宋" w:cs="Times New Roman"/>
                <w:bCs/>
                <w:color w:val="auto"/>
                <w:sz w:val="24"/>
                <w:szCs w:val="24"/>
                <w:lang w:val="en-US" w:eastAsia="zh-CN" w:bidi="ar-SA"/>
              </w:rPr>
            </w:pPr>
            <w:r>
              <w:rPr>
                <w:rFonts w:ascii="仿宋" w:hAnsi="仿宋" w:eastAsia="仿宋"/>
                <w:bCs/>
                <w:color w:val="auto"/>
                <w:sz w:val="24"/>
                <w:szCs w:val="24"/>
              </w:rPr>
              <w:t>其他要求</w:t>
            </w:r>
          </w:p>
        </w:tc>
        <w:tc>
          <w:tcPr>
            <w:tcW w:w="7328" w:type="dxa"/>
            <w:gridSpan w:val="2"/>
            <w:shd w:val="clear" w:color="auto" w:fill="auto"/>
            <w:vAlign w:val="center"/>
          </w:tcPr>
          <w:p>
            <w:pPr>
              <w:jc w:val="left"/>
              <w:rPr>
                <w:rFonts w:hint="eastAsia" w:ascii="仿宋" w:hAnsi="仿宋" w:eastAsia="仿宋" w:cs="仿宋"/>
                <w:b/>
                <w:bCs/>
                <w:color w:val="auto"/>
                <w:sz w:val="24"/>
                <w:szCs w:val="24"/>
                <w:lang w:val="en-US" w:eastAsia="zh-CN" w:bidi="ar-SA"/>
              </w:rPr>
            </w:pPr>
            <w:r>
              <w:rPr>
                <w:rFonts w:hint="eastAsia" w:ascii="仿宋" w:hAnsi="仿宋" w:eastAsia="仿宋" w:cs="仿宋"/>
                <w:color w:val="auto"/>
                <w:sz w:val="24"/>
                <w:szCs w:val="24"/>
                <w:lang w:eastAsia="zh-CN"/>
              </w:rPr>
              <w:t>招标采购</w:t>
            </w:r>
            <w:r>
              <w:rPr>
                <w:rFonts w:hint="eastAsia" w:ascii="仿宋" w:hAnsi="仿宋" w:eastAsia="仿宋" w:cs="仿宋"/>
                <w:color w:val="auto"/>
                <w:sz w:val="24"/>
                <w:szCs w:val="24"/>
              </w:rPr>
              <w:t>文件要求的其他</w:t>
            </w:r>
            <w:r>
              <w:rPr>
                <w:rFonts w:hint="eastAsia" w:ascii="仿宋" w:hAnsi="仿宋" w:eastAsia="仿宋" w:cs="仿宋"/>
                <w:color w:val="auto"/>
                <w:sz w:val="24"/>
                <w:szCs w:val="24"/>
                <w:lang w:eastAsia="zh-CN"/>
              </w:rPr>
              <w:t>资格文件</w:t>
            </w:r>
            <w:r>
              <w:rPr>
                <w:rFonts w:ascii="仿宋" w:hAnsi="仿宋" w:eastAsia="仿宋"/>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278" w:type="dxa"/>
            <w:gridSpan w:val="5"/>
            <w:shd w:val="clear" w:color="auto" w:fill="auto"/>
            <w:vAlign w:val="center"/>
          </w:tcPr>
          <w:p>
            <w:pPr>
              <w:jc w:val="left"/>
              <w:rPr>
                <w:rFonts w:hint="eastAsia" w:ascii="仿宋" w:hAnsi="仿宋" w:eastAsia="仿宋" w:cs="仿宋"/>
                <w:b/>
                <w:bCs/>
                <w:color w:val="auto"/>
                <w:sz w:val="24"/>
                <w:szCs w:val="24"/>
                <w:lang w:val="en-US" w:eastAsia="zh-CN" w:bidi="ar-SA"/>
              </w:rPr>
            </w:pPr>
            <w:r>
              <w:rPr>
                <w:rFonts w:ascii="仿宋" w:hAnsi="仿宋" w:eastAsia="仿宋"/>
                <w:b/>
                <w:color w:val="auto"/>
                <w:sz w:val="24"/>
                <w:szCs w:val="24"/>
              </w:rPr>
              <w:t>（二）符合性评审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autoSpaceDE/>
              <w:autoSpaceDN/>
              <w:adjustRightInd/>
              <w:jc w:val="center"/>
              <w:rPr>
                <w:rFonts w:hint="eastAsia" w:ascii="仿宋" w:hAnsi="仿宋" w:eastAsia="仿宋" w:cs="Times New Roman"/>
                <w:b/>
                <w:bCs/>
                <w:color w:val="auto"/>
                <w:sz w:val="24"/>
                <w:szCs w:val="24"/>
                <w:lang w:val="en-US" w:eastAsia="zh-CN" w:bidi="ar-SA"/>
              </w:rPr>
            </w:pPr>
            <w:r>
              <w:rPr>
                <w:rFonts w:ascii="仿宋" w:hAnsi="仿宋" w:eastAsia="仿宋"/>
                <w:b/>
                <w:bCs/>
                <w:color w:val="auto"/>
                <w:sz w:val="24"/>
                <w:szCs w:val="24"/>
              </w:rPr>
              <w:t>序号</w:t>
            </w:r>
          </w:p>
        </w:tc>
        <w:tc>
          <w:tcPr>
            <w:tcW w:w="2162" w:type="dxa"/>
            <w:gridSpan w:val="2"/>
            <w:shd w:val="clear" w:color="auto" w:fill="auto"/>
            <w:vAlign w:val="center"/>
          </w:tcPr>
          <w:p>
            <w:pPr>
              <w:autoSpaceDE/>
              <w:autoSpaceDN/>
              <w:adjustRightInd/>
              <w:jc w:val="center"/>
              <w:rPr>
                <w:rFonts w:hint="eastAsia" w:ascii="仿宋" w:hAnsi="仿宋" w:eastAsia="仿宋" w:cs="Times New Roman"/>
                <w:bCs/>
                <w:color w:val="auto"/>
                <w:sz w:val="24"/>
                <w:szCs w:val="24"/>
                <w:lang w:val="en-US" w:eastAsia="zh-CN" w:bidi="ar-SA"/>
              </w:rPr>
            </w:pPr>
            <w:r>
              <w:rPr>
                <w:rFonts w:ascii="仿宋" w:hAnsi="仿宋" w:eastAsia="仿宋"/>
                <w:b/>
                <w:bCs/>
                <w:color w:val="auto"/>
                <w:sz w:val="24"/>
                <w:szCs w:val="24"/>
              </w:rPr>
              <w:t>评审因素</w:t>
            </w:r>
          </w:p>
        </w:tc>
        <w:tc>
          <w:tcPr>
            <w:tcW w:w="7328" w:type="dxa"/>
            <w:gridSpan w:val="2"/>
            <w:shd w:val="clear" w:color="auto" w:fill="auto"/>
            <w:vAlign w:val="center"/>
          </w:tcPr>
          <w:p>
            <w:pPr>
              <w:jc w:val="center"/>
              <w:rPr>
                <w:rFonts w:hint="eastAsia" w:ascii="仿宋" w:hAnsi="仿宋" w:eastAsia="仿宋" w:cs="仿宋"/>
                <w:b/>
                <w:bCs/>
                <w:color w:val="auto"/>
                <w:sz w:val="24"/>
                <w:szCs w:val="24"/>
                <w:lang w:val="en-US" w:eastAsia="zh-CN" w:bidi="ar-SA"/>
              </w:rPr>
            </w:pPr>
            <w:r>
              <w:rPr>
                <w:rFonts w:ascii="仿宋" w:hAnsi="仿宋" w:eastAsia="仿宋"/>
                <w:b/>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1</w:t>
            </w:r>
          </w:p>
        </w:tc>
        <w:tc>
          <w:tcPr>
            <w:tcW w:w="2162" w:type="dxa"/>
            <w:gridSpan w:val="2"/>
            <w:shd w:val="clear" w:color="auto" w:fill="auto"/>
            <w:vAlign w:val="center"/>
          </w:tcPr>
          <w:p>
            <w:pPr>
              <w:autoSpaceDE/>
              <w:autoSpaceDN/>
              <w:adjustRightInd/>
              <w:jc w:val="center"/>
              <w:rPr>
                <w:rFonts w:hint="eastAsia" w:ascii="仿宋" w:hAnsi="仿宋" w:eastAsia="仿宋" w:cs="Times New Roman"/>
                <w:color w:val="auto"/>
                <w:sz w:val="24"/>
                <w:szCs w:val="24"/>
                <w:lang w:val="en-US" w:eastAsia="zh-CN" w:bidi="ar-SA"/>
              </w:rPr>
            </w:pPr>
            <w:r>
              <w:rPr>
                <w:rFonts w:ascii="仿宋" w:hAnsi="仿宋" w:eastAsia="仿宋"/>
                <w:color w:val="auto"/>
                <w:sz w:val="24"/>
                <w:szCs w:val="24"/>
              </w:rPr>
              <w:t>投标人名称</w:t>
            </w:r>
          </w:p>
        </w:tc>
        <w:tc>
          <w:tcPr>
            <w:tcW w:w="7328" w:type="dxa"/>
            <w:gridSpan w:val="2"/>
            <w:shd w:val="clear" w:color="auto" w:fill="auto"/>
            <w:vAlign w:val="center"/>
          </w:tcPr>
          <w:p>
            <w:pPr>
              <w:jc w:val="left"/>
              <w:rPr>
                <w:rFonts w:hint="eastAsia" w:ascii="仿宋" w:hAnsi="仿宋" w:eastAsia="仿宋" w:cs="仿宋"/>
                <w:b/>
                <w:bCs/>
                <w:color w:val="auto"/>
                <w:sz w:val="24"/>
                <w:szCs w:val="24"/>
                <w:lang w:val="en-US" w:eastAsia="zh-CN" w:bidi="ar-SA"/>
              </w:rPr>
            </w:pPr>
            <w:r>
              <w:rPr>
                <w:rFonts w:ascii="仿宋" w:hAnsi="仿宋" w:eastAsia="仿宋"/>
                <w:color w:val="auto"/>
                <w:sz w:val="24"/>
                <w:szCs w:val="24"/>
              </w:rPr>
              <w:t>与有效的营业执照一致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2</w:t>
            </w:r>
          </w:p>
        </w:tc>
        <w:tc>
          <w:tcPr>
            <w:tcW w:w="2162" w:type="dxa"/>
            <w:gridSpan w:val="2"/>
            <w:shd w:val="clear" w:color="auto" w:fill="auto"/>
            <w:vAlign w:val="center"/>
          </w:tcPr>
          <w:p>
            <w:pPr>
              <w:autoSpaceDE/>
              <w:autoSpaceDN/>
              <w:adjustRightInd/>
              <w:jc w:val="center"/>
              <w:rPr>
                <w:rFonts w:hint="eastAsia" w:ascii="仿宋" w:hAnsi="仿宋" w:eastAsia="仿宋" w:cs="Times New Roman"/>
                <w:color w:val="auto"/>
                <w:sz w:val="24"/>
                <w:szCs w:val="24"/>
                <w:lang w:val="en-US" w:eastAsia="zh-CN" w:bidi="ar-SA"/>
              </w:rPr>
            </w:pPr>
            <w:r>
              <w:rPr>
                <w:rFonts w:ascii="仿宋" w:hAnsi="仿宋" w:eastAsia="仿宋"/>
                <w:color w:val="auto"/>
                <w:sz w:val="24"/>
                <w:szCs w:val="24"/>
              </w:rPr>
              <w:t>投标文件签字盖章</w:t>
            </w:r>
          </w:p>
        </w:tc>
        <w:tc>
          <w:tcPr>
            <w:tcW w:w="7328" w:type="dxa"/>
            <w:gridSpan w:val="2"/>
            <w:shd w:val="clear" w:color="auto" w:fill="auto"/>
            <w:vAlign w:val="center"/>
          </w:tcPr>
          <w:p>
            <w:pPr>
              <w:jc w:val="left"/>
              <w:rPr>
                <w:rFonts w:hint="eastAsia" w:ascii="仿宋" w:hAnsi="仿宋" w:eastAsia="仿宋" w:cs="仿宋"/>
                <w:b/>
                <w:bCs/>
                <w:color w:val="auto"/>
                <w:sz w:val="24"/>
                <w:szCs w:val="24"/>
                <w:lang w:val="en-US" w:eastAsia="zh-CN" w:bidi="ar-SA"/>
              </w:rPr>
            </w:pPr>
            <w:r>
              <w:rPr>
                <w:rFonts w:ascii="仿宋" w:hAnsi="仿宋" w:eastAsia="仿宋"/>
                <w:color w:val="auto"/>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3</w:t>
            </w:r>
          </w:p>
        </w:tc>
        <w:tc>
          <w:tcPr>
            <w:tcW w:w="2162" w:type="dxa"/>
            <w:gridSpan w:val="2"/>
            <w:shd w:val="clear" w:color="auto" w:fill="auto"/>
            <w:vAlign w:val="center"/>
          </w:tcPr>
          <w:p>
            <w:pPr>
              <w:autoSpaceDE/>
              <w:autoSpaceDN/>
              <w:adjustRightInd/>
              <w:jc w:val="center"/>
              <w:rPr>
                <w:rFonts w:hint="eastAsia" w:ascii="仿宋" w:hAnsi="仿宋" w:eastAsia="仿宋" w:cs="Times New Roman"/>
                <w:color w:val="auto"/>
                <w:sz w:val="24"/>
                <w:szCs w:val="24"/>
                <w:lang w:val="en-US" w:eastAsia="zh-CN" w:bidi="ar-SA"/>
              </w:rPr>
            </w:pPr>
            <w:r>
              <w:rPr>
                <w:rFonts w:ascii="仿宋" w:hAnsi="仿宋" w:eastAsia="仿宋"/>
                <w:color w:val="auto"/>
                <w:sz w:val="24"/>
                <w:szCs w:val="24"/>
              </w:rPr>
              <w:t>投标文件格式</w:t>
            </w:r>
          </w:p>
        </w:tc>
        <w:tc>
          <w:tcPr>
            <w:tcW w:w="7328" w:type="dxa"/>
            <w:gridSpan w:val="2"/>
            <w:shd w:val="clear" w:color="auto" w:fill="auto"/>
            <w:vAlign w:val="center"/>
          </w:tcPr>
          <w:p>
            <w:pPr>
              <w:jc w:val="left"/>
              <w:rPr>
                <w:rFonts w:hint="eastAsia" w:ascii="仿宋" w:hAnsi="仿宋" w:eastAsia="仿宋" w:cs="仿宋"/>
                <w:b/>
                <w:bCs/>
                <w:color w:val="auto"/>
                <w:sz w:val="24"/>
                <w:szCs w:val="24"/>
                <w:lang w:val="en-US" w:eastAsia="zh-CN" w:bidi="ar-SA"/>
              </w:rPr>
            </w:pPr>
            <w:r>
              <w:rPr>
                <w:rFonts w:ascii="仿宋" w:hAnsi="仿宋" w:eastAsia="仿宋"/>
                <w:color w:val="auto"/>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4</w:t>
            </w:r>
          </w:p>
        </w:tc>
        <w:tc>
          <w:tcPr>
            <w:tcW w:w="2162" w:type="dxa"/>
            <w:gridSpan w:val="2"/>
            <w:shd w:val="clear" w:color="auto" w:fill="auto"/>
            <w:vAlign w:val="center"/>
          </w:tcPr>
          <w:p>
            <w:pPr>
              <w:autoSpaceDE/>
              <w:autoSpaceDN/>
              <w:adjustRightInd/>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投标</w:t>
            </w:r>
            <w:r>
              <w:rPr>
                <w:rFonts w:hint="eastAsia" w:ascii="仿宋" w:hAnsi="仿宋" w:eastAsia="仿宋"/>
                <w:color w:val="auto"/>
                <w:sz w:val="24"/>
                <w:szCs w:val="24"/>
                <w:lang w:val="en-US" w:eastAsia="zh-CN"/>
              </w:rPr>
              <w:t>内容</w:t>
            </w:r>
          </w:p>
        </w:tc>
        <w:tc>
          <w:tcPr>
            <w:tcW w:w="7328" w:type="dxa"/>
            <w:gridSpan w:val="2"/>
            <w:shd w:val="clear" w:color="auto" w:fill="auto"/>
            <w:vAlign w:val="center"/>
          </w:tcPr>
          <w:p>
            <w:pPr>
              <w:jc w:val="left"/>
              <w:rPr>
                <w:rFonts w:ascii="仿宋" w:hAnsi="仿宋" w:eastAsia="仿宋"/>
                <w:color w:val="auto"/>
                <w:sz w:val="24"/>
                <w:szCs w:val="24"/>
              </w:rPr>
            </w:pPr>
            <w:r>
              <w:rPr>
                <w:rFonts w:ascii="仿宋" w:hAnsi="仿宋" w:eastAsia="仿宋"/>
                <w:color w:val="auto"/>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5</w:t>
            </w:r>
          </w:p>
        </w:tc>
        <w:tc>
          <w:tcPr>
            <w:tcW w:w="2162" w:type="dxa"/>
            <w:gridSpan w:val="2"/>
            <w:shd w:val="clear" w:color="auto" w:fill="auto"/>
            <w:vAlign w:val="center"/>
          </w:tcPr>
          <w:p>
            <w:pPr>
              <w:autoSpaceDE/>
              <w:autoSpaceDN/>
              <w:adjustRightInd/>
              <w:jc w:val="center"/>
              <w:rPr>
                <w:rFonts w:hint="default" w:ascii="仿宋" w:hAnsi="仿宋" w:eastAsia="仿宋" w:cs="Times New Roman"/>
                <w:color w:val="auto"/>
                <w:sz w:val="24"/>
                <w:szCs w:val="24"/>
                <w:lang w:val="en-US" w:eastAsia="zh-CN" w:bidi="ar-SA"/>
              </w:rPr>
            </w:pPr>
            <w:r>
              <w:rPr>
                <w:rFonts w:ascii="仿宋" w:hAnsi="仿宋" w:eastAsia="仿宋"/>
                <w:color w:val="auto"/>
                <w:sz w:val="24"/>
                <w:szCs w:val="24"/>
              </w:rPr>
              <w:t>投标有效期</w:t>
            </w:r>
          </w:p>
        </w:tc>
        <w:tc>
          <w:tcPr>
            <w:tcW w:w="7328" w:type="dxa"/>
            <w:gridSpan w:val="2"/>
            <w:shd w:val="clear" w:color="auto" w:fill="auto"/>
            <w:vAlign w:val="center"/>
          </w:tcPr>
          <w:p>
            <w:pPr>
              <w:jc w:val="left"/>
              <w:rPr>
                <w:rFonts w:hint="eastAsia" w:ascii="仿宋" w:hAnsi="仿宋" w:eastAsia="仿宋" w:cs="仿宋"/>
                <w:b/>
                <w:bCs/>
                <w:color w:val="auto"/>
                <w:sz w:val="24"/>
                <w:szCs w:val="24"/>
                <w:lang w:val="en-US" w:eastAsia="zh-CN" w:bidi="ar-SA"/>
              </w:rPr>
            </w:pPr>
            <w:r>
              <w:rPr>
                <w:rFonts w:ascii="仿宋" w:hAnsi="仿宋" w:eastAsia="仿宋"/>
                <w:color w:val="auto"/>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6</w:t>
            </w:r>
          </w:p>
        </w:tc>
        <w:tc>
          <w:tcPr>
            <w:tcW w:w="2162" w:type="dxa"/>
            <w:gridSpan w:val="2"/>
            <w:shd w:val="clear" w:color="auto" w:fill="auto"/>
            <w:vAlign w:val="center"/>
          </w:tcPr>
          <w:p>
            <w:pPr>
              <w:autoSpaceDE/>
              <w:autoSpaceDN/>
              <w:adjustRightInd/>
              <w:jc w:val="center"/>
              <w:rPr>
                <w:rFonts w:hint="eastAsia" w:ascii="仿宋" w:hAnsi="仿宋" w:eastAsia="仿宋" w:cs="Times New Roman"/>
                <w:color w:val="auto"/>
                <w:sz w:val="24"/>
                <w:szCs w:val="24"/>
                <w:lang w:val="en-US" w:eastAsia="zh-CN" w:bidi="ar-SA"/>
              </w:rPr>
            </w:pPr>
            <w:r>
              <w:rPr>
                <w:rFonts w:ascii="仿宋" w:hAnsi="仿宋" w:eastAsia="仿宋"/>
                <w:color w:val="auto"/>
                <w:sz w:val="24"/>
                <w:szCs w:val="24"/>
              </w:rPr>
              <w:t>投标</w:t>
            </w:r>
            <w:r>
              <w:rPr>
                <w:rFonts w:hint="eastAsia" w:ascii="仿宋" w:hAnsi="仿宋" w:eastAsia="仿宋"/>
                <w:color w:val="auto"/>
                <w:sz w:val="24"/>
                <w:szCs w:val="24"/>
                <w:lang w:val="en-US" w:eastAsia="zh-CN"/>
              </w:rPr>
              <w:t>报价</w:t>
            </w:r>
          </w:p>
        </w:tc>
        <w:tc>
          <w:tcPr>
            <w:tcW w:w="7328" w:type="dxa"/>
            <w:gridSpan w:val="2"/>
            <w:shd w:val="clear" w:color="auto" w:fill="auto"/>
            <w:vAlign w:val="center"/>
          </w:tcPr>
          <w:p>
            <w:pPr>
              <w:jc w:val="left"/>
              <w:rPr>
                <w:rFonts w:hint="eastAsia" w:ascii="仿宋" w:hAnsi="仿宋" w:eastAsia="仿宋" w:cs="仿宋"/>
                <w:b/>
                <w:bCs/>
                <w:color w:val="auto"/>
                <w:sz w:val="24"/>
                <w:szCs w:val="24"/>
                <w:lang w:val="en-US" w:eastAsia="zh-CN" w:bidi="ar-SA"/>
              </w:rPr>
            </w:pPr>
            <w:r>
              <w:rPr>
                <w:rFonts w:ascii="仿宋" w:hAnsi="仿宋" w:eastAsia="仿宋"/>
                <w:color w:val="auto"/>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auto"/>
            <w:vAlign w:val="center"/>
          </w:tcPr>
          <w:p>
            <w:pPr>
              <w:autoSpaceDE/>
              <w:autoSpaceDN/>
              <w:adjustRightInd/>
              <w:jc w:val="center"/>
              <w:rPr>
                <w:rFonts w:hint="default" w:ascii="仿宋" w:hAnsi="仿宋" w:eastAsia="仿宋" w:cs="Times New Roman"/>
                <w:bCs/>
                <w:color w:val="auto"/>
                <w:sz w:val="24"/>
                <w:szCs w:val="24"/>
                <w:lang w:val="en-US" w:eastAsia="zh-CN" w:bidi="ar-SA"/>
              </w:rPr>
            </w:pPr>
            <w:r>
              <w:rPr>
                <w:rFonts w:hint="eastAsia" w:ascii="仿宋" w:hAnsi="仿宋" w:eastAsia="仿宋" w:cs="Times New Roman"/>
                <w:bCs/>
                <w:color w:val="auto"/>
                <w:sz w:val="24"/>
                <w:szCs w:val="24"/>
                <w:lang w:val="en-US" w:eastAsia="zh-CN" w:bidi="ar-SA"/>
              </w:rPr>
              <w:t>7</w:t>
            </w:r>
          </w:p>
        </w:tc>
        <w:tc>
          <w:tcPr>
            <w:tcW w:w="2162" w:type="dxa"/>
            <w:gridSpan w:val="2"/>
            <w:shd w:val="clear" w:color="auto" w:fill="auto"/>
            <w:vAlign w:val="center"/>
          </w:tcPr>
          <w:p>
            <w:pPr>
              <w:autoSpaceDE/>
              <w:autoSpaceDN/>
              <w:adjustRightInd/>
              <w:jc w:val="center"/>
              <w:rPr>
                <w:rFonts w:hint="default"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质保期</w:t>
            </w:r>
          </w:p>
        </w:tc>
        <w:tc>
          <w:tcPr>
            <w:tcW w:w="7328" w:type="dxa"/>
            <w:gridSpan w:val="2"/>
            <w:shd w:val="clear" w:color="auto" w:fill="auto"/>
            <w:vAlign w:val="center"/>
          </w:tcPr>
          <w:p>
            <w:pPr>
              <w:jc w:val="left"/>
              <w:rPr>
                <w:rFonts w:hint="eastAsia" w:ascii="仿宋" w:hAnsi="仿宋" w:eastAsia="仿宋" w:cs="仿宋"/>
                <w:b/>
                <w:bCs/>
                <w:color w:val="auto"/>
                <w:sz w:val="24"/>
                <w:szCs w:val="24"/>
                <w:lang w:val="en-US" w:eastAsia="zh-CN" w:bidi="ar-SA"/>
              </w:rPr>
            </w:pPr>
            <w:r>
              <w:rPr>
                <w:rFonts w:ascii="仿宋" w:hAnsi="仿宋" w:eastAsia="仿宋"/>
                <w:color w:val="auto"/>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278" w:type="dxa"/>
            <w:gridSpan w:val="5"/>
            <w:shd w:val="clear" w:color="auto" w:fill="auto"/>
            <w:vAlign w:val="center"/>
          </w:tcPr>
          <w:p>
            <w:pPr>
              <w:autoSpaceDE/>
              <w:autoSpaceDN/>
              <w:adjustRightInd/>
              <w:spacing w:beforeLines="50" w:afterLines="50"/>
              <w:ind w:firstLine="482" w:firstLineChars="200"/>
              <w:rPr>
                <w:rFonts w:ascii="仿宋" w:hAnsi="仿宋" w:eastAsia="仿宋"/>
                <w:b/>
                <w:color w:val="auto"/>
                <w:sz w:val="24"/>
                <w:szCs w:val="24"/>
              </w:rPr>
            </w:pPr>
            <w:r>
              <w:rPr>
                <w:rFonts w:ascii="仿宋" w:hAnsi="仿宋" w:eastAsia="仿宋"/>
                <w:b/>
                <w:color w:val="auto"/>
                <w:sz w:val="24"/>
                <w:szCs w:val="24"/>
              </w:rPr>
              <w:t>（三）商务技术分（</w:t>
            </w:r>
            <w:r>
              <w:rPr>
                <w:rFonts w:hint="eastAsia" w:ascii="仿宋" w:hAnsi="仿宋" w:eastAsia="仿宋"/>
                <w:b/>
                <w:color w:val="auto"/>
                <w:sz w:val="24"/>
                <w:szCs w:val="24"/>
                <w:lang w:val="en-US" w:eastAsia="zh-CN"/>
              </w:rPr>
              <w:t>7</w:t>
            </w:r>
            <w:r>
              <w:rPr>
                <w:rFonts w:hint="eastAsia" w:ascii="仿宋" w:hAnsi="仿宋" w:eastAsia="仿宋"/>
                <w:b/>
                <w:color w:val="auto"/>
                <w:sz w:val="24"/>
                <w:szCs w:val="24"/>
              </w:rPr>
              <w:t>0</w:t>
            </w:r>
            <w:r>
              <w:rPr>
                <w:rFonts w:ascii="仿宋" w:hAnsi="仿宋" w:eastAsia="仿宋"/>
                <w:b/>
                <w:color w:val="auto"/>
                <w:sz w:val="24"/>
                <w:szCs w:val="24"/>
              </w:rPr>
              <w:t>分）</w:t>
            </w:r>
          </w:p>
          <w:p>
            <w:pPr>
              <w:jc w:val="left"/>
              <w:rPr>
                <w:rFonts w:ascii="仿宋" w:hAnsi="仿宋" w:eastAsia="仿宋"/>
                <w:color w:val="auto"/>
                <w:sz w:val="24"/>
                <w:szCs w:val="24"/>
              </w:rPr>
            </w:pPr>
            <w:r>
              <w:rPr>
                <w:rFonts w:ascii="仿宋" w:hAnsi="仿宋" w:eastAsia="仿宋"/>
                <w:bCs/>
                <w:color w:val="auto"/>
                <w:sz w:val="24"/>
                <w:szCs w:val="24"/>
              </w:rPr>
              <w:t>评标委员会成员应独立对投标人的商务技术文件打分，打分时保留小数1位，投标人最终得分为评标委员会所有成员的算术平均值，评分分值计算保留小数点后两位，小数点后第三位“四舍五入”。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shd w:val="clear" w:color="auto" w:fill="BEBEBE"/>
            <w:vAlign w:val="center"/>
          </w:tcPr>
          <w:p>
            <w:pPr>
              <w:autoSpaceDE/>
              <w:autoSpaceDN/>
              <w:snapToGrid w:val="0"/>
              <w:jc w:val="center"/>
              <w:rPr>
                <w:rFonts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205" w:type="dxa"/>
            <w:shd w:val="clear" w:color="auto" w:fill="BEBEBE"/>
            <w:vAlign w:val="center"/>
          </w:tcPr>
          <w:p>
            <w:pPr>
              <w:autoSpaceDE/>
              <w:autoSpaceDN/>
              <w:snapToGrid w:val="0"/>
              <w:jc w:val="center"/>
              <w:rPr>
                <w:rFonts w:ascii="仿宋" w:hAnsi="仿宋" w:eastAsia="仿宋" w:cs="仿宋"/>
                <w:b/>
                <w:bCs/>
                <w:color w:val="auto"/>
                <w:sz w:val="24"/>
                <w:szCs w:val="24"/>
              </w:rPr>
            </w:pPr>
            <w:r>
              <w:rPr>
                <w:rFonts w:hint="eastAsia" w:ascii="仿宋" w:hAnsi="仿宋" w:eastAsia="仿宋" w:cs="仿宋"/>
                <w:b/>
                <w:bCs/>
                <w:color w:val="auto"/>
                <w:sz w:val="24"/>
                <w:szCs w:val="24"/>
              </w:rPr>
              <w:t>评标要素</w:t>
            </w:r>
          </w:p>
        </w:tc>
        <w:tc>
          <w:tcPr>
            <w:tcW w:w="7248" w:type="dxa"/>
            <w:gridSpan w:val="2"/>
            <w:shd w:val="clear" w:color="auto" w:fill="BEBEBE"/>
            <w:vAlign w:val="center"/>
          </w:tcPr>
          <w:p>
            <w:pPr>
              <w:pStyle w:val="29"/>
              <w:autoSpaceDE/>
              <w:autoSpaceDN/>
              <w:snapToGrid w:val="0"/>
              <w:spacing w:after="0"/>
              <w:jc w:val="center"/>
              <w:rPr>
                <w:rFonts w:ascii="仿宋" w:hAnsi="仿宋" w:eastAsia="仿宋" w:cs="仿宋"/>
                <w:b/>
                <w:bCs/>
                <w:color w:val="auto"/>
                <w:spacing w:val="0"/>
                <w:kern w:val="2"/>
              </w:rPr>
            </w:pPr>
            <w:r>
              <w:rPr>
                <w:rFonts w:hint="eastAsia" w:ascii="仿宋" w:hAnsi="仿宋" w:eastAsia="仿宋" w:cs="仿宋"/>
                <w:b/>
                <w:bCs/>
                <w:color w:val="auto"/>
                <w:spacing w:val="0"/>
                <w:kern w:val="2"/>
              </w:rPr>
              <w:t>评  分  标  准</w:t>
            </w:r>
          </w:p>
        </w:tc>
        <w:tc>
          <w:tcPr>
            <w:tcW w:w="1037" w:type="dxa"/>
            <w:shd w:val="clear" w:color="auto" w:fill="BEBEBE"/>
            <w:vAlign w:val="center"/>
          </w:tcPr>
          <w:p>
            <w:pPr>
              <w:autoSpaceDE/>
              <w:autoSpaceDN/>
              <w:snapToGrid w:val="0"/>
              <w:jc w:val="center"/>
              <w:rPr>
                <w:rFonts w:ascii="仿宋" w:hAnsi="仿宋" w:eastAsia="仿宋" w:cs="仿宋"/>
                <w:b/>
                <w:bCs/>
                <w:color w:val="auto"/>
                <w:kern w:val="2"/>
                <w:sz w:val="24"/>
                <w:szCs w:val="24"/>
              </w:rPr>
            </w:pPr>
            <w:r>
              <w:rPr>
                <w:rFonts w:hint="eastAsia" w:ascii="仿宋" w:hAnsi="仿宋" w:eastAsia="仿宋" w:cs="仿宋"/>
                <w:b/>
                <w:bCs/>
                <w:color w:val="auto"/>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1205" w:type="dxa"/>
            <w:vAlign w:val="center"/>
          </w:tcPr>
          <w:p>
            <w:pPr>
              <w:widowControl/>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2"/>
                <w:szCs w:val="22"/>
                <w:highlight w:val="none"/>
                <w:lang w:eastAsia="zh-CN"/>
              </w:rPr>
              <w:t>企业</w:t>
            </w:r>
            <w:r>
              <w:rPr>
                <w:rFonts w:hint="eastAsia" w:ascii="仿宋" w:hAnsi="仿宋" w:eastAsia="仿宋" w:cs="仿宋"/>
                <w:color w:val="auto"/>
                <w:sz w:val="22"/>
                <w:szCs w:val="22"/>
                <w:highlight w:val="none"/>
              </w:rPr>
              <w:t>荣誉</w:t>
            </w:r>
          </w:p>
        </w:tc>
        <w:tc>
          <w:tcPr>
            <w:tcW w:w="7248" w:type="dxa"/>
            <w:gridSpan w:val="2"/>
            <w:vAlign w:val="center"/>
          </w:tcPr>
          <w:p>
            <w:pPr>
              <w:widowControl/>
              <w:jc w:val="left"/>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投标供应商</w:t>
            </w:r>
            <w:r>
              <w:rPr>
                <w:rFonts w:hint="eastAsia" w:ascii="仿宋" w:hAnsi="仿宋" w:eastAsia="仿宋" w:cs="仿宋"/>
                <w:color w:val="auto"/>
                <w:sz w:val="22"/>
                <w:szCs w:val="22"/>
                <w:highlight w:val="none"/>
                <w:lang w:eastAsia="zh-CN"/>
              </w:rPr>
              <w:t>201</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lang w:eastAsia="zh-CN"/>
              </w:rPr>
              <w:t>年1月1日</w:t>
            </w:r>
            <w:r>
              <w:rPr>
                <w:rFonts w:hint="eastAsia" w:ascii="仿宋" w:hAnsi="仿宋" w:eastAsia="仿宋" w:cs="仿宋"/>
                <w:color w:val="auto"/>
                <w:sz w:val="22"/>
                <w:szCs w:val="22"/>
                <w:highlight w:val="none"/>
              </w:rPr>
              <w:t>至今获得的荣誉或奖项：</w:t>
            </w:r>
          </w:p>
          <w:p>
            <w:pPr>
              <w:widowControl/>
              <w:jc w:val="left"/>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市级</w:t>
            </w:r>
            <w:r>
              <w:rPr>
                <w:rFonts w:hint="eastAsia" w:ascii="仿宋" w:hAnsi="仿宋" w:eastAsia="仿宋" w:cs="仿宋"/>
                <w:color w:val="auto"/>
                <w:sz w:val="22"/>
                <w:szCs w:val="22"/>
                <w:highlight w:val="none"/>
              </w:rPr>
              <w:t>政府部门、行政事业单位颁发的荣誉或奖项</w:t>
            </w:r>
            <w:r>
              <w:rPr>
                <w:rFonts w:hint="eastAsia" w:ascii="仿宋" w:hAnsi="仿宋" w:eastAsia="仿宋" w:cs="仿宋"/>
                <w:color w:val="auto"/>
                <w:sz w:val="22"/>
                <w:szCs w:val="22"/>
                <w:highlight w:val="none"/>
                <w:lang w:eastAsia="zh-CN"/>
              </w:rPr>
              <w:t>每个</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省级及以</w:t>
            </w:r>
            <w:r>
              <w:rPr>
                <w:rFonts w:hint="eastAsia" w:ascii="仿宋" w:hAnsi="仿宋" w:eastAsia="仿宋" w:cs="仿宋"/>
                <w:color w:val="auto"/>
                <w:sz w:val="22"/>
                <w:szCs w:val="22"/>
                <w:highlight w:val="none"/>
                <w:lang w:eastAsia="zh-CN"/>
              </w:rPr>
              <w:t>上</w:t>
            </w:r>
            <w:r>
              <w:rPr>
                <w:rFonts w:hint="eastAsia" w:ascii="仿宋" w:hAnsi="仿宋" w:eastAsia="仿宋" w:cs="仿宋"/>
                <w:color w:val="auto"/>
                <w:sz w:val="22"/>
                <w:szCs w:val="22"/>
                <w:highlight w:val="none"/>
              </w:rPr>
              <w:t>政府部门、行政事业单位颁发的荣誉或奖项</w:t>
            </w:r>
            <w:r>
              <w:rPr>
                <w:rFonts w:hint="eastAsia" w:ascii="仿宋" w:hAnsi="仿宋" w:eastAsia="仿宋" w:cs="仿宋"/>
                <w:color w:val="auto"/>
                <w:sz w:val="22"/>
                <w:szCs w:val="22"/>
                <w:highlight w:val="none"/>
                <w:lang w:eastAsia="zh-CN"/>
              </w:rPr>
              <w:t>每个</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pPr>
              <w:widowControl/>
              <w:jc w:val="left"/>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本项</w:t>
            </w:r>
            <w:r>
              <w:rPr>
                <w:rFonts w:hint="eastAsia" w:ascii="仿宋" w:hAnsi="仿宋" w:eastAsia="仿宋" w:cs="仿宋"/>
                <w:color w:val="auto"/>
                <w:sz w:val="22"/>
                <w:szCs w:val="22"/>
                <w:highlight w:val="none"/>
                <w:lang w:eastAsia="zh-CN"/>
              </w:rPr>
              <w:t>累计</w:t>
            </w:r>
            <w:r>
              <w:rPr>
                <w:rFonts w:hint="eastAsia" w:ascii="仿宋" w:hAnsi="仿宋" w:eastAsia="仿宋" w:cs="仿宋"/>
                <w:color w:val="auto"/>
                <w:sz w:val="22"/>
                <w:szCs w:val="22"/>
                <w:highlight w:val="none"/>
              </w:rPr>
              <w:t>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2"/>
                <w:szCs w:val="22"/>
                <w:highlight w:val="none"/>
              </w:rPr>
              <w:t>（须提供相关证书复印件加盖公章，未提供不得分）</w:t>
            </w:r>
          </w:p>
        </w:tc>
        <w:tc>
          <w:tcPr>
            <w:tcW w:w="10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18"/>
                <w:szCs w:val="18"/>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w:t>
            </w:r>
          </w:p>
        </w:tc>
        <w:tc>
          <w:tcPr>
            <w:tcW w:w="1205" w:type="dxa"/>
            <w:vMerge w:val="restar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企业资信</w:t>
            </w:r>
          </w:p>
        </w:tc>
        <w:tc>
          <w:tcPr>
            <w:tcW w:w="7248" w:type="dxa"/>
            <w:gridSpan w:val="2"/>
            <w:vAlign w:val="center"/>
          </w:tcPr>
          <w:p>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供应商具有有效的ISO9001质量管理体系、ISO45001职业健康安全管理体系、ISO140001 环境管理体系认证证书且三个证书覆盖范围</w:t>
            </w:r>
            <w:r>
              <w:rPr>
                <w:rFonts w:hint="eastAsia" w:ascii="仿宋" w:hAnsi="仿宋" w:eastAsia="仿宋" w:cs="仿宋"/>
                <w:color w:val="auto"/>
                <w:sz w:val="22"/>
                <w:szCs w:val="22"/>
                <w:highlight w:val="none"/>
                <w:lang w:val="en-US" w:eastAsia="zh-CN"/>
              </w:rPr>
              <w:t>均</w:t>
            </w:r>
            <w:r>
              <w:rPr>
                <w:rFonts w:hint="eastAsia" w:ascii="仿宋" w:hAnsi="仿宋" w:eastAsia="仿宋" w:cs="仿宋"/>
                <w:color w:val="auto"/>
                <w:sz w:val="22"/>
                <w:szCs w:val="22"/>
                <w:highlight w:val="none"/>
              </w:rPr>
              <w:t>含有</w:t>
            </w:r>
            <w:r>
              <w:rPr>
                <w:rFonts w:hint="eastAsia" w:ascii="仿宋" w:hAnsi="仿宋" w:eastAsia="仿宋" w:cs="仿宋"/>
                <w:color w:val="auto"/>
                <w:sz w:val="22"/>
                <w:szCs w:val="22"/>
                <w:highlight w:val="none"/>
                <w:lang w:val="en-US" w:eastAsia="zh-CN"/>
              </w:rPr>
              <w:t>建筑智能化及装饰装修工程的设计、施工，实验室家具、实验室自控及智能化系统、实验室集中供气系统</w:t>
            </w:r>
            <w:r>
              <w:rPr>
                <w:rFonts w:hint="eastAsia" w:ascii="仿宋" w:hAnsi="仿宋" w:eastAsia="仿宋" w:cs="仿宋"/>
                <w:color w:val="auto"/>
                <w:sz w:val="22"/>
                <w:szCs w:val="22"/>
                <w:highlight w:val="none"/>
              </w:rPr>
              <w:t>，每提供1个有效的证书复印件的得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分，最高得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分，不提供不得分。</w:t>
            </w:r>
          </w:p>
          <w:p>
            <w:pPr>
              <w:pStyle w:val="14"/>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2"/>
                <w:szCs w:val="22"/>
                <w:highlight w:val="none"/>
              </w:rPr>
              <w:t>（须提供以上有效证书复印件加盖公章或证书在全国认证认可信息公共服务平台(http://cx.cnca.cn/CertECloud/result/skipResultList?certItemOne=A)上证书状态为“有效”的查询结果网页或截图打印件，否则不得分。</w:t>
            </w:r>
          </w:p>
        </w:tc>
        <w:tc>
          <w:tcPr>
            <w:tcW w:w="10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18"/>
                <w:szCs w:val="18"/>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c>
          <w:tcPr>
            <w:tcW w:w="1205" w:type="dxa"/>
            <w:vMerge w:val="continue"/>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lang w:val="en-US" w:eastAsia="zh-CN" w:bidi="ar-SA"/>
              </w:rPr>
            </w:pPr>
          </w:p>
        </w:tc>
        <w:tc>
          <w:tcPr>
            <w:tcW w:w="7248" w:type="dxa"/>
            <w:gridSpan w:val="2"/>
            <w:vAlign w:val="center"/>
          </w:tcPr>
          <w:p>
            <w:pPr>
              <w:widowControl/>
              <w:jc w:val="left"/>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供应商需为本项目配备优秀的具有成熟经验的项目技术负责人</w:t>
            </w:r>
            <w:r>
              <w:rPr>
                <w:rFonts w:hint="eastAsia" w:ascii="仿宋" w:hAnsi="仿宋" w:eastAsia="仿宋" w:cs="仿宋"/>
                <w:color w:val="auto"/>
                <w:sz w:val="22"/>
                <w:szCs w:val="22"/>
                <w:highlight w:val="none"/>
                <w:lang w:eastAsia="zh-CN"/>
              </w:rPr>
              <w:t>：</w:t>
            </w:r>
          </w:p>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2"/>
                <w:szCs w:val="22"/>
                <w:highlight w:val="none"/>
              </w:rPr>
              <w:t>技术负责人具有高级工程师及以上职称得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中级及以下</w:t>
            </w:r>
            <w:r>
              <w:rPr>
                <w:rFonts w:hint="eastAsia" w:ascii="仿宋" w:hAnsi="仿宋" w:eastAsia="仿宋" w:cs="仿宋"/>
                <w:color w:val="auto"/>
                <w:sz w:val="22"/>
                <w:szCs w:val="22"/>
                <w:highlight w:val="none"/>
              </w:rPr>
              <w:t>工程师</w:t>
            </w:r>
            <w:r>
              <w:rPr>
                <w:rFonts w:hint="eastAsia" w:ascii="仿宋" w:hAnsi="仿宋" w:eastAsia="仿宋" w:cs="仿宋"/>
                <w:color w:val="auto"/>
                <w:sz w:val="22"/>
                <w:szCs w:val="22"/>
                <w:highlight w:val="none"/>
                <w:lang w:eastAsia="zh-CN"/>
              </w:rPr>
              <w:t>职称</w:t>
            </w:r>
            <w:r>
              <w:rPr>
                <w:rFonts w:hint="eastAsia" w:ascii="仿宋" w:hAnsi="仿宋" w:eastAsia="仿宋" w:cs="仿宋"/>
                <w:color w:val="auto"/>
                <w:sz w:val="22"/>
                <w:szCs w:val="22"/>
                <w:highlight w:val="none"/>
              </w:rPr>
              <w:t>得1分,</w:t>
            </w:r>
            <w:r>
              <w:rPr>
                <w:rFonts w:hint="eastAsia" w:ascii="仿宋" w:hAnsi="仿宋" w:eastAsia="仿宋" w:cs="仿宋"/>
                <w:color w:val="auto"/>
                <w:sz w:val="22"/>
                <w:szCs w:val="22"/>
                <w:highlight w:val="none"/>
                <w:lang w:eastAsia="zh-CN"/>
              </w:rPr>
              <w:t>不提供</w:t>
            </w:r>
            <w:r>
              <w:rPr>
                <w:rFonts w:hint="eastAsia" w:ascii="仿宋" w:hAnsi="仿宋" w:eastAsia="仿宋" w:cs="仿宋"/>
                <w:color w:val="auto"/>
                <w:sz w:val="22"/>
                <w:szCs w:val="22"/>
                <w:highlight w:val="none"/>
              </w:rPr>
              <w:t>不得分（须提供相关证书复印件加盖公章，未提供不得分）</w:t>
            </w:r>
            <w:r>
              <w:rPr>
                <w:rFonts w:hint="eastAsia" w:ascii="仿宋" w:hAnsi="仿宋" w:eastAsia="仿宋" w:cs="仿宋"/>
                <w:color w:val="auto"/>
                <w:sz w:val="22"/>
                <w:szCs w:val="22"/>
                <w:highlight w:val="none"/>
                <w:lang w:eastAsia="zh-CN"/>
              </w:rPr>
              <w:t>。</w:t>
            </w:r>
          </w:p>
        </w:tc>
        <w:tc>
          <w:tcPr>
            <w:tcW w:w="10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18"/>
                <w:szCs w:val="18"/>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4</w:t>
            </w:r>
          </w:p>
        </w:tc>
        <w:tc>
          <w:tcPr>
            <w:tcW w:w="1205" w:type="dxa"/>
            <w:vMerge w:val="continue"/>
            <w:vAlign w:val="center"/>
          </w:tcPr>
          <w:p>
            <w:pPr>
              <w:pStyle w:val="36"/>
              <w:spacing w:before="0" w:beforeAutospacing="0" w:after="0" w:afterAutospacing="0"/>
              <w:jc w:val="center"/>
              <w:rPr>
                <w:rFonts w:hint="eastAsia" w:ascii="仿宋" w:hAnsi="仿宋" w:eastAsia="仿宋" w:cs="仿宋"/>
                <w:color w:val="auto"/>
                <w:kern w:val="2"/>
                <w:lang w:val="en-US" w:eastAsia="zh-CN"/>
              </w:rPr>
            </w:pPr>
          </w:p>
        </w:tc>
        <w:tc>
          <w:tcPr>
            <w:tcW w:w="7248" w:type="dxa"/>
            <w:gridSpan w:val="2"/>
            <w:vAlign w:val="center"/>
          </w:tcPr>
          <w:p>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供应商具备建筑智能化系统设计专项资质得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p>
          <w:p>
            <w:pPr>
              <w:widowControl/>
              <w:jc w:val="left"/>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auto"/>
                <w:sz w:val="22"/>
                <w:szCs w:val="22"/>
                <w:highlight w:val="none"/>
              </w:rPr>
              <w:t>（须提供相关证书复印件加盖公章，未提供不得分）</w:t>
            </w:r>
          </w:p>
        </w:tc>
        <w:tc>
          <w:tcPr>
            <w:tcW w:w="10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lang w:val="en-US" w:eastAsia="zh-CN"/>
              </w:rPr>
            </w:pPr>
            <w:r>
              <w:rPr>
                <w:rFonts w:hint="eastAsia" w:ascii="仿宋" w:hAnsi="仿宋" w:eastAsia="仿宋" w:cs="仿宋"/>
                <w:color w:val="auto"/>
                <w:sz w:val="18"/>
                <w:szCs w:val="18"/>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5</w:t>
            </w:r>
          </w:p>
        </w:tc>
        <w:tc>
          <w:tcPr>
            <w:tcW w:w="120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2"/>
                <w:szCs w:val="22"/>
                <w:highlight w:val="none"/>
              </w:rPr>
              <w:t>项目业绩</w:t>
            </w:r>
          </w:p>
        </w:tc>
        <w:tc>
          <w:tcPr>
            <w:tcW w:w="7248" w:type="dxa"/>
            <w:gridSpan w:val="2"/>
            <w:vAlign w:val="center"/>
          </w:tcPr>
          <w:p>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供应商2019年1月1日至今具有同类项目业绩每提供一个业绩得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此项最高得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p>
          <w:p>
            <w:pPr>
              <w:pStyle w:val="14"/>
              <w:spacing w:line="240" w:lineRule="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auto"/>
                <w:sz w:val="22"/>
                <w:szCs w:val="22"/>
                <w:highlight w:val="none"/>
              </w:rPr>
              <w:t>注：业绩材料以完整的合同为准</w:t>
            </w:r>
            <w:r>
              <w:rPr>
                <w:rFonts w:hint="eastAsia" w:ascii="仿宋" w:hAnsi="仿宋" w:eastAsia="仿宋" w:cs="仿宋"/>
                <w:color w:val="auto"/>
                <w:sz w:val="22"/>
                <w:szCs w:val="22"/>
                <w:highlight w:val="none"/>
                <w:lang w:eastAsia="zh-CN"/>
              </w:rPr>
              <w:t>，不提供不得分</w:t>
            </w:r>
            <w:r>
              <w:rPr>
                <w:rFonts w:hint="eastAsia" w:ascii="仿宋" w:hAnsi="仿宋" w:eastAsia="仿宋" w:cs="仿宋"/>
                <w:color w:val="auto"/>
                <w:sz w:val="22"/>
                <w:szCs w:val="22"/>
                <w:highlight w:val="none"/>
              </w:rPr>
              <w:t>；若提供材料中不能体现</w:t>
            </w:r>
            <w:r>
              <w:rPr>
                <w:rFonts w:hint="eastAsia" w:ascii="仿宋" w:hAnsi="仿宋" w:eastAsia="仿宋" w:cs="仿宋"/>
                <w:color w:val="auto"/>
                <w:sz w:val="22"/>
                <w:szCs w:val="22"/>
                <w:highlight w:val="none"/>
                <w:lang w:eastAsia="zh-CN"/>
              </w:rPr>
              <w:t>实验室</w:t>
            </w:r>
            <w:r>
              <w:rPr>
                <w:rFonts w:hint="eastAsia" w:ascii="仿宋" w:hAnsi="仿宋" w:eastAsia="仿宋" w:cs="仿宋"/>
                <w:color w:val="auto"/>
                <w:sz w:val="22"/>
                <w:szCs w:val="22"/>
                <w:highlight w:val="none"/>
              </w:rPr>
              <w:t>技术特征的，必须提供业主证明；否则不得分。</w:t>
            </w:r>
          </w:p>
        </w:tc>
        <w:tc>
          <w:tcPr>
            <w:tcW w:w="10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0-3</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lang w:val="en-US" w:eastAsia="zh-CN"/>
              </w:rPr>
            </w:pPr>
            <w:r>
              <w:rPr>
                <w:rFonts w:hint="eastAsia" w:ascii="仿宋" w:hAnsi="仿宋" w:eastAsia="仿宋" w:cs="仿宋"/>
                <w:color w:val="auto"/>
                <w:sz w:val="18"/>
                <w:szCs w:val="18"/>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1205" w:type="dxa"/>
            <w:vAlign w:val="center"/>
          </w:tcPr>
          <w:p>
            <w:pPr>
              <w:widowControl/>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项目组织实施方案</w:t>
            </w:r>
          </w:p>
        </w:tc>
        <w:tc>
          <w:tcPr>
            <w:tcW w:w="7248" w:type="dxa"/>
            <w:gridSpan w:val="2"/>
            <w:vAlign w:val="center"/>
          </w:tcPr>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(1)派驻现场的工程技术管理人员的专业配置是否合理</w:t>
            </w:r>
            <w:r>
              <w:rPr>
                <w:rFonts w:hint="eastAsia" w:ascii="仿宋" w:hAnsi="仿宋" w:eastAsia="仿宋" w:cs="仿宋"/>
                <w:color w:val="auto"/>
                <w:sz w:val="22"/>
                <w:szCs w:val="22"/>
                <w:highlight w:val="none"/>
                <w:lang w:val="en-US" w:eastAsia="zh-CN"/>
              </w:rPr>
              <w:t>(0-3)；</w:t>
            </w:r>
          </w:p>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(2)施工进度计划及网络图，施工总平面布置、关键节点和线路的保证措施是否具有针对性和可行性</w:t>
            </w:r>
            <w:r>
              <w:rPr>
                <w:rFonts w:hint="eastAsia" w:ascii="仿宋" w:hAnsi="仿宋" w:eastAsia="仿宋" w:cs="仿宋"/>
                <w:color w:val="auto"/>
                <w:sz w:val="22"/>
                <w:szCs w:val="22"/>
                <w:highlight w:val="none"/>
                <w:lang w:val="en-US" w:eastAsia="zh-CN"/>
              </w:rPr>
              <w:t>(0-2)；</w:t>
            </w:r>
          </w:p>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(3)施工质量的控制和检验手段是否科学、可靠</w:t>
            </w:r>
            <w:r>
              <w:rPr>
                <w:rFonts w:hint="eastAsia" w:ascii="仿宋" w:hAnsi="仿宋" w:eastAsia="仿宋" w:cs="仿宋"/>
                <w:color w:val="auto"/>
                <w:sz w:val="22"/>
                <w:szCs w:val="22"/>
                <w:highlight w:val="none"/>
                <w:lang w:val="en-US" w:eastAsia="zh-CN"/>
              </w:rPr>
              <w:t>(0-2)；</w:t>
            </w:r>
          </w:p>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(4)原材料、半成品、外购件的质量保证措施是否可靠</w:t>
            </w:r>
            <w:r>
              <w:rPr>
                <w:rFonts w:hint="eastAsia" w:ascii="仿宋" w:hAnsi="仿宋" w:eastAsia="仿宋" w:cs="仿宋"/>
                <w:color w:val="auto"/>
                <w:sz w:val="22"/>
                <w:szCs w:val="22"/>
                <w:highlight w:val="none"/>
                <w:lang w:val="en-US" w:eastAsia="zh-CN"/>
              </w:rPr>
              <w:t>(0-2)；</w:t>
            </w:r>
          </w:p>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(5)施工机具和检验仪器的投入是否能够满足工程质量和进度的要求</w:t>
            </w:r>
            <w:r>
              <w:rPr>
                <w:rFonts w:hint="eastAsia" w:ascii="仿宋" w:hAnsi="仿宋" w:eastAsia="仿宋" w:cs="仿宋"/>
                <w:color w:val="auto"/>
                <w:sz w:val="22"/>
                <w:szCs w:val="22"/>
                <w:highlight w:val="none"/>
                <w:lang w:val="en-US" w:eastAsia="zh-CN"/>
              </w:rPr>
              <w:t>(0-2)；</w:t>
            </w:r>
          </w:p>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(6)各专业工种的配置和劳动力的投入是否能满足工程的需要</w:t>
            </w:r>
            <w:r>
              <w:rPr>
                <w:rFonts w:hint="eastAsia" w:ascii="仿宋" w:hAnsi="仿宋" w:eastAsia="仿宋" w:cs="仿宋"/>
                <w:color w:val="auto"/>
                <w:sz w:val="22"/>
                <w:szCs w:val="22"/>
                <w:highlight w:val="none"/>
                <w:lang w:val="en-US" w:eastAsia="zh-CN"/>
              </w:rPr>
              <w:t>(0-2)；</w:t>
            </w:r>
          </w:p>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(7)工程关键部位的施工方案及保证措施是否具有针对性、科学合理</w:t>
            </w:r>
            <w:r>
              <w:rPr>
                <w:rFonts w:hint="eastAsia" w:ascii="仿宋" w:hAnsi="仿宋" w:eastAsia="仿宋" w:cs="仿宋"/>
                <w:color w:val="auto"/>
                <w:sz w:val="22"/>
                <w:szCs w:val="22"/>
                <w:highlight w:val="none"/>
                <w:lang w:val="en-US" w:eastAsia="zh-CN"/>
              </w:rPr>
              <w:t>(0-2)；</w:t>
            </w:r>
          </w:p>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(8)安全、文明施工保证措施是否科学、到位及合理流动</w:t>
            </w:r>
            <w:r>
              <w:rPr>
                <w:rFonts w:hint="eastAsia" w:ascii="仿宋" w:hAnsi="仿宋" w:eastAsia="仿宋" w:cs="仿宋"/>
                <w:color w:val="auto"/>
                <w:sz w:val="22"/>
                <w:szCs w:val="22"/>
                <w:highlight w:val="none"/>
                <w:lang w:val="en-US" w:eastAsia="zh-CN"/>
              </w:rPr>
              <w:t>(0-3)；</w:t>
            </w:r>
          </w:p>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 针对本项目的材料设备选型、提供的平面方案和净化系统的优化建议的针对性、科学合理 等进行综合打分</w:t>
            </w:r>
            <w:r>
              <w:rPr>
                <w:rFonts w:hint="eastAsia" w:ascii="仿宋" w:hAnsi="仿宋" w:eastAsia="仿宋" w:cs="仿宋"/>
                <w:color w:val="auto"/>
                <w:sz w:val="22"/>
                <w:szCs w:val="22"/>
                <w:highlight w:val="none"/>
                <w:lang w:val="en-US" w:eastAsia="zh-CN"/>
              </w:rPr>
              <w:t>(0-2)；</w:t>
            </w:r>
          </w:p>
          <w:p>
            <w:pPr>
              <w:pStyle w:val="14"/>
              <w:spacing w:line="240" w:lineRule="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2"/>
                <w:szCs w:val="22"/>
                <w:highlight w:val="none"/>
                <w:lang w:val="en-US" w:eastAsia="zh-CN"/>
              </w:rPr>
              <w:t>(10)根据投标单位的投标产品性能、技术参数、先进性等进行综合打分(0-4)。</w:t>
            </w:r>
          </w:p>
        </w:tc>
        <w:tc>
          <w:tcPr>
            <w:tcW w:w="10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1205" w:type="dxa"/>
            <w:vMerge w:val="restart"/>
            <w:vAlign w:val="center"/>
          </w:tcPr>
          <w:p>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产品</w:t>
            </w:r>
            <w:r>
              <w:rPr>
                <w:rFonts w:hint="eastAsia" w:ascii="仿宋" w:hAnsi="仿宋" w:eastAsia="仿宋" w:cs="仿宋"/>
                <w:color w:val="auto"/>
                <w:sz w:val="22"/>
                <w:szCs w:val="22"/>
                <w:highlight w:val="none"/>
              </w:rPr>
              <w:t>性能及技术</w:t>
            </w:r>
          </w:p>
          <w:p>
            <w:pPr>
              <w:widowControl/>
              <w:jc w:val="both"/>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2"/>
                <w:szCs w:val="22"/>
                <w:highlight w:val="none"/>
              </w:rPr>
              <w:t>指标要求</w:t>
            </w:r>
          </w:p>
        </w:tc>
        <w:tc>
          <w:tcPr>
            <w:tcW w:w="7248" w:type="dxa"/>
            <w:gridSpan w:val="2"/>
            <w:vAlign w:val="center"/>
          </w:tcPr>
          <w:p>
            <w:pPr>
              <w:widowControl/>
              <w:numPr>
                <w:ilvl w:val="0"/>
                <w:numId w:val="0"/>
              </w:numPr>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供应商对技术文件技术需求带“</w:t>
            </w:r>
            <w:r>
              <w:rPr>
                <w:rFonts w:hint="eastAsia" w:ascii="仿宋" w:hAnsi="仿宋" w:eastAsia="仿宋" w:cs="仿宋"/>
                <w:bCs/>
                <w:sz w:val="24"/>
                <w:szCs w:val="24"/>
                <w:lang w:val="en-US" w:eastAsia="zh-CN"/>
              </w:rPr>
              <w:t>▲</w:t>
            </w:r>
            <w:r>
              <w:rPr>
                <w:rFonts w:hint="eastAsia" w:ascii="仿宋" w:hAnsi="仿宋" w:eastAsia="仿宋" w:cs="仿宋"/>
                <w:color w:val="auto"/>
                <w:sz w:val="22"/>
                <w:szCs w:val="22"/>
                <w:highlight w:val="none"/>
              </w:rPr>
              <w:t>”完全响应的，得满</w:t>
            </w:r>
            <w:r>
              <w:rPr>
                <w:rFonts w:hint="eastAsia" w:ascii="仿宋" w:hAnsi="仿宋" w:eastAsia="仿宋" w:cs="仿宋"/>
                <w:color w:val="auto"/>
                <w:sz w:val="22"/>
                <w:szCs w:val="22"/>
                <w:highlight w:val="none"/>
                <w:lang w:val="en-US" w:eastAsia="zh-CN"/>
              </w:rPr>
              <w:t>12</w:t>
            </w:r>
            <w:r>
              <w:rPr>
                <w:rFonts w:hint="eastAsia" w:ascii="仿宋" w:hAnsi="仿宋" w:eastAsia="仿宋" w:cs="仿宋"/>
                <w:color w:val="auto"/>
                <w:sz w:val="22"/>
                <w:szCs w:val="22"/>
                <w:highlight w:val="none"/>
              </w:rPr>
              <w:t>分，达不到技术文件要求的，每</w:t>
            </w:r>
            <w:r>
              <w:rPr>
                <w:rFonts w:hint="eastAsia" w:ascii="仿宋" w:hAnsi="仿宋" w:eastAsia="仿宋" w:cs="仿宋"/>
                <w:color w:val="auto"/>
                <w:sz w:val="22"/>
                <w:szCs w:val="22"/>
                <w:highlight w:val="none"/>
                <w:lang w:eastAsia="zh-CN"/>
              </w:rPr>
              <w:t>出现一项负偏离</w:t>
            </w:r>
            <w:r>
              <w:rPr>
                <w:rFonts w:hint="eastAsia" w:ascii="仿宋" w:hAnsi="仿宋" w:eastAsia="仿宋" w:cs="仿宋"/>
                <w:color w:val="auto"/>
                <w:sz w:val="22"/>
                <w:szCs w:val="22"/>
                <w:highlight w:val="none"/>
              </w:rPr>
              <w:t>扣</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分，扣完为止。</w:t>
            </w:r>
          </w:p>
        </w:tc>
        <w:tc>
          <w:tcPr>
            <w:tcW w:w="10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0-12</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18"/>
                <w:szCs w:val="18"/>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1205" w:type="dxa"/>
            <w:vMerge w:val="continue"/>
            <w:vAlign w:val="center"/>
          </w:tcPr>
          <w:p>
            <w:pPr>
              <w:spacing w:line="360" w:lineRule="auto"/>
              <w:jc w:val="center"/>
              <w:rPr>
                <w:rFonts w:hint="eastAsia" w:ascii="仿宋" w:hAnsi="仿宋" w:eastAsia="仿宋" w:cs="仿宋"/>
                <w:color w:val="auto"/>
                <w:sz w:val="24"/>
                <w:szCs w:val="24"/>
                <w:highlight w:val="none"/>
                <w:lang w:val="en-US" w:eastAsia="zh-CN" w:bidi="ar-SA"/>
              </w:rPr>
            </w:pPr>
          </w:p>
        </w:tc>
        <w:tc>
          <w:tcPr>
            <w:tcW w:w="7248" w:type="dxa"/>
            <w:gridSpan w:val="2"/>
            <w:vAlign w:val="center"/>
          </w:tcPr>
          <w:p>
            <w:pPr>
              <w:adjustRightInd w:val="0"/>
              <w:snapToGrid w:val="0"/>
              <w:spacing w:line="240" w:lineRule="auto"/>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提供与本项目平面图相一致的效果图进行综合打分</w:t>
            </w:r>
            <w:r>
              <w:rPr>
                <w:rFonts w:hint="eastAsia" w:ascii="仿宋" w:hAnsi="仿宋" w:eastAsia="仿宋" w:cs="仿宋"/>
                <w:color w:val="auto"/>
                <w:sz w:val="22"/>
                <w:szCs w:val="22"/>
                <w:highlight w:val="none"/>
                <w:lang w:val="en-US" w:eastAsia="zh-CN"/>
              </w:rPr>
              <w:t>(0-2)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没有提供不得分。</w:t>
            </w:r>
          </w:p>
        </w:tc>
        <w:tc>
          <w:tcPr>
            <w:tcW w:w="1037" w:type="dxa"/>
            <w:vAlign w:val="center"/>
          </w:tcPr>
          <w:p>
            <w:pPr>
              <w:spacing w:line="24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1205" w:type="dxa"/>
            <w:vAlign w:val="center"/>
          </w:tcPr>
          <w:p>
            <w:pPr>
              <w:widowControl/>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2"/>
                <w:szCs w:val="22"/>
                <w:highlight w:val="none"/>
              </w:rPr>
              <w:t>技术能力</w:t>
            </w:r>
          </w:p>
        </w:tc>
        <w:tc>
          <w:tcPr>
            <w:tcW w:w="7248" w:type="dxa"/>
            <w:gridSpan w:val="2"/>
            <w:vAlign w:val="center"/>
          </w:tcPr>
          <w:p>
            <w:pPr>
              <w:widowControl/>
              <w:spacing w:line="240" w:lineRule="auto"/>
              <w:rPr>
                <w:rFonts w:hint="eastAsia" w:ascii="仿宋" w:hAnsi="仿宋" w:eastAsia="仿宋" w:cs="仿宋"/>
                <w:color w:val="000000"/>
                <w:sz w:val="24"/>
                <w:szCs w:val="24"/>
                <w:lang w:val="en-US" w:eastAsia="zh-CN" w:bidi="ar-SA"/>
              </w:rPr>
            </w:pPr>
            <w:r>
              <w:rPr>
                <w:rFonts w:hint="eastAsia" w:ascii="仿宋" w:hAnsi="仿宋" w:eastAsia="仿宋" w:cs="仿宋"/>
                <w:color w:val="auto"/>
                <w:sz w:val="22"/>
                <w:szCs w:val="22"/>
                <w:highlight w:val="none"/>
              </w:rPr>
              <w:t>供应商获得有与本项目合同履行相关的实验室方面软件著作权或发明专利，</w:t>
            </w:r>
            <w:r>
              <w:rPr>
                <w:rFonts w:hint="eastAsia" w:ascii="仿宋" w:hAnsi="仿宋" w:eastAsia="仿宋" w:cs="仿宋"/>
                <w:color w:val="auto"/>
                <w:sz w:val="22"/>
                <w:szCs w:val="22"/>
                <w:highlight w:val="none"/>
                <w:lang w:eastAsia="zh-CN"/>
              </w:rPr>
              <w:t>每提供</w:t>
            </w:r>
            <w:r>
              <w:rPr>
                <w:rFonts w:hint="eastAsia" w:ascii="仿宋" w:hAnsi="仿宋" w:eastAsia="仿宋" w:cs="仿宋"/>
                <w:color w:val="auto"/>
                <w:sz w:val="22"/>
                <w:szCs w:val="22"/>
                <w:highlight w:val="none"/>
              </w:rPr>
              <w:t>一个得1分，</w:t>
            </w:r>
            <w:r>
              <w:rPr>
                <w:rFonts w:hint="eastAsia" w:ascii="仿宋" w:hAnsi="仿宋" w:eastAsia="仿宋" w:cs="仿宋"/>
                <w:color w:val="auto"/>
                <w:sz w:val="22"/>
                <w:szCs w:val="22"/>
                <w:highlight w:val="none"/>
                <w:lang w:eastAsia="zh-CN"/>
              </w:rPr>
              <w:t>此项最高得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分（例如：一种新型洁净型恒温恒湿机组、全景智慧实验室监控系统软件、实验室危险品智慧管控系统软件、智能通风柜控制系统软件、实验室远程监控系统软件、整体实验室系统管理软件）。</w:t>
            </w:r>
          </w:p>
        </w:tc>
        <w:tc>
          <w:tcPr>
            <w:tcW w:w="10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0-5</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18"/>
                <w:szCs w:val="18"/>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1205" w:type="dxa"/>
            <w:vMerge w:val="restar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售后服务</w:t>
            </w:r>
          </w:p>
        </w:tc>
        <w:tc>
          <w:tcPr>
            <w:tcW w:w="7248" w:type="dxa"/>
            <w:gridSpan w:val="2"/>
            <w:vAlign w:val="center"/>
          </w:tcPr>
          <w:p>
            <w:pPr>
              <w:widowControl/>
              <w:jc w:val="left"/>
              <w:textAlignment w:val="center"/>
              <w:rPr>
                <w:rFonts w:hint="eastAsia" w:ascii="仿宋" w:hAnsi="仿宋" w:eastAsia="仿宋" w:cs="仿宋"/>
                <w:color w:val="000000"/>
                <w:kern w:val="0"/>
                <w:sz w:val="24"/>
                <w:szCs w:val="21"/>
                <w:lang w:val="en-US" w:eastAsia="zh-CN" w:bidi="ar-SA"/>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供应商响应招标内容和技术要求，售后服务承诺和具体措施，根据详细明确程度进行评分0-</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p>
        </w:tc>
        <w:tc>
          <w:tcPr>
            <w:tcW w:w="1037" w:type="dxa"/>
            <w:vAlign w:val="center"/>
          </w:tcPr>
          <w:p>
            <w:pPr>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w:t>
            </w:r>
          </w:p>
        </w:tc>
        <w:tc>
          <w:tcPr>
            <w:tcW w:w="1205" w:type="dxa"/>
            <w:vMerge w:val="continue"/>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lang w:val="en-US" w:eastAsia="zh-CN" w:bidi="ar-SA"/>
              </w:rPr>
            </w:pPr>
          </w:p>
        </w:tc>
        <w:tc>
          <w:tcPr>
            <w:tcW w:w="7248" w:type="dxa"/>
            <w:gridSpan w:val="2"/>
            <w:vAlign w:val="center"/>
          </w:tcPr>
          <w:p>
            <w:pPr>
              <w:widowControl/>
              <w:jc w:val="left"/>
              <w:textAlignment w:val="center"/>
              <w:rPr>
                <w:rFonts w:hint="eastAsia" w:ascii="仿宋" w:hAnsi="仿宋" w:eastAsia="仿宋" w:cs="仿宋"/>
                <w:color w:val="000000"/>
                <w:kern w:val="0"/>
                <w:sz w:val="24"/>
                <w:szCs w:val="21"/>
                <w:lang w:val="en-US" w:eastAsia="zh-CN" w:bidi="ar-SA"/>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供应商响应采购内容和技术要求，用户培训服务和具体措施详细明确程度</w:t>
            </w:r>
            <w:r>
              <w:rPr>
                <w:rFonts w:hint="eastAsia" w:ascii="仿宋" w:hAnsi="仿宋" w:eastAsia="仿宋" w:cs="仿宋"/>
                <w:color w:val="auto"/>
                <w:sz w:val="22"/>
                <w:szCs w:val="22"/>
                <w:highlight w:val="none"/>
                <w:lang w:val="en-US" w:eastAsia="zh-CN"/>
              </w:rPr>
              <w:t>和人员配置</w:t>
            </w:r>
            <w:r>
              <w:rPr>
                <w:rFonts w:hint="eastAsia" w:ascii="仿宋" w:hAnsi="仿宋" w:eastAsia="仿宋" w:cs="仿宋"/>
                <w:color w:val="auto"/>
                <w:sz w:val="22"/>
                <w:szCs w:val="22"/>
                <w:highlight w:val="none"/>
              </w:rPr>
              <w:t>进行评分0-</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p>
        </w:tc>
        <w:tc>
          <w:tcPr>
            <w:tcW w:w="1037" w:type="dxa"/>
            <w:vAlign w:val="center"/>
          </w:tcPr>
          <w:p>
            <w:pPr>
              <w:spacing w:line="24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88" w:type="dxa"/>
            <w:vAlign w:val="center"/>
          </w:tcPr>
          <w:p>
            <w:pPr>
              <w:autoSpaceDE/>
              <w:autoSpaceDN/>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1205" w:type="dxa"/>
            <w:vMerge w:val="continue"/>
            <w:vAlign w:val="center"/>
          </w:tcPr>
          <w:p>
            <w:pPr>
              <w:spacing w:line="320" w:lineRule="exact"/>
              <w:jc w:val="center"/>
              <w:rPr>
                <w:rFonts w:hint="eastAsia" w:ascii="仿宋" w:hAnsi="仿宋" w:eastAsia="仿宋" w:cs="仿宋"/>
                <w:color w:val="000000"/>
                <w:sz w:val="24"/>
                <w:szCs w:val="21"/>
                <w:lang w:val="en-US" w:eastAsia="zh-CN" w:bidi="ar-SA"/>
              </w:rPr>
            </w:pPr>
          </w:p>
        </w:tc>
        <w:tc>
          <w:tcPr>
            <w:tcW w:w="7248" w:type="dxa"/>
            <w:gridSpan w:val="2"/>
            <w:vAlign w:val="top"/>
          </w:tcPr>
          <w:p>
            <w:pPr>
              <w:widowControl/>
              <w:jc w:val="left"/>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供应商具备售后服务能力</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制冷空调设备维修安装资质A类</w:t>
            </w:r>
            <w:r>
              <w:rPr>
                <w:rFonts w:hint="eastAsia" w:ascii="仿宋" w:hAnsi="仿宋" w:eastAsia="仿宋" w:cs="仿宋"/>
                <w:color w:val="auto"/>
                <w:sz w:val="22"/>
                <w:szCs w:val="22"/>
                <w:highlight w:val="none"/>
                <w:lang w:eastAsia="zh-CN"/>
              </w:rPr>
              <w:t>、</w:t>
            </w:r>
          </w:p>
          <w:p>
            <w:pPr>
              <w:spacing w:line="240" w:lineRule="auto"/>
              <w:rPr>
                <w:rFonts w:hint="eastAsia" w:ascii="仿宋" w:hAnsi="仿宋" w:eastAsia="仿宋" w:cs="仿宋"/>
                <w:color w:val="000000"/>
                <w:sz w:val="24"/>
                <w:szCs w:val="21"/>
                <w:lang w:val="en-US" w:eastAsia="zh-CN" w:bidi="ar-SA"/>
              </w:rPr>
            </w:pPr>
            <w:r>
              <w:rPr>
                <w:rFonts w:hint="eastAsia" w:ascii="仿宋" w:hAnsi="仿宋" w:eastAsia="仿宋" w:cs="仿宋"/>
                <w:color w:val="auto"/>
                <w:sz w:val="22"/>
                <w:szCs w:val="22"/>
                <w:highlight w:val="none"/>
              </w:rPr>
              <w:t>工业清洗企业中央空调清洗A级</w:t>
            </w:r>
            <w:r>
              <w:rPr>
                <w:rFonts w:hint="eastAsia" w:ascii="仿宋" w:hAnsi="仿宋" w:eastAsia="仿宋" w:cs="仿宋"/>
                <w:color w:val="auto"/>
                <w:sz w:val="22"/>
                <w:szCs w:val="22"/>
                <w:highlight w:val="none"/>
                <w:lang w:val="en-US" w:eastAsia="zh-CN"/>
              </w:rPr>
              <w:t>资质</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售后服务五星证书，</w:t>
            </w:r>
            <w:r>
              <w:rPr>
                <w:rFonts w:hint="eastAsia" w:ascii="仿宋" w:hAnsi="仿宋" w:eastAsia="仿宋" w:cs="仿宋"/>
                <w:color w:val="auto"/>
                <w:sz w:val="22"/>
                <w:szCs w:val="22"/>
                <w:highlight w:val="none"/>
                <w:lang w:eastAsia="zh-CN"/>
              </w:rPr>
              <w:t>每提供</w:t>
            </w:r>
            <w:r>
              <w:rPr>
                <w:rFonts w:hint="eastAsia" w:ascii="仿宋" w:hAnsi="仿宋" w:eastAsia="仿宋" w:cs="仿宋"/>
                <w:color w:val="auto"/>
                <w:sz w:val="22"/>
                <w:szCs w:val="22"/>
                <w:highlight w:val="none"/>
                <w:lang w:val="en-US" w:eastAsia="zh-CN"/>
              </w:rPr>
              <w:t>一个得1分，</w:t>
            </w:r>
            <w:r>
              <w:rPr>
                <w:rFonts w:hint="eastAsia" w:ascii="仿宋" w:hAnsi="仿宋" w:eastAsia="仿宋" w:cs="仿宋"/>
                <w:color w:val="auto"/>
                <w:sz w:val="22"/>
                <w:szCs w:val="22"/>
                <w:highlight w:val="none"/>
                <w:lang w:eastAsia="zh-CN"/>
              </w:rPr>
              <w:t>此项最高得</w:t>
            </w:r>
            <w:r>
              <w:rPr>
                <w:rFonts w:hint="eastAsia" w:ascii="仿宋" w:hAnsi="仿宋" w:eastAsia="仿宋" w:cs="仿宋"/>
                <w:color w:val="auto"/>
                <w:sz w:val="22"/>
                <w:szCs w:val="22"/>
                <w:highlight w:val="none"/>
                <w:lang w:val="en-US" w:eastAsia="zh-CN"/>
              </w:rPr>
              <w:t>3分。</w:t>
            </w:r>
            <w:r>
              <w:rPr>
                <w:rFonts w:hint="eastAsia" w:ascii="仿宋" w:hAnsi="仿宋" w:eastAsia="仿宋" w:cs="仿宋"/>
                <w:color w:val="auto"/>
                <w:sz w:val="22"/>
                <w:szCs w:val="22"/>
                <w:highlight w:val="none"/>
              </w:rPr>
              <w:t>（须提供相关证书复印件加盖公章，未提供不得分）</w:t>
            </w:r>
          </w:p>
        </w:tc>
        <w:tc>
          <w:tcPr>
            <w:tcW w:w="10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0-3</w:t>
            </w:r>
          </w:p>
          <w:p>
            <w:pPr>
              <w:spacing w:line="240" w:lineRule="auto"/>
              <w:jc w:val="center"/>
              <w:rPr>
                <w:rFonts w:hint="eastAsia" w:ascii="仿宋" w:hAnsi="仿宋" w:eastAsia="仿宋" w:cs="仿宋"/>
                <w:color w:val="000000"/>
                <w:sz w:val="24"/>
                <w:szCs w:val="24"/>
                <w:lang w:val="en-US" w:eastAsia="zh-CN" w:bidi="ar-SA"/>
              </w:rPr>
            </w:pPr>
            <w:r>
              <w:rPr>
                <w:rFonts w:hint="eastAsia" w:ascii="仿宋" w:hAnsi="仿宋" w:eastAsia="仿宋" w:cs="仿宋"/>
                <w:color w:val="auto"/>
                <w:sz w:val="18"/>
                <w:szCs w:val="18"/>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88" w:type="dxa"/>
            <w:vAlign w:val="center"/>
          </w:tcPr>
          <w:p>
            <w:pPr>
              <w:autoSpaceDE/>
              <w:autoSpaceDN/>
              <w:snapToGrid w:val="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1205" w:type="dxa"/>
            <w:vAlign w:val="center"/>
          </w:tcPr>
          <w:p>
            <w:pPr>
              <w:spacing w:line="320" w:lineRule="exact"/>
              <w:jc w:val="center"/>
              <w:rPr>
                <w:rFonts w:hint="eastAsia" w:ascii="仿宋" w:hAnsi="仿宋" w:eastAsia="仿宋" w:cs="仿宋"/>
                <w:color w:val="000000"/>
                <w:sz w:val="24"/>
                <w:szCs w:val="21"/>
                <w:lang w:val="en-US" w:eastAsia="zh-CN" w:bidi="ar-SA"/>
              </w:rPr>
            </w:pPr>
            <w:r>
              <w:rPr>
                <w:rFonts w:hint="eastAsia" w:ascii="仿宋" w:hAnsi="仿宋" w:eastAsia="仿宋" w:cs="仿宋"/>
                <w:color w:val="000000"/>
                <w:sz w:val="24"/>
                <w:lang w:eastAsia="zh-CN"/>
              </w:rPr>
              <w:t>政策分</w:t>
            </w:r>
          </w:p>
        </w:tc>
        <w:tc>
          <w:tcPr>
            <w:tcW w:w="7248" w:type="dxa"/>
            <w:gridSpan w:val="2"/>
            <w:vAlign w:val="top"/>
          </w:tcPr>
          <w:p>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eastAsia="zh-CN"/>
              </w:rPr>
              <w:t>投标人所投产品</w:t>
            </w:r>
            <w:r>
              <w:rPr>
                <w:rFonts w:hint="eastAsia" w:ascii="仿宋" w:hAnsi="仿宋" w:eastAsia="仿宋" w:cs="仿宋"/>
                <w:color w:val="auto"/>
                <w:sz w:val="22"/>
                <w:szCs w:val="22"/>
                <w:highlight w:val="none"/>
              </w:rPr>
              <w:t>若列入政府采购节能产品品目清单范围（强制采购除外）的加</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bookmarkStart w:id="21" w:name="_GoBack"/>
            <w:bookmarkEnd w:id="21"/>
          </w:p>
          <w:p>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投标人所投产品</w:t>
            </w:r>
            <w:r>
              <w:rPr>
                <w:rFonts w:hint="eastAsia" w:ascii="仿宋" w:hAnsi="仿宋" w:eastAsia="仿宋" w:cs="仿宋"/>
                <w:color w:val="auto"/>
                <w:sz w:val="22"/>
                <w:szCs w:val="22"/>
                <w:highlight w:val="none"/>
              </w:rPr>
              <w:t>若列入政府采购环境标志产品品目清单范围的加</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pPr>
              <w:spacing w:line="240" w:lineRule="auto"/>
              <w:rPr>
                <w:rFonts w:hint="eastAsia" w:ascii="仿宋" w:hAnsi="仿宋" w:eastAsia="仿宋" w:cs="仿宋"/>
                <w:color w:val="000000"/>
                <w:sz w:val="22"/>
                <w:szCs w:val="22"/>
                <w:lang w:val="en-US" w:eastAsia="zh-CN" w:bidi="ar-SA"/>
              </w:rPr>
            </w:pPr>
            <w:r>
              <w:rPr>
                <w:rFonts w:hint="eastAsia" w:ascii="仿宋" w:hAnsi="仿宋" w:eastAsia="仿宋" w:cs="仿宋"/>
                <w:b/>
                <w:bCs/>
                <w:sz w:val="22"/>
                <w:szCs w:val="22"/>
                <w:lang w:eastAsia="zh-CN"/>
              </w:rPr>
              <w:t>应同时提供①该产品所在的节能产品（环境标志产品）政府采购品目清单所在页；②该产品国家确定的认证机构出具的、处于有效期之内的节能产品（环境标志产品）认证证书复印件或中国政府采购网（www.ccgp.gov.cn）查询平台节能产品（环境标志产品）查询结果网页截图。</w:t>
            </w:r>
          </w:p>
        </w:tc>
        <w:tc>
          <w:tcPr>
            <w:tcW w:w="1037" w:type="dxa"/>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2</w:t>
            </w:r>
          </w:p>
          <w:p>
            <w:pPr>
              <w:spacing w:line="240" w:lineRule="auto"/>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18"/>
                <w:szCs w:val="18"/>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0278" w:type="dxa"/>
            <w:gridSpan w:val="5"/>
            <w:vAlign w:val="center"/>
          </w:tcPr>
          <w:p>
            <w:pPr>
              <w:pStyle w:val="36"/>
              <w:spacing w:before="0" w:beforeAutospacing="0" w:after="0" w:afterAutospacing="0"/>
              <w:rPr>
                <w:rFonts w:ascii="仿宋" w:hAnsi="仿宋" w:eastAsia="仿宋" w:cs="Times New Roman"/>
                <w:color w:val="auto"/>
                <w:kern w:val="2"/>
              </w:rPr>
            </w:pPr>
            <w:r>
              <w:rPr>
                <w:rFonts w:ascii="仿宋" w:hAnsi="仿宋" w:eastAsia="仿宋" w:cs="Times New Roman"/>
                <w:color w:val="auto"/>
                <w:kern w:val="2"/>
              </w:rPr>
              <w:t>注：1.如在投标文件中未涉及上述评分内容的，均按0分计。</w:t>
            </w:r>
          </w:p>
          <w:p>
            <w:pPr>
              <w:ind w:firstLine="480" w:firstLineChars="200"/>
              <w:jc w:val="left"/>
              <w:rPr>
                <w:rFonts w:hint="eastAsia" w:ascii="仿宋" w:hAnsi="仿宋" w:eastAsia="仿宋" w:cs="仿宋"/>
                <w:color w:val="auto"/>
                <w:sz w:val="24"/>
                <w:szCs w:val="24"/>
                <w:lang w:val="en-US" w:eastAsia="zh-CN" w:bidi="ar-SA"/>
              </w:rPr>
            </w:pPr>
            <w:r>
              <w:rPr>
                <w:rFonts w:ascii="仿宋" w:hAnsi="仿宋" w:eastAsia="仿宋"/>
                <w:color w:val="auto"/>
                <w:kern w:val="2"/>
                <w:sz w:val="24"/>
                <w:szCs w:val="24"/>
              </w:rPr>
              <w:t>2.投标文件中提供的材料均应清晰可辨，否则不得分。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0278" w:type="dxa"/>
            <w:gridSpan w:val="5"/>
            <w:vAlign w:val="center"/>
          </w:tcPr>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rPr>
            </w:pPr>
            <w:r>
              <w:rPr>
                <w:rFonts w:hint="eastAsia" w:ascii="仿宋" w:hAnsi="仿宋" w:eastAsia="仿宋" w:cs="Times New Roman"/>
                <w:color w:val="auto"/>
                <w:kern w:val="2"/>
              </w:rPr>
              <w:t>（四）报价分（</w:t>
            </w:r>
            <w:r>
              <w:rPr>
                <w:rFonts w:hint="eastAsia" w:ascii="仿宋" w:hAnsi="仿宋" w:eastAsia="仿宋" w:cs="Times New Roman"/>
                <w:color w:val="auto"/>
                <w:kern w:val="2"/>
                <w:lang w:val="en-US" w:eastAsia="zh-CN"/>
              </w:rPr>
              <w:t>3</w:t>
            </w:r>
            <w:r>
              <w:rPr>
                <w:rFonts w:hint="eastAsia" w:ascii="仿宋" w:hAnsi="仿宋" w:eastAsia="仿宋" w:cs="Times New Roman"/>
                <w:color w:val="auto"/>
                <w:kern w:val="2"/>
              </w:rPr>
              <w:t>0分）</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rPr>
            </w:pPr>
            <w:r>
              <w:rPr>
                <w:rFonts w:hint="eastAsia" w:ascii="仿宋" w:hAnsi="仿宋" w:eastAsia="仿宋" w:cs="Times New Roman"/>
                <w:color w:val="auto"/>
                <w:kern w:val="2"/>
              </w:rPr>
              <w:t>1.评定评标基准价：以合格投标人且投标报价最低的为评标基准折扣率，其报价分为满分。</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rPr>
            </w:pPr>
            <w:r>
              <w:rPr>
                <w:rFonts w:hint="eastAsia" w:ascii="仿宋" w:hAnsi="仿宋" w:eastAsia="仿宋" w:cs="Times New Roman"/>
                <w:color w:val="auto"/>
                <w:kern w:val="2"/>
              </w:rPr>
              <w:t>其他投标人的价格分统一按照下列公式计算：</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rPr>
            </w:pPr>
            <w:r>
              <w:rPr>
                <w:rFonts w:hint="eastAsia" w:ascii="仿宋" w:hAnsi="仿宋" w:eastAsia="仿宋" w:cs="Times New Roman"/>
                <w:color w:val="auto"/>
                <w:kern w:val="2"/>
              </w:rPr>
              <w:t>报价得分=评标基准</w:t>
            </w:r>
            <w:r>
              <w:rPr>
                <w:rFonts w:hint="eastAsia" w:ascii="仿宋" w:hAnsi="仿宋" w:eastAsia="仿宋" w:cs="Times New Roman"/>
                <w:color w:val="auto"/>
                <w:kern w:val="2"/>
                <w:lang w:eastAsia="zh-CN"/>
              </w:rPr>
              <w:t>价</w:t>
            </w:r>
            <w:r>
              <w:rPr>
                <w:rFonts w:hint="eastAsia" w:ascii="仿宋" w:hAnsi="仿宋" w:eastAsia="仿宋" w:cs="Times New Roman"/>
                <w:color w:val="auto"/>
                <w:kern w:val="2"/>
              </w:rPr>
              <w:t>/投标报价×30,计算结果保留2位小数。</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rPr>
            </w:pPr>
            <w:r>
              <w:rPr>
                <w:rFonts w:hint="eastAsia" w:ascii="仿宋" w:hAnsi="仿宋" w:eastAsia="仿宋" w:cs="Times New Roman"/>
                <w:color w:val="auto"/>
                <w:kern w:val="2"/>
                <w:lang w:val="en-US" w:eastAsia="zh-CN"/>
              </w:rPr>
              <w:t>2.</w:t>
            </w:r>
            <w:r>
              <w:rPr>
                <w:rFonts w:hint="eastAsia" w:ascii="仿宋" w:hAnsi="仿宋" w:eastAsia="仿宋" w:cs="Times New Roman"/>
                <w:color w:val="auto"/>
                <w:kern w:val="2"/>
              </w:rPr>
              <w:t>落实政府采购政策说明：</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rPr>
            </w:pPr>
            <w:r>
              <w:rPr>
                <w:rFonts w:hint="eastAsia" w:ascii="仿宋" w:hAnsi="仿宋" w:eastAsia="仿宋" w:cs="Times New Roman"/>
                <w:color w:val="auto"/>
                <w:kern w:val="2"/>
              </w:rPr>
              <w:t>依据财政部和工业和信息化部《关于印发《政府采购促进中小企业发展管理办法》的通知》（财库〔2020〕46号的规定，对小型和微型企业产品的价格给予</w:t>
            </w:r>
            <w:r>
              <w:rPr>
                <w:rFonts w:hint="eastAsia" w:ascii="仿宋" w:hAnsi="仿宋" w:eastAsia="仿宋" w:cs="Times New Roman"/>
                <w:color w:val="auto"/>
                <w:kern w:val="2"/>
                <w:lang w:val="en-US" w:eastAsia="zh-CN"/>
              </w:rPr>
              <w:t>2</w:t>
            </w:r>
            <w:r>
              <w:rPr>
                <w:rFonts w:hint="eastAsia" w:ascii="仿宋" w:hAnsi="仿宋" w:eastAsia="仿宋" w:cs="Times New Roman"/>
                <w:color w:val="auto"/>
                <w:kern w:val="2"/>
              </w:rPr>
              <w:t>0%的扣除，用扣除后的价格参与评审；依据财库[2014]68号文件规定，监狱企业视同小型、微型企业；依据《财政部、民政部、中国残疾人联合会关于促进残疾人就业政府采购政策的通知》（财库〔2017〕141号）的规定，残疾人福利性单位视同小型、微型企业。)</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lang w:eastAsia="zh-CN"/>
              </w:rPr>
            </w:pPr>
            <w:r>
              <w:rPr>
                <w:rFonts w:hint="eastAsia" w:ascii="仿宋" w:hAnsi="仿宋" w:eastAsia="仿宋" w:cs="Times New Roman"/>
                <w:color w:val="auto"/>
                <w:kern w:val="2"/>
                <w:lang w:eastAsia="zh-CN"/>
              </w:rPr>
              <w:t>注：</w:t>
            </w:r>
            <w:r>
              <w:rPr>
                <w:rFonts w:hint="eastAsia" w:ascii="仿宋" w:hAnsi="仿宋" w:eastAsia="仿宋" w:cs="Times New Roman"/>
                <w:color w:val="auto"/>
                <w:kern w:val="2"/>
              </w:rPr>
              <w:t>在货物采购项目中</w:t>
            </w:r>
            <w:r>
              <w:rPr>
                <w:rFonts w:hint="eastAsia" w:ascii="仿宋" w:hAnsi="仿宋" w:eastAsia="仿宋" w:cs="Times New Roman"/>
                <w:color w:val="auto"/>
                <w:kern w:val="2"/>
                <w:lang w:eastAsia="zh-CN"/>
              </w:rPr>
              <w:t>，</w:t>
            </w:r>
            <w:r>
              <w:rPr>
                <w:rFonts w:hint="eastAsia" w:ascii="仿宋" w:hAnsi="仿宋" w:eastAsia="仿宋" w:cs="Times New Roman"/>
                <w:color w:val="auto"/>
                <w:kern w:val="2"/>
              </w:rPr>
              <w:t>供应商提供的货物既有中小企业制造货物，也有大型企业制造货物的，不享受本办法规定的中小企业扶持政策。</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rPr>
            </w:pPr>
            <w:r>
              <w:rPr>
                <w:rFonts w:hint="eastAsia" w:ascii="仿宋" w:hAnsi="仿宋" w:eastAsia="仿宋" w:cs="Times New Roman"/>
                <w:color w:val="auto"/>
                <w:kern w:val="2"/>
              </w:rPr>
              <w:t>若投标人是中小企业优惠政策的应按照规定，在报价文件中按照规定格式，提供《中小型企业声明函》及“国家企业信用信息公示系统—小微企业名录”投标截止时间前5天内页面查询结果网页截图；若投标人是残疾人福利单位的须按照规定格式，提供《残疾人福利性单位声明函》及财库【2017】141号文第一条（一）至（五）的材料。若投标人是监狱企业须提供（省级以上监狱管理局、戒毒管理局（含新疆生产建设兵团）出具的属于监狱企业的</w:t>
            </w:r>
            <w:r>
              <w:rPr>
                <w:rFonts w:hint="eastAsia" w:ascii="仿宋" w:hAnsi="仿宋" w:eastAsia="仿宋" w:cs="Times New Roman"/>
                <w:color w:val="auto"/>
                <w:kern w:val="2"/>
                <w:lang w:eastAsia="zh-CN"/>
              </w:rPr>
              <w:t>资格文件</w:t>
            </w:r>
            <w:r>
              <w:rPr>
                <w:rFonts w:hint="eastAsia" w:ascii="仿宋" w:hAnsi="仿宋" w:eastAsia="仿宋" w:cs="Times New Roman"/>
                <w:color w:val="auto"/>
                <w:kern w:val="2"/>
              </w:rPr>
              <w:t>）。其报价扣减</w:t>
            </w:r>
            <w:r>
              <w:rPr>
                <w:rFonts w:hint="eastAsia" w:ascii="仿宋" w:hAnsi="仿宋" w:eastAsia="仿宋" w:cs="Times New Roman"/>
                <w:color w:val="auto"/>
                <w:kern w:val="2"/>
                <w:lang w:val="en-US" w:eastAsia="zh-CN"/>
              </w:rPr>
              <w:t>2</w:t>
            </w:r>
            <w:r>
              <w:rPr>
                <w:rFonts w:hint="eastAsia" w:ascii="仿宋" w:hAnsi="仿宋" w:eastAsia="仿宋" w:cs="Times New Roman"/>
                <w:color w:val="auto"/>
                <w:kern w:val="2"/>
              </w:rPr>
              <w:t>0%后再计入报价得分的评审（不累计扣减）。即投标报价得分=(评标基准价／(投标报价*</w:t>
            </w:r>
            <w:r>
              <w:rPr>
                <w:rFonts w:hint="eastAsia" w:ascii="仿宋" w:hAnsi="仿宋" w:eastAsia="仿宋" w:cs="Times New Roman"/>
                <w:color w:val="auto"/>
                <w:kern w:val="2"/>
                <w:lang w:val="en-US" w:eastAsia="zh-CN"/>
              </w:rPr>
              <w:t>8</w:t>
            </w:r>
            <w:r>
              <w:rPr>
                <w:rFonts w:hint="eastAsia" w:ascii="仿宋" w:hAnsi="仿宋" w:eastAsia="仿宋" w:cs="Times New Roman"/>
                <w:color w:val="auto"/>
                <w:kern w:val="2"/>
              </w:rPr>
              <w:t>0%)×报价分权重。</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rPr>
            </w:pPr>
            <w:r>
              <w:rPr>
                <w:rFonts w:hint="eastAsia" w:ascii="仿宋" w:hAnsi="仿宋" w:eastAsia="仿宋" w:cs="Times New Roman"/>
                <w:color w:val="auto"/>
                <w:kern w:val="2"/>
              </w:rPr>
              <w:t>注</w:t>
            </w:r>
            <w:r>
              <w:rPr>
                <w:rFonts w:hint="default" w:ascii="仿宋" w:hAnsi="仿宋" w:eastAsia="仿宋" w:cs="Times New Roman"/>
                <w:color w:val="auto"/>
                <w:kern w:val="2"/>
              </w:rPr>
              <w:t>①</w:t>
            </w:r>
            <w:r>
              <w:rPr>
                <w:rFonts w:hint="eastAsia" w:ascii="仿宋" w:hAnsi="仿宋" w:eastAsia="仿宋" w:cs="Times New Roman"/>
                <w:color w:val="auto"/>
                <w:kern w:val="2"/>
              </w:rPr>
              <w:t>若本项目所有供应商均属小型、微型企业或监狱企业或残疾人福利性单位的，按原报价进行评审。</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rPr>
            </w:pPr>
            <w:r>
              <w:rPr>
                <w:rFonts w:hint="default" w:ascii="仿宋" w:hAnsi="仿宋" w:eastAsia="仿宋" w:cs="Times New Roman"/>
                <w:color w:val="auto"/>
                <w:kern w:val="2"/>
              </w:rPr>
              <w:t>②</w:t>
            </w:r>
            <w:r>
              <w:rPr>
                <w:rFonts w:hint="eastAsia" w:ascii="仿宋" w:hAnsi="仿宋" w:eastAsia="仿宋" w:cs="Times New Roman"/>
                <w:color w:val="auto"/>
                <w:kern w:val="2"/>
              </w:rPr>
              <w:t>监狱企业、残疾人福利性单位属于小型、微型企业的，不重复享受政策。</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rPr>
            </w:pPr>
            <w:r>
              <w:rPr>
                <w:rFonts w:hint="default" w:ascii="仿宋" w:hAnsi="仿宋" w:eastAsia="仿宋" w:cs="Times New Roman"/>
                <w:color w:val="auto"/>
                <w:kern w:val="2"/>
              </w:rPr>
              <w:t>③</w:t>
            </w:r>
            <w:r>
              <w:rPr>
                <w:rFonts w:hint="eastAsia" w:ascii="仿宋" w:hAnsi="仿宋" w:eastAsia="仿宋" w:cs="Times New Roman"/>
                <w:color w:val="auto"/>
                <w:kern w:val="2"/>
              </w:rPr>
              <w:t>若投标人提供的中小企业声明函与实际情况不符的，视为投标人提供虚假材料投标，投标无效。</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Times New Roman"/>
                <w:color w:val="auto"/>
                <w:kern w:val="2"/>
                <w:lang w:val="en-US" w:eastAsia="zh-CN"/>
              </w:rPr>
            </w:pPr>
            <w:r>
              <w:rPr>
                <w:rFonts w:hint="default" w:ascii="仿宋" w:hAnsi="仿宋" w:eastAsia="仿宋" w:cs="Times New Roman"/>
                <w:color w:val="auto"/>
                <w:kern w:val="2"/>
              </w:rPr>
              <w:t>④</w:t>
            </w:r>
            <w:r>
              <w:rPr>
                <w:rFonts w:hint="eastAsia" w:ascii="仿宋" w:hAnsi="仿宋" w:eastAsia="仿宋" w:cs="Times New Roman"/>
                <w:color w:val="auto"/>
                <w:kern w:val="2"/>
              </w:rPr>
              <w:t>投标人未提供上述相关材料的，不享受上述扶持政策。</w:t>
            </w:r>
          </w:p>
        </w:tc>
      </w:tr>
    </w:tbl>
    <w:p>
      <w:pPr>
        <w:pStyle w:val="12"/>
        <w:ind w:left="0" w:leftChars="0"/>
        <w:rPr>
          <w:rFonts w:ascii="仿宋" w:hAnsi="仿宋" w:eastAsia="仿宋" w:cs="仿宋"/>
          <w:b/>
          <w:color w:val="auto"/>
          <w:sz w:val="24"/>
          <w:szCs w:val="24"/>
        </w:rPr>
      </w:pPr>
      <w:r>
        <w:rPr>
          <w:rFonts w:hint="eastAsia" w:ascii="仿宋" w:hAnsi="仿宋" w:eastAsia="仿宋" w:cs="仿宋"/>
          <w:b/>
          <w:color w:val="auto"/>
          <w:sz w:val="24"/>
          <w:szCs w:val="24"/>
        </w:rPr>
        <w:t>注：本次评审通过资格审查和符合性评审的单位全部入围进行商务评审。</w:t>
      </w:r>
      <w:bookmarkEnd w:id="18"/>
    </w:p>
    <w:p>
      <w:pPr>
        <w:rPr>
          <w:rFonts w:ascii="仿宋" w:hAnsi="仿宋" w:eastAsia="仿宋" w:cs="仿宋"/>
          <w:b/>
          <w:color w:val="auto"/>
          <w:sz w:val="24"/>
          <w:szCs w:val="24"/>
        </w:rPr>
      </w:pPr>
      <w:r>
        <w:rPr>
          <w:rFonts w:hint="eastAsia" w:ascii="仿宋" w:hAnsi="仿宋" w:eastAsia="仿宋" w:cs="仿宋"/>
          <w:b/>
          <w:color w:val="auto"/>
          <w:sz w:val="24"/>
          <w:szCs w:val="24"/>
        </w:rPr>
        <w:br w:type="page"/>
      </w:r>
    </w:p>
    <w:p>
      <w:pPr>
        <w:jc w:val="center"/>
        <w:rPr>
          <w:rFonts w:ascii="仿宋" w:hAnsi="仿宋" w:eastAsia="仿宋" w:cs="仿宋"/>
          <w:b/>
          <w:color w:val="auto"/>
          <w:kern w:val="44"/>
          <w:sz w:val="36"/>
          <w:szCs w:val="36"/>
        </w:rPr>
      </w:pPr>
      <w:r>
        <w:rPr>
          <w:rFonts w:hint="eastAsia" w:ascii="仿宋" w:hAnsi="仿宋" w:eastAsia="仿宋" w:cs="仿宋"/>
          <w:b/>
          <w:color w:val="auto"/>
          <w:kern w:val="44"/>
          <w:sz w:val="36"/>
          <w:szCs w:val="36"/>
        </w:rPr>
        <w:t>第五章  武义县政府采购合同（通用条款）</w:t>
      </w:r>
    </w:p>
    <w:p>
      <w:pPr>
        <w:spacing w:line="420" w:lineRule="exact"/>
        <w:jc w:val="center"/>
        <w:rPr>
          <w:rFonts w:ascii="仿宋" w:hAnsi="仿宋" w:eastAsia="仿宋" w:cs="仿宋"/>
          <w:color w:val="auto"/>
          <w:sz w:val="24"/>
          <w:szCs w:val="24"/>
        </w:rPr>
      </w:pPr>
    </w:p>
    <w:p>
      <w:pPr>
        <w:spacing w:line="420" w:lineRule="exact"/>
        <w:rPr>
          <w:rFonts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420" w:lineRule="exact"/>
        <w:rPr>
          <w:rFonts w:ascii="仿宋" w:hAnsi="仿宋" w:eastAsia="仿宋" w:cs="仿宋"/>
          <w:color w:val="auto"/>
          <w:sz w:val="24"/>
          <w:szCs w:val="24"/>
        </w:rPr>
      </w:pPr>
      <w:r>
        <w:rPr>
          <w:rFonts w:hint="eastAsia" w:ascii="仿宋" w:hAnsi="仿宋" w:eastAsia="仿宋" w:cs="仿宋"/>
          <w:color w:val="auto"/>
          <w:sz w:val="24"/>
          <w:szCs w:val="24"/>
        </w:rPr>
        <w:t>乙方（供货单位）：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根据《中华人民共和国民法典》、《中华人民共和国政府采购法》等有关规定，以及</w:t>
      </w:r>
      <w:r>
        <w:rPr>
          <w:rFonts w:hint="eastAsia" w:ascii="仿宋" w:hAnsi="仿宋" w:eastAsia="仿宋" w:cs="仿宋"/>
          <w:color w:val="auto"/>
          <w:sz w:val="24"/>
          <w:szCs w:val="24"/>
          <w:u w:val="single"/>
          <w:lang w:eastAsia="zh-CN"/>
        </w:rPr>
        <w:t>武义县公共卫生中心实验楼和血站专业改造项目</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lang w:eastAsia="zh-CN"/>
        </w:rPr>
        <w:t>JHTK-ZB2022244</w:t>
      </w:r>
      <w:r>
        <w:rPr>
          <w:rFonts w:hint="eastAsia" w:ascii="仿宋" w:hAnsi="仿宋" w:eastAsia="仿宋" w:cs="仿宋"/>
          <w:color w:val="auto"/>
          <w:sz w:val="24"/>
          <w:szCs w:val="24"/>
        </w:rPr>
        <w:t>）采购文件相关要求，经法定程序采购，双方同意签订以下合同条款，以便双方共同遵守、履行合同。</w:t>
      </w:r>
    </w:p>
    <w:p>
      <w:pPr>
        <w:spacing w:line="420" w:lineRule="exact"/>
        <w:rPr>
          <w:rFonts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一、采购项目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vAlign w:val="center"/>
          </w:tcPr>
          <w:p>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名称</w:t>
            </w:r>
          </w:p>
        </w:tc>
        <w:tc>
          <w:tcPr>
            <w:tcW w:w="3332" w:type="dxa"/>
            <w:vAlign w:val="center"/>
          </w:tcPr>
          <w:p>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货物</w:t>
            </w:r>
            <w:r>
              <w:rPr>
                <w:rFonts w:hint="eastAsia" w:ascii="仿宋" w:hAnsi="仿宋" w:eastAsia="仿宋" w:cs="仿宋"/>
                <w:color w:val="auto"/>
                <w:sz w:val="24"/>
                <w:szCs w:val="24"/>
              </w:rPr>
              <w:t>内容</w:t>
            </w:r>
          </w:p>
        </w:tc>
        <w:tc>
          <w:tcPr>
            <w:tcW w:w="1388" w:type="dxa"/>
            <w:vAlign w:val="center"/>
          </w:tcPr>
          <w:p>
            <w:pPr>
              <w:spacing w:line="42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工期</w:t>
            </w:r>
          </w:p>
        </w:tc>
        <w:tc>
          <w:tcPr>
            <w:tcW w:w="1260" w:type="dxa"/>
            <w:vAlign w:val="center"/>
          </w:tcPr>
          <w:p>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单价（元）</w:t>
            </w:r>
          </w:p>
        </w:tc>
        <w:tc>
          <w:tcPr>
            <w:tcW w:w="1440" w:type="dxa"/>
            <w:vAlign w:val="center"/>
          </w:tcPr>
          <w:p>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pPr>
              <w:spacing w:line="420" w:lineRule="exact"/>
              <w:rPr>
                <w:rFonts w:ascii="仿宋" w:hAnsi="仿宋" w:eastAsia="仿宋" w:cs="仿宋"/>
                <w:color w:val="auto"/>
                <w:sz w:val="24"/>
                <w:szCs w:val="24"/>
              </w:rPr>
            </w:pPr>
          </w:p>
        </w:tc>
        <w:tc>
          <w:tcPr>
            <w:tcW w:w="3332" w:type="dxa"/>
          </w:tcPr>
          <w:p>
            <w:pPr>
              <w:spacing w:line="420" w:lineRule="exact"/>
              <w:rPr>
                <w:rFonts w:ascii="仿宋" w:hAnsi="仿宋" w:eastAsia="仿宋" w:cs="仿宋"/>
                <w:color w:val="auto"/>
                <w:sz w:val="24"/>
                <w:szCs w:val="24"/>
              </w:rPr>
            </w:pPr>
          </w:p>
        </w:tc>
        <w:tc>
          <w:tcPr>
            <w:tcW w:w="1388" w:type="dxa"/>
          </w:tcPr>
          <w:p>
            <w:pPr>
              <w:spacing w:line="420" w:lineRule="exact"/>
              <w:rPr>
                <w:rFonts w:ascii="仿宋" w:hAnsi="仿宋" w:eastAsia="仿宋" w:cs="仿宋"/>
                <w:color w:val="auto"/>
                <w:sz w:val="24"/>
                <w:szCs w:val="24"/>
              </w:rPr>
            </w:pPr>
          </w:p>
        </w:tc>
        <w:tc>
          <w:tcPr>
            <w:tcW w:w="1260" w:type="dxa"/>
          </w:tcPr>
          <w:p>
            <w:pPr>
              <w:spacing w:line="420" w:lineRule="exact"/>
              <w:rPr>
                <w:rFonts w:ascii="仿宋" w:hAnsi="仿宋" w:eastAsia="仿宋" w:cs="仿宋"/>
                <w:color w:val="auto"/>
                <w:sz w:val="24"/>
                <w:szCs w:val="24"/>
              </w:rPr>
            </w:pPr>
          </w:p>
        </w:tc>
        <w:tc>
          <w:tcPr>
            <w:tcW w:w="1440" w:type="dxa"/>
          </w:tcPr>
          <w:p>
            <w:pPr>
              <w:spacing w:line="42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pPr>
              <w:spacing w:line="420" w:lineRule="exact"/>
              <w:rPr>
                <w:rFonts w:ascii="仿宋" w:hAnsi="仿宋" w:eastAsia="仿宋" w:cs="仿宋"/>
                <w:color w:val="auto"/>
                <w:sz w:val="24"/>
                <w:szCs w:val="24"/>
              </w:rPr>
            </w:pPr>
          </w:p>
        </w:tc>
        <w:tc>
          <w:tcPr>
            <w:tcW w:w="3332" w:type="dxa"/>
          </w:tcPr>
          <w:p>
            <w:pPr>
              <w:spacing w:line="420" w:lineRule="exact"/>
              <w:rPr>
                <w:rFonts w:ascii="仿宋" w:hAnsi="仿宋" w:eastAsia="仿宋" w:cs="仿宋"/>
                <w:color w:val="auto"/>
                <w:sz w:val="24"/>
                <w:szCs w:val="24"/>
              </w:rPr>
            </w:pPr>
          </w:p>
        </w:tc>
        <w:tc>
          <w:tcPr>
            <w:tcW w:w="1388" w:type="dxa"/>
          </w:tcPr>
          <w:p>
            <w:pPr>
              <w:spacing w:line="420" w:lineRule="exact"/>
              <w:rPr>
                <w:rFonts w:ascii="仿宋" w:hAnsi="仿宋" w:eastAsia="仿宋" w:cs="仿宋"/>
                <w:color w:val="auto"/>
                <w:sz w:val="24"/>
                <w:szCs w:val="24"/>
              </w:rPr>
            </w:pPr>
          </w:p>
        </w:tc>
        <w:tc>
          <w:tcPr>
            <w:tcW w:w="1260" w:type="dxa"/>
          </w:tcPr>
          <w:p>
            <w:pPr>
              <w:spacing w:line="420" w:lineRule="exact"/>
              <w:rPr>
                <w:rFonts w:ascii="仿宋" w:hAnsi="仿宋" w:eastAsia="仿宋" w:cs="仿宋"/>
                <w:color w:val="auto"/>
                <w:sz w:val="24"/>
                <w:szCs w:val="24"/>
              </w:rPr>
            </w:pPr>
          </w:p>
        </w:tc>
        <w:tc>
          <w:tcPr>
            <w:tcW w:w="1440" w:type="dxa"/>
          </w:tcPr>
          <w:p>
            <w:pPr>
              <w:spacing w:line="42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pPr>
              <w:spacing w:line="420" w:lineRule="exact"/>
              <w:rPr>
                <w:rFonts w:ascii="仿宋" w:hAnsi="仿宋" w:eastAsia="仿宋" w:cs="仿宋"/>
                <w:color w:val="auto"/>
                <w:sz w:val="24"/>
                <w:szCs w:val="24"/>
              </w:rPr>
            </w:pPr>
          </w:p>
        </w:tc>
        <w:tc>
          <w:tcPr>
            <w:tcW w:w="3332" w:type="dxa"/>
          </w:tcPr>
          <w:p>
            <w:pPr>
              <w:spacing w:line="420" w:lineRule="exact"/>
              <w:rPr>
                <w:rFonts w:ascii="仿宋" w:hAnsi="仿宋" w:eastAsia="仿宋" w:cs="仿宋"/>
                <w:color w:val="auto"/>
                <w:sz w:val="24"/>
                <w:szCs w:val="24"/>
              </w:rPr>
            </w:pPr>
          </w:p>
        </w:tc>
        <w:tc>
          <w:tcPr>
            <w:tcW w:w="1388" w:type="dxa"/>
          </w:tcPr>
          <w:p>
            <w:pPr>
              <w:spacing w:line="420" w:lineRule="exact"/>
              <w:rPr>
                <w:rFonts w:ascii="仿宋" w:hAnsi="仿宋" w:eastAsia="仿宋" w:cs="仿宋"/>
                <w:color w:val="auto"/>
                <w:sz w:val="24"/>
                <w:szCs w:val="24"/>
              </w:rPr>
            </w:pPr>
          </w:p>
        </w:tc>
        <w:tc>
          <w:tcPr>
            <w:tcW w:w="1260" w:type="dxa"/>
          </w:tcPr>
          <w:p>
            <w:pPr>
              <w:spacing w:line="420" w:lineRule="exact"/>
              <w:rPr>
                <w:rFonts w:ascii="仿宋" w:hAnsi="仿宋" w:eastAsia="仿宋" w:cs="仿宋"/>
                <w:color w:val="auto"/>
                <w:sz w:val="24"/>
                <w:szCs w:val="24"/>
              </w:rPr>
            </w:pPr>
          </w:p>
        </w:tc>
        <w:tc>
          <w:tcPr>
            <w:tcW w:w="1440" w:type="dxa"/>
          </w:tcPr>
          <w:p>
            <w:pPr>
              <w:spacing w:line="42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vAlign w:val="center"/>
          </w:tcPr>
          <w:p>
            <w:pPr>
              <w:spacing w:line="420" w:lineRule="exact"/>
              <w:rPr>
                <w:rFonts w:ascii="仿宋" w:hAnsi="仿宋" w:eastAsia="仿宋" w:cs="仿宋"/>
                <w:color w:val="auto"/>
                <w:sz w:val="24"/>
                <w:szCs w:val="24"/>
              </w:rPr>
            </w:pPr>
            <w:r>
              <w:rPr>
                <w:rFonts w:hint="eastAsia" w:ascii="仿宋" w:hAnsi="仿宋" w:eastAsia="仿宋" w:cs="仿宋"/>
                <w:color w:val="auto"/>
                <w:sz w:val="24"/>
                <w:szCs w:val="24"/>
              </w:rPr>
              <w:t>合计人民币（大写）：  佰   拾   万   仟   佰   拾   元    角    分  ￥：</w:t>
            </w:r>
          </w:p>
        </w:tc>
      </w:tr>
    </w:tbl>
    <w:p>
      <w:pPr>
        <w:spacing w:line="420" w:lineRule="exact"/>
        <w:rPr>
          <w:rFonts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w:t>
      </w:r>
      <w:r>
        <w:rPr>
          <w:rFonts w:hint="eastAsia" w:ascii="仿宋" w:hAnsi="仿宋" w:eastAsia="仿宋" w:cs="仿宋"/>
          <w:b/>
          <w:color w:val="auto"/>
          <w:sz w:val="24"/>
          <w:szCs w:val="24"/>
          <w:lang w:eastAsia="zh-CN"/>
        </w:rPr>
        <w:t>技术</w:t>
      </w:r>
      <w:r>
        <w:rPr>
          <w:rFonts w:hint="eastAsia" w:ascii="仿宋" w:hAnsi="仿宋" w:eastAsia="仿宋" w:cs="仿宋"/>
          <w:b/>
          <w:color w:val="auto"/>
          <w:sz w:val="24"/>
          <w:szCs w:val="24"/>
        </w:rPr>
        <w:t>要求</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三、</w:t>
      </w:r>
      <w:r>
        <w:rPr>
          <w:rFonts w:hint="eastAsia" w:ascii="仿宋" w:hAnsi="仿宋" w:eastAsia="仿宋" w:cs="仿宋"/>
          <w:b/>
          <w:color w:val="auto"/>
          <w:sz w:val="24"/>
          <w:szCs w:val="24"/>
          <w:lang w:eastAsia="zh-CN"/>
        </w:rPr>
        <w:t>货物</w:t>
      </w:r>
      <w:r>
        <w:rPr>
          <w:rFonts w:hint="eastAsia" w:ascii="仿宋" w:hAnsi="仿宋" w:eastAsia="仿宋" w:cs="仿宋"/>
          <w:b/>
          <w:color w:val="auto"/>
          <w:sz w:val="24"/>
          <w:szCs w:val="24"/>
        </w:rPr>
        <w:t>质量要求</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四、项目验收</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项目由甲方单位组织验收。</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五、付款方式</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六、履约保证金</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1、中标方在签订合同前需向采购单位缴纳合同金额</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的履约保证金。</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2、履约保证金在甲方将项目验收合格后，无息退还给乙方。</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3、如乙方未能履行合同规定的义务，甲方有权在履约保证金中取得补偿。</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七、产品数量变更</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且事先须向武义县财政局审核备案。</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八、售后服务</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九、违约责任</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1、乙方不能交付产品（或服务），乙方向甲方支付合同款总价5%的违约金。</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2、乙方逾期交付产品（或服务）的，每延误1天扣罚1000元，如乙方逾期15天，甲方有权解除合同，解除合同的通知自到达乙方时生效。</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十、其他约定事项</w:t>
      </w:r>
    </w:p>
    <w:p>
      <w:pPr>
        <w:spacing w:line="42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spacing w:line="420" w:lineRule="exact"/>
        <w:rPr>
          <w:rFonts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十一、解决合同纠纷方式</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u w:val="single"/>
        </w:rPr>
        <w:t>武义县</w:t>
      </w:r>
      <w:r>
        <w:rPr>
          <w:rFonts w:hint="eastAsia" w:ascii="仿宋" w:hAnsi="仿宋" w:eastAsia="仿宋" w:cs="仿宋"/>
          <w:color w:val="auto"/>
          <w:sz w:val="24"/>
          <w:szCs w:val="24"/>
        </w:rPr>
        <w:t>人民法院起诉。</w:t>
      </w:r>
    </w:p>
    <w:p>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十二、其它</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1、本项目的招标文件、投标文件、中标通知书作为合同的附件，具有同等法律效力。</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2、本合同自签订之日起生效。</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3、本合同一式陆份，甲乙双方各执两份，采监科备案一份，代理机构存档一份。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exact"/>
          <w:jc w:val="center"/>
        </w:trPr>
        <w:tc>
          <w:tcPr>
            <w:tcW w:w="4809" w:type="dxa"/>
          </w:tcPr>
          <w:p>
            <w:pPr>
              <w:spacing w:line="360" w:lineRule="auto"/>
              <w:ind w:left="-78" w:leftChars="-37" w:right="-57" w:rightChars="-27"/>
              <w:jc w:val="center"/>
              <w:rPr>
                <w:rFonts w:ascii="仿宋" w:hAnsi="仿宋" w:eastAsia="仿宋" w:cs="仿宋"/>
                <w:color w:val="auto"/>
                <w:sz w:val="24"/>
              </w:rPr>
            </w:pPr>
            <w:r>
              <w:rPr>
                <w:rFonts w:hint="eastAsia" w:ascii="仿宋" w:hAnsi="仿宋" w:eastAsia="仿宋" w:cs="仿宋"/>
                <w:color w:val="auto"/>
                <w:sz w:val="24"/>
              </w:rPr>
              <w:t>甲  方</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单位名称（盖章）：</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单位地址：</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法定代表人（签字）：</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或项目经办人（签字）：</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电话：</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邮政编码：</w:t>
            </w:r>
          </w:p>
          <w:p>
            <w:pPr>
              <w:spacing w:line="360" w:lineRule="auto"/>
              <w:ind w:left="-78" w:leftChars="-37" w:right="-57" w:rightChars="-27"/>
              <w:rPr>
                <w:rFonts w:ascii="仿宋" w:hAnsi="仿宋" w:eastAsia="仿宋" w:cs="仿宋"/>
                <w:color w:val="auto"/>
                <w:sz w:val="24"/>
              </w:rPr>
            </w:pPr>
          </w:p>
          <w:p>
            <w:pPr>
              <w:spacing w:line="360" w:lineRule="auto"/>
              <w:ind w:left="-78" w:leftChars="-37" w:right="-57" w:rightChars="-27"/>
              <w:rPr>
                <w:rFonts w:ascii="仿宋" w:hAnsi="仿宋" w:eastAsia="仿宋" w:cs="仿宋"/>
                <w:color w:val="auto"/>
                <w:sz w:val="24"/>
              </w:rPr>
            </w:pP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时  间：      年     月     日</w:t>
            </w:r>
          </w:p>
        </w:tc>
        <w:tc>
          <w:tcPr>
            <w:tcW w:w="4727" w:type="dxa"/>
          </w:tcPr>
          <w:p>
            <w:pPr>
              <w:spacing w:line="360" w:lineRule="auto"/>
              <w:ind w:left="-78" w:leftChars="-37" w:right="-57" w:rightChars="-27"/>
              <w:jc w:val="center"/>
              <w:rPr>
                <w:rFonts w:ascii="仿宋" w:hAnsi="仿宋" w:eastAsia="仿宋" w:cs="仿宋"/>
                <w:color w:val="auto"/>
                <w:sz w:val="24"/>
              </w:rPr>
            </w:pPr>
            <w:r>
              <w:rPr>
                <w:rFonts w:hint="eastAsia" w:ascii="仿宋" w:hAnsi="仿宋" w:eastAsia="仿宋" w:cs="仿宋"/>
                <w:color w:val="auto"/>
                <w:sz w:val="24"/>
              </w:rPr>
              <w:t>乙  方</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单位名称（盖章）：</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单位地址：</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法定代表人（签字）：</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或委托代理人（签字）：</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电话：</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开户银行（必填）：</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账号（必填）：</w:t>
            </w:r>
          </w:p>
          <w:p>
            <w:pPr>
              <w:spacing w:line="360" w:lineRule="auto"/>
              <w:ind w:left="-78" w:leftChars="-37" w:right="-57" w:rightChars="-27"/>
              <w:rPr>
                <w:rFonts w:ascii="仿宋" w:hAnsi="仿宋" w:eastAsia="仿宋" w:cs="仿宋"/>
                <w:color w:val="auto"/>
                <w:sz w:val="24"/>
              </w:rPr>
            </w:pPr>
            <w:r>
              <w:rPr>
                <w:rFonts w:hint="eastAsia" w:ascii="仿宋" w:hAnsi="仿宋" w:eastAsia="仿宋" w:cs="仿宋"/>
                <w:color w:val="auto"/>
                <w:sz w:val="24"/>
              </w:rPr>
              <w:t>邮政编码：</w:t>
            </w:r>
          </w:p>
          <w:p>
            <w:pPr>
              <w:spacing w:line="360" w:lineRule="auto"/>
              <w:rPr>
                <w:rFonts w:ascii="仿宋" w:hAnsi="仿宋" w:eastAsia="仿宋" w:cs="仿宋"/>
                <w:color w:val="auto"/>
                <w:sz w:val="24"/>
              </w:rPr>
            </w:pPr>
            <w:r>
              <w:rPr>
                <w:rFonts w:hint="eastAsia" w:ascii="仿宋" w:hAnsi="仿宋" w:eastAsia="仿宋" w:cs="仿宋"/>
                <w:color w:val="auto"/>
                <w:sz w:val="24"/>
              </w:rPr>
              <w:t>时  间：      年     月     日</w:t>
            </w:r>
          </w:p>
          <w:p>
            <w:pPr>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exact"/>
          <w:jc w:val="center"/>
        </w:trPr>
        <w:tc>
          <w:tcPr>
            <w:tcW w:w="9536" w:type="dxa"/>
            <w:gridSpan w:val="2"/>
          </w:tcPr>
          <w:p>
            <w:pPr>
              <w:tabs>
                <w:tab w:val="left" w:pos="760"/>
              </w:tabs>
              <w:spacing w:line="360" w:lineRule="auto"/>
              <w:jc w:val="left"/>
              <w:rPr>
                <w:rFonts w:ascii="仿宋" w:hAnsi="仿宋" w:eastAsia="仿宋" w:cs="仿宋"/>
                <w:color w:val="auto"/>
                <w:sz w:val="24"/>
              </w:rPr>
            </w:pPr>
          </w:p>
          <w:p>
            <w:pPr>
              <w:tabs>
                <w:tab w:val="left" w:pos="760"/>
              </w:tabs>
              <w:spacing w:line="360" w:lineRule="auto"/>
              <w:jc w:val="left"/>
              <w:rPr>
                <w:rFonts w:ascii="仿宋" w:hAnsi="仿宋" w:eastAsia="仿宋" w:cs="仿宋"/>
                <w:color w:val="auto"/>
                <w:sz w:val="24"/>
              </w:rPr>
            </w:pPr>
            <w:r>
              <w:rPr>
                <w:rFonts w:hint="eastAsia" w:ascii="仿宋" w:hAnsi="仿宋" w:eastAsia="仿宋" w:cs="仿宋"/>
                <w:color w:val="auto"/>
                <w:sz w:val="24"/>
              </w:rPr>
              <w:t>见证方（盖章）：金华同慷建设管理咨询有限公司</w:t>
            </w:r>
          </w:p>
          <w:p>
            <w:pPr>
              <w:tabs>
                <w:tab w:val="left" w:pos="760"/>
              </w:tabs>
              <w:spacing w:line="360" w:lineRule="auto"/>
              <w:jc w:val="left"/>
              <w:rPr>
                <w:rFonts w:ascii="仿宋" w:hAnsi="仿宋" w:eastAsia="仿宋" w:cs="仿宋"/>
                <w:color w:val="auto"/>
              </w:rPr>
            </w:pPr>
            <w:r>
              <w:rPr>
                <w:rFonts w:hint="eastAsia" w:ascii="仿宋" w:hAnsi="仿宋" w:eastAsia="仿宋" w:cs="仿宋"/>
                <w:color w:val="auto"/>
                <w:sz w:val="24"/>
              </w:rPr>
              <w:t>时  间：      年     月     日</w:t>
            </w:r>
          </w:p>
        </w:tc>
      </w:tr>
    </w:tbl>
    <w:p>
      <w:pPr>
        <w:spacing w:line="420" w:lineRule="exact"/>
        <w:rPr>
          <w:rFonts w:ascii="仿宋" w:hAnsi="仿宋" w:eastAsia="仿宋" w:cs="仿宋"/>
          <w:color w:val="auto"/>
          <w:sz w:val="24"/>
          <w:szCs w:val="24"/>
        </w:rPr>
      </w:pPr>
    </w:p>
    <w:p>
      <w:pPr>
        <w:spacing w:line="420" w:lineRule="exact"/>
        <w:jc w:val="center"/>
        <w:rPr>
          <w:rFonts w:ascii="仿宋" w:hAnsi="仿宋" w:eastAsia="仿宋" w:cs="仿宋"/>
          <w:color w:val="auto"/>
          <w:sz w:val="24"/>
          <w:szCs w:val="24"/>
        </w:rPr>
      </w:pPr>
    </w:p>
    <w:p>
      <w:pPr>
        <w:jc w:val="center"/>
        <w:rPr>
          <w:rFonts w:ascii="仿宋" w:hAnsi="仿宋" w:eastAsia="仿宋" w:cs="仿宋"/>
          <w:b/>
          <w:color w:val="auto"/>
          <w:kern w:val="44"/>
          <w:sz w:val="36"/>
          <w:szCs w:val="36"/>
        </w:rPr>
      </w:pPr>
      <w:r>
        <w:rPr>
          <w:rFonts w:hint="eastAsia" w:ascii="仿宋" w:hAnsi="仿宋" w:eastAsia="仿宋" w:cs="仿宋"/>
          <w:b/>
          <w:bCs/>
          <w:color w:val="auto"/>
          <w:sz w:val="44"/>
          <w:szCs w:val="44"/>
        </w:rPr>
        <w:br w:type="page"/>
      </w:r>
      <w:r>
        <w:rPr>
          <w:rFonts w:hint="eastAsia" w:ascii="仿宋" w:hAnsi="仿宋" w:eastAsia="仿宋" w:cs="仿宋"/>
          <w:b/>
          <w:color w:val="auto"/>
          <w:kern w:val="44"/>
          <w:sz w:val="36"/>
          <w:szCs w:val="36"/>
        </w:rPr>
        <w:t>第六章  应提交的有关格式范例</w:t>
      </w:r>
    </w:p>
    <w:p>
      <w:pPr>
        <w:widowControl/>
        <w:tabs>
          <w:tab w:val="left" w:pos="450"/>
          <w:tab w:val="left" w:pos="8280"/>
        </w:tabs>
        <w:spacing w:line="312" w:lineRule="auto"/>
        <w:ind w:firstLine="480"/>
        <w:jc w:val="center"/>
        <w:rPr>
          <w:rFonts w:ascii="仿宋" w:hAnsi="仿宋" w:eastAsia="仿宋" w:cs="仿宋"/>
          <w:b/>
          <w:bCs/>
          <w:color w:val="auto"/>
          <w:sz w:val="32"/>
          <w:szCs w:val="32"/>
        </w:rPr>
      </w:pPr>
    </w:p>
    <w:p>
      <w:pPr>
        <w:widowControl/>
        <w:tabs>
          <w:tab w:val="left" w:pos="450"/>
          <w:tab w:val="left" w:pos="2520"/>
          <w:tab w:val="left" w:pos="8280"/>
        </w:tabs>
        <w:spacing w:line="312" w:lineRule="auto"/>
        <w:jc w:val="center"/>
        <w:rPr>
          <w:rFonts w:ascii="仿宋" w:hAnsi="仿宋" w:eastAsia="仿宋" w:cs="仿宋"/>
          <w:b/>
          <w:bCs/>
          <w:color w:val="auto"/>
          <w:sz w:val="30"/>
          <w:szCs w:val="30"/>
        </w:rPr>
      </w:pPr>
      <w:r>
        <w:rPr>
          <w:rFonts w:hint="eastAsia" w:ascii="仿宋" w:hAnsi="仿宋" w:eastAsia="仿宋" w:cs="仿宋"/>
          <w:b/>
          <w:bCs/>
          <w:color w:val="auto"/>
          <w:sz w:val="30"/>
          <w:szCs w:val="30"/>
        </w:rPr>
        <w:t>一、封面格式</w:t>
      </w:r>
    </w:p>
    <w:p>
      <w:pPr>
        <w:widowControl/>
        <w:tabs>
          <w:tab w:val="left" w:pos="8280"/>
        </w:tabs>
        <w:spacing w:line="312" w:lineRule="auto"/>
        <w:ind w:firstLine="480"/>
        <w:jc w:val="center"/>
        <w:rPr>
          <w:rFonts w:ascii="仿宋" w:hAnsi="仿宋" w:eastAsia="仿宋" w:cs="仿宋"/>
          <w:b/>
          <w:color w:val="auto"/>
          <w:sz w:val="30"/>
          <w:szCs w:val="30"/>
        </w:rPr>
      </w:pPr>
    </w:p>
    <w:p>
      <w:pPr>
        <w:widowControl/>
        <w:tabs>
          <w:tab w:val="left" w:pos="450"/>
          <w:tab w:val="left" w:pos="2520"/>
          <w:tab w:val="left" w:pos="8280"/>
        </w:tabs>
        <w:spacing w:line="312" w:lineRule="auto"/>
        <w:jc w:val="center"/>
        <w:rPr>
          <w:rFonts w:ascii="仿宋" w:hAnsi="仿宋" w:eastAsia="仿宋" w:cs="仿宋"/>
          <w:b/>
          <w:color w:val="auto"/>
          <w:sz w:val="30"/>
          <w:szCs w:val="30"/>
        </w:rPr>
      </w:pPr>
      <w:r>
        <w:rPr>
          <w:rFonts w:hint="eastAsia" w:ascii="仿宋" w:hAnsi="仿宋" w:eastAsia="仿宋" w:cs="仿宋"/>
          <w:b/>
          <w:color w:val="auto"/>
          <w:sz w:val="30"/>
          <w:szCs w:val="30"/>
          <w:lang w:eastAsia="zh-CN"/>
        </w:rPr>
        <w:t>资格文件</w:t>
      </w:r>
      <w:r>
        <w:rPr>
          <w:rFonts w:hint="eastAsia" w:ascii="仿宋" w:hAnsi="仿宋" w:eastAsia="仿宋" w:cs="仿宋"/>
          <w:b/>
          <w:color w:val="auto"/>
          <w:sz w:val="30"/>
          <w:szCs w:val="30"/>
        </w:rPr>
        <w:t>/商务</w:t>
      </w:r>
      <w:r>
        <w:rPr>
          <w:rFonts w:hint="eastAsia" w:ascii="仿宋" w:hAnsi="仿宋" w:eastAsia="仿宋" w:cs="仿宋"/>
          <w:b/>
          <w:bCs/>
          <w:color w:val="auto"/>
          <w:sz w:val="30"/>
          <w:szCs w:val="30"/>
        </w:rPr>
        <w:t>技术</w:t>
      </w:r>
      <w:r>
        <w:rPr>
          <w:rFonts w:hint="eastAsia" w:ascii="仿宋" w:hAnsi="仿宋" w:eastAsia="仿宋" w:cs="仿宋"/>
          <w:b/>
          <w:color w:val="auto"/>
          <w:sz w:val="30"/>
          <w:szCs w:val="30"/>
        </w:rPr>
        <w:t>文件/报价文件</w:t>
      </w:r>
    </w:p>
    <w:p>
      <w:pPr>
        <w:widowControl/>
        <w:tabs>
          <w:tab w:val="left" w:pos="275"/>
          <w:tab w:val="left" w:pos="8280"/>
        </w:tabs>
        <w:spacing w:line="312" w:lineRule="auto"/>
        <w:ind w:firstLine="480"/>
        <w:jc w:val="left"/>
        <w:rPr>
          <w:rFonts w:ascii="仿宋" w:hAnsi="仿宋" w:eastAsia="仿宋" w:cs="仿宋"/>
          <w:b/>
          <w:color w:val="auto"/>
          <w:sz w:val="30"/>
          <w:szCs w:val="30"/>
        </w:rPr>
      </w:pPr>
      <w:r>
        <w:rPr>
          <w:rFonts w:hint="eastAsia" w:ascii="仿宋" w:hAnsi="仿宋" w:eastAsia="仿宋" w:cs="仿宋"/>
          <w:b/>
          <w:color w:val="auto"/>
          <w:sz w:val="30"/>
          <w:szCs w:val="30"/>
        </w:rPr>
        <w:tab/>
      </w:r>
    </w:p>
    <w:p>
      <w:pPr>
        <w:widowControl/>
        <w:tabs>
          <w:tab w:val="left" w:pos="275"/>
          <w:tab w:val="left" w:pos="8280"/>
        </w:tabs>
        <w:spacing w:line="312" w:lineRule="auto"/>
        <w:jc w:val="left"/>
        <w:rPr>
          <w:rFonts w:ascii="仿宋" w:hAnsi="仿宋" w:eastAsia="仿宋" w:cs="仿宋"/>
          <w:b/>
          <w:color w:val="auto"/>
          <w:sz w:val="30"/>
          <w:szCs w:val="30"/>
          <w:u w:val="single"/>
        </w:rPr>
      </w:pPr>
      <w:r>
        <w:rPr>
          <w:rFonts w:hint="eastAsia" w:ascii="仿宋" w:hAnsi="仿宋" w:eastAsia="仿宋" w:cs="仿宋"/>
          <w:b/>
          <w:color w:val="auto"/>
          <w:sz w:val="30"/>
          <w:szCs w:val="30"/>
        </w:rPr>
        <w:t>项目名称：</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p>
    <w:p>
      <w:pPr>
        <w:widowControl/>
        <w:tabs>
          <w:tab w:val="left" w:pos="275"/>
          <w:tab w:val="left" w:pos="8280"/>
        </w:tabs>
        <w:spacing w:line="312" w:lineRule="auto"/>
        <w:ind w:firstLine="443" w:firstLineChars="147"/>
        <w:jc w:val="left"/>
        <w:rPr>
          <w:rFonts w:ascii="仿宋" w:hAnsi="仿宋" w:eastAsia="仿宋" w:cs="仿宋"/>
          <w:b/>
          <w:color w:val="auto"/>
          <w:sz w:val="30"/>
          <w:szCs w:val="30"/>
        </w:rPr>
      </w:pPr>
    </w:p>
    <w:p>
      <w:pPr>
        <w:widowControl/>
        <w:tabs>
          <w:tab w:val="left" w:pos="275"/>
          <w:tab w:val="left" w:pos="8280"/>
        </w:tabs>
        <w:spacing w:line="312" w:lineRule="auto"/>
        <w:jc w:val="left"/>
        <w:rPr>
          <w:rFonts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 xml:space="preserve">   </w:t>
      </w:r>
    </w:p>
    <w:p>
      <w:pPr>
        <w:widowControl/>
        <w:tabs>
          <w:tab w:val="left" w:pos="765"/>
          <w:tab w:val="left" w:pos="8280"/>
        </w:tabs>
        <w:spacing w:line="312" w:lineRule="auto"/>
        <w:ind w:firstLine="480"/>
        <w:jc w:val="left"/>
        <w:rPr>
          <w:rFonts w:ascii="仿宋" w:hAnsi="仿宋" w:eastAsia="仿宋" w:cs="仿宋"/>
          <w:b/>
          <w:color w:val="auto"/>
          <w:sz w:val="30"/>
          <w:szCs w:val="30"/>
        </w:rPr>
      </w:pPr>
      <w:r>
        <w:rPr>
          <w:rFonts w:hint="eastAsia" w:ascii="仿宋" w:hAnsi="仿宋" w:eastAsia="仿宋" w:cs="仿宋"/>
          <w:b/>
          <w:color w:val="auto"/>
          <w:sz w:val="30"/>
          <w:szCs w:val="30"/>
        </w:rPr>
        <w:tab/>
      </w:r>
    </w:p>
    <w:p>
      <w:pPr>
        <w:widowControl/>
        <w:tabs>
          <w:tab w:val="left" w:pos="765"/>
          <w:tab w:val="left" w:pos="8280"/>
        </w:tabs>
        <w:spacing w:line="312" w:lineRule="auto"/>
        <w:jc w:val="left"/>
        <w:rPr>
          <w:rFonts w:hint="eastAsia" w:ascii="仿宋" w:hAnsi="仿宋" w:eastAsia="仿宋" w:cs="仿宋"/>
          <w:b/>
          <w:color w:val="auto"/>
          <w:sz w:val="30"/>
          <w:szCs w:val="30"/>
          <w:u w:val="single"/>
        </w:rPr>
      </w:pPr>
      <w:r>
        <w:rPr>
          <w:rFonts w:hint="eastAsia" w:ascii="仿宋" w:hAnsi="仿宋" w:eastAsia="仿宋" w:cs="仿宋"/>
          <w:b/>
          <w:color w:val="auto"/>
          <w:sz w:val="30"/>
          <w:szCs w:val="30"/>
        </w:rPr>
        <w:t>投标人：</w:t>
      </w:r>
      <w:r>
        <w:rPr>
          <w:rFonts w:hint="eastAsia" w:ascii="仿宋" w:hAnsi="仿宋" w:eastAsia="仿宋" w:cs="仿宋"/>
          <w:b/>
          <w:color w:val="auto"/>
          <w:sz w:val="30"/>
          <w:szCs w:val="30"/>
          <w:u w:val="single"/>
        </w:rPr>
        <w:t xml:space="preserve">           （盖章）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p>
    <w:p>
      <w:pPr>
        <w:pStyle w:val="7"/>
        <w:rPr>
          <w:rFonts w:hint="eastAsia"/>
          <w:color w:val="auto"/>
        </w:rPr>
      </w:pPr>
    </w:p>
    <w:p>
      <w:pPr>
        <w:widowControl/>
        <w:tabs>
          <w:tab w:val="left" w:pos="765"/>
          <w:tab w:val="left" w:pos="8280"/>
        </w:tabs>
        <w:spacing w:line="312" w:lineRule="auto"/>
        <w:jc w:val="left"/>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rPr>
        <w:t>法定代表人或委托代理人（签字或盖章）：</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p>
    <w:p>
      <w:pPr>
        <w:widowControl/>
        <w:tabs>
          <w:tab w:val="left" w:pos="8280"/>
        </w:tabs>
        <w:spacing w:line="312" w:lineRule="auto"/>
        <w:ind w:firstLine="480"/>
        <w:jc w:val="center"/>
        <w:rPr>
          <w:rFonts w:ascii="仿宋" w:hAnsi="仿宋" w:eastAsia="仿宋" w:cs="仿宋"/>
          <w:b/>
          <w:color w:val="auto"/>
          <w:sz w:val="30"/>
          <w:szCs w:val="30"/>
        </w:rPr>
      </w:pPr>
    </w:p>
    <w:p>
      <w:pPr>
        <w:widowControl/>
        <w:tabs>
          <w:tab w:val="left" w:pos="350"/>
          <w:tab w:val="left" w:pos="8280"/>
        </w:tabs>
        <w:spacing w:line="312" w:lineRule="auto"/>
        <w:jc w:val="left"/>
        <w:rPr>
          <w:rFonts w:ascii="仿宋" w:hAnsi="仿宋" w:eastAsia="仿宋" w:cs="仿宋"/>
          <w:b/>
          <w:color w:val="auto"/>
          <w:sz w:val="30"/>
          <w:szCs w:val="30"/>
        </w:rPr>
      </w:pPr>
      <w:r>
        <w:rPr>
          <w:rFonts w:hint="eastAsia" w:ascii="仿宋" w:hAnsi="仿宋" w:eastAsia="仿宋" w:cs="仿宋"/>
          <w:b/>
          <w:color w:val="auto"/>
          <w:sz w:val="30"/>
          <w:szCs w:val="30"/>
        </w:rPr>
        <w:t>日期：       年     月     日</w:t>
      </w:r>
    </w:p>
    <w:p>
      <w:pPr>
        <w:widowControl/>
        <w:tabs>
          <w:tab w:val="left" w:pos="350"/>
          <w:tab w:val="left" w:pos="8280"/>
        </w:tabs>
        <w:spacing w:line="312" w:lineRule="auto"/>
        <w:ind w:firstLine="480"/>
        <w:jc w:val="left"/>
        <w:rPr>
          <w:rFonts w:ascii="仿宋" w:hAnsi="仿宋" w:eastAsia="仿宋" w:cs="仿宋"/>
          <w:b/>
          <w:color w:val="auto"/>
          <w:sz w:val="32"/>
          <w:szCs w:val="32"/>
        </w:rPr>
      </w:pPr>
    </w:p>
    <w:p>
      <w:pPr>
        <w:widowControl/>
        <w:tabs>
          <w:tab w:val="left" w:pos="450"/>
          <w:tab w:val="left" w:pos="2520"/>
          <w:tab w:val="left" w:pos="8280"/>
        </w:tabs>
        <w:spacing w:line="312" w:lineRule="auto"/>
        <w:ind w:firstLine="480"/>
        <w:jc w:val="center"/>
        <w:rPr>
          <w:rFonts w:ascii="仿宋" w:hAnsi="仿宋" w:eastAsia="仿宋" w:cs="仿宋"/>
          <w:b/>
          <w:bCs/>
          <w:color w:val="auto"/>
          <w:sz w:val="32"/>
          <w:szCs w:val="32"/>
        </w:rPr>
      </w:pPr>
    </w:p>
    <w:p>
      <w:pPr>
        <w:widowControl/>
        <w:tabs>
          <w:tab w:val="left" w:pos="450"/>
          <w:tab w:val="left" w:pos="2520"/>
          <w:tab w:val="left" w:pos="8280"/>
        </w:tabs>
        <w:spacing w:line="312" w:lineRule="auto"/>
        <w:ind w:firstLine="480"/>
        <w:jc w:val="center"/>
        <w:rPr>
          <w:rFonts w:ascii="仿宋" w:hAnsi="仿宋" w:eastAsia="仿宋" w:cs="仿宋"/>
          <w:b/>
          <w:bCs/>
          <w:color w:val="auto"/>
          <w:sz w:val="32"/>
          <w:szCs w:val="32"/>
        </w:rPr>
        <w:sectPr>
          <w:pgSz w:w="11906" w:h="16838"/>
          <w:pgMar w:top="1247" w:right="1134" w:bottom="1020" w:left="1418" w:header="851" w:footer="907" w:gutter="0"/>
          <w:pgBorders>
            <w:top w:val="none" w:sz="0" w:space="0"/>
            <w:left w:val="none" w:sz="0" w:space="0"/>
            <w:bottom w:val="none" w:sz="0" w:space="0"/>
            <w:right w:val="none" w:sz="0" w:space="0"/>
          </w:pgBorders>
          <w:pgNumType w:fmt="numberInDash"/>
          <w:cols w:space="720" w:num="1"/>
          <w:titlePg/>
          <w:docGrid w:type="lines" w:linePitch="312" w:charSpace="0"/>
        </w:sectPr>
      </w:pPr>
    </w:p>
    <w:p>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二、符合参加政府采购活动应当具备的一般条件的承诺函</w:t>
      </w:r>
    </w:p>
    <w:p>
      <w:pPr>
        <w:autoSpaceDE/>
        <w:autoSpaceDN/>
        <w:adjustRightInd/>
        <w:spacing w:line="520" w:lineRule="exact"/>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u w:val="single"/>
          <w:lang w:eastAsia="zh-CN"/>
        </w:rPr>
        <w:t>（采购人）、（采购代理机构）</w:t>
      </w:r>
      <w:r>
        <w:rPr>
          <w:rFonts w:hint="eastAsia" w:ascii="Times New Roman" w:hAnsi="Times New Roman" w:eastAsia="方正仿宋_GB2312" w:cs="Times New Roman"/>
          <w:color w:val="auto"/>
          <w:sz w:val="24"/>
          <w:lang w:eastAsia="zh-CN"/>
        </w:rPr>
        <w:t>：</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我方参与</w:t>
      </w:r>
      <w:r>
        <w:rPr>
          <w:rFonts w:hint="eastAsia" w:ascii="Times New Roman" w:hAnsi="Times New Roman" w:eastAsia="方正仿宋_GB2312" w:cs="Times New Roman"/>
          <w:color w:val="auto"/>
          <w:sz w:val="24"/>
          <w:u w:val="single"/>
          <w:lang w:val="en-US" w:eastAsia="zh-CN"/>
        </w:rPr>
        <w:t xml:space="preserve">                </w:t>
      </w:r>
      <w:r>
        <w:rPr>
          <w:rFonts w:hint="eastAsia" w:ascii="Times New Roman" w:hAnsi="Times New Roman" w:eastAsia="方正仿宋_GB2312" w:cs="Times New Roman"/>
          <w:color w:val="auto"/>
          <w:sz w:val="24"/>
          <w:lang w:eastAsia="zh-CN"/>
        </w:rPr>
        <w:t>项目【项目编号：</w:t>
      </w:r>
      <w:r>
        <w:rPr>
          <w:rFonts w:hint="eastAsia" w:ascii="Times New Roman" w:hAnsi="Times New Roman" w:eastAsia="方正仿宋_GB2312" w:cs="Times New Roman"/>
          <w:color w:val="auto"/>
          <w:sz w:val="24"/>
          <w:u w:val="single"/>
          <w:lang w:val="en-US" w:eastAsia="zh-CN"/>
        </w:rPr>
        <w:t xml:space="preserve">                </w:t>
      </w:r>
      <w:r>
        <w:rPr>
          <w:rFonts w:hint="eastAsia" w:ascii="Times New Roman" w:hAnsi="Times New Roman" w:eastAsia="方正仿宋_GB2312" w:cs="Times New Roman"/>
          <w:color w:val="auto"/>
          <w:sz w:val="24"/>
          <w:lang w:eastAsia="zh-CN"/>
        </w:rPr>
        <w:t>】政府采购活动，郑重承诺：</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（一）具备《中华人民共和国政府采购法》第二十二条第一款规定的条件：</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1、具有独立承担民事责任的能力；</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 xml:space="preserve">2、具有良好的商业信誉和健全的财务会计制度； </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3、具有履行合同所必需的设备和专业技术能力；</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4、有依法缴纳税收和社会保障资金的良好记录；</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5、参加政府采购活动前三年内，在经营活动中没有重大违法记录；</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6、具有法律、行政法规规定的其他条件。</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（二）未被信用中国（www.creditchina.gov.cn)、中国政府采购网（www.ccgp.gov.cn）列入失信被执行人、重大税收违法案件当事人名单、政府采购严重违法失信行为记录名单。</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（三）不存在以下情况：</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1、单位负责人为同一人或者存在直接控股、管理关系的不同供应商参加同一合同项下的政府采购活动的；</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2、为采购项目提供整体设计、规范编制或者项目管理、监理、检测等服务后再参加该采购项目的其他采购活动的。</w:t>
      </w:r>
    </w:p>
    <w:p>
      <w:pPr>
        <w:autoSpaceDE/>
        <w:autoSpaceDN/>
        <w:adjustRightInd/>
        <w:spacing w:line="520" w:lineRule="exact"/>
        <w:ind w:firstLine="600" w:firstLineChars="250"/>
        <w:rPr>
          <w:rFonts w:hint="eastAsia" w:ascii="Times New Roman" w:hAnsi="Times New Roman" w:eastAsia="方正仿宋_GB2312" w:cs="Times New Roman"/>
          <w:color w:val="auto"/>
          <w:sz w:val="24"/>
          <w:lang w:val="en-US" w:eastAsia="zh-CN"/>
        </w:rPr>
      </w:pPr>
      <w:r>
        <w:rPr>
          <w:rFonts w:hint="eastAsia" w:ascii="Times New Roman" w:hAnsi="Times New Roman" w:eastAsia="方正仿宋_GB2312" w:cs="Times New Roman"/>
          <w:color w:val="auto"/>
          <w:sz w:val="24"/>
          <w:lang w:eastAsia="zh-CN"/>
        </w:rPr>
        <w:t>（</w:t>
      </w:r>
      <w:r>
        <w:rPr>
          <w:rFonts w:hint="eastAsia" w:eastAsia="方正仿宋_GB2312" w:cs="Times New Roman"/>
          <w:color w:val="auto"/>
          <w:sz w:val="24"/>
          <w:lang w:eastAsia="zh-CN"/>
        </w:rPr>
        <w:t>四</w:t>
      </w:r>
      <w:r>
        <w:rPr>
          <w:rFonts w:hint="eastAsia" w:ascii="Times New Roman" w:hAnsi="Times New Roman" w:eastAsia="方正仿宋_GB2312" w:cs="Times New Roman"/>
          <w:color w:val="auto"/>
          <w:sz w:val="24"/>
          <w:lang w:eastAsia="zh-CN"/>
        </w:rPr>
        <w:t>）投标有效期</w:t>
      </w:r>
      <w:r>
        <w:rPr>
          <w:rFonts w:hint="eastAsia" w:ascii="Times New Roman" w:hAnsi="Times New Roman" w:eastAsia="方正仿宋_GB2312" w:cs="Times New Roman"/>
          <w:color w:val="auto"/>
          <w:sz w:val="24"/>
          <w:u w:val="single"/>
          <w:lang w:val="en-US" w:eastAsia="zh-CN"/>
        </w:rPr>
        <w:t xml:space="preserve">        </w:t>
      </w:r>
      <w:r>
        <w:rPr>
          <w:rFonts w:hint="eastAsia" w:ascii="Times New Roman" w:hAnsi="Times New Roman" w:eastAsia="方正仿宋_GB2312" w:cs="Times New Roman"/>
          <w:color w:val="auto"/>
          <w:sz w:val="24"/>
          <w:lang w:val="en-US" w:eastAsia="zh-CN"/>
        </w:rPr>
        <w:t>天。</w:t>
      </w:r>
    </w:p>
    <w:p>
      <w:pPr>
        <w:pStyle w:val="6"/>
        <w:rPr>
          <w:rFonts w:hint="eastAsia" w:ascii="Times New Roman" w:hAnsi="Times New Roman" w:eastAsia="方正仿宋_GB2312" w:cs="Times New Roman"/>
          <w:color w:val="auto"/>
          <w:sz w:val="24"/>
          <w:lang w:val="en-US" w:eastAsia="zh-CN"/>
        </w:rPr>
      </w:pPr>
    </w:p>
    <w:p>
      <w:pPr>
        <w:pStyle w:val="5"/>
        <w:rPr>
          <w:rFonts w:hint="default"/>
          <w:lang w:val="en-US" w:eastAsia="zh-CN"/>
        </w:rPr>
      </w:pPr>
    </w:p>
    <w:p>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（全称、公章）</w:t>
      </w:r>
    </w:p>
    <w:p>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pPr>
        <w:spacing w:beforeLines="50"/>
        <w:ind w:firstLine="3600" w:firstLineChars="1500"/>
        <w:rPr>
          <w:rFonts w:ascii="仿宋" w:hAnsi="仿宋" w:eastAsia="仿宋" w:cs="仿宋"/>
          <w:color w:val="auto"/>
          <w:sz w:val="24"/>
          <w:szCs w:val="24"/>
        </w:rPr>
      </w:pPr>
      <w:r>
        <w:rPr>
          <w:rFonts w:hint="eastAsia" w:ascii="Times New Roman" w:hAnsi="Times New Roman" w:eastAsia="方正仿宋_GB2312" w:cs="Times New Roman"/>
          <w:color w:val="auto"/>
          <w:sz w:val="24"/>
        </w:rPr>
        <w:t>日期</w:t>
      </w:r>
      <w:r>
        <w:rPr>
          <w:rFonts w:hint="eastAsia" w:eastAsia="方正仿宋_GB2312"/>
          <w:color w:val="auto"/>
          <w:sz w:val="24"/>
        </w:rPr>
        <w:t>：</w:t>
      </w:r>
    </w:p>
    <w:p>
      <w:pPr>
        <w:rPr>
          <w:rFonts w:hint="eastAsia" w:ascii="仿宋" w:hAnsi="仿宋" w:eastAsia="仿宋" w:cs="仿宋"/>
          <w:b/>
          <w:bCs/>
          <w:color w:val="auto"/>
          <w:sz w:val="30"/>
          <w:szCs w:val="30"/>
        </w:rPr>
      </w:pP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三、法定代表人资格书</w:t>
      </w:r>
    </w:p>
    <w:p>
      <w:pPr>
        <w:pStyle w:val="11"/>
        <w:ind w:firstLine="0" w:firstLineChars="0"/>
        <w:jc w:val="both"/>
        <w:rPr>
          <w:rFonts w:hint="eastAsia" w:ascii="宋体" w:hAnsi="宋体"/>
          <w:b w:val="0"/>
          <w:bCs w:val="0"/>
          <w:color w:val="auto"/>
          <w:sz w:val="24"/>
          <w:szCs w:val="24"/>
        </w:rPr>
      </w:pPr>
    </w:p>
    <w:p>
      <w:pPr>
        <w:pStyle w:val="11"/>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单位名称：</w:t>
      </w:r>
    </w:p>
    <w:p>
      <w:pPr>
        <w:pStyle w:val="11"/>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地址：</w:t>
      </w:r>
    </w:p>
    <w:p>
      <w:pPr>
        <w:pStyle w:val="11"/>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rPr>
        <w:t xml:space="preserve">姓名：        性别：        年龄:          职务：            </w:t>
      </w:r>
    </w:p>
    <w:p>
      <w:pPr>
        <w:pStyle w:val="11"/>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系</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的法定代表人。为</w:t>
      </w:r>
      <w:r>
        <w:rPr>
          <w:rFonts w:hint="eastAsia" w:ascii="仿宋" w:hAnsi="仿宋" w:eastAsia="仿宋" w:cs="仿宋"/>
          <w:b w:val="0"/>
          <w:bCs w:val="0"/>
          <w:color w:val="auto"/>
          <w:sz w:val="24"/>
          <w:szCs w:val="24"/>
          <w:u w:val="single"/>
        </w:rPr>
        <w:t xml:space="preserve">            （项目名称）</w:t>
      </w:r>
      <w:r>
        <w:rPr>
          <w:rFonts w:hint="eastAsia" w:ascii="仿宋" w:hAnsi="仿宋" w:eastAsia="仿宋" w:cs="仿宋"/>
          <w:b w:val="0"/>
          <w:bCs w:val="0"/>
          <w:color w:val="auto"/>
          <w:sz w:val="24"/>
          <w:szCs w:val="24"/>
        </w:rPr>
        <w:t>，签署上述投标文件、进行合同谈判、签署合同和处理与之有关的一切事务。</w:t>
      </w:r>
    </w:p>
    <w:p>
      <w:pPr>
        <w:pStyle w:val="11"/>
        <w:spacing w:line="660" w:lineRule="exact"/>
        <w:ind w:firstLine="480" w:firstLineChars="200"/>
        <w:jc w:val="both"/>
        <w:rPr>
          <w:rFonts w:hint="eastAsia" w:ascii="宋体" w:hAnsi="宋体"/>
          <w:b w:val="0"/>
          <w:bCs w:val="0"/>
          <w:color w:val="auto"/>
          <w:sz w:val="24"/>
          <w:szCs w:val="24"/>
        </w:rPr>
      </w:pPr>
      <w:r>
        <w:rPr>
          <w:rFonts w:hint="eastAsia" w:ascii="仿宋" w:hAnsi="仿宋" w:eastAsia="仿宋" w:cs="仿宋"/>
          <w:b w:val="0"/>
          <w:bCs w:val="0"/>
          <w:color w:val="auto"/>
          <w:sz w:val="24"/>
          <w:szCs w:val="24"/>
        </w:rPr>
        <w:t>特此说明。</w:t>
      </w:r>
    </w:p>
    <w:p>
      <w:pPr>
        <w:pStyle w:val="11"/>
        <w:spacing w:line="660" w:lineRule="exact"/>
        <w:ind w:firstLine="480" w:firstLineChars="200"/>
        <w:jc w:val="both"/>
        <w:rPr>
          <w:rFonts w:hint="eastAsia" w:ascii="宋体" w:hAnsi="宋体"/>
          <w:b w:val="0"/>
          <w:bCs w:val="0"/>
          <w:color w:val="auto"/>
          <w:sz w:val="24"/>
          <w:szCs w:val="24"/>
        </w:rPr>
      </w:pPr>
      <w:r>
        <w:rPr>
          <w:rFonts w:hint="eastAsia" w:ascii="仿宋" w:hAnsi="仿宋" w:eastAsia="仿宋" w:cs="仿宋"/>
          <w:b w:val="0"/>
          <w:bCs w:val="0"/>
          <w:color w:val="auto"/>
          <w:sz w:val="24"/>
          <w:szCs w:val="24"/>
        </w:rPr>
        <w:t>附:法定代表人身份证复印件（正反面）</w:t>
      </w:r>
    </w:p>
    <w:p>
      <w:pPr>
        <w:pStyle w:val="11"/>
        <w:spacing w:line="660" w:lineRule="exact"/>
        <w:ind w:firstLine="0" w:firstLineChars="0"/>
        <w:jc w:val="both"/>
        <w:rPr>
          <w:rFonts w:hint="eastAsia" w:ascii="宋体" w:hAnsi="宋体"/>
          <w:b w:val="0"/>
          <w:bCs w:val="0"/>
          <w:color w:val="auto"/>
          <w:sz w:val="24"/>
          <w:szCs w:val="24"/>
        </w:rPr>
      </w:pPr>
    </w:p>
    <w:p>
      <w:pPr>
        <w:pStyle w:val="11"/>
        <w:spacing w:line="660" w:lineRule="exact"/>
        <w:ind w:firstLine="480" w:firstLineChars="200"/>
        <w:jc w:val="both"/>
        <w:rPr>
          <w:rFonts w:ascii="仿宋" w:hAnsi="仿宋" w:eastAsia="仿宋" w:cs="仿宋"/>
          <w:color w:val="auto"/>
          <w:sz w:val="24"/>
          <w:szCs w:val="24"/>
          <w:u w:val="single"/>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（盖章）          </w:t>
      </w:r>
    </w:p>
    <w:p>
      <w:pPr>
        <w:spacing w:line="420" w:lineRule="exact"/>
        <w:ind w:firstLine="480" w:firstLineChars="200"/>
        <w:rPr>
          <w:rFonts w:ascii="仿宋" w:hAnsi="仿宋" w:eastAsia="仿宋" w:cs="仿宋"/>
          <w:color w:val="auto"/>
          <w:sz w:val="24"/>
          <w:szCs w:val="24"/>
        </w:rPr>
      </w:pPr>
    </w:p>
    <w:p>
      <w:pPr>
        <w:pStyle w:val="11"/>
        <w:spacing w:line="660" w:lineRule="exact"/>
        <w:ind w:firstLine="480" w:firstLineChars="200"/>
        <w:jc w:val="both"/>
        <w:rPr>
          <w:rFonts w:ascii="宋体" w:hAnsi="宋体"/>
          <w:color w:val="auto"/>
          <w:sz w:val="28"/>
          <w:szCs w:val="28"/>
        </w:rPr>
      </w:pPr>
      <w:r>
        <w:rPr>
          <w:rFonts w:hint="eastAsia" w:ascii="仿宋" w:hAnsi="仿宋" w:eastAsia="仿宋" w:cs="仿宋"/>
          <w:b w:val="0"/>
          <w:bCs w:val="0"/>
          <w:color w:val="auto"/>
          <w:sz w:val="24"/>
          <w:szCs w:val="24"/>
        </w:rPr>
        <w:t>日期</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Style w:val="11"/>
        <w:ind w:firstLine="562" w:firstLineChars="0"/>
        <w:jc w:val="both"/>
        <w:rPr>
          <w:rFonts w:ascii="宋体" w:hAnsi="宋体"/>
          <w:color w:val="auto"/>
          <w:sz w:val="28"/>
          <w:szCs w:val="28"/>
        </w:rPr>
      </w:pPr>
    </w:p>
    <w:p>
      <w:pPr>
        <w:pStyle w:val="11"/>
        <w:ind w:firstLine="0" w:firstLineChars="0"/>
        <w:jc w:val="center"/>
        <w:rPr>
          <w:rFonts w:hint="eastAsia" w:ascii="仿宋" w:hAnsi="仿宋" w:eastAsia="仿宋" w:cs="仿宋"/>
          <w:b/>
          <w:bCs/>
          <w:color w:val="auto"/>
          <w:kern w:val="0"/>
          <w:sz w:val="30"/>
          <w:szCs w:val="30"/>
          <w:lang w:val="en-US" w:eastAsia="zh-CN" w:bidi="ar-SA"/>
        </w:rPr>
      </w:pPr>
      <w:r>
        <w:rPr>
          <w:rFonts w:hint="eastAsia" w:ascii="宋体" w:hAnsi="宋体"/>
          <w:color w:val="auto"/>
          <w:sz w:val="28"/>
          <w:szCs w:val="28"/>
        </w:rPr>
        <w:br w:type="page"/>
      </w:r>
      <w:r>
        <w:rPr>
          <w:rFonts w:hint="eastAsia" w:ascii="仿宋" w:hAnsi="仿宋" w:eastAsia="仿宋" w:cs="仿宋"/>
          <w:b/>
          <w:bCs/>
          <w:color w:val="auto"/>
          <w:kern w:val="0"/>
          <w:sz w:val="30"/>
          <w:szCs w:val="30"/>
          <w:lang w:val="en-US" w:eastAsia="zh-CN" w:bidi="ar-SA"/>
        </w:rPr>
        <w:t>或三、法定代表人授权委托书</w:t>
      </w:r>
    </w:p>
    <w:p>
      <w:pPr>
        <w:pStyle w:val="11"/>
        <w:ind w:firstLine="562" w:firstLineChars="0"/>
        <w:jc w:val="center"/>
        <w:rPr>
          <w:rFonts w:hint="eastAsia" w:ascii="宋体" w:hAnsi="宋体"/>
          <w:b w:val="0"/>
          <w:bCs w:val="0"/>
          <w:color w:val="auto"/>
          <w:sz w:val="24"/>
          <w:szCs w:val="24"/>
        </w:rPr>
      </w:pPr>
    </w:p>
    <w:p>
      <w:pPr>
        <w:pStyle w:val="34"/>
        <w:tabs>
          <w:tab w:val="left" w:pos="3025"/>
          <w:tab w:val="left" w:pos="4105"/>
          <w:tab w:val="left" w:pos="8800"/>
        </w:tabs>
        <w:spacing w:after="120" w:line="457" w:lineRule="exact"/>
        <w:ind w:left="280" w:firstLine="600"/>
        <w:rPr>
          <w:rFonts w:hint="eastAsia" w:ascii="仿宋" w:hAnsi="仿宋" w:eastAsia="仿宋" w:cs="仿宋"/>
          <w:color w:val="auto"/>
          <w:sz w:val="24"/>
          <w:szCs w:val="24"/>
        </w:rPr>
      </w:pPr>
      <w:r>
        <w:rPr>
          <w:rFonts w:hint="eastAsia" w:ascii="仿宋" w:hAnsi="仿宋" w:eastAsia="仿宋" w:cs="仿宋"/>
          <w:color w:val="auto"/>
          <w:sz w:val="24"/>
          <w:szCs w:val="24"/>
        </w:rPr>
        <w:t>本人作为</w:t>
      </w:r>
      <w:r>
        <w:rPr>
          <w:rFonts w:hint="eastAsia" w:ascii="仿宋" w:hAnsi="仿宋" w:eastAsia="仿宋" w:cs="仿宋"/>
          <w:color w:val="auto"/>
          <w:sz w:val="24"/>
          <w:szCs w:val="24"/>
          <w:u w:val="single"/>
        </w:rPr>
        <w:t>（投标人名称）</w:t>
      </w:r>
      <w:r>
        <w:rPr>
          <w:rFonts w:hint="eastAsia" w:ascii="仿宋" w:hAnsi="仿宋" w:eastAsia="仿宋" w:cs="仿宋"/>
          <w:color w:val="auto"/>
          <w:sz w:val="24"/>
          <w:szCs w:val="24"/>
        </w:rPr>
        <w:t>的法定代表人,在此授权我公司的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身份证件号码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,作为我的合法的委托代理人，以我的名义并代表我公司全权处理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项目投标的各项事宜</w:t>
      </w:r>
      <w:r>
        <w:rPr>
          <w:rFonts w:hint="eastAsia" w:ascii="仿宋" w:hAnsi="仿宋" w:eastAsia="仿宋" w:cs="仿宋"/>
          <w:i/>
          <w:iCs/>
          <w:color w:val="auto"/>
          <w:sz w:val="24"/>
          <w:szCs w:val="24"/>
        </w:rPr>
        <w:t>。</w:t>
      </w:r>
    </w:p>
    <w:p>
      <w:pPr>
        <w:pStyle w:val="34"/>
        <w:tabs>
          <w:tab w:val="left" w:pos="3070"/>
          <w:tab w:val="left" w:pos="3910"/>
          <w:tab w:val="left" w:pos="4750"/>
          <w:tab w:val="left" w:pos="6085"/>
          <w:tab w:val="left" w:pos="6925"/>
          <w:tab w:val="left" w:pos="7765"/>
        </w:tabs>
        <w:spacing w:after="120" w:line="461" w:lineRule="exact"/>
        <w:ind w:firstLine="760"/>
        <w:rPr>
          <w:rFonts w:hint="eastAsia" w:ascii="仿宋" w:hAnsi="仿宋" w:eastAsia="仿宋" w:cs="仿宋"/>
          <w:color w:val="auto"/>
          <w:sz w:val="24"/>
          <w:szCs w:val="24"/>
        </w:rPr>
      </w:pPr>
      <w:r>
        <w:rPr>
          <w:rFonts w:hint="eastAsia" w:ascii="仿宋" w:hAnsi="仿宋" w:eastAsia="仿宋" w:cs="仿宋"/>
          <w:color w:val="auto"/>
          <w:sz w:val="24"/>
          <w:szCs w:val="24"/>
        </w:rPr>
        <w:t>本授权书期限自</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日起至</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日止。</w:t>
      </w:r>
    </w:p>
    <w:p>
      <w:pPr>
        <w:pStyle w:val="34"/>
        <w:spacing w:after="120" w:line="465" w:lineRule="exact"/>
        <w:ind w:left="280" w:firstLine="480"/>
        <w:rPr>
          <w:rFonts w:hint="eastAsia" w:ascii="仿宋" w:hAnsi="仿宋" w:eastAsia="仿宋" w:cs="仿宋"/>
          <w:color w:val="auto"/>
          <w:sz w:val="24"/>
          <w:szCs w:val="24"/>
        </w:rPr>
      </w:pPr>
      <w:r>
        <w:rPr>
          <w:rFonts w:hint="eastAsia" w:ascii="仿宋" w:hAnsi="仿宋" w:eastAsia="仿宋" w:cs="仿宋"/>
          <w:color w:val="auto"/>
          <w:sz w:val="24"/>
          <w:szCs w:val="24"/>
        </w:rPr>
        <w:t>在此授权范围和期限内，被授权人所实施的行为具有法律效力，授权人予以认可。</w:t>
      </w:r>
    </w:p>
    <w:p>
      <w:pPr>
        <w:pStyle w:val="34"/>
        <w:spacing w:after="120" w:line="461" w:lineRule="exact"/>
        <w:ind w:firstLine="760"/>
        <w:jc w:val="left"/>
        <w:rPr>
          <w:rFonts w:hint="eastAsia" w:ascii="仿宋" w:hAnsi="仿宋" w:eastAsia="仿宋" w:cs="仿宋"/>
          <w:color w:val="auto"/>
          <w:sz w:val="24"/>
          <w:szCs w:val="24"/>
        </w:rPr>
      </w:pPr>
      <w:r>
        <w:rPr>
          <w:rFonts w:hint="eastAsia" w:ascii="仿宋" w:hAnsi="仿宋" w:eastAsia="仿宋" w:cs="仿宋"/>
          <w:color w:val="auto"/>
          <w:sz w:val="24"/>
          <w:szCs w:val="24"/>
        </w:rPr>
        <w:t>委托代理人无权转让委托权，特此委托。</w:t>
      </w:r>
    </w:p>
    <w:p>
      <w:pPr>
        <w:pStyle w:val="34"/>
        <w:tabs>
          <w:tab w:val="left" w:pos="3385"/>
          <w:tab w:val="left" w:pos="4835"/>
        </w:tabs>
        <w:spacing w:after="120" w:line="461" w:lineRule="exact"/>
        <w:ind w:firstLine="760"/>
        <w:jc w:val="left"/>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rPr>
        <w:tab/>
      </w:r>
      <w:r>
        <w:rPr>
          <w:rFonts w:hint="eastAsia" w:ascii="仿宋" w:hAnsi="仿宋" w:eastAsia="仿宋" w:cs="仿宋"/>
          <w:color w:val="auto"/>
          <w:sz w:val="24"/>
          <w:szCs w:val="24"/>
        </w:rPr>
        <w:t>性别:</w:t>
      </w:r>
      <w:r>
        <w:rPr>
          <w:rFonts w:hint="eastAsia" w:ascii="仿宋" w:hAnsi="仿宋" w:eastAsia="仿宋" w:cs="仿宋"/>
          <w:color w:val="auto"/>
          <w:sz w:val="24"/>
          <w:szCs w:val="24"/>
        </w:rPr>
        <w:tab/>
      </w:r>
      <w:r>
        <w:rPr>
          <w:rFonts w:hint="eastAsia" w:ascii="仿宋" w:hAnsi="仿宋" w:eastAsia="仿宋" w:cs="仿宋"/>
          <w:color w:val="auto"/>
          <w:sz w:val="24"/>
          <w:szCs w:val="24"/>
        </w:rPr>
        <w:t>年龄：</w:t>
      </w:r>
    </w:p>
    <w:p>
      <w:pPr>
        <w:pStyle w:val="34"/>
        <w:tabs>
          <w:tab w:val="left" w:pos="3385"/>
        </w:tabs>
        <w:spacing w:after="120" w:line="461" w:lineRule="exact"/>
        <w:ind w:firstLine="760"/>
        <w:jc w:val="left"/>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职务：</w:t>
      </w:r>
    </w:p>
    <w:p>
      <w:pPr>
        <w:pStyle w:val="34"/>
        <w:spacing w:after="300" w:line="461" w:lineRule="exact"/>
        <w:ind w:firstLine="760"/>
        <w:rPr>
          <w:rFonts w:hint="eastAsia" w:ascii="仿宋" w:hAnsi="仿宋" w:eastAsia="仿宋" w:cs="仿宋"/>
          <w:color w:val="auto"/>
          <w:sz w:val="24"/>
          <w:szCs w:val="24"/>
        </w:rPr>
      </w:pPr>
      <w:r>
        <w:rPr>
          <w:rFonts w:hint="eastAsia" w:ascii="仿宋" w:hAnsi="仿宋" w:eastAsia="仿宋" w:cs="仿宋"/>
          <w:color w:val="auto"/>
          <w:sz w:val="24"/>
          <w:szCs w:val="24"/>
        </w:rPr>
        <w:t>委托代理人手机号码：</w:t>
      </w:r>
    </w:p>
    <w:p>
      <w:pPr>
        <w:snapToGrid w:val="0"/>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附：1、社保机构出具的投标人为授权委托人缴纳的近三个月社保证明。未按要求提供社保证明的不视为投标人的授权代表。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yellow"/>
        </w:rPr>
        <w:t>2、</w:t>
      </w:r>
      <w:r>
        <w:rPr>
          <w:rFonts w:hint="eastAsia" w:ascii="仿宋" w:hAnsi="仿宋" w:eastAsia="仿宋" w:cs="仿宋"/>
          <w:color w:val="auto"/>
          <w:sz w:val="24"/>
          <w:szCs w:val="24"/>
          <w:highlight w:val="yellow"/>
          <w:lang w:eastAsia="zh-CN"/>
        </w:rPr>
        <w:t>后附</w:t>
      </w:r>
      <w:r>
        <w:rPr>
          <w:rFonts w:hint="eastAsia" w:ascii="仿宋" w:hAnsi="仿宋" w:eastAsia="仿宋" w:cs="仿宋"/>
          <w:color w:val="auto"/>
          <w:sz w:val="24"/>
          <w:szCs w:val="24"/>
          <w:highlight w:val="yellow"/>
        </w:rPr>
        <w:t>法定代表人和被授权人身份证复印件。</w:t>
      </w:r>
    </w:p>
    <w:p>
      <w:pPr>
        <w:spacing w:line="360" w:lineRule="auto"/>
        <w:ind w:firstLine="4440" w:firstLineChars="1850"/>
        <w:rPr>
          <w:rFonts w:hint="eastAsia" w:ascii="仿宋" w:hAnsi="仿宋" w:eastAsia="仿宋" w:cs="仿宋"/>
          <w:color w:val="auto"/>
          <w:sz w:val="24"/>
          <w:szCs w:val="24"/>
        </w:rPr>
      </w:pPr>
    </w:p>
    <w:p>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（全称、公章）</w:t>
      </w:r>
    </w:p>
    <w:p>
      <w:pPr>
        <w:spacing w:beforeLines="50"/>
        <w:ind w:firstLine="3600" w:firstLineChars="1500"/>
        <w:rPr>
          <w:rFonts w:eastAsia="方正仿宋_GB2312"/>
          <w:color w:val="auto"/>
          <w:sz w:val="24"/>
          <w:u w:val="single"/>
        </w:rPr>
      </w:pPr>
      <w:r>
        <w:rPr>
          <w:rFonts w:eastAsia="方正仿宋_GB2312"/>
          <w:color w:val="auto"/>
          <w:sz w:val="24"/>
        </w:rPr>
        <w:t>法定代表人：</w:t>
      </w:r>
      <w:r>
        <w:rPr>
          <w:rFonts w:eastAsia="方正仿宋_GB2312"/>
          <w:color w:val="auto"/>
          <w:sz w:val="24"/>
          <w:u w:val="single"/>
        </w:rPr>
        <w:t>（签字或盖章）</w:t>
      </w:r>
    </w:p>
    <w:p>
      <w:pPr>
        <w:spacing w:beforeLines="50"/>
        <w:ind w:firstLine="3600" w:firstLineChars="1500"/>
        <w:rPr>
          <w:rFonts w:eastAsia="方正仿宋_GB2312"/>
          <w:color w:val="auto"/>
          <w:sz w:val="24"/>
        </w:rPr>
      </w:pPr>
      <w:r>
        <w:rPr>
          <w:rFonts w:hint="eastAsia" w:eastAsia="方正仿宋_GB2312"/>
          <w:color w:val="auto"/>
          <w:sz w:val="24"/>
        </w:rPr>
        <w:t>日期：</w:t>
      </w:r>
    </w:p>
    <w:p>
      <w:pPr>
        <w:spacing w:line="420" w:lineRule="exact"/>
        <w:rPr>
          <w:rFonts w:ascii="仿宋" w:hAnsi="仿宋" w:eastAsia="仿宋" w:cs="仿宋"/>
          <w:color w:val="auto"/>
          <w:sz w:val="24"/>
          <w:szCs w:val="24"/>
        </w:rPr>
      </w:pPr>
    </w:p>
    <w:p>
      <w:pPr>
        <w:spacing w:line="312" w:lineRule="auto"/>
        <w:rPr>
          <w:rFonts w:ascii="仿宋" w:hAnsi="仿宋" w:eastAsia="仿宋" w:cs="仿宋"/>
          <w:color w:val="auto"/>
          <w:sz w:val="24"/>
          <w:szCs w:val="24"/>
        </w:rPr>
      </w:pPr>
    </w:p>
    <w:p>
      <w:pPr>
        <w:spacing w:line="312" w:lineRule="auto"/>
        <w:rPr>
          <w:rFonts w:ascii="仿宋" w:hAnsi="仿宋" w:eastAsia="仿宋" w:cs="仿宋"/>
          <w:color w:val="auto"/>
          <w:sz w:val="24"/>
          <w:szCs w:val="24"/>
        </w:rPr>
      </w:pPr>
    </w:p>
    <w:p>
      <w:pPr>
        <w:spacing w:line="312" w:lineRule="auto"/>
        <w:rPr>
          <w:rFonts w:ascii="仿宋" w:hAnsi="仿宋" w:eastAsia="仿宋" w:cs="仿宋"/>
          <w:color w:val="auto"/>
          <w:sz w:val="24"/>
          <w:szCs w:val="24"/>
        </w:rPr>
      </w:pPr>
    </w:p>
    <w:p>
      <w:pPr>
        <w:spacing w:line="312" w:lineRule="auto"/>
        <w:rPr>
          <w:rFonts w:ascii="仿宋" w:hAnsi="仿宋" w:eastAsia="仿宋" w:cs="仿宋"/>
          <w:color w:val="auto"/>
          <w:sz w:val="24"/>
          <w:szCs w:val="24"/>
        </w:rPr>
      </w:pPr>
    </w:p>
    <w:p>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2"/>
          <w:szCs w:val="32"/>
        </w:rPr>
        <w:t xml:space="preserve"> </w:t>
      </w:r>
      <w:r>
        <w:rPr>
          <w:rFonts w:hint="eastAsia" w:ascii="仿宋" w:hAnsi="仿宋" w:eastAsia="仿宋" w:cs="仿宋"/>
          <w:b/>
          <w:bCs/>
          <w:color w:val="auto"/>
          <w:sz w:val="30"/>
          <w:szCs w:val="30"/>
        </w:rPr>
        <w:t xml:space="preserve"> </w:t>
      </w: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四、</w:t>
      </w:r>
      <w:bookmarkStart w:id="19" w:name="_Toc48672384"/>
      <w:bookmarkStart w:id="20" w:name="_Toc331876394"/>
    </w:p>
    <w:p>
      <w:pPr>
        <w:widowControl/>
        <w:tabs>
          <w:tab w:val="left" w:pos="450"/>
          <w:tab w:val="left" w:pos="2520"/>
          <w:tab w:val="left" w:pos="8280"/>
        </w:tabs>
        <w:spacing w:line="312" w:lineRule="auto"/>
        <w:jc w:val="center"/>
        <w:rPr>
          <w:rFonts w:ascii="仿宋" w:hAnsi="仿宋" w:eastAsia="仿宋" w:cs="仿宋"/>
          <w:color w:val="auto"/>
          <w:sz w:val="30"/>
          <w:szCs w:val="30"/>
        </w:rPr>
      </w:pPr>
      <w:r>
        <w:rPr>
          <w:rFonts w:hint="eastAsia" w:ascii="仿宋" w:hAnsi="仿宋" w:eastAsia="仿宋" w:cs="仿宋"/>
          <w:b/>
          <w:bCs/>
          <w:color w:val="auto"/>
          <w:sz w:val="30"/>
          <w:szCs w:val="30"/>
          <w:lang w:val="en-US" w:eastAsia="zh-CN"/>
        </w:rPr>
        <w:t xml:space="preserve">4.1 </w:t>
      </w:r>
      <w:r>
        <w:rPr>
          <w:rFonts w:hint="eastAsia" w:ascii="仿宋" w:hAnsi="仿宋" w:eastAsia="仿宋" w:cs="仿宋"/>
          <w:b/>
          <w:bCs/>
          <w:color w:val="auto"/>
          <w:sz w:val="30"/>
          <w:szCs w:val="30"/>
        </w:rPr>
        <w:t>开标一览表（格式）</w:t>
      </w:r>
    </w:p>
    <w:p>
      <w:pPr>
        <w:spacing w:line="420" w:lineRule="exact"/>
        <w:rPr>
          <w:rFonts w:ascii="仿宋" w:hAnsi="仿宋" w:eastAsia="仿宋" w:cs="仿宋"/>
          <w:color w:val="auto"/>
          <w:sz w:val="24"/>
          <w:szCs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700" w:type="dxa"/>
            <w:noWrap w:val="0"/>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项目名称</w:t>
            </w:r>
          </w:p>
        </w:tc>
        <w:tc>
          <w:tcPr>
            <w:tcW w:w="6499" w:type="dxa"/>
            <w:noWrap w:val="0"/>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武义县公共卫生中心实验楼和血站专业改造项目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700" w:type="dxa"/>
            <w:noWrap w:val="0"/>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项目编号</w:t>
            </w:r>
          </w:p>
        </w:tc>
        <w:tc>
          <w:tcPr>
            <w:tcW w:w="6499" w:type="dxa"/>
            <w:noWrap w:val="0"/>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JHTK-ZB2022244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700" w:type="dxa"/>
            <w:vMerge w:val="restart"/>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投标报价（人民币）</w:t>
            </w:r>
          </w:p>
        </w:tc>
        <w:tc>
          <w:tcPr>
            <w:tcW w:w="6499" w:type="dxa"/>
            <w:noWrap w:val="0"/>
            <w:vAlign w:val="center"/>
          </w:tcPr>
          <w:p>
            <w:pPr>
              <w:jc w:val="left"/>
              <w:rPr>
                <w:rFonts w:hint="eastAsia" w:ascii="仿宋" w:hAnsi="仿宋" w:eastAsia="仿宋" w:cs="仿宋"/>
                <w:b/>
                <w:iCs/>
                <w:color w:val="auto"/>
                <w:sz w:val="24"/>
                <w:szCs w:val="24"/>
                <w:lang w:eastAsia="zh-CN"/>
              </w:rPr>
            </w:pPr>
            <w:r>
              <w:rPr>
                <w:rFonts w:hint="eastAsia" w:ascii="仿宋" w:hAnsi="仿宋" w:eastAsia="仿宋" w:cs="仿宋"/>
                <w:b/>
                <w:iCs/>
                <w:color w:val="auto"/>
                <w:sz w:val="24"/>
                <w:szCs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700" w:type="dxa"/>
            <w:vMerge w:val="continue"/>
            <w:noWrap w:val="0"/>
            <w:vAlign w:val="center"/>
          </w:tcPr>
          <w:p>
            <w:pPr>
              <w:jc w:val="left"/>
            </w:pPr>
          </w:p>
        </w:tc>
        <w:tc>
          <w:tcPr>
            <w:tcW w:w="6499" w:type="dxa"/>
            <w:noWrap w:val="0"/>
            <w:vAlign w:val="center"/>
          </w:tcPr>
          <w:p>
            <w:pPr>
              <w:jc w:val="left"/>
              <w:rPr>
                <w:rFonts w:hint="eastAsia" w:ascii="仿宋" w:hAnsi="仿宋" w:eastAsia="仿宋" w:cs="仿宋"/>
                <w:b/>
                <w:iCs/>
                <w:color w:val="auto"/>
                <w:sz w:val="24"/>
                <w:szCs w:val="24"/>
                <w:lang w:eastAsia="zh-CN"/>
              </w:rPr>
            </w:pPr>
            <w:r>
              <w:rPr>
                <w:rFonts w:hint="eastAsia" w:ascii="仿宋" w:hAnsi="仿宋" w:eastAsia="仿宋" w:cs="仿宋"/>
                <w:b/>
                <w:iCs/>
                <w:color w:val="auto"/>
                <w:sz w:val="24"/>
                <w:szCs w:val="24"/>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700"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color w:val="auto"/>
                <w:sz w:val="24"/>
                <w:szCs w:val="24"/>
              </w:rPr>
              <w:t>质保期</w:t>
            </w:r>
          </w:p>
        </w:tc>
        <w:tc>
          <w:tcPr>
            <w:tcW w:w="6499" w:type="dxa"/>
            <w:noWrap w:val="0"/>
            <w:vAlign w:val="center"/>
          </w:tcPr>
          <w:p>
            <w:pPr>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700" w:type="dxa"/>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c>
          <w:tcPr>
            <w:tcW w:w="6499" w:type="dxa"/>
            <w:noWrap w:val="0"/>
            <w:vAlign w:val="center"/>
          </w:tcPr>
          <w:p>
            <w:pPr>
              <w:jc w:val="center"/>
              <w:rPr>
                <w:rFonts w:hint="eastAsia" w:ascii="仿宋" w:hAnsi="仿宋" w:eastAsia="仿宋" w:cs="仿宋"/>
                <w:bCs/>
                <w:color w:val="auto"/>
                <w:sz w:val="24"/>
                <w:szCs w:val="24"/>
              </w:rPr>
            </w:pPr>
          </w:p>
        </w:tc>
      </w:tr>
    </w:tbl>
    <w:p>
      <w:pPr>
        <w:pStyle w:val="10"/>
        <w:rPr>
          <w:rFonts w:hint="eastAsia" w:ascii="仿宋" w:hAnsi="仿宋" w:eastAsia="仿宋" w:cs="仿宋"/>
          <w:color w:val="auto"/>
          <w:sz w:val="24"/>
          <w:szCs w:val="24"/>
        </w:rPr>
      </w:pPr>
    </w:p>
    <w:p>
      <w:pPr>
        <w:snapToGrid w:val="0"/>
        <w:jc w:val="left"/>
        <w:rPr>
          <w:rFonts w:ascii="仿宋" w:hAnsi="仿宋" w:eastAsia="仿宋" w:cs="仿宋"/>
          <w:color w:val="auto"/>
          <w:sz w:val="30"/>
          <w:szCs w:val="30"/>
        </w:rPr>
      </w:pPr>
    </w:p>
    <w:p>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（全称、公章）</w:t>
      </w:r>
    </w:p>
    <w:p>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pPr>
        <w:spacing w:beforeLines="50"/>
        <w:ind w:firstLine="3600" w:firstLineChars="1500"/>
        <w:rPr>
          <w:rFonts w:eastAsia="方正仿宋_GB2312"/>
          <w:color w:val="auto"/>
          <w:sz w:val="24"/>
        </w:rPr>
      </w:pPr>
      <w:r>
        <w:rPr>
          <w:rFonts w:hint="eastAsia" w:eastAsia="方正仿宋_GB2312"/>
          <w:color w:val="auto"/>
          <w:sz w:val="24"/>
        </w:rPr>
        <w:t>日期：</w:t>
      </w:r>
    </w:p>
    <w:p>
      <w:pPr>
        <w:rPr>
          <w:rFonts w:ascii="仿宋" w:hAnsi="仿宋" w:eastAsia="仿宋" w:cs="仿宋"/>
          <w:color w:val="auto"/>
        </w:rPr>
      </w:pPr>
    </w:p>
    <w:p>
      <w:pPr>
        <w:widowControl/>
        <w:autoSpaceDE/>
        <w:autoSpaceDN/>
        <w:adjustRightInd/>
        <w:jc w:val="left"/>
        <w:rPr>
          <w:rFonts w:ascii="仿宋" w:hAnsi="仿宋" w:eastAsia="仿宋" w:cs="仿宋"/>
          <w:b/>
          <w:bCs/>
          <w:color w:val="auto"/>
          <w:sz w:val="30"/>
          <w:szCs w:val="30"/>
        </w:rPr>
      </w:pPr>
      <w:r>
        <w:rPr>
          <w:rFonts w:ascii="仿宋" w:hAnsi="仿宋" w:eastAsia="仿宋" w:cs="仿宋"/>
          <w:b/>
          <w:bCs/>
          <w:color w:val="auto"/>
          <w:sz w:val="30"/>
          <w:szCs w:val="30"/>
        </w:rPr>
        <w:br w:type="page"/>
      </w:r>
    </w:p>
    <w:p>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 xml:space="preserve">4.2 </w:t>
      </w:r>
      <w:r>
        <w:rPr>
          <w:rFonts w:hint="eastAsia" w:ascii="仿宋" w:hAnsi="仿宋" w:eastAsia="仿宋" w:cs="仿宋"/>
          <w:b/>
          <w:bCs/>
          <w:color w:val="auto"/>
          <w:sz w:val="30"/>
          <w:szCs w:val="30"/>
        </w:rPr>
        <w:t>工程量清单及报价表</w:t>
      </w:r>
    </w:p>
    <w:tbl>
      <w:tblPr>
        <w:tblStyle w:val="21"/>
        <w:tblpPr w:leftFromText="180" w:rightFromText="180" w:vertAnchor="text" w:tblpX="15644" w:tblpY="126"/>
        <w:tblOverlap w:val="never"/>
        <w:tblW w:w="1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99" w:type="dxa"/>
            <w:tcBorders>
              <w:top w:val="single" w:color="auto" w:sz="4" w:space="0"/>
              <w:left w:val="single" w:color="auto" w:sz="4" w:space="0"/>
              <w:bottom w:val="single" w:color="auto" w:sz="4" w:space="0"/>
              <w:right w:val="single" w:color="auto" w:sz="4" w:space="0"/>
            </w:tcBorders>
            <w:noWrap w:val="0"/>
            <w:vAlign w:val="top"/>
          </w:tcPr>
          <w:p>
            <w:pPr>
              <w:ind w:firstLine="420"/>
              <w:rPr>
                <w:rFonts w:ascii="宋体" w:hAns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99" w:type="dxa"/>
            <w:tcBorders>
              <w:top w:val="single" w:color="auto" w:sz="4" w:space="0"/>
              <w:left w:val="single" w:color="auto" w:sz="4" w:space="0"/>
              <w:bottom w:val="single" w:color="auto" w:sz="4" w:space="0"/>
              <w:right w:val="single" w:color="auto" w:sz="4" w:space="0"/>
            </w:tcBorders>
            <w:noWrap w:val="0"/>
            <w:vAlign w:val="top"/>
          </w:tcPr>
          <w:p>
            <w:pPr>
              <w:ind w:firstLine="420"/>
              <w:rPr>
                <w:rFonts w:ascii="宋体" w:hAnsi="宋体" w:eastAsia="Times New Roman"/>
              </w:rPr>
            </w:pPr>
          </w:p>
        </w:tc>
      </w:tr>
    </w:tbl>
    <w:p>
      <w:pPr>
        <w:ind w:firstLine="420"/>
        <w:rPr>
          <w:rFonts w:ascii="宋体" w:hAnsi="宋体"/>
        </w:rPr>
      </w:pPr>
    </w:p>
    <w:p>
      <w:pPr>
        <w:pStyle w:val="4"/>
        <w:rPr>
          <w:rFonts w:hint="eastAsia"/>
        </w:rPr>
      </w:pPr>
    </w:p>
    <w:p>
      <w:pPr>
        <w:spacing w:line="420" w:lineRule="exact"/>
        <w:ind w:firstLine="480" w:firstLineChars="200"/>
        <w:rPr>
          <w:rFonts w:hint="eastAsia" w:ascii="仿宋" w:hAnsi="仿宋" w:eastAsia="仿宋" w:cs="仿宋"/>
          <w:b/>
          <w:bCs/>
          <w:color w:val="auto"/>
          <w:sz w:val="24"/>
          <w:szCs w:val="24"/>
          <w:lang w:eastAsia="zh-CN"/>
        </w:rPr>
      </w:pPr>
      <w:r>
        <w:rPr>
          <w:rFonts w:hint="eastAsia" w:ascii="仿宋" w:hAnsi="仿宋" w:eastAsia="仿宋" w:cs="仿宋"/>
          <w:color w:val="0000FF"/>
          <w:sz w:val="24"/>
          <w:szCs w:val="24"/>
          <w:highlight w:val="yellow"/>
          <w:lang w:eastAsia="zh-CN"/>
        </w:rPr>
        <w:t>根据招标公告的“附件</w:t>
      </w:r>
      <w:r>
        <w:rPr>
          <w:rFonts w:hint="eastAsia" w:ascii="仿宋" w:hAnsi="仿宋" w:eastAsia="仿宋" w:cs="仿宋"/>
          <w:color w:val="0000FF"/>
          <w:sz w:val="24"/>
          <w:szCs w:val="24"/>
          <w:highlight w:val="yellow"/>
          <w:lang w:val="en-US" w:eastAsia="zh-CN"/>
        </w:rPr>
        <w:t>-</w:t>
      </w:r>
      <w:r>
        <w:rPr>
          <w:rFonts w:hint="eastAsia" w:ascii="仿宋" w:hAnsi="仿宋" w:eastAsia="仿宋" w:cs="仿宋"/>
          <w:color w:val="0000FF"/>
          <w:sz w:val="24"/>
          <w:szCs w:val="24"/>
          <w:highlight w:val="yellow"/>
          <w:lang w:eastAsia="zh-CN"/>
        </w:rPr>
        <w:t>工程量清单”进行逐一报价，如出现缺项、漏项按无效标处理。</w:t>
      </w:r>
    </w:p>
    <w:p>
      <w:pP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br w:type="page"/>
      </w:r>
    </w:p>
    <w:p>
      <w:pPr>
        <w:widowControl/>
        <w:tabs>
          <w:tab w:val="left" w:pos="450"/>
          <w:tab w:val="left" w:pos="2520"/>
          <w:tab w:val="left" w:pos="8280"/>
        </w:tabs>
        <w:spacing w:line="312" w:lineRule="auto"/>
        <w:jc w:val="center"/>
        <w:rPr>
          <w:rFonts w:ascii="仿宋" w:hAnsi="仿宋" w:eastAsia="仿宋" w:cs="仿宋"/>
          <w:b/>
          <w:bCs/>
          <w:color w:val="auto"/>
          <w:sz w:val="30"/>
          <w:szCs w:val="30"/>
        </w:rPr>
      </w:pPr>
      <w:r>
        <w:rPr>
          <w:rFonts w:hint="eastAsia" w:ascii="仿宋" w:hAnsi="仿宋" w:eastAsia="仿宋" w:cs="仿宋"/>
          <w:b/>
          <w:bCs/>
          <w:color w:val="auto"/>
          <w:sz w:val="30"/>
          <w:szCs w:val="30"/>
          <w:lang w:eastAsia="zh-CN"/>
        </w:rPr>
        <w:t>五</w:t>
      </w:r>
      <w:r>
        <w:rPr>
          <w:rFonts w:hint="eastAsia" w:ascii="仿宋" w:hAnsi="仿宋" w:eastAsia="仿宋" w:cs="仿宋"/>
          <w:b/>
          <w:bCs/>
          <w:color w:val="auto"/>
          <w:sz w:val="30"/>
          <w:szCs w:val="30"/>
        </w:rPr>
        <w:t>、</w:t>
      </w:r>
      <w:bookmarkEnd w:id="19"/>
      <w:bookmarkEnd w:id="20"/>
      <w:r>
        <w:rPr>
          <w:rFonts w:hint="eastAsia" w:ascii="仿宋" w:hAnsi="仿宋" w:eastAsia="仿宋" w:cs="仿宋"/>
          <w:b/>
          <w:bCs/>
          <w:color w:val="auto"/>
          <w:sz w:val="30"/>
          <w:szCs w:val="30"/>
        </w:rPr>
        <w:t>投标承诺书（格式）</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项目（项目编号：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）招标文件，现参加该项目投标，并就有关事项作出如下承诺：</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（1）已报名但无故放弃投标(开标前已有书面说明并证实的除外)一年内累计3次以上的；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（2）在招标采购过程中，与采购人进行协商谈判的；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（3）投标有效期内撤回其投标文件的；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（4）拒绝有关部门监督检查或提供虚假情况的；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（5）不积极配合采购人做好标的验收工作的；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（6）在有关部门的监督检查或考核中被通报批评或处以警告及以上处罚的；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（7）不遵守投标会场纪律，无理取闹，扰乱交易秩序的；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（8）中标后无正当理由放弃中标，或不与采购人签订政府采购合同，或在签订合同时提出附加条件或更改合同实质性内容，或拒不提交所要求的履约保证金的；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（9）虚假投诉、恶意投诉或未按层级和相关程序逐级质疑、投诉而影响采购工作正常进行或造成不良影响的；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（10）不按照与采购人订立的合同履行义务（包括提供标的、售后服务、技术支持等），严重违反合同规定和廉政合同要求的；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（11）项目负责人不到位，或擅自变换项目负责人，或不认真履行职责造成采购人损失的；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（12）发生经营状况重大变化以及重要担保、重大合同纠纷或诉讼、信用等级和资质变化等可能影响履约能力的重大事项，未及时向采购人提供书面报告，因而造成采购人损失的；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（13）与采购人、其他供应商或者采购代理机构相互串通的；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（14）采取不正当手段排挤其他供应商，进行不公平竞争的；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（15）中标后与采购人另行订立背离合同实质内容的协议的；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（16）事先有承诺，而事后违反承诺内容的；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（17）将中标项目转包或违反规定进行分包的；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（18）以他人名义投标或允许他人以自己名义投标，或者以其他方式弄虚作假的；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（19）为获取自身利益，向采购人及其他有利害关系的单位或个人提供不正当利益的；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（20）擅自变更、中止、终止或解除政府采购合同的；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（21）向有关人员行贿或者提供不正当利益谋取中标的；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（22）在政府采购活动期间，对管理机构、采购人、其他投标人、评标专家、中介机构等政府采购相关机构和人员，采取诋毁、诽谤、胁迫、暴力等不正当手段的；</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1、质疑人须为投标人和其他利害关系人；</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2、投诉时，应当递交质疑书，质疑书应当包括下列内容：</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（3）质疑事项的基本事实；</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（4）相关请求及主张；</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（5）有效线索和相关证明材料；</w:t>
      </w:r>
    </w:p>
    <w:p>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（6）质疑人是法人的，质疑书必须由其法定代表人或者授权代表签字并加盖章；其他组织或者个人质疑的，质疑书必须由其主要负责人或者质疑人本人签字，并附有效身份证明复印件。</w:t>
      </w:r>
    </w:p>
    <w:p>
      <w:pPr>
        <w:spacing w:line="420" w:lineRule="exact"/>
        <w:ind w:firstLine="964" w:firstLineChars="400"/>
        <w:rPr>
          <w:rFonts w:ascii="仿宋" w:hAnsi="仿宋" w:eastAsia="仿宋" w:cs="仿宋"/>
          <w:b/>
          <w:color w:val="auto"/>
          <w:sz w:val="24"/>
          <w:szCs w:val="24"/>
        </w:rPr>
      </w:pPr>
    </w:p>
    <w:p>
      <w:pPr>
        <w:spacing w:line="420" w:lineRule="exact"/>
        <w:ind w:firstLine="960" w:firstLineChars="400"/>
        <w:rPr>
          <w:rFonts w:ascii="仿宋" w:hAnsi="仿宋" w:eastAsia="仿宋" w:cs="仿宋"/>
          <w:color w:val="auto"/>
          <w:sz w:val="24"/>
          <w:szCs w:val="24"/>
        </w:rPr>
      </w:pPr>
    </w:p>
    <w:p>
      <w:pPr>
        <w:spacing w:line="420" w:lineRule="exact"/>
        <w:ind w:firstLine="960" w:firstLineChars="400"/>
        <w:rPr>
          <w:rFonts w:ascii="仿宋" w:hAnsi="仿宋" w:eastAsia="仿宋" w:cs="仿宋"/>
          <w:color w:val="auto"/>
          <w:sz w:val="24"/>
          <w:szCs w:val="24"/>
        </w:rPr>
      </w:pPr>
    </w:p>
    <w:p>
      <w:pPr>
        <w:spacing w:line="420" w:lineRule="exact"/>
        <w:rPr>
          <w:rFonts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 xml:space="preserve">         （盖章）           </w:t>
      </w:r>
      <w:r>
        <w:rPr>
          <w:rFonts w:hint="eastAsia" w:ascii="仿宋" w:hAnsi="仿宋" w:eastAsia="仿宋" w:cs="仿宋"/>
          <w:color w:val="auto"/>
          <w:sz w:val="24"/>
          <w:szCs w:val="24"/>
        </w:rPr>
        <w:t xml:space="preserve">      </w:t>
      </w:r>
    </w:p>
    <w:p>
      <w:pPr>
        <w:spacing w:line="420" w:lineRule="exact"/>
        <w:rPr>
          <w:rFonts w:ascii="仿宋" w:hAnsi="仿宋" w:eastAsia="仿宋" w:cs="仿宋"/>
          <w:color w:val="auto"/>
          <w:sz w:val="24"/>
          <w:szCs w:val="24"/>
        </w:rPr>
      </w:pPr>
    </w:p>
    <w:p>
      <w:pPr>
        <w:spacing w:line="420" w:lineRule="exact"/>
        <w:rPr>
          <w:rFonts w:ascii="仿宋" w:hAnsi="仿宋" w:eastAsia="仿宋" w:cs="仿宋"/>
          <w:color w:val="auto"/>
          <w:sz w:val="24"/>
          <w:szCs w:val="24"/>
        </w:rPr>
      </w:pPr>
      <w:r>
        <w:rPr>
          <w:rFonts w:hint="eastAsia" w:ascii="仿宋" w:hAnsi="仿宋" w:eastAsia="仿宋" w:cs="仿宋"/>
          <w:color w:val="auto"/>
          <w:sz w:val="24"/>
          <w:szCs w:val="24"/>
        </w:rPr>
        <w:t>日      期：     年    月    日</w:t>
      </w:r>
    </w:p>
    <w:p>
      <w:pPr>
        <w:pStyle w:val="3"/>
        <w:spacing w:before="0" w:after="0" w:line="420" w:lineRule="exact"/>
        <w:rPr>
          <w:rFonts w:ascii="仿宋" w:hAnsi="仿宋" w:eastAsia="仿宋" w:cs="仿宋"/>
          <w:b w:val="0"/>
          <w:color w:val="auto"/>
          <w:sz w:val="24"/>
          <w:szCs w:val="24"/>
        </w:rPr>
      </w:pPr>
    </w:p>
    <w:p>
      <w:pPr>
        <w:rPr>
          <w:rFonts w:ascii="仿宋" w:hAnsi="仿宋" w:eastAsia="仿宋" w:cs="仿宋"/>
          <w:color w:val="auto"/>
          <w:sz w:val="44"/>
          <w:szCs w:val="44"/>
        </w:rPr>
      </w:pPr>
    </w:p>
    <w:p>
      <w:pPr>
        <w:spacing w:line="312" w:lineRule="auto"/>
        <w:rPr>
          <w:rFonts w:ascii="仿宋" w:hAnsi="仿宋" w:eastAsia="仿宋" w:cs="仿宋"/>
          <w:color w:val="auto"/>
        </w:rPr>
      </w:pPr>
    </w:p>
    <w:p>
      <w:pPr>
        <w:widowControl/>
        <w:tabs>
          <w:tab w:val="left" w:pos="450"/>
          <w:tab w:val="left" w:pos="2520"/>
          <w:tab w:val="left" w:pos="8280"/>
        </w:tabs>
        <w:spacing w:line="312" w:lineRule="auto"/>
        <w:jc w:val="center"/>
        <w:rPr>
          <w:rFonts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0"/>
          <w:szCs w:val="30"/>
          <w:lang w:eastAsia="zh-CN"/>
        </w:rPr>
        <w:t>六</w:t>
      </w:r>
      <w:r>
        <w:rPr>
          <w:rFonts w:hint="eastAsia" w:ascii="仿宋" w:hAnsi="仿宋" w:eastAsia="仿宋" w:cs="仿宋"/>
          <w:b/>
          <w:color w:val="auto"/>
          <w:sz w:val="30"/>
          <w:szCs w:val="30"/>
        </w:rPr>
        <w:t>、</w:t>
      </w:r>
      <w:r>
        <w:rPr>
          <w:rFonts w:hint="eastAsia" w:ascii="仿宋" w:hAnsi="仿宋" w:eastAsia="仿宋" w:cs="仿宋"/>
          <w:b/>
          <w:color w:val="auto"/>
          <w:sz w:val="30"/>
          <w:szCs w:val="30"/>
          <w:lang w:eastAsia="zh-CN"/>
        </w:rPr>
        <w:t>中小型、微型企业的优惠政策（如有）</w:t>
      </w:r>
    </w:p>
    <w:p>
      <w:pPr>
        <w:jc w:val="center"/>
        <w:rPr>
          <w:rFonts w:ascii="仿宋" w:hAnsi="仿宋" w:eastAsia="仿宋" w:cs="仿宋"/>
          <w:b/>
          <w:color w:val="auto"/>
          <w:sz w:val="24"/>
          <w:szCs w:val="24"/>
        </w:rPr>
      </w:pPr>
    </w:p>
    <w:p>
      <w:pPr>
        <w:jc w:val="center"/>
        <w:rPr>
          <w:rFonts w:ascii="仿宋" w:hAnsi="仿宋" w:eastAsia="仿宋" w:cs="仿宋"/>
          <w:b/>
          <w:color w:val="auto"/>
          <w:sz w:val="24"/>
          <w:szCs w:val="24"/>
        </w:rPr>
      </w:pPr>
      <w:r>
        <w:rPr>
          <w:rFonts w:hint="eastAsia" w:ascii="仿宋" w:hAnsi="仿宋" w:eastAsia="仿宋" w:cs="仿宋"/>
          <w:b/>
          <w:color w:val="auto"/>
          <w:sz w:val="24"/>
          <w:szCs w:val="24"/>
        </w:rPr>
        <w:t>1、中小企业声明函（货物）</w:t>
      </w:r>
    </w:p>
    <w:p>
      <w:pPr>
        <w:spacing w:line="420" w:lineRule="exact"/>
        <w:ind w:firstLine="480" w:firstLineChars="200"/>
        <w:jc w:val="left"/>
        <w:rPr>
          <w:rFonts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（财库﹝2021﹞46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420" w:lineRule="exact"/>
        <w:ind w:right="420" w:firstLine="5880" w:firstLineChars="2450"/>
        <w:jc w:val="left"/>
        <w:rPr>
          <w:rFonts w:ascii="仿宋" w:hAnsi="仿宋" w:eastAsia="仿宋" w:cs="仿宋"/>
          <w:color w:val="auto"/>
          <w:sz w:val="24"/>
          <w:szCs w:val="24"/>
        </w:rPr>
      </w:pPr>
    </w:p>
    <w:p>
      <w:pPr>
        <w:spacing w:line="420" w:lineRule="exact"/>
        <w:ind w:right="420" w:firstLine="5880" w:firstLineChars="2450"/>
        <w:rPr>
          <w:rFonts w:ascii="仿宋" w:hAnsi="仿宋" w:eastAsia="仿宋" w:cs="仿宋"/>
          <w:color w:val="auto"/>
          <w:sz w:val="24"/>
          <w:szCs w:val="24"/>
        </w:rPr>
      </w:pPr>
      <w:r>
        <w:rPr>
          <w:rFonts w:hint="eastAsia" w:ascii="仿宋" w:hAnsi="仿宋" w:eastAsia="仿宋" w:cs="仿宋"/>
          <w:color w:val="auto"/>
          <w:sz w:val="24"/>
          <w:szCs w:val="24"/>
        </w:rPr>
        <w:t xml:space="preserve">企业名称（盖章）： </w:t>
      </w:r>
    </w:p>
    <w:p>
      <w:pPr>
        <w:spacing w:line="420" w:lineRule="exact"/>
        <w:ind w:right="420" w:firstLine="5520" w:firstLineChars="2300"/>
        <w:rPr>
          <w:rFonts w:ascii="仿宋" w:hAnsi="仿宋" w:eastAsia="仿宋" w:cs="仿宋"/>
          <w:color w:val="auto"/>
          <w:sz w:val="24"/>
          <w:szCs w:val="24"/>
        </w:rPr>
      </w:pPr>
      <w:r>
        <w:rPr>
          <w:rFonts w:hint="eastAsia" w:ascii="仿宋" w:hAnsi="仿宋" w:eastAsia="仿宋" w:cs="仿宋"/>
          <w:color w:val="auto"/>
          <w:sz w:val="24"/>
          <w:szCs w:val="24"/>
        </w:rPr>
        <w:t>日期：   年     月     日</w:t>
      </w:r>
    </w:p>
    <w:p>
      <w:pPr>
        <w:spacing w:line="420" w:lineRule="exact"/>
        <w:jc w:val="center"/>
        <w:rPr>
          <w:rFonts w:ascii="仿宋" w:hAnsi="仿宋" w:eastAsia="仿宋" w:cs="仿宋"/>
          <w:b/>
          <w:color w:val="auto"/>
          <w:sz w:val="24"/>
          <w:szCs w:val="24"/>
        </w:rPr>
      </w:pPr>
    </w:p>
    <w:p>
      <w:pPr>
        <w:jc w:val="center"/>
        <w:rPr>
          <w:rFonts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2、中小企业声明函（工程、服务）</w:t>
      </w:r>
    </w:p>
    <w:p>
      <w:pPr>
        <w:spacing w:line="420" w:lineRule="exact"/>
        <w:ind w:firstLine="480" w:firstLineChars="200"/>
        <w:jc w:val="left"/>
        <w:rPr>
          <w:rFonts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（财库﹝2021﹞46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420" w:lineRule="exact"/>
        <w:ind w:right="420" w:firstLine="5880" w:firstLineChars="2450"/>
        <w:jc w:val="left"/>
        <w:rPr>
          <w:rFonts w:ascii="仿宋" w:hAnsi="仿宋" w:eastAsia="仿宋" w:cs="仿宋"/>
          <w:color w:val="auto"/>
          <w:sz w:val="24"/>
          <w:szCs w:val="24"/>
        </w:rPr>
      </w:pPr>
    </w:p>
    <w:p>
      <w:pPr>
        <w:spacing w:line="420" w:lineRule="exact"/>
        <w:ind w:right="420" w:firstLine="5880" w:firstLineChars="2450"/>
        <w:rPr>
          <w:rFonts w:ascii="仿宋" w:hAnsi="仿宋" w:eastAsia="仿宋" w:cs="仿宋"/>
          <w:color w:val="auto"/>
          <w:sz w:val="24"/>
          <w:szCs w:val="24"/>
        </w:rPr>
      </w:pPr>
      <w:r>
        <w:rPr>
          <w:rFonts w:hint="eastAsia" w:ascii="仿宋" w:hAnsi="仿宋" w:eastAsia="仿宋" w:cs="仿宋"/>
          <w:color w:val="auto"/>
          <w:sz w:val="24"/>
          <w:szCs w:val="24"/>
        </w:rPr>
        <w:t xml:space="preserve">企业名称（盖章）： </w:t>
      </w:r>
    </w:p>
    <w:p>
      <w:pPr>
        <w:spacing w:line="420" w:lineRule="exact"/>
        <w:ind w:right="420" w:firstLine="5520" w:firstLineChars="2300"/>
        <w:rPr>
          <w:rFonts w:ascii="仿宋" w:hAnsi="仿宋" w:eastAsia="仿宋" w:cs="仿宋"/>
          <w:color w:val="auto"/>
          <w:sz w:val="24"/>
          <w:szCs w:val="24"/>
        </w:rPr>
      </w:pPr>
      <w:r>
        <w:rPr>
          <w:rFonts w:hint="eastAsia" w:ascii="仿宋" w:hAnsi="仿宋" w:eastAsia="仿宋" w:cs="仿宋"/>
          <w:color w:val="auto"/>
          <w:sz w:val="24"/>
          <w:szCs w:val="24"/>
        </w:rPr>
        <w:t>日期：   年     月     日</w:t>
      </w:r>
    </w:p>
    <w:p>
      <w:pPr>
        <w:spacing w:line="312" w:lineRule="auto"/>
        <w:jc w:val="center"/>
        <w:rPr>
          <w:rFonts w:ascii="仿宋" w:hAnsi="仿宋" w:eastAsia="仿宋" w:cs="仿宋"/>
          <w:b/>
          <w:color w:val="auto"/>
          <w:sz w:val="30"/>
          <w:szCs w:val="30"/>
        </w:rPr>
      </w:pPr>
      <w:r>
        <w:rPr>
          <w:rFonts w:hint="eastAsia" w:ascii="仿宋" w:hAnsi="仿宋" w:eastAsia="仿宋" w:cs="仿宋"/>
          <w:color w:val="auto"/>
          <w:sz w:val="30"/>
          <w:szCs w:val="30"/>
        </w:rPr>
        <w:br w:type="page"/>
      </w:r>
      <w:r>
        <w:rPr>
          <w:rFonts w:hint="eastAsia" w:ascii="仿宋" w:hAnsi="仿宋" w:eastAsia="仿宋" w:cs="仿宋"/>
          <w:b/>
          <w:color w:val="auto"/>
          <w:sz w:val="30"/>
          <w:szCs w:val="30"/>
        </w:rPr>
        <w:t>七、残疾人福利性单位声明函</w:t>
      </w:r>
    </w:p>
    <w:p>
      <w:pPr>
        <w:snapToGrid w:val="0"/>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napToGrid w:val="0"/>
        <w:spacing w:line="420" w:lineRule="exact"/>
        <w:ind w:firstLine="504" w:firstLineChars="200"/>
        <w:jc w:val="right"/>
        <w:rPr>
          <w:rFonts w:ascii="仿宋" w:hAnsi="仿宋" w:eastAsia="仿宋" w:cs="仿宋"/>
          <w:color w:val="auto"/>
          <w:sz w:val="24"/>
          <w:szCs w:val="24"/>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单位名称（盖章）：</w:t>
      </w:r>
    </w:p>
    <w:p>
      <w:pPr>
        <w:snapToGrid w:val="0"/>
        <w:spacing w:line="420" w:lineRule="exact"/>
        <w:ind w:firstLine="480" w:firstLineChars="200"/>
        <w:jc w:val="center"/>
        <w:rPr>
          <w:rFonts w:ascii="仿宋" w:hAnsi="仿宋" w:eastAsia="仿宋" w:cs="仿宋"/>
          <w:color w:val="auto"/>
          <w:sz w:val="24"/>
          <w:szCs w:val="24"/>
        </w:rPr>
      </w:pPr>
      <w:r>
        <w:rPr>
          <w:rFonts w:hint="eastAsia" w:ascii="仿宋" w:hAnsi="仿宋" w:eastAsia="仿宋" w:cs="仿宋"/>
          <w:color w:val="auto"/>
          <w:sz w:val="24"/>
          <w:szCs w:val="24"/>
        </w:rPr>
        <w:t>　　　　　　　　　　　　　　　　　　        　日  期：</w:t>
      </w:r>
    </w:p>
    <w:p>
      <w:pPr>
        <w:snapToGrid w:val="0"/>
        <w:spacing w:line="420" w:lineRule="exact"/>
        <w:rPr>
          <w:rFonts w:ascii="仿宋" w:hAnsi="仿宋" w:eastAsia="仿宋" w:cs="仿宋"/>
          <w:b/>
          <w:color w:val="auto"/>
          <w:sz w:val="24"/>
          <w:szCs w:val="24"/>
        </w:rPr>
      </w:pPr>
      <w:r>
        <w:rPr>
          <w:rFonts w:hint="eastAsia" w:ascii="仿宋" w:hAnsi="仿宋" w:eastAsia="仿宋" w:cs="仿宋"/>
          <w:color w:val="auto"/>
          <w:sz w:val="24"/>
          <w:szCs w:val="24"/>
        </w:rPr>
        <w:t>注：</w:t>
      </w:r>
      <w:r>
        <w:rPr>
          <w:rFonts w:hint="eastAsia" w:ascii="仿宋" w:hAnsi="仿宋" w:eastAsia="仿宋" w:cs="仿宋"/>
          <w:b/>
          <w:color w:val="auto"/>
          <w:sz w:val="24"/>
          <w:szCs w:val="24"/>
        </w:rPr>
        <w:t>１、残疾人福利性单位视同小型、微型企业，享受价格扣除。</w:t>
      </w:r>
    </w:p>
    <w:p>
      <w:pPr>
        <w:snapToGrid w:val="0"/>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２、残疾人福利性单位属于小型、微型企业的，不重复享受政策。</w:t>
      </w:r>
    </w:p>
    <w:p>
      <w:pPr>
        <w:snapToGrid w:val="0"/>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３、如中标人声明为残疾人福利性单位，本声明函将随中标结果同时公告，接受社会监督。</w:t>
      </w:r>
    </w:p>
    <w:p>
      <w:pPr>
        <w:snapToGrid w:val="0"/>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4、享受政府采购支持政策的残疾人福利性单位应当同时满足以下条件：</w:t>
      </w:r>
    </w:p>
    <w:p>
      <w:pPr>
        <w:snapToGrid w:val="0"/>
        <w:spacing w:line="420" w:lineRule="exact"/>
        <w:rPr>
          <w:rFonts w:ascii="仿宋" w:hAnsi="仿宋" w:eastAsia="仿宋" w:cs="仿宋"/>
          <w:b/>
          <w:color w:val="auto"/>
          <w:sz w:val="24"/>
          <w:szCs w:val="24"/>
        </w:rPr>
      </w:pPr>
      <w:r>
        <w:rPr>
          <w:rFonts w:hint="eastAsia" w:ascii="仿宋" w:hAnsi="仿宋" w:eastAsia="仿宋" w:cs="仿宋"/>
          <w:b/>
          <w:color w:val="auto"/>
          <w:sz w:val="24"/>
          <w:szCs w:val="24"/>
        </w:rPr>
        <w:t>（一）安置的残疾人占本单位在职职工人数的比例不低于25%（含25%），并且安置的残疾人人数不少于10人（含10人）；</w:t>
      </w:r>
    </w:p>
    <w:p>
      <w:pPr>
        <w:snapToGrid w:val="0"/>
        <w:spacing w:line="420" w:lineRule="exact"/>
        <w:rPr>
          <w:rFonts w:ascii="仿宋" w:hAnsi="仿宋" w:eastAsia="仿宋" w:cs="仿宋"/>
          <w:b/>
          <w:color w:val="auto"/>
          <w:sz w:val="24"/>
          <w:szCs w:val="24"/>
        </w:rPr>
      </w:pPr>
      <w:r>
        <w:rPr>
          <w:rFonts w:hint="eastAsia" w:ascii="仿宋" w:hAnsi="仿宋" w:eastAsia="仿宋" w:cs="仿宋"/>
          <w:b/>
          <w:color w:val="auto"/>
          <w:sz w:val="24"/>
          <w:szCs w:val="24"/>
        </w:rPr>
        <w:t>（二）依法与安置的每位残疾人签订了一年以上（含一年）的劳动合同或服务协议；</w:t>
      </w:r>
    </w:p>
    <w:p>
      <w:pPr>
        <w:snapToGrid w:val="0"/>
        <w:spacing w:line="420" w:lineRule="exact"/>
        <w:rPr>
          <w:rFonts w:ascii="仿宋" w:hAnsi="仿宋" w:eastAsia="仿宋" w:cs="仿宋"/>
          <w:b/>
          <w:color w:val="auto"/>
          <w:sz w:val="24"/>
          <w:szCs w:val="24"/>
        </w:rPr>
      </w:pPr>
      <w:r>
        <w:rPr>
          <w:rFonts w:hint="eastAsia" w:ascii="仿宋" w:hAnsi="仿宋" w:eastAsia="仿宋" w:cs="仿宋"/>
          <w:b/>
          <w:color w:val="auto"/>
          <w:sz w:val="24"/>
          <w:szCs w:val="24"/>
        </w:rPr>
        <w:t>（三）为安置的每位残疾人按月足额缴纳了基本养老保险、基本医疗保险、失业保险、工伤保险和生育保险等社会保险费；</w:t>
      </w:r>
    </w:p>
    <w:p>
      <w:pPr>
        <w:snapToGrid w:val="0"/>
        <w:spacing w:line="420" w:lineRule="exact"/>
        <w:rPr>
          <w:rFonts w:ascii="仿宋" w:hAnsi="仿宋" w:eastAsia="仿宋" w:cs="仿宋"/>
          <w:b/>
          <w:color w:val="auto"/>
          <w:sz w:val="24"/>
          <w:szCs w:val="24"/>
        </w:rPr>
      </w:pPr>
      <w:r>
        <w:rPr>
          <w:rFonts w:hint="eastAsia" w:ascii="仿宋" w:hAnsi="仿宋" w:eastAsia="仿宋" w:cs="仿宋"/>
          <w:b/>
          <w:color w:val="auto"/>
          <w:sz w:val="24"/>
          <w:szCs w:val="24"/>
        </w:rPr>
        <w:t>（四）通过银行等金融机构向安置的每位残疾人，按月支付了不低于单位所在区县适用的经省级人民政府批准的月最低工资标准的工资；</w:t>
      </w:r>
    </w:p>
    <w:p>
      <w:pPr>
        <w:snapToGrid w:val="0"/>
        <w:spacing w:line="420" w:lineRule="exact"/>
      </w:pPr>
      <w:r>
        <w:rPr>
          <w:rFonts w:hint="eastAsia" w:ascii="仿宋" w:hAnsi="仿宋" w:eastAsia="仿宋" w:cs="仿宋"/>
          <w:b/>
          <w:color w:val="auto"/>
          <w:sz w:val="24"/>
          <w:szCs w:val="24"/>
        </w:rPr>
        <w:t>（五）提供本单位制造的货物、承担的工程或者服务（以下简称产品），或者提供其他残疾人福利性单位制造的货物（不包括使用非残疾人福利性单位注册商标的货物）。</w:t>
      </w:r>
    </w:p>
    <w:sectPr>
      <w:pgSz w:w="11906" w:h="16838"/>
      <w:pgMar w:top="1247" w:right="1134" w:bottom="1020" w:left="1418" w:header="851" w:footer="907"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方正仿宋_GB2312">
    <w:altName w:val="仿宋"/>
    <w:panose1 w:val="00000000000000000000"/>
    <w:charset w:val="86"/>
    <w:family w:val="auto"/>
    <w:pitch w:val="default"/>
    <w:sig w:usb0="00000000" w:usb1="00000000" w:usb2="00000012" w:usb3="00000000" w:csb0="00040001" w:csb1="00000000"/>
  </w:font>
  <w:font w:name="Helvetica">
    <w:panose1 w:val="020B0504020202030204"/>
    <w:charset w:val="00"/>
    <w:family w:val="auto"/>
    <w:pitch w:val="default"/>
    <w:sig w:usb0="00000007"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nWQ3coBAACd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nVG0octzjy888f51+P54fv&#10;JDtRoj5AjZl3AXPT8N4PmD77AZ2Z+aCizV/kRDCOAp8uAsshEZEfrZarVYUhgbH5gvjs6XmIkD5I&#10;b0k2GhpxgkVYfvwEaUydU3I152+1MWWKxv3lQMzsYbn3scdspWE3TIR2vj0hnx6H31CHu06J+ehQ&#10;27wnsxFnYzcbhxD1viuLlOtBeHdI2ETpLVcYYafCOLXCbtqwvBZ/3kvW01+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9nWQ3coBAACdAwAADgAAAAAAAAABACAAAAAeAQAAZHJzL2Uyb0Rv&#10;Yy54bWxQSwUGAAAAAAYABgBZAQAAWgU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- 4 -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tV28oBAACd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6G6psRxiyM///xx/vXn/Ps7&#10;yU6UqA9QY+ZDwNw0fPADps9+QGdmPqho8xc5EYyjwKeLwHJIRORHq+VqVWFIYGy+ID57fB4ipI/S&#10;W5KNhkacYBGWH+8gjalzSq7m/K02pkzRuP8ciJk9LPc+9pitNOyGidDOtyfk0+PwG+pw1ykxnxxq&#10;m/dkNuJs7GbjEKLed2WRcj0I7w8Jmyi95Qoj7FQYp1bYTRuW1+Lfe8l6/Ks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itV28oBAACdAwAADgAAAAAAAAABACAAAAAeAQAAZHJzL2Uyb0Rv&#10;Yy54bWxQSwUGAAAAAAYABgBZAQAAWgU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8810C"/>
    <w:multiLevelType w:val="singleLevel"/>
    <w:tmpl w:val="A698810C"/>
    <w:lvl w:ilvl="0" w:tentative="0">
      <w:start w:val="1"/>
      <w:numFmt w:val="chineseCounting"/>
      <w:suff w:val="nothing"/>
      <w:lvlText w:val="%1、"/>
      <w:lvlJc w:val="left"/>
      <w:rPr>
        <w:rFonts w:hint="eastAsia"/>
      </w:rPr>
    </w:lvl>
  </w:abstractNum>
  <w:abstractNum w:abstractNumId="1">
    <w:nsid w:val="B7FC9976"/>
    <w:multiLevelType w:val="singleLevel"/>
    <w:tmpl w:val="B7FC9976"/>
    <w:lvl w:ilvl="0" w:tentative="0">
      <w:start w:val="1"/>
      <w:numFmt w:val="decimalEnclosedCircleChinese"/>
      <w:suff w:val="nothing"/>
      <w:lvlText w:val="%1　"/>
      <w:lvlJc w:val="left"/>
      <w:pPr>
        <w:ind w:left="0" w:firstLine="400"/>
      </w:pPr>
      <w:rPr>
        <w:rFonts w:hint="eastAsia"/>
      </w:rPr>
    </w:lvl>
  </w:abstractNum>
  <w:abstractNum w:abstractNumId="2">
    <w:nsid w:val="EF13348E"/>
    <w:multiLevelType w:val="singleLevel"/>
    <w:tmpl w:val="EF13348E"/>
    <w:lvl w:ilvl="0" w:tentative="0">
      <w:start w:val="1"/>
      <w:numFmt w:val="decimal"/>
      <w:pStyle w:val="8"/>
      <w:lvlText w:val="%1."/>
      <w:lvlJc w:val="left"/>
      <w:pPr>
        <w:tabs>
          <w:tab w:val="left" w:pos="360"/>
        </w:tabs>
        <w:ind w:left="360" w:hanging="360"/>
      </w:pPr>
    </w:lvl>
  </w:abstractNum>
  <w:abstractNum w:abstractNumId="3">
    <w:nsid w:val="F3C3053C"/>
    <w:multiLevelType w:val="singleLevel"/>
    <w:tmpl w:val="F3C3053C"/>
    <w:lvl w:ilvl="0" w:tentative="0">
      <w:start w:val="8"/>
      <w:numFmt w:val="chineseCounting"/>
      <w:suff w:val="nothing"/>
      <w:lvlText w:val="%1、"/>
      <w:lvlJc w:val="left"/>
      <w:rPr>
        <w:rFonts w:hint="eastAsia"/>
      </w:rPr>
    </w:lvl>
  </w:abstractNum>
  <w:abstractNum w:abstractNumId="4">
    <w:nsid w:val="028660D2"/>
    <w:multiLevelType w:val="singleLevel"/>
    <w:tmpl w:val="028660D2"/>
    <w:lvl w:ilvl="0" w:tentative="0">
      <w:start w:val="3"/>
      <w:numFmt w:val="decimal"/>
      <w:suff w:val="nothing"/>
      <w:lvlText w:val="%1、"/>
      <w:lvlJc w:val="left"/>
    </w:lvl>
  </w:abstractNum>
  <w:abstractNum w:abstractNumId="5">
    <w:nsid w:val="4195371F"/>
    <w:multiLevelType w:val="multilevel"/>
    <w:tmpl w:val="4195371F"/>
    <w:lvl w:ilvl="0" w:tentative="0">
      <w:start w:val="1"/>
      <w:numFmt w:val="decimal"/>
      <w:lvlText w:val="%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AxYTE2NzgyMmUzMjZhMDc3ZjM4NmQwZTViNzM2ZGUifQ=="/>
  </w:docVars>
  <w:rsids>
    <w:rsidRoot w:val="317F2CBE"/>
    <w:rsid w:val="00061925"/>
    <w:rsid w:val="002956D5"/>
    <w:rsid w:val="002F7E0A"/>
    <w:rsid w:val="00314E5D"/>
    <w:rsid w:val="00455495"/>
    <w:rsid w:val="00534176"/>
    <w:rsid w:val="00622028"/>
    <w:rsid w:val="00637498"/>
    <w:rsid w:val="0064016A"/>
    <w:rsid w:val="00794424"/>
    <w:rsid w:val="007A3E59"/>
    <w:rsid w:val="008D4656"/>
    <w:rsid w:val="009737B8"/>
    <w:rsid w:val="00C2426E"/>
    <w:rsid w:val="00D91826"/>
    <w:rsid w:val="00E045AC"/>
    <w:rsid w:val="00FB10BC"/>
    <w:rsid w:val="06187BCC"/>
    <w:rsid w:val="06F304C9"/>
    <w:rsid w:val="077C3C20"/>
    <w:rsid w:val="09105DDC"/>
    <w:rsid w:val="09242161"/>
    <w:rsid w:val="09410604"/>
    <w:rsid w:val="097F34F6"/>
    <w:rsid w:val="09F20E82"/>
    <w:rsid w:val="0A213F94"/>
    <w:rsid w:val="0A5F3A60"/>
    <w:rsid w:val="0AB40268"/>
    <w:rsid w:val="0B5017A5"/>
    <w:rsid w:val="0C21366E"/>
    <w:rsid w:val="0C857C6D"/>
    <w:rsid w:val="0D083DB8"/>
    <w:rsid w:val="0FB53557"/>
    <w:rsid w:val="0FE13E19"/>
    <w:rsid w:val="0FE74269"/>
    <w:rsid w:val="1129318B"/>
    <w:rsid w:val="11C13EA6"/>
    <w:rsid w:val="13AB25E7"/>
    <w:rsid w:val="14C30E98"/>
    <w:rsid w:val="15CB29C3"/>
    <w:rsid w:val="16662C03"/>
    <w:rsid w:val="16704933"/>
    <w:rsid w:val="16ED6DB0"/>
    <w:rsid w:val="183A692B"/>
    <w:rsid w:val="18E60586"/>
    <w:rsid w:val="18FF79AA"/>
    <w:rsid w:val="19163C33"/>
    <w:rsid w:val="19932B20"/>
    <w:rsid w:val="19C21C4E"/>
    <w:rsid w:val="1A2944DE"/>
    <w:rsid w:val="1AB54B05"/>
    <w:rsid w:val="1B5D0248"/>
    <w:rsid w:val="1B7968B0"/>
    <w:rsid w:val="1B8C3996"/>
    <w:rsid w:val="1D3C4CD1"/>
    <w:rsid w:val="1D40212E"/>
    <w:rsid w:val="1DB6390D"/>
    <w:rsid w:val="1DFC0800"/>
    <w:rsid w:val="1E8A46FB"/>
    <w:rsid w:val="1F6400AC"/>
    <w:rsid w:val="206258ED"/>
    <w:rsid w:val="21275172"/>
    <w:rsid w:val="215B02F0"/>
    <w:rsid w:val="2180768A"/>
    <w:rsid w:val="21C81DCC"/>
    <w:rsid w:val="21ED6651"/>
    <w:rsid w:val="222C7755"/>
    <w:rsid w:val="228757C1"/>
    <w:rsid w:val="2317669E"/>
    <w:rsid w:val="235A4CA6"/>
    <w:rsid w:val="23D400CD"/>
    <w:rsid w:val="23F5531A"/>
    <w:rsid w:val="2492746F"/>
    <w:rsid w:val="24CA19B7"/>
    <w:rsid w:val="25C6162E"/>
    <w:rsid w:val="26190E48"/>
    <w:rsid w:val="264370B7"/>
    <w:rsid w:val="265A320F"/>
    <w:rsid w:val="26CF7759"/>
    <w:rsid w:val="27331A8D"/>
    <w:rsid w:val="27C43035"/>
    <w:rsid w:val="27FB3AC8"/>
    <w:rsid w:val="29AF35B1"/>
    <w:rsid w:val="2BE5556F"/>
    <w:rsid w:val="2CB41949"/>
    <w:rsid w:val="2D470797"/>
    <w:rsid w:val="2D8800B2"/>
    <w:rsid w:val="2E5E0B06"/>
    <w:rsid w:val="2E6C0D11"/>
    <w:rsid w:val="2EF31907"/>
    <w:rsid w:val="306D5ACD"/>
    <w:rsid w:val="30A4530B"/>
    <w:rsid w:val="30AD596C"/>
    <w:rsid w:val="312D39F9"/>
    <w:rsid w:val="317F2CBE"/>
    <w:rsid w:val="32171768"/>
    <w:rsid w:val="334B460B"/>
    <w:rsid w:val="33502A1A"/>
    <w:rsid w:val="34053FB6"/>
    <w:rsid w:val="36027951"/>
    <w:rsid w:val="363E5B64"/>
    <w:rsid w:val="369A2109"/>
    <w:rsid w:val="36C13A18"/>
    <w:rsid w:val="372233CB"/>
    <w:rsid w:val="379C7B8F"/>
    <w:rsid w:val="383E146C"/>
    <w:rsid w:val="383F30DE"/>
    <w:rsid w:val="389E181E"/>
    <w:rsid w:val="38EB3DDC"/>
    <w:rsid w:val="39423DBA"/>
    <w:rsid w:val="39663F4D"/>
    <w:rsid w:val="396E4BAF"/>
    <w:rsid w:val="3A152514"/>
    <w:rsid w:val="3A26636E"/>
    <w:rsid w:val="3C6B41F3"/>
    <w:rsid w:val="3CDB07AE"/>
    <w:rsid w:val="3CF72941"/>
    <w:rsid w:val="3CF943C2"/>
    <w:rsid w:val="3E556DD3"/>
    <w:rsid w:val="3E731B74"/>
    <w:rsid w:val="3FE23425"/>
    <w:rsid w:val="3FEA2A9B"/>
    <w:rsid w:val="3FF814C8"/>
    <w:rsid w:val="40613DDD"/>
    <w:rsid w:val="40623C9A"/>
    <w:rsid w:val="415D43A6"/>
    <w:rsid w:val="41BA35E2"/>
    <w:rsid w:val="41E3451E"/>
    <w:rsid w:val="42072045"/>
    <w:rsid w:val="42D93B67"/>
    <w:rsid w:val="42D9513B"/>
    <w:rsid w:val="42E12896"/>
    <w:rsid w:val="42F65FC0"/>
    <w:rsid w:val="43540790"/>
    <w:rsid w:val="43B753A5"/>
    <w:rsid w:val="449E2D2B"/>
    <w:rsid w:val="44B17F99"/>
    <w:rsid w:val="44D03E05"/>
    <w:rsid w:val="450D34CE"/>
    <w:rsid w:val="457D163A"/>
    <w:rsid w:val="466555F0"/>
    <w:rsid w:val="46761B7E"/>
    <w:rsid w:val="46DD54BB"/>
    <w:rsid w:val="47631ACB"/>
    <w:rsid w:val="4816685E"/>
    <w:rsid w:val="487A6FBB"/>
    <w:rsid w:val="48CF5DE0"/>
    <w:rsid w:val="49A64DDB"/>
    <w:rsid w:val="49B36552"/>
    <w:rsid w:val="49E42393"/>
    <w:rsid w:val="49EF5673"/>
    <w:rsid w:val="4AB46529"/>
    <w:rsid w:val="4AE96AB8"/>
    <w:rsid w:val="4B3F45FD"/>
    <w:rsid w:val="4C250EEA"/>
    <w:rsid w:val="4C992A6A"/>
    <w:rsid w:val="4DE67291"/>
    <w:rsid w:val="4FDE2637"/>
    <w:rsid w:val="514E4953"/>
    <w:rsid w:val="531B5B6A"/>
    <w:rsid w:val="532767D1"/>
    <w:rsid w:val="53A75252"/>
    <w:rsid w:val="54356FC6"/>
    <w:rsid w:val="54D12A19"/>
    <w:rsid w:val="553A0D5C"/>
    <w:rsid w:val="55A91C51"/>
    <w:rsid w:val="55E33900"/>
    <w:rsid w:val="563404D1"/>
    <w:rsid w:val="566A4182"/>
    <w:rsid w:val="569752EE"/>
    <w:rsid w:val="575907F5"/>
    <w:rsid w:val="589540BB"/>
    <w:rsid w:val="58F217FE"/>
    <w:rsid w:val="595A7B43"/>
    <w:rsid w:val="597C338E"/>
    <w:rsid w:val="59A7617B"/>
    <w:rsid w:val="5A7D3219"/>
    <w:rsid w:val="5AAA24A2"/>
    <w:rsid w:val="5AC8218F"/>
    <w:rsid w:val="5B627B78"/>
    <w:rsid w:val="5BB67268"/>
    <w:rsid w:val="5BE75658"/>
    <w:rsid w:val="5C6E4CB5"/>
    <w:rsid w:val="5C8C030F"/>
    <w:rsid w:val="5CA23BFF"/>
    <w:rsid w:val="5CDC7967"/>
    <w:rsid w:val="5D01410A"/>
    <w:rsid w:val="5D3A3C51"/>
    <w:rsid w:val="5D447E5F"/>
    <w:rsid w:val="5E67417C"/>
    <w:rsid w:val="5F071799"/>
    <w:rsid w:val="605B178A"/>
    <w:rsid w:val="606C0CF8"/>
    <w:rsid w:val="60C92C39"/>
    <w:rsid w:val="63E02F7A"/>
    <w:rsid w:val="64690A36"/>
    <w:rsid w:val="64C13489"/>
    <w:rsid w:val="64DB34B6"/>
    <w:rsid w:val="654578CA"/>
    <w:rsid w:val="663E3AB0"/>
    <w:rsid w:val="669D757A"/>
    <w:rsid w:val="66A325BF"/>
    <w:rsid w:val="66A93115"/>
    <w:rsid w:val="67394BA2"/>
    <w:rsid w:val="67A64293"/>
    <w:rsid w:val="686D4100"/>
    <w:rsid w:val="687A3630"/>
    <w:rsid w:val="68F62596"/>
    <w:rsid w:val="692A515F"/>
    <w:rsid w:val="695275F0"/>
    <w:rsid w:val="69A91D3B"/>
    <w:rsid w:val="6AA638F9"/>
    <w:rsid w:val="6BB53863"/>
    <w:rsid w:val="6C130657"/>
    <w:rsid w:val="6C4E33F1"/>
    <w:rsid w:val="6CE670C1"/>
    <w:rsid w:val="6E3F209B"/>
    <w:rsid w:val="6EEB78B2"/>
    <w:rsid w:val="6FED54DB"/>
    <w:rsid w:val="71391133"/>
    <w:rsid w:val="714C09C6"/>
    <w:rsid w:val="73FE2F1F"/>
    <w:rsid w:val="744334C7"/>
    <w:rsid w:val="750C6D52"/>
    <w:rsid w:val="75BB157A"/>
    <w:rsid w:val="75D0604D"/>
    <w:rsid w:val="76CD16D4"/>
    <w:rsid w:val="77112A42"/>
    <w:rsid w:val="7753048D"/>
    <w:rsid w:val="775748F9"/>
    <w:rsid w:val="788429C7"/>
    <w:rsid w:val="78BA46A6"/>
    <w:rsid w:val="79252D6E"/>
    <w:rsid w:val="79751067"/>
    <w:rsid w:val="79BB13D6"/>
    <w:rsid w:val="7BD27E26"/>
    <w:rsid w:val="7CB7520E"/>
    <w:rsid w:val="7E7A6957"/>
    <w:rsid w:val="7EB40F6C"/>
    <w:rsid w:val="7FE702F1"/>
    <w:rsid w:val="7FED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4">
    <w:name w:val="heading 3"/>
    <w:basedOn w:val="1"/>
    <w:next w:val="5"/>
    <w:qFormat/>
    <w:uiPriority w:val="0"/>
    <w:pPr>
      <w:keepNext/>
      <w:keepLines/>
      <w:autoSpaceDE w:val="0"/>
      <w:autoSpaceDN w:val="0"/>
      <w:adjustRightInd w:val="0"/>
      <w:jc w:val="left"/>
      <w:outlineLvl w:val="2"/>
    </w:pPr>
    <w:rPr>
      <w:rFonts w:ascii="宋体"/>
      <w:b/>
      <w:kern w:val="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35"/>
    <w:qFormat/>
    <w:uiPriority w:val="0"/>
    <w:pPr>
      <w:autoSpaceDE/>
      <w:autoSpaceDN/>
      <w:adjustRightInd/>
      <w:ind w:firstLine="420"/>
    </w:pPr>
    <w:rPr>
      <w:color w:val="auto"/>
      <w:kern w:val="2"/>
      <w:szCs w:val="20"/>
    </w:rPr>
  </w:style>
  <w:style w:type="paragraph" w:styleId="6">
    <w:name w:val="Body Text Indent"/>
    <w:basedOn w:val="1"/>
    <w:next w:val="7"/>
    <w:qFormat/>
    <w:uiPriority w:val="0"/>
    <w:pPr>
      <w:spacing w:after="120"/>
      <w:ind w:left="420" w:leftChars="200"/>
    </w:pPr>
  </w:style>
  <w:style w:type="paragraph" w:styleId="7">
    <w:name w:val="Body Text First Indent 2"/>
    <w:basedOn w:val="6"/>
    <w:next w:val="1"/>
    <w:qFormat/>
    <w:uiPriority w:val="0"/>
    <w:pPr>
      <w:autoSpaceDE/>
      <w:autoSpaceDN/>
      <w:adjustRightInd/>
      <w:spacing w:line="360" w:lineRule="auto"/>
      <w:ind w:firstLine="420" w:firstLineChars="200"/>
    </w:pPr>
    <w:rPr>
      <w:rFonts w:ascii="Calibri" w:hAnsi="Calibri"/>
      <w:color w:val="auto"/>
      <w:kern w:val="2"/>
      <w:sz w:val="24"/>
      <w:szCs w:val="22"/>
    </w:rPr>
  </w:style>
  <w:style w:type="paragraph" w:styleId="8">
    <w:name w:val="List Number"/>
    <w:basedOn w:val="1"/>
    <w:qFormat/>
    <w:uiPriority w:val="0"/>
    <w:pPr>
      <w:numPr>
        <w:ilvl w:val="0"/>
        <w:numId w:val="1"/>
      </w:numPr>
    </w:pPr>
  </w:style>
  <w:style w:type="paragraph" w:styleId="9">
    <w:name w:val="toa heading"/>
    <w:basedOn w:val="1"/>
    <w:next w:val="1"/>
    <w:qFormat/>
    <w:uiPriority w:val="0"/>
    <w:pPr>
      <w:spacing w:before="120"/>
    </w:pPr>
    <w:rPr>
      <w:rFonts w:ascii="Arial" w:hAnsi="Arial" w:cs="Arial"/>
      <w:color w:val="auto"/>
      <w:sz w:val="24"/>
      <w:szCs w:val="24"/>
    </w:rPr>
  </w:style>
  <w:style w:type="paragraph" w:styleId="10">
    <w:name w:val="Body Text"/>
    <w:basedOn w:val="1"/>
    <w:next w:val="11"/>
    <w:qFormat/>
    <w:uiPriority w:val="0"/>
    <w:pPr>
      <w:spacing w:after="120"/>
    </w:pPr>
  </w:style>
  <w:style w:type="paragraph" w:styleId="11">
    <w:name w:val="Body Text First Indent"/>
    <w:basedOn w:val="10"/>
    <w:next w:val="12"/>
    <w:qFormat/>
    <w:uiPriority w:val="0"/>
    <w:pPr>
      <w:autoSpaceDE/>
      <w:autoSpaceDN/>
      <w:adjustRightInd/>
      <w:ind w:firstLine="420" w:firstLineChars="100"/>
    </w:pPr>
    <w:rPr>
      <w:rFonts w:ascii="Calibri" w:hAnsi="Calibri"/>
      <w:color w:val="auto"/>
      <w:kern w:val="2"/>
      <w:szCs w:val="24"/>
    </w:rPr>
  </w:style>
  <w:style w:type="paragraph" w:styleId="12">
    <w:name w:val="toc 6"/>
    <w:basedOn w:val="1"/>
    <w:next w:val="1"/>
    <w:unhideWhenUsed/>
    <w:qFormat/>
    <w:uiPriority w:val="39"/>
    <w:pPr>
      <w:ind w:left="2100" w:leftChars="1000"/>
    </w:pPr>
    <w:rPr>
      <w:rFonts w:ascii="Calibri" w:hAnsi="Calibri"/>
      <w:szCs w:val="22"/>
    </w:rPr>
  </w:style>
  <w:style w:type="paragraph" w:styleId="13">
    <w:name w:val="Plain Text"/>
    <w:basedOn w:val="1"/>
    <w:next w:val="1"/>
    <w:qFormat/>
    <w:uiPriority w:val="0"/>
    <w:pPr>
      <w:autoSpaceDE/>
      <w:autoSpaceDN/>
      <w:adjustRightInd/>
    </w:pPr>
    <w:rPr>
      <w:color w:val="auto"/>
      <w:kern w:val="2"/>
      <w:sz w:val="24"/>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autoSpaceDE/>
      <w:autoSpaceDN/>
      <w:adjustRightInd/>
      <w:ind w:firstLine="435"/>
    </w:pPr>
    <w:rPr>
      <w:color w:val="auto"/>
      <w:kern w:val="2"/>
      <w:szCs w:val="24"/>
    </w:rPr>
  </w:style>
  <w:style w:type="paragraph" w:styleId="17">
    <w:name w:val="toc 2"/>
    <w:basedOn w:val="1"/>
    <w:next w:val="1"/>
    <w:qFormat/>
    <w:uiPriority w:val="0"/>
    <w:pPr>
      <w:ind w:left="210"/>
    </w:pPr>
    <w:rPr>
      <w:rFonts w:ascii="Calibri" w:hAnsi="Calibri"/>
      <w:smallCaps/>
    </w:rPr>
  </w:style>
  <w:style w:type="paragraph" w:styleId="18">
    <w:name w:val="Body Text 2"/>
    <w:basedOn w:val="1"/>
    <w:qFormat/>
    <w:uiPriority w:val="0"/>
    <w:pPr>
      <w:spacing w:after="120" w:line="480" w:lineRule="auto"/>
    </w:pPr>
  </w:style>
  <w:style w:type="paragraph" w:styleId="19">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20">
    <w:name w:val="Title"/>
    <w:basedOn w:val="1"/>
    <w:qFormat/>
    <w:uiPriority w:val="1"/>
    <w:pPr>
      <w:contextualSpacing/>
    </w:pPr>
    <w:rPr>
      <w:rFonts w:asciiTheme="majorHAnsi" w:hAnsiTheme="majorHAnsi" w:eastAsiaTheme="majorEastAsia" w:cstheme="majorBidi"/>
      <w:sz w:val="56"/>
      <w:szCs w:val="56"/>
    </w:r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basedOn w:val="22"/>
    <w:qFormat/>
    <w:uiPriority w:val="0"/>
    <w:rPr>
      <w:color w:val="0000FF"/>
      <w:u w:val="none"/>
    </w:rPr>
  </w:style>
  <w:style w:type="paragraph" w:customStyle="1" w:styleId="26">
    <w:name w:val="首行缩进"/>
    <w:qFormat/>
    <w:uiPriority w:val="0"/>
    <w:pPr>
      <w:widowControl w:val="0"/>
      <w:spacing w:line="360" w:lineRule="auto"/>
      <w:ind w:firstLine="480" w:firstLineChars="200"/>
      <w:jc w:val="both"/>
    </w:pPr>
    <w:rPr>
      <w:rFonts w:ascii="宋体" w:hAnsi="宋体" w:eastAsia="宋体" w:cs="宋体"/>
      <w:sz w:val="24"/>
      <w:szCs w:val="24"/>
      <w:lang w:val="en-US" w:eastAsia="zh-CN" w:bidi="ar-SA"/>
    </w:rPr>
  </w:style>
  <w:style w:type="paragraph" w:customStyle="1" w:styleId="27">
    <w:name w:val="正文文本 31"/>
    <w:basedOn w:val="1"/>
    <w:qFormat/>
    <w:uiPriority w:val="0"/>
    <w:rPr>
      <w:sz w:val="16"/>
      <w:szCs w:val="16"/>
    </w:rPr>
  </w:style>
  <w:style w:type="character" w:customStyle="1" w:styleId="28">
    <w:name w:val="ml101"/>
    <w:basedOn w:val="22"/>
    <w:qFormat/>
    <w:uiPriority w:val="0"/>
  </w:style>
  <w:style w:type="paragraph" w:customStyle="1" w:styleId="29">
    <w:name w:val="表内文字"/>
    <w:basedOn w:val="1"/>
    <w:qFormat/>
    <w:uiPriority w:val="0"/>
    <w:pPr>
      <w:tabs>
        <w:tab w:val="left" w:pos="1418"/>
      </w:tabs>
      <w:spacing w:after="120"/>
    </w:pPr>
    <w:rPr>
      <w:rFonts w:ascii="仿宋_GB2312" w:hAnsi="Calibri" w:eastAsia="仿宋_GB2312"/>
      <w:spacing w:val="-20"/>
      <w:sz w:val="24"/>
      <w:szCs w:val="24"/>
    </w:rPr>
  </w:style>
  <w:style w:type="paragraph" w:customStyle="1" w:styleId="30">
    <w:name w:val="默认段落字体 Para Char Char Char Char Char Char Char Char Char1 Char Char Char Char"/>
    <w:basedOn w:val="1"/>
    <w:qFormat/>
    <w:uiPriority w:val="0"/>
    <w:rPr>
      <w:rFonts w:ascii="Tahoma" w:hAnsi="Tahoma"/>
      <w:sz w:val="24"/>
      <w:szCs w:val="20"/>
    </w:rPr>
  </w:style>
  <w:style w:type="paragraph" w:customStyle="1" w:styleId="3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Heading #3|1"/>
    <w:basedOn w:val="1"/>
    <w:qFormat/>
    <w:uiPriority w:val="0"/>
    <w:pPr>
      <w:spacing w:after="200"/>
      <w:outlineLvl w:val="2"/>
    </w:pPr>
    <w:rPr>
      <w:rFonts w:ascii="宋体" w:hAnsi="宋体" w:cs="宋体"/>
      <w:sz w:val="28"/>
      <w:szCs w:val="28"/>
      <w:lang w:val="zh-TW" w:eastAsia="zh-TW" w:bidi="zh-TW"/>
    </w:rPr>
  </w:style>
  <w:style w:type="paragraph" w:customStyle="1" w:styleId="33">
    <w:name w:val="Other|1"/>
    <w:basedOn w:val="1"/>
    <w:qFormat/>
    <w:uiPriority w:val="0"/>
    <w:pPr>
      <w:spacing w:after="60" w:line="446" w:lineRule="auto"/>
      <w:ind w:firstLine="400"/>
    </w:pPr>
    <w:rPr>
      <w:rFonts w:ascii="宋体" w:hAnsi="宋体" w:cs="宋体"/>
      <w:sz w:val="22"/>
      <w:szCs w:val="22"/>
      <w:lang w:val="zh-TW" w:eastAsia="zh-TW" w:bidi="zh-TW"/>
    </w:rPr>
  </w:style>
  <w:style w:type="paragraph" w:customStyle="1" w:styleId="34">
    <w:name w:val="Body text|1"/>
    <w:basedOn w:val="1"/>
    <w:qFormat/>
    <w:uiPriority w:val="0"/>
    <w:pPr>
      <w:spacing w:after="60" w:line="446" w:lineRule="auto"/>
      <w:ind w:firstLine="400"/>
    </w:pPr>
    <w:rPr>
      <w:rFonts w:ascii="宋体" w:hAnsi="宋体" w:cs="宋体"/>
      <w:sz w:val="22"/>
      <w:szCs w:val="22"/>
      <w:lang w:val="zh-TW" w:eastAsia="zh-TW" w:bidi="zh-TW"/>
    </w:rPr>
  </w:style>
  <w:style w:type="character" w:customStyle="1" w:styleId="35">
    <w:name w:val="正文缩进 Char"/>
    <w:link w:val="5"/>
    <w:qFormat/>
    <w:uiPriority w:val="0"/>
    <w:rPr>
      <w:kern w:val="2"/>
      <w:sz w:val="21"/>
    </w:rPr>
  </w:style>
  <w:style w:type="paragraph" w:customStyle="1" w:styleId="36">
    <w:name w:val="reader-word-layer reader-word-s18-9"/>
    <w:basedOn w:val="1"/>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37">
    <w:name w:val="纯文本1"/>
    <w:basedOn w:val="38"/>
    <w:qFormat/>
    <w:uiPriority w:val="0"/>
    <w:rPr>
      <w:rFonts w:hint="default" w:ascii="宋体" w:hAnsi="Courier New"/>
      <w:kern w:val="0"/>
      <w:sz w:val="20"/>
      <w:szCs w:val="21"/>
    </w:rPr>
  </w:style>
  <w:style w:type="paragraph" w:customStyle="1" w:styleId="38">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9">
    <w:name w:val="Table Paragraph"/>
    <w:basedOn w:val="1"/>
    <w:qFormat/>
    <w:uiPriority w:val="1"/>
    <w:rPr>
      <w:rFonts w:ascii="Arial Unicode MS" w:hAnsi="Arial Unicode MS" w:eastAsia="Arial Unicode MS" w:cs="Arial Unicode MS"/>
      <w:lang w:val="zh-CN" w:bidi="zh-CN"/>
    </w:rPr>
  </w:style>
  <w:style w:type="paragraph" w:customStyle="1" w:styleId="40">
    <w:name w:val="p0"/>
    <w:basedOn w:val="1"/>
    <w:qFormat/>
    <w:uiPriority w:val="0"/>
    <w:pPr>
      <w:widowControl/>
    </w:pPr>
    <w:rPr>
      <w:rFonts w:ascii="Times New Roman" w:hAnsi="Times New Roman" w:eastAsia="宋体" w:cs="Times New Roman"/>
      <w:kern w:val="0"/>
      <w:szCs w:val="21"/>
    </w:rPr>
  </w:style>
  <w:style w:type="paragraph" w:customStyle="1" w:styleId="41">
    <w:name w:val="xl53"/>
    <w:basedOn w:val="1"/>
    <w:next w:val="1"/>
    <w:qFormat/>
    <w:uiPriority w:val="0"/>
    <w:pPr>
      <w:spacing w:before="280" w:after="280" w:line="100" w:lineRule="exact"/>
      <w:jc w:val="center"/>
    </w:pPr>
    <w:rPr>
      <w:rFonts w:ascii="宋体"/>
      <w:b/>
      <w:sz w:val="20"/>
    </w:rPr>
  </w:style>
  <w:style w:type="paragraph" w:customStyle="1" w:styleId="42">
    <w:name w:val="正文格式"/>
    <w:basedOn w:val="1"/>
    <w:qFormat/>
    <w:uiPriority w:val="0"/>
    <w:pPr>
      <w:widowControl/>
      <w:adjustRightInd w:val="0"/>
      <w:snapToGrid w:val="0"/>
      <w:spacing w:line="400" w:lineRule="atLeast"/>
      <w:ind w:firstLine="482"/>
      <w:textAlignment w:val="baseline"/>
    </w:pPr>
    <w:rPr>
      <w:kern w:val="0"/>
      <w:sz w:val="24"/>
      <w:szCs w:val="22"/>
    </w:rPr>
  </w:style>
  <w:style w:type="paragraph" w:customStyle="1" w:styleId="43">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styleId="44">
    <w:name w:val="List Paragraph"/>
    <w:basedOn w:val="1"/>
    <w:qFormat/>
    <w:uiPriority w:val="34"/>
    <w:pPr>
      <w:ind w:firstLine="420" w:firstLineChars="200"/>
    </w:pPr>
  </w:style>
  <w:style w:type="paragraph" w:customStyle="1" w:styleId="45">
    <w:name w:val="样式2"/>
    <w:basedOn w:val="1"/>
    <w:qFormat/>
    <w:uiPriority w:val="0"/>
    <w:pPr>
      <w:spacing w:line="360" w:lineRule="auto"/>
      <w:contextualSpacing/>
      <w:outlineLvl w:val="1"/>
    </w:pPr>
    <w:rPr>
      <w:rFonts w:hAnsi="宋体" w:cs="宋体"/>
      <w:b/>
      <w:bCs/>
      <w:sz w:val="32"/>
      <w:szCs w:val="32"/>
    </w:rPr>
  </w:style>
  <w:style w:type="paragraph" w:customStyle="1" w:styleId="46">
    <w:name w:val="表格文字"/>
    <w:basedOn w:val="47"/>
    <w:next w:val="10"/>
    <w:qFormat/>
    <w:uiPriority w:val="0"/>
    <w:pPr>
      <w:adjustRightInd w:val="0"/>
      <w:spacing w:line="420" w:lineRule="atLeast"/>
      <w:jc w:val="left"/>
      <w:textAlignment w:val="baseline"/>
    </w:pPr>
    <w:rPr>
      <w:szCs w:val="20"/>
    </w:rPr>
  </w:style>
  <w:style w:type="paragraph" w:customStyle="1" w:styleId="47">
    <w:name w:val="表格"/>
    <w:basedOn w:val="1"/>
    <w:qFormat/>
    <w:uiPriority w:val="0"/>
    <w:pPr>
      <w:jc w:val="center"/>
      <w:textAlignment w:val="center"/>
    </w:pPr>
    <w:rPr>
      <w:rFonts w:ascii="华文细黑" w:hAnsi="华文细黑"/>
      <w:kern w:val="0"/>
    </w:rPr>
  </w:style>
  <w:style w:type="paragraph" w:styleId="48">
    <w:name w:val="No Spacing"/>
    <w:qFormat/>
    <w:uiPriority w:val="0"/>
    <w:pPr>
      <w:widowControl w:val="0"/>
      <w:jc w:val="both"/>
    </w:pPr>
    <w:rPr>
      <w:rFonts w:ascii="Times New Roman" w:hAnsi="Times New Roman"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60097</Words>
  <Characters>67290</Characters>
  <Lines>38</Lines>
  <Paragraphs>57</Paragraphs>
  <TotalTime>3</TotalTime>
  <ScaleCrop>false</ScaleCrop>
  <LinksUpToDate>false</LinksUpToDate>
  <CharactersWithSpaces>69199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2022-03-04T08:18:00Z</dcterms:created>
  <dc:creator>Administrator</dc:creator>
  <cp:lastModifiedBy>未知</cp:lastModifiedBy>
  <cp:lastPrinted>2022-07-26T01:42:00Z</cp:lastPrinted>
  <dcterms:modified xsi:type="dcterms:W3CDTF">2022-11-07T07:04:45Z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A5E41A35A623448BB82AF32F39DB9E5F</vt:lpwstr>
  </property>
</Properties>
</file>