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12" w:lineRule="auto"/>
        <w:rPr>
          <w:rFonts w:hint="eastAsia" w:ascii="仿宋" w:hAnsi="仿宋" w:eastAsia="仿宋" w:cs="仿宋"/>
          <w:b/>
          <w:bCs/>
          <w:sz w:val="56"/>
          <w:szCs w:val="56"/>
        </w:rPr>
      </w:pPr>
      <w:bookmarkStart w:id="15" w:name="_GoBack"/>
      <w:bookmarkEnd w:id="15"/>
    </w:p>
    <w:p>
      <w:pPr>
        <w:autoSpaceDE/>
        <w:autoSpaceDN/>
        <w:spacing w:line="312" w:lineRule="auto"/>
        <w:jc w:val="center"/>
        <w:rPr>
          <w:rFonts w:hint="eastAsia" w:ascii="仿宋" w:hAnsi="仿宋" w:eastAsia="仿宋" w:cs="仿宋"/>
          <w:b/>
          <w:bCs/>
          <w:color w:val="auto"/>
          <w:sz w:val="260"/>
          <w:szCs w:val="260"/>
          <w:lang w:eastAsia="zh-CN"/>
        </w:rPr>
      </w:pPr>
      <w:r>
        <w:rPr>
          <w:rFonts w:hint="eastAsia" w:ascii="仿宋" w:hAnsi="仿宋" w:eastAsia="仿宋" w:cs="仿宋"/>
          <w:b/>
          <w:bCs/>
          <w:sz w:val="56"/>
          <w:szCs w:val="56"/>
          <w:lang w:eastAsia="zh-CN"/>
        </w:rPr>
        <w:t>浙江省武义县第一人民医院安保服务外包项目</w:t>
      </w:r>
    </w:p>
    <w:p>
      <w:pPr>
        <w:autoSpaceDE/>
        <w:autoSpaceDN/>
        <w:spacing w:line="312" w:lineRule="auto"/>
        <w:rPr>
          <w:rFonts w:hint="eastAsia" w:ascii="仿宋" w:hAnsi="仿宋" w:eastAsia="仿宋" w:cs="仿宋"/>
          <w:b/>
          <w:bCs/>
          <w:color w:val="auto"/>
          <w:sz w:val="84"/>
          <w:szCs w:val="84"/>
        </w:rPr>
      </w:pPr>
    </w:p>
    <w:p>
      <w:pPr>
        <w:autoSpaceDE/>
        <w:autoSpaceDN/>
        <w:spacing w:line="312" w:lineRule="auto"/>
        <w:jc w:val="center"/>
        <w:rPr>
          <w:rFonts w:hint="eastAsia" w:ascii="仿宋" w:hAnsi="仿宋" w:eastAsia="仿宋" w:cs="仿宋"/>
          <w:b/>
          <w:bCs/>
          <w:color w:val="auto"/>
          <w:sz w:val="84"/>
          <w:szCs w:val="84"/>
        </w:rPr>
      </w:pPr>
    </w:p>
    <w:p>
      <w:pPr>
        <w:autoSpaceDE/>
        <w:autoSpaceDN/>
        <w:spacing w:line="312" w:lineRule="auto"/>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pPr>
        <w:pStyle w:val="19"/>
        <w:snapToGrid w:val="0"/>
        <w:spacing w:before="120" w:after="120" w:line="312" w:lineRule="auto"/>
        <w:rPr>
          <w:rFonts w:hint="eastAsia" w:ascii="仿宋" w:hAnsi="仿宋" w:eastAsia="仿宋" w:cs="仿宋"/>
          <w:b/>
          <w:bCs/>
          <w:w w:val="95"/>
          <w:kern w:val="0"/>
          <w:sz w:val="30"/>
          <w:szCs w:val="30"/>
        </w:rPr>
      </w:pPr>
    </w:p>
    <w:p>
      <w:pPr>
        <w:pStyle w:val="19"/>
        <w:snapToGrid w:val="0"/>
        <w:spacing w:before="120" w:after="120" w:line="312" w:lineRule="auto"/>
        <w:ind w:firstLine="2003" w:firstLineChars="700"/>
        <w:rPr>
          <w:rFonts w:hint="eastAsia" w:ascii="仿宋" w:hAnsi="仿宋" w:eastAsia="仿宋" w:cs="仿宋"/>
          <w:b/>
          <w:bCs/>
          <w:w w:val="95"/>
          <w:kern w:val="0"/>
          <w:sz w:val="30"/>
          <w:szCs w:val="30"/>
        </w:rPr>
      </w:pPr>
    </w:p>
    <w:p>
      <w:pPr>
        <w:spacing w:line="600" w:lineRule="auto"/>
        <w:ind w:firstLine="1590" w:firstLineChars="495"/>
        <w:rPr>
          <w:rFonts w:hint="eastAsia" w:ascii="仿宋" w:hAnsi="仿宋" w:eastAsia="仿宋" w:cs="仿宋"/>
          <w:b/>
          <w:bCs/>
          <w:sz w:val="32"/>
          <w:szCs w:val="32"/>
        </w:rPr>
      </w:pPr>
    </w:p>
    <w:p>
      <w:pPr>
        <w:pStyle w:val="16"/>
        <w:ind w:firstLine="321"/>
        <w:rPr>
          <w:rFonts w:hint="eastAsia" w:ascii="仿宋" w:hAnsi="仿宋" w:eastAsia="仿宋" w:cs="仿宋"/>
          <w:b/>
          <w:bCs/>
          <w:sz w:val="32"/>
          <w:szCs w:val="32"/>
        </w:rPr>
      </w:pPr>
    </w:p>
    <w:p>
      <w:pPr>
        <w:pStyle w:val="17"/>
        <w:rPr>
          <w:rFonts w:hint="eastAsia" w:ascii="仿宋" w:hAnsi="仿宋" w:eastAsia="仿宋" w:cs="仿宋"/>
        </w:rPr>
      </w:pPr>
    </w:p>
    <w:p>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ZJRS2022-CG091-02</w:t>
      </w:r>
    </w:p>
    <w:p>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ascii="仿宋" w:hAnsi="仿宋" w:eastAsia="仿宋" w:cs="仿宋"/>
          <w:b/>
          <w:bCs/>
          <w:sz w:val="32"/>
          <w:szCs w:val="32"/>
          <w:lang w:eastAsia="zh-CN"/>
        </w:rPr>
        <w:t>浙江省武义县第一人民医院</w:t>
      </w:r>
      <w:r>
        <w:rPr>
          <w:rFonts w:hint="eastAsia" w:ascii="仿宋" w:hAnsi="仿宋" w:eastAsia="仿宋" w:cs="仿宋"/>
          <w:b/>
          <w:bCs/>
          <w:sz w:val="32"/>
          <w:szCs w:val="32"/>
        </w:rPr>
        <w:t>（盖章）</w:t>
      </w:r>
    </w:p>
    <w:p>
      <w:pPr>
        <w:pStyle w:val="19"/>
        <w:snapToGrid w:val="0"/>
        <w:spacing w:before="120" w:after="120" w:line="600" w:lineRule="auto"/>
        <w:ind w:firstLine="1606" w:firstLineChars="500"/>
        <w:rPr>
          <w:rFonts w:hint="eastAsia" w:ascii="仿宋" w:hAnsi="仿宋" w:eastAsia="仿宋" w:cs="仿宋"/>
          <w:b/>
          <w:bCs/>
          <w:w w:val="95"/>
          <w:kern w:val="0"/>
          <w:sz w:val="30"/>
          <w:szCs w:val="30"/>
        </w:rPr>
      </w:pPr>
      <w:r>
        <w:rPr>
          <w:rFonts w:hint="eastAsia" w:ascii="仿宋" w:hAnsi="仿宋" w:eastAsia="仿宋" w:cs="仿宋"/>
          <w:b/>
          <w:bCs/>
          <w:color w:val="000000"/>
          <w:sz w:val="32"/>
          <w:szCs w:val="32"/>
        </w:rPr>
        <w:t>代理机构：浙江日晟信息咨询有限公司（盖章）</w:t>
      </w:r>
    </w:p>
    <w:p>
      <w:pPr>
        <w:pStyle w:val="19"/>
        <w:snapToGrid w:val="0"/>
        <w:spacing w:before="120" w:after="120" w:line="312" w:lineRule="auto"/>
        <w:ind w:firstLine="1606" w:firstLineChars="500"/>
        <w:rPr>
          <w:rFonts w:hint="eastAsia" w:ascii="仿宋" w:hAnsi="仿宋" w:eastAsia="仿宋" w:cs="仿宋"/>
          <w:b/>
          <w:bCs/>
          <w:color w:val="000000"/>
          <w:sz w:val="32"/>
          <w:szCs w:val="32"/>
        </w:rPr>
      </w:pPr>
    </w:p>
    <w:p>
      <w:pPr>
        <w:pStyle w:val="19"/>
        <w:snapToGrid w:val="0"/>
        <w:spacing w:before="120" w:after="120" w:line="312"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二〇二二年</w:t>
      </w:r>
      <w:r>
        <w:rPr>
          <w:rFonts w:hint="eastAsia" w:ascii="仿宋" w:hAnsi="仿宋" w:eastAsia="仿宋" w:cs="仿宋"/>
          <w:b/>
          <w:bCs/>
          <w:color w:val="000000"/>
          <w:sz w:val="32"/>
          <w:szCs w:val="32"/>
          <w:lang w:val="en-US" w:eastAsia="zh-CN"/>
        </w:rPr>
        <w:t>六</w:t>
      </w:r>
      <w:r>
        <w:rPr>
          <w:rFonts w:hint="eastAsia" w:ascii="仿宋" w:hAnsi="仿宋" w:eastAsia="仿宋" w:cs="仿宋"/>
          <w:b/>
          <w:bCs/>
          <w:color w:val="000000"/>
          <w:sz w:val="32"/>
          <w:szCs w:val="32"/>
        </w:rPr>
        <w:t>月</w:t>
      </w:r>
    </w:p>
    <w:p>
      <w:pPr>
        <w:spacing w:line="312" w:lineRule="auto"/>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color w:val="auto"/>
        </w:rPr>
      </w:pP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第一章    招标公告</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第二章    投标须知</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第三章    招标需求</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第四章    评标办法及评分标准</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第五章    政府采购合同</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第六章    应提交的有关格式范例</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pPr>
        <w:snapToGrid w:val="0"/>
        <w:spacing w:line="312" w:lineRule="auto"/>
        <w:ind w:firstLine="1807" w:firstLineChars="500"/>
        <w:jc w:val="left"/>
        <w:rPr>
          <w:rFonts w:hint="eastAsia" w:ascii="仿宋" w:hAnsi="仿宋" w:eastAsia="仿宋" w:cs="仿宋"/>
          <w:b/>
          <w:color w:val="auto"/>
          <w:sz w:val="36"/>
          <w:szCs w:val="36"/>
        </w:rPr>
      </w:pPr>
    </w:p>
    <w:p>
      <w:pPr>
        <w:spacing w:line="312" w:lineRule="auto"/>
        <w:rPr>
          <w:rStyle w:val="37"/>
          <w:rFonts w:hint="eastAsia" w:ascii="仿宋" w:hAnsi="仿宋" w:eastAsia="仿宋" w:cs="仿宋"/>
          <w:color w:val="auto"/>
          <w:sz w:val="30"/>
        </w:rPr>
      </w:pPr>
    </w:p>
    <w:p>
      <w:pPr>
        <w:spacing w:line="312" w:lineRule="auto"/>
        <w:rPr>
          <w:rStyle w:val="37"/>
          <w:rFonts w:hint="eastAsia" w:ascii="仿宋" w:hAnsi="仿宋" w:eastAsia="仿宋" w:cs="仿宋"/>
          <w:color w:val="auto"/>
          <w:sz w:val="30"/>
        </w:rPr>
      </w:pPr>
    </w:p>
    <w:p>
      <w:pPr>
        <w:spacing w:line="312" w:lineRule="auto"/>
        <w:rPr>
          <w:rStyle w:val="37"/>
          <w:rFonts w:hint="eastAsia" w:ascii="仿宋" w:hAnsi="仿宋" w:eastAsia="仿宋" w:cs="仿宋"/>
          <w:color w:val="auto"/>
          <w:sz w:val="30"/>
        </w:rPr>
      </w:pPr>
    </w:p>
    <w:p>
      <w:pPr>
        <w:spacing w:line="312" w:lineRule="auto"/>
        <w:rPr>
          <w:rStyle w:val="37"/>
          <w:rFonts w:hint="eastAsia" w:ascii="仿宋" w:hAnsi="仿宋" w:eastAsia="仿宋" w:cs="仿宋"/>
          <w:color w:val="auto"/>
          <w:sz w:val="30"/>
        </w:rPr>
      </w:pPr>
    </w:p>
    <w:p>
      <w:pPr>
        <w:pStyle w:val="11"/>
        <w:spacing w:line="312" w:lineRule="auto"/>
        <w:ind w:firstLine="480"/>
        <w:rPr>
          <w:rFonts w:hint="eastAsia" w:ascii="仿宋" w:hAnsi="仿宋" w:eastAsia="仿宋" w:cs="仿宋"/>
        </w:rPr>
      </w:pPr>
    </w:p>
    <w:p>
      <w:pPr>
        <w:spacing w:line="312" w:lineRule="auto"/>
        <w:rPr>
          <w:rStyle w:val="37"/>
          <w:rFonts w:hint="eastAsia" w:ascii="仿宋" w:hAnsi="仿宋" w:eastAsia="仿宋" w:cs="仿宋"/>
          <w:color w:val="auto"/>
          <w:sz w:val="30"/>
        </w:rPr>
      </w:pPr>
    </w:p>
    <w:p>
      <w:pPr>
        <w:pStyle w:val="11"/>
        <w:spacing w:line="312" w:lineRule="auto"/>
        <w:ind w:firstLine="480"/>
        <w:rPr>
          <w:rFonts w:hint="eastAsia" w:ascii="仿宋" w:hAnsi="仿宋" w:eastAsia="仿宋" w:cs="仿宋"/>
        </w:rPr>
      </w:pPr>
    </w:p>
    <w:p>
      <w:pPr>
        <w:rPr>
          <w:rFonts w:hint="eastAsia" w:ascii="仿宋" w:hAnsi="仿宋" w:eastAsia="仿宋" w:cs="仿宋"/>
          <w:color w:val="auto"/>
          <w:sz w:val="36"/>
          <w:szCs w:val="36"/>
        </w:rPr>
      </w:pPr>
      <w:bookmarkStart w:id="0" w:name="_Toc125344501"/>
    </w:p>
    <w:bookmarkEnd w:id="0"/>
    <w:p>
      <w:pPr>
        <w:jc w:val="center"/>
        <w:rPr>
          <w:rFonts w:hint="eastAsia" w:ascii="仿宋" w:hAnsi="仿宋" w:eastAsia="仿宋" w:cs="仿宋"/>
          <w:b/>
          <w:color w:val="auto"/>
          <w:kern w:val="44"/>
          <w:sz w:val="36"/>
          <w:szCs w:val="36"/>
        </w:rPr>
      </w:pPr>
      <w:bookmarkStart w:id="1" w:name="_Toc125344502"/>
      <w:r>
        <w:rPr>
          <w:rFonts w:hint="eastAsia" w:ascii="仿宋" w:hAnsi="仿宋" w:eastAsia="仿宋" w:cs="仿宋"/>
          <w:b/>
          <w:color w:val="auto"/>
          <w:kern w:val="44"/>
          <w:sz w:val="36"/>
          <w:szCs w:val="36"/>
        </w:rPr>
        <w:br w:type="page"/>
      </w:r>
      <w:r>
        <w:rPr>
          <w:rFonts w:hint="eastAsia" w:ascii="仿宋" w:hAnsi="仿宋" w:eastAsia="仿宋" w:cs="仿宋"/>
          <w:b/>
          <w:color w:val="auto"/>
          <w:kern w:val="44"/>
          <w:sz w:val="36"/>
          <w:szCs w:val="36"/>
        </w:rPr>
        <w:t>第一章  招标公告</w:t>
      </w:r>
    </w:p>
    <w:p>
      <w:pPr>
        <w:pStyle w:val="16"/>
        <w:ind w:firstLine="210"/>
        <w:rPr>
          <w:rFonts w:hint="eastAsia" w:ascii="仿宋" w:hAnsi="仿宋" w:eastAsia="仿宋" w:cs="仿宋"/>
        </w:rPr>
      </w:pPr>
    </w:p>
    <w:tbl>
      <w:tblPr>
        <w:tblStyle w:val="31"/>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noWrap w:val="0"/>
            <w:vAlign w:val="top"/>
          </w:tcPr>
          <w:p>
            <w:pPr>
              <w:pStyle w:val="29"/>
              <w:spacing w:before="0" w:beforeAutospacing="0" w:after="0" w:afterAutospacing="0" w:line="420" w:lineRule="exact"/>
              <w:rPr>
                <w:rFonts w:hint="eastAsia" w:ascii="仿宋" w:hAnsi="仿宋" w:eastAsia="仿宋" w:cs="仿宋"/>
              </w:rPr>
            </w:pPr>
            <w:r>
              <w:rPr>
                <w:rFonts w:hint="eastAsia" w:ascii="仿宋" w:hAnsi="仿宋" w:eastAsia="仿宋" w:cs="仿宋"/>
              </w:rPr>
              <w:t>项目概况：</w:t>
            </w:r>
          </w:p>
          <w:p>
            <w:pPr>
              <w:pStyle w:val="29"/>
              <w:spacing w:before="0" w:beforeAutospacing="0" w:after="0" w:afterAutospacing="0" w:line="420" w:lineRule="exact"/>
              <w:ind w:firstLine="480" w:firstLineChars="200"/>
              <w:jc w:val="both"/>
              <w:rPr>
                <w:rFonts w:hint="eastAsia" w:ascii="仿宋" w:hAnsi="仿宋" w:eastAsia="仿宋" w:cs="仿宋"/>
              </w:rPr>
            </w:pPr>
            <w:r>
              <w:rPr>
                <w:rFonts w:hint="eastAsia" w:ascii="仿宋" w:hAnsi="仿宋" w:eastAsia="仿宋" w:cs="仿宋"/>
                <w:u w:val="single"/>
                <w:lang w:eastAsia="zh-CN"/>
              </w:rPr>
              <w:t>浙江省武义县第一人民医院安保服务外包项目</w:t>
            </w:r>
            <w:r>
              <w:rPr>
                <w:rFonts w:hint="eastAsia" w:ascii="仿宋" w:hAnsi="仿宋" w:eastAsia="仿宋" w:cs="仿宋"/>
              </w:rPr>
              <w:t>的潜在供应商应在</w:t>
            </w:r>
            <w:r>
              <w:rPr>
                <w:rFonts w:hint="eastAsia" w:ascii="仿宋" w:hAnsi="仿宋" w:eastAsia="仿宋" w:cs="仿宋"/>
                <w:u w:val="single"/>
              </w:rPr>
              <w:t>浙江政府采购网www.zjzfcg.gov.cn/</w:t>
            </w:r>
            <w:r>
              <w:rPr>
                <w:rFonts w:hint="eastAsia" w:ascii="仿宋" w:hAnsi="仿宋" w:eastAsia="仿宋" w:cs="仿宋"/>
              </w:rPr>
              <w:t>获取（下载）招标文件，并于</w:t>
            </w:r>
            <w:r>
              <w:rPr>
                <w:rFonts w:hint="eastAsia" w:ascii="仿宋" w:hAnsi="仿宋" w:eastAsia="仿宋" w:cs="仿宋"/>
                <w:u w:val="single"/>
              </w:rPr>
              <w:t xml:space="preserve"> </w:t>
            </w:r>
            <w:r>
              <w:rPr>
                <w:rFonts w:hint="eastAsia" w:ascii="仿宋" w:hAnsi="仿宋" w:eastAsia="仿宋" w:cs="仿宋"/>
                <w:color w:val="FF0000"/>
                <w:u w:val="single"/>
                <w:lang w:eastAsia="zh-CN"/>
              </w:rPr>
              <w:t>2022年7月21日14:30</w:t>
            </w:r>
            <w:r>
              <w:rPr>
                <w:rFonts w:hint="eastAsia" w:ascii="仿宋" w:hAnsi="仿宋" w:eastAsia="仿宋" w:cs="仿宋"/>
                <w:u w:val="single"/>
              </w:rPr>
              <w:t>时</w:t>
            </w:r>
            <w:r>
              <w:rPr>
                <w:rFonts w:hint="eastAsia" w:ascii="仿宋" w:hAnsi="仿宋" w:eastAsia="仿宋" w:cs="仿宋"/>
              </w:rPr>
              <w:t>（北京时间）前递交（上传）投标文件。</w:t>
            </w:r>
          </w:p>
        </w:tc>
      </w:tr>
    </w:tbl>
    <w:p>
      <w:pPr>
        <w:pStyle w:val="29"/>
        <w:spacing w:before="0" w:beforeAutospacing="0" w:after="0" w:afterAutospacing="0" w:line="360" w:lineRule="auto"/>
        <w:jc w:val="both"/>
        <w:rPr>
          <w:rFonts w:hint="eastAsia" w:ascii="仿宋" w:hAnsi="仿宋" w:eastAsia="仿宋" w:cs="仿宋"/>
        </w:rPr>
      </w:pPr>
      <w:r>
        <w:rPr>
          <w:rStyle w:val="34"/>
          <w:rFonts w:hint="eastAsia" w:ascii="仿宋" w:hAnsi="仿宋" w:eastAsia="仿宋" w:cs="仿宋"/>
        </w:rPr>
        <w:t>一、项目基本情况</w:t>
      </w:r>
    </w:p>
    <w:p>
      <w:pPr>
        <w:pStyle w:val="29"/>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采购组织类型：分散采购-委托代理</w:t>
      </w:r>
    </w:p>
    <w:p>
      <w:pPr>
        <w:pStyle w:val="29"/>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项目编号：</w:t>
      </w:r>
      <w:r>
        <w:rPr>
          <w:rFonts w:hint="eastAsia" w:ascii="仿宋" w:hAnsi="仿宋" w:eastAsia="仿宋" w:cs="仿宋"/>
          <w:lang w:eastAsia="zh-CN"/>
        </w:rPr>
        <w:t>ZJRS2022-CG091-02</w:t>
      </w:r>
      <w:r>
        <w:rPr>
          <w:rFonts w:hint="eastAsia" w:ascii="仿宋" w:hAnsi="仿宋" w:eastAsia="仿宋" w:cs="仿宋"/>
        </w:rPr>
        <w:t xml:space="preserve"> </w:t>
      </w:r>
    </w:p>
    <w:p>
      <w:pPr>
        <w:pStyle w:val="29"/>
        <w:spacing w:before="0" w:beforeAutospacing="0" w:after="0" w:afterAutospacing="0" w:line="360" w:lineRule="auto"/>
        <w:ind w:firstLine="480" w:firstLineChars="200"/>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浙江省武义县第一人民医院安保服务外包项目</w:t>
      </w:r>
    </w:p>
    <w:p>
      <w:pPr>
        <w:pStyle w:val="29"/>
        <w:spacing w:before="0" w:beforeAutospacing="0" w:after="0" w:afterAutospacing="0" w:line="360" w:lineRule="auto"/>
        <w:ind w:firstLine="480" w:firstLineChars="200"/>
        <w:rPr>
          <w:rFonts w:hint="default" w:ascii="仿宋" w:hAnsi="仿宋" w:eastAsia="仿宋" w:cs="仿宋"/>
          <w:lang w:val="en-US" w:eastAsia="zh-CN"/>
        </w:rPr>
      </w:pPr>
      <w:r>
        <w:rPr>
          <w:rFonts w:hint="eastAsia" w:ascii="仿宋" w:hAnsi="仿宋" w:eastAsia="仿宋" w:cs="仿宋"/>
        </w:rPr>
        <w:t>采购计划书号：</w:t>
      </w:r>
      <w:r>
        <w:rPr>
          <w:rFonts w:hint="eastAsia" w:ascii="仿宋" w:hAnsi="仿宋" w:eastAsia="仿宋" w:cs="仿宋"/>
          <w:lang w:val="en-US" w:eastAsia="zh-CN"/>
        </w:rPr>
        <w:t>临[2022]451</w:t>
      </w:r>
    </w:p>
    <w:p>
      <w:pPr>
        <w:pStyle w:val="29"/>
        <w:spacing w:before="0" w:beforeAutospacing="0" w:after="0" w:afterAutospacing="0" w:line="360" w:lineRule="auto"/>
        <w:ind w:firstLine="480" w:firstLineChars="200"/>
        <w:rPr>
          <w:rFonts w:hint="default" w:ascii="仿宋" w:hAnsi="仿宋" w:eastAsia="仿宋" w:cs="仿宋"/>
          <w:lang w:val="en-US" w:eastAsia="zh-CN"/>
        </w:rPr>
      </w:pPr>
      <w:r>
        <w:rPr>
          <w:rFonts w:hint="eastAsia" w:ascii="仿宋" w:hAnsi="仿宋" w:eastAsia="仿宋" w:cs="仿宋"/>
        </w:rPr>
        <w:t>预算金额（元）：</w:t>
      </w:r>
      <w:r>
        <w:rPr>
          <w:rFonts w:hint="eastAsia" w:ascii="仿宋" w:hAnsi="仿宋" w:eastAsia="仿宋" w:cs="仿宋"/>
          <w:lang w:val="en-US" w:eastAsia="zh-CN"/>
        </w:rPr>
        <w:t>7650000</w:t>
      </w:r>
    </w:p>
    <w:p>
      <w:pPr>
        <w:pStyle w:val="29"/>
        <w:spacing w:before="0" w:beforeAutospacing="0" w:after="0" w:afterAutospacing="0" w:line="360" w:lineRule="auto"/>
        <w:ind w:firstLine="480" w:firstLineChars="200"/>
        <w:rPr>
          <w:rFonts w:hint="eastAsia" w:ascii="仿宋" w:hAnsi="仿宋" w:eastAsia="仿宋" w:cs="仿宋"/>
          <w:lang w:val="en-US" w:eastAsia="zh-CN"/>
        </w:rPr>
      </w:pPr>
      <w:r>
        <w:rPr>
          <w:rFonts w:hint="eastAsia" w:ascii="仿宋" w:hAnsi="仿宋" w:eastAsia="仿宋" w:cs="仿宋"/>
        </w:rPr>
        <w:t>最高限价（元）：</w:t>
      </w:r>
      <w:r>
        <w:rPr>
          <w:rFonts w:hint="eastAsia" w:ascii="仿宋" w:hAnsi="仿宋" w:eastAsia="仿宋" w:cs="仿宋"/>
          <w:lang w:val="en-US" w:eastAsia="zh-CN"/>
        </w:rPr>
        <w:t>7650000</w:t>
      </w:r>
    </w:p>
    <w:p>
      <w:pPr>
        <w:pStyle w:val="29"/>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评标办法：综合评分法</w:t>
      </w:r>
    </w:p>
    <w:p>
      <w:pPr>
        <w:pStyle w:val="29"/>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合同履行期限：详见招标文件 </w:t>
      </w:r>
    </w:p>
    <w:p>
      <w:pPr>
        <w:pStyle w:val="29"/>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本项目（ 否 ）接受联合体投标。</w:t>
      </w:r>
    </w:p>
    <w:p>
      <w:pPr>
        <w:pStyle w:val="29"/>
        <w:spacing w:before="0" w:beforeAutospacing="0" w:after="0" w:afterAutospacing="0" w:line="360" w:lineRule="auto"/>
        <w:jc w:val="both"/>
        <w:rPr>
          <w:rStyle w:val="34"/>
          <w:rFonts w:hint="eastAsia" w:ascii="仿宋" w:hAnsi="仿宋" w:eastAsia="仿宋" w:cs="仿宋"/>
        </w:rPr>
      </w:pPr>
      <w:r>
        <w:rPr>
          <w:rStyle w:val="34"/>
          <w:rFonts w:hint="eastAsia" w:ascii="仿宋" w:hAnsi="仿宋" w:eastAsia="仿宋" w:cs="仿宋"/>
        </w:rPr>
        <w:t>二、申请人的资格要求：</w:t>
      </w:r>
    </w:p>
    <w:p>
      <w:pPr>
        <w:autoSpaceDE/>
        <w:autoSpaceDN/>
        <w:adjustRightInd/>
        <w:spacing w:line="360" w:lineRule="auto"/>
        <w:ind w:firstLine="480" w:firstLineChars="200"/>
        <w:jc w:val="left"/>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rPr>
        <w:t>1.符合《中华人民共和国政府采购法》第二十二条规定；</w:t>
      </w:r>
    </w:p>
    <w:p>
      <w:pPr>
        <w:autoSpaceDE/>
        <w:autoSpaceDN/>
        <w:adjustRightInd/>
        <w:spacing w:line="360" w:lineRule="auto"/>
        <w:ind w:firstLine="480" w:firstLineChars="200"/>
        <w:jc w:val="left"/>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w:t>
      </w:r>
      <w:r>
        <w:rPr>
          <w:rFonts w:hint="eastAsia" w:ascii="仿宋" w:hAnsi="仿宋" w:eastAsia="仿宋" w:cs="仿宋"/>
          <w:kern w:val="2"/>
          <w:sz w:val="24"/>
          <w:szCs w:val="24"/>
        </w:rPr>
        <w:t>.cn）、中国政府采购网（www.ccgp.gov.cn）列入失信被执行人、重大税收违法案件当事人名单、政府采购严重违法失信行为记录名单；</w:t>
      </w:r>
    </w:p>
    <w:p>
      <w:pPr>
        <w:autoSpaceDE/>
        <w:autoSpaceDN/>
        <w:adjustRightInd/>
        <w:spacing w:line="360" w:lineRule="auto"/>
        <w:ind w:firstLine="480" w:firstLineChars="200"/>
        <w:jc w:val="left"/>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3.落实政府采购政策需满足的资格要求：本项目专门面向中小企业采购，中小企业是指满足《政府采购促进中小企业发展管理办法》（财库〔2020〕46号）规定的企业;</w:t>
      </w:r>
      <w:r>
        <w:rPr>
          <w:rFonts w:hint="eastAsia" w:ascii="仿宋" w:hAnsi="仿宋" w:eastAsia="仿宋" w:cs="仿宋"/>
          <w:kern w:val="2"/>
          <w:sz w:val="24"/>
          <w:szCs w:val="24"/>
        </w:rPr>
        <w:t>即本项目供应商必须提供以下任意一种符合企业自身条件的声明函；</w:t>
      </w:r>
      <w:r>
        <w:rPr>
          <w:rFonts w:hint="eastAsia" w:ascii="仿宋" w:hAnsi="仿宋" w:eastAsia="仿宋" w:cs="仿宋"/>
          <w:kern w:val="2"/>
          <w:sz w:val="24"/>
          <w:szCs w:val="24"/>
        </w:rPr>
        <w:br w:type="textWrapping"/>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①中小企业声明函；</w:t>
      </w:r>
      <w:r>
        <w:rPr>
          <w:rFonts w:hint="eastAsia" w:ascii="仿宋" w:hAnsi="仿宋" w:eastAsia="仿宋" w:cs="仿宋"/>
          <w:kern w:val="2"/>
          <w:sz w:val="24"/>
          <w:szCs w:val="24"/>
        </w:rPr>
        <w:br w:type="textWrapping"/>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②残疾人福利企业声明函；</w:t>
      </w:r>
      <w:r>
        <w:rPr>
          <w:rFonts w:hint="eastAsia" w:ascii="仿宋" w:hAnsi="仿宋" w:eastAsia="仿宋" w:cs="仿宋"/>
          <w:kern w:val="2"/>
          <w:sz w:val="24"/>
          <w:szCs w:val="24"/>
        </w:rPr>
        <w:br w:type="textWrapping"/>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③监狱企业声明函</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 </w:t>
      </w:r>
    </w:p>
    <w:p>
      <w:pPr>
        <w:pStyle w:val="29"/>
        <w:spacing w:before="0" w:beforeAutospacing="0" w:after="0" w:afterAutospacing="0" w:line="360" w:lineRule="auto"/>
        <w:ind w:firstLine="480" w:firstLineChars="200"/>
        <w:jc w:val="both"/>
        <w:rPr>
          <w:rFonts w:hint="eastAsia" w:ascii="仿宋" w:hAnsi="仿宋" w:eastAsia="仿宋" w:cs="仿宋"/>
          <w:bCs/>
        </w:rPr>
      </w:pPr>
      <w:r>
        <w:rPr>
          <w:rFonts w:hint="eastAsia" w:ascii="仿宋" w:hAnsi="仿宋" w:eastAsia="仿宋" w:cs="仿宋"/>
          <w:kern w:val="2"/>
        </w:rPr>
        <w:t>4.本项目不接受联合体投标。</w:t>
      </w:r>
    </w:p>
    <w:p>
      <w:pPr>
        <w:pStyle w:val="29"/>
        <w:spacing w:before="0" w:beforeAutospacing="0" w:after="0" w:afterAutospacing="0" w:line="360" w:lineRule="auto"/>
        <w:jc w:val="both"/>
        <w:rPr>
          <w:rStyle w:val="34"/>
          <w:rFonts w:hint="eastAsia" w:ascii="仿宋" w:hAnsi="仿宋" w:eastAsia="仿宋" w:cs="仿宋"/>
        </w:rPr>
      </w:pPr>
      <w:r>
        <w:rPr>
          <w:rStyle w:val="34"/>
          <w:rFonts w:hint="eastAsia" w:ascii="仿宋" w:hAnsi="仿宋" w:eastAsia="仿宋" w:cs="仿宋"/>
        </w:rPr>
        <w:t>三、获取招标文件</w:t>
      </w:r>
    </w:p>
    <w:p>
      <w:pPr>
        <w:pStyle w:val="29"/>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时间：公告发布之日起至投标截止时间。</w:t>
      </w:r>
    </w:p>
    <w:p>
      <w:pPr>
        <w:pStyle w:val="29"/>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p>
    <w:p>
      <w:pPr>
        <w:widowControl w:val="0"/>
        <w:wordWrap w:val="0"/>
        <w:adjustRightInd w:val="0"/>
        <w:snapToGrid w:val="0"/>
        <w:spacing w:before="120" w:after="120" w:line="500" w:lineRule="exact"/>
        <w:ind w:firstLine="480" w:firstLineChars="20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pStyle w:val="29"/>
        <w:spacing w:before="0" w:beforeAutospacing="0" w:after="0" w:afterAutospacing="0" w:line="360" w:lineRule="auto"/>
        <w:jc w:val="both"/>
        <w:rPr>
          <w:rStyle w:val="34"/>
          <w:rFonts w:hint="eastAsia" w:ascii="仿宋" w:hAnsi="仿宋" w:eastAsia="仿宋" w:cs="仿宋"/>
        </w:rPr>
      </w:pPr>
      <w:r>
        <w:rPr>
          <w:rStyle w:val="34"/>
          <w:rFonts w:hint="eastAsia" w:ascii="仿宋" w:hAnsi="仿宋" w:eastAsia="仿宋" w:cs="仿宋"/>
        </w:rPr>
        <w:t>四、提交投标文件截止时间、开标时间和地点</w:t>
      </w:r>
    </w:p>
    <w:p>
      <w:pPr>
        <w:pStyle w:val="29"/>
        <w:spacing w:before="75" w:beforeAutospacing="0" w:after="75" w:afterAutospacing="0" w:line="360" w:lineRule="auto"/>
        <w:rPr>
          <w:rFonts w:hint="eastAsia" w:ascii="仿宋" w:hAnsi="仿宋" w:eastAsia="仿宋" w:cs="仿宋"/>
        </w:rPr>
      </w:pPr>
      <w:r>
        <w:rPr>
          <w:rFonts w:hint="eastAsia" w:ascii="仿宋" w:hAnsi="仿宋" w:eastAsia="仿宋" w:cs="仿宋"/>
        </w:rPr>
        <w:t>    提交投标文件截止时间：</w:t>
      </w:r>
      <w:r>
        <w:rPr>
          <w:rFonts w:hint="eastAsia" w:ascii="仿宋" w:hAnsi="仿宋" w:eastAsia="仿宋" w:cs="仿宋"/>
          <w:color w:val="FF0000"/>
          <w:u w:val="single"/>
          <w:lang w:eastAsia="zh-CN"/>
        </w:rPr>
        <w:t>2022年7月21日14:30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p>
    <w:p>
      <w:pPr>
        <w:pStyle w:val="29"/>
        <w:spacing w:before="75" w:beforeAutospacing="0" w:after="75" w:afterAutospacing="0" w:line="360" w:lineRule="auto"/>
        <w:rPr>
          <w:rFonts w:hint="eastAsia" w:ascii="仿宋" w:hAnsi="仿宋" w:eastAsia="仿宋" w:cs="仿宋"/>
          <w:u w:val="single"/>
        </w:rPr>
      </w:pPr>
      <w:r>
        <w:rPr>
          <w:rFonts w:hint="eastAsia" w:ascii="仿宋" w:hAnsi="仿宋" w:eastAsia="仿宋" w:cs="仿宋"/>
        </w:rPr>
        <w:t>    投标地点（网址）：</w:t>
      </w:r>
      <w:r>
        <w:rPr>
          <w:rFonts w:hint="eastAsia" w:ascii="仿宋" w:hAnsi="仿宋" w:eastAsia="仿宋" w:cs="仿宋"/>
          <w:u w:val="single"/>
        </w:rPr>
        <w:t>投标人应于</w:t>
      </w:r>
      <w:r>
        <w:rPr>
          <w:rFonts w:hint="eastAsia" w:ascii="仿宋" w:hAnsi="仿宋" w:eastAsia="仿宋" w:cs="仿宋"/>
          <w:color w:val="FF0000"/>
          <w:u w:val="single"/>
          <w:lang w:eastAsia="zh-CN"/>
        </w:rPr>
        <w:t>2022年7月21日14:30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pPr>
        <w:pStyle w:val="29"/>
        <w:spacing w:before="75" w:beforeAutospacing="0" w:after="75" w:afterAutospacing="0" w:line="360" w:lineRule="auto"/>
        <w:rPr>
          <w:rFonts w:hint="eastAsia" w:ascii="仿宋" w:hAnsi="仿宋" w:eastAsia="仿宋" w:cs="仿宋"/>
        </w:rPr>
      </w:pPr>
      <w:r>
        <w:rPr>
          <w:rFonts w:hint="eastAsia" w:ascii="仿宋" w:hAnsi="仿宋" w:eastAsia="仿宋" w:cs="仿宋"/>
        </w:rPr>
        <w:t>    开标时间：</w:t>
      </w:r>
      <w:r>
        <w:rPr>
          <w:rFonts w:hint="eastAsia" w:ascii="仿宋" w:hAnsi="仿宋" w:eastAsia="仿宋" w:cs="仿宋"/>
          <w:color w:val="FF0000"/>
          <w:u w:val="single"/>
          <w:lang w:eastAsia="zh-CN"/>
        </w:rPr>
        <w:t>2022年7月21日14:30</w:t>
      </w:r>
      <w:r>
        <w:rPr>
          <w:rFonts w:hint="eastAsia" w:ascii="仿宋" w:hAnsi="仿宋" w:eastAsia="仿宋" w:cs="仿宋"/>
          <w:color w:val="FF0000"/>
          <w:u w:val="single"/>
        </w:rPr>
        <w:t>时</w:t>
      </w:r>
    </w:p>
    <w:p>
      <w:pPr>
        <w:pStyle w:val="29"/>
        <w:spacing w:before="75" w:beforeAutospacing="0" w:after="75" w:afterAutospacing="0" w:line="360" w:lineRule="auto"/>
        <w:rPr>
          <w:rFonts w:hint="eastAsia" w:ascii="仿宋" w:hAnsi="仿宋" w:eastAsia="仿宋" w:cs="仿宋"/>
          <w:u w:val="single"/>
        </w:rPr>
      </w:pPr>
      <w:r>
        <w:rPr>
          <w:rFonts w:hint="eastAsia" w:ascii="仿宋" w:hAnsi="仿宋" w:eastAsia="仿宋" w:cs="仿宋"/>
        </w:rPr>
        <w:t>    开标地点：</w:t>
      </w:r>
      <w:r>
        <w:rPr>
          <w:rFonts w:hint="eastAsia" w:ascii="仿宋" w:hAnsi="仿宋" w:eastAsia="仿宋" w:cs="仿宋"/>
          <w:u w:val="single"/>
        </w:rPr>
        <w:t>金华市公共资源交易中心武义县分中心（武义县武阳中路2号建行大楼13楼评标室</w:t>
      </w:r>
      <w:r>
        <w:rPr>
          <w:rFonts w:hint="eastAsia" w:ascii="仿宋" w:hAnsi="仿宋" w:eastAsia="仿宋" w:cs="仿宋"/>
          <w:u w:val="single"/>
          <w:lang w:val="en-US" w:eastAsia="zh-CN"/>
        </w:rPr>
        <w:t>5，开标室2</w:t>
      </w:r>
      <w:r>
        <w:rPr>
          <w:rFonts w:hint="eastAsia" w:ascii="仿宋" w:hAnsi="仿宋" w:eastAsia="仿宋" w:cs="仿宋"/>
          <w:u w:val="single"/>
        </w:rPr>
        <w:t>）</w:t>
      </w:r>
    </w:p>
    <w:p>
      <w:pPr>
        <w:pStyle w:val="29"/>
        <w:spacing w:before="0" w:beforeAutospacing="0" w:after="0" w:afterAutospacing="0" w:line="360" w:lineRule="auto"/>
        <w:jc w:val="both"/>
        <w:rPr>
          <w:rStyle w:val="34"/>
          <w:rFonts w:hint="eastAsia" w:ascii="仿宋" w:hAnsi="仿宋" w:eastAsia="仿宋" w:cs="仿宋"/>
        </w:rPr>
      </w:pPr>
      <w:r>
        <w:rPr>
          <w:rStyle w:val="34"/>
          <w:rFonts w:hint="eastAsia" w:ascii="仿宋" w:hAnsi="仿宋" w:eastAsia="仿宋" w:cs="仿宋"/>
        </w:rPr>
        <w:t>五、其他补充事宜</w:t>
      </w:r>
    </w:p>
    <w:p>
      <w:pPr>
        <w:pStyle w:val="29"/>
        <w:spacing w:before="75" w:beforeAutospacing="0" w:after="75" w:afterAutospacing="0" w:line="360" w:lineRule="auto"/>
        <w:rPr>
          <w:rFonts w:hint="eastAsia" w:ascii="仿宋" w:hAnsi="仿宋" w:eastAsia="仿宋" w:cs="仿宋"/>
        </w:rPr>
      </w:pPr>
      <w:r>
        <w:rPr>
          <w:rFonts w:hint="eastAsia" w:ascii="仿宋" w:hAnsi="仿宋" w:eastAsia="仿宋" w:cs="仿宋"/>
        </w:rPr>
        <w:t>    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pPr>
        <w:pStyle w:val="29"/>
        <w:spacing w:before="75" w:beforeAutospacing="0" w:after="75" w:afterAutospacing="0" w:line="360" w:lineRule="auto"/>
        <w:ind w:firstLine="373"/>
        <w:rPr>
          <w:rFonts w:hint="eastAsia" w:ascii="仿宋" w:hAnsi="仿宋" w:eastAsia="仿宋" w:cs="仿宋"/>
        </w:rPr>
      </w:pPr>
      <w:r>
        <w:rPr>
          <w:rFonts w:hint="eastAsia" w:ascii="仿宋" w:hAnsi="仿宋" w:eastAsia="仿宋" w:cs="仿宋"/>
        </w:rPr>
        <w:t>2、其他事项：详见招标文件 　　　　</w:t>
      </w:r>
    </w:p>
    <w:p>
      <w:pPr>
        <w:pStyle w:val="29"/>
        <w:spacing w:before="0" w:beforeAutospacing="0" w:after="0" w:afterAutospacing="0" w:line="360" w:lineRule="auto"/>
        <w:rPr>
          <w:rFonts w:hint="eastAsia" w:ascii="仿宋" w:hAnsi="仿宋" w:eastAsia="仿宋" w:cs="仿宋"/>
        </w:rPr>
      </w:pPr>
      <w:r>
        <w:rPr>
          <w:rStyle w:val="34"/>
          <w:rFonts w:hint="eastAsia" w:ascii="仿宋" w:hAnsi="仿宋" w:eastAsia="仿宋" w:cs="仿宋"/>
        </w:rPr>
        <w:t>六、投标保证金：无</w:t>
      </w:r>
      <w:r>
        <w:rPr>
          <w:rFonts w:hint="eastAsia" w:ascii="仿宋" w:hAnsi="仿宋" w:eastAsia="仿宋" w:cs="仿宋"/>
        </w:rPr>
        <w:t>　</w:t>
      </w:r>
    </w:p>
    <w:p>
      <w:pPr>
        <w:pStyle w:val="29"/>
        <w:spacing w:before="0" w:beforeAutospacing="0" w:after="0" w:afterAutospacing="0" w:line="360" w:lineRule="auto"/>
        <w:rPr>
          <w:rFonts w:hint="eastAsia" w:ascii="仿宋" w:hAnsi="仿宋" w:eastAsia="仿宋" w:cs="仿宋"/>
          <w:b/>
          <w:bCs/>
        </w:rPr>
      </w:pPr>
      <w:r>
        <w:rPr>
          <w:rFonts w:hint="eastAsia" w:ascii="仿宋" w:hAnsi="仿宋" w:eastAsia="仿宋" w:cs="仿宋"/>
          <w:b/>
          <w:bCs/>
        </w:rPr>
        <w:t>七、其他注意事项：</w:t>
      </w:r>
    </w:p>
    <w:p>
      <w:pPr>
        <w:pStyle w:val="19"/>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bCs/>
          <w:szCs w:val="24"/>
          <w:u w:val="single"/>
        </w:rPr>
        <w:t>投标人应于开标时间前按照电子投标要求将电子加密标书上传到“政采云”平台，逾期或未上传成功的将导致无法投标或投标无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投标方投标无效，投标方可在开标时间前将在政采云平台上最后生成的具备电子签章的备份加密投标文件（文件名后缀为备份文件四字的首字母）以电子邮件方式传送至浙江日晟信息咨询有限公司邮箱（3457848128@qq.com），传送的备份电子投标文件需打包压缩并加密，加密密码由投标方自行保管，如政采云上电子投标文件出现解密失败情况（开标后30分钟内进行解密），投标方可按照自身意愿确认是否同意提供加密密码解密传送至浙江日晟信息咨询有限公司邮箱的备份文件，并以备份文件作为替代电子投标文件，如投标方未按照规定时间前按要求提供有效备份文件，同时政采云上投标文件解密失败的，将导致投标无效。</w:t>
      </w:r>
    </w:p>
    <w:p>
      <w:pPr>
        <w:pStyle w:val="19"/>
        <w:adjustRightInd w:val="0"/>
        <w:snapToGrid w:val="0"/>
        <w:spacing w:line="360" w:lineRule="auto"/>
        <w:ind w:firstLine="480" w:firstLineChars="200"/>
        <w:rPr>
          <w:rFonts w:hint="eastAsia" w:ascii="仿宋" w:hAnsi="仿宋" w:eastAsia="仿宋" w:cs="仿宋"/>
          <w:bCs/>
          <w:szCs w:val="24"/>
        </w:rPr>
      </w:pPr>
      <w:r>
        <w:rPr>
          <w:rFonts w:hint="eastAsia" w:ascii="仿宋" w:hAnsi="仿宋" w:eastAsia="仿宋" w:cs="仿宋"/>
          <w:bCs/>
          <w:kern w:val="0"/>
          <w:szCs w:val="24"/>
          <w:u w:val="single"/>
        </w:rPr>
        <w:t>投标方无须在开标当天到达开标现场对电子投标进行解密，可在公司办公场地在规定时间内对电子投标文件进行解密。</w:t>
      </w:r>
    </w:p>
    <w:p>
      <w:pPr>
        <w:pStyle w:val="29"/>
        <w:spacing w:before="0" w:beforeAutospacing="0" w:after="0" w:afterAutospacing="0" w:line="360" w:lineRule="auto"/>
        <w:rPr>
          <w:rStyle w:val="34"/>
          <w:rFonts w:hint="eastAsia" w:ascii="仿宋" w:hAnsi="仿宋" w:eastAsia="仿宋" w:cs="仿宋"/>
        </w:rPr>
      </w:pPr>
      <w:r>
        <w:rPr>
          <w:rFonts w:hint="eastAsia" w:ascii="仿宋" w:hAnsi="仿宋" w:eastAsia="仿宋" w:cs="仿宋"/>
          <w:bCs/>
        </w:rPr>
        <w:t>开标时间后30分钟内供应商可以登录“政采云”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　　　</w:t>
      </w:r>
      <w:r>
        <w:rPr>
          <w:rFonts w:hint="eastAsia" w:ascii="仿宋" w:hAnsi="仿宋" w:eastAsia="仿宋" w:cs="仿宋"/>
        </w:rPr>
        <w:t>　　　</w:t>
      </w:r>
    </w:p>
    <w:p>
      <w:pPr>
        <w:pStyle w:val="29"/>
        <w:spacing w:before="0" w:beforeAutospacing="0" w:after="0" w:afterAutospacing="0" w:line="420" w:lineRule="exact"/>
        <w:rPr>
          <w:rStyle w:val="34"/>
          <w:rFonts w:hint="eastAsia" w:ascii="仿宋" w:hAnsi="仿宋" w:eastAsia="仿宋" w:cs="仿宋"/>
          <w:lang w:eastAsia="zh-CN"/>
        </w:rPr>
      </w:pPr>
    </w:p>
    <w:p>
      <w:pPr>
        <w:pStyle w:val="29"/>
        <w:spacing w:before="0" w:beforeAutospacing="0" w:after="0" w:afterAutospacing="0" w:line="420" w:lineRule="exact"/>
        <w:rPr>
          <w:rFonts w:hint="eastAsia" w:ascii="仿宋" w:hAnsi="仿宋" w:eastAsia="仿宋" w:cs="仿宋"/>
        </w:rPr>
      </w:pPr>
      <w:r>
        <w:rPr>
          <w:rStyle w:val="34"/>
          <w:rFonts w:hint="eastAsia" w:ascii="仿宋" w:hAnsi="仿宋" w:eastAsia="仿宋" w:cs="仿宋"/>
          <w:lang w:eastAsia="zh-CN"/>
        </w:rPr>
        <w:t>八</w:t>
      </w:r>
      <w:r>
        <w:rPr>
          <w:rStyle w:val="34"/>
          <w:rFonts w:hint="eastAsia" w:ascii="仿宋" w:hAnsi="仿宋" w:eastAsia="仿宋" w:cs="仿宋"/>
        </w:rPr>
        <w:t>、对本次招标提出询问、质疑、投诉，请按以下方式联系：</w:t>
      </w:r>
      <w:r>
        <w:rPr>
          <w:rFonts w:hint="eastAsia" w:ascii="仿宋" w:hAnsi="仿宋" w:eastAsia="仿宋" w:cs="仿宋"/>
        </w:rPr>
        <w:t>　　　　　　　　　　</w:t>
      </w:r>
    </w:p>
    <w:p>
      <w:pPr>
        <w:pStyle w:val="29"/>
        <w:spacing w:before="0" w:beforeAutospacing="0" w:after="0" w:afterAutospacing="0" w:line="420" w:lineRule="exact"/>
        <w:rPr>
          <w:rFonts w:hint="eastAsia" w:ascii="仿宋" w:hAnsi="仿宋" w:eastAsia="仿宋" w:cs="仿宋"/>
        </w:rPr>
      </w:pPr>
      <w:r>
        <w:rPr>
          <w:rFonts w:hint="eastAsia" w:ascii="仿宋" w:hAnsi="仿宋" w:eastAsia="仿宋" w:cs="仿宋"/>
        </w:rPr>
        <w:t xml:space="preserve">    </w:t>
      </w:r>
    </w:p>
    <w:p>
      <w:pPr>
        <w:pStyle w:val="29"/>
        <w:spacing w:before="0" w:beforeAutospacing="0" w:after="0" w:afterAutospacing="0" w:line="420" w:lineRule="exact"/>
        <w:rPr>
          <w:rFonts w:hint="eastAsia" w:ascii="仿宋" w:hAnsi="仿宋" w:eastAsia="仿宋" w:cs="仿宋"/>
        </w:rPr>
      </w:pPr>
      <w:r>
        <w:rPr>
          <w:rFonts w:hint="eastAsia" w:ascii="仿宋" w:hAnsi="仿宋" w:eastAsia="仿宋" w:cs="仿宋"/>
        </w:rPr>
        <w:t>1.采购人信息</w:t>
      </w:r>
    </w:p>
    <w:p>
      <w:pPr>
        <w:pStyle w:val="29"/>
        <w:spacing w:before="0" w:beforeAutospacing="0" w:after="0" w:afterAutospacing="0" w:line="420" w:lineRule="exact"/>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lang w:eastAsia="zh-CN"/>
        </w:rPr>
        <w:t>浙江省武义县第一人民医院</w:t>
      </w:r>
      <w:r>
        <w:rPr>
          <w:rFonts w:hint="eastAsia" w:ascii="仿宋" w:hAnsi="仿宋" w:eastAsia="仿宋" w:cs="仿宋"/>
        </w:rPr>
        <w:t>　　　　　　　　　</w:t>
      </w:r>
    </w:p>
    <w:p>
      <w:pPr>
        <w:pStyle w:val="29"/>
        <w:spacing w:before="0" w:beforeAutospacing="0" w:after="0" w:afterAutospacing="0" w:line="420" w:lineRule="exact"/>
        <w:rPr>
          <w:rFonts w:hint="eastAsia" w:ascii="仿宋" w:hAnsi="仿宋" w:eastAsia="仿宋" w:cs="仿宋"/>
          <w:u w:val="single"/>
          <w:lang w:val="en-US" w:eastAsia="zh-CN"/>
        </w:rPr>
      </w:pPr>
      <w:r>
        <w:rPr>
          <w:rFonts w:hint="eastAsia" w:ascii="仿宋" w:hAnsi="仿宋" w:eastAsia="仿宋" w:cs="仿宋"/>
        </w:rPr>
        <w:t>    地  址：</w:t>
      </w:r>
      <w:r>
        <w:rPr>
          <w:rFonts w:hint="eastAsia" w:ascii="仿宋" w:hAnsi="仿宋" w:eastAsia="仿宋" w:cs="仿宋"/>
          <w:u w:val="single"/>
          <w:lang w:eastAsia="zh-CN"/>
        </w:rPr>
        <w:t>武义县南门街2号</w:t>
      </w:r>
    </w:p>
    <w:p>
      <w:pPr>
        <w:pStyle w:val="29"/>
        <w:spacing w:before="75" w:beforeAutospacing="0" w:after="75" w:afterAutospacing="0" w:line="420" w:lineRule="exact"/>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杨女士</w:t>
      </w:r>
      <w:r>
        <w:rPr>
          <w:rFonts w:hint="eastAsia" w:ascii="仿宋" w:hAnsi="仿宋" w:eastAsia="仿宋" w:cs="仿宋"/>
        </w:rPr>
        <w:t>　　　　　　　　</w:t>
      </w:r>
    </w:p>
    <w:p>
      <w:pPr>
        <w:spacing w:line="360" w:lineRule="auto"/>
        <w:rPr>
          <w:rFonts w:hint="eastAsia" w:ascii="宋体" w:hAnsi="宋体" w:eastAsia="宋体" w:cs="宋体"/>
          <w:color w:val="000000"/>
          <w:sz w:val="24"/>
        </w:rPr>
      </w:pPr>
      <w:r>
        <w:rPr>
          <w:rFonts w:hint="eastAsia" w:ascii="仿宋" w:hAnsi="仿宋" w:eastAsia="仿宋" w:cs="仿宋"/>
        </w:rPr>
        <w:t>    项目联系方式（询问）：</w:t>
      </w:r>
      <w:r>
        <w:rPr>
          <w:rFonts w:hint="eastAsia" w:ascii="仿宋" w:hAnsi="仿宋" w:eastAsia="仿宋" w:cs="仿宋"/>
          <w:color w:val="auto"/>
          <w:sz w:val="24"/>
          <w:szCs w:val="24"/>
          <w:u w:val="single"/>
          <w:lang w:val="en-US" w:eastAsia="zh-CN" w:bidi="ar-SA"/>
        </w:rPr>
        <w:t>13967963435</w:t>
      </w:r>
    </w:p>
    <w:p>
      <w:pPr>
        <w:spacing w:line="360" w:lineRule="auto"/>
        <w:rPr>
          <w:rFonts w:hint="eastAsia" w:ascii="仿宋" w:hAnsi="仿宋" w:eastAsia="仿宋" w:cs="仿宋"/>
          <w:sz w:val="24"/>
          <w:szCs w:val="24"/>
          <w:u w:val="single"/>
        </w:rPr>
      </w:pPr>
    </w:p>
    <w:p>
      <w:pPr>
        <w:pStyle w:val="29"/>
        <w:spacing w:before="75" w:beforeAutospacing="0" w:after="75" w:afterAutospacing="0" w:line="420" w:lineRule="exact"/>
        <w:rPr>
          <w:rFonts w:hint="eastAsia" w:ascii="仿宋" w:hAnsi="仿宋" w:eastAsia="仿宋" w:cs="仿宋"/>
        </w:rPr>
      </w:pPr>
      <w:r>
        <w:rPr>
          <w:rFonts w:hint="eastAsia" w:ascii="仿宋" w:hAnsi="仿宋" w:eastAsia="仿宋" w:cs="仿宋"/>
        </w:rPr>
        <w:t> 2.采购代理机构信息</w:t>
      </w:r>
    </w:p>
    <w:p>
      <w:pPr>
        <w:pStyle w:val="29"/>
        <w:spacing w:before="75" w:beforeAutospacing="0" w:after="75" w:afterAutospacing="0" w:line="420" w:lineRule="exact"/>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pPr>
        <w:pStyle w:val="29"/>
        <w:spacing w:before="75" w:beforeAutospacing="0" w:after="75" w:afterAutospacing="0" w:line="420" w:lineRule="exact"/>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武义县北岭新区芳华路820-822号</w:t>
      </w:r>
      <w:r>
        <w:rPr>
          <w:rFonts w:hint="eastAsia" w:ascii="仿宋" w:hAnsi="仿宋" w:eastAsia="仿宋" w:cs="仿宋"/>
        </w:rPr>
        <w:t xml:space="preserve">  </w:t>
      </w:r>
    </w:p>
    <w:p>
      <w:pPr>
        <w:pStyle w:val="29"/>
        <w:spacing w:before="75" w:beforeAutospacing="0" w:after="75" w:afterAutospacing="0" w:line="420" w:lineRule="exact"/>
        <w:rPr>
          <w:rFonts w:hint="eastAsia" w:ascii="仿宋" w:hAnsi="仿宋" w:eastAsia="仿宋" w:cs="仿宋"/>
        </w:rPr>
      </w:pPr>
      <w:r>
        <w:rPr>
          <w:rFonts w:hint="eastAsia" w:ascii="仿宋" w:hAnsi="仿宋" w:eastAsia="仿宋" w:cs="仿宋"/>
        </w:rPr>
        <w:t>    传   真：</w:t>
      </w:r>
      <w:r>
        <w:rPr>
          <w:rFonts w:hint="eastAsia" w:ascii="仿宋" w:hAnsi="仿宋" w:eastAsia="仿宋" w:cs="仿宋"/>
          <w:u w:val="single"/>
        </w:rPr>
        <w:t>0579-87669989</w:t>
      </w:r>
      <w:r>
        <w:rPr>
          <w:rFonts w:hint="eastAsia" w:ascii="仿宋" w:hAnsi="仿宋" w:eastAsia="仿宋" w:cs="仿宋"/>
        </w:rPr>
        <w:t xml:space="preserve"> 　</w:t>
      </w:r>
    </w:p>
    <w:p>
      <w:pPr>
        <w:pStyle w:val="29"/>
        <w:spacing w:before="75" w:beforeAutospacing="0" w:after="75" w:afterAutospacing="0" w:line="420" w:lineRule="exact"/>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rPr>
        <w:t>韩女士</w:t>
      </w:r>
      <w:r>
        <w:rPr>
          <w:rFonts w:hint="eastAsia" w:ascii="仿宋" w:hAnsi="仿宋" w:eastAsia="仿宋" w:cs="仿宋"/>
        </w:rPr>
        <w:t>   　　　　　　　　　　　</w:t>
      </w:r>
    </w:p>
    <w:p>
      <w:pPr>
        <w:pStyle w:val="29"/>
        <w:spacing w:before="75" w:beforeAutospacing="0" w:after="75" w:afterAutospacing="0" w:line="420" w:lineRule="exact"/>
        <w:ind w:firstLine="373"/>
        <w:rPr>
          <w:rFonts w:ascii="仿宋" w:hAnsi="仿宋" w:eastAsia="仿宋" w:cs="仿宋"/>
          <w:u w:val="single"/>
        </w:rPr>
      </w:pPr>
      <w:r>
        <w:rPr>
          <w:rFonts w:hint="eastAsia" w:ascii="仿宋" w:hAnsi="仿宋" w:eastAsia="仿宋" w:cs="仿宋"/>
        </w:rPr>
        <w:t>项目联系方式（询问）：</w:t>
      </w:r>
      <w:r>
        <w:rPr>
          <w:rFonts w:hint="eastAsia" w:ascii="仿宋" w:hAnsi="仿宋" w:eastAsia="仿宋" w:cs="仿宋"/>
          <w:u w:val="single"/>
        </w:rPr>
        <w:t>13819931211</w:t>
      </w:r>
    </w:p>
    <w:p>
      <w:pPr>
        <w:pStyle w:val="29"/>
        <w:spacing w:before="75" w:beforeAutospacing="0" w:after="75" w:afterAutospacing="0" w:line="420" w:lineRule="exact"/>
        <w:ind w:firstLine="373"/>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eastAsia="zh-CN"/>
        </w:rPr>
        <w:t>陈</w:t>
      </w:r>
      <w:r>
        <w:rPr>
          <w:rFonts w:hint="eastAsia" w:ascii="仿宋" w:hAnsi="仿宋" w:eastAsia="仿宋" w:cs="仿宋"/>
          <w:u w:val="single"/>
        </w:rPr>
        <w:t>先生</w:t>
      </w:r>
      <w:r>
        <w:rPr>
          <w:rFonts w:hint="eastAsia" w:ascii="仿宋" w:hAnsi="仿宋" w:eastAsia="仿宋" w:cs="仿宋"/>
        </w:rPr>
        <w:t> </w:t>
      </w:r>
    </w:p>
    <w:p>
      <w:pPr>
        <w:pStyle w:val="29"/>
        <w:spacing w:before="75" w:beforeAutospacing="0" w:after="75" w:afterAutospacing="0" w:line="420" w:lineRule="exact"/>
        <w:ind w:firstLine="373"/>
        <w:rPr>
          <w:rFonts w:hint="default" w:ascii="仿宋" w:hAnsi="仿宋" w:eastAsia="仿宋" w:cs="仿宋"/>
          <w:u w:val="single"/>
          <w:lang w:val="en-US" w:eastAsia="zh-CN"/>
        </w:rPr>
      </w:pPr>
      <w:r>
        <w:rPr>
          <w:rFonts w:hint="eastAsia" w:ascii="仿宋" w:hAnsi="仿宋" w:eastAsia="仿宋" w:cs="仿宋"/>
        </w:rPr>
        <w:t>质疑联系方式：</w:t>
      </w:r>
      <w:r>
        <w:rPr>
          <w:rFonts w:hint="eastAsia" w:ascii="仿宋" w:hAnsi="仿宋" w:eastAsia="仿宋" w:cs="仿宋"/>
          <w:u w:val="single"/>
        </w:rPr>
        <w:t>15</w:t>
      </w:r>
      <w:r>
        <w:rPr>
          <w:rFonts w:hint="eastAsia" w:ascii="仿宋" w:hAnsi="仿宋" w:eastAsia="仿宋" w:cs="仿宋"/>
          <w:u w:val="single"/>
          <w:lang w:val="en-US" w:eastAsia="zh-CN"/>
        </w:rPr>
        <w:t>858910555</w:t>
      </w:r>
    </w:p>
    <w:p>
      <w:pPr>
        <w:pStyle w:val="29"/>
        <w:spacing w:before="75" w:beforeAutospacing="0" w:after="75" w:afterAutospacing="0" w:line="420" w:lineRule="exact"/>
        <w:ind w:firstLine="720"/>
        <w:rPr>
          <w:rFonts w:hint="eastAsia" w:ascii="仿宋" w:hAnsi="仿宋" w:eastAsia="仿宋" w:cs="仿宋"/>
          <w:u w:val="single"/>
        </w:rPr>
      </w:pPr>
    </w:p>
    <w:p>
      <w:pPr>
        <w:pStyle w:val="29"/>
        <w:spacing w:before="0" w:beforeAutospacing="0" w:after="0" w:afterAutospacing="0" w:line="420" w:lineRule="exact"/>
        <w:rPr>
          <w:rFonts w:hint="eastAsia" w:ascii="仿宋" w:hAnsi="仿宋" w:eastAsia="仿宋" w:cs="仿宋"/>
        </w:rPr>
      </w:pPr>
      <w:r>
        <w:rPr>
          <w:rFonts w:hint="eastAsia" w:ascii="仿宋" w:hAnsi="仿宋" w:eastAsia="仿宋" w:cs="仿宋"/>
        </w:rPr>
        <w:t>3.同级政府采购监督管理部门</w:t>
      </w:r>
    </w:p>
    <w:p>
      <w:pPr>
        <w:pStyle w:val="29"/>
        <w:spacing w:before="0" w:beforeAutospacing="0" w:after="0" w:afterAutospacing="0" w:line="420" w:lineRule="exact"/>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pPr>
        <w:pStyle w:val="29"/>
        <w:spacing w:before="0" w:beforeAutospacing="0" w:after="0" w:afterAutospacing="0" w:line="420" w:lineRule="exact"/>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武义县温泉南路100号502室</w:t>
      </w:r>
      <w:r>
        <w:rPr>
          <w:rFonts w:hint="eastAsia" w:ascii="仿宋" w:hAnsi="仿宋" w:eastAsia="仿宋" w:cs="仿宋"/>
        </w:rPr>
        <w:t>  　　　　　　　　　　　　   </w:t>
      </w:r>
    </w:p>
    <w:p>
      <w:pPr>
        <w:pStyle w:val="29"/>
        <w:spacing w:before="0" w:beforeAutospacing="0" w:after="0" w:afterAutospacing="0" w:line="420" w:lineRule="exact"/>
        <w:rPr>
          <w:rFonts w:hint="eastAsia" w:ascii="仿宋" w:hAnsi="仿宋" w:eastAsia="仿宋" w:cs="仿宋"/>
        </w:rPr>
      </w:pPr>
      <w:r>
        <w:rPr>
          <w:rFonts w:hint="eastAsia" w:ascii="仿宋" w:hAnsi="仿宋" w:eastAsia="仿宋" w:cs="仿宋"/>
        </w:rPr>
        <w:t>    联 系 人：</w:t>
      </w:r>
      <w:r>
        <w:rPr>
          <w:rFonts w:hint="eastAsia" w:ascii="仿宋" w:hAnsi="仿宋" w:eastAsia="仿宋" w:cs="仿宋"/>
          <w:u w:val="single"/>
        </w:rPr>
        <w:t>潘女士</w:t>
      </w:r>
      <w:r>
        <w:rPr>
          <w:rFonts w:hint="eastAsia" w:ascii="仿宋" w:hAnsi="仿宋" w:eastAsia="仿宋" w:cs="仿宋"/>
        </w:rPr>
        <w:t>   　　　　　　　　　　　</w:t>
      </w:r>
    </w:p>
    <w:p>
      <w:pPr>
        <w:pStyle w:val="29"/>
        <w:spacing w:before="0" w:beforeAutospacing="0" w:after="0" w:afterAutospacing="0" w:line="420" w:lineRule="exact"/>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pPr>
        <w:pStyle w:val="81"/>
        <w:ind w:firstLine="420" w:firstLineChars="200"/>
        <w:rPr>
          <w:rFonts w:hint="eastAsia" w:ascii="仿宋" w:hAnsi="仿宋" w:eastAsia="仿宋" w:cs="仿宋"/>
          <w:color w:val="auto"/>
          <w:sz w:val="21"/>
          <w:szCs w:val="21"/>
          <w:shd w:val="clear" w:color="auto" w:fill="FFFFFF"/>
        </w:rPr>
      </w:pPr>
    </w:p>
    <w:p>
      <w:pPr>
        <w:pStyle w:val="81"/>
        <w:ind w:firstLine="420" w:firstLineChars="200"/>
        <w:rPr>
          <w:rFonts w:hint="eastAsia" w:ascii="仿宋" w:hAnsi="仿宋" w:eastAsia="仿宋" w:cs="仿宋"/>
          <w:color w:val="auto"/>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p>
    <w:bookmarkEnd w:id="1"/>
    <w:p>
      <w:pPr>
        <w:pStyle w:val="3"/>
        <w:spacing w:before="0" w:after="0" w:line="312" w:lineRule="auto"/>
        <w:rPr>
          <w:rFonts w:hint="eastAsia" w:ascii="仿宋" w:hAnsi="仿宋" w:eastAsia="仿宋" w:cs="仿宋"/>
          <w:color w:val="auto"/>
          <w:sz w:val="36"/>
          <w:szCs w:val="36"/>
        </w:rPr>
        <w:sectPr>
          <w:headerReference r:id="rId4" w:type="first"/>
          <w:footerReference r:id="rId7" w:type="first"/>
          <w:headerReference r:id="rId3" w:type="default"/>
          <w:footerReference r:id="rId5" w:type="default"/>
          <w:footerReference r:id="rId6" w:type="even"/>
          <w:pgSz w:w="11906" w:h="16838"/>
          <w:pgMar w:top="1247" w:right="1134" w:bottom="1020" w:left="1418" w:header="851" w:footer="907" w:gutter="0"/>
          <w:pgNumType w:fmt="numberInDash" w:start="1"/>
          <w:cols w:space="720" w:num="1"/>
          <w:titlePg/>
          <w:docGrid w:type="lines" w:linePitch="312" w:charSpace="0"/>
        </w:sectPr>
      </w:pPr>
      <w:bookmarkStart w:id="2" w:name="_Toc125344503"/>
    </w:p>
    <w:p>
      <w:pPr>
        <w:pStyle w:val="3"/>
        <w:spacing w:before="0" w:after="0" w:line="312" w:lineRule="auto"/>
        <w:jc w:val="center"/>
        <w:rPr>
          <w:rFonts w:hint="eastAsia" w:ascii="仿宋" w:hAnsi="仿宋" w:eastAsia="仿宋" w:cs="仿宋"/>
          <w:color w:val="auto"/>
          <w:sz w:val="36"/>
          <w:szCs w:val="36"/>
        </w:rPr>
      </w:pPr>
      <w:r>
        <w:rPr>
          <w:rFonts w:hint="eastAsia" w:ascii="仿宋" w:hAnsi="仿宋" w:eastAsia="仿宋" w:cs="仿宋"/>
          <w:color w:val="auto"/>
          <w:sz w:val="36"/>
          <w:szCs w:val="36"/>
        </w:rPr>
        <w:t>第二章  投标须知</w:t>
      </w:r>
    </w:p>
    <w:p>
      <w:pPr>
        <w:spacing w:line="312"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前  附  表</w:t>
      </w:r>
    </w:p>
    <w:tbl>
      <w:tblPr>
        <w:tblStyle w:val="31"/>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9"/>
              <w:spacing w:line="420" w:lineRule="exact"/>
              <w:jc w:val="center"/>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9"/>
              <w:spacing w:line="420" w:lineRule="exact"/>
              <w:jc w:val="center"/>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9"/>
              <w:spacing w:line="420" w:lineRule="exact"/>
              <w:jc w:val="center"/>
              <w:rPr>
                <w:rFonts w:hint="eastAsia" w:ascii="仿宋" w:hAnsi="仿宋" w:eastAsia="仿宋" w:cs="仿宋"/>
                <w:b/>
                <w:szCs w:val="24"/>
              </w:rPr>
            </w:pPr>
            <w:r>
              <w:rPr>
                <w:rFonts w:hint="eastAsia" w:ascii="仿宋" w:hAnsi="仿宋" w:eastAsia="仿宋" w:cs="仿宋"/>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2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浙江省武义县第一人民医院安保服务外包项目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rPr>
                <w:rFonts w:hint="eastAsia" w:ascii="仿宋" w:hAnsi="仿宋" w:eastAsia="仿宋" w:cs="仿宋"/>
                <w:szCs w:val="24"/>
              </w:rPr>
            </w:pPr>
            <w:r>
              <w:rPr>
                <w:rFonts w:hint="eastAsia" w:ascii="仿宋" w:hAnsi="仿宋" w:eastAsia="仿宋" w:cs="仿宋"/>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rPr>
                <w:rFonts w:hint="eastAsia" w:ascii="仿宋" w:hAnsi="仿宋" w:eastAsia="仿宋" w:cs="仿宋"/>
                <w:szCs w:val="24"/>
              </w:rPr>
            </w:pPr>
            <w:r>
              <w:rPr>
                <w:rFonts w:hint="eastAsia" w:ascii="仿宋" w:hAnsi="仿宋" w:eastAsia="仿宋" w:cs="仿宋"/>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本项目最高限价7650000元，每年服务单价2550000元/年；投标报价超过最高限价（单价或总价）为无效报价；投标报价四舍五入精确到元，不保留小数点。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投标人（供应商）资格要求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rPr>
                <w:rFonts w:hint="eastAsia" w:ascii="仿宋" w:hAnsi="仿宋" w:eastAsia="仿宋" w:cs="仿宋"/>
                <w:szCs w:val="24"/>
              </w:rPr>
            </w:pPr>
            <w:r>
              <w:rPr>
                <w:rFonts w:hint="eastAsia" w:ascii="仿宋" w:hAnsi="仿宋" w:eastAsia="仿宋" w:cs="仿宋"/>
                <w:szCs w:val="24"/>
              </w:rPr>
              <w:t>本项目不接收联合体投标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本次招标共</w:t>
            </w:r>
            <w:r>
              <w:rPr>
                <w:rFonts w:hint="eastAsia" w:ascii="仿宋" w:hAnsi="仿宋" w:eastAsia="仿宋" w:cs="仿宋"/>
                <w:b/>
                <w:bCs/>
                <w:color w:val="auto"/>
                <w:sz w:val="24"/>
                <w:szCs w:val="24"/>
                <w:highlight w:val="yellow"/>
                <w:u w:val="single"/>
              </w:rPr>
              <w:t>1</w:t>
            </w:r>
            <w:r>
              <w:rPr>
                <w:rFonts w:hint="eastAsia" w:ascii="仿宋" w:hAnsi="仿宋" w:eastAsia="仿宋" w:cs="仿宋"/>
                <w:color w:val="auto"/>
                <w:sz w:val="24"/>
                <w:szCs w:val="24"/>
              </w:rPr>
              <w:t>个标的，采购人将整体择定中标人。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供应商资格采用资格后审方式，由评标委员会进行审查。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招标文件的</w:t>
            </w:r>
          </w:p>
          <w:p>
            <w:pPr>
              <w:pStyle w:val="19"/>
              <w:spacing w:line="420" w:lineRule="exact"/>
              <w:jc w:val="center"/>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29"/>
              <w:spacing w:before="0" w:beforeAutospacing="0" w:after="0" w:afterAutospacing="0" w:line="420" w:lineRule="exact"/>
              <w:rPr>
                <w:rFonts w:hint="eastAsia" w:ascii="仿宋" w:hAnsi="仿宋" w:eastAsia="仿宋" w:cs="仿宋"/>
              </w:rPr>
            </w:pPr>
            <w:r>
              <w:rPr>
                <w:rFonts w:hint="eastAsia" w:ascii="仿宋" w:hAnsi="仿宋" w:eastAsia="仿宋" w:cs="仿宋"/>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（1）企业法人营业执照复印件；</w:t>
            </w:r>
          </w:p>
          <w:p>
            <w:pPr>
              <w:snapToGrid w:val="0"/>
              <w:spacing w:line="420" w:lineRule="exact"/>
              <w:jc w:val="left"/>
              <w:rPr>
                <w:rFonts w:hint="eastAsia" w:ascii="仿宋" w:hAnsi="仿宋" w:eastAsia="仿宋" w:cs="仿宋"/>
                <w:bCs/>
                <w:sz w:val="24"/>
              </w:rPr>
            </w:pPr>
            <w:r>
              <w:rPr>
                <w:rFonts w:hint="eastAsia" w:ascii="仿宋" w:hAnsi="仿宋" w:eastAsia="仿宋" w:cs="仿宋"/>
                <w:color w:val="auto"/>
                <w:sz w:val="24"/>
                <w:szCs w:val="24"/>
              </w:rPr>
              <w:t>（2）法定代表人授权委托书（法定代表人提供身份证复印件，格式见附件)；</w:t>
            </w:r>
          </w:p>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kern w:val="2"/>
                <w:sz w:val="24"/>
                <w:szCs w:val="24"/>
              </w:rPr>
              <w:t>以下任意一种符合企业自身条件的声明函</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br w:type="textWrapping"/>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①中小企业声明函；</w:t>
            </w:r>
            <w:r>
              <w:rPr>
                <w:rFonts w:hint="eastAsia" w:ascii="仿宋" w:hAnsi="仿宋" w:eastAsia="仿宋" w:cs="仿宋"/>
                <w:kern w:val="2"/>
                <w:sz w:val="24"/>
                <w:szCs w:val="24"/>
              </w:rPr>
              <w:br w:type="textWrapping"/>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②残疾人福利企业声明函；</w:t>
            </w:r>
            <w:r>
              <w:rPr>
                <w:rFonts w:hint="eastAsia" w:ascii="仿宋" w:hAnsi="仿宋" w:eastAsia="仿宋" w:cs="仿宋"/>
                <w:kern w:val="2"/>
                <w:sz w:val="24"/>
                <w:szCs w:val="24"/>
              </w:rPr>
              <w:br w:type="textWrapping"/>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③监狱企业声明函</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（1）投标人基本情况介绍；</w:t>
            </w:r>
          </w:p>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（2）根据招标文件第三章评分细则中涉及的相关内容描述；</w:t>
            </w:r>
          </w:p>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（3）包括但不限于以上技术文件或说明。</w:t>
            </w:r>
          </w:p>
          <w:p>
            <w:pPr>
              <w:pStyle w:val="19"/>
              <w:spacing w:line="420" w:lineRule="exact"/>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（1）投标函（格式见附件）； </w:t>
            </w:r>
          </w:p>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（2）开标一览表（格式见附件）；</w:t>
            </w:r>
          </w:p>
          <w:p>
            <w:pPr>
              <w:tabs>
                <w:tab w:val="left" w:pos="3870"/>
                <w:tab w:val="left" w:pos="4085"/>
              </w:tabs>
              <w:snapToGrid w:val="0"/>
              <w:spacing w:line="420" w:lineRule="exact"/>
              <w:jc w:val="left"/>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yellow"/>
                <w:lang w:eastAsia="zh-CN"/>
              </w:rPr>
              <w:t>（</w:t>
            </w:r>
            <w:r>
              <w:rPr>
                <w:rFonts w:hint="eastAsia" w:ascii="仿宋" w:hAnsi="仿宋" w:eastAsia="仿宋" w:cs="仿宋"/>
                <w:color w:val="auto"/>
                <w:sz w:val="24"/>
                <w:szCs w:val="24"/>
                <w:highlight w:val="yellow"/>
                <w:lang w:val="en-US" w:eastAsia="zh-CN"/>
              </w:rPr>
              <w:t>3</w:t>
            </w:r>
            <w:r>
              <w:rPr>
                <w:rFonts w:hint="eastAsia" w:ascii="仿宋" w:hAnsi="仿宋" w:eastAsia="仿宋" w:cs="仿宋"/>
                <w:color w:val="auto"/>
                <w:sz w:val="24"/>
                <w:szCs w:val="24"/>
                <w:highlight w:val="yellow"/>
                <w:lang w:eastAsia="zh-CN"/>
              </w:rPr>
              <w:t>）分项报价表（</w:t>
            </w:r>
            <w:r>
              <w:rPr>
                <w:rFonts w:hint="eastAsia" w:ascii="仿宋" w:hAnsi="仿宋" w:eastAsia="仿宋" w:cs="仿宋"/>
                <w:color w:val="auto"/>
                <w:sz w:val="24"/>
                <w:szCs w:val="24"/>
                <w:highlight w:val="yellow"/>
              </w:rPr>
              <w:t>格式见附件</w:t>
            </w:r>
            <w:r>
              <w:rPr>
                <w:rFonts w:hint="eastAsia" w:ascii="仿宋" w:hAnsi="仿宋" w:eastAsia="仿宋" w:cs="仿宋"/>
                <w:color w:val="auto"/>
                <w:sz w:val="24"/>
                <w:szCs w:val="24"/>
                <w:highlight w:val="yellow"/>
                <w:lang w:eastAsia="zh-CN"/>
              </w:rPr>
              <w:t>）；</w:t>
            </w:r>
          </w:p>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）投标承诺书（格式见附件）；</w:t>
            </w:r>
          </w:p>
          <w:p>
            <w:pPr>
              <w:tabs>
                <w:tab w:val="left" w:pos="3870"/>
                <w:tab w:val="left" w:pos="4085"/>
              </w:tabs>
              <w:snapToGrid w:val="0"/>
              <w:spacing w:line="420" w:lineRule="exact"/>
              <w:jc w:val="left"/>
              <w:rPr>
                <w:rFonts w:hint="eastAsia" w:ascii="仿宋" w:hAnsi="仿宋" w:eastAsia="仿宋" w:cs="仿宋"/>
                <w:b/>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）投标人需要说明的其他文件和说明（格式自拟）。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现场演示</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供应商应于</w:t>
            </w:r>
            <w:r>
              <w:rPr>
                <w:rFonts w:hint="eastAsia" w:ascii="仿宋" w:hAnsi="仿宋" w:eastAsia="仿宋" w:cs="仿宋"/>
                <w:bCs/>
                <w:color w:val="FF0000"/>
                <w:sz w:val="24"/>
                <w:szCs w:val="24"/>
                <w:lang w:eastAsia="zh-CN"/>
              </w:rPr>
              <w:t>2022年7月21日14:30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rPr>
                <w:rFonts w:hint="eastAsia" w:ascii="仿宋" w:hAnsi="仿宋" w:eastAsia="仿宋" w:cs="仿宋"/>
                <w:bCs/>
                <w:szCs w:val="24"/>
              </w:rPr>
            </w:pPr>
            <w:r>
              <w:rPr>
                <w:rFonts w:hint="eastAsia" w:ascii="仿宋" w:hAnsi="仿宋" w:eastAsia="仿宋" w:cs="仿宋"/>
                <w:bCs/>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rPr>
                <w:rFonts w:hint="eastAsia" w:ascii="仿宋" w:hAnsi="仿宋" w:eastAsia="仿宋" w:cs="仿宋"/>
                <w:bCs/>
                <w:szCs w:val="24"/>
              </w:rPr>
            </w:pPr>
            <w:r>
              <w:rPr>
                <w:rFonts w:hint="eastAsia" w:ascii="仿宋" w:hAnsi="仿宋" w:eastAsia="仿宋" w:cs="仿宋"/>
                <w:bCs/>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rPr>
                <w:rFonts w:hint="eastAsia" w:ascii="仿宋" w:hAnsi="仿宋" w:eastAsia="仿宋" w:cs="仿宋"/>
                <w:bCs/>
                <w:szCs w:val="24"/>
              </w:rPr>
            </w:pPr>
            <w:r>
              <w:rPr>
                <w:rFonts w:hint="eastAsia" w:ascii="仿宋" w:hAnsi="仿宋" w:eastAsia="仿宋" w:cs="仿宋"/>
                <w:bCs/>
                <w:szCs w:val="24"/>
              </w:rPr>
              <w:t>本项目不允许转包和分包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rPr>
                <w:rFonts w:hint="default" w:ascii="仿宋" w:hAnsi="仿宋" w:eastAsia="仿宋" w:cs="仿宋"/>
                <w:bCs/>
                <w:szCs w:val="24"/>
                <w:lang w:val="en-US" w:eastAsia="zh-CN"/>
              </w:rPr>
            </w:pPr>
            <w:r>
              <w:rPr>
                <w:rFonts w:hint="eastAsia" w:ascii="仿宋" w:hAnsi="仿宋" w:eastAsia="仿宋"/>
                <w:sz w:val="24"/>
                <w:szCs w:val="24"/>
                <w:highlight w:val="none"/>
              </w:rPr>
              <w:t>签订合同前中标人向采购人指定账户缴纳中标金额</w:t>
            </w:r>
            <w:r>
              <w:rPr>
                <w:rFonts w:hint="eastAsia" w:ascii="仿宋" w:hAnsi="仿宋" w:eastAsia="仿宋"/>
                <w:sz w:val="24"/>
                <w:szCs w:val="24"/>
                <w:highlight w:val="none"/>
                <w:lang w:val="en-US" w:eastAsia="zh-CN"/>
              </w:rPr>
              <w:t>1%的</w:t>
            </w:r>
            <w:r>
              <w:rPr>
                <w:rFonts w:hint="eastAsia" w:ascii="仿宋" w:hAnsi="仿宋" w:eastAsia="仿宋"/>
                <w:sz w:val="24"/>
                <w:szCs w:val="24"/>
                <w:highlight w:val="none"/>
              </w:rPr>
              <w:t>履约保证金，履约保证</w:t>
            </w:r>
            <w:r>
              <w:rPr>
                <w:rFonts w:hint="eastAsia" w:ascii="仿宋" w:hAnsi="仿宋" w:eastAsia="仿宋"/>
                <w:sz w:val="24"/>
                <w:szCs w:val="24"/>
                <w:highlight w:val="none"/>
                <w:lang w:eastAsia="zh-CN"/>
              </w:rPr>
              <w:t>金</w:t>
            </w:r>
            <w:r>
              <w:rPr>
                <w:rFonts w:hint="eastAsia" w:ascii="仿宋" w:hAnsi="仿宋" w:eastAsia="仿宋"/>
                <w:sz w:val="24"/>
                <w:szCs w:val="24"/>
                <w:highlight w:val="none"/>
              </w:rPr>
              <w:t>在合同解除后无息退还。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ascii="仿宋" w:hAnsi="仿宋" w:eastAsia="仿宋" w:cs="仿宋"/>
                <w:bCs/>
                <w:color w:val="FF0000"/>
                <w:sz w:val="24"/>
                <w:szCs w:val="24"/>
                <w:lang w:eastAsia="zh-CN"/>
              </w:rPr>
              <w:t>2022年7月21日14:30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bCs/>
                <w:color w:val="auto"/>
                <w:kern w:val="2"/>
                <w:sz w:val="24"/>
                <w:szCs w:val="24"/>
              </w:rPr>
            </w:pPr>
            <w:r>
              <w:rPr>
                <w:rFonts w:hint="eastAsia" w:ascii="仿宋" w:hAnsi="仿宋" w:eastAsia="仿宋" w:cs="仿宋"/>
                <w:bCs/>
                <w:color w:val="FF0000"/>
                <w:sz w:val="24"/>
                <w:szCs w:val="24"/>
                <w:lang w:eastAsia="zh-CN"/>
              </w:rPr>
              <w:t>2022年7月21日14:30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b/>
                <w:bCs/>
                <w:color w:val="auto"/>
                <w:kern w:val="2"/>
                <w:sz w:val="24"/>
                <w:szCs w:val="24"/>
              </w:rPr>
            </w:pPr>
            <w:r>
              <w:rPr>
                <w:rFonts w:hint="eastAsia" w:ascii="仿宋" w:hAnsi="仿宋" w:eastAsia="仿宋" w:cs="仿宋"/>
                <w:color w:val="auto"/>
                <w:sz w:val="24"/>
                <w:szCs w:val="24"/>
              </w:rPr>
              <w:t>金华市公共资源交易中心武义县分中心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rPr>
                <w:rFonts w:hint="eastAsia" w:ascii="仿宋" w:hAnsi="仿宋" w:eastAsia="仿宋" w:cs="仿宋"/>
                <w:szCs w:val="24"/>
              </w:rPr>
            </w:pPr>
            <w:r>
              <w:rPr>
                <w:rFonts w:hint="eastAsia" w:ascii="仿宋" w:hAnsi="仿宋" w:eastAsia="仿宋" w:cs="仿宋"/>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bCs/>
                <w:szCs w:val="24"/>
              </w:rPr>
            </w:pPr>
            <w:r>
              <w:rPr>
                <w:rFonts w:hint="eastAsia" w:ascii="仿宋" w:hAns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200" w:line="360" w:lineRule="auto"/>
              <w:jc w:val="left"/>
              <w:rPr>
                <w:rFonts w:hint="eastAsia" w:ascii="仿宋" w:hAnsi="仿宋" w:eastAsia="仿宋" w:cs="仿宋"/>
                <w:color w:val="auto"/>
                <w:kern w:val="2"/>
                <w:sz w:val="24"/>
                <w:szCs w:val="24"/>
              </w:rPr>
            </w:pPr>
            <w:r>
              <w:rPr>
                <w:rFonts w:hint="eastAsia" w:ascii="仿宋" w:hAnsi="仿宋" w:eastAsia="仿宋" w:cs="仿宋"/>
                <w:bCs/>
                <w:color w:val="auto"/>
                <w:sz w:val="24"/>
                <w:szCs w:val="24"/>
                <w:lang w:val="zh-CN"/>
              </w:rPr>
              <w:t>根据财库</w:t>
            </w:r>
            <w:r>
              <w:rPr>
                <w:rFonts w:hint="eastAsia" w:ascii="仿宋" w:hAnsi="仿宋" w:eastAsia="仿宋" w:cs="仿宋"/>
                <w:bCs/>
                <w:color w:val="auto"/>
                <w:sz w:val="24"/>
                <w:szCs w:val="24"/>
              </w:rPr>
              <w:t>[2019]9号、</w:t>
            </w:r>
            <w:r>
              <w:rPr>
                <w:rFonts w:hint="eastAsia" w:ascii="仿宋" w:hAnsi="仿宋" w:eastAsia="仿宋" w:cs="仿宋"/>
                <w:bCs/>
                <w:color w:val="auto"/>
                <w:sz w:val="24"/>
                <w:szCs w:val="24"/>
                <w:lang w:val="zh-CN"/>
              </w:rPr>
              <w:t>财库</w:t>
            </w:r>
            <w:r>
              <w:rPr>
                <w:rFonts w:hint="eastAsia" w:ascii="仿宋" w:hAnsi="仿宋" w:eastAsia="仿宋" w:cs="仿宋"/>
                <w:bCs/>
                <w:color w:val="auto"/>
                <w:sz w:val="24"/>
                <w:szCs w:val="24"/>
              </w:rPr>
              <w:t>[2019]18号、</w:t>
            </w:r>
            <w:r>
              <w:rPr>
                <w:rFonts w:hint="eastAsia" w:ascii="仿宋" w:hAnsi="仿宋" w:eastAsia="仿宋" w:cs="仿宋"/>
                <w:bCs/>
                <w:color w:val="auto"/>
                <w:sz w:val="24"/>
                <w:szCs w:val="24"/>
                <w:lang w:val="zh-CN"/>
              </w:rPr>
              <w:t>财库</w:t>
            </w:r>
            <w:r>
              <w:rPr>
                <w:rFonts w:hint="eastAsia" w:ascii="仿宋" w:hAnsi="仿宋" w:eastAsia="仿宋" w:cs="仿宋"/>
                <w:bCs/>
                <w:color w:val="auto"/>
                <w:sz w:val="24"/>
                <w:szCs w:val="24"/>
              </w:rPr>
              <w:t>[2019]19号规定，</w:t>
            </w:r>
            <w:r>
              <w:rPr>
                <w:rFonts w:hint="eastAsia" w:ascii="仿宋" w:hAnsi="仿宋" w:eastAsia="仿宋" w:cs="仿宋"/>
                <w:bCs/>
                <w:color w:val="auto"/>
                <w:sz w:val="24"/>
                <w:szCs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default" w:ascii="仿宋" w:hAnsi="仿宋" w:eastAsia="仿宋" w:cs="仿宋"/>
                <w:bCs/>
                <w:szCs w:val="24"/>
                <w:lang w:val="en-US" w:eastAsia="zh-CN"/>
              </w:rPr>
            </w:pPr>
            <w:r>
              <w:rPr>
                <w:rFonts w:hint="eastAsia" w:ascii="仿宋" w:hAnsi="仿宋" w:eastAsia="仿宋" w:cs="仿宋"/>
                <w:bCs/>
                <w:szCs w:val="24"/>
                <w:lang w:val="en-US" w:eastAsia="zh-CN"/>
              </w:rPr>
              <w:t>2</w:t>
            </w:r>
            <w:r>
              <w:rPr>
                <w:rFonts w:hint="eastAsia" w:ascii="仿宋" w:hAnsi="仿宋" w:eastAsia="仿宋" w:cs="仿宋"/>
                <w:bCs/>
                <w:szCs w:val="24"/>
                <w:lang w:val="en-US" w:eastAsia="zh-CN"/>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9"/>
              <w:spacing w:line="420" w:lineRule="exact"/>
              <w:jc w:val="center"/>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pPr>
              <w:spacing w:line="420" w:lineRule="exact"/>
              <w:rPr>
                <w:rFonts w:hint="eastAsia" w:ascii="仿宋" w:hAnsi="仿宋" w:eastAsia="仿宋" w:cs="仿宋"/>
                <w:bCs/>
                <w:color w:val="auto"/>
                <w:sz w:val="24"/>
                <w:szCs w:val="24"/>
                <w:highlight w:val="yellow"/>
              </w:rPr>
            </w:pPr>
            <w:r>
              <w:rPr>
                <w:rFonts w:hint="eastAsia" w:ascii="仿宋" w:hAnsi="仿宋" w:eastAsia="仿宋" w:cs="仿宋"/>
                <w:bCs/>
                <w:color w:val="auto"/>
                <w:sz w:val="24"/>
                <w:szCs w:val="24"/>
              </w:rPr>
              <w:t>（1）本项目招标代理费由中标方支付，招标代理费为</w:t>
            </w:r>
            <w:r>
              <w:rPr>
                <w:rFonts w:hint="eastAsia" w:ascii="仿宋" w:hAnsi="仿宋" w:eastAsia="仿宋" w:cs="仿宋"/>
                <w:b/>
                <w:color w:val="auto"/>
                <w:sz w:val="24"/>
                <w:szCs w:val="24"/>
                <w:highlight w:val="none"/>
                <w:u w:val="single"/>
              </w:rPr>
              <w:t>人民币</w:t>
            </w:r>
            <w:r>
              <w:rPr>
                <w:rFonts w:hint="eastAsia" w:ascii="仿宋" w:hAnsi="仿宋" w:eastAsia="仿宋" w:cs="仿宋"/>
                <w:b/>
                <w:color w:val="auto"/>
                <w:sz w:val="24"/>
                <w:szCs w:val="24"/>
                <w:highlight w:val="none"/>
                <w:u w:val="single"/>
                <w:lang w:val="en-US" w:eastAsia="zh-CN"/>
              </w:rPr>
              <w:t>58925</w:t>
            </w:r>
            <w:r>
              <w:rPr>
                <w:rFonts w:hint="eastAsia" w:ascii="仿宋" w:hAnsi="仿宋" w:eastAsia="仿宋" w:cs="仿宋"/>
                <w:b/>
                <w:color w:val="auto"/>
                <w:sz w:val="24"/>
                <w:szCs w:val="24"/>
                <w:highlight w:val="none"/>
                <w:u w:val="single"/>
              </w:rPr>
              <w:t>元</w:t>
            </w:r>
            <w:r>
              <w:rPr>
                <w:rFonts w:hint="eastAsia" w:ascii="仿宋" w:hAnsi="仿宋" w:eastAsia="仿宋" w:cs="仿宋"/>
                <w:bCs/>
                <w:color w:val="auto"/>
                <w:sz w:val="24"/>
                <w:szCs w:val="24"/>
              </w:rPr>
              <w:t>。</w:t>
            </w:r>
            <w:r>
              <w:rPr>
                <w:rFonts w:hint="eastAsia" w:ascii="仿宋" w:hAnsi="仿宋" w:eastAsia="仿宋" w:cs="仿宋"/>
                <w:sz w:val="24"/>
              </w:rPr>
              <w:t>（单位名称：浙江日晟信息咨询有限公司；银行账号：201000136304517；开户银行：浙江武义农村商业银行股份有限公司壶山支行）。</w:t>
            </w:r>
          </w:p>
          <w:p>
            <w:pPr>
              <w:spacing w:line="42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（2）以上费用由投标供应商在报价中一并考虑。</w:t>
            </w:r>
          </w:p>
        </w:tc>
      </w:tr>
    </w:tbl>
    <w:p>
      <w:pPr>
        <w:pStyle w:val="11"/>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2"/>
    <w:p>
      <w:pPr>
        <w:pStyle w:val="11"/>
        <w:spacing w:after="0" w:line="420" w:lineRule="exact"/>
        <w:ind w:left="0" w:leftChars="0" w:firstLine="0" w:firstLineChars="0"/>
        <w:jc w:val="center"/>
        <w:rPr>
          <w:rFonts w:hint="eastAsia" w:ascii="仿宋" w:hAnsi="仿宋" w:eastAsia="仿宋" w:cs="仿宋"/>
          <w:b/>
          <w:bCs/>
          <w:sz w:val="30"/>
          <w:szCs w:val="30"/>
        </w:rPr>
      </w:pPr>
      <w:r>
        <w:rPr>
          <w:rFonts w:hint="eastAsia" w:ascii="仿宋" w:hAnsi="仿宋" w:eastAsia="仿宋" w:cs="仿宋"/>
          <w:b/>
          <w:bCs/>
          <w:sz w:val="30"/>
          <w:szCs w:val="30"/>
        </w:rPr>
        <w:t>一、总  则</w:t>
      </w:r>
    </w:p>
    <w:p>
      <w:pPr>
        <w:spacing w:line="336" w:lineRule="auto"/>
        <w:ind w:firstLine="482" w:firstLineChars="200"/>
        <w:rPr>
          <w:rFonts w:hint="eastAsia" w:ascii="仿宋" w:hAnsi="仿宋" w:eastAsia="仿宋" w:cs="仿宋"/>
          <w:color w:val="auto"/>
        </w:rPr>
      </w:pPr>
      <w:r>
        <w:rPr>
          <w:rFonts w:hint="eastAsia" w:ascii="仿宋" w:hAnsi="仿宋" w:eastAsia="仿宋" w:cs="仿宋"/>
          <w:b/>
          <w:bCs/>
          <w:color w:val="auto"/>
          <w:sz w:val="24"/>
        </w:rPr>
        <w:t>1.</w:t>
      </w:r>
      <w:r>
        <w:rPr>
          <w:rFonts w:hint="eastAsia" w:ascii="仿宋" w:hAnsi="仿宋" w:eastAsia="仿宋" w:cs="仿宋"/>
          <w:b/>
          <w:color w:val="auto"/>
          <w:sz w:val="24"/>
        </w:rPr>
        <w:t>适用范围</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本招标文件适用于本次所述项目的招标。</w:t>
      </w:r>
    </w:p>
    <w:p>
      <w:pPr>
        <w:snapToGrid w:val="0"/>
        <w:spacing w:line="336" w:lineRule="auto"/>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2.定义</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2.1“采购人”系指组织本次招标的采购单位。</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2.2“采购代理机构”系指浙江日晟信息咨询有限公司。</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2.3“投标人”系指向采购人和采购代理机构提交投标文件的供应商。</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2.4“货物”系指供方按招标文件规定，须向采购人提供的一切设备、保险、税 金、备品备件、工具、手册及其它有关技术资料和材料。</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2.5“服务”系指招标文件规定投标人须承担的安装、调试、技术协助、校准、培训、技术指导以及其他类似的义务。</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2.6“项目”系指投标人按招标文件规定向采购人提供的货物和服务。</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2.7“书面形式”包括信函、传真、电报等。</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2.9“▲”系指实质性要求条款，不允许负偏离，否则作无效标处理；“★”为重要参数。</w:t>
      </w:r>
    </w:p>
    <w:p>
      <w:pPr>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3.采购方式</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本次采购采用公开招标方式进行。</w:t>
      </w:r>
    </w:p>
    <w:p>
      <w:pPr>
        <w:snapToGrid w:val="0"/>
        <w:spacing w:line="336" w:lineRule="auto"/>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4.投标人及投标委托有关说明</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4.1投标人代表不是法定代表人，须有法定代表人出具的授权委托书。</w:t>
      </w:r>
    </w:p>
    <w:p>
      <w:pPr>
        <w:snapToGrid w:val="0"/>
        <w:spacing w:line="336" w:lineRule="auto"/>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5.投标费用</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投标人应自行承担获得招标文件和编制、提交投标文件所涉及的一切费用。不论投标结果如何，投标人均应自行承担所有与投标有关的全部费用。</w:t>
      </w:r>
      <w:r>
        <w:rPr>
          <w:rFonts w:hint="eastAsia" w:ascii="仿宋" w:hAnsi="仿宋" w:eastAsia="仿宋" w:cs="仿宋"/>
          <w:b/>
          <w:bCs/>
          <w:color w:val="auto"/>
          <w:sz w:val="24"/>
        </w:rPr>
        <w:t>对中标人收取政府采购代理服务费。</w:t>
      </w:r>
    </w:p>
    <w:p>
      <w:pPr>
        <w:snapToGrid w:val="0"/>
        <w:spacing w:line="336" w:lineRule="auto"/>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6.特别说明：</w:t>
      </w:r>
    </w:p>
    <w:p>
      <w:pPr>
        <w:pStyle w:val="19"/>
        <w:snapToGrid w:val="0"/>
        <w:spacing w:line="336" w:lineRule="auto"/>
        <w:ind w:firstLine="480" w:firstLineChars="200"/>
        <w:jc w:val="left"/>
        <w:rPr>
          <w:rFonts w:hint="eastAsia" w:ascii="仿宋" w:hAnsi="仿宋" w:eastAsia="仿宋" w:cs="仿宋"/>
        </w:rPr>
      </w:pPr>
      <w:r>
        <w:rPr>
          <w:rFonts w:hint="eastAsia" w:ascii="仿宋" w:hAnsi="仿宋" w:eastAsia="仿宋" w:cs="仿宋"/>
        </w:rPr>
        <w:t>6.1投标人应仔细阅读招标文件的所有内容，按照招标文件的要求提交投标文件，并对所提供的全部资料的真实性承担法律责任。</w:t>
      </w:r>
    </w:p>
    <w:p>
      <w:pPr>
        <w:pStyle w:val="19"/>
        <w:snapToGrid w:val="0"/>
        <w:spacing w:line="336" w:lineRule="auto"/>
        <w:ind w:firstLine="480" w:firstLineChars="200"/>
        <w:jc w:val="left"/>
        <w:rPr>
          <w:rFonts w:hint="eastAsia" w:ascii="仿宋" w:hAnsi="仿宋" w:eastAsia="仿宋" w:cs="仿宋"/>
        </w:rPr>
      </w:pPr>
      <w:r>
        <w:rPr>
          <w:rFonts w:hint="eastAsia" w:ascii="仿宋" w:hAnsi="仿宋" w:eastAsia="仿宋" w:cs="仿宋"/>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9"/>
        <w:snapToGrid w:val="0"/>
        <w:spacing w:line="336" w:lineRule="auto"/>
        <w:ind w:firstLine="480" w:firstLineChars="200"/>
        <w:jc w:val="left"/>
        <w:rPr>
          <w:rFonts w:hint="eastAsia" w:ascii="仿宋" w:hAnsi="仿宋" w:eastAsia="仿宋" w:cs="仿宋"/>
        </w:rPr>
      </w:pPr>
      <w:r>
        <w:rPr>
          <w:rFonts w:hint="eastAsia" w:ascii="仿宋" w:hAnsi="仿宋" w:eastAsia="仿宋" w:cs="仿宋"/>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9"/>
        <w:snapToGrid w:val="0"/>
        <w:spacing w:line="336" w:lineRule="auto"/>
        <w:ind w:firstLine="480" w:firstLineChars="200"/>
        <w:rPr>
          <w:rFonts w:hint="eastAsia" w:ascii="仿宋" w:hAnsi="仿宋" w:eastAsia="仿宋" w:cs="仿宋"/>
        </w:rPr>
      </w:pPr>
      <w:r>
        <w:rPr>
          <w:rFonts w:hint="eastAsia" w:ascii="仿宋" w:hAnsi="仿宋" w:eastAsia="仿宋" w:cs="仿宋"/>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9"/>
        <w:snapToGrid w:val="0"/>
        <w:spacing w:line="336" w:lineRule="auto"/>
        <w:ind w:firstLine="480" w:firstLineChars="200"/>
        <w:rPr>
          <w:rFonts w:hint="eastAsia" w:ascii="仿宋" w:hAnsi="仿宋" w:eastAsia="仿宋" w:cs="仿宋"/>
        </w:rPr>
      </w:pPr>
      <w:r>
        <w:rPr>
          <w:rFonts w:hint="eastAsia" w:ascii="仿宋" w:hAnsi="仿宋" w:eastAsia="仿宋" w:cs="仿宋"/>
        </w:rPr>
        <w:t>6.5本项目涉及采购货物必须是全新、未使用过的原装合格正品（包括零部件），如安装或配置了软件的，须为正版软件。</w:t>
      </w:r>
    </w:p>
    <w:p>
      <w:pPr>
        <w:pStyle w:val="19"/>
        <w:snapToGrid w:val="0"/>
        <w:spacing w:line="336" w:lineRule="auto"/>
        <w:ind w:firstLine="480" w:firstLineChars="200"/>
        <w:rPr>
          <w:rFonts w:hint="eastAsia" w:ascii="仿宋" w:hAnsi="仿宋" w:eastAsia="仿宋" w:cs="仿宋"/>
        </w:rPr>
      </w:pPr>
      <w:r>
        <w:rPr>
          <w:rFonts w:hint="eastAsia" w:ascii="仿宋" w:hAnsi="仿宋" w:eastAsia="仿宋" w:cs="仿宋"/>
        </w:rPr>
        <w:t>6.6国产的货物及其有关服务必须符合中华人民共和国的设计和制造生产标准或行业标准。招标公告有其他要求的，亦应符合其要求。</w:t>
      </w:r>
    </w:p>
    <w:p>
      <w:pPr>
        <w:pStyle w:val="19"/>
        <w:snapToGrid w:val="0"/>
        <w:spacing w:line="336" w:lineRule="auto"/>
        <w:ind w:firstLine="480" w:firstLineChars="200"/>
        <w:rPr>
          <w:rFonts w:hint="eastAsia" w:ascii="仿宋" w:hAnsi="仿宋" w:eastAsia="仿宋" w:cs="仿宋"/>
        </w:rPr>
      </w:pPr>
      <w:r>
        <w:rPr>
          <w:rFonts w:hint="eastAsia" w:ascii="仿宋" w:hAnsi="仿宋" w:eastAsia="仿宋" w:cs="仿宋"/>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napToGrid w:val="0"/>
        <w:spacing w:line="336" w:lineRule="auto"/>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7.质疑和投诉</w:t>
      </w:r>
    </w:p>
    <w:p>
      <w:pPr>
        <w:pStyle w:val="19"/>
        <w:snapToGrid w:val="0"/>
        <w:spacing w:line="336" w:lineRule="auto"/>
        <w:ind w:firstLine="480" w:firstLineChars="200"/>
        <w:rPr>
          <w:rFonts w:hint="eastAsia" w:ascii="仿宋" w:hAnsi="仿宋" w:eastAsia="仿宋" w:cs="仿宋"/>
          <w:bCs/>
        </w:rPr>
      </w:pPr>
      <w:r>
        <w:rPr>
          <w:rFonts w:hint="eastAsia" w:ascii="仿宋" w:hAnsi="仿宋" w:eastAsia="仿宋" w:cs="仿宋"/>
          <w:bCs/>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p>
      <w:pPr>
        <w:pStyle w:val="19"/>
        <w:snapToGrid w:val="0"/>
        <w:spacing w:line="336" w:lineRule="auto"/>
        <w:ind w:firstLine="480" w:firstLineChars="200"/>
        <w:rPr>
          <w:rFonts w:hint="eastAsia" w:ascii="仿宋" w:hAnsi="仿宋" w:eastAsia="仿宋" w:cs="仿宋"/>
        </w:rPr>
      </w:pPr>
      <w:r>
        <w:rPr>
          <w:rFonts w:hint="eastAsia" w:ascii="仿宋" w:hAnsi="仿宋" w:eastAsia="仿宋" w:cs="仿宋"/>
          <w:bCs/>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rPr>
        <w:t>其来源或线索，便于有关单位调查、答复和处理。</w:t>
      </w:r>
    </w:p>
    <w:p>
      <w:pPr>
        <w:pStyle w:val="19"/>
        <w:snapToGrid w:val="0"/>
        <w:spacing w:line="336" w:lineRule="auto"/>
        <w:ind w:firstLine="480" w:firstLineChars="200"/>
        <w:rPr>
          <w:rFonts w:hint="eastAsia" w:ascii="仿宋" w:hAnsi="仿宋" w:eastAsia="仿宋" w:cs="仿宋"/>
          <w:szCs w:val="24"/>
        </w:rPr>
      </w:pPr>
      <w:r>
        <w:rPr>
          <w:rFonts w:hint="eastAsia" w:ascii="仿宋" w:hAnsi="仿宋" w:eastAsia="仿宋" w:cs="仿宋"/>
        </w:rPr>
        <w:t>7.3</w:t>
      </w:r>
      <w:r>
        <w:rPr>
          <w:rFonts w:hint="eastAsia" w:ascii="仿宋" w:hAnsi="仿宋" w:eastAsia="仿宋" w:cs="仿宋"/>
          <w:szCs w:val="24"/>
        </w:rPr>
        <w:t>采购代理机构与采购人研究后，对认为有必要回答的问题，采购人和采购代理机构将补充（更正）以网上发布公告的形式通知所有投标人，补充（更正）是招标文件的组成部分。</w:t>
      </w:r>
    </w:p>
    <w:p>
      <w:pPr>
        <w:pStyle w:val="19"/>
        <w:snapToGrid w:val="0"/>
        <w:spacing w:line="336" w:lineRule="auto"/>
        <w:ind w:firstLine="482" w:firstLineChars="200"/>
        <w:rPr>
          <w:rFonts w:hint="eastAsia" w:ascii="仿宋" w:hAnsi="仿宋" w:eastAsia="仿宋" w:cs="仿宋"/>
          <w:b/>
        </w:rPr>
      </w:pPr>
      <w:r>
        <w:rPr>
          <w:rFonts w:hint="eastAsia" w:ascii="仿宋" w:hAnsi="仿宋" w:eastAsia="仿宋" w:cs="仿宋"/>
          <w:b/>
          <w:bCs/>
          <w:szCs w:val="24"/>
        </w:rPr>
        <w:t>7.4</w:t>
      </w:r>
      <w:r>
        <w:rPr>
          <w:rFonts w:hint="eastAsia" w:ascii="仿宋" w:hAnsi="仿宋" w:eastAsia="仿宋" w:cs="仿宋"/>
          <w:b/>
          <w:bCs/>
          <w:u w:val="single"/>
        </w:rPr>
        <w:t>质疑供应商在收到该更正（补充）公告后应于1日内，以书面或传真形式（签署意见并加盖公章）向采购代理机构回函给予确认。过期未回复的，视为默认接受。</w:t>
      </w:r>
    </w:p>
    <w:p>
      <w:pPr>
        <w:snapToGrid w:val="0"/>
        <w:spacing w:line="420" w:lineRule="exact"/>
        <w:ind w:firstLine="443" w:firstLineChars="147"/>
        <w:jc w:val="center"/>
        <w:rPr>
          <w:rFonts w:hint="eastAsia" w:ascii="仿宋" w:hAnsi="仿宋" w:eastAsia="仿宋" w:cs="仿宋"/>
          <w:b/>
          <w:bCs/>
          <w:color w:val="auto"/>
          <w:kern w:val="2"/>
          <w:sz w:val="30"/>
          <w:szCs w:val="30"/>
        </w:rPr>
      </w:pPr>
    </w:p>
    <w:p>
      <w:pPr>
        <w:snapToGrid w:val="0"/>
        <w:spacing w:line="420" w:lineRule="exact"/>
        <w:ind w:firstLine="443" w:firstLineChars="147"/>
        <w:jc w:val="center"/>
        <w:rPr>
          <w:rFonts w:hint="eastAsia" w:ascii="仿宋" w:hAnsi="仿宋" w:eastAsia="仿宋" w:cs="仿宋"/>
          <w:b/>
          <w:bCs/>
          <w:color w:val="auto"/>
          <w:kern w:val="2"/>
          <w:sz w:val="30"/>
          <w:szCs w:val="30"/>
        </w:rPr>
      </w:pPr>
    </w:p>
    <w:p>
      <w:pPr>
        <w:snapToGrid w:val="0"/>
        <w:spacing w:line="420" w:lineRule="exact"/>
        <w:ind w:firstLine="443" w:firstLineChars="147"/>
        <w:jc w:val="center"/>
        <w:rPr>
          <w:rFonts w:hint="eastAsia" w:ascii="仿宋" w:hAnsi="仿宋" w:eastAsia="仿宋" w:cs="仿宋"/>
          <w:b/>
          <w:bCs/>
          <w:color w:val="auto"/>
          <w:kern w:val="2"/>
          <w:sz w:val="30"/>
          <w:szCs w:val="30"/>
        </w:rPr>
      </w:pPr>
      <w:r>
        <w:rPr>
          <w:rFonts w:hint="eastAsia" w:ascii="仿宋" w:hAnsi="仿宋" w:eastAsia="仿宋" w:cs="仿宋"/>
          <w:b/>
          <w:bCs/>
          <w:color w:val="auto"/>
          <w:kern w:val="2"/>
          <w:sz w:val="30"/>
          <w:szCs w:val="30"/>
        </w:rPr>
        <w:t>二、招标文件</w:t>
      </w:r>
    </w:p>
    <w:p>
      <w:pPr>
        <w:snapToGrid w:val="0"/>
        <w:spacing w:line="420" w:lineRule="exact"/>
        <w:ind w:firstLine="354" w:firstLineChars="147"/>
        <w:jc w:val="left"/>
        <w:rPr>
          <w:rFonts w:hint="eastAsia" w:ascii="仿宋" w:hAnsi="仿宋" w:eastAsia="仿宋" w:cs="仿宋"/>
          <w:b/>
          <w:color w:val="auto"/>
          <w:sz w:val="24"/>
        </w:rPr>
      </w:pPr>
      <w:r>
        <w:rPr>
          <w:rFonts w:hint="eastAsia" w:ascii="仿宋" w:hAnsi="仿宋" w:eastAsia="仿宋" w:cs="仿宋"/>
          <w:b/>
          <w:color w:val="auto"/>
          <w:sz w:val="24"/>
        </w:rPr>
        <w:t>8.招标文件的构成。</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本招标文件由以下部分组成：</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8.1招标公告；</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8.2投标须知；</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8.3采购需求；</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8.4评标办法及评分标准；</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8.5采购合同；</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8.6应提交的有关格式范例。</w:t>
      </w:r>
    </w:p>
    <w:p>
      <w:pPr>
        <w:snapToGrid w:val="0"/>
        <w:spacing w:line="420" w:lineRule="exact"/>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9.投标人的风险</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spacing w:line="420" w:lineRule="exact"/>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 xml:space="preserve">10.招标文件的澄清与修改 </w:t>
      </w:r>
    </w:p>
    <w:p>
      <w:pPr>
        <w:pStyle w:val="19"/>
        <w:snapToGrid w:val="0"/>
        <w:spacing w:line="420" w:lineRule="exact"/>
        <w:ind w:firstLine="480" w:firstLineChars="200"/>
        <w:rPr>
          <w:rFonts w:hint="eastAsia" w:ascii="仿宋" w:hAnsi="仿宋" w:eastAsia="仿宋" w:cs="仿宋"/>
          <w:szCs w:val="24"/>
        </w:rPr>
      </w:pPr>
      <w:r>
        <w:rPr>
          <w:rFonts w:hint="eastAsia" w:ascii="仿宋" w:hAnsi="仿宋" w:eastAsia="仿宋" w:cs="仿宋"/>
        </w:rPr>
        <w:t>10.1</w:t>
      </w:r>
      <w:r>
        <w:rPr>
          <w:rFonts w:hint="eastAsia" w:ascii="仿宋" w:hAnsi="仿宋" w:eastAsia="仿宋" w:cs="仿宋"/>
          <w:bCs/>
        </w:rPr>
        <w:t>投标人下载招标文件后，应认真阅读本招标文件的所有内容，发现其中有误或有不合理要求的，投标人必须按前附表规定的时间前以书面形式</w:t>
      </w:r>
      <w:r>
        <w:rPr>
          <w:rFonts w:hint="eastAsia" w:ascii="仿宋" w:hAnsi="仿宋" w:eastAsia="仿宋" w:cs="仿宋"/>
        </w:rPr>
        <w:t>(包括书面文字、传真等)</w:t>
      </w:r>
      <w:r>
        <w:rPr>
          <w:rFonts w:hint="eastAsia" w:ascii="仿宋" w:hAnsi="仿宋" w:eastAsia="仿宋" w:cs="仿宋"/>
          <w:bCs/>
        </w:rPr>
        <w:t>要求采购人澄清</w:t>
      </w:r>
      <w:r>
        <w:rPr>
          <w:rFonts w:hint="eastAsia" w:ascii="仿宋" w:hAnsi="仿宋" w:eastAsia="仿宋" w:cs="仿宋"/>
        </w:rPr>
        <w:t>。逾期提出的，采购人将不予受理。</w:t>
      </w:r>
      <w:r>
        <w:rPr>
          <w:rFonts w:hint="eastAsia" w:ascii="仿宋" w:hAnsi="仿宋" w:eastAsia="仿宋" w:cs="仿宋"/>
          <w:szCs w:val="24"/>
        </w:rPr>
        <w:t>采购代理机构与采购人研究后，对认为有必要回答的问题，采购人将补充（更正内容）以网上发布公告的形式通知所有投标人，补充（更正）内容是招标文件的组成部分。投标人可以通过武义县公共资源交易网自行下载，以确认已阅知该澄清或修改内容，否则，由此导致的风险由投标人自行承担，采购人不承担任何责任。</w:t>
      </w:r>
    </w:p>
    <w:p>
      <w:pPr>
        <w:pStyle w:val="19"/>
        <w:snapToGrid w:val="0"/>
        <w:spacing w:line="420" w:lineRule="exact"/>
        <w:ind w:firstLine="480" w:firstLineChars="200"/>
        <w:rPr>
          <w:rFonts w:hint="eastAsia" w:ascii="仿宋" w:hAnsi="仿宋" w:eastAsia="仿宋" w:cs="仿宋"/>
          <w:szCs w:val="24"/>
        </w:rPr>
      </w:pPr>
      <w:r>
        <w:rPr>
          <w:rFonts w:hint="eastAsia" w:ascii="仿宋" w:hAnsi="仿宋" w:eastAsia="仿宋" w:cs="仿宋"/>
          <w:szCs w:val="24"/>
        </w:rPr>
        <w:t>10.2</w:t>
      </w:r>
      <w:r>
        <w:rPr>
          <w:rFonts w:hint="eastAsia" w:ascii="仿宋" w:hAnsi="仿宋" w:eastAsia="仿宋" w:cs="仿宋"/>
        </w:rPr>
        <w:t>招标文件澄清、答复、修改、补充的内容为招标文件的组成部分。当招标文件与招标文件的答复、澄清、修改、补充公告就同一内容的表述不一致时，以最后发出的文件或公告或通知为准。</w:t>
      </w:r>
    </w:p>
    <w:p>
      <w:pPr>
        <w:pStyle w:val="19"/>
        <w:snapToGrid w:val="0"/>
        <w:spacing w:line="420" w:lineRule="exact"/>
        <w:ind w:firstLine="480" w:firstLineChars="200"/>
        <w:rPr>
          <w:rFonts w:hint="eastAsia" w:ascii="仿宋" w:hAnsi="仿宋" w:eastAsia="仿宋" w:cs="仿宋"/>
        </w:rPr>
      </w:pPr>
      <w:r>
        <w:rPr>
          <w:rFonts w:hint="eastAsia" w:ascii="仿宋" w:hAnsi="仿宋" w:eastAsia="仿宋" w:cs="仿宋"/>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9"/>
        <w:snapToGrid w:val="0"/>
        <w:spacing w:line="420" w:lineRule="exact"/>
        <w:ind w:firstLine="480" w:firstLineChars="200"/>
        <w:rPr>
          <w:rFonts w:hint="eastAsia" w:ascii="仿宋" w:hAnsi="仿宋" w:eastAsia="仿宋" w:cs="仿宋"/>
        </w:rPr>
      </w:pPr>
      <w:r>
        <w:rPr>
          <w:rFonts w:hint="eastAsia" w:ascii="仿宋" w:hAnsi="仿宋" w:eastAsia="仿宋" w:cs="仿宋"/>
        </w:rPr>
        <w:t>10.4为使投标人在编制投标文件时，把补充公告内容进行研究，采购代理机构可以酌情推迟递交投标文件的截止时间。</w:t>
      </w:r>
    </w:p>
    <w:p>
      <w:pPr>
        <w:pStyle w:val="19"/>
        <w:snapToGrid w:val="0"/>
        <w:spacing w:line="420" w:lineRule="exact"/>
        <w:ind w:firstLine="480" w:firstLineChars="200"/>
        <w:rPr>
          <w:rFonts w:hint="eastAsia" w:ascii="仿宋" w:hAnsi="仿宋" w:eastAsia="仿宋" w:cs="仿宋"/>
        </w:rPr>
      </w:pPr>
      <w:r>
        <w:rPr>
          <w:rFonts w:hint="eastAsia" w:ascii="仿宋" w:hAnsi="仿宋" w:eastAsia="仿宋" w:cs="仿宋"/>
        </w:rPr>
        <w:t>10.5投标人一旦参与本次招标活动，即被视为接受了本招标文件的所有内容，如有任何异议，均须在答疑截止时间前提出。</w:t>
      </w:r>
    </w:p>
    <w:p>
      <w:pPr>
        <w:pStyle w:val="2"/>
        <w:spacing w:before="0" w:after="0" w:line="420" w:lineRule="exact"/>
        <w:jc w:val="center"/>
        <w:rPr>
          <w:rFonts w:hint="eastAsia" w:ascii="仿宋" w:hAnsi="仿宋" w:eastAsia="仿宋" w:cs="仿宋"/>
          <w:sz w:val="30"/>
          <w:szCs w:val="30"/>
        </w:rPr>
      </w:pPr>
      <w:bookmarkStart w:id="3" w:name="_Toc125344505"/>
      <w:r>
        <w:rPr>
          <w:rFonts w:hint="eastAsia" w:ascii="仿宋" w:hAnsi="仿宋" w:eastAsia="仿宋" w:cs="仿宋"/>
          <w:sz w:val="30"/>
          <w:szCs w:val="30"/>
        </w:rPr>
        <w:t>三、投标文件编制</w:t>
      </w:r>
      <w:bookmarkEnd w:id="3"/>
      <w:r>
        <w:rPr>
          <w:rFonts w:hint="eastAsia" w:ascii="仿宋" w:hAnsi="仿宋" w:eastAsia="仿宋" w:cs="仿宋"/>
          <w:sz w:val="30"/>
          <w:szCs w:val="30"/>
        </w:rPr>
        <w:t>和提交</w:t>
      </w:r>
    </w:p>
    <w:p>
      <w:pPr>
        <w:snapToGrid w:val="0"/>
        <w:spacing w:line="360" w:lineRule="auto"/>
        <w:ind w:firstLine="354" w:firstLineChars="147"/>
        <w:jc w:val="left"/>
        <w:outlineLvl w:val="0"/>
        <w:rPr>
          <w:rFonts w:hint="eastAsia" w:ascii="仿宋" w:hAnsi="仿宋" w:eastAsia="仿宋" w:cs="仿宋"/>
          <w:b/>
          <w:color w:val="auto"/>
          <w:sz w:val="24"/>
        </w:rPr>
      </w:pPr>
      <w:r>
        <w:rPr>
          <w:rFonts w:hint="eastAsia" w:ascii="仿宋" w:hAnsi="仿宋" w:eastAsia="仿宋" w:cs="仿宋"/>
          <w:b/>
          <w:color w:val="auto"/>
          <w:sz w:val="24"/>
        </w:rPr>
        <w:t>11.投标文件的组成</w:t>
      </w:r>
    </w:p>
    <w:p>
      <w:pPr>
        <w:snapToGrid w:val="0"/>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投标文件由资格文件、商务技术文件、报价文件三部分组成。详见前附表。</w:t>
      </w:r>
    </w:p>
    <w:p>
      <w:pPr>
        <w:snapToGrid w:val="0"/>
        <w:spacing w:line="360" w:lineRule="auto"/>
        <w:ind w:firstLine="354" w:firstLineChars="147"/>
        <w:jc w:val="left"/>
        <w:outlineLvl w:val="0"/>
        <w:rPr>
          <w:rFonts w:hint="eastAsia" w:ascii="仿宋" w:hAnsi="仿宋" w:eastAsia="仿宋" w:cs="仿宋"/>
          <w:b/>
          <w:color w:val="auto"/>
          <w:sz w:val="24"/>
        </w:rPr>
      </w:pPr>
      <w:r>
        <w:rPr>
          <w:rFonts w:hint="eastAsia" w:ascii="仿宋" w:hAnsi="仿宋" w:eastAsia="仿宋" w:cs="仿宋"/>
          <w:b/>
          <w:color w:val="auto"/>
          <w:sz w:val="24"/>
        </w:rPr>
        <w:t>12.投标文件的语言及计量</w:t>
      </w:r>
    </w:p>
    <w:p>
      <w:pPr>
        <w:pStyle w:val="19"/>
        <w:snapToGrid w:val="0"/>
        <w:spacing w:line="360" w:lineRule="auto"/>
        <w:ind w:firstLine="480" w:firstLineChars="200"/>
        <w:rPr>
          <w:rFonts w:hint="eastAsia" w:ascii="仿宋" w:hAnsi="仿宋" w:eastAsia="仿宋" w:cs="仿宋"/>
        </w:rPr>
      </w:pPr>
      <w:r>
        <w:rPr>
          <w:rFonts w:hint="eastAsia" w:ascii="仿宋" w:hAnsi="仿宋" w:eastAsia="仿宋" w:cs="仿宋"/>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pPr>
        <w:pStyle w:val="19"/>
        <w:snapToGrid w:val="0"/>
        <w:spacing w:line="360" w:lineRule="auto"/>
        <w:ind w:firstLine="480" w:firstLineChars="200"/>
        <w:rPr>
          <w:rFonts w:hint="eastAsia" w:ascii="仿宋" w:hAnsi="仿宋" w:eastAsia="仿宋" w:cs="仿宋"/>
        </w:rPr>
      </w:pPr>
      <w:r>
        <w:rPr>
          <w:rFonts w:hint="eastAsia" w:ascii="仿宋" w:hAnsi="仿宋" w:eastAsia="仿宋" w:cs="仿宋"/>
        </w:rPr>
        <w:t>12.2投标计量单位，招标文件已有明确规定的，使用招标文件规定的计量单位；招标文件没有规定的，应采用中华人民共和国法定计量单位（货币单位：人民币元），否则视同未响应。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354" w:firstLineChars="147"/>
        <w:jc w:val="left"/>
        <w:outlineLvl w:val="0"/>
        <w:rPr>
          <w:rFonts w:hint="eastAsia" w:ascii="仿宋" w:hAnsi="仿宋" w:eastAsia="仿宋" w:cs="仿宋"/>
          <w:b/>
          <w:color w:val="auto"/>
          <w:sz w:val="24"/>
        </w:rPr>
      </w:pPr>
      <w:r>
        <w:rPr>
          <w:rFonts w:hint="eastAsia" w:ascii="仿宋" w:hAnsi="仿宋" w:eastAsia="仿宋" w:cs="仿宋"/>
          <w:b/>
          <w:color w:val="auto"/>
          <w:sz w:val="24"/>
        </w:rPr>
        <w:t>13.投标报价</w:t>
      </w:r>
    </w:p>
    <w:p>
      <w:pPr>
        <w:pStyle w:val="19"/>
        <w:snapToGrid w:val="0"/>
        <w:spacing w:line="360" w:lineRule="auto"/>
        <w:ind w:firstLine="480" w:firstLineChars="200"/>
        <w:rPr>
          <w:rFonts w:hint="eastAsia" w:ascii="仿宋" w:hAnsi="仿宋" w:eastAsia="仿宋" w:cs="仿宋"/>
        </w:rPr>
      </w:pPr>
      <w:r>
        <w:rPr>
          <w:rFonts w:hint="eastAsia" w:ascii="仿宋" w:hAnsi="仿宋" w:eastAsia="仿宋" w:cs="仿宋"/>
        </w:rPr>
        <w:t>13.1投标报价应按招标文件中相关附表格式填写。本项目的投标应以人民币计。</w:t>
      </w:r>
    </w:p>
    <w:p>
      <w:pPr>
        <w:pStyle w:val="19"/>
        <w:spacing w:line="360" w:lineRule="auto"/>
        <w:ind w:firstLine="480" w:firstLineChars="200"/>
        <w:rPr>
          <w:rFonts w:hint="eastAsia" w:ascii="仿宋" w:hAnsi="仿宋" w:eastAsia="仿宋" w:cs="仿宋"/>
        </w:rPr>
      </w:pPr>
      <w:r>
        <w:rPr>
          <w:rFonts w:hint="eastAsia" w:ascii="仿宋" w:hAnsi="仿宋" w:eastAsia="仿宋" w:cs="仿宋"/>
        </w:rPr>
        <w:t>13.2投标报价应包括市场调研、数据整理、外业调查、资料费、成果验收费、交通费、相关专家评审费、成果印制费、售后服务费、差旅费、招标代理费、利润、税费及工作所发生的一切费用。投标报价（包括单价、总价等）均保留到小数点后两位（如：100.88元）。投标人必须报有合理单价，其将作为设备增减的主要依据。如有漏项，视同已包含在其它项目中，合同总价和单价不做调整。</w:t>
      </w:r>
    </w:p>
    <w:p>
      <w:pPr>
        <w:pStyle w:val="19"/>
        <w:snapToGrid w:val="0"/>
        <w:spacing w:line="360" w:lineRule="auto"/>
        <w:ind w:firstLine="480" w:firstLineChars="200"/>
        <w:rPr>
          <w:rFonts w:hint="eastAsia" w:ascii="仿宋" w:hAnsi="仿宋" w:eastAsia="仿宋" w:cs="仿宋"/>
        </w:rPr>
      </w:pPr>
      <w:r>
        <w:rPr>
          <w:rFonts w:hint="eastAsia" w:ascii="仿宋" w:hAnsi="仿宋" w:eastAsia="仿宋" w:cs="仿宋"/>
        </w:rPr>
        <w:t>13.3投标文件只允许有一个报价，有选择的或有条件的报价将不予接受。</w:t>
      </w:r>
    </w:p>
    <w:p>
      <w:pPr>
        <w:pStyle w:val="19"/>
        <w:snapToGrid w:val="0"/>
        <w:spacing w:line="360" w:lineRule="auto"/>
        <w:ind w:firstLine="480" w:firstLineChars="200"/>
        <w:rPr>
          <w:rFonts w:hint="eastAsia" w:ascii="仿宋" w:hAnsi="仿宋" w:eastAsia="仿宋" w:cs="仿宋"/>
        </w:rPr>
      </w:pPr>
      <w:r>
        <w:rPr>
          <w:rFonts w:hint="eastAsia" w:ascii="仿宋" w:hAnsi="仿宋" w:eastAsia="仿宋" w:cs="仿宋"/>
        </w:rPr>
        <w:t>13.4招标文件未列明，而投标人认为必需的费用也需列入报价。</w:t>
      </w:r>
    </w:p>
    <w:p>
      <w:pPr>
        <w:pStyle w:val="19"/>
        <w:spacing w:line="360" w:lineRule="auto"/>
        <w:ind w:firstLine="480" w:firstLineChars="200"/>
        <w:rPr>
          <w:rFonts w:hint="eastAsia" w:ascii="仿宋" w:hAnsi="仿宋" w:eastAsia="仿宋" w:cs="仿宋"/>
          <w:szCs w:val="24"/>
        </w:rPr>
      </w:pPr>
      <w:r>
        <w:rPr>
          <w:rFonts w:hint="eastAsia" w:ascii="仿宋" w:hAnsi="仿宋" w:eastAsia="仿宋" w:cs="仿宋"/>
        </w:rPr>
        <w:t>13.5</w:t>
      </w:r>
      <w:r>
        <w:rPr>
          <w:rFonts w:hint="eastAsia" w:ascii="仿宋" w:hAnsi="仿宋" w:eastAsia="仿宋" w:cs="仿宋"/>
          <w:szCs w:val="24"/>
        </w:rPr>
        <w:t>中标后，中标人所填写的单价在合同实施期间不因市场变化因素而变动，投标人在计算报价时应考虑一定的风险系数。</w:t>
      </w:r>
    </w:p>
    <w:p>
      <w:pPr>
        <w:pStyle w:val="19"/>
        <w:snapToGrid w:val="0"/>
        <w:spacing w:line="360" w:lineRule="auto"/>
        <w:ind w:firstLine="480" w:firstLineChars="200"/>
        <w:rPr>
          <w:rFonts w:hint="eastAsia" w:ascii="仿宋" w:hAnsi="仿宋" w:eastAsia="仿宋" w:cs="仿宋"/>
          <w:bCs/>
        </w:rPr>
      </w:pPr>
      <w:r>
        <w:rPr>
          <w:rFonts w:hint="eastAsia" w:ascii="仿宋" w:hAnsi="仿宋" w:eastAsia="仿宋" w:cs="仿宋"/>
          <w:bCs/>
        </w:rPr>
        <w:t>13.6投标人若有方案和报价未被唱标，应在开标时及时声明或提请采购代理机构宣读，否则是投标人自己的风险，采购代理机构对此不承担任何责任。</w:t>
      </w:r>
    </w:p>
    <w:p>
      <w:pPr>
        <w:pStyle w:val="8"/>
        <w:widowControl w:val="0"/>
        <w:tabs>
          <w:tab w:val="clear" w:pos="360"/>
        </w:tabs>
        <w:snapToGrid w:val="0"/>
        <w:spacing w:afterLines="0" w:line="360" w:lineRule="auto"/>
        <w:ind w:left="0" w:firstLine="354" w:firstLineChars="147"/>
        <w:rPr>
          <w:rFonts w:hint="eastAsia" w:ascii="仿宋" w:hAnsi="仿宋" w:eastAsia="仿宋" w:cs="仿宋"/>
          <w:b/>
          <w:szCs w:val="24"/>
        </w:rPr>
      </w:pPr>
      <w:r>
        <w:rPr>
          <w:rFonts w:hint="eastAsia" w:ascii="仿宋" w:hAnsi="仿宋" w:eastAsia="仿宋" w:cs="仿宋"/>
          <w:b/>
          <w:szCs w:val="24"/>
        </w:rPr>
        <w:t>14.投标文件的有效期</w:t>
      </w:r>
    </w:p>
    <w:p>
      <w:pPr>
        <w:pStyle w:val="19"/>
        <w:snapToGrid w:val="0"/>
        <w:spacing w:line="360" w:lineRule="auto"/>
        <w:ind w:firstLine="480" w:firstLineChars="200"/>
        <w:rPr>
          <w:rFonts w:hint="eastAsia" w:ascii="仿宋" w:hAnsi="仿宋" w:eastAsia="仿宋" w:cs="仿宋"/>
        </w:rPr>
      </w:pPr>
      <w:r>
        <w:rPr>
          <w:rFonts w:hint="eastAsia" w:ascii="仿宋" w:hAnsi="仿宋" w:eastAsia="仿宋" w:cs="仿宋"/>
        </w:rPr>
        <w:t>14.1</w:t>
      </w:r>
      <w:r>
        <w:rPr>
          <w:rFonts w:hint="eastAsia" w:ascii="仿宋" w:hAnsi="仿宋" w:eastAsia="仿宋" w:cs="仿宋"/>
          <w:szCs w:val="21"/>
        </w:rPr>
        <w:t>投标有效期为从投标截止之日算起的日历天数，</w:t>
      </w:r>
      <w:r>
        <w:rPr>
          <w:rFonts w:hint="eastAsia" w:ascii="仿宋" w:hAnsi="仿宋" w:eastAsia="仿宋" w:cs="仿宋"/>
        </w:rPr>
        <w:t>自投标截止日起90天投标书应保持有效。如采购人认为必要，可延长投标有效期。有效期短于这个规定期限的投标将被拒绝。</w:t>
      </w:r>
    </w:p>
    <w:p>
      <w:pPr>
        <w:pStyle w:val="19"/>
        <w:snapToGrid w:val="0"/>
        <w:spacing w:line="360" w:lineRule="auto"/>
        <w:ind w:firstLine="480" w:firstLineChars="200"/>
        <w:rPr>
          <w:rFonts w:hint="eastAsia" w:ascii="仿宋" w:hAnsi="仿宋" w:eastAsia="仿宋" w:cs="仿宋"/>
        </w:rPr>
      </w:pPr>
      <w:r>
        <w:rPr>
          <w:rFonts w:hint="eastAsia" w:ascii="仿宋" w:hAnsi="仿宋" w:eastAsia="仿宋" w:cs="仿宋"/>
        </w:rPr>
        <w:t>14.2在特殊情况下，采购人可与投标人协商延长投标书的有效期，这种要求和答复均以书面形式进行。</w:t>
      </w:r>
    </w:p>
    <w:p>
      <w:pPr>
        <w:pStyle w:val="19"/>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14.3投标人可拒绝接受延期要求，但其投标在原投标有效期满后不再有效。同意延长有效期的投标人不能修改投标文件。 </w:t>
      </w:r>
    </w:p>
    <w:p>
      <w:pPr>
        <w:pStyle w:val="19"/>
        <w:snapToGrid w:val="0"/>
        <w:spacing w:line="360" w:lineRule="auto"/>
        <w:ind w:firstLine="480" w:firstLineChars="200"/>
        <w:rPr>
          <w:rFonts w:hint="eastAsia" w:ascii="仿宋" w:hAnsi="仿宋" w:eastAsia="仿宋" w:cs="仿宋"/>
        </w:rPr>
      </w:pPr>
      <w:r>
        <w:rPr>
          <w:rFonts w:hint="eastAsia" w:ascii="仿宋" w:hAnsi="仿宋" w:eastAsia="仿宋" w:cs="仿宋"/>
        </w:rPr>
        <w:t>14.4中标人的投标文件自开标之日起至合同履行完毕止均应保持有效。</w:t>
      </w:r>
    </w:p>
    <w:p>
      <w:pPr>
        <w:snapToGrid w:val="0"/>
        <w:spacing w:line="360" w:lineRule="auto"/>
        <w:ind w:firstLine="354" w:firstLineChars="147"/>
        <w:jc w:val="left"/>
        <w:outlineLvl w:val="0"/>
        <w:rPr>
          <w:rFonts w:hint="eastAsia" w:ascii="仿宋" w:hAnsi="仿宋" w:eastAsia="仿宋" w:cs="仿宋"/>
          <w:b/>
          <w:color w:val="auto"/>
          <w:sz w:val="24"/>
        </w:rPr>
      </w:pPr>
      <w:r>
        <w:rPr>
          <w:rFonts w:hint="eastAsia" w:ascii="仿宋" w:hAnsi="仿宋" w:eastAsia="仿宋" w:cs="仿宋"/>
          <w:b/>
          <w:color w:val="auto"/>
          <w:sz w:val="24"/>
        </w:rPr>
        <w:t>15.投标保证金</w:t>
      </w:r>
    </w:p>
    <w:p>
      <w:pPr>
        <w:snapToGrid w:val="0"/>
        <w:spacing w:line="360" w:lineRule="auto"/>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15.1本项目免收投标保证金。</w:t>
      </w:r>
    </w:p>
    <w:p>
      <w:pPr>
        <w:snapToGrid w:val="0"/>
        <w:spacing w:line="360" w:lineRule="auto"/>
        <w:ind w:firstLine="480" w:firstLineChars="200"/>
        <w:jc w:val="left"/>
        <w:outlineLvl w:val="0"/>
        <w:rPr>
          <w:rFonts w:hint="eastAsia" w:ascii="仿宋" w:hAnsi="仿宋" w:eastAsia="仿宋" w:cs="仿宋"/>
          <w:color w:val="auto"/>
          <w:sz w:val="24"/>
        </w:rPr>
      </w:pPr>
      <w:r>
        <w:rPr>
          <w:rFonts w:hint="eastAsia" w:ascii="仿宋" w:hAnsi="仿宋" w:eastAsia="仿宋" w:cs="仿宋"/>
          <w:color w:val="auto"/>
          <w:sz w:val="24"/>
          <w:szCs w:val="24"/>
        </w:rPr>
        <w:t>15.2如投标人有下列情形</w:t>
      </w:r>
      <w:r>
        <w:rPr>
          <w:rFonts w:hint="eastAsia" w:ascii="仿宋" w:hAnsi="仿宋" w:eastAsia="仿宋" w:cs="仿宋"/>
          <w:color w:val="auto"/>
          <w:sz w:val="24"/>
        </w:rPr>
        <w:t>之一的，应当按照本项目采购预算价2%的标准承担因此给采购单位造成的损失的赔偿责任及相应的法律责任：</w:t>
      </w:r>
    </w:p>
    <w:p>
      <w:pPr>
        <w:snapToGrid w:val="0"/>
        <w:spacing w:line="360" w:lineRule="auto"/>
        <w:ind w:firstLine="480" w:firstLineChars="200"/>
        <w:jc w:val="left"/>
        <w:outlineLvl w:val="0"/>
        <w:rPr>
          <w:rFonts w:hint="eastAsia" w:ascii="仿宋" w:hAnsi="仿宋" w:eastAsia="仿宋" w:cs="仿宋"/>
          <w:bCs/>
          <w:color w:val="auto"/>
          <w:sz w:val="24"/>
          <w:szCs w:val="24"/>
        </w:rPr>
      </w:pPr>
      <w:r>
        <w:rPr>
          <w:rFonts w:hint="eastAsia" w:ascii="仿宋" w:hAnsi="仿宋" w:eastAsia="仿宋" w:cs="仿宋"/>
          <w:color w:val="auto"/>
          <w:sz w:val="24"/>
        </w:rPr>
        <w:t>15.3.1投标人在投标有效期内撤回投标</w:t>
      </w:r>
      <w:r>
        <w:rPr>
          <w:rFonts w:hint="eastAsia" w:ascii="仿宋" w:hAnsi="仿宋" w:eastAsia="仿宋" w:cs="仿宋"/>
          <w:bCs/>
          <w:color w:val="auto"/>
          <w:sz w:val="24"/>
          <w:szCs w:val="24"/>
        </w:rPr>
        <w:t>文件的；</w:t>
      </w:r>
    </w:p>
    <w:p>
      <w:pPr>
        <w:snapToGrid w:val="0"/>
        <w:spacing w:line="360" w:lineRule="auto"/>
        <w:ind w:firstLine="470" w:firstLineChars="196"/>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15.3.2投标人在投标过程中弄虚作假，提供虚假材料的；</w:t>
      </w:r>
    </w:p>
    <w:p>
      <w:pPr>
        <w:snapToGrid w:val="0"/>
        <w:spacing w:line="360" w:lineRule="auto"/>
        <w:ind w:firstLine="470" w:firstLineChars="196"/>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15.3.3中标人无正当理由在规定的时间内不与采购人签订合同的；</w:t>
      </w:r>
    </w:p>
    <w:p>
      <w:pPr>
        <w:snapToGrid w:val="0"/>
        <w:spacing w:line="360" w:lineRule="auto"/>
        <w:ind w:firstLine="470" w:firstLineChars="196"/>
        <w:rPr>
          <w:rFonts w:hint="eastAsia" w:ascii="仿宋" w:hAnsi="仿宋" w:eastAsia="仿宋" w:cs="仿宋"/>
          <w:bCs/>
          <w:color w:val="auto"/>
          <w:sz w:val="24"/>
          <w:szCs w:val="24"/>
        </w:rPr>
      </w:pPr>
      <w:r>
        <w:rPr>
          <w:rFonts w:hint="eastAsia" w:ascii="仿宋" w:hAnsi="仿宋" w:eastAsia="仿宋" w:cs="仿宋"/>
          <w:bCs/>
          <w:color w:val="auto"/>
          <w:sz w:val="24"/>
          <w:szCs w:val="24"/>
        </w:rPr>
        <w:t>15.3.4</w:t>
      </w:r>
      <w:r>
        <w:rPr>
          <w:rFonts w:hint="eastAsia" w:ascii="仿宋" w:hAnsi="仿宋" w:eastAsia="仿宋" w:cs="仿宋"/>
          <w:color w:val="auto"/>
          <w:sz w:val="24"/>
          <w:szCs w:val="24"/>
        </w:rPr>
        <w:t>将中标项目转让给他人或者在投标文件中未说明且未经采购人同意，将中标项目分包给他人的；</w:t>
      </w:r>
    </w:p>
    <w:p>
      <w:pPr>
        <w:snapToGrid w:val="0"/>
        <w:spacing w:line="360" w:lineRule="auto"/>
        <w:ind w:firstLine="470" w:firstLineChars="196"/>
        <w:rPr>
          <w:rFonts w:hint="eastAsia" w:ascii="仿宋" w:hAnsi="仿宋" w:eastAsia="仿宋" w:cs="仿宋"/>
          <w:b/>
          <w:color w:val="auto"/>
          <w:sz w:val="24"/>
          <w:szCs w:val="24"/>
        </w:rPr>
      </w:pPr>
      <w:r>
        <w:rPr>
          <w:rFonts w:hint="eastAsia" w:ascii="仿宋" w:hAnsi="仿宋" w:eastAsia="仿宋" w:cs="仿宋"/>
          <w:bCs/>
          <w:color w:val="auto"/>
          <w:sz w:val="24"/>
          <w:szCs w:val="24"/>
        </w:rPr>
        <w:t>15.3</w:t>
      </w:r>
      <w:r>
        <w:rPr>
          <w:rFonts w:hint="eastAsia" w:ascii="仿宋" w:hAnsi="仿宋" w:eastAsia="仿宋" w:cs="仿宋"/>
          <w:color w:val="auto"/>
          <w:sz w:val="24"/>
          <w:szCs w:val="24"/>
        </w:rPr>
        <w:t>.5其他严重扰乱招投标程序的；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15.3.6向有关人员行贿或者采取其他不正当手段谋取中标的；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15.3.7中标人无正当理由放弃中标的；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15.3.8投标人质疑投诉提供虚假情况；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15.3.9存在法律、法规规定的其它损害采购人或采购单位利益或社会公共利益的情形的。</w:t>
      </w:r>
    </w:p>
    <w:p>
      <w:pPr>
        <w:snapToGrid w:val="0"/>
        <w:spacing w:line="360" w:lineRule="auto"/>
        <w:ind w:firstLine="472" w:firstLineChars="196"/>
        <w:jc w:val="left"/>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16.投标文件的制作</w:t>
      </w:r>
    </w:p>
    <w:p>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16.1投标人应按招标文件前附表规定的内容编制投标文件。</w:t>
      </w:r>
    </w:p>
    <w:p>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16.2投标人应按本招标文件规定的格式和顺序编制投标文件并标注页码，投标文件内容不完整、编排混乱导致投标文件被误读、漏读或者查找不到相关内容的，是投标人的责任。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16.3投标文件须由投标人在规定位置盖章，投标人应写全称。</w:t>
      </w:r>
      <w:r>
        <w:rPr>
          <w:rFonts w:hint="eastAsia" w:ascii="仿宋" w:hAnsi="仿宋" w:eastAsia="仿宋" w:cs="仿宋"/>
          <w:b/>
          <w:color w:val="auto"/>
          <w:sz w:val="24"/>
          <w:szCs w:val="24"/>
        </w:rPr>
        <w:t>电子投标文件中所有加盖公章均采用CA签章。</w:t>
      </w:r>
    </w:p>
    <w:p>
      <w:pPr>
        <w:snapToGrid w:val="0"/>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16.4投标文件不得涂改，若有修改错漏处，须加盖单位公章。投标文件因表达不清所引起的后果由投标人负责。</w:t>
      </w:r>
    </w:p>
    <w:p>
      <w:pPr>
        <w:snapToGrid w:val="0"/>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16.5投标人应认真阅读招标文件中所有的内容。如果投标人编制的投标文件实质上不响应招标文件的要求，其投标文件将作无效标处理。</w:t>
      </w:r>
    </w:p>
    <w:p>
      <w:pPr>
        <w:snapToGrid w:val="0"/>
        <w:spacing w:line="360" w:lineRule="auto"/>
        <w:ind w:firstLine="354" w:firstLineChars="147"/>
        <w:jc w:val="left"/>
        <w:rPr>
          <w:rFonts w:hint="eastAsia" w:ascii="仿宋" w:hAnsi="仿宋" w:eastAsia="仿宋" w:cs="仿宋"/>
          <w:b/>
          <w:color w:val="auto"/>
          <w:sz w:val="24"/>
          <w:szCs w:val="24"/>
        </w:rPr>
      </w:pPr>
      <w:r>
        <w:rPr>
          <w:rFonts w:hint="eastAsia" w:ascii="仿宋" w:hAnsi="仿宋" w:eastAsia="仿宋" w:cs="仿宋"/>
          <w:b/>
          <w:color w:val="auto"/>
          <w:sz w:val="24"/>
          <w:szCs w:val="24"/>
        </w:rPr>
        <w:t>17.投标文件的递交、修改和撤回</w:t>
      </w:r>
    </w:p>
    <w:p>
      <w:pPr>
        <w:pStyle w:val="9"/>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17.1投标人应将投标文件的</w:t>
      </w:r>
      <w:r>
        <w:rPr>
          <w:rFonts w:hint="eastAsia" w:ascii="仿宋" w:hAnsi="仿宋" w:eastAsia="仿宋" w:cs="仿宋"/>
          <w:sz w:val="24"/>
        </w:rPr>
        <w:t>资格文件</w:t>
      </w:r>
      <w:r>
        <w:rPr>
          <w:rFonts w:hint="eastAsia" w:ascii="仿宋" w:hAnsi="仿宋" w:eastAsia="仿宋" w:cs="仿宋"/>
          <w:sz w:val="24"/>
          <w:szCs w:val="24"/>
        </w:rPr>
        <w:t>、商务技术文件、报价文件分开制作。</w:t>
      </w:r>
      <w:r>
        <w:rPr>
          <w:rFonts w:hint="eastAsia" w:ascii="仿宋" w:hAnsi="仿宋" w:eastAsia="仿宋" w:cs="仿宋"/>
          <w:b/>
          <w:sz w:val="24"/>
          <w:szCs w:val="24"/>
        </w:rPr>
        <w:t>如投标文件技术标内容含有商务报价的内容，将被视作无效标处理。</w:t>
      </w:r>
    </w:p>
    <w:p>
      <w:pPr>
        <w:pStyle w:val="9"/>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17.2投标人应在开标前在“政采云”上自行加密上传电子投标文件，逾期上传或未按要求上传的投标文件将予以拒收。</w:t>
      </w:r>
    </w:p>
    <w:p>
      <w:pPr>
        <w:pStyle w:val="9"/>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17.3</w:t>
      </w:r>
      <w:r>
        <w:rPr>
          <w:rFonts w:hint="eastAsia" w:ascii="仿宋" w:hAnsi="仿宋" w:eastAsia="仿宋" w:cs="仿宋"/>
          <w:sz w:val="24"/>
          <w:szCs w:val="24"/>
        </w:rPr>
        <w:t>投标人在投标截止时间之前，可以对已提交的投标文件进行修改或撤回，补充、修改的内容为投标文件的组成部分。</w:t>
      </w:r>
    </w:p>
    <w:p>
      <w:pPr>
        <w:pStyle w:val="9"/>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17.4投标截止时间后，投标人不得撤回、修改投标文件。</w:t>
      </w:r>
    </w:p>
    <w:p>
      <w:pPr>
        <w:pStyle w:val="9"/>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17.5不论投标人中标与否，投标人文件均不得撤回其投标。</w:t>
      </w:r>
    </w:p>
    <w:p>
      <w:pPr>
        <w:pStyle w:val="9"/>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17.6未按时解密的，视为投标文件撤回。</w:t>
      </w:r>
    </w:p>
    <w:p>
      <w:pPr>
        <w:snapToGrid w:val="0"/>
        <w:spacing w:line="360" w:lineRule="auto"/>
        <w:ind w:firstLine="354" w:firstLineChars="147"/>
        <w:jc w:val="left"/>
        <w:rPr>
          <w:rFonts w:hint="eastAsia" w:ascii="仿宋" w:hAnsi="仿宋" w:eastAsia="仿宋" w:cs="仿宋"/>
          <w:b/>
          <w:color w:val="auto"/>
          <w:sz w:val="24"/>
          <w:szCs w:val="24"/>
        </w:rPr>
      </w:pPr>
      <w:r>
        <w:rPr>
          <w:rFonts w:hint="eastAsia" w:ascii="仿宋" w:hAnsi="仿宋" w:eastAsia="仿宋" w:cs="仿宋"/>
          <w:b/>
          <w:color w:val="auto"/>
          <w:sz w:val="24"/>
          <w:szCs w:val="24"/>
        </w:rPr>
        <w:t>18.投标无效的情形</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实质上没有响应招标文件要求的投标将被视为无效投标。投标人不得通过修正或撤销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0"/>
        <w:snapToGrid w:val="0"/>
        <w:spacing w:after="0" w:line="360" w:lineRule="auto"/>
        <w:ind w:left="0" w:leftChars="0"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18.1在符合性审查和资格性审查时，如发现下列情形之一的，投标文件将被视为无效投标：</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18.1.1资格证明文件不全的，或者不符合招标文件标明的资格要求的；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18.1.2未按照招标文件规定要求盖章；</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18.1.3投标文件项目不齐全或者内容虚假的；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18.1.4投标文件的实质性内容未使用中文表述、意思表述不明确、前后矛盾或者使用计量单位不符合招标文件要求的；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18.1.5投标有效期、交货时间、售后服务承诺等条款不能满足招标文件要求的；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18.1.6投标文件的技术标内容含有商务报价的内容；</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18.1.7投标文件含有采购人不能接受的附加条件的；</w:t>
      </w:r>
    </w:p>
    <w:p>
      <w:pPr>
        <w:snapToGrid w:val="0"/>
        <w:spacing w:line="360" w:lineRule="auto"/>
        <w:ind w:firstLine="48" w:firstLineChars="20"/>
        <w:rPr>
          <w:rFonts w:hint="eastAsia" w:ascii="仿宋" w:hAnsi="仿宋" w:eastAsia="仿宋" w:cs="仿宋"/>
          <w:color w:val="auto"/>
          <w:sz w:val="24"/>
          <w:szCs w:val="24"/>
        </w:rPr>
      </w:pPr>
      <w:r>
        <w:rPr>
          <w:rFonts w:hint="eastAsia" w:ascii="仿宋" w:hAnsi="仿宋" w:eastAsia="仿宋" w:cs="仿宋"/>
          <w:color w:val="auto"/>
          <w:sz w:val="24"/>
          <w:szCs w:val="24"/>
        </w:rPr>
        <w:t>18.1.8不符合法律、法规或未实质性响应招标文件要求或者投标文件有采购人不能接受的附加条件的。</w:t>
      </w:r>
    </w:p>
    <w:p>
      <w:pPr>
        <w:pStyle w:val="10"/>
        <w:snapToGrid w:val="0"/>
        <w:spacing w:after="0" w:line="360" w:lineRule="auto"/>
        <w:ind w:left="0"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18.2在技术评审时，如发现下列情形之一的，投标文件将被视为无效：</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18.2.1未提供或未如实提供投标货物的技术参数，或者投标文件标明的响应或偏离与事实不符或虚假投标的；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18.2.2允许偏离的技术、性能指标或者辅助功能项目发生负偏离达20项（含）以上的；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18.2.3投标技术方案不明确，存在一个或一个以上备选（替代）投标方案的；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18.2.4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0"/>
        <w:snapToGrid w:val="0"/>
        <w:spacing w:after="0" w:line="360" w:lineRule="auto"/>
        <w:ind w:left="0"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18.3在报价评审时，如发现下列情形之一的，投标文件将被视为无效：</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（1）未采用人民币报价或者未按照招标文件标明的币种报价的；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（2）投标报价超过招标文件中规定的最高限价的；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（3）评标委员会认为投标人的报价明显低于其他通过符合性审查投标人的报价，有可能影响产品质量或者不能诚信履约，且投标人不能证明其报价合理性的；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（4）投标人不接受报价文件中修正后的报价的；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（5）投标报价具有选择性。</w:t>
      </w:r>
    </w:p>
    <w:p>
      <w:pPr>
        <w:pStyle w:val="10"/>
        <w:snapToGrid w:val="0"/>
        <w:spacing w:after="0" w:line="360" w:lineRule="auto"/>
        <w:ind w:left="0"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18.4符合招标文件明确规定的其他无效投标条款的。</w:t>
      </w:r>
    </w:p>
    <w:p>
      <w:pPr>
        <w:pStyle w:val="2"/>
        <w:spacing w:before="0" w:after="0" w:line="420" w:lineRule="exact"/>
        <w:jc w:val="center"/>
        <w:rPr>
          <w:rFonts w:hint="eastAsia" w:ascii="仿宋" w:hAnsi="仿宋" w:eastAsia="仿宋" w:cs="仿宋"/>
          <w:sz w:val="30"/>
          <w:szCs w:val="30"/>
        </w:rPr>
      </w:pPr>
      <w:bookmarkStart w:id="4" w:name="_Toc125344507"/>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rPr>
          <w:rFonts w:hint="eastAsia" w:ascii="仿宋" w:hAnsi="仿宋" w:eastAsia="仿宋" w:cs="仿宋"/>
          <w:sz w:val="30"/>
          <w:szCs w:val="30"/>
        </w:rPr>
      </w:pPr>
    </w:p>
    <w:p>
      <w:pPr>
        <w:rPr>
          <w:rFonts w:hint="eastAsia" w:ascii="仿宋" w:hAnsi="仿宋" w:eastAsia="仿宋" w:cs="仿宋"/>
          <w:b/>
          <w:bCs/>
          <w:color w:val="auto"/>
          <w:kern w:val="2"/>
          <w:sz w:val="30"/>
          <w:szCs w:val="30"/>
        </w:rPr>
      </w:pPr>
    </w:p>
    <w:p>
      <w:pPr>
        <w:pStyle w:val="3"/>
        <w:rPr>
          <w:rFonts w:hint="eastAsia" w:ascii="仿宋" w:hAnsi="仿宋" w:eastAsia="仿宋" w:cs="仿宋"/>
          <w:bCs/>
          <w:color w:val="auto"/>
          <w:kern w:val="2"/>
          <w:sz w:val="30"/>
          <w:szCs w:val="30"/>
        </w:rPr>
      </w:pPr>
    </w:p>
    <w:p>
      <w:pPr>
        <w:rPr>
          <w:rFonts w:hint="eastAsia" w:ascii="仿宋" w:hAnsi="仿宋" w:eastAsia="仿宋" w:cs="仿宋"/>
          <w:b/>
          <w:bCs/>
          <w:color w:val="auto"/>
          <w:kern w:val="2"/>
          <w:sz w:val="30"/>
          <w:szCs w:val="30"/>
        </w:rPr>
      </w:pPr>
    </w:p>
    <w:p>
      <w:pPr>
        <w:pStyle w:val="3"/>
        <w:rPr>
          <w:rFonts w:hint="eastAsia" w:ascii="仿宋" w:hAnsi="仿宋" w:eastAsia="仿宋" w:cs="仿宋"/>
          <w:bCs/>
          <w:color w:val="auto"/>
          <w:kern w:val="2"/>
          <w:sz w:val="30"/>
          <w:szCs w:val="30"/>
        </w:rPr>
      </w:pPr>
    </w:p>
    <w:p>
      <w:pPr>
        <w:rPr>
          <w:rFonts w:hint="eastAsia" w:ascii="仿宋" w:hAnsi="仿宋" w:eastAsia="仿宋" w:cs="仿宋"/>
          <w:b/>
          <w:bCs/>
          <w:color w:val="auto"/>
          <w:kern w:val="2"/>
          <w:sz w:val="30"/>
          <w:szCs w:val="30"/>
        </w:rPr>
      </w:pPr>
    </w:p>
    <w:p>
      <w:pPr>
        <w:pStyle w:val="3"/>
        <w:rPr>
          <w:rFonts w:hint="eastAsia" w:ascii="仿宋" w:hAnsi="仿宋" w:eastAsia="仿宋" w:cs="仿宋"/>
          <w:bCs/>
          <w:color w:val="auto"/>
          <w:kern w:val="2"/>
          <w:sz w:val="30"/>
          <w:szCs w:val="30"/>
        </w:rPr>
      </w:pPr>
    </w:p>
    <w:p>
      <w:pPr>
        <w:pStyle w:val="2"/>
        <w:spacing w:before="0" w:after="0" w:line="420" w:lineRule="exact"/>
        <w:rPr>
          <w:rFonts w:hint="eastAsia" w:ascii="仿宋" w:hAnsi="仿宋" w:eastAsia="仿宋" w:cs="仿宋"/>
          <w:sz w:val="30"/>
          <w:szCs w:val="30"/>
        </w:rPr>
      </w:pPr>
    </w:p>
    <w:p>
      <w:pPr>
        <w:rPr>
          <w:rFonts w:hint="eastAsia" w:ascii="仿宋" w:hAnsi="仿宋" w:eastAsia="仿宋" w:cs="仿宋"/>
        </w:rPr>
      </w:pPr>
    </w:p>
    <w:p>
      <w:pPr>
        <w:pStyle w:val="2"/>
        <w:spacing w:before="0" w:after="0" w:line="420" w:lineRule="exact"/>
        <w:jc w:val="center"/>
        <w:rPr>
          <w:rFonts w:hint="eastAsia" w:ascii="仿宋" w:hAnsi="仿宋" w:eastAsia="仿宋" w:cs="仿宋"/>
          <w:sz w:val="30"/>
          <w:szCs w:val="30"/>
        </w:rPr>
      </w:pPr>
      <w:r>
        <w:rPr>
          <w:rFonts w:hint="eastAsia" w:ascii="仿宋" w:hAnsi="仿宋" w:eastAsia="仿宋" w:cs="仿宋"/>
          <w:sz w:val="30"/>
          <w:szCs w:val="30"/>
        </w:rPr>
        <w:t>四、开  标</w:t>
      </w:r>
      <w:bookmarkEnd w:id="4"/>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bCs/>
          <w:color w:val="auto"/>
          <w:sz w:val="24"/>
        </w:rPr>
        <w:t>19.</w:t>
      </w:r>
      <w:r>
        <w:rPr>
          <w:rFonts w:hint="eastAsia" w:ascii="仿宋" w:hAnsi="仿宋" w:eastAsia="仿宋" w:cs="仿宋"/>
          <w:b/>
          <w:color w:val="auto"/>
          <w:sz w:val="24"/>
        </w:rPr>
        <w:t>开标</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19.1采购代理机构将在前附表规定的时间、地点进行开标。无关人员不得进入开标现场。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19.2本项目实行电子开评标，投标人无须前往开评标现场，只需在规定时间内在“政采云”平台上上传电子投标文件。 </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20.开标程序</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20.2评标委员会对投标人的资格和商务技术响应文件进行评审；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20.3对技术标有效的投标单位的投标报价在“政采云”平台上予以公开；</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20.4评标委员会对技术标有效的投标单位进行投标报价评审，确定投标报价评审有效投标单位；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20.5对投标报价评审后有效的投标单位计算投标报价分和综合得分；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20.6确定预中标人。</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特别说明：</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1、政采云公司如对电子化开标及评审程序有调整的，按调整后的程序操作。</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2、如中标单位投标文件和招标文件要求不一致，且评审过程中未发现的，履约应按有利于采购人的要求执行。</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3、采购过程中出现以下情形，导致电子交易平台无法正常运行，或者无法保证电子交易的公平、公正和安全时，采购组织机构可中止电子交易活动：</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（一）电子交易平台发生故障而无法登录访问的； </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（二）电子交易平台应用或数据库出现错误，不能进行正常操作的；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（三）电子交易平台发现严重安全漏洞，有潜在泄密危险的；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（四）病毒发作导致不能进行正常操作的； </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（五）其他无法保证电子交易的公平、公正和安全的情况。</w:t>
      </w:r>
    </w:p>
    <w:p>
      <w:pPr>
        <w:pStyle w:val="26"/>
        <w:spacing w:line="360" w:lineRule="auto"/>
        <w:ind w:firstLine="480" w:firstLineChars="200"/>
        <w:rPr>
          <w:rFonts w:hint="eastAsia" w:ascii="仿宋" w:hAnsi="仿宋" w:eastAsia="仿宋" w:cs="仿宋"/>
        </w:rPr>
      </w:pPr>
      <w:r>
        <w:rPr>
          <w:rFonts w:hint="eastAsia" w:ascii="仿宋" w:hAnsi="仿宋" w:eastAsia="仿宋" w:cs="仿宋"/>
          <w:sz w:val="24"/>
        </w:rPr>
        <w:t> 出现前款规定情形，不影响采购公平、公正性的，采购组织机构可以待上述情形消除后继续组织电子交易活动；影响或可能影响采购公平、公正性的，应当重新采购。</w:t>
      </w:r>
      <w:bookmarkStart w:id="5" w:name="_Toc125344508"/>
    </w:p>
    <w:p>
      <w:pPr>
        <w:pStyle w:val="2"/>
        <w:spacing w:before="0" w:after="0" w:line="420" w:lineRule="exact"/>
        <w:jc w:val="center"/>
        <w:rPr>
          <w:rFonts w:hint="eastAsia" w:ascii="仿宋" w:hAnsi="仿宋" w:eastAsia="仿宋" w:cs="仿宋"/>
          <w:sz w:val="30"/>
          <w:szCs w:val="30"/>
        </w:rPr>
      </w:pPr>
      <w:r>
        <w:rPr>
          <w:rFonts w:hint="eastAsia" w:ascii="仿宋" w:hAnsi="仿宋" w:eastAsia="仿宋" w:cs="仿宋"/>
          <w:sz w:val="30"/>
          <w:szCs w:val="30"/>
        </w:rPr>
        <w:t>五、评　标</w:t>
      </w:r>
      <w:bookmarkEnd w:id="5"/>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21. 组建评标委员会</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评标委员会按照有关规定组建，</w:t>
      </w:r>
      <w:r>
        <w:rPr>
          <w:rFonts w:hint="eastAsia" w:ascii="仿宋" w:hAnsi="仿宋" w:eastAsia="仿宋" w:cs="仿宋"/>
          <w:color w:val="000000"/>
          <w:sz w:val="24"/>
        </w:rPr>
        <w:t>由1位采购人代表和4位评审专家组成</w:t>
      </w:r>
      <w:r>
        <w:rPr>
          <w:rFonts w:hint="eastAsia" w:ascii="仿宋" w:hAnsi="仿宋" w:eastAsia="仿宋" w:cs="仿宋"/>
          <w:sz w:val="24"/>
        </w:rPr>
        <w:t>。</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22.评标原则</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22.1评标委员会必须公平、公正、客观，不带任何倾向性和启发性；</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22.2不得向外界透露任何与评标有关的内容；</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22.3任何单位和个人不得干扰、影响评标的正常进行；</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22.4评标委员会及有关工作人员不得私下与投标人接触。</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bCs/>
          <w:color w:val="auto"/>
          <w:sz w:val="24"/>
        </w:rPr>
        <w:t>22.6以</w:t>
      </w:r>
      <w:r>
        <w:rPr>
          <w:rFonts w:hint="eastAsia" w:ascii="仿宋" w:hAnsi="仿宋" w:eastAsia="仿宋" w:cs="仿宋"/>
          <w:color w:val="auto"/>
          <w:sz w:val="24"/>
        </w:rPr>
        <w:t>联合体形式参加政府采购活动的，联合体各方不得再单独参加或者与其他供应商另外组成联合体参加同一合同项下的政府采购活动。</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22.7除单一来源采购以外，为采购项目提供整体设计、规范编制或者项目管理、监理、检测等服务的供应商，不得参加本采购项目。</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22.8单位负责人为同一人或者存在直接控股、管理关系的不同供应商，不得参加同一合同项下的政府采购活动。</w:t>
      </w:r>
    </w:p>
    <w:p>
      <w:pPr>
        <w:pStyle w:val="19"/>
        <w:snapToGrid w:val="0"/>
        <w:spacing w:line="360" w:lineRule="auto"/>
        <w:ind w:firstLine="480" w:firstLineChars="200"/>
        <w:rPr>
          <w:rFonts w:hint="eastAsia" w:ascii="仿宋" w:hAnsi="仿宋" w:eastAsia="仿宋" w:cs="仿宋"/>
          <w:bCs/>
        </w:rPr>
      </w:pPr>
      <w:r>
        <w:rPr>
          <w:rFonts w:hint="eastAsia" w:ascii="仿宋" w:hAnsi="仿宋" w:eastAsia="仿宋" w:cs="仿宋"/>
          <w:bCs/>
        </w:rPr>
        <w:t>22.9本项目涉及提供的有关资质证书，若原有资质证书处于年审期间，投标人提供年审证明的可按原资质投标；若投标人正在申报上一级别资质，在未获批准之前，仍按原级别资质投标。</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23.评标程序</w:t>
      </w:r>
    </w:p>
    <w:p>
      <w:pPr>
        <w:snapToGrid w:val="0"/>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23.1资格审查</w:t>
      </w:r>
    </w:p>
    <w:p>
      <w:pPr>
        <w:snapToGrid w:val="0"/>
        <w:spacing w:line="360" w:lineRule="auto"/>
        <w:ind w:firstLine="470" w:firstLineChars="196"/>
        <w:rPr>
          <w:rFonts w:hint="eastAsia" w:ascii="仿宋" w:hAnsi="仿宋" w:eastAsia="仿宋" w:cs="仿宋"/>
          <w:b/>
          <w:bCs/>
          <w:color w:val="auto"/>
          <w:sz w:val="24"/>
        </w:rPr>
      </w:pPr>
      <w:r>
        <w:rPr>
          <w:rFonts w:hint="eastAsia" w:ascii="仿宋" w:hAnsi="仿宋" w:eastAsia="仿宋" w:cs="仿宋"/>
          <w:color w:val="auto"/>
          <w:sz w:val="24"/>
        </w:rPr>
        <w:t>评标委员会对投标人的资格进行审查。</w:t>
      </w:r>
    </w:p>
    <w:p>
      <w:pPr>
        <w:snapToGrid w:val="0"/>
        <w:spacing w:line="360" w:lineRule="auto"/>
        <w:ind w:firstLine="472" w:firstLineChars="196"/>
        <w:rPr>
          <w:rFonts w:hint="eastAsia" w:ascii="仿宋" w:hAnsi="仿宋" w:eastAsia="仿宋" w:cs="仿宋"/>
          <w:b/>
          <w:bCs/>
          <w:color w:val="auto"/>
          <w:sz w:val="24"/>
          <w:szCs w:val="20"/>
        </w:rPr>
      </w:pPr>
      <w:r>
        <w:rPr>
          <w:rFonts w:hint="eastAsia" w:ascii="仿宋" w:hAnsi="仿宋" w:eastAsia="仿宋" w:cs="仿宋"/>
          <w:b/>
          <w:bCs/>
          <w:color w:val="auto"/>
          <w:sz w:val="24"/>
        </w:rPr>
        <w:t>23.2形式审查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2"/>
          <w:sz w:val="24"/>
          <w:szCs w:val="24"/>
        </w:rPr>
        <w:t>评标委员会对投标人的</w:t>
      </w:r>
      <w:r>
        <w:rPr>
          <w:rFonts w:hint="eastAsia" w:ascii="仿宋" w:hAnsi="仿宋" w:eastAsia="仿宋" w:cs="仿宋"/>
          <w:color w:val="auto"/>
          <w:sz w:val="24"/>
        </w:rPr>
        <w:t>投标文件的完整性、合法性等进行审查。</w:t>
      </w:r>
    </w:p>
    <w:p>
      <w:pPr>
        <w:snapToGrid w:val="0"/>
        <w:spacing w:line="360" w:lineRule="auto"/>
        <w:ind w:firstLine="472" w:firstLineChars="196"/>
        <w:rPr>
          <w:rFonts w:hint="eastAsia" w:ascii="仿宋" w:hAnsi="仿宋" w:eastAsia="仿宋" w:cs="仿宋"/>
          <w:b/>
          <w:bCs/>
          <w:color w:val="auto"/>
          <w:sz w:val="24"/>
          <w:szCs w:val="20"/>
        </w:rPr>
      </w:pPr>
      <w:r>
        <w:rPr>
          <w:rFonts w:hint="eastAsia" w:ascii="仿宋" w:hAnsi="仿宋" w:eastAsia="仿宋" w:cs="仿宋"/>
          <w:b/>
          <w:bCs/>
          <w:color w:val="auto"/>
          <w:sz w:val="24"/>
        </w:rPr>
        <w:t>23.3实质审查与比较</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23.3.2评标委员会将根据投标人的投标文件进行审查、核对,如有疑问,将对投标人进行询标,投标人要向评标委员会澄清有关问题,并最终以“政采云”在线询标或其他有效形式形式进行答复。投标人代表拒绝澄清或者澄清的内容改变了投标文件的实质性内容的，评标委员会有权对该投标文件作出不利于投标人的评判。</w:t>
      </w:r>
    </w:p>
    <w:p>
      <w:pPr>
        <w:pStyle w:val="26"/>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23.3.4如果投标文件实质不响应招标文件的各项要求，评标委员会将予以拒绝，并且不允许投标人通过修改或撤销其不符合要求的差异或保留，使之成为具有响应性的投标。</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23.3.5各投标人的技术得分为所有评委的有效评分的算术平均数。</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23.3.6评标委员会完成评标后,评委对各部分得分汇总,计算出本项目最终得分。评标委员会按评标原则推荐中标候选人，同时起草评标报告。</w:t>
      </w:r>
    </w:p>
    <w:p>
      <w:pPr>
        <w:pStyle w:val="26"/>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23.3.7评标委员会对明显不合理的投标报价，有权要求投标人在规定时间内提交说明，投标人不能提供的或提供的材料不能说明问题的，评标委员会可以判定其投标无效。</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bCs/>
          <w:color w:val="auto"/>
          <w:sz w:val="24"/>
          <w:szCs w:val="24"/>
        </w:rPr>
        <w:t>24.</w:t>
      </w:r>
      <w:r>
        <w:rPr>
          <w:rFonts w:hint="eastAsia" w:ascii="仿宋" w:hAnsi="仿宋" w:eastAsia="仿宋" w:cs="仿宋"/>
          <w:color w:val="auto"/>
          <w:sz w:val="24"/>
          <w:szCs w:val="24"/>
        </w:rPr>
        <w:t>如投标人或采购人有下列情形之一的，应按串通投标行为认定，禁止其一至三年内进入本市政府采购市场，情节严重的移送有关部门依法处理。</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 xml:space="preserve">24.1不同投标人的投标文件由同一单位或人员编制； </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24.2不同投标人委托同一单位或个人办理投标事宜；</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24.3不同投标人的投标文件载明的项目管理或联系人员为同一人；</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 xml:space="preserve">24.4不同投标人的投标文件异常一致或者投标报价呈规律性差异； </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24.5不同投标人的投标文件遗留其他投标人不属于本投标人参加政府采购必需的信息资料的；</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 xml:space="preserve">24.6不同投标人的授权代表为同一单位的工作人员的；   </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24.7采购响应截止时间后，采购人协助投标人撤换或更改投标文件的；</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24.8采购人泄露有意向参加政府采购的投标人名称、数量等应当保密的事项的；</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24.9不同投标人之间私下达成书面或口头协议，指定一家投标人中标或轮流中标的；</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24.10属于同一集团、协会、商会等组织成员的投标人按照该组织要求协同的投标；</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24.11投标人之间为谋取中标或者排斥特定投标人而采取的其他联合行动；</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24.12不同投标人与同一投标人联合投标的；</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24.13采购人（或采购代理机构）明示或者暗示投标人压低或者抬高投标报价；</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24.14采购人（或采购代理机构）明示或者暗示投标人为特定投标人中标提供方便；</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24.15采购人（或采购代理机构）与投标人为谋求特定投标人中标而采取的其他串通行为；</w:t>
      </w:r>
    </w:p>
    <w:p>
      <w:pPr>
        <w:snapToGrid w:val="0"/>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24.16法律、法规或规章规定的其他串通行为。</w:t>
      </w:r>
    </w:p>
    <w:p>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25.投标文件的澄清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19"/>
        <w:snapToGrid w:val="0"/>
        <w:spacing w:line="360" w:lineRule="auto"/>
        <w:ind w:left="241" w:hanging="241" w:hangingChars="100"/>
        <w:rPr>
          <w:rFonts w:hint="eastAsia" w:ascii="仿宋" w:hAnsi="仿宋" w:eastAsia="仿宋" w:cs="仿宋"/>
          <w:b/>
        </w:rPr>
      </w:pPr>
      <w:r>
        <w:rPr>
          <w:rFonts w:hint="eastAsia" w:ascii="仿宋" w:hAnsi="仿宋" w:eastAsia="仿宋" w:cs="仿宋"/>
          <w:b/>
        </w:rPr>
        <w:t>26.错误修正</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投标文件报价出现前后不一致的，按照下列规定修正：</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26.1投标文件中开标一览表（报价表）内容与投标文件中相应内容不一致的，以开标一览表（报价表）为准。</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26.2大写金额和小写金额不一致的，以大写金额为准。</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26.3单价金额小数点或者百分比有明显错位的，以开标一览表的总价为准，并修改单价。</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26.4总价金额与按单价汇总金额不一致的，以单价金额计算结果为准。</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同时出现两种以上不一致的，按照上述规定的顺序修正。</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按上述修正错误的原则及方法调整或修正投标文件的投标报价，投标人同意并加盖公章确认，调整后的投标报价对投标人具有约束作用。如果投标人不接受修正后的报价，则其投标将作为无效投标处理。</w:t>
      </w:r>
    </w:p>
    <w:p>
      <w:pPr>
        <w:pStyle w:val="26"/>
        <w:spacing w:line="360" w:lineRule="auto"/>
        <w:ind w:firstLine="482" w:firstLineChars="200"/>
        <w:rPr>
          <w:rFonts w:hint="eastAsia" w:ascii="仿宋" w:hAnsi="仿宋" w:eastAsia="仿宋" w:cs="仿宋"/>
          <w:b/>
          <w:sz w:val="24"/>
        </w:rPr>
      </w:pPr>
      <w:r>
        <w:rPr>
          <w:rFonts w:hint="eastAsia" w:ascii="仿宋" w:hAnsi="仿宋" w:eastAsia="仿宋" w:cs="仿宋"/>
          <w:b/>
          <w:sz w:val="24"/>
        </w:rPr>
        <w:t>27.评标办法。</w:t>
      </w:r>
    </w:p>
    <w:p>
      <w:pPr>
        <w:pStyle w:val="26"/>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本项目评标办法是综合评分法，具体评标内容及评分标准等详见《第三章：评标办法及评分标准》。</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28.</w:t>
      </w:r>
      <w:r>
        <w:rPr>
          <w:rFonts w:hint="eastAsia" w:ascii="仿宋" w:hAnsi="仿宋" w:eastAsia="仿宋" w:cs="仿宋"/>
          <w:b/>
          <w:bCs/>
          <w:color w:val="auto"/>
          <w:sz w:val="24"/>
        </w:rPr>
        <w:t>评标过程的保密</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28.1开标后，直到宣布授予中标人合同为止，凡属于审查、澄清、评价和比较投标文件的有关资料和授予合同的信息，采购人、评标委员会成员都不应向投标人或与该过程无关的其他人员泄露。</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28.3中标人确定后，采购人不对未中标人就评标过程以及未能中标原因作出任何解释。未中标人不得向评标委员会或其他有关人员索问评标过程的情况和材料。</w:t>
      </w:r>
    </w:p>
    <w:p>
      <w:pPr>
        <w:pStyle w:val="2"/>
        <w:spacing w:before="0" w:after="0" w:line="420" w:lineRule="exact"/>
        <w:jc w:val="center"/>
        <w:rPr>
          <w:rFonts w:hint="eastAsia" w:ascii="仿宋" w:hAnsi="仿宋" w:eastAsia="仿宋" w:cs="仿宋"/>
          <w:sz w:val="30"/>
          <w:szCs w:val="30"/>
        </w:rPr>
      </w:pPr>
      <w:bookmarkStart w:id="6" w:name="_Toc125344509"/>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bookmarkEnd w:id="6"/>
    <w:p>
      <w:pPr>
        <w:pStyle w:val="26"/>
        <w:spacing w:line="420" w:lineRule="exact"/>
        <w:ind w:firstLine="0"/>
        <w:rPr>
          <w:rFonts w:hint="eastAsia" w:ascii="仿宋" w:hAnsi="仿宋" w:eastAsia="仿宋" w:cs="仿宋"/>
          <w:b/>
          <w:bCs/>
          <w:sz w:val="24"/>
        </w:rPr>
      </w:pPr>
    </w:p>
    <w:p>
      <w:pPr>
        <w:pStyle w:val="26"/>
        <w:spacing w:line="420" w:lineRule="exact"/>
        <w:ind w:firstLine="0"/>
        <w:rPr>
          <w:rFonts w:hint="eastAsia" w:ascii="仿宋" w:hAnsi="仿宋" w:eastAsia="仿宋" w:cs="仿宋"/>
          <w:b/>
          <w:bCs/>
          <w:sz w:val="24"/>
        </w:rPr>
      </w:pPr>
    </w:p>
    <w:p>
      <w:pPr>
        <w:pStyle w:val="26"/>
        <w:spacing w:line="420" w:lineRule="exact"/>
        <w:ind w:firstLine="0"/>
        <w:rPr>
          <w:rFonts w:hint="eastAsia" w:ascii="仿宋" w:hAnsi="仿宋" w:eastAsia="仿宋" w:cs="仿宋"/>
          <w:b/>
          <w:bCs/>
          <w:sz w:val="24"/>
        </w:rPr>
      </w:pPr>
    </w:p>
    <w:p>
      <w:pPr>
        <w:pStyle w:val="26"/>
        <w:spacing w:line="420" w:lineRule="exact"/>
        <w:ind w:firstLine="0"/>
        <w:rPr>
          <w:rFonts w:hint="eastAsia" w:ascii="仿宋" w:hAnsi="仿宋" w:eastAsia="仿宋" w:cs="仿宋"/>
          <w:b/>
          <w:bCs/>
          <w:sz w:val="24"/>
        </w:rPr>
      </w:pPr>
    </w:p>
    <w:p>
      <w:pPr>
        <w:pStyle w:val="26"/>
        <w:spacing w:line="420" w:lineRule="exact"/>
        <w:ind w:firstLine="0"/>
        <w:rPr>
          <w:rFonts w:hint="eastAsia" w:ascii="仿宋" w:hAnsi="仿宋" w:eastAsia="仿宋" w:cs="仿宋"/>
          <w:b/>
          <w:bCs/>
          <w:sz w:val="24"/>
        </w:rPr>
      </w:pPr>
    </w:p>
    <w:p>
      <w:pPr>
        <w:pStyle w:val="26"/>
        <w:spacing w:line="420" w:lineRule="exact"/>
        <w:ind w:firstLine="0"/>
        <w:rPr>
          <w:rFonts w:hint="eastAsia" w:ascii="仿宋" w:hAnsi="仿宋" w:eastAsia="仿宋" w:cs="仿宋"/>
          <w:b/>
          <w:bCs/>
          <w:sz w:val="24"/>
        </w:rPr>
      </w:pPr>
    </w:p>
    <w:p>
      <w:pPr>
        <w:pStyle w:val="26"/>
        <w:spacing w:line="420" w:lineRule="exact"/>
        <w:ind w:firstLine="0"/>
        <w:rPr>
          <w:rFonts w:hint="eastAsia" w:ascii="仿宋" w:hAnsi="仿宋" w:eastAsia="仿宋" w:cs="仿宋"/>
          <w:b/>
          <w:bCs/>
          <w:sz w:val="24"/>
        </w:rPr>
      </w:pPr>
    </w:p>
    <w:p>
      <w:pPr>
        <w:pStyle w:val="26"/>
        <w:spacing w:line="420" w:lineRule="exact"/>
        <w:ind w:firstLine="602" w:firstLineChars="200"/>
        <w:jc w:val="center"/>
        <w:rPr>
          <w:rFonts w:hint="eastAsia" w:ascii="仿宋" w:hAnsi="仿宋" w:eastAsia="仿宋" w:cs="仿宋"/>
          <w:b/>
          <w:bCs/>
          <w:sz w:val="30"/>
          <w:szCs w:val="30"/>
        </w:rPr>
      </w:pPr>
      <w:r>
        <w:rPr>
          <w:rFonts w:hint="eastAsia" w:ascii="仿宋" w:hAnsi="仿宋" w:eastAsia="仿宋" w:cs="仿宋"/>
          <w:b/>
          <w:bCs/>
          <w:sz w:val="30"/>
          <w:szCs w:val="30"/>
        </w:rPr>
        <w:t>六、定标</w:t>
      </w:r>
    </w:p>
    <w:p>
      <w:pPr>
        <w:pStyle w:val="26"/>
        <w:spacing w:line="420" w:lineRule="exact"/>
        <w:ind w:firstLine="482" w:firstLineChars="200"/>
        <w:rPr>
          <w:rFonts w:hint="eastAsia" w:ascii="仿宋" w:hAnsi="仿宋" w:eastAsia="仿宋" w:cs="仿宋"/>
          <w:b/>
          <w:bCs/>
          <w:sz w:val="24"/>
        </w:rPr>
      </w:pPr>
    </w:p>
    <w:p>
      <w:pPr>
        <w:pStyle w:val="26"/>
        <w:spacing w:line="360" w:lineRule="auto"/>
        <w:ind w:firstLine="482" w:firstLineChars="200"/>
        <w:rPr>
          <w:rFonts w:hint="eastAsia" w:ascii="仿宋" w:hAnsi="仿宋" w:eastAsia="仿宋" w:cs="仿宋"/>
          <w:sz w:val="24"/>
        </w:rPr>
      </w:pPr>
      <w:r>
        <w:rPr>
          <w:rFonts w:hint="eastAsia" w:ascii="仿宋" w:hAnsi="仿宋" w:eastAsia="仿宋" w:cs="仿宋"/>
          <w:b/>
          <w:bCs/>
          <w:sz w:val="24"/>
        </w:rPr>
        <w:t>29.确定中标人。本项目由采购人确定中标人。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29.2第一名中标候选人无正当理由放弃中标成交或被取消中标资格的，将上报武义县财政局，武义县财政局将按《中华人民共和国政府采购法》、《武义县招投标市场不良行为记录暂行规定》等有关法律、法规、制度进行处理。</w:t>
      </w:r>
      <w:r>
        <w:rPr>
          <w:rFonts w:hint="eastAsia" w:ascii="仿宋" w:hAnsi="仿宋" w:eastAsia="仿宋" w:cs="仿宋"/>
          <w:b/>
          <w:color w:val="auto"/>
          <w:sz w:val="24"/>
        </w:rPr>
        <w:t>此标的将另行组织采购</w:t>
      </w:r>
      <w:r>
        <w:rPr>
          <w:rFonts w:hint="eastAsia" w:ascii="仿宋" w:hAnsi="仿宋" w:eastAsia="仿宋" w:cs="仿宋"/>
          <w:color w:val="auto"/>
          <w:sz w:val="24"/>
        </w:rPr>
        <w:t>。</w:t>
      </w:r>
    </w:p>
    <w:p>
      <w:pPr>
        <w:pStyle w:val="26"/>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30.中标通知与中标结果公告</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30.1采购结果经采购人确认后，采购代理机构将于2个工作日内在浙江省政府采购网上发布中标公告，并同时发放《中标通知书》，中标结果公告期限为1个工作日。《中标通知书》一经发出即发生法律效力。</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snapToGrid w:val="0"/>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31. 中标无效情形</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中标人存在下列情形之一的，中标无效：</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31.1提供虚假材料谋取中标的；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31.2采取不正当手段诋毁、排挤其他投标人的；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31.3与采购人、其他投标人恶意串通的；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31.4向采购人、采购代理机构行贿或者提供其他不正当利益的；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31.5在招标过程中与采购人进行协商谈判；不按照招标文件和投标文件订立合同或者与采购人另行背离合同实质性内容的协议的；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31.6拖延、拒签合同的；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31.7存在法律、法规规定的其它损害采购人或采购单位利益或社会公共利益的情形的</w:t>
      </w:r>
      <w:r>
        <w:rPr>
          <w:rFonts w:hint="eastAsia" w:ascii="仿宋" w:hAnsi="仿宋" w:eastAsia="仿宋" w:cs="仿宋"/>
          <w:color w:val="auto"/>
          <w:sz w:val="24"/>
          <w:szCs w:val="24"/>
        </w:rPr>
        <w:t>。</w:t>
      </w:r>
    </w:p>
    <w:p>
      <w:pPr>
        <w:snapToGrid w:val="0"/>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32.重新招标</w:t>
      </w:r>
    </w:p>
    <w:p>
      <w:pPr>
        <w:snapToGrid w:val="0"/>
        <w:spacing w:line="360" w:lineRule="auto"/>
        <w:ind w:firstLine="470" w:firstLineChars="196"/>
        <w:rPr>
          <w:rFonts w:hint="eastAsia" w:ascii="仿宋" w:hAnsi="仿宋" w:eastAsia="仿宋" w:cs="仿宋"/>
          <w:b/>
          <w:bCs/>
          <w:color w:val="auto"/>
          <w:sz w:val="24"/>
        </w:rPr>
      </w:pPr>
      <w:r>
        <w:rPr>
          <w:rFonts w:hint="eastAsia" w:ascii="仿宋" w:hAnsi="仿宋" w:eastAsia="仿宋" w:cs="仿宋"/>
          <w:color w:val="auto"/>
          <w:sz w:val="24"/>
        </w:rPr>
        <w:t>投标截止时间及评审期间，出现有效供应商不足3家的，本项目流标，重新组织采购。</w:t>
      </w:r>
    </w:p>
    <w:p>
      <w:pPr>
        <w:snapToGrid w:val="0"/>
        <w:spacing w:line="420" w:lineRule="exact"/>
        <w:rPr>
          <w:rFonts w:hint="eastAsia" w:ascii="仿宋" w:hAnsi="仿宋" w:eastAsia="仿宋" w:cs="仿宋"/>
          <w:b/>
          <w:bCs/>
          <w:color w:val="auto"/>
          <w:sz w:val="24"/>
        </w:rPr>
      </w:pPr>
    </w:p>
    <w:p>
      <w:pPr>
        <w:snapToGrid w:val="0"/>
        <w:spacing w:line="420" w:lineRule="exact"/>
        <w:ind w:firstLine="590" w:firstLineChars="196"/>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七、授予合同</w:t>
      </w:r>
    </w:p>
    <w:p>
      <w:pPr>
        <w:snapToGrid w:val="0"/>
        <w:spacing w:line="420" w:lineRule="exact"/>
        <w:ind w:firstLine="472" w:firstLineChars="196"/>
        <w:rPr>
          <w:rFonts w:hint="eastAsia" w:ascii="仿宋" w:hAnsi="仿宋" w:eastAsia="仿宋" w:cs="仿宋"/>
          <w:b/>
          <w:bCs/>
          <w:color w:val="auto"/>
          <w:sz w:val="24"/>
        </w:rPr>
      </w:pPr>
    </w:p>
    <w:p>
      <w:pPr>
        <w:snapToGrid w:val="0"/>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33.签订合同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33.1采购人与中标人应当在《中标通知书》发出之日起30日内签订政府采购合同。</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33.2招标文件、中标人的投标文件和评标过程中投标人的询标时作出的承诺及其澄清文件等作为合同签订的依据和主要附件。</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33.3合同一式陆份，采购单位和中标人各执两份，采</w:t>
      </w:r>
      <w:r>
        <w:rPr>
          <w:rFonts w:hint="eastAsia" w:ascii="仿宋" w:hAnsi="仿宋" w:eastAsia="仿宋" w:cs="仿宋"/>
          <w:b/>
          <w:bCs/>
          <w:color w:val="auto"/>
          <w:sz w:val="24"/>
          <w:lang w:eastAsia="zh-CN"/>
        </w:rPr>
        <w:t>监科</w:t>
      </w:r>
      <w:r>
        <w:rPr>
          <w:rFonts w:hint="eastAsia" w:ascii="仿宋" w:hAnsi="仿宋" w:eastAsia="仿宋" w:cs="仿宋"/>
          <w:b/>
          <w:bCs/>
          <w:color w:val="auto"/>
          <w:sz w:val="24"/>
        </w:rPr>
        <w:t>、代理机构各执一份。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33.4中标人和采购单位不得擅自变更、中止或者终止合同，不得另外订立背离合同实质性内容的其它协议。</w:t>
      </w:r>
    </w:p>
    <w:p>
      <w:pPr>
        <w:snapToGrid w:val="0"/>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34.履约保证金</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34.1中标人在签订采购合同前，应按招标文件要求向采购人提交履约保证金，履约保证金作为中标人在履行合同合服务承诺的保证。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34.2中标人应当以支票、汇票、本票等非现金形式提交。中标人在履行完合同约定事项后，采购人应及时退还履约保证金。履约保证金不计息。</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34.3签订合同后，如中标人不按双方合同约定履约，则没收其全部履约保证金，履约保证金不足以赔偿损失的，按实际损失赔偿。</w:t>
      </w:r>
    </w:p>
    <w:p>
      <w:pPr>
        <w:spacing w:line="420" w:lineRule="exact"/>
        <w:ind w:firstLine="480" w:firstLineChars="200"/>
        <w:rPr>
          <w:rFonts w:hint="eastAsia" w:ascii="仿宋" w:hAnsi="仿宋" w:eastAsia="仿宋" w:cs="仿宋"/>
          <w:color w:val="auto"/>
          <w:sz w:val="24"/>
        </w:rPr>
      </w:pPr>
    </w:p>
    <w:p>
      <w:pPr>
        <w:pStyle w:val="2"/>
        <w:spacing w:before="0" w:after="0" w:line="420" w:lineRule="exact"/>
        <w:jc w:val="center"/>
        <w:rPr>
          <w:rFonts w:hint="eastAsia" w:ascii="仿宋" w:hAnsi="仿宋" w:eastAsia="仿宋" w:cs="仿宋"/>
          <w:sz w:val="30"/>
          <w:szCs w:val="30"/>
        </w:rPr>
      </w:pPr>
      <w:bookmarkStart w:id="7" w:name="_Toc352165696"/>
      <w:bookmarkStart w:id="8" w:name="_Toc339459646"/>
      <w:bookmarkStart w:id="9" w:name="_Toc125344511"/>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spacing w:line="420" w:lineRule="exact"/>
        <w:rPr>
          <w:rFonts w:hint="eastAsia" w:ascii="仿宋" w:hAnsi="仿宋" w:eastAsia="仿宋" w:cs="仿宋"/>
          <w:color w:val="auto"/>
          <w:sz w:val="24"/>
        </w:rPr>
      </w:pPr>
    </w:p>
    <w:p>
      <w:pPr>
        <w:pStyle w:val="16"/>
        <w:ind w:firstLine="240"/>
        <w:rPr>
          <w:rFonts w:hint="eastAsia" w:ascii="仿宋" w:hAnsi="仿宋" w:eastAsia="仿宋" w:cs="仿宋"/>
          <w:sz w:val="24"/>
        </w:rPr>
      </w:pPr>
    </w:p>
    <w:p>
      <w:pPr>
        <w:pStyle w:val="17"/>
        <w:rPr>
          <w:rFonts w:hint="eastAsia" w:ascii="仿宋" w:hAnsi="仿宋" w:eastAsia="仿宋" w:cs="仿宋"/>
          <w:color w:val="auto"/>
          <w:sz w:val="24"/>
        </w:rPr>
      </w:pPr>
    </w:p>
    <w:p>
      <w:pPr>
        <w:rPr>
          <w:rFonts w:hint="eastAsia" w:ascii="仿宋" w:hAnsi="仿宋" w:eastAsia="仿宋" w:cs="仿宋"/>
        </w:rPr>
      </w:pPr>
    </w:p>
    <w:p>
      <w:pPr>
        <w:spacing w:line="420" w:lineRule="exact"/>
        <w:ind w:firstLine="602" w:firstLineChars="20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八、质疑和投诉</w:t>
      </w:r>
    </w:p>
    <w:p>
      <w:pPr>
        <w:spacing w:line="420" w:lineRule="exact"/>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36.1开标过程中，投标人对开标有异议的，应当在“政采云”平台上及时提出，评审委员应对异常情况制作相关记录。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36.3质疑投诉的相关规定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（一）质疑投诉递交的资料需为书面材料。质疑投诉书面材料需法人代表人（或负责人）或授权代表签字并加盖公章。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（二）质疑投诉属于以下情况之一的，将不予受理：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(1).质疑投诉人不是所投诉项目的参与者，或者与质疑投诉项目无任何利害关系。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(2).质疑投诉事项不具体，且未提供有效线索，难以查证。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(3).未提供书面质疑或者质疑未加盖公章的；投诉人为法人或者其他组织，其投诉书未经法定代表人或者主要负责人签字并加盖公章的。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(4).已超过招标文件规定质疑投诉提出期限的事项。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(5).投诉事项已作出处理决定，并且投诉人没有提出新的证据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(6).质疑投诉的事项已经进入行政复议或者行政诉讼程序的；投诉事项应先提出质疑而没有提出质疑的。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(7).不符合《政府采购质疑和投诉办法》（财政部令第94号）等有关规定的投诉。</w:t>
      </w:r>
    </w:p>
    <w:bookmarkEnd w:id="7"/>
    <w:bookmarkEnd w:id="8"/>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p>
    <w:p>
      <w:pPr>
        <w:pStyle w:val="2"/>
        <w:spacing w:before="0" w:after="0" w:line="420" w:lineRule="exact"/>
        <w:jc w:val="center"/>
        <w:rPr>
          <w:rFonts w:hint="eastAsia" w:ascii="仿宋" w:hAnsi="仿宋" w:eastAsia="仿宋" w:cs="仿宋"/>
          <w:sz w:val="30"/>
          <w:szCs w:val="30"/>
        </w:rPr>
      </w:pPr>
      <w:r>
        <w:rPr>
          <w:rFonts w:hint="eastAsia" w:ascii="仿宋" w:hAnsi="仿宋" w:eastAsia="仿宋" w:cs="仿宋"/>
          <w:sz w:val="30"/>
          <w:szCs w:val="30"/>
        </w:rPr>
        <w:t>九、监督和解释</w:t>
      </w:r>
      <w:bookmarkEnd w:id="9"/>
    </w:p>
    <w:p>
      <w:pPr>
        <w:spacing w:line="420" w:lineRule="exact"/>
        <w:ind w:firstLine="482" w:firstLineChars="200"/>
        <w:rPr>
          <w:rFonts w:hint="eastAsia" w:ascii="仿宋" w:hAnsi="仿宋" w:eastAsia="仿宋" w:cs="仿宋"/>
          <w:b/>
          <w:bCs/>
          <w:color w:val="auto"/>
          <w:sz w:val="24"/>
        </w:rPr>
      </w:pPr>
    </w:p>
    <w:p>
      <w:pPr>
        <w:spacing w:line="420" w:lineRule="exact"/>
        <w:ind w:firstLine="480" w:firstLineChars="200"/>
        <w:rPr>
          <w:rFonts w:hint="eastAsia" w:ascii="仿宋" w:hAnsi="仿宋" w:eastAsia="仿宋" w:cs="仿宋"/>
          <w:color w:val="auto"/>
          <w:sz w:val="36"/>
          <w:szCs w:val="36"/>
        </w:rPr>
      </w:pPr>
      <w:r>
        <w:rPr>
          <w:rFonts w:hint="eastAsia" w:ascii="仿宋" w:hAnsi="仿宋" w:eastAsia="仿宋" w:cs="仿宋"/>
          <w:color w:val="auto"/>
          <w:sz w:val="24"/>
        </w:rPr>
        <w:t>37.本招标文件的解释权属于采购人和浙江日晟信息咨询有限公司。</w:t>
      </w:r>
    </w:p>
    <w:p>
      <w:pPr>
        <w:spacing w:line="420" w:lineRule="exact"/>
        <w:ind w:firstLine="480" w:firstLineChars="200"/>
        <w:rPr>
          <w:rFonts w:hint="eastAsia" w:ascii="仿宋" w:hAnsi="仿宋" w:eastAsia="仿宋" w:cs="仿宋"/>
          <w:sz w:val="24"/>
          <w:szCs w:val="24"/>
        </w:rPr>
      </w:pPr>
    </w:p>
    <w:p>
      <w:pPr>
        <w:spacing w:line="420" w:lineRule="exact"/>
        <w:rPr>
          <w:rFonts w:hint="eastAsia" w:ascii="仿宋" w:hAnsi="仿宋" w:eastAsia="仿宋" w:cs="仿宋"/>
          <w:b/>
          <w:color w:val="auto"/>
          <w:lang w:bidi="ar"/>
        </w:rPr>
      </w:pPr>
    </w:p>
    <w:p>
      <w:pPr>
        <w:spacing w:line="400" w:lineRule="exact"/>
        <w:jc w:val="center"/>
        <w:rPr>
          <w:rFonts w:hint="eastAsia" w:ascii="仿宋" w:hAnsi="仿宋" w:eastAsia="仿宋" w:cs="仿宋"/>
          <w:b/>
          <w:bCs/>
          <w:sz w:val="24"/>
          <w:szCs w:val="24"/>
        </w:rPr>
      </w:pPr>
      <w:r>
        <w:rPr>
          <w:rFonts w:hint="eastAsia" w:ascii="仿宋" w:hAnsi="仿宋" w:eastAsia="仿宋" w:cs="仿宋"/>
          <w:b/>
          <w:color w:val="auto"/>
          <w:sz w:val="32"/>
          <w:szCs w:val="32"/>
        </w:rPr>
        <w:br w:type="page"/>
      </w:r>
      <w:r>
        <w:rPr>
          <w:rFonts w:hint="eastAsia" w:ascii="仿宋" w:hAnsi="仿宋" w:eastAsia="仿宋" w:cs="仿宋"/>
          <w:b/>
          <w:color w:val="auto"/>
          <w:sz w:val="36"/>
          <w:szCs w:val="36"/>
        </w:rPr>
        <w:t>第三章  招标需求</w:t>
      </w:r>
    </w:p>
    <w:p>
      <w:pPr>
        <w:spacing w:line="360" w:lineRule="auto"/>
        <w:ind w:firstLine="480" w:firstLineChars="200"/>
        <w:jc w:val="left"/>
        <w:rPr>
          <w:rFonts w:hint="eastAsia" w:ascii="仿宋" w:hAnsi="仿宋" w:eastAsia="仿宋" w:cs="仿宋"/>
          <w:sz w:val="24"/>
          <w:szCs w:val="24"/>
        </w:rPr>
      </w:pPr>
      <w:bookmarkStart w:id="10" w:name="OLE_LINK6"/>
      <w:bookmarkStart w:id="11" w:name="OLE_LINK5"/>
    </w:p>
    <w:bookmarkEnd w:id="10"/>
    <w:bookmarkEnd w:id="11"/>
    <w:p>
      <w:pPr>
        <w:pStyle w:val="19"/>
        <w:snapToGrid w:val="0"/>
        <w:spacing w:line="420" w:lineRule="atLeast"/>
        <w:rPr>
          <w:rFonts w:ascii="仿宋" w:hAnsi="仿宋" w:eastAsia="仿宋"/>
          <w:b/>
          <w:bCs/>
        </w:rPr>
      </w:pPr>
      <w:r>
        <w:rPr>
          <w:rFonts w:hint="eastAsia" w:ascii="仿宋" w:hAnsi="仿宋" w:eastAsia="仿宋"/>
          <w:b/>
          <w:bCs/>
        </w:rPr>
        <w:t>一、采购项目情况</w:t>
      </w:r>
    </w:p>
    <w:tbl>
      <w:tblPr>
        <w:tblStyle w:val="31"/>
        <w:tblpPr w:leftFromText="180" w:rightFromText="180" w:vertAnchor="text" w:horzAnchor="page" w:tblpX="1431" w:tblpY="539"/>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073"/>
        <w:gridCol w:w="1225"/>
        <w:gridCol w:w="1262"/>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53" w:type="dxa"/>
            <w:tcBorders>
              <w:top w:val="single" w:color="auto" w:sz="4" w:space="0"/>
              <w:left w:val="single" w:color="auto" w:sz="4" w:space="0"/>
              <w:bottom w:val="single" w:color="auto" w:sz="4" w:space="0"/>
              <w:right w:val="single" w:color="auto" w:sz="4" w:space="0"/>
            </w:tcBorders>
            <w:shd w:val="clear" w:color="auto" w:fill="BEBEBE"/>
            <w:noWrap/>
            <w:vAlign w:val="center"/>
          </w:tcPr>
          <w:p>
            <w:pPr>
              <w:jc w:val="center"/>
              <w:rPr>
                <w:rFonts w:ascii="仿宋" w:hAnsi="仿宋" w:eastAsia="仿宋"/>
                <w:b/>
                <w:bCs/>
                <w:kern w:val="2"/>
                <w:sz w:val="24"/>
                <w:szCs w:val="24"/>
              </w:rPr>
            </w:pPr>
            <w:r>
              <w:rPr>
                <w:rFonts w:hint="eastAsia" w:ascii="仿宋" w:hAnsi="仿宋" w:eastAsia="仿宋"/>
                <w:b/>
                <w:bCs/>
                <w:kern w:val="2"/>
                <w:sz w:val="24"/>
                <w:szCs w:val="24"/>
              </w:rPr>
              <w:t>序号</w:t>
            </w:r>
          </w:p>
        </w:tc>
        <w:tc>
          <w:tcPr>
            <w:tcW w:w="4073" w:type="dxa"/>
            <w:tcBorders>
              <w:top w:val="single" w:color="auto" w:sz="4" w:space="0"/>
              <w:left w:val="single" w:color="auto" w:sz="4" w:space="0"/>
              <w:bottom w:val="single" w:color="auto" w:sz="4" w:space="0"/>
              <w:right w:val="single" w:color="auto" w:sz="4" w:space="0"/>
            </w:tcBorders>
            <w:shd w:val="clear" w:color="auto" w:fill="BEBEBE"/>
            <w:noWrap/>
            <w:vAlign w:val="center"/>
          </w:tcPr>
          <w:p>
            <w:pPr>
              <w:jc w:val="center"/>
              <w:rPr>
                <w:rFonts w:ascii="仿宋" w:hAnsi="仿宋" w:eastAsia="仿宋"/>
                <w:b/>
                <w:bCs/>
                <w:kern w:val="2"/>
                <w:sz w:val="24"/>
                <w:szCs w:val="24"/>
              </w:rPr>
            </w:pPr>
            <w:r>
              <w:rPr>
                <w:rFonts w:hint="eastAsia" w:ascii="仿宋" w:hAnsi="仿宋" w:eastAsia="仿宋"/>
                <w:b/>
                <w:bCs/>
                <w:kern w:val="2"/>
                <w:sz w:val="24"/>
                <w:szCs w:val="24"/>
              </w:rPr>
              <w:t>项目名称</w:t>
            </w:r>
          </w:p>
        </w:tc>
        <w:tc>
          <w:tcPr>
            <w:tcW w:w="1225" w:type="dxa"/>
            <w:tcBorders>
              <w:top w:val="single" w:color="auto" w:sz="4" w:space="0"/>
              <w:left w:val="single" w:color="auto" w:sz="4" w:space="0"/>
              <w:bottom w:val="single" w:color="auto" w:sz="4" w:space="0"/>
              <w:right w:val="single" w:color="auto" w:sz="4" w:space="0"/>
            </w:tcBorders>
            <w:shd w:val="clear" w:color="auto" w:fill="BEBEBE"/>
            <w:noWrap/>
            <w:vAlign w:val="center"/>
          </w:tcPr>
          <w:p>
            <w:pPr>
              <w:jc w:val="center"/>
              <w:rPr>
                <w:rFonts w:ascii="仿宋" w:hAnsi="仿宋" w:eastAsia="仿宋"/>
                <w:b/>
                <w:bCs/>
                <w:kern w:val="2"/>
                <w:sz w:val="24"/>
                <w:szCs w:val="24"/>
              </w:rPr>
            </w:pPr>
            <w:r>
              <w:rPr>
                <w:rFonts w:hint="eastAsia" w:ascii="仿宋" w:hAnsi="仿宋" w:eastAsia="仿宋"/>
                <w:b/>
                <w:bCs/>
                <w:kern w:val="2"/>
                <w:sz w:val="24"/>
                <w:szCs w:val="24"/>
              </w:rPr>
              <w:t>数量</w:t>
            </w:r>
          </w:p>
        </w:tc>
        <w:tc>
          <w:tcPr>
            <w:tcW w:w="1262" w:type="dxa"/>
            <w:tcBorders>
              <w:top w:val="single" w:color="auto" w:sz="4" w:space="0"/>
              <w:left w:val="single" w:color="auto" w:sz="4" w:space="0"/>
              <w:bottom w:val="single" w:color="auto" w:sz="4" w:space="0"/>
              <w:right w:val="single" w:color="auto" w:sz="4" w:space="0"/>
            </w:tcBorders>
            <w:shd w:val="clear" w:color="auto" w:fill="BEBEBE"/>
            <w:noWrap/>
            <w:vAlign w:val="center"/>
          </w:tcPr>
          <w:p>
            <w:pPr>
              <w:jc w:val="center"/>
              <w:rPr>
                <w:rFonts w:ascii="仿宋" w:hAnsi="仿宋" w:eastAsia="仿宋"/>
                <w:b/>
                <w:bCs/>
                <w:kern w:val="2"/>
                <w:sz w:val="24"/>
                <w:szCs w:val="24"/>
              </w:rPr>
            </w:pPr>
            <w:r>
              <w:rPr>
                <w:rFonts w:hint="eastAsia" w:ascii="仿宋" w:hAnsi="仿宋" w:eastAsia="仿宋"/>
                <w:b/>
                <w:bCs/>
                <w:kern w:val="2"/>
                <w:sz w:val="24"/>
                <w:szCs w:val="24"/>
              </w:rPr>
              <w:t>预算价</w:t>
            </w:r>
          </w:p>
          <w:p>
            <w:pPr>
              <w:jc w:val="center"/>
              <w:rPr>
                <w:rFonts w:ascii="仿宋" w:hAnsi="仿宋" w:eastAsia="仿宋"/>
                <w:b/>
                <w:bCs/>
                <w:kern w:val="2"/>
                <w:sz w:val="24"/>
                <w:szCs w:val="24"/>
              </w:rPr>
            </w:pPr>
            <w:r>
              <w:rPr>
                <w:rFonts w:hint="eastAsia" w:ascii="仿宋" w:hAnsi="仿宋" w:eastAsia="仿宋"/>
                <w:b/>
                <w:bCs/>
                <w:kern w:val="2"/>
                <w:sz w:val="24"/>
                <w:szCs w:val="24"/>
              </w:rPr>
              <w:t>（万元）</w:t>
            </w:r>
          </w:p>
        </w:tc>
        <w:tc>
          <w:tcPr>
            <w:tcW w:w="1987" w:type="dxa"/>
            <w:tcBorders>
              <w:top w:val="single" w:color="auto" w:sz="4" w:space="0"/>
              <w:left w:val="single" w:color="auto" w:sz="4" w:space="0"/>
              <w:bottom w:val="single" w:color="auto" w:sz="4" w:space="0"/>
              <w:right w:val="single" w:color="auto" w:sz="4" w:space="0"/>
            </w:tcBorders>
            <w:shd w:val="clear" w:color="auto" w:fill="BEBEBE"/>
            <w:noWrap/>
            <w:vAlign w:val="center"/>
          </w:tcPr>
          <w:p>
            <w:pPr>
              <w:jc w:val="center"/>
              <w:rPr>
                <w:rFonts w:ascii="仿宋" w:hAnsi="仿宋" w:eastAsia="仿宋"/>
                <w:b/>
                <w:bCs/>
                <w:kern w:val="2"/>
                <w:sz w:val="24"/>
                <w:szCs w:val="24"/>
              </w:rPr>
            </w:pPr>
            <w:r>
              <w:rPr>
                <w:rFonts w:hint="eastAsia" w:ascii="仿宋" w:hAnsi="仿宋" w:eastAsia="仿宋"/>
                <w:b/>
                <w:bCs/>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kern w:val="2"/>
                <w:sz w:val="24"/>
                <w:szCs w:val="24"/>
              </w:rPr>
            </w:pPr>
            <w:r>
              <w:rPr>
                <w:rFonts w:hint="eastAsia" w:ascii="仿宋" w:hAnsi="仿宋" w:eastAsia="仿宋"/>
                <w:kern w:val="2"/>
                <w:sz w:val="24"/>
                <w:szCs w:val="24"/>
              </w:rPr>
              <w:t>1</w:t>
            </w:r>
          </w:p>
        </w:tc>
        <w:tc>
          <w:tcPr>
            <w:tcW w:w="40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Cs/>
                <w:kern w:val="2"/>
                <w:sz w:val="24"/>
                <w:szCs w:val="24"/>
              </w:rPr>
            </w:pPr>
            <w:r>
              <w:rPr>
                <w:rFonts w:hint="eastAsia" w:ascii="仿宋" w:hAnsi="仿宋" w:eastAsia="仿宋"/>
                <w:kern w:val="2"/>
                <w:sz w:val="24"/>
                <w:szCs w:val="24"/>
              </w:rPr>
              <w:t>浙江省武义县第一人民医院安保服务外包项目</w:t>
            </w:r>
          </w:p>
        </w:tc>
        <w:tc>
          <w:tcPr>
            <w:tcW w:w="12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kern w:val="2"/>
                <w:sz w:val="24"/>
                <w:szCs w:val="24"/>
              </w:rPr>
            </w:pPr>
            <w:r>
              <w:rPr>
                <w:rFonts w:hint="eastAsia" w:ascii="仿宋" w:hAnsi="仿宋" w:eastAsia="仿宋"/>
                <w:kern w:val="2"/>
                <w:sz w:val="24"/>
                <w:szCs w:val="24"/>
              </w:rPr>
              <w:t>1项</w:t>
            </w: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kern w:val="2"/>
                <w:sz w:val="24"/>
                <w:szCs w:val="24"/>
              </w:rPr>
            </w:pPr>
            <w:r>
              <w:rPr>
                <w:rFonts w:hint="eastAsia" w:ascii="仿宋" w:hAnsi="仿宋" w:eastAsia="仿宋"/>
                <w:kern w:val="2"/>
                <w:sz w:val="24"/>
                <w:szCs w:val="24"/>
                <w:lang w:val="en-US" w:eastAsia="zh-CN"/>
              </w:rPr>
              <w:t>76</w:t>
            </w:r>
            <w:r>
              <w:rPr>
                <w:rFonts w:hint="eastAsia" w:ascii="仿宋" w:hAnsi="仿宋" w:eastAsia="仿宋"/>
                <w:kern w:val="2"/>
                <w:sz w:val="24"/>
                <w:szCs w:val="24"/>
              </w:rPr>
              <w:t>5</w:t>
            </w:r>
          </w:p>
        </w:tc>
        <w:tc>
          <w:tcPr>
            <w:tcW w:w="198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kern w:val="2"/>
                <w:sz w:val="24"/>
                <w:szCs w:val="24"/>
                <w:lang w:eastAsia="zh-CN"/>
              </w:rPr>
            </w:pPr>
            <w:r>
              <w:rPr>
                <w:rFonts w:hint="eastAsia" w:ascii="仿宋" w:hAnsi="仿宋" w:eastAsia="仿宋"/>
                <w:kern w:val="2"/>
                <w:sz w:val="24"/>
                <w:szCs w:val="24"/>
                <w:lang w:eastAsia="zh-CN"/>
              </w:rPr>
              <w:t>服务期</w:t>
            </w:r>
            <w:r>
              <w:rPr>
                <w:rFonts w:hint="eastAsia" w:ascii="仿宋" w:hAnsi="仿宋" w:eastAsia="仿宋"/>
                <w:kern w:val="2"/>
                <w:sz w:val="24"/>
                <w:szCs w:val="24"/>
              </w:rPr>
              <w:t>3年</w:t>
            </w:r>
            <w:r>
              <w:rPr>
                <w:rFonts w:hint="eastAsia" w:ascii="仿宋" w:hAnsi="仿宋" w:eastAsia="仿宋"/>
                <w:kern w:val="2"/>
                <w:sz w:val="24"/>
                <w:szCs w:val="24"/>
                <w:lang w:eastAsia="zh-CN"/>
              </w:rPr>
              <w:t>；</w:t>
            </w:r>
          </w:p>
          <w:p>
            <w:pPr>
              <w:jc w:val="center"/>
              <w:rPr>
                <w:rFonts w:hint="default" w:ascii="仿宋" w:hAnsi="仿宋" w:eastAsia="仿宋"/>
                <w:kern w:val="2"/>
                <w:sz w:val="24"/>
                <w:szCs w:val="24"/>
                <w:lang w:val="en-US" w:eastAsia="zh-CN"/>
              </w:rPr>
            </w:pPr>
            <w:r>
              <w:rPr>
                <w:rFonts w:hint="eastAsia" w:ascii="仿宋" w:hAnsi="仿宋" w:eastAsia="仿宋"/>
                <w:kern w:val="2"/>
                <w:sz w:val="24"/>
                <w:szCs w:val="24"/>
                <w:lang w:val="en-US" w:eastAsia="zh-CN"/>
              </w:rPr>
              <w:t>255万元/年。</w:t>
            </w:r>
          </w:p>
        </w:tc>
      </w:tr>
    </w:tbl>
    <w:p>
      <w:r>
        <w:t xml:space="preserve"> </w:t>
      </w:r>
    </w:p>
    <w:p>
      <w:pPr>
        <w:pStyle w:val="19"/>
        <w:snapToGrid w:val="0"/>
        <w:spacing w:line="420" w:lineRule="atLeast"/>
        <w:rPr>
          <w:rFonts w:hint="eastAsia" w:ascii="仿宋" w:hAnsi="仿宋" w:eastAsia="仿宋"/>
          <w:b/>
          <w:bCs/>
        </w:rPr>
      </w:pPr>
    </w:p>
    <w:p>
      <w:pPr>
        <w:pStyle w:val="19"/>
        <w:snapToGrid w:val="0"/>
        <w:spacing w:line="420" w:lineRule="atLeast"/>
        <w:rPr>
          <w:rFonts w:ascii="仿宋" w:hAnsi="仿宋" w:eastAsia="仿宋"/>
          <w:b/>
          <w:bCs/>
        </w:rPr>
      </w:pPr>
      <w:r>
        <w:rPr>
          <w:rFonts w:hint="eastAsia" w:ascii="仿宋" w:hAnsi="仿宋" w:eastAsia="仿宋"/>
          <w:b/>
          <w:bCs/>
        </w:rPr>
        <w:t>二、项目概述：</w:t>
      </w:r>
    </w:p>
    <w:p>
      <w:pPr>
        <w:pStyle w:val="19"/>
        <w:snapToGrid w:val="0"/>
        <w:spacing w:line="360" w:lineRule="auto"/>
        <w:ind w:firstLine="600" w:firstLineChars="250"/>
        <w:rPr>
          <w:rFonts w:ascii="仿宋" w:hAnsi="仿宋" w:eastAsia="仿宋"/>
        </w:rPr>
      </w:pPr>
      <w:r>
        <w:rPr>
          <w:rFonts w:hint="eastAsia" w:ascii="仿宋" w:hAnsi="仿宋" w:eastAsia="仿宋"/>
          <w:b w:val="0"/>
          <w:bCs w:val="0"/>
        </w:rPr>
        <w:t>1、浙江省武义县第一人民医院创办于1939年，现为浙江省二级甲等综合性公立医院。占地面积103741平方米，现有员工1100余人，平均住院病人数700余人，每天门诊约2300余人。为进一步加</w:t>
      </w:r>
      <w:r>
        <w:rPr>
          <w:rFonts w:hint="eastAsia" w:ascii="仿宋" w:hAnsi="仿宋" w:eastAsia="仿宋"/>
        </w:rPr>
        <w:t>强</w:t>
      </w:r>
      <w:r>
        <w:rPr>
          <w:rFonts w:hint="eastAsia" w:ascii="仿宋" w:hAnsi="仿宋" w:eastAsia="仿宋"/>
          <w:lang w:eastAsia="zh-CN"/>
        </w:rPr>
        <w:t>浙江省</w:t>
      </w:r>
      <w:r>
        <w:rPr>
          <w:rFonts w:hint="eastAsia" w:ascii="仿宋" w:hAnsi="仿宋" w:eastAsia="仿宋"/>
        </w:rPr>
        <w:t>武义县第一人民医院安保工作，现以公开招标采购的方式，确定一家保安服务单位，负责维护医院所属财物和人员的安全管理、门卫巡逻管理等保安服务工作</w:t>
      </w:r>
      <w:r>
        <w:rPr>
          <w:rFonts w:hint="eastAsia" w:ascii="仿宋" w:hAnsi="仿宋" w:eastAsia="仿宋" w:cs="Times New Roman"/>
        </w:rPr>
        <w:t>,医院在东西两门设有值班室,可供服务公司使用。</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rPr>
        <w:t>2.服务期限：本合同服务期限3年，为1+1+1模式。</w:t>
      </w:r>
      <w:r>
        <w:rPr>
          <w:rFonts w:hint="eastAsia" w:ascii="仿宋" w:hAnsi="仿宋" w:eastAsia="仿宋"/>
          <w:sz w:val="24"/>
          <w:szCs w:val="24"/>
          <w:highlight w:val="none"/>
        </w:rPr>
        <w:t>签订之日起壹年，考核优秀的，采购人认为可以延续服务的，续签1年再考核再续签的模式。</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如果发生以下情况，采购人有权提前中止合同：</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（1）由于保安管理工作失误，给采购人造成重大损失或造成重大影响的；</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（2）存在严重违反《劳动法》等法律法规行为的。</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3.本项目安保服务费</w:t>
      </w:r>
      <w:r>
        <w:rPr>
          <w:rFonts w:hint="eastAsia" w:ascii="仿宋" w:hAnsi="仿宋" w:eastAsia="仿宋"/>
          <w:sz w:val="24"/>
          <w:szCs w:val="24"/>
          <w:highlight w:val="none"/>
          <w:lang w:eastAsia="zh-CN"/>
        </w:rPr>
        <w:t>单价</w:t>
      </w:r>
      <w:r>
        <w:rPr>
          <w:rFonts w:hint="eastAsia" w:ascii="仿宋" w:hAnsi="仿宋" w:eastAsia="仿宋"/>
          <w:sz w:val="24"/>
          <w:szCs w:val="24"/>
          <w:highlight w:val="none"/>
        </w:rPr>
        <w:t>最高限价为：255万元/年。</w:t>
      </w:r>
      <w:r>
        <w:rPr>
          <w:rFonts w:hint="eastAsia" w:ascii="仿宋" w:hAnsi="仿宋" w:eastAsia="仿宋"/>
          <w:sz w:val="24"/>
          <w:szCs w:val="24"/>
          <w:highlight w:val="none"/>
          <w:lang w:val="en-US" w:eastAsia="zh-CN"/>
        </w:rPr>
        <w:t>投标人在填写总价的基础上，还应根据</w:t>
      </w:r>
      <w:r>
        <w:rPr>
          <w:rFonts w:hint="eastAsia" w:ascii="仿宋" w:hAnsi="仿宋" w:eastAsia="仿宋"/>
          <w:sz w:val="24"/>
          <w:szCs w:val="24"/>
          <w:highlight w:val="none"/>
        </w:rPr>
        <w:t>人员分类进行分项报价</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便于结算</w:t>
      </w:r>
      <w:r>
        <w:rPr>
          <w:rFonts w:hint="eastAsia" w:ascii="仿宋" w:hAnsi="仿宋" w:eastAsia="仿宋"/>
          <w:sz w:val="24"/>
          <w:szCs w:val="24"/>
          <w:highlight w:val="none"/>
        </w:rPr>
        <w:t>。</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投标报价包含员工工资、福利、保险费用（包括养老、工伤、失业、医疗）、装备、服装费、管理费用，企业利润，相关税费等。投标人须充分考虑实际服务内容和需求，针对自身实际情况，核算所需的成本及合理的利润，自行报价。</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（1）采购人不接受低于成本的投标报价，也不接受招标项目范围内的捐赠。</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（2）中标人应按法律政策有关规定，为职工交纳足额的社会保险，并按有关规定标准足额支付员工超时及节假日的加班费用。</w:t>
      </w:r>
    </w:p>
    <w:p>
      <w:pPr>
        <w:snapToGrid w:val="0"/>
        <w:spacing w:line="360" w:lineRule="auto"/>
        <w:ind w:firstLine="480" w:firstLineChars="200"/>
        <w:rPr>
          <w:rFonts w:ascii="仿宋" w:hAnsi="仿宋" w:eastAsia="仿宋"/>
          <w:b w:val="0"/>
          <w:bCs w:val="0"/>
          <w:sz w:val="24"/>
          <w:szCs w:val="24"/>
        </w:rPr>
      </w:pPr>
      <w:r>
        <w:rPr>
          <w:rFonts w:hint="eastAsia" w:ascii="仿宋" w:hAnsi="仿宋" w:eastAsia="仿宋"/>
          <w:b w:val="0"/>
          <w:bCs w:val="0"/>
          <w:sz w:val="24"/>
          <w:szCs w:val="24"/>
        </w:rPr>
        <w:t>（3）采购人不提供中标人职工的住宿用房及工作餐费。</w:t>
      </w:r>
    </w:p>
    <w:p>
      <w:pPr>
        <w:snapToGrid w:val="0"/>
        <w:spacing w:line="360" w:lineRule="auto"/>
        <w:ind w:firstLine="480" w:firstLineChars="200"/>
        <w:rPr>
          <w:rFonts w:hint="eastAsia" w:ascii="仿宋" w:hAnsi="仿宋" w:eastAsia="仿宋"/>
          <w:b w:val="0"/>
          <w:bCs w:val="0"/>
          <w:sz w:val="24"/>
          <w:szCs w:val="24"/>
          <w:lang w:eastAsia="zh-CN"/>
        </w:rPr>
      </w:pPr>
      <w:r>
        <w:rPr>
          <w:rFonts w:hint="eastAsia" w:ascii="仿宋" w:hAnsi="仿宋" w:eastAsia="仿宋"/>
          <w:b w:val="0"/>
          <w:bCs w:val="0"/>
          <w:sz w:val="24"/>
          <w:szCs w:val="24"/>
        </w:rPr>
        <w:t>（4）如果本项目需要削减中标人员工数量的，将按招标文件报价扣减相应费用</w:t>
      </w:r>
      <w:r>
        <w:rPr>
          <w:rFonts w:hint="eastAsia" w:ascii="仿宋" w:hAnsi="仿宋" w:eastAsia="仿宋"/>
          <w:b w:val="0"/>
          <w:bCs w:val="0"/>
          <w:sz w:val="24"/>
          <w:szCs w:val="24"/>
          <w:lang w:eastAsia="zh-CN"/>
        </w:rPr>
        <w:t>。</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 </w:t>
      </w:r>
    </w:p>
    <w:p>
      <w:pPr>
        <w:snapToGrid w:val="0"/>
        <w:spacing w:line="360" w:lineRule="auto"/>
        <w:rPr>
          <w:rFonts w:hint="eastAsia" w:ascii="仿宋" w:hAnsi="仿宋" w:eastAsia="仿宋"/>
          <w:b/>
          <w:bCs/>
          <w:sz w:val="24"/>
          <w:szCs w:val="24"/>
        </w:rPr>
      </w:pPr>
    </w:p>
    <w:p>
      <w:pPr>
        <w:snapToGrid w:val="0"/>
        <w:spacing w:line="360" w:lineRule="auto"/>
        <w:rPr>
          <w:rFonts w:hint="eastAsia" w:ascii="仿宋" w:hAnsi="仿宋" w:eastAsia="仿宋"/>
          <w:b/>
          <w:bCs/>
          <w:sz w:val="24"/>
          <w:szCs w:val="24"/>
        </w:rPr>
      </w:pPr>
    </w:p>
    <w:p>
      <w:pPr>
        <w:snapToGrid w:val="0"/>
        <w:spacing w:line="360" w:lineRule="auto"/>
        <w:rPr>
          <w:rFonts w:ascii="仿宋" w:hAnsi="仿宋" w:eastAsia="仿宋"/>
          <w:b/>
          <w:bCs/>
          <w:sz w:val="24"/>
          <w:szCs w:val="24"/>
        </w:rPr>
      </w:pPr>
      <w:r>
        <w:rPr>
          <w:rFonts w:hint="eastAsia" w:ascii="仿宋" w:hAnsi="仿宋" w:eastAsia="仿宋"/>
          <w:b/>
          <w:bCs/>
          <w:sz w:val="24"/>
          <w:szCs w:val="24"/>
        </w:rPr>
        <w:t>三、项目基本要求：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（一）保安服务要求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1.维护医院的正常工作生活秩序。负责 24 小时安全保卫、门、急诊、日常巡逻、值勤。负责按照院方要求对消防设施的进行巡查和检查，处置消防以及治安突发事件。做好医院“三个门”的疫情防控工作。</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2.做好医院防火、防盗、防投毒、防爆炸、防抢、防泄密、防治安灾害事故等安全防范工作。</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3.全天 24 小时停车场的管理和安全保卫值勤。指挥进入院内的车辆按规定车位整齐停放，维持交通秩序，纠正违规乱停乱放的车辆、并对违规司机进行教育。 医院自招的车辆管理人员由中标方负责日常管理和培训。</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4.值勤期间负责巡查医院区域内的情况，善于发现问题，对可疑情况要及时处理、作好记录并向后勤保障科报告。</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5.做好在医院内开展各项大型活动的安全保卫工作。</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6.对特设的重点区域、重点设备的安全保卫和管理。</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7.医院大型活动与大型会务工作等安全保障。 </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8.医院内发生重大安全事故的协助处理，突发灾害性事故的应急处置等。</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9.中标人指派到医院的保安员，同时接受双方双重领导和管理，遵守执行双方的有关规章制度。其中，中标人负责对保安员的政治思想教育、保安业务培训、保安勤务的安排和不定期进行勤务工作的检查督促。根据医院的工作要求，中标人对保安人员实行定责定岗，制定及不断完善各个岗位职责的规章制度，对保安人员进行定期的考核。</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10.双方共同加强对保安人员的管理，加强医院的安全保卫工作。保安员在工作时，如有责任心不强、违规违纪现象、对工作表现差的，采购人可提出调整意见，中标人应及时做出处理和调整。</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11.保安员发生意外工伤事故由中标人负责。</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12.因中标人未按采购人要求或中标人保安员工作失误造成事故的，由中标人负责。</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（二）服务人员准则</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全体保安人员必须遵守如下工作准则：</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1.职守岗位统一着装。</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2.上班时间佩戴工作牌。</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3.仪容仪表整洁、大方、得体。</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4.热情待人、文明礼貌、使用服务规范用语。开展微笑服务。</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5.坚守工作岗位，尽心尽责、不脱岗离岗，值守时严禁睡觉。</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6.遵守各项纪律和规章制度、服从院方安排。</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7.遵守安全工作规定及操作程序、及时发现不安全因素，正确处理突发事件。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8.不损坏、不拿取公共或用户的财物。</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 </w:t>
      </w:r>
    </w:p>
    <w:p>
      <w:pPr>
        <w:snapToGrid w:val="0"/>
        <w:spacing w:line="360" w:lineRule="auto"/>
        <w:rPr>
          <w:rFonts w:ascii="仿宋" w:hAnsi="仿宋" w:eastAsia="仿宋"/>
          <w:b/>
          <w:bCs/>
          <w:sz w:val="24"/>
          <w:szCs w:val="24"/>
        </w:rPr>
      </w:pPr>
      <w:r>
        <w:rPr>
          <w:rFonts w:hint="eastAsia" w:ascii="仿宋" w:hAnsi="仿宋" w:eastAsia="仿宋"/>
          <w:b/>
          <w:bCs/>
          <w:sz w:val="24"/>
          <w:szCs w:val="24"/>
        </w:rPr>
        <w:t>四、保安服务具体内容及要求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（一）安保人员配置要求：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1.保安人数要求：根据疫情期间以及非疫情期间分别做如下安排，采购单位可根据疫情形式、政策切换岗位状态，中单位须做出配合采购单位切换岗位配置的相关承诺。</w:t>
      </w:r>
    </w:p>
    <w:tbl>
      <w:tblPr>
        <w:tblStyle w:val="31"/>
        <w:tblW w:w="10066" w:type="dxa"/>
        <w:tblInd w:w="-267" w:type="dxa"/>
        <w:tblLayout w:type="fixed"/>
        <w:tblCellMar>
          <w:top w:w="0" w:type="dxa"/>
          <w:left w:w="108" w:type="dxa"/>
          <w:bottom w:w="0" w:type="dxa"/>
          <w:right w:w="108" w:type="dxa"/>
        </w:tblCellMar>
      </w:tblPr>
      <w:tblGrid>
        <w:gridCol w:w="862"/>
        <w:gridCol w:w="804"/>
        <w:gridCol w:w="875"/>
        <w:gridCol w:w="913"/>
        <w:gridCol w:w="875"/>
        <w:gridCol w:w="862"/>
        <w:gridCol w:w="4875"/>
      </w:tblGrid>
      <w:tr>
        <w:tblPrEx>
          <w:tblCellMar>
            <w:top w:w="0" w:type="dxa"/>
            <w:left w:w="108" w:type="dxa"/>
            <w:bottom w:w="0" w:type="dxa"/>
            <w:right w:w="108" w:type="dxa"/>
          </w:tblCellMar>
        </w:tblPrEx>
        <w:trPr>
          <w:trHeight w:val="499" w:hRule="atLeast"/>
        </w:trPr>
        <w:tc>
          <w:tcPr>
            <w:tcW w:w="10066"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15"/>
              <w:jc w:val="center"/>
              <w:rPr>
                <w:rFonts w:ascii="仿宋" w:hAnsi="仿宋" w:eastAsia="仿宋"/>
                <w:b/>
                <w:bCs/>
                <w:kern w:val="2"/>
                <w:sz w:val="24"/>
                <w:szCs w:val="24"/>
              </w:rPr>
            </w:pPr>
            <w:r>
              <w:rPr>
                <w:rFonts w:hint="eastAsia" w:ascii="仿宋" w:hAnsi="仿宋" w:eastAsia="仿宋"/>
                <w:b/>
                <w:bCs/>
                <w:kern w:val="2"/>
                <w:sz w:val="24"/>
                <w:szCs w:val="24"/>
              </w:rPr>
              <w:t>疫情期岗位需求</w:t>
            </w:r>
          </w:p>
        </w:tc>
      </w:tr>
      <w:tr>
        <w:tblPrEx>
          <w:tblCellMar>
            <w:top w:w="0" w:type="dxa"/>
            <w:left w:w="108" w:type="dxa"/>
            <w:bottom w:w="0" w:type="dxa"/>
            <w:right w:w="108" w:type="dxa"/>
          </w:tblCellMar>
        </w:tblPrEx>
        <w:trPr>
          <w:trHeight w:val="68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序号</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岗位</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白班</w:t>
            </w:r>
          </w:p>
        </w:tc>
        <w:tc>
          <w:tcPr>
            <w:tcW w:w="91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中班</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夜班</w:t>
            </w: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工作时间</w:t>
            </w:r>
          </w:p>
        </w:tc>
        <w:tc>
          <w:tcPr>
            <w:tcW w:w="4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岗位职责</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保安主管</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91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做六休一</w:t>
            </w:r>
          </w:p>
        </w:tc>
        <w:tc>
          <w:tcPr>
            <w:tcW w:w="48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kern w:val="2"/>
                <w:sz w:val="24"/>
                <w:szCs w:val="24"/>
              </w:rPr>
            </w:pPr>
            <w:r>
              <w:rPr>
                <w:rFonts w:hint="eastAsia" w:ascii="仿宋" w:hAnsi="仿宋" w:eastAsia="仿宋"/>
                <w:kern w:val="2"/>
                <w:sz w:val="24"/>
                <w:szCs w:val="24"/>
              </w:rPr>
              <w:t>1、各保安岗位、重点部位、院内人员密集场所、进出口巡逻。</w:t>
            </w:r>
            <w:r>
              <w:rPr>
                <w:rFonts w:hint="eastAsia" w:ascii="仿宋" w:hAnsi="仿宋" w:eastAsia="仿宋"/>
                <w:kern w:val="2"/>
                <w:sz w:val="24"/>
                <w:szCs w:val="24"/>
              </w:rPr>
              <w:br w:type="textWrapping"/>
            </w:r>
            <w:r>
              <w:rPr>
                <w:rFonts w:hint="eastAsia" w:ascii="仿宋" w:hAnsi="仿宋" w:eastAsia="仿宋"/>
                <w:kern w:val="2"/>
                <w:sz w:val="24"/>
                <w:szCs w:val="24"/>
              </w:rPr>
              <w:t>2、顶岗、顶队员吃饭。</w:t>
            </w:r>
            <w:r>
              <w:rPr>
                <w:rFonts w:hint="eastAsia" w:ascii="仿宋" w:hAnsi="仿宋" w:eastAsia="仿宋"/>
                <w:kern w:val="2"/>
                <w:sz w:val="24"/>
                <w:szCs w:val="24"/>
              </w:rPr>
              <w:br w:type="textWrapping"/>
            </w:r>
            <w:r>
              <w:rPr>
                <w:rFonts w:hint="eastAsia" w:ascii="仿宋" w:hAnsi="仿宋" w:eastAsia="仿宋"/>
                <w:kern w:val="2"/>
                <w:sz w:val="24"/>
                <w:szCs w:val="24"/>
              </w:rPr>
              <w:t>3、管理院内非机动车，组织队员对外来车辆进行清理。</w:t>
            </w:r>
            <w:r>
              <w:rPr>
                <w:rFonts w:hint="eastAsia" w:ascii="仿宋" w:hAnsi="仿宋" w:eastAsia="仿宋"/>
                <w:kern w:val="2"/>
                <w:sz w:val="24"/>
                <w:szCs w:val="24"/>
              </w:rPr>
              <w:br w:type="textWrapping"/>
            </w:r>
            <w:r>
              <w:rPr>
                <w:rFonts w:hint="eastAsia" w:ascii="仿宋" w:hAnsi="仿宋" w:eastAsia="仿宋"/>
                <w:kern w:val="2"/>
                <w:sz w:val="24"/>
                <w:szCs w:val="24"/>
              </w:rPr>
              <w:t>4、队员考勤、考核。</w:t>
            </w:r>
            <w:r>
              <w:rPr>
                <w:rFonts w:hint="eastAsia" w:ascii="仿宋" w:hAnsi="仿宋" w:eastAsia="仿宋"/>
                <w:kern w:val="2"/>
                <w:sz w:val="24"/>
                <w:szCs w:val="24"/>
              </w:rPr>
              <w:br w:type="textWrapping"/>
            </w:r>
            <w:r>
              <w:rPr>
                <w:rFonts w:hint="eastAsia" w:ascii="仿宋" w:hAnsi="仿宋" w:eastAsia="仿宋"/>
                <w:kern w:val="2"/>
                <w:sz w:val="24"/>
                <w:szCs w:val="24"/>
              </w:rPr>
              <w:t>5、处理保安岗位及其他各种突发事件。</w:t>
            </w:r>
          </w:p>
        </w:tc>
      </w:tr>
      <w:tr>
        <w:tblPrEx>
          <w:tblCellMar>
            <w:top w:w="0" w:type="dxa"/>
            <w:left w:w="108" w:type="dxa"/>
            <w:bottom w:w="0" w:type="dxa"/>
            <w:right w:w="108" w:type="dxa"/>
          </w:tblCellMar>
        </w:tblPrEx>
        <w:trPr>
          <w:trHeight w:val="382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西大门人行道保安</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91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FF0000"/>
                <w:kern w:val="2"/>
                <w:sz w:val="24"/>
                <w:szCs w:val="24"/>
              </w:rPr>
            </w:pPr>
            <w:r>
              <w:rPr>
                <w:rFonts w:hint="eastAsia" w:ascii="仿宋" w:hAnsi="仿宋" w:eastAsia="仿宋"/>
                <w:kern w:val="2"/>
                <w:sz w:val="24"/>
                <w:szCs w:val="24"/>
              </w:rPr>
              <w:t>1</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三班倒</w:t>
            </w:r>
          </w:p>
        </w:tc>
        <w:tc>
          <w:tcPr>
            <w:tcW w:w="4875" w:type="dxa"/>
            <w:vMerge w:val="restart"/>
            <w:tcBorders>
              <w:top w:val="nil"/>
              <w:left w:val="nil"/>
              <w:bottom w:val="nil"/>
              <w:right w:val="single" w:color="000000" w:sz="4" w:space="0"/>
            </w:tcBorders>
            <w:noWrap w:val="0"/>
            <w:vAlign w:val="center"/>
          </w:tcPr>
          <w:p>
            <w:pPr>
              <w:widowControl/>
              <w:numPr>
                <w:ilvl w:val="0"/>
                <w:numId w:val="2"/>
              </w:numPr>
              <w:jc w:val="left"/>
              <w:textAlignment w:val="center"/>
              <w:rPr>
                <w:rFonts w:ascii="仿宋" w:hAnsi="仿宋" w:eastAsia="仿宋"/>
                <w:kern w:val="2"/>
                <w:sz w:val="24"/>
                <w:szCs w:val="24"/>
              </w:rPr>
            </w:pPr>
            <w:r>
              <w:rPr>
                <w:rFonts w:hint="eastAsia" w:ascii="仿宋" w:hAnsi="仿宋" w:eastAsia="仿宋"/>
                <w:kern w:val="2"/>
                <w:sz w:val="24"/>
                <w:szCs w:val="24"/>
              </w:rPr>
              <w:t>负责各类重大事故的现场保卫、警戒工作</w:t>
            </w:r>
            <w:r>
              <w:rPr>
                <w:rFonts w:hint="eastAsia" w:ascii="仿宋" w:hAnsi="仿宋" w:eastAsia="仿宋"/>
                <w:kern w:val="2"/>
                <w:sz w:val="24"/>
                <w:szCs w:val="24"/>
              </w:rPr>
              <w:br w:type="textWrapping"/>
            </w:r>
            <w:r>
              <w:rPr>
                <w:rFonts w:hint="eastAsia" w:ascii="仿宋" w:hAnsi="仿宋" w:eastAsia="仿宋"/>
                <w:kern w:val="2"/>
                <w:sz w:val="24"/>
                <w:szCs w:val="24"/>
              </w:rPr>
              <w:t>2.负责维持门口进出秩序，保证出入口畅通；</w:t>
            </w:r>
            <w:r>
              <w:rPr>
                <w:rFonts w:hint="eastAsia" w:ascii="仿宋" w:hAnsi="仿宋" w:eastAsia="仿宋"/>
                <w:kern w:val="2"/>
                <w:sz w:val="24"/>
                <w:szCs w:val="24"/>
              </w:rPr>
              <w:br w:type="textWrapping"/>
            </w:r>
            <w:r>
              <w:rPr>
                <w:rFonts w:hint="eastAsia" w:ascii="仿宋" w:hAnsi="仿宋" w:eastAsia="仿宋"/>
                <w:kern w:val="2"/>
                <w:sz w:val="24"/>
                <w:szCs w:val="24"/>
              </w:rPr>
              <w:t>3.密切关注出入人员，劝离拾荒、乞讨、吸烟等闲杂人员（推销人员、携带烟火或危险物品进入院区范围内活动的人员），阻止营运性大巴到院内拉客。</w:t>
            </w:r>
            <w:r>
              <w:rPr>
                <w:rFonts w:hint="eastAsia" w:ascii="仿宋" w:hAnsi="仿宋" w:eastAsia="仿宋"/>
                <w:kern w:val="2"/>
                <w:sz w:val="24"/>
                <w:szCs w:val="24"/>
              </w:rPr>
              <w:br w:type="textWrapping"/>
            </w:r>
            <w:r>
              <w:rPr>
                <w:rFonts w:hint="eastAsia" w:ascii="仿宋" w:hAnsi="仿宋" w:eastAsia="仿宋"/>
                <w:kern w:val="2"/>
                <w:sz w:val="24"/>
                <w:szCs w:val="24"/>
              </w:rPr>
              <w:t>4.对于带出院区的大件物品，要检查证件进行登记和收取物品出门单。</w:t>
            </w:r>
          </w:p>
          <w:p>
            <w:pPr>
              <w:widowControl/>
              <w:jc w:val="left"/>
              <w:textAlignment w:val="center"/>
              <w:rPr>
                <w:rFonts w:ascii="仿宋" w:hAnsi="仿宋" w:eastAsia="仿宋"/>
                <w:kern w:val="2"/>
                <w:sz w:val="24"/>
                <w:szCs w:val="24"/>
              </w:rPr>
            </w:pPr>
            <w:r>
              <w:rPr>
                <w:rFonts w:hint="eastAsia" w:ascii="仿宋" w:hAnsi="仿宋" w:eastAsia="仿宋"/>
                <w:kern w:val="2"/>
                <w:sz w:val="24"/>
                <w:szCs w:val="24"/>
              </w:rPr>
              <w:t>5.对行动不方便的人员主动提供帮助。</w:t>
            </w:r>
            <w:r>
              <w:rPr>
                <w:rFonts w:hint="eastAsia" w:ascii="仿宋" w:hAnsi="仿宋" w:eastAsia="仿宋"/>
                <w:kern w:val="2"/>
                <w:sz w:val="24"/>
                <w:szCs w:val="24"/>
              </w:rPr>
              <w:br w:type="textWrapping"/>
            </w:r>
            <w:r>
              <w:rPr>
                <w:rFonts w:hint="eastAsia" w:ascii="仿宋" w:hAnsi="仿宋" w:eastAsia="仿宋"/>
                <w:kern w:val="2"/>
                <w:sz w:val="24"/>
                <w:szCs w:val="24"/>
              </w:rPr>
              <w:t>6.配合门口**室、城管做好日常工作</w:t>
            </w:r>
            <w:r>
              <w:rPr>
                <w:rFonts w:hint="eastAsia" w:ascii="仿宋" w:hAnsi="仿宋" w:eastAsia="仿宋"/>
                <w:kern w:val="2"/>
                <w:sz w:val="24"/>
                <w:szCs w:val="24"/>
              </w:rPr>
              <w:br w:type="textWrapping"/>
            </w:r>
            <w:r>
              <w:rPr>
                <w:rFonts w:hint="eastAsia" w:ascii="仿宋" w:hAnsi="仿宋" w:eastAsia="仿宋"/>
                <w:kern w:val="2"/>
                <w:sz w:val="24"/>
                <w:szCs w:val="24"/>
              </w:rPr>
              <w:t>7.政府、公安、120、开会、院领导、正高、科室负责人、体检等特殊车辆放行。</w:t>
            </w:r>
            <w:r>
              <w:rPr>
                <w:rFonts w:hint="eastAsia" w:ascii="仿宋" w:hAnsi="仿宋" w:eastAsia="仿宋"/>
                <w:kern w:val="2"/>
                <w:sz w:val="24"/>
                <w:szCs w:val="24"/>
              </w:rPr>
              <w:br w:type="textWrapping"/>
            </w:r>
            <w:r>
              <w:rPr>
                <w:rFonts w:hint="eastAsia" w:ascii="仿宋" w:hAnsi="仿宋" w:eastAsia="仿宋"/>
                <w:kern w:val="2"/>
                <w:sz w:val="24"/>
                <w:szCs w:val="24"/>
              </w:rPr>
              <w:t>8、高峰期管理大门口两侧非机动车。</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3</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西大门车道保安</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91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olor w:val="FF0000"/>
                <w:kern w:val="2"/>
                <w:sz w:val="24"/>
                <w:szCs w:val="24"/>
              </w:rPr>
            </w:pPr>
            <w:r>
              <w:rPr>
                <w:rFonts w:hint="eastAsia" w:ascii="仿宋" w:hAnsi="仿宋" w:eastAsia="仿宋"/>
                <w:kern w:val="2"/>
                <w:sz w:val="24"/>
                <w:szCs w:val="24"/>
              </w:rPr>
              <w:t>1</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白班、中班</w:t>
            </w:r>
          </w:p>
        </w:tc>
        <w:tc>
          <w:tcPr>
            <w:tcW w:w="4875" w:type="dxa"/>
            <w:vMerge w:val="continue"/>
            <w:tcBorders>
              <w:top w:val="nil"/>
              <w:left w:val="nil"/>
              <w:bottom w:val="nil"/>
              <w:right w:val="single" w:color="000000" w:sz="4" w:space="0"/>
            </w:tcBorders>
            <w:noWrap w:val="0"/>
            <w:vAlign w:val="center"/>
          </w:tcPr>
          <w:p>
            <w:pPr>
              <w:widowControl/>
              <w:autoSpaceDE/>
              <w:autoSpaceDN/>
              <w:adjustRightInd/>
              <w:jc w:val="left"/>
              <w:rPr>
                <w:rFonts w:ascii="仿宋" w:hAnsi="仿宋" w:eastAsia="仿宋"/>
                <w:kern w:val="2"/>
                <w:sz w:val="24"/>
                <w:szCs w:val="24"/>
              </w:rPr>
            </w:pP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4</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24小时核酸采集点</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913" w:type="dxa"/>
            <w:tcBorders>
              <w:top w:val="single" w:color="000000" w:sz="4" w:space="0"/>
              <w:left w:val="nil"/>
              <w:bottom w:val="single" w:color="000000" w:sz="4" w:space="0"/>
              <w:right w:val="single" w:color="000000" w:sz="4" w:space="0"/>
            </w:tcBorders>
            <w:noWrap w:val="0"/>
            <w:vAlign w:val="center"/>
          </w:tcPr>
          <w:p>
            <w:pPr>
              <w:ind w:firstLine="240" w:firstLineChars="100"/>
              <w:jc w:val="both"/>
              <w:rPr>
                <w:rFonts w:ascii="仿宋" w:hAnsi="仿宋" w:eastAsia="仿宋"/>
                <w:kern w:val="2"/>
                <w:sz w:val="24"/>
                <w:szCs w:val="24"/>
              </w:rPr>
            </w:pPr>
            <w:r>
              <w:rPr>
                <w:rFonts w:hint="eastAsia" w:ascii="仿宋" w:hAnsi="仿宋" w:eastAsia="仿宋"/>
                <w:kern w:val="2"/>
                <w:sz w:val="24"/>
                <w:szCs w:val="24"/>
              </w:rPr>
              <w:t>1</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白班、中班</w:t>
            </w:r>
          </w:p>
        </w:tc>
        <w:tc>
          <w:tcPr>
            <w:tcW w:w="48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kern w:val="2"/>
                <w:sz w:val="24"/>
                <w:szCs w:val="24"/>
              </w:rPr>
            </w:pPr>
            <w:r>
              <w:rPr>
                <w:rFonts w:hint="eastAsia" w:ascii="仿宋" w:hAnsi="仿宋" w:eastAsia="仿宋"/>
                <w:kern w:val="2"/>
                <w:sz w:val="24"/>
                <w:szCs w:val="24"/>
              </w:rPr>
              <w:t>负责协助护士做好检测人员进出管控及维持秩序，突发事件处理，引导人员进行核算采集。</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5</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住院部</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4</w:t>
            </w:r>
          </w:p>
        </w:tc>
        <w:tc>
          <w:tcPr>
            <w:tcW w:w="91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三班倒</w:t>
            </w:r>
          </w:p>
        </w:tc>
        <w:tc>
          <w:tcPr>
            <w:tcW w:w="48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kern w:val="2"/>
                <w:sz w:val="24"/>
                <w:szCs w:val="24"/>
              </w:rPr>
            </w:pPr>
            <w:r>
              <w:rPr>
                <w:rFonts w:hint="eastAsia" w:ascii="仿宋" w:hAnsi="仿宋" w:eastAsia="仿宋"/>
                <w:kern w:val="2"/>
                <w:sz w:val="24"/>
                <w:szCs w:val="24"/>
              </w:rPr>
              <w:t>1、维持和住院大厅的秩序，化解矛盾和纠纷，保护工作人员的人身安全。</w:t>
            </w:r>
            <w:r>
              <w:rPr>
                <w:rFonts w:hint="eastAsia" w:ascii="仿宋" w:hAnsi="仿宋" w:eastAsia="仿宋"/>
                <w:kern w:val="2"/>
                <w:sz w:val="24"/>
                <w:szCs w:val="24"/>
              </w:rPr>
              <w:br w:type="textWrapping"/>
            </w:r>
            <w:r>
              <w:rPr>
                <w:rFonts w:hint="eastAsia" w:ascii="仿宋" w:hAnsi="仿宋" w:eastAsia="仿宋"/>
                <w:kern w:val="2"/>
                <w:sz w:val="24"/>
                <w:szCs w:val="24"/>
              </w:rPr>
              <w:t>2、谢绝一切未通过党政办许可的新闻采访和拍照。</w:t>
            </w:r>
            <w:r>
              <w:rPr>
                <w:rFonts w:hint="eastAsia" w:ascii="仿宋" w:hAnsi="仿宋" w:eastAsia="仿宋"/>
                <w:kern w:val="2"/>
                <w:sz w:val="24"/>
                <w:szCs w:val="24"/>
              </w:rPr>
              <w:br w:type="textWrapping"/>
            </w:r>
            <w:r>
              <w:rPr>
                <w:rFonts w:hint="eastAsia" w:ascii="仿宋" w:hAnsi="仿宋" w:eastAsia="仿宋"/>
                <w:kern w:val="2"/>
                <w:sz w:val="24"/>
                <w:szCs w:val="24"/>
              </w:rPr>
              <w:t>3、负责住院大厅门口及吸烟区外围的控烟工作。</w:t>
            </w:r>
            <w:r>
              <w:rPr>
                <w:rFonts w:hint="eastAsia" w:ascii="仿宋" w:hAnsi="仿宋" w:eastAsia="仿宋"/>
                <w:kern w:val="2"/>
                <w:sz w:val="24"/>
                <w:szCs w:val="24"/>
              </w:rPr>
              <w:br w:type="textWrapping"/>
            </w:r>
            <w:r>
              <w:rPr>
                <w:rFonts w:hint="eastAsia" w:ascii="仿宋" w:hAnsi="仿宋" w:eastAsia="仿宋"/>
                <w:kern w:val="2"/>
                <w:sz w:val="24"/>
                <w:szCs w:val="24"/>
              </w:rPr>
              <w:t>4、帮助120急救车辆运送病人，管控各部门送货车辆停放与管理。</w:t>
            </w:r>
            <w:r>
              <w:rPr>
                <w:rFonts w:hint="eastAsia" w:ascii="仿宋" w:hAnsi="仿宋" w:eastAsia="仿宋"/>
                <w:kern w:val="2"/>
                <w:sz w:val="24"/>
                <w:szCs w:val="24"/>
              </w:rPr>
              <w:br w:type="textWrapping"/>
            </w:r>
            <w:r>
              <w:rPr>
                <w:rFonts w:hint="eastAsia" w:ascii="仿宋" w:hAnsi="仿宋" w:eastAsia="仿宋"/>
                <w:kern w:val="2"/>
                <w:sz w:val="24"/>
                <w:szCs w:val="24"/>
              </w:rPr>
              <w:t>5、密切关注出入人员，劝离拾荒、乞讨、吸烟等闲杂人员（推销人员、携带烟火或危险物品进入院区范围内活动的人员）</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6</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门诊卡口</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91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白班</w:t>
            </w:r>
          </w:p>
        </w:tc>
        <w:tc>
          <w:tcPr>
            <w:tcW w:w="48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kern w:val="2"/>
                <w:sz w:val="24"/>
                <w:szCs w:val="24"/>
              </w:rPr>
            </w:pPr>
            <w:r>
              <w:rPr>
                <w:rFonts w:hint="eastAsia" w:ascii="仿宋" w:hAnsi="仿宋" w:eastAsia="仿宋"/>
                <w:kern w:val="2"/>
                <w:sz w:val="24"/>
                <w:szCs w:val="24"/>
              </w:rPr>
              <w:t>门诊保安岗位负责协助护士做好病人进出管控及维持秩序，突发事件处理，引导病人就诊。</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7</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急诊卡口</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91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2</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白班、中班</w:t>
            </w:r>
          </w:p>
        </w:tc>
        <w:tc>
          <w:tcPr>
            <w:tcW w:w="48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kern w:val="2"/>
                <w:sz w:val="24"/>
                <w:szCs w:val="24"/>
              </w:rPr>
            </w:pPr>
            <w:r>
              <w:rPr>
                <w:rFonts w:hint="eastAsia" w:ascii="仿宋" w:hAnsi="仿宋" w:eastAsia="仿宋"/>
                <w:kern w:val="2"/>
                <w:sz w:val="24"/>
                <w:szCs w:val="24"/>
              </w:rPr>
              <w:t>1、维持和保障急诊诊间、留观室、输液室的秩序，化解矛盾和纠纷，保护医护人员的人身安全。</w:t>
            </w:r>
            <w:r>
              <w:rPr>
                <w:rFonts w:hint="eastAsia" w:ascii="仿宋" w:hAnsi="仿宋" w:eastAsia="仿宋"/>
                <w:kern w:val="2"/>
                <w:sz w:val="24"/>
                <w:szCs w:val="24"/>
              </w:rPr>
              <w:br w:type="textWrapping"/>
            </w:r>
            <w:r>
              <w:rPr>
                <w:rFonts w:hint="eastAsia" w:ascii="仿宋" w:hAnsi="仿宋" w:eastAsia="仿宋"/>
                <w:kern w:val="2"/>
                <w:sz w:val="24"/>
                <w:szCs w:val="24"/>
              </w:rPr>
              <w:t>2、管理抢救室的门，保证里面的每一个病人只有一个陪客。</w:t>
            </w:r>
            <w:r>
              <w:rPr>
                <w:rFonts w:hint="eastAsia" w:ascii="仿宋" w:hAnsi="仿宋" w:eastAsia="仿宋"/>
                <w:kern w:val="2"/>
                <w:sz w:val="24"/>
                <w:szCs w:val="24"/>
              </w:rPr>
              <w:br w:type="textWrapping"/>
            </w:r>
            <w:r>
              <w:rPr>
                <w:rFonts w:hint="eastAsia" w:ascii="仿宋" w:hAnsi="仿宋" w:eastAsia="仿宋"/>
                <w:kern w:val="2"/>
                <w:sz w:val="24"/>
                <w:szCs w:val="24"/>
              </w:rPr>
              <w:t>3、高峰时帮助病人使用自助机，帮助无法自理的病患挂号取药等。</w:t>
            </w:r>
            <w:r>
              <w:rPr>
                <w:rFonts w:hint="eastAsia" w:ascii="仿宋" w:hAnsi="仿宋" w:eastAsia="仿宋"/>
                <w:kern w:val="2"/>
                <w:sz w:val="24"/>
                <w:szCs w:val="24"/>
              </w:rPr>
              <w:br w:type="textWrapping"/>
            </w:r>
            <w:r>
              <w:rPr>
                <w:rFonts w:hint="eastAsia" w:ascii="仿宋" w:hAnsi="仿宋" w:eastAsia="仿宋"/>
                <w:kern w:val="2"/>
                <w:sz w:val="24"/>
                <w:szCs w:val="24"/>
              </w:rPr>
              <w:t>4、谢绝一切未经医院许可的新闻采访和拍照。</w:t>
            </w:r>
            <w:r>
              <w:rPr>
                <w:rFonts w:hint="eastAsia" w:ascii="仿宋" w:hAnsi="仿宋" w:eastAsia="仿宋"/>
                <w:kern w:val="2"/>
                <w:sz w:val="24"/>
                <w:szCs w:val="24"/>
              </w:rPr>
              <w:br w:type="textWrapping"/>
            </w:r>
            <w:r>
              <w:rPr>
                <w:rFonts w:hint="eastAsia" w:ascii="仿宋" w:hAnsi="仿宋" w:eastAsia="仿宋"/>
                <w:kern w:val="2"/>
                <w:sz w:val="24"/>
                <w:szCs w:val="24"/>
              </w:rPr>
              <w:t>5、负责急诊门口及吸烟区外围的控烟工作。</w:t>
            </w:r>
            <w:r>
              <w:rPr>
                <w:rFonts w:hint="eastAsia" w:ascii="仿宋" w:hAnsi="仿宋" w:eastAsia="仿宋"/>
                <w:kern w:val="2"/>
                <w:sz w:val="24"/>
                <w:szCs w:val="24"/>
              </w:rPr>
              <w:br w:type="textWrapping"/>
            </w:r>
            <w:r>
              <w:rPr>
                <w:rFonts w:hint="eastAsia" w:ascii="仿宋" w:hAnsi="仿宋" w:eastAsia="仿宋"/>
                <w:kern w:val="2"/>
                <w:sz w:val="24"/>
                <w:szCs w:val="24"/>
              </w:rPr>
              <w:t>6、帮助120急救车辆运送病人。</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8</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门诊一楼</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91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白班</w:t>
            </w:r>
          </w:p>
        </w:tc>
        <w:tc>
          <w:tcPr>
            <w:tcW w:w="48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kern w:val="2"/>
                <w:sz w:val="24"/>
                <w:szCs w:val="24"/>
              </w:rPr>
            </w:pPr>
            <w:r>
              <w:rPr>
                <w:rFonts w:hint="eastAsia" w:ascii="仿宋" w:hAnsi="仿宋" w:eastAsia="仿宋"/>
                <w:kern w:val="2"/>
                <w:sz w:val="24"/>
                <w:szCs w:val="24"/>
              </w:rPr>
              <w:t>门诊保安岗位负责协助护士做好病人进出管控及维持秩序，突发事件处理，引导病人就诊。</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9</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门诊二楼</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91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白班</w:t>
            </w:r>
          </w:p>
        </w:tc>
        <w:tc>
          <w:tcPr>
            <w:tcW w:w="48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kern w:val="2"/>
                <w:sz w:val="24"/>
                <w:szCs w:val="24"/>
              </w:rPr>
            </w:pPr>
            <w:r>
              <w:rPr>
                <w:rFonts w:hint="eastAsia" w:ascii="仿宋" w:hAnsi="仿宋" w:eastAsia="仿宋"/>
                <w:kern w:val="2"/>
                <w:sz w:val="24"/>
                <w:szCs w:val="24"/>
              </w:rPr>
              <w:t>门诊保安岗位负责协助护士做好病人进出管控及维持秩序，突发事件处理，引导病人就诊。</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10</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应急巡逻</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3</w:t>
            </w:r>
          </w:p>
        </w:tc>
        <w:tc>
          <w:tcPr>
            <w:tcW w:w="91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白班、中班、晚班</w:t>
            </w:r>
          </w:p>
        </w:tc>
        <w:tc>
          <w:tcPr>
            <w:tcW w:w="4875" w:type="dxa"/>
            <w:tcBorders>
              <w:top w:val="single" w:color="000000" w:sz="4" w:space="0"/>
              <w:left w:val="nil"/>
              <w:bottom w:val="single" w:color="000000" w:sz="4" w:space="0"/>
              <w:right w:val="single" w:color="000000" w:sz="4" w:space="0"/>
            </w:tcBorders>
            <w:noWrap w:val="0"/>
            <w:vAlign w:val="center"/>
          </w:tcPr>
          <w:p>
            <w:pPr>
              <w:widowControl/>
              <w:numPr>
                <w:ilvl w:val="0"/>
                <w:numId w:val="3"/>
              </w:numPr>
              <w:jc w:val="left"/>
              <w:textAlignment w:val="center"/>
              <w:rPr>
                <w:rFonts w:ascii="仿宋" w:hAnsi="仿宋" w:eastAsia="仿宋"/>
                <w:kern w:val="2"/>
                <w:sz w:val="24"/>
                <w:szCs w:val="24"/>
              </w:rPr>
            </w:pPr>
            <w:r>
              <w:rPr>
                <w:rFonts w:hint="eastAsia" w:ascii="仿宋" w:hAnsi="仿宋" w:eastAsia="仿宋"/>
                <w:kern w:val="2"/>
                <w:sz w:val="24"/>
                <w:szCs w:val="24"/>
              </w:rPr>
              <w:t>院区巡逻，做好打点工作。</w:t>
            </w:r>
            <w:r>
              <w:rPr>
                <w:rFonts w:hint="eastAsia" w:ascii="仿宋" w:hAnsi="仿宋" w:eastAsia="仿宋"/>
                <w:kern w:val="2"/>
                <w:sz w:val="24"/>
                <w:szCs w:val="24"/>
              </w:rPr>
              <w:br w:type="textWrapping"/>
            </w:r>
            <w:r>
              <w:rPr>
                <w:rFonts w:hint="eastAsia" w:ascii="仿宋" w:hAnsi="仿宋" w:eastAsia="仿宋"/>
                <w:kern w:val="2"/>
                <w:sz w:val="24"/>
                <w:szCs w:val="24"/>
              </w:rPr>
              <w:t>2、做好消防巡查工作，发现问题及时处理并上报</w:t>
            </w:r>
            <w:r>
              <w:rPr>
                <w:rFonts w:hint="eastAsia" w:ascii="仿宋" w:hAnsi="仿宋" w:eastAsia="仿宋"/>
                <w:kern w:val="2"/>
                <w:sz w:val="24"/>
                <w:szCs w:val="24"/>
                <w:lang w:eastAsia="zh-CN"/>
              </w:rPr>
              <w:t>。</w:t>
            </w:r>
            <w:r>
              <w:rPr>
                <w:rFonts w:hint="eastAsia" w:ascii="仿宋" w:hAnsi="仿宋" w:eastAsia="仿宋"/>
                <w:kern w:val="2"/>
                <w:sz w:val="24"/>
                <w:szCs w:val="24"/>
              </w:rPr>
              <w:br w:type="textWrapping"/>
            </w:r>
            <w:r>
              <w:rPr>
                <w:rFonts w:hint="eastAsia" w:ascii="仿宋" w:hAnsi="仿宋" w:eastAsia="仿宋"/>
                <w:kern w:val="2"/>
                <w:sz w:val="24"/>
                <w:szCs w:val="24"/>
              </w:rPr>
              <w:t>3、做好服务及耐心解释工作</w:t>
            </w:r>
            <w:r>
              <w:rPr>
                <w:rFonts w:hint="eastAsia" w:ascii="仿宋" w:hAnsi="仿宋" w:eastAsia="仿宋"/>
                <w:kern w:val="2"/>
                <w:sz w:val="24"/>
                <w:szCs w:val="24"/>
                <w:lang w:eastAsia="zh-CN"/>
              </w:rPr>
              <w:t>。</w:t>
            </w:r>
            <w:r>
              <w:rPr>
                <w:rFonts w:hint="eastAsia" w:ascii="仿宋" w:hAnsi="仿宋" w:eastAsia="仿宋"/>
                <w:kern w:val="2"/>
                <w:sz w:val="24"/>
                <w:szCs w:val="24"/>
              </w:rPr>
              <w:br w:type="textWrapping"/>
            </w:r>
            <w:r>
              <w:rPr>
                <w:rFonts w:hint="eastAsia" w:ascii="仿宋" w:hAnsi="仿宋" w:eastAsia="仿宋"/>
                <w:kern w:val="2"/>
                <w:sz w:val="24"/>
                <w:szCs w:val="24"/>
              </w:rPr>
              <w:t>4、突发事件处理，引导病人就诊</w:t>
            </w:r>
            <w:r>
              <w:rPr>
                <w:rFonts w:hint="eastAsia" w:ascii="仿宋" w:hAnsi="仿宋" w:eastAsia="仿宋"/>
                <w:kern w:val="2"/>
                <w:sz w:val="24"/>
                <w:szCs w:val="24"/>
                <w:lang w:eastAsia="zh-CN"/>
              </w:rPr>
              <w:t>。</w:t>
            </w:r>
          </w:p>
          <w:p>
            <w:pPr>
              <w:widowControl/>
              <w:jc w:val="left"/>
              <w:textAlignment w:val="center"/>
              <w:rPr>
                <w:rFonts w:hint="eastAsia" w:ascii="仿宋" w:hAnsi="仿宋" w:eastAsia="仿宋"/>
                <w:kern w:val="2"/>
                <w:sz w:val="24"/>
                <w:szCs w:val="24"/>
                <w:lang w:eastAsia="zh-CN"/>
              </w:rPr>
            </w:pPr>
            <w:r>
              <w:rPr>
                <w:rFonts w:hint="eastAsia" w:ascii="仿宋" w:hAnsi="仿宋" w:eastAsia="仿宋"/>
                <w:kern w:val="2"/>
                <w:sz w:val="24"/>
                <w:szCs w:val="24"/>
              </w:rPr>
              <w:t>5、保障院区门口车辆进出秩序。</w:t>
            </w:r>
            <w:r>
              <w:rPr>
                <w:rFonts w:hint="eastAsia" w:ascii="仿宋" w:hAnsi="仿宋" w:eastAsia="仿宋"/>
                <w:kern w:val="2"/>
                <w:sz w:val="24"/>
                <w:szCs w:val="24"/>
              </w:rPr>
              <w:br w:type="textWrapping"/>
            </w:r>
            <w:r>
              <w:rPr>
                <w:rFonts w:hint="eastAsia" w:ascii="仿宋" w:hAnsi="仿宋" w:eastAsia="仿宋"/>
                <w:kern w:val="2"/>
                <w:sz w:val="24"/>
                <w:szCs w:val="24"/>
              </w:rPr>
              <w:t>6、保障120车辆通道畅通。</w:t>
            </w:r>
            <w:r>
              <w:rPr>
                <w:rFonts w:hint="eastAsia" w:ascii="仿宋" w:hAnsi="仿宋" w:eastAsia="仿宋"/>
                <w:kern w:val="2"/>
                <w:sz w:val="24"/>
                <w:szCs w:val="24"/>
              </w:rPr>
              <w:br w:type="textWrapping"/>
            </w:r>
            <w:r>
              <w:rPr>
                <w:rFonts w:hint="eastAsia" w:ascii="仿宋" w:hAnsi="仿宋" w:eastAsia="仿宋"/>
                <w:kern w:val="2"/>
                <w:sz w:val="24"/>
                <w:szCs w:val="24"/>
              </w:rPr>
              <w:t>7、维持秩序、控烟、非机动车管理，残疾车管理、突发事件处理</w:t>
            </w:r>
            <w:r>
              <w:rPr>
                <w:rFonts w:hint="eastAsia" w:ascii="仿宋" w:hAnsi="仿宋" w:eastAsia="仿宋"/>
                <w:kern w:val="2"/>
                <w:sz w:val="24"/>
                <w:szCs w:val="24"/>
                <w:lang w:eastAsia="zh-CN"/>
              </w:rPr>
              <w:t>。</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11</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消控</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91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86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三班倒</w:t>
            </w:r>
          </w:p>
        </w:tc>
        <w:tc>
          <w:tcPr>
            <w:tcW w:w="48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kern w:val="2"/>
                <w:sz w:val="24"/>
                <w:szCs w:val="24"/>
              </w:rPr>
            </w:pPr>
            <w:r>
              <w:rPr>
                <w:rFonts w:ascii="仿宋" w:hAnsi="仿宋" w:eastAsia="仿宋"/>
                <w:kern w:val="2"/>
                <w:sz w:val="24"/>
                <w:szCs w:val="24"/>
              </w:rPr>
              <w:t>一、遵守消防控制室的各项规章制度，认真履行岗位操作责任制，对各种消防控制室设备进行实时监控和操作，不得擅离职守。</w:t>
            </w:r>
          </w:p>
          <w:p>
            <w:pPr>
              <w:widowControl/>
              <w:jc w:val="left"/>
              <w:textAlignment w:val="center"/>
              <w:rPr>
                <w:rFonts w:ascii="仿宋" w:hAnsi="仿宋" w:eastAsia="仿宋"/>
                <w:kern w:val="2"/>
                <w:sz w:val="24"/>
                <w:szCs w:val="24"/>
              </w:rPr>
            </w:pPr>
            <w:r>
              <w:rPr>
                <w:rFonts w:ascii="仿宋" w:hAnsi="仿宋" w:eastAsia="仿宋"/>
                <w:kern w:val="2"/>
                <w:sz w:val="24"/>
                <w:szCs w:val="24"/>
              </w:rPr>
              <w:t>二、熟悉和掌握消防设施的功能和操作规程，熟悉各种按键的功能，熟练操作各种系统。</w:t>
            </w:r>
          </w:p>
          <w:p>
            <w:pPr>
              <w:widowControl/>
              <w:jc w:val="left"/>
              <w:textAlignment w:val="center"/>
              <w:rPr>
                <w:rFonts w:hint="eastAsia" w:ascii="仿宋" w:hAnsi="仿宋" w:eastAsia="仿宋"/>
                <w:kern w:val="2"/>
                <w:sz w:val="24"/>
                <w:szCs w:val="24"/>
                <w:lang w:val="en-US" w:eastAsia="zh-CN"/>
              </w:rPr>
            </w:pPr>
            <w:r>
              <w:rPr>
                <w:rFonts w:ascii="仿宋" w:hAnsi="仿宋" w:eastAsia="仿宋"/>
                <w:kern w:val="2"/>
                <w:sz w:val="24"/>
                <w:szCs w:val="24"/>
              </w:rPr>
              <w:t>三、负责对消防设施进行每日检查，认真记录各种控制器的运行情况，掌握和了解消防设施的运行、误报警、故障等有关情况，并填写《消防</w:t>
            </w:r>
            <w:r>
              <w:rPr>
                <w:rFonts w:hint="eastAsia" w:ascii="仿宋" w:hAnsi="仿宋" w:eastAsia="仿宋"/>
                <w:kern w:val="2"/>
                <w:sz w:val="24"/>
                <w:szCs w:val="24"/>
              </w:rPr>
              <w:t>安全监控</w:t>
            </w:r>
            <w:r>
              <w:rPr>
                <w:rFonts w:ascii="仿宋" w:hAnsi="仿宋" w:eastAsia="仿宋"/>
                <w:kern w:val="2"/>
                <w:sz w:val="24"/>
                <w:szCs w:val="24"/>
              </w:rPr>
              <w:t>室值班记录表》，做好交接班工作</w:t>
            </w:r>
            <w:r>
              <w:rPr>
                <w:rFonts w:hint="eastAsia" w:ascii="仿宋" w:hAnsi="仿宋" w:eastAsia="仿宋"/>
                <w:kern w:val="2"/>
                <w:sz w:val="24"/>
                <w:szCs w:val="24"/>
                <w:lang w:val="en-US" w:eastAsia="zh-CN"/>
              </w:rPr>
              <w:t>等。</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12</w:t>
            </w:r>
          </w:p>
        </w:tc>
        <w:tc>
          <w:tcPr>
            <w:tcW w:w="804"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北门、东门、南门</w:t>
            </w:r>
          </w:p>
        </w:tc>
        <w:tc>
          <w:tcPr>
            <w:tcW w:w="875"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2</w:t>
            </w:r>
          </w:p>
        </w:tc>
        <w:tc>
          <w:tcPr>
            <w:tcW w:w="91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c>
          <w:tcPr>
            <w:tcW w:w="875"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c>
          <w:tcPr>
            <w:tcW w:w="862"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c>
          <w:tcPr>
            <w:tcW w:w="4875"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按医院规定做好各门口的管控工作。</w:t>
            </w:r>
          </w:p>
        </w:tc>
      </w:tr>
      <w:tr>
        <w:tblPrEx>
          <w:tblCellMar>
            <w:top w:w="0" w:type="dxa"/>
            <w:left w:w="108" w:type="dxa"/>
            <w:bottom w:w="0" w:type="dxa"/>
            <w:right w:w="108" w:type="dxa"/>
          </w:tblCellMar>
        </w:tblPrEx>
        <w:trPr>
          <w:trHeight w:val="499" w:hRule="atLeast"/>
        </w:trPr>
        <w:tc>
          <w:tcPr>
            <w:tcW w:w="8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kern w:val="2"/>
                <w:sz w:val="22"/>
                <w:lang w:val="en-US" w:eastAsia="zh-CN"/>
              </w:rPr>
            </w:pPr>
            <w:r>
              <w:rPr>
                <w:rFonts w:hint="eastAsia" w:ascii="仿宋" w:hAnsi="仿宋" w:eastAsia="仿宋"/>
                <w:kern w:val="2"/>
                <w:sz w:val="22"/>
                <w:lang w:val="en-US" w:eastAsia="zh-CN"/>
              </w:rPr>
              <w:t>13</w:t>
            </w:r>
          </w:p>
        </w:tc>
        <w:tc>
          <w:tcPr>
            <w:tcW w:w="80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共计</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22</w:t>
            </w:r>
          </w:p>
        </w:tc>
        <w:tc>
          <w:tcPr>
            <w:tcW w:w="91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10</w:t>
            </w:r>
          </w:p>
        </w:tc>
        <w:tc>
          <w:tcPr>
            <w:tcW w:w="87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6</w:t>
            </w:r>
          </w:p>
        </w:tc>
        <w:tc>
          <w:tcPr>
            <w:tcW w:w="862"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共计38/6*7=45</w:t>
            </w:r>
          </w:p>
        </w:tc>
        <w:tc>
          <w:tcPr>
            <w:tcW w:w="4875"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p>
        </w:tc>
      </w:tr>
    </w:tbl>
    <w:p>
      <w:pPr>
        <w:widowControl/>
        <w:autoSpaceDE/>
        <w:autoSpaceDN/>
        <w:adjustRightInd/>
        <w:jc w:val="left"/>
        <w:rPr>
          <w:rFonts w:ascii="宋体" w:hAnsi="宋体" w:cs="宋体"/>
          <w:vanish/>
          <w:color w:val="auto"/>
          <w:sz w:val="24"/>
          <w:szCs w:val="24"/>
        </w:rPr>
      </w:pPr>
    </w:p>
    <w:tbl>
      <w:tblPr>
        <w:tblStyle w:val="31"/>
        <w:tblW w:w="10079" w:type="dxa"/>
        <w:tblInd w:w="-255" w:type="dxa"/>
        <w:tblLayout w:type="fixed"/>
        <w:tblCellMar>
          <w:top w:w="0" w:type="dxa"/>
          <w:left w:w="108" w:type="dxa"/>
          <w:bottom w:w="0" w:type="dxa"/>
          <w:right w:w="108" w:type="dxa"/>
        </w:tblCellMar>
      </w:tblPr>
      <w:tblGrid>
        <w:gridCol w:w="838"/>
        <w:gridCol w:w="1472"/>
        <w:gridCol w:w="840"/>
        <w:gridCol w:w="795"/>
        <w:gridCol w:w="780"/>
        <w:gridCol w:w="1140"/>
        <w:gridCol w:w="4214"/>
      </w:tblGrid>
      <w:tr>
        <w:tblPrEx>
          <w:tblCellMar>
            <w:top w:w="0" w:type="dxa"/>
            <w:left w:w="108" w:type="dxa"/>
            <w:bottom w:w="0" w:type="dxa"/>
            <w:right w:w="108" w:type="dxa"/>
          </w:tblCellMar>
        </w:tblPrEx>
        <w:trPr>
          <w:trHeight w:val="687" w:hRule="atLeast"/>
        </w:trPr>
        <w:tc>
          <w:tcPr>
            <w:tcW w:w="10079"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15"/>
              <w:jc w:val="center"/>
              <w:rPr>
                <w:rFonts w:ascii="仿宋" w:hAnsi="仿宋" w:eastAsia="仿宋"/>
                <w:b/>
                <w:bCs/>
                <w:kern w:val="2"/>
                <w:sz w:val="24"/>
                <w:szCs w:val="24"/>
              </w:rPr>
            </w:pPr>
            <w:r>
              <w:rPr>
                <w:rFonts w:hint="eastAsia" w:ascii="仿宋" w:hAnsi="仿宋" w:eastAsia="仿宋"/>
                <w:b/>
                <w:bCs/>
                <w:kern w:val="2"/>
                <w:sz w:val="24"/>
                <w:szCs w:val="24"/>
              </w:rPr>
              <w:t>非疫情期岗位需求</w:t>
            </w:r>
          </w:p>
        </w:tc>
      </w:tr>
      <w:tr>
        <w:tblPrEx>
          <w:tblCellMar>
            <w:top w:w="0" w:type="dxa"/>
            <w:left w:w="108" w:type="dxa"/>
            <w:bottom w:w="0" w:type="dxa"/>
            <w:right w:w="108" w:type="dxa"/>
          </w:tblCellMar>
        </w:tblPrEx>
        <w:trPr>
          <w:trHeight w:val="63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序号</w:t>
            </w:r>
          </w:p>
        </w:tc>
        <w:tc>
          <w:tcPr>
            <w:tcW w:w="147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岗位</w:t>
            </w:r>
          </w:p>
        </w:tc>
        <w:tc>
          <w:tcPr>
            <w:tcW w:w="8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白班</w:t>
            </w:r>
          </w:p>
        </w:tc>
        <w:tc>
          <w:tcPr>
            <w:tcW w:w="79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中班</w:t>
            </w:r>
          </w:p>
        </w:tc>
        <w:tc>
          <w:tcPr>
            <w:tcW w:w="78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夜班</w:t>
            </w:r>
          </w:p>
        </w:tc>
        <w:tc>
          <w:tcPr>
            <w:tcW w:w="11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工作时间</w:t>
            </w:r>
          </w:p>
        </w:tc>
        <w:tc>
          <w:tcPr>
            <w:tcW w:w="421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b/>
                <w:bCs/>
                <w:kern w:val="2"/>
                <w:sz w:val="24"/>
                <w:szCs w:val="24"/>
              </w:rPr>
            </w:pPr>
            <w:r>
              <w:rPr>
                <w:rFonts w:hint="eastAsia" w:ascii="仿宋" w:hAnsi="仿宋" w:eastAsia="仿宋"/>
                <w:b/>
                <w:bCs/>
                <w:kern w:val="2"/>
                <w:sz w:val="24"/>
                <w:szCs w:val="24"/>
              </w:rPr>
              <w:t>岗位职责</w:t>
            </w:r>
          </w:p>
        </w:tc>
      </w:tr>
      <w:tr>
        <w:tblPrEx>
          <w:tblCellMar>
            <w:top w:w="0" w:type="dxa"/>
            <w:left w:w="108" w:type="dxa"/>
            <w:bottom w:w="0" w:type="dxa"/>
            <w:right w:w="108" w:type="dxa"/>
          </w:tblCellMar>
        </w:tblPrEx>
        <w:trPr>
          <w:trHeight w:val="64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147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保安主管</w:t>
            </w:r>
          </w:p>
        </w:tc>
        <w:tc>
          <w:tcPr>
            <w:tcW w:w="8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795"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c>
          <w:tcPr>
            <w:tcW w:w="78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p>
        </w:tc>
        <w:tc>
          <w:tcPr>
            <w:tcW w:w="11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做六休一</w:t>
            </w:r>
          </w:p>
        </w:tc>
        <w:tc>
          <w:tcPr>
            <w:tcW w:w="4214" w:type="dxa"/>
            <w:vMerge w:val="restart"/>
            <w:tcBorders>
              <w:top w:val="single" w:color="000000" w:sz="4" w:space="0"/>
              <w:left w:val="nil"/>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与疫情期间工作内容相同</w:t>
            </w:r>
          </w:p>
        </w:tc>
      </w:tr>
      <w:tr>
        <w:tblPrEx>
          <w:tblCellMar>
            <w:top w:w="0" w:type="dxa"/>
            <w:left w:w="108" w:type="dxa"/>
            <w:bottom w:w="0" w:type="dxa"/>
            <w:right w:w="108" w:type="dxa"/>
          </w:tblCellMar>
        </w:tblPrEx>
        <w:trPr>
          <w:trHeight w:val="57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147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西大门</w:t>
            </w:r>
          </w:p>
        </w:tc>
        <w:tc>
          <w:tcPr>
            <w:tcW w:w="8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79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FF0000"/>
                <w:kern w:val="2"/>
                <w:sz w:val="24"/>
                <w:szCs w:val="24"/>
              </w:rPr>
            </w:pPr>
            <w:r>
              <w:rPr>
                <w:rFonts w:hint="eastAsia" w:ascii="仿宋" w:hAnsi="仿宋" w:eastAsia="仿宋"/>
                <w:kern w:val="2"/>
                <w:sz w:val="24"/>
                <w:szCs w:val="24"/>
              </w:rPr>
              <w:t>1</w:t>
            </w:r>
          </w:p>
        </w:tc>
        <w:tc>
          <w:tcPr>
            <w:tcW w:w="78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11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三班倒</w:t>
            </w:r>
          </w:p>
        </w:tc>
        <w:tc>
          <w:tcPr>
            <w:tcW w:w="4214" w:type="dxa"/>
            <w:vMerge w:val="continue"/>
            <w:tcBorders>
              <w:left w:val="nil"/>
              <w:right w:val="single" w:color="000000" w:sz="4" w:space="0"/>
            </w:tcBorders>
            <w:noWrap w:val="0"/>
            <w:vAlign w:val="center"/>
          </w:tcPr>
          <w:p>
            <w:pPr>
              <w:widowControl/>
              <w:jc w:val="center"/>
              <w:textAlignment w:val="center"/>
              <w:rPr>
                <w:rFonts w:ascii="仿宋" w:hAnsi="仿宋" w:eastAsia="仿宋"/>
                <w:kern w:val="2"/>
                <w:sz w:val="24"/>
                <w:szCs w:val="24"/>
              </w:rPr>
            </w:pPr>
          </w:p>
        </w:tc>
      </w:tr>
      <w:tr>
        <w:tblPrEx>
          <w:tblCellMar>
            <w:top w:w="0" w:type="dxa"/>
            <w:left w:w="108" w:type="dxa"/>
            <w:bottom w:w="0" w:type="dxa"/>
            <w:right w:w="108" w:type="dxa"/>
          </w:tblCellMar>
        </w:tblPrEx>
        <w:trPr>
          <w:trHeight w:val="57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3</w:t>
            </w:r>
          </w:p>
        </w:tc>
        <w:tc>
          <w:tcPr>
            <w:tcW w:w="147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门诊一</w:t>
            </w:r>
          </w:p>
        </w:tc>
        <w:tc>
          <w:tcPr>
            <w:tcW w:w="8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795"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c>
          <w:tcPr>
            <w:tcW w:w="78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0</w:t>
            </w:r>
          </w:p>
        </w:tc>
        <w:tc>
          <w:tcPr>
            <w:tcW w:w="11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白班</w:t>
            </w:r>
          </w:p>
        </w:tc>
        <w:tc>
          <w:tcPr>
            <w:tcW w:w="4214" w:type="dxa"/>
            <w:vMerge w:val="continue"/>
            <w:tcBorders>
              <w:left w:val="nil"/>
              <w:right w:val="single" w:color="000000" w:sz="4" w:space="0"/>
            </w:tcBorders>
            <w:noWrap w:val="0"/>
            <w:vAlign w:val="center"/>
          </w:tcPr>
          <w:p>
            <w:pPr>
              <w:widowControl/>
              <w:jc w:val="center"/>
              <w:textAlignment w:val="center"/>
              <w:rPr>
                <w:rFonts w:ascii="仿宋" w:hAnsi="仿宋" w:eastAsia="仿宋"/>
                <w:kern w:val="2"/>
                <w:sz w:val="24"/>
                <w:szCs w:val="24"/>
              </w:rPr>
            </w:pPr>
          </w:p>
        </w:tc>
      </w:tr>
      <w:tr>
        <w:tblPrEx>
          <w:tblCellMar>
            <w:top w:w="0" w:type="dxa"/>
            <w:left w:w="108" w:type="dxa"/>
            <w:bottom w:w="0" w:type="dxa"/>
            <w:right w:w="108" w:type="dxa"/>
          </w:tblCellMar>
        </w:tblPrEx>
        <w:trPr>
          <w:trHeight w:val="57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4</w:t>
            </w:r>
          </w:p>
        </w:tc>
        <w:tc>
          <w:tcPr>
            <w:tcW w:w="147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门诊二</w:t>
            </w:r>
          </w:p>
        </w:tc>
        <w:tc>
          <w:tcPr>
            <w:tcW w:w="8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795"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c>
          <w:tcPr>
            <w:tcW w:w="78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0</w:t>
            </w:r>
          </w:p>
        </w:tc>
        <w:tc>
          <w:tcPr>
            <w:tcW w:w="11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白班</w:t>
            </w:r>
          </w:p>
        </w:tc>
        <w:tc>
          <w:tcPr>
            <w:tcW w:w="4214" w:type="dxa"/>
            <w:vMerge w:val="continue"/>
            <w:tcBorders>
              <w:left w:val="nil"/>
              <w:right w:val="single" w:color="000000" w:sz="4" w:space="0"/>
            </w:tcBorders>
            <w:noWrap w:val="0"/>
            <w:vAlign w:val="center"/>
          </w:tcPr>
          <w:p>
            <w:pPr>
              <w:widowControl/>
              <w:jc w:val="center"/>
              <w:textAlignment w:val="center"/>
              <w:rPr>
                <w:rFonts w:ascii="仿宋" w:hAnsi="仿宋" w:eastAsia="仿宋"/>
                <w:kern w:val="2"/>
                <w:sz w:val="24"/>
                <w:szCs w:val="24"/>
              </w:rPr>
            </w:pPr>
          </w:p>
        </w:tc>
      </w:tr>
      <w:tr>
        <w:tblPrEx>
          <w:tblCellMar>
            <w:top w:w="0" w:type="dxa"/>
            <w:left w:w="108" w:type="dxa"/>
            <w:bottom w:w="0" w:type="dxa"/>
            <w:right w:w="108" w:type="dxa"/>
          </w:tblCellMar>
        </w:tblPrEx>
        <w:trPr>
          <w:trHeight w:val="57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5</w:t>
            </w:r>
          </w:p>
        </w:tc>
        <w:tc>
          <w:tcPr>
            <w:tcW w:w="147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急诊室安保</w:t>
            </w:r>
          </w:p>
        </w:tc>
        <w:tc>
          <w:tcPr>
            <w:tcW w:w="8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79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78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11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三班倒</w:t>
            </w:r>
          </w:p>
        </w:tc>
        <w:tc>
          <w:tcPr>
            <w:tcW w:w="4214" w:type="dxa"/>
            <w:vMerge w:val="continue"/>
            <w:tcBorders>
              <w:left w:val="nil"/>
              <w:right w:val="single" w:color="000000" w:sz="4" w:space="0"/>
            </w:tcBorders>
            <w:noWrap w:val="0"/>
            <w:vAlign w:val="center"/>
          </w:tcPr>
          <w:p>
            <w:pPr>
              <w:widowControl/>
              <w:jc w:val="center"/>
              <w:textAlignment w:val="center"/>
              <w:rPr>
                <w:rFonts w:ascii="仿宋" w:hAnsi="仿宋" w:eastAsia="仿宋"/>
                <w:kern w:val="2"/>
                <w:sz w:val="24"/>
                <w:szCs w:val="24"/>
              </w:rPr>
            </w:pPr>
          </w:p>
        </w:tc>
      </w:tr>
      <w:tr>
        <w:tblPrEx>
          <w:tblCellMar>
            <w:top w:w="0" w:type="dxa"/>
            <w:left w:w="108" w:type="dxa"/>
            <w:bottom w:w="0" w:type="dxa"/>
            <w:right w:w="108" w:type="dxa"/>
          </w:tblCellMar>
        </w:tblPrEx>
        <w:trPr>
          <w:trHeight w:val="57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6</w:t>
            </w:r>
          </w:p>
        </w:tc>
        <w:tc>
          <w:tcPr>
            <w:tcW w:w="147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应急巡逻</w:t>
            </w:r>
          </w:p>
        </w:tc>
        <w:tc>
          <w:tcPr>
            <w:tcW w:w="8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3</w:t>
            </w:r>
          </w:p>
        </w:tc>
        <w:tc>
          <w:tcPr>
            <w:tcW w:w="79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78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11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三班倒</w:t>
            </w:r>
          </w:p>
        </w:tc>
        <w:tc>
          <w:tcPr>
            <w:tcW w:w="4214" w:type="dxa"/>
            <w:vMerge w:val="continue"/>
            <w:tcBorders>
              <w:left w:val="nil"/>
              <w:right w:val="single" w:color="000000" w:sz="4" w:space="0"/>
            </w:tcBorders>
            <w:noWrap w:val="0"/>
            <w:vAlign w:val="center"/>
          </w:tcPr>
          <w:p>
            <w:pPr>
              <w:widowControl/>
              <w:jc w:val="center"/>
              <w:textAlignment w:val="center"/>
              <w:rPr>
                <w:rFonts w:ascii="仿宋" w:hAnsi="仿宋" w:eastAsia="仿宋"/>
                <w:kern w:val="2"/>
                <w:sz w:val="24"/>
                <w:szCs w:val="24"/>
              </w:rPr>
            </w:pPr>
          </w:p>
        </w:tc>
      </w:tr>
      <w:tr>
        <w:tblPrEx>
          <w:tblCellMar>
            <w:top w:w="0" w:type="dxa"/>
            <w:left w:w="108" w:type="dxa"/>
            <w:bottom w:w="0" w:type="dxa"/>
            <w:right w:w="108" w:type="dxa"/>
          </w:tblCellMar>
        </w:tblPrEx>
        <w:trPr>
          <w:trHeight w:val="57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7</w:t>
            </w:r>
          </w:p>
        </w:tc>
        <w:tc>
          <w:tcPr>
            <w:tcW w:w="147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消控</w:t>
            </w:r>
          </w:p>
        </w:tc>
        <w:tc>
          <w:tcPr>
            <w:tcW w:w="8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2</w:t>
            </w:r>
          </w:p>
        </w:tc>
        <w:tc>
          <w:tcPr>
            <w:tcW w:w="79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78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w:t>
            </w:r>
          </w:p>
        </w:tc>
        <w:tc>
          <w:tcPr>
            <w:tcW w:w="11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三班倒</w:t>
            </w:r>
          </w:p>
        </w:tc>
        <w:tc>
          <w:tcPr>
            <w:tcW w:w="4214" w:type="dxa"/>
            <w:vMerge w:val="continue"/>
            <w:tcBorders>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p>
        </w:tc>
      </w:tr>
      <w:tr>
        <w:tblPrEx>
          <w:tblCellMar>
            <w:top w:w="0" w:type="dxa"/>
            <w:left w:w="108" w:type="dxa"/>
            <w:bottom w:w="0" w:type="dxa"/>
            <w:right w:w="108" w:type="dxa"/>
          </w:tblCellMar>
        </w:tblPrEx>
        <w:trPr>
          <w:trHeight w:val="64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kern w:val="2"/>
                <w:sz w:val="22"/>
                <w:lang w:val="en-US" w:eastAsia="zh-CN"/>
              </w:rPr>
            </w:pPr>
            <w:r>
              <w:rPr>
                <w:rFonts w:hint="eastAsia" w:ascii="仿宋" w:hAnsi="仿宋" w:eastAsia="仿宋"/>
                <w:kern w:val="2"/>
                <w:sz w:val="22"/>
                <w:lang w:val="en-US" w:eastAsia="zh-CN"/>
              </w:rPr>
              <w:t>8</w:t>
            </w:r>
          </w:p>
        </w:tc>
        <w:tc>
          <w:tcPr>
            <w:tcW w:w="147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共计</w:t>
            </w:r>
          </w:p>
        </w:tc>
        <w:tc>
          <w:tcPr>
            <w:tcW w:w="84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10</w:t>
            </w:r>
          </w:p>
        </w:tc>
        <w:tc>
          <w:tcPr>
            <w:tcW w:w="79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5</w:t>
            </w:r>
          </w:p>
        </w:tc>
        <w:tc>
          <w:tcPr>
            <w:tcW w:w="78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kern w:val="2"/>
                <w:sz w:val="24"/>
                <w:szCs w:val="24"/>
              </w:rPr>
            </w:pPr>
            <w:r>
              <w:rPr>
                <w:rFonts w:hint="eastAsia" w:ascii="仿宋" w:hAnsi="仿宋" w:eastAsia="仿宋"/>
                <w:kern w:val="2"/>
                <w:sz w:val="24"/>
                <w:szCs w:val="24"/>
              </w:rPr>
              <w:t>5</w:t>
            </w:r>
          </w:p>
        </w:tc>
        <w:tc>
          <w:tcPr>
            <w:tcW w:w="114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共计20/6*7=24</w:t>
            </w:r>
          </w:p>
        </w:tc>
        <w:tc>
          <w:tcPr>
            <w:tcW w:w="4214"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p>
        </w:tc>
      </w:tr>
    </w:tbl>
    <w:p>
      <w:pPr>
        <w:snapToGrid w:val="0"/>
        <w:spacing w:line="360" w:lineRule="auto"/>
        <w:rPr>
          <w:rFonts w:ascii="仿宋" w:hAnsi="仿宋" w:eastAsia="仿宋"/>
          <w:sz w:val="24"/>
          <w:szCs w:val="24"/>
        </w:rPr>
      </w:pPr>
      <w:r>
        <w:rPr>
          <w:rFonts w:hint="eastAsia" w:ascii="仿宋" w:hAnsi="仿宋" w:eastAsia="仿宋"/>
          <w:sz w:val="24"/>
          <w:szCs w:val="24"/>
        </w:rPr>
        <w:t xml:space="preserve"> </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（二）人员要求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（1）保安人员要求：年龄18-55周岁（其中应急巡逻人员＜45周岁，男性）身高160CM以上，初中以上文化程度，身体健康，品行良好，无违法犯罪记录，并具有一定的保安工作经验。</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（2）拟指派保安人员必须通过相应的上岗培训，持有公安机关核发的《保安上岗证》。</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（3）拟指派保安人员应当统一穿着保安制服，佩带全国统一的保安服务标志。</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（4）保安人员派驻前必须经过采购人职能科室的面试，经审查合格后方可上岗。</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（三）人员薪酬要求：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1.投标人应为保安人员交纳各类保险，每月按时发放薪酬，不得出现由于薪酬原因造成用工矛盾激化事件。保证队伍的稳定性，未经采购人职能科室的同意，供应商不得随意调动、更换保安人员。</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2.薪酬标准：保安人员基本工资不得低于武义地区最低工资标准，每人必须足额缴纳相关的社会保险（五险）。残疾人员需按相关规定发放补贴。</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3.保安人员的食宿由中标人自行解决，采购单位不负责提供。只提供东门西门值班室。</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（四）服务范围：</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1.工作范围：</w:t>
      </w:r>
      <w:r>
        <w:rPr>
          <w:rFonts w:hint="eastAsia" w:ascii="仿宋" w:hAnsi="仿宋" w:eastAsia="仿宋"/>
          <w:sz w:val="24"/>
          <w:szCs w:val="24"/>
          <w:lang w:eastAsia="zh-CN"/>
        </w:rPr>
        <w:t>浙江省</w:t>
      </w:r>
      <w:r>
        <w:rPr>
          <w:rFonts w:hint="eastAsia" w:ascii="仿宋" w:hAnsi="仿宋" w:eastAsia="仿宋"/>
          <w:sz w:val="24"/>
          <w:szCs w:val="24"/>
        </w:rPr>
        <w:t>武义县第一人民医院所属财物和人员的安全管理、医托防范、医患纠纷处置、门卫巡逻管理等。详细管理范围以采购人书面确定为准。</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2.工作目标及要求：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1）要求每天上班时间守护岗位，认真巡查各候诊区和诊室间人员流动情况；</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2）防止各类不利于医院治安秩序特别是盗窃、火灾、打闹等事故和危害医院稳定事件的发生，一旦发现立即报告和处置；</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3）其他医院部署的指令性工作；</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4）做好医院周边及各停车场的道路交通管理及安全秩序，机动车和非机动车的停放管理，确保医院内出入畅通； </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5）做好社会车辆入院后的秩序维护，确保机动车禁鸣、停放有序；</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6）做好出入口车辆限行管理工作；</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7）做好值班详细记录和交接班工作，保持室内整洁；</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8）完成领导交办的其它任务，接受采购人职能科室的业务指导，完成采购人职能科室指派的其他临时工作。</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9）消控室人员需持证上岗，对全院消防设施巡查并记录，并协助院方进行消防演练工作。</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（五）保安人员岗位要求：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（1）保安员要严格遵守国家法律规章和各项医院管理制度，遵循“安全第一、服务第一”的工作宗旨，做到“无差错、零投诉”。</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（2）保安员必须遵守采购人值班管理规定，认真履行值班职责；</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（3）保安员必须服从采购人职能科室的管理，严格履行工作职责，门卫、巡逻、守护和安全检查等服务。</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（4）遵照采购人的岗位合理分派安保人员，并落实相关岗位工作职责。</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（六）其他要求：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（1）投标人须在对采购人医院现场及周边环境进行现场踏勘，在全面了解的情况下编制科学合理、切实可行的组织实施计划以及具体的保障措施、工作程序。</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（2）中标人及其指派的保安人员须遵守相关保密法规。</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（3）中标人须无条件撤换不合格（不称职）的保安人员。</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（4）中标人须根据医院的应急处置方案制定相关的消防应急预案、重大安全事故应急预案、自然灾害应急预案、公共突发事件应急预案等应急措施。</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（5）拟指派人员必须为中标人的聘用人员，并且与中标人签订有正式的劳动合同。</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（6）中标人必须严格按照其提供的</w:t>
      </w:r>
      <w:r>
        <w:rPr>
          <w:rFonts w:hint="eastAsia" w:ascii="仿宋" w:hAnsi="仿宋" w:eastAsia="仿宋"/>
          <w:color w:val="auto"/>
          <w:sz w:val="24"/>
          <w:szCs w:val="24"/>
          <w:highlight w:val="none"/>
        </w:rPr>
        <w:t>《投标报价一览表》</w:t>
      </w:r>
      <w:r>
        <w:rPr>
          <w:rFonts w:hint="eastAsia" w:ascii="仿宋" w:hAnsi="仿宋" w:eastAsia="仿宋"/>
          <w:sz w:val="24"/>
          <w:szCs w:val="24"/>
        </w:rPr>
        <w:t>落实各项费用执行，在实际费用执行中不得挤占其他项目的费用，采购人对各项费用的执行有监督权。</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（7）中标人及其所聘用人员对采购人公共财物、设施、设备造成损失的，由中标人照价赔偿。</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（8）采购人对中标人所聘用的人员实行考核制度，考核制度见附件一。</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 </w:t>
      </w:r>
    </w:p>
    <w:p>
      <w:pPr>
        <w:spacing w:line="360" w:lineRule="auto"/>
        <w:jc w:val="left"/>
        <w:rPr>
          <w:rFonts w:ascii="仿宋" w:hAnsi="仿宋" w:eastAsia="仿宋"/>
          <w:sz w:val="24"/>
          <w:szCs w:val="24"/>
        </w:rPr>
      </w:pPr>
      <w:r>
        <w:rPr>
          <w:rFonts w:hint="eastAsia" w:ascii="仿宋" w:hAnsi="仿宋" w:eastAsia="仿宋"/>
          <w:b/>
          <w:bCs/>
          <w:sz w:val="24"/>
          <w:szCs w:val="24"/>
        </w:rPr>
        <w:t>五、服务时间</w:t>
      </w:r>
      <w:r>
        <w:rPr>
          <w:rFonts w:hint="eastAsia" w:ascii="仿宋" w:hAnsi="仿宋" w:eastAsia="仿宋"/>
          <w:sz w:val="24"/>
          <w:szCs w:val="24"/>
        </w:rPr>
        <w:t>：</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服务期限3年，合同一年一签。采购人每月对中标公司保安督查考核2次 ，对中标公司提供的安保服务每月进行全面考核，总分值100分，考核平均得分在90分以上（含90分）的为优秀，可在合同期后在原有报价和服务标准不变的基础上进行续签下一年度合同。若考核分连续 3 个月≤85 分，则视为严重服务质量问题，将提前解除合同。</w:t>
      </w:r>
    </w:p>
    <w:p>
      <w:pPr>
        <w:snapToGrid w:val="0"/>
        <w:spacing w:line="360" w:lineRule="auto"/>
        <w:rPr>
          <w:rFonts w:hint="eastAsia" w:ascii="仿宋" w:hAnsi="仿宋" w:eastAsia="仿宋"/>
          <w:b/>
          <w:bCs/>
          <w:sz w:val="24"/>
          <w:szCs w:val="24"/>
        </w:rPr>
      </w:pPr>
    </w:p>
    <w:p>
      <w:pPr>
        <w:snapToGrid w:val="0"/>
        <w:spacing w:line="360" w:lineRule="auto"/>
        <w:rPr>
          <w:rFonts w:ascii="仿宋" w:hAnsi="仿宋" w:eastAsia="仿宋"/>
          <w:sz w:val="24"/>
          <w:szCs w:val="24"/>
        </w:rPr>
      </w:pPr>
      <w:r>
        <w:rPr>
          <w:rFonts w:hint="eastAsia" w:ascii="仿宋" w:hAnsi="仿宋" w:eastAsia="仿宋"/>
          <w:b/>
          <w:bCs/>
          <w:sz w:val="24"/>
          <w:szCs w:val="24"/>
        </w:rPr>
        <w:t>六、付款方式</w:t>
      </w:r>
      <w:r>
        <w:rPr>
          <w:rFonts w:hint="eastAsia" w:ascii="仿宋" w:hAnsi="仿宋" w:eastAsia="仿宋"/>
          <w:sz w:val="24"/>
          <w:szCs w:val="24"/>
        </w:rPr>
        <w:t>。</w:t>
      </w:r>
    </w:p>
    <w:p>
      <w:pPr>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签订合同前中标人向采购人指定账户缴纳中标金额</w:t>
      </w:r>
      <w:r>
        <w:rPr>
          <w:rFonts w:hint="eastAsia" w:ascii="仿宋" w:hAnsi="仿宋" w:eastAsia="仿宋"/>
          <w:sz w:val="24"/>
          <w:szCs w:val="24"/>
          <w:highlight w:val="none"/>
          <w:lang w:val="en-US" w:eastAsia="zh-CN"/>
        </w:rPr>
        <w:t>1%的</w:t>
      </w:r>
      <w:r>
        <w:rPr>
          <w:rFonts w:hint="eastAsia" w:ascii="仿宋" w:hAnsi="仿宋" w:eastAsia="仿宋"/>
          <w:sz w:val="24"/>
          <w:szCs w:val="24"/>
          <w:highlight w:val="none"/>
        </w:rPr>
        <w:t>履约保证金，履约保证</w:t>
      </w:r>
      <w:r>
        <w:rPr>
          <w:rFonts w:hint="eastAsia" w:ascii="仿宋" w:hAnsi="仿宋" w:eastAsia="仿宋"/>
          <w:sz w:val="24"/>
          <w:szCs w:val="24"/>
          <w:highlight w:val="none"/>
          <w:lang w:eastAsia="zh-CN"/>
        </w:rPr>
        <w:t>金</w:t>
      </w:r>
      <w:r>
        <w:rPr>
          <w:rFonts w:hint="eastAsia" w:ascii="仿宋" w:hAnsi="仿宋" w:eastAsia="仿宋"/>
          <w:sz w:val="24"/>
          <w:szCs w:val="24"/>
          <w:highlight w:val="none"/>
        </w:rPr>
        <w:t>在合同解除后无息退还。</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2、结算方式：按月支付，根据上月实际派遣人员数量及类别进行结算。对中标公司提供的安保服务的每月考核所扣分值按每分20元折算成扣罚金额，在当月管理费中扣除。</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3.中标人服务期满且履约责任履行完毕后，并在采购人确定下家保安单位后，妥善做好保安移交工作，移交完毕后15个工作日内无息退还履约保证金。</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4.中标人须提供正式的税务发票并凭税务发票付款。</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5.付款方式不允许负偏离，投标人任何关于负偏离于付款方式的承诺将导致其价格报价的得分为“0”分。</w:t>
      </w:r>
    </w:p>
    <w:p>
      <w:pPr>
        <w:numPr>
          <w:ilvl w:val="0"/>
          <w:numId w:val="0"/>
        </w:numPr>
        <w:spacing w:line="360" w:lineRule="auto"/>
        <w:ind w:firstLine="480" w:firstLineChars="200"/>
        <w:rPr>
          <w:rFonts w:hint="eastAsia" w:ascii="仿宋" w:hAnsi="仿宋" w:eastAsia="仿宋" w:cs="仿宋"/>
          <w:sz w:val="24"/>
          <w:szCs w:val="24"/>
          <w:highlight w:val="yellow"/>
        </w:rPr>
      </w:pPr>
    </w:p>
    <w:p>
      <w:pPr>
        <w:spacing w:line="420" w:lineRule="exact"/>
        <w:jc w:val="both"/>
        <w:rPr>
          <w:rFonts w:hint="eastAsia" w:ascii="仿宋" w:hAnsi="仿宋" w:eastAsia="仿宋" w:cs="仿宋"/>
          <w:b/>
          <w:color w:val="auto"/>
          <w:sz w:val="36"/>
          <w:szCs w:val="36"/>
        </w:rPr>
      </w:pPr>
    </w:p>
    <w:p>
      <w:pPr>
        <w:spacing w:line="420" w:lineRule="exact"/>
        <w:ind w:firstLine="2530" w:firstLineChars="700"/>
        <w:jc w:val="both"/>
        <w:rPr>
          <w:rFonts w:hint="eastAsia" w:ascii="仿宋" w:hAnsi="仿宋" w:eastAsia="仿宋" w:cs="仿宋"/>
          <w:b/>
          <w:color w:val="auto"/>
          <w:sz w:val="36"/>
          <w:szCs w:val="36"/>
        </w:rPr>
      </w:pPr>
    </w:p>
    <w:p>
      <w:pPr>
        <w:spacing w:line="420" w:lineRule="exact"/>
        <w:ind w:firstLine="2530" w:firstLineChars="700"/>
        <w:jc w:val="both"/>
        <w:rPr>
          <w:rFonts w:hint="eastAsia" w:ascii="仿宋" w:hAnsi="仿宋" w:eastAsia="仿宋" w:cs="仿宋"/>
          <w:sz w:val="36"/>
          <w:szCs w:val="36"/>
        </w:rPr>
      </w:pPr>
      <w:r>
        <w:rPr>
          <w:rFonts w:hint="eastAsia" w:ascii="仿宋" w:hAnsi="仿宋" w:eastAsia="仿宋" w:cs="仿宋"/>
          <w:b/>
          <w:color w:val="auto"/>
          <w:sz w:val="36"/>
          <w:szCs w:val="36"/>
        </w:rPr>
        <w:t>第四章  评标办法及评分标准</w:t>
      </w:r>
    </w:p>
    <w:p>
      <w:pPr>
        <w:spacing w:line="420" w:lineRule="exact"/>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 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三、评分办法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（一）满分为100分。总得分=商务技术分（</w:t>
      </w:r>
      <w:r>
        <w:rPr>
          <w:rFonts w:hint="eastAsia" w:ascii="仿宋" w:hAnsi="仿宋" w:eastAsia="仿宋" w:cs="仿宋"/>
          <w:sz w:val="24"/>
          <w:szCs w:val="24"/>
          <w:lang w:val="en-US" w:eastAsia="zh-CN"/>
        </w:rPr>
        <w:t>8</w:t>
      </w:r>
      <w:r>
        <w:rPr>
          <w:rFonts w:hint="eastAsia" w:ascii="仿宋" w:hAnsi="仿宋" w:eastAsia="仿宋" w:cs="仿宋"/>
          <w:sz w:val="24"/>
          <w:szCs w:val="24"/>
        </w:rPr>
        <w:t>0分）+报价分（</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（二）技术得分=技术评分，技术评分=所有评委的有效评分的算术平均数。</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sz w:val="24"/>
          <w:szCs w:val="24"/>
        </w:rPr>
        <w:t>（三）</w:t>
      </w:r>
      <w:r>
        <w:rPr>
          <w:rFonts w:hint="eastAsia" w:ascii="仿宋" w:hAnsi="仿宋" w:eastAsia="仿宋" w:cs="仿宋"/>
          <w:kern w:val="1"/>
          <w:sz w:val="24"/>
          <w:szCs w:val="24"/>
        </w:rPr>
        <w:t>报价评分将在有效投标人范围内进行，最高得</w:t>
      </w:r>
      <w:r>
        <w:rPr>
          <w:rFonts w:hint="eastAsia" w:ascii="仿宋" w:hAnsi="仿宋" w:eastAsia="仿宋" w:cs="仿宋"/>
          <w:kern w:val="1"/>
          <w:sz w:val="24"/>
          <w:szCs w:val="24"/>
          <w:lang w:val="en-US" w:eastAsia="zh-CN"/>
        </w:rPr>
        <w:t>2</w:t>
      </w:r>
      <w:r>
        <w:rPr>
          <w:rFonts w:hint="eastAsia" w:ascii="仿宋" w:hAnsi="仿宋" w:eastAsia="仿宋" w:cs="仿宋"/>
          <w:kern w:val="1"/>
          <w:sz w:val="24"/>
          <w:szCs w:val="24"/>
        </w:rPr>
        <w:t>0分，小数点后保留2位小数。满足招标文件要求且投标价格最低的投标报价为评标基准价，其商务报价分为满分。其他投标人的价格分按照下列公式计算：</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报价分=(评标基准价／投标报价)×</w:t>
      </w:r>
      <w:r>
        <w:rPr>
          <w:rFonts w:hint="eastAsia" w:ascii="仿宋" w:hAnsi="仿宋" w:eastAsia="仿宋" w:cs="仿宋"/>
          <w:kern w:val="1"/>
          <w:sz w:val="24"/>
          <w:szCs w:val="24"/>
          <w:lang w:val="en-US" w:eastAsia="zh-CN"/>
        </w:rPr>
        <w:t>2</w:t>
      </w:r>
      <w:r>
        <w:rPr>
          <w:rFonts w:hint="eastAsia" w:ascii="仿宋" w:hAnsi="仿宋" w:eastAsia="仿宋" w:cs="仿宋"/>
          <w:kern w:val="1"/>
          <w:sz w:val="24"/>
          <w:szCs w:val="24"/>
        </w:rPr>
        <w:t>0。</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lang w:eastAsia="zh-CN"/>
        </w:rPr>
        <w:t>（四）</w:t>
      </w:r>
      <w:r>
        <w:rPr>
          <w:rFonts w:hint="eastAsia" w:ascii="仿宋" w:hAnsi="仿宋" w:eastAsia="仿宋" w:cs="仿宋"/>
          <w:kern w:val="1"/>
          <w:sz w:val="24"/>
          <w:szCs w:val="24"/>
          <w:highlight w:val="none"/>
        </w:rPr>
        <w:t>落实政府采购政策说明：</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对小型或微型企业投标的扶持：</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根据《政府采购促进中小企业发展管理办法》第九条，该项目专门面向中小企业进行采购，中小微企业参加该项目采购应当不享受报价扣除。根据财库[2017]141 号、财库[2014]68 号的相关规定，残疾人福利性单位和监狱企业在参加政府采购项目时，视同小型、微型企业。</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五</w:t>
      </w:r>
      <w:r>
        <w:rPr>
          <w:rFonts w:hint="eastAsia" w:ascii="仿宋" w:hAnsi="仿宋" w:eastAsia="仿宋" w:cs="仿宋"/>
          <w:sz w:val="24"/>
          <w:szCs w:val="24"/>
        </w:rPr>
        <w:t>）技术分评分细则（</w:t>
      </w:r>
      <w:r>
        <w:rPr>
          <w:rFonts w:hint="eastAsia" w:ascii="仿宋" w:hAnsi="仿宋" w:eastAsia="仿宋" w:cs="仿宋"/>
          <w:sz w:val="24"/>
          <w:szCs w:val="24"/>
          <w:lang w:val="en-US" w:eastAsia="zh-CN"/>
        </w:rPr>
        <w:t>8</w:t>
      </w:r>
      <w:r>
        <w:rPr>
          <w:rFonts w:hint="eastAsia" w:ascii="仿宋" w:hAnsi="仿宋" w:eastAsia="仿宋" w:cs="仿宋"/>
          <w:sz w:val="24"/>
          <w:szCs w:val="24"/>
        </w:rPr>
        <w:t>0分）</w:t>
      </w:r>
      <w:bookmarkStart w:id="12" w:name="_Hlk36476656"/>
    </w:p>
    <w:tbl>
      <w:tblPr>
        <w:tblStyle w:val="31"/>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92"/>
        <w:gridCol w:w="616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BEBEBE"/>
            <w:noWrap/>
            <w:vAlign w:val="center"/>
          </w:tcPr>
          <w:p>
            <w:pPr>
              <w:jc w:val="center"/>
              <w:rPr>
                <w:rFonts w:ascii="仿宋" w:hAnsi="仿宋" w:eastAsia="仿宋"/>
                <w:b/>
                <w:bCs/>
                <w:kern w:val="2"/>
                <w:sz w:val="24"/>
                <w:szCs w:val="24"/>
              </w:rPr>
            </w:pPr>
            <w:r>
              <w:rPr>
                <w:rFonts w:hint="eastAsia" w:ascii="仿宋" w:hAnsi="仿宋" w:eastAsia="仿宋"/>
                <w:b/>
                <w:bCs/>
                <w:kern w:val="2"/>
                <w:sz w:val="24"/>
                <w:szCs w:val="24"/>
              </w:rPr>
              <w:t>序号</w:t>
            </w:r>
          </w:p>
        </w:tc>
        <w:tc>
          <w:tcPr>
            <w:tcW w:w="1492" w:type="dxa"/>
            <w:tcBorders>
              <w:top w:val="single" w:color="auto" w:sz="4" w:space="0"/>
              <w:left w:val="single" w:color="auto" w:sz="4" w:space="0"/>
              <w:bottom w:val="single" w:color="auto" w:sz="4" w:space="0"/>
              <w:right w:val="single" w:color="auto" w:sz="4" w:space="0"/>
            </w:tcBorders>
            <w:shd w:val="clear" w:color="auto" w:fill="BEBEBE"/>
            <w:noWrap/>
            <w:vAlign w:val="center"/>
          </w:tcPr>
          <w:p>
            <w:pPr>
              <w:jc w:val="center"/>
              <w:rPr>
                <w:rFonts w:ascii="仿宋" w:hAnsi="仿宋" w:eastAsia="仿宋"/>
                <w:b/>
                <w:bCs/>
                <w:kern w:val="2"/>
                <w:sz w:val="24"/>
                <w:szCs w:val="24"/>
              </w:rPr>
            </w:pPr>
            <w:r>
              <w:rPr>
                <w:rFonts w:hint="eastAsia" w:ascii="仿宋" w:hAnsi="仿宋" w:eastAsia="仿宋"/>
                <w:b/>
                <w:bCs/>
                <w:kern w:val="2"/>
                <w:sz w:val="24"/>
                <w:szCs w:val="24"/>
              </w:rPr>
              <w:t>评分项目</w:t>
            </w:r>
          </w:p>
        </w:tc>
        <w:tc>
          <w:tcPr>
            <w:tcW w:w="6167" w:type="dxa"/>
            <w:tcBorders>
              <w:top w:val="single" w:color="auto" w:sz="4" w:space="0"/>
              <w:left w:val="single" w:color="auto" w:sz="4" w:space="0"/>
              <w:bottom w:val="single" w:color="auto" w:sz="4" w:space="0"/>
              <w:right w:val="single" w:color="auto" w:sz="4" w:space="0"/>
            </w:tcBorders>
            <w:shd w:val="clear" w:color="auto" w:fill="BEBEBE"/>
            <w:noWrap/>
            <w:vAlign w:val="center"/>
          </w:tcPr>
          <w:p>
            <w:pPr>
              <w:jc w:val="center"/>
              <w:rPr>
                <w:rFonts w:ascii="仿宋" w:hAnsi="仿宋" w:eastAsia="仿宋"/>
                <w:b/>
                <w:bCs/>
                <w:kern w:val="2"/>
                <w:sz w:val="24"/>
                <w:szCs w:val="24"/>
              </w:rPr>
            </w:pPr>
            <w:r>
              <w:rPr>
                <w:rFonts w:hint="eastAsia" w:ascii="仿宋" w:hAnsi="仿宋" w:eastAsia="仿宋"/>
                <w:b/>
                <w:bCs/>
                <w:kern w:val="2"/>
                <w:sz w:val="24"/>
                <w:szCs w:val="24"/>
              </w:rPr>
              <w:t>评分要点及说明</w:t>
            </w:r>
          </w:p>
        </w:tc>
        <w:tc>
          <w:tcPr>
            <w:tcW w:w="1094" w:type="dxa"/>
            <w:tcBorders>
              <w:top w:val="single" w:color="auto" w:sz="4" w:space="0"/>
              <w:left w:val="single" w:color="auto" w:sz="4" w:space="0"/>
              <w:bottom w:val="single" w:color="auto" w:sz="4" w:space="0"/>
              <w:right w:val="single" w:color="auto" w:sz="4" w:space="0"/>
            </w:tcBorders>
            <w:shd w:val="clear" w:color="auto" w:fill="BEBEBE"/>
            <w:noWrap/>
            <w:vAlign w:val="center"/>
          </w:tcPr>
          <w:p>
            <w:pPr>
              <w:jc w:val="center"/>
              <w:rPr>
                <w:rFonts w:ascii="仿宋" w:hAnsi="仿宋" w:eastAsia="仿宋"/>
                <w:b/>
                <w:bCs/>
                <w:kern w:val="2"/>
                <w:sz w:val="24"/>
                <w:szCs w:val="24"/>
              </w:rPr>
            </w:pPr>
            <w:r>
              <w:rPr>
                <w:rFonts w:hint="eastAsia" w:ascii="仿宋" w:hAnsi="仿宋" w:eastAsia="仿宋"/>
                <w:b/>
                <w:bCs/>
                <w:kern w:val="2"/>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1</w:t>
            </w:r>
          </w:p>
        </w:tc>
        <w:tc>
          <w:tcPr>
            <w:tcW w:w="1492" w:type="dxa"/>
            <w:tcBorders>
              <w:top w:val="single" w:color="auto" w:sz="4" w:space="0"/>
              <w:left w:val="nil"/>
              <w:bottom w:val="single" w:color="auto" w:sz="4" w:space="0"/>
              <w:right w:val="single" w:color="auto" w:sz="4" w:space="0"/>
            </w:tcBorders>
            <w:noWrap/>
            <w:vAlign w:val="center"/>
          </w:tcPr>
          <w:p>
            <w:pPr>
              <w:spacing w:line="300" w:lineRule="auto"/>
              <w:ind w:firstLine="240" w:firstLineChars="100"/>
              <w:jc w:val="both"/>
              <w:rPr>
                <w:rFonts w:ascii="仿宋" w:hAnsi="仿宋" w:eastAsia="仿宋"/>
                <w:kern w:val="2"/>
                <w:sz w:val="24"/>
                <w:szCs w:val="24"/>
              </w:rPr>
            </w:pPr>
            <w:r>
              <w:rPr>
                <w:rFonts w:hint="eastAsia" w:ascii="仿宋" w:hAnsi="仿宋" w:eastAsia="仿宋"/>
                <w:kern w:val="2"/>
                <w:sz w:val="24"/>
                <w:szCs w:val="24"/>
              </w:rPr>
              <w:t>项目业绩</w:t>
            </w:r>
          </w:p>
        </w:tc>
        <w:tc>
          <w:tcPr>
            <w:tcW w:w="6167" w:type="dxa"/>
            <w:tcBorders>
              <w:top w:val="single" w:color="auto" w:sz="4" w:space="0"/>
              <w:left w:val="nil"/>
              <w:bottom w:val="single" w:color="auto" w:sz="4" w:space="0"/>
              <w:right w:val="single" w:color="auto" w:sz="4" w:space="0"/>
            </w:tcBorders>
            <w:noWrap/>
            <w:vAlign w:val="center"/>
          </w:tcPr>
          <w:p>
            <w:pPr>
              <w:pStyle w:val="15"/>
              <w:spacing w:line="360" w:lineRule="auto"/>
              <w:jc w:val="left"/>
              <w:rPr>
                <w:rFonts w:hint="eastAsia" w:ascii="仿宋" w:hAnsi="仿宋" w:eastAsia="仿宋"/>
                <w:kern w:val="2"/>
                <w:sz w:val="24"/>
                <w:szCs w:val="24"/>
              </w:rPr>
            </w:pPr>
            <w:r>
              <w:rPr>
                <w:rFonts w:hint="eastAsia" w:ascii="仿宋" w:hAnsi="仿宋" w:eastAsia="仿宋"/>
                <w:kern w:val="2"/>
                <w:sz w:val="24"/>
                <w:szCs w:val="24"/>
              </w:rPr>
              <w:t>近三年投标人具有同类项目业绩合同，同时得到服务单位满意度评价的每个得1分，未提供满意度评价的每个得0.5分，最高得2分。</w:t>
            </w:r>
          </w:p>
          <w:p>
            <w:pPr>
              <w:pStyle w:val="15"/>
              <w:spacing w:line="360" w:lineRule="auto"/>
              <w:jc w:val="left"/>
              <w:rPr>
                <w:rFonts w:hint="eastAsia" w:ascii="仿宋" w:hAnsi="仿宋" w:eastAsia="仿宋"/>
                <w:kern w:val="2"/>
                <w:sz w:val="24"/>
                <w:szCs w:val="24"/>
                <w:lang w:eastAsia="zh-CN"/>
              </w:rPr>
            </w:pPr>
            <w:r>
              <w:rPr>
                <w:rFonts w:hint="eastAsia" w:ascii="仿宋" w:hAnsi="仿宋" w:eastAsia="仿宋"/>
                <w:b/>
                <w:bCs/>
                <w:kern w:val="2"/>
                <w:sz w:val="24"/>
                <w:szCs w:val="24"/>
                <w:lang w:eastAsia="zh-CN"/>
              </w:rPr>
              <w:t>（提供合同复印件及满意度评价表，不提供不得分）</w:t>
            </w:r>
          </w:p>
        </w:tc>
        <w:tc>
          <w:tcPr>
            <w:tcW w:w="1094"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仿宋" w:hAnsi="仿宋" w:eastAsia="仿宋"/>
                <w:bCs/>
                <w:kern w:val="2"/>
                <w:sz w:val="24"/>
                <w:szCs w:val="24"/>
              </w:rPr>
            </w:pPr>
            <w:r>
              <w:rPr>
                <w:rFonts w:hint="eastAsia" w:ascii="仿宋" w:hAnsi="仿宋" w:eastAsia="仿宋"/>
                <w:bCs/>
                <w:kern w:val="2"/>
                <w:sz w:val="24"/>
                <w:szCs w:val="24"/>
              </w:rPr>
              <w:t>0-2</w:t>
            </w:r>
          </w:p>
          <w:p>
            <w:pPr>
              <w:spacing w:line="360" w:lineRule="auto"/>
              <w:jc w:val="center"/>
              <w:rPr>
                <w:rFonts w:ascii="仿宋" w:hAnsi="仿宋" w:eastAsia="仿宋"/>
                <w:bCs/>
                <w:kern w:val="2"/>
                <w:sz w:val="24"/>
                <w:szCs w:val="24"/>
              </w:rPr>
            </w:pPr>
            <w:r>
              <w:rPr>
                <w:rFonts w:hint="eastAsia" w:ascii="仿宋" w:hAnsi="仿宋" w:eastAsia="仿宋"/>
                <w:kern w:val="2"/>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2</w:t>
            </w:r>
          </w:p>
        </w:tc>
        <w:tc>
          <w:tcPr>
            <w:tcW w:w="1492" w:type="dxa"/>
            <w:vMerge w:val="restart"/>
            <w:tcBorders>
              <w:top w:val="nil"/>
              <w:left w:val="nil"/>
              <w:bottom w:val="single" w:color="auto" w:sz="4" w:space="0"/>
              <w:right w:val="single" w:color="auto" w:sz="4" w:space="0"/>
            </w:tcBorders>
            <w:noWrap/>
            <w:vAlign w:val="center"/>
          </w:tcPr>
          <w:p>
            <w:pPr>
              <w:spacing w:line="300" w:lineRule="auto"/>
              <w:jc w:val="center"/>
              <w:rPr>
                <w:rFonts w:ascii="仿宋" w:hAnsi="仿宋" w:eastAsia="仿宋"/>
                <w:kern w:val="2"/>
                <w:sz w:val="24"/>
                <w:szCs w:val="24"/>
              </w:rPr>
            </w:pPr>
            <w:r>
              <w:rPr>
                <w:rFonts w:hint="eastAsia" w:ascii="仿宋" w:hAnsi="仿宋" w:eastAsia="仿宋"/>
                <w:kern w:val="2"/>
                <w:sz w:val="24"/>
                <w:szCs w:val="24"/>
              </w:rPr>
              <w:t>投标人资信及荣誉等</w:t>
            </w: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投标人同时具有《保安服务许可证》及《劳务派遣经营许可证》的得4分，具有其中一项的得2分，最高得4分。</w:t>
            </w:r>
          </w:p>
          <w:p>
            <w:pPr>
              <w:pStyle w:val="15"/>
              <w:jc w:val="left"/>
              <w:rPr>
                <w:rFonts w:ascii="仿宋" w:hAnsi="仿宋" w:eastAsia="仿宋"/>
                <w:kern w:val="2"/>
                <w:sz w:val="24"/>
                <w:szCs w:val="24"/>
              </w:rPr>
            </w:pPr>
            <w:r>
              <w:rPr>
                <w:rFonts w:hint="eastAsia" w:ascii="仿宋" w:hAnsi="仿宋" w:eastAsia="仿宋"/>
                <w:b/>
                <w:bCs/>
                <w:kern w:val="2"/>
                <w:sz w:val="24"/>
                <w:szCs w:val="24"/>
              </w:rPr>
              <w:t>（提供相关证书复印件，不提供不得分）</w:t>
            </w:r>
          </w:p>
        </w:tc>
        <w:tc>
          <w:tcPr>
            <w:tcW w:w="1094" w:type="dxa"/>
            <w:tcBorders>
              <w:top w:val="single" w:color="auto" w:sz="4" w:space="0"/>
              <w:left w:val="nil"/>
              <w:bottom w:val="single" w:color="auto" w:sz="4" w:space="0"/>
              <w:right w:val="single" w:color="auto" w:sz="4" w:space="0"/>
            </w:tcBorders>
            <w:noWrap/>
            <w:vAlign w:val="center"/>
          </w:tcPr>
          <w:p>
            <w:pPr>
              <w:spacing w:line="360" w:lineRule="auto"/>
              <w:jc w:val="center"/>
              <w:rPr>
                <w:rFonts w:ascii="仿宋" w:hAnsi="仿宋" w:eastAsia="仿宋"/>
                <w:bCs/>
                <w:kern w:val="2"/>
                <w:sz w:val="24"/>
                <w:szCs w:val="24"/>
              </w:rPr>
            </w:pPr>
            <w:r>
              <w:rPr>
                <w:rFonts w:hint="eastAsia" w:ascii="仿宋" w:hAnsi="仿宋" w:eastAsia="仿宋"/>
                <w:bCs/>
                <w:kern w:val="2"/>
                <w:sz w:val="24"/>
                <w:szCs w:val="24"/>
              </w:rPr>
              <w:t>0-4</w:t>
            </w:r>
          </w:p>
          <w:p>
            <w:pPr>
              <w:spacing w:line="360" w:lineRule="auto"/>
              <w:jc w:val="center"/>
              <w:rPr>
                <w:rFonts w:ascii="仿宋" w:hAnsi="仿宋" w:eastAsia="仿宋"/>
                <w:kern w:val="2"/>
                <w:sz w:val="24"/>
                <w:szCs w:val="24"/>
              </w:rPr>
            </w:pPr>
            <w:r>
              <w:rPr>
                <w:rFonts w:hint="eastAsia" w:ascii="仿宋" w:hAnsi="仿宋" w:eastAsia="仿宋"/>
                <w:kern w:val="2"/>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3</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hint="eastAsia" w:ascii="仿宋" w:hAnsi="仿宋" w:eastAsia="仿宋"/>
                <w:kern w:val="2"/>
                <w:sz w:val="24"/>
                <w:szCs w:val="24"/>
                <w:highlight w:val="none"/>
                <w:lang w:eastAsia="zh-CN"/>
              </w:rPr>
            </w:pPr>
            <w:r>
              <w:rPr>
                <w:rFonts w:hint="eastAsia" w:ascii="仿宋" w:hAnsi="仿宋" w:eastAsia="仿宋"/>
                <w:kern w:val="2"/>
                <w:sz w:val="24"/>
                <w:szCs w:val="24"/>
                <w:highlight w:val="none"/>
              </w:rPr>
              <w:t>投标人2019年</w:t>
            </w:r>
            <w:r>
              <w:rPr>
                <w:rFonts w:hint="eastAsia" w:ascii="仿宋" w:hAnsi="仿宋" w:eastAsia="仿宋"/>
                <w:kern w:val="2"/>
                <w:sz w:val="24"/>
                <w:szCs w:val="24"/>
                <w:highlight w:val="none"/>
                <w:lang w:val="en-US" w:eastAsia="zh-CN"/>
              </w:rPr>
              <w:t>1月1日以</w:t>
            </w:r>
            <w:r>
              <w:rPr>
                <w:rFonts w:hint="eastAsia" w:ascii="仿宋" w:hAnsi="仿宋" w:eastAsia="仿宋"/>
                <w:kern w:val="2"/>
                <w:sz w:val="24"/>
                <w:szCs w:val="24"/>
                <w:highlight w:val="none"/>
              </w:rPr>
              <w:t>来获得国家级表彰的得3分，获</w:t>
            </w:r>
            <w:r>
              <w:rPr>
                <w:rFonts w:hint="eastAsia" w:ascii="仿宋" w:hAnsi="仿宋" w:eastAsia="仿宋"/>
                <w:kern w:val="2"/>
                <w:sz w:val="24"/>
                <w:szCs w:val="24"/>
                <w:highlight w:val="none"/>
                <w:lang w:eastAsia="zh-CN"/>
              </w:rPr>
              <w:t>得</w:t>
            </w:r>
            <w:r>
              <w:rPr>
                <w:rFonts w:hint="eastAsia" w:ascii="仿宋" w:hAnsi="仿宋" w:eastAsia="仿宋"/>
                <w:kern w:val="2"/>
                <w:sz w:val="24"/>
                <w:szCs w:val="24"/>
                <w:highlight w:val="none"/>
              </w:rPr>
              <w:t>省级先进</w:t>
            </w:r>
            <w:r>
              <w:rPr>
                <w:rFonts w:hint="eastAsia" w:ascii="仿宋" w:hAnsi="仿宋" w:eastAsia="仿宋"/>
                <w:kern w:val="2"/>
                <w:sz w:val="24"/>
                <w:szCs w:val="24"/>
                <w:highlight w:val="none"/>
                <w:lang w:eastAsia="zh-CN"/>
              </w:rPr>
              <w:t>、</w:t>
            </w:r>
            <w:r>
              <w:rPr>
                <w:rFonts w:hint="eastAsia" w:ascii="仿宋" w:hAnsi="仿宋" w:eastAsia="仿宋"/>
                <w:kern w:val="2"/>
                <w:sz w:val="24"/>
                <w:szCs w:val="24"/>
                <w:highlight w:val="none"/>
              </w:rPr>
              <w:t>优秀荣誉称号</w:t>
            </w:r>
            <w:r>
              <w:rPr>
                <w:rFonts w:hint="eastAsia" w:ascii="仿宋" w:hAnsi="仿宋" w:eastAsia="仿宋"/>
                <w:kern w:val="2"/>
                <w:sz w:val="24"/>
                <w:szCs w:val="24"/>
                <w:highlight w:val="none"/>
                <w:lang w:eastAsia="zh-CN"/>
              </w:rPr>
              <w:t>或</w:t>
            </w:r>
            <w:r>
              <w:rPr>
                <w:rFonts w:hint="eastAsia" w:ascii="仿宋" w:hAnsi="仿宋" w:eastAsia="仿宋"/>
                <w:kern w:val="2"/>
                <w:sz w:val="24"/>
                <w:szCs w:val="24"/>
                <w:highlight w:val="none"/>
              </w:rPr>
              <w:t>表彰的得2分，获</w:t>
            </w:r>
            <w:r>
              <w:rPr>
                <w:rFonts w:hint="eastAsia" w:ascii="仿宋" w:hAnsi="仿宋" w:eastAsia="仿宋"/>
                <w:kern w:val="2"/>
                <w:sz w:val="24"/>
                <w:szCs w:val="24"/>
                <w:highlight w:val="none"/>
                <w:lang w:eastAsia="zh-CN"/>
              </w:rPr>
              <w:t>得</w:t>
            </w:r>
            <w:r>
              <w:rPr>
                <w:rFonts w:hint="eastAsia" w:ascii="仿宋" w:hAnsi="仿宋" w:eastAsia="仿宋"/>
                <w:kern w:val="2"/>
                <w:sz w:val="24"/>
                <w:szCs w:val="24"/>
                <w:highlight w:val="none"/>
              </w:rPr>
              <w:t>市级先进</w:t>
            </w:r>
            <w:r>
              <w:rPr>
                <w:rFonts w:hint="eastAsia" w:ascii="仿宋" w:hAnsi="仿宋" w:eastAsia="仿宋"/>
                <w:kern w:val="2"/>
                <w:sz w:val="24"/>
                <w:szCs w:val="24"/>
                <w:highlight w:val="none"/>
                <w:lang w:eastAsia="zh-CN"/>
              </w:rPr>
              <w:t>、</w:t>
            </w:r>
            <w:r>
              <w:rPr>
                <w:rFonts w:hint="eastAsia" w:ascii="仿宋" w:hAnsi="仿宋" w:eastAsia="仿宋"/>
                <w:kern w:val="2"/>
                <w:sz w:val="24"/>
                <w:szCs w:val="24"/>
                <w:highlight w:val="none"/>
              </w:rPr>
              <w:t>优秀荣誉称号</w:t>
            </w:r>
            <w:r>
              <w:rPr>
                <w:rFonts w:hint="eastAsia" w:ascii="仿宋" w:hAnsi="仿宋" w:eastAsia="仿宋"/>
                <w:kern w:val="2"/>
                <w:sz w:val="24"/>
                <w:szCs w:val="24"/>
                <w:highlight w:val="none"/>
                <w:lang w:eastAsia="zh-CN"/>
              </w:rPr>
              <w:t>或</w:t>
            </w:r>
            <w:r>
              <w:rPr>
                <w:rFonts w:hint="eastAsia" w:ascii="仿宋" w:hAnsi="仿宋" w:eastAsia="仿宋"/>
                <w:kern w:val="2"/>
                <w:sz w:val="24"/>
                <w:szCs w:val="24"/>
                <w:highlight w:val="none"/>
              </w:rPr>
              <w:t>表彰的得1分，</w:t>
            </w:r>
            <w:r>
              <w:rPr>
                <w:rFonts w:hint="eastAsia" w:ascii="仿宋" w:hAnsi="仿宋" w:eastAsia="仿宋"/>
                <w:kern w:val="2"/>
                <w:sz w:val="24"/>
                <w:szCs w:val="24"/>
                <w:highlight w:val="none"/>
                <w:lang w:val="en-US" w:eastAsia="zh-CN"/>
              </w:rPr>
              <w:t>本项</w:t>
            </w:r>
            <w:r>
              <w:rPr>
                <w:rFonts w:hint="eastAsia" w:ascii="仿宋" w:hAnsi="仿宋" w:eastAsia="仿宋"/>
                <w:kern w:val="2"/>
                <w:sz w:val="24"/>
                <w:szCs w:val="24"/>
                <w:highlight w:val="none"/>
              </w:rPr>
              <w:t>最高得6分</w:t>
            </w:r>
            <w:r>
              <w:rPr>
                <w:rFonts w:hint="eastAsia" w:ascii="仿宋" w:hAnsi="仿宋" w:eastAsia="仿宋"/>
                <w:kern w:val="2"/>
                <w:sz w:val="24"/>
                <w:szCs w:val="24"/>
                <w:highlight w:val="none"/>
                <w:lang w:eastAsia="zh-CN"/>
              </w:rPr>
              <w:t>。</w:t>
            </w:r>
          </w:p>
          <w:p>
            <w:pPr>
              <w:spacing w:line="300" w:lineRule="auto"/>
              <w:rPr>
                <w:rFonts w:ascii="仿宋" w:hAnsi="仿宋" w:eastAsia="仿宋"/>
                <w:kern w:val="2"/>
                <w:sz w:val="24"/>
                <w:szCs w:val="24"/>
              </w:rPr>
            </w:pPr>
            <w:r>
              <w:rPr>
                <w:rFonts w:hint="eastAsia" w:ascii="仿宋" w:hAnsi="仿宋" w:eastAsia="仿宋"/>
                <w:b/>
                <w:bCs/>
                <w:kern w:val="2"/>
                <w:sz w:val="24"/>
                <w:szCs w:val="24"/>
              </w:rPr>
              <w:t>（提供相关证书复印件，不提供不得分）</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ascii="仿宋" w:hAnsi="仿宋" w:eastAsia="仿宋"/>
                <w:kern w:val="2"/>
                <w:sz w:val="24"/>
                <w:szCs w:val="24"/>
              </w:rPr>
            </w:pPr>
            <w:r>
              <w:rPr>
                <w:rFonts w:hint="eastAsia" w:ascii="仿宋" w:hAnsi="仿宋" w:eastAsia="仿宋"/>
                <w:kern w:val="2"/>
                <w:sz w:val="24"/>
                <w:szCs w:val="24"/>
              </w:rPr>
              <w:t>0-6</w:t>
            </w:r>
          </w:p>
          <w:p>
            <w:pPr>
              <w:spacing w:line="273" w:lineRule="auto"/>
              <w:jc w:val="center"/>
              <w:rPr>
                <w:rFonts w:ascii="仿宋" w:hAnsi="仿宋" w:eastAsia="仿宋"/>
                <w:kern w:val="2"/>
                <w:sz w:val="24"/>
                <w:szCs w:val="24"/>
              </w:rPr>
            </w:pPr>
            <w:r>
              <w:rPr>
                <w:rFonts w:hint="eastAsia" w:ascii="仿宋" w:hAnsi="仿宋" w:eastAsia="仿宋"/>
                <w:kern w:val="2"/>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4</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hint="eastAsia" w:ascii="仿宋" w:hAnsi="仿宋" w:eastAsia="仿宋"/>
                <w:kern w:val="2"/>
                <w:sz w:val="24"/>
                <w:szCs w:val="24"/>
                <w:lang w:eastAsia="zh-CN"/>
              </w:rPr>
            </w:pPr>
            <w:r>
              <w:rPr>
                <w:rFonts w:hint="eastAsia" w:ascii="仿宋" w:hAnsi="仿宋" w:eastAsia="仿宋"/>
                <w:kern w:val="2"/>
                <w:sz w:val="24"/>
                <w:szCs w:val="24"/>
              </w:rPr>
              <w:t>投标人具有保安员培训资质、专项固定培训网点或具有职业技能等级认定资格的得5分</w:t>
            </w:r>
            <w:r>
              <w:rPr>
                <w:rFonts w:hint="eastAsia" w:ascii="仿宋" w:hAnsi="仿宋" w:eastAsia="仿宋"/>
                <w:kern w:val="2"/>
                <w:sz w:val="24"/>
                <w:szCs w:val="24"/>
                <w:lang w:eastAsia="zh-CN"/>
              </w:rPr>
              <w:t>。</w:t>
            </w:r>
          </w:p>
          <w:p>
            <w:pPr>
              <w:spacing w:line="300" w:lineRule="auto"/>
              <w:rPr>
                <w:rFonts w:ascii="仿宋" w:hAnsi="仿宋" w:eastAsia="仿宋"/>
                <w:kern w:val="2"/>
                <w:sz w:val="24"/>
                <w:szCs w:val="24"/>
              </w:rPr>
            </w:pPr>
            <w:r>
              <w:rPr>
                <w:rFonts w:hint="eastAsia" w:ascii="仿宋" w:hAnsi="仿宋" w:eastAsia="仿宋"/>
                <w:b/>
                <w:bCs/>
                <w:kern w:val="2"/>
                <w:sz w:val="24"/>
                <w:szCs w:val="24"/>
              </w:rPr>
              <w:t>（须提供相关证明</w:t>
            </w:r>
            <w:r>
              <w:rPr>
                <w:rFonts w:hint="eastAsia" w:ascii="仿宋" w:hAnsi="仿宋" w:eastAsia="仿宋"/>
                <w:b/>
                <w:bCs/>
                <w:kern w:val="2"/>
                <w:sz w:val="24"/>
                <w:szCs w:val="24"/>
                <w:lang w:eastAsia="zh-CN"/>
              </w:rPr>
              <w:t>资料复印件，不提供不得分</w:t>
            </w:r>
            <w:r>
              <w:rPr>
                <w:rFonts w:hint="eastAsia" w:ascii="仿宋" w:hAnsi="仿宋" w:eastAsia="仿宋"/>
                <w:b/>
                <w:bCs/>
                <w:kern w:val="2"/>
                <w:sz w:val="24"/>
                <w:szCs w:val="24"/>
              </w:rPr>
              <w:t>）</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ascii="仿宋" w:hAnsi="仿宋" w:eastAsia="仿宋"/>
                <w:kern w:val="2"/>
                <w:sz w:val="24"/>
                <w:szCs w:val="24"/>
              </w:rPr>
            </w:pPr>
            <w:r>
              <w:rPr>
                <w:rFonts w:hint="eastAsia" w:ascii="仿宋" w:hAnsi="仿宋" w:eastAsia="仿宋"/>
                <w:kern w:val="2"/>
                <w:sz w:val="24"/>
                <w:szCs w:val="24"/>
              </w:rPr>
              <w:t>0-5</w:t>
            </w:r>
          </w:p>
          <w:p>
            <w:pPr>
              <w:spacing w:line="273" w:lineRule="auto"/>
              <w:jc w:val="center"/>
              <w:rPr>
                <w:rFonts w:ascii="仿宋" w:hAnsi="仿宋" w:eastAsia="仿宋"/>
                <w:kern w:val="2"/>
                <w:sz w:val="24"/>
                <w:szCs w:val="24"/>
              </w:rPr>
            </w:pPr>
            <w:r>
              <w:rPr>
                <w:rFonts w:hint="eastAsia" w:ascii="仿宋" w:hAnsi="仿宋" w:eastAsia="仿宋"/>
                <w:kern w:val="2"/>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5</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hint="eastAsia" w:ascii="仿宋" w:hAnsi="仿宋" w:eastAsia="仿宋" w:cs="Times New Roman"/>
                <w:color w:val="auto"/>
                <w:kern w:val="2"/>
                <w:sz w:val="24"/>
                <w:szCs w:val="24"/>
                <w:highlight w:val="none"/>
              </w:rPr>
            </w:pPr>
            <w:r>
              <w:rPr>
                <w:rFonts w:hint="eastAsia" w:ascii="仿宋" w:hAnsi="仿宋" w:eastAsia="仿宋" w:cs="Times New Roman"/>
                <w:color w:val="auto"/>
                <w:kern w:val="2"/>
                <w:sz w:val="24"/>
                <w:szCs w:val="24"/>
                <w:highlight w:val="none"/>
              </w:rPr>
              <w:t>投标人在项目所在地设有服务网点或承诺中标后7天内在项目所在地设立服务网点的得</w:t>
            </w:r>
            <w:r>
              <w:rPr>
                <w:rFonts w:hint="eastAsia" w:ascii="仿宋" w:hAnsi="仿宋" w:eastAsia="仿宋" w:cs="Times New Roman"/>
                <w:color w:val="auto"/>
                <w:kern w:val="2"/>
                <w:sz w:val="24"/>
                <w:szCs w:val="24"/>
                <w:highlight w:val="none"/>
                <w:lang w:val="en-US" w:eastAsia="zh-CN"/>
              </w:rPr>
              <w:t>3</w:t>
            </w:r>
            <w:r>
              <w:rPr>
                <w:rFonts w:hint="eastAsia" w:ascii="仿宋" w:hAnsi="仿宋" w:eastAsia="仿宋" w:cs="Times New Roman"/>
                <w:color w:val="auto"/>
                <w:kern w:val="2"/>
                <w:sz w:val="24"/>
                <w:szCs w:val="24"/>
                <w:highlight w:val="none"/>
              </w:rPr>
              <w:t>分</w:t>
            </w:r>
            <w:r>
              <w:rPr>
                <w:rFonts w:hint="eastAsia" w:ascii="仿宋" w:hAnsi="仿宋" w:eastAsia="仿宋" w:cs="Times New Roman"/>
                <w:color w:val="auto"/>
                <w:kern w:val="2"/>
                <w:sz w:val="24"/>
                <w:szCs w:val="24"/>
                <w:highlight w:val="none"/>
                <w:lang w:eastAsia="zh-CN"/>
              </w:rPr>
              <w:t>，</w:t>
            </w:r>
            <w:r>
              <w:rPr>
                <w:rFonts w:hint="eastAsia" w:ascii="仿宋" w:hAnsi="仿宋" w:eastAsia="仿宋" w:cs="Times New Roman"/>
                <w:color w:val="auto"/>
                <w:kern w:val="2"/>
                <w:sz w:val="24"/>
                <w:szCs w:val="24"/>
                <w:highlight w:val="none"/>
              </w:rPr>
              <w:t>其余不得分。</w:t>
            </w:r>
          </w:p>
          <w:p>
            <w:pPr>
              <w:spacing w:line="300" w:lineRule="auto"/>
              <w:rPr>
                <w:rFonts w:ascii="仿宋" w:hAnsi="仿宋" w:eastAsia="仿宋"/>
                <w:kern w:val="2"/>
                <w:sz w:val="24"/>
                <w:szCs w:val="24"/>
              </w:rPr>
            </w:pPr>
            <w:r>
              <w:rPr>
                <w:rFonts w:hint="eastAsia" w:ascii="仿宋" w:hAnsi="仿宋" w:eastAsia="仿宋" w:cs="仿宋"/>
                <w:b/>
                <w:bCs/>
                <w:color w:val="auto"/>
                <w:kern w:val="0"/>
                <w:sz w:val="24"/>
                <w:highlight w:val="none"/>
              </w:rPr>
              <w:t>（提供相关承诺，不提供不得分）</w:t>
            </w:r>
            <w:r>
              <w:rPr>
                <w:rFonts w:hint="eastAsia" w:ascii="仿宋" w:hAnsi="仿宋" w:eastAsia="仿宋"/>
                <w:color w:val="auto"/>
                <w:kern w:val="2"/>
                <w:sz w:val="24"/>
                <w:szCs w:val="24"/>
                <w:highlight w:val="none"/>
              </w:rPr>
              <w:t>。</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ascii="仿宋" w:hAnsi="仿宋" w:eastAsia="仿宋"/>
                <w:kern w:val="2"/>
                <w:sz w:val="24"/>
                <w:szCs w:val="24"/>
              </w:rPr>
            </w:pPr>
            <w:r>
              <w:rPr>
                <w:rFonts w:hint="eastAsia" w:ascii="仿宋" w:hAnsi="仿宋" w:eastAsia="仿宋"/>
                <w:kern w:val="2"/>
                <w:sz w:val="24"/>
                <w:szCs w:val="24"/>
              </w:rPr>
              <w:t>0-3</w:t>
            </w:r>
          </w:p>
          <w:p>
            <w:pPr>
              <w:spacing w:line="273" w:lineRule="auto"/>
              <w:jc w:val="center"/>
              <w:rPr>
                <w:rFonts w:ascii="仿宋" w:hAnsi="仿宋" w:eastAsia="仿宋"/>
                <w:kern w:val="2"/>
                <w:sz w:val="24"/>
                <w:szCs w:val="24"/>
              </w:rPr>
            </w:pPr>
            <w:r>
              <w:rPr>
                <w:rFonts w:hint="eastAsia" w:ascii="仿宋" w:hAnsi="仿宋" w:eastAsia="仿宋"/>
                <w:kern w:val="2"/>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6</w:t>
            </w:r>
          </w:p>
        </w:tc>
        <w:tc>
          <w:tcPr>
            <w:tcW w:w="1492" w:type="dxa"/>
            <w:vMerge w:val="restart"/>
            <w:tcBorders>
              <w:top w:val="nil"/>
              <w:left w:val="nil"/>
              <w:bottom w:val="single" w:color="auto" w:sz="4" w:space="0"/>
              <w:right w:val="single" w:color="auto" w:sz="4" w:space="0"/>
            </w:tcBorders>
            <w:noWrap/>
            <w:vAlign w:val="center"/>
          </w:tcPr>
          <w:p>
            <w:pPr>
              <w:spacing w:line="300" w:lineRule="auto"/>
              <w:jc w:val="center"/>
              <w:rPr>
                <w:rFonts w:ascii="仿宋" w:hAnsi="仿宋" w:eastAsia="仿宋"/>
                <w:kern w:val="2"/>
                <w:sz w:val="24"/>
                <w:szCs w:val="24"/>
              </w:rPr>
            </w:pPr>
            <w:r>
              <w:rPr>
                <w:rFonts w:hint="eastAsia" w:ascii="仿宋" w:hAnsi="仿宋" w:eastAsia="仿宋"/>
                <w:kern w:val="2"/>
                <w:sz w:val="24"/>
                <w:szCs w:val="24"/>
              </w:rPr>
              <w:t>服务方案</w:t>
            </w: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根据投标人建立健全人员学习、培训、工作监督检查和考核奖惩等服务管理制度进行综合打分</w:t>
            </w:r>
            <w:r>
              <w:rPr>
                <w:rFonts w:hint="eastAsia" w:ascii="仿宋" w:hAnsi="仿宋" w:eastAsia="仿宋"/>
                <w:kern w:val="2"/>
                <w:sz w:val="24"/>
                <w:szCs w:val="24"/>
                <w:lang w:eastAsia="zh-CN"/>
              </w:rPr>
              <w:t>（</w:t>
            </w:r>
            <w:r>
              <w:rPr>
                <w:rFonts w:hint="eastAsia" w:ascii="仿宋" w:hAnsi="仿宋" w:eastAsia="仿宋"/>
                <w:kern w:val="2"/>
                <w:sz w:val="24"/>
                <w:szCs w:val="24"/>
                <w:lang w:val="en-US" w:eastAsia="zh-CN"/>
              </w:rPr>
              <w:t>0-5</w:t>
            </w:r>
            <w:r>
              <w:rPr>
                <w:rFonts w:hint="eastAsia" w:ascii="仿宋" w:hAnsi="仿宋" w:eastAsia="仿宋"/>
                <w:kern w:val="2"/>
                <w:sz w:val="24"/>
                <w:szCs w:val="24"/>
                <w:lang w:eastAsia="zh-CN"/>
              </w:rPr>
              <w:t>），每不满足一项扣</w:t>
            </w:r>
            <w:r>
              <w:rPr>
                <w:rFonts w:hint="eastAsia" w:ascii="仿宋" w:hAnsi="仿宋" w:eastAsia="仿宋"/>
                <w:kern w:val="2"/>
                <w:sz w:val="24"/>
                <w:szCs w:val="24"/>
                <w:lang w:val="en-US" w:eastAsia="zh-CN"/>
              </w:rPr>
              <w:t>1分，扣完为止</w:t>
            </w:r>
            <w:r>
              <w:rPr>
                <w:rFonts w:hint="eastAsia" w:ascii="仿宋" w:hAnsi="仿宋" w:eastAsia="仿宋"/>
                <w:kern w:val="2"/>
                <w:sz w:val="24"/>
                <w:szCs w:val="24"/>
              </w:rPr>
              <w:t>。</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ascii="仿宋" w:hAnsi="仿宋" w:eastAsia="仿宋"/>
                <w:kern w:val="2"/>
                <w:sz w:val="24"/>
                <w:szCs w:val="24"/>
              </w:rPr>
            </w:pPr>
            <w:r>
              <w:rPr>
                <w:rFonts w:hint="eastAsia" w:ascii="仿宋" w:hAnsi="仿宋" w:eastAsia="仿宋"/>
                <w:kern w:val="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7</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根据投标人的整体方案与采购需求的吻合程度，应答是否详尽、明晰，是否满足招标文件要求进行综合打分</w:t>
            </w:r>
            <w:r>
              <w:rPr>
                <w:rFonts w:hint="eastAsia" w:ascii="仿宋" w:hAnsi="仿宋" w:eastAsia="仿宋"/>
                <w:kern w:val="2"/>
                <w:sz w:val="24"/>
                <w:szCs w:val="24"/>
                <w:lang w:eastAsia="zh-CN"/>
              </w:rPr>
              <w:t>（</w:t>
            </w:r>
            <w:r>
              <w:rPr>
                <w:rFonts w:hint="eastAsia" w:ascii="仿宋" w:hAnsi="仿宋" w:eastAsia="仿宋"/>
                <w:kern w:val="2"/>
                <w:sz w:val="24"/>
                <w:szCs w:val="24"/>
                <w:lang w:val="en-US" w:eastAsia="zh-CN"/>
              </w:rPr>
              <w:t>0-4</w:t>
            </w:r>
            <w:r>
              <w:rPr>
                <w:rFonts w:hint="eastAsia" w:ascii="仿宋" w:hAnsi="仿宋" w:eastAsia="仿宋"/>
                <w:kern w:val="2"/>
                <w:sz w:val="24"/>
                <w:szCs w:val="24"/>
                <w:lang w:eastAsia="zh-CN"/>
              </w:rPr>
              <w:t>），每不满足一项扣</w:t>
            </w:r>
            <w:r>
              <w:rPr>
                <w:rFonts w:hint="eastAsia" w:ascii="仿宋" w:hAnsi="仿宋" w:eastAsia="仿宋"/>
                <w:kern w:val="2"/>
                <w:sz w:val="24"/>
                <w:szCs w:val="24"/>
                <w:lang w:val="en-US" w:eastAsia="zh-CN"/>
              </w:rPr>
              <w:t>1分，扣完为止</w:t>
            </w:r>
            <w:r>
              <w:rPr>
                <w:rFonts w:hint="eastAsia" w:ascii="仿宋" w:hAnsi="仿宋" w:eastAsia="仿宋"/>
                <w:kern w:val="2"/>
                <w:sz w:val="24"/>
                <w:szCs w:val="24"/>
              </w:rPr>
              <w:t>。</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hint="eastAsia" w:ascii="仿宋" w:hAnsi="仿宋" w:eastAsia="仿宋"/>
                <w:kern w:val="2"/>
                <w:sz w:val="24"/>
                <w:szCs w:val="24"/>
                <w:lang w:eastAsia="zh-CN"/>
              </w:rPr>
            </w:pPr>
            <w:r>
              <w:rPr>
                <w:rFonts w:hint="eastAsia" w:ascii="仿宋" w:hAnsi="仿宋" w:eastAsia="仿宋"/>
                <w:kern w:val="2"/>
                <w:sz w:val="24"/>
                <w:szCs w:val="24"/>
              </w:rPr>
              <w:t>0-</w:t>
            </w:r>
            <w:r>
              <w:rPr>
                <w:rFonts w:hint="eastAsia" w:ascii="仿宋" w:hAnsi="仿宋" w:eastAsia="仿宋"/>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8</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lang w:val="en-US" w:eastAsia="zh-CN"/>
              </w:rPr>
              <w:t>1、</w:t>
            </w:r>
            <w:r>
              <w:rPr>
                <w:rFonts w:hint="eastAsia" w:ascii="仿宋" w:hAnsi="仿宋" w:eastAsia="仿宋"/>
                <w:kern w:val="2"/>
                <w:sz w:val="24"/>
                <w:szCs w:val="24"/>
              </w:rPr>
              <w:t>根据投标人的安保服务方案及各岗位主要职能的熟悉程度进行综合打分。包括服务位置（提供服务位置平面布置图）、服务时间、岗位安排、培训计划等总体方案</w:t>
            </w:r>
            <w:r>
              <w:rPr>
                <w:rFonts w:hint="eastAsia" w:ascii="仿宋" w:hAnsi="仿宋" w:eastAsia="仿宋"/>
                <w:kern w:val="2"/>
                <w:sz w:val="24"/>
                <w:szCs w:val="24"/>
                <w:lang w:eastAsia="zh-CN"/>
              </w:rPr>
              <w:t>、</w:t>
            </w:r>
            <w:r>
              <w:rPr>
                <w:rFonts w:hint="eastAsia" w:ascii="仿宋" w:hAnsi="仿宋" w:eastAsia="仿宋"/>
                <w:kern w:val="2"/>
                <w:sz w:val="24"/>
                <w:szCs w:val="24"/>
              </w:rPr>
              <w:t>与服务单位的合作经验。（</w:t>
            </w:r>
            <w:r>
              <w:rPr>
                <w:rFonts w:hint="eastAsia" w:ascii="仿宋" w:hAnsi="仿宋" w:eastAsia="仿宋"/>
                <w:kern w:val="2"/>
                <w:sz w:val="24"/>
                <w:szCs w:val="24"/>
                <w:lang w:val="en-US" w:eastAsia="zh-CN"/>
              </w:rPr>
              <w:t>0-</w:t>
            </w:r>
            <w:r>
              <w:rPr>
                <w:rFonts w:hint="eastAsia" w:ascii="仿宋" w:hAnsi="仿宋" w:eastAsia="仿宋"/>
                <w:kern w:val="2"/>
                <w:sz w:val="24"/>
                <w:szCs w:val="24"/>
              </w:rPr>
              <w:t>4分）</w:t>
            </w:r>
          </w:p>
          <w:p>
            <w:pPr>
              <w:spacing w:line="300" w:lineRule="auto"/>
              <w:rPr>
                <w:rFonts w:ascii="仿宋" w:hAnsi="仿宋" w:eastAsia="仿宋"/>
                <w:kern w:val="2"/>
                <w:sz w:val="24"/>
                <w:szCs w:val="24"/>
              </w:rPr>
            </w:pPr>
            <w:r>
              <w:rPr>
                <w:rFonts w:hint="eastAsia" w:ascii="仿宋" w:hAnsi="仿宋" w:eastAsia="仿宋"/>
                <w:kern w:val="2"/>
                <w:sz w:val="24"/>
                <w:szCs w:val="24"/>
                <w:lang w:val="en-US" w:eastAsia="zh-CN"/>
              </w:rPr>
              <w:t>2、</w:t>
            </w:r>
            <w:r>
              <w:rPr>
                <w:rFonts w:hint="eastAsia" w:ascii="仿宋" w:hAnsi="仿宋" w:eastAsia="仿宋"/>
                <w:kern w:val="2"/>
                <w:sz w:val="24"/>
                <w:szCs w:val="24"/>
              </w:rPr>
              <w:t>提供医院等级评审相应的措施方案，按可操作性等进行</w:t>
            </w:r>
            <w:r>
              <w:rPr>
                <w:rFonts w:hint="eastAsia" w:ascii="仿宋" w:hAnsi="仿宋" w:eastAsia="仿宋"/>
                <w:kern w:val="2"/>
                <w:sz w:val="24"/>
                <w:szCs w:val="24"/>
                <w:lang w:eastAsia="zh-CN"/>
              </w:rPr>
              <w:t>综合打</w:t>
            </w:r>
            <w:r>
              <w:rPr>
                <w:rFonts w:hint="eastAsia" w:ascii="仿宋" w:hAnsi="仿宋" w:eastAsia="仿宋"/>
                <w:kern w:val="2"/>
                <w:sz w:val="24"/>
                <w:szCs w:val="24"/>
              </w:rPr>
              <w:t>分</w:t>
            </w:r>
            <w:r>
              <w:rPr>
                <w:rFonts w:hint="eastAsia" w:ascii="仿宋" w:hAnsi="仿宋" w:eastAsia="仿宋"/>
                <w:kern w:val="2"/>
                <w:sz w:val="24"/>
                <w:szCs w:val="24"/>
                <w:lang w:eastAsia="zh-CN"/>
              </w:rPr>
              <w:t>。</w:t>
            </w:r>
            <w:r>
              <w:rPr>
                <w:rFonts w:hint="eastAsia" w:ascii="仿宋" w:hAnsi="仿宋" w:eastAsia="仿宋"/>
                <w:kern w:val="2"/>
                <w:sz w:val="24"/>
                <w:szCs w:val="24"/>
              </w:rPr>
              <w:t>（</w:t>
            </w:r>
            <w:r>
              <w:rPr>
                <w:rFonts w:hint="eastAsia" w:ascii="仿宋" w:hAnsi="仿宋" w:eastAsia="仿宋"/>
                <w:kern w:val="2"/>
                <w:sz w:val="24"/>
                <w:szCs w:val="24"/>
                <w:lang w:val="en-US" w:eastAsia="zh-CN"/>
              </w:rPr>
              <w:t>0-</w:t>
            </w:r>
            <w:r>
              <w:rPr>
                <w:rFonts w:hint="eastAsia" w:ascii="仿宋" w:hAnsi="仿宋" w:eastAsia="仿宋"/>
                <w:kern w:val="2"/>
                <w:sz w:val="24"/>
                <w:szCs w:val="24"/>
              </w:rPr>
              <w:t>4分）</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ascii="仿宋" w:hAnsi="仿宋" w:eastAsia="仿宋"/>
                <w:kern w:val="2"/>
                <w:sz w:val="24"/>
                <w:szCs w:val="24"/>
              </w:rPr>
            </w:pPr>
            <w:r>
              <w:rPr>
                <w:rFonts w:hint="eastAsia" w:ascii="仿宋" w:hAnsi="仿宋" w:eastAsia="仿宋"/>
                <w:kern w:val="2"/>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9</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根据投标人具有稳定保安队伍的措施，措施是否有力，切实可行进行综合打分</w:t>
            </w:r>
            <w:r>
              <w:rPr>
                <w:rFonts w:hint="eastAsia" w:ascii="仿宋" w:hAnsi="仿宋" w:eastAsia="仿宋"/>
                <w:kern w:val="2"/>
                <w:sz w:val="24"/>
                <w:szCs w:val="24"/>
                <w:lang w:eastAsia="zh-CN"/>
              </w:rPr>
              <w:t>（</w:t>
            </w:r>
            <w:r>
              <w:rPr>
                <w:rFonts w:hint="eastAsia" w:ascii="仿宋" w:hAnsi="仿宋" w:eastAsia="仿宋"/>
                <w:kern w:val="2"/>
                <w:sz w:val="24"/>
                <w:szCs w:val="24"/>
                <w:lang w:val="en-US" w:eastAsia="zh-CN"/>
              </w:rPr>
              <w:t>0-3</w:t>
            </w:r>
            <w:r>
              <w:rPr>
                <w:rFonts w:hint="eastAsia" w:ascii="仿宋" w:hAnsi="仿宋" w:eastAsia="仿宋"/>
                <w:kern w:val="2"/>
                <w:sz w:val="24"/>
                <w:szCs w:val="24"/>
                <w:lang w:eastAsia="zh-CN"/>
              </w:rPr>
              <w:t>），每不满足一项扣</w:t>
            </w:r>
            <w:r>
              <w:rPr>
                <w:rFonts w:hint="eastAsia" w:ascii="仿宋" w:hAnsi="仿宋" w:eastAsia="仿宋"/>
                <w:kern w:val="2"/>
                <w:sz w:val="24"/>
                <w:szCs w:val="24"/>
                <w:lang w:val="en-US" w:eastAsia="zh-CN"/>
              </w:rPr>
              <w:t>1分，扣完为止</w:t>
            </w:r>
            <w:r>
              <w:rPr>
                <w:rFonts w:hint="eastAsia" w:ascii="仿宋" w:hAnsi="仿宋" w:eastAsia="仿宋"/>
                <w:kern w:val="2"/>
                <w:sz w:val="24"/>
                <w:szCs w:val="24"/>
              </w:rPr>
              <w:t>。</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hint="eastAsia" w:ascii="仿宋" w:hAnsi="仿宋" w:eastAsia="仿宋"/>
                <w:kern w:val="2"/>
                <w:sz w:val="24"/>
                <w:szCs w:val="24"/>
                <w:lang w:eastAsia="zh-CN"/>
              </w:rPr>
            </w:pPr>
            <w:r>
              <w:rPr>
                <w:rFonts w:hint="eastAsia" w:ascii="仿宋" w:hAnsi="仿宋" w:eastAsia="仿宋"/>
                <w:kern w:val="2"/>
                <w:sz w:val="24"/>
                <w:szCs w:val="24"/>
              </w:rPr>
              <w:t>0-</w:t>
            </w:r>
            <w:r>
              <w:rPr>
                <w:rFonts w:hint="eastAsia" w:ascii="仿宋" w:hAnsi="仿宋" w:eastAsia="仿宋"/>
                <w:kern w:val="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10</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根据投标人按标准化、电脑化建立档案管理流程，将系统收集的人事档案、文书档案、工资报表、被装卡等各类资料进行整理、分类、编目进入电脑储存，以备检查使用的能力进行综合打分</w:t>
            </w:r>
            <w:r>
              <w:rPr>
                <w:rFonts w:hint="eastAsia" w:ascii="仿宋" w:hAnsi="仿宋" w:eastAsia="仿宋"/>
                <w:kern w:val="2"/>
                <w:sz w:val="24"/>
                <w:szCs w:val="24"/>
                <w:lang w:eastAsia="zh-CN"/>
              </w:rPr>
              <w:t>（</w:t>
            </w:r>
            <w:r>
              <w:rPr>
                <w:rFonts w:hint="eastAsia" w:ascii="仿宋" w:hAnsi="仿宋" w:eastAsia="仿宋"/>
                <w:kern w:val="2"/>
                <w:sz w:val="24"/>
                <w:szCs w:val="24"/>
                <w:lang w:val="en-US" w:eastAsia="zh-CN"/>
              </w:rPr>
              <w:t>0-5</w:t>
            </w:r>
            <w:r>
              <w:rPr>
                <w:rFonts w:hint="eastAsia" w:ascii="仿宋" w:hAnsi="仿宋" w:eastAsia="仿宋"/>
                <w:kern w:val="2"/>
                <w:sz w:val="24"/>
                <w:szCs w:val="24"/>
                <w:lang w:eastAsia="zh-CN"/>
              </w:rPr>
              <w:t>），每不满足一项扣</w:t>
            </w:r>
            <w:r>
              <w:rPr>
                <w:rFonts w:hint="eastAsia" w:ascii="仿宋" w:hAnsi="仿宋" w:eastAsia="仿宋"/>
                <w:kern w:val="2"/>
                <w:sz w:val="24"/>
                <w:szCs w:val="24"/>
                <w:lang w:val="en-US" w:eastAsia="zh-CN"/>
              </w:rPr>
              <w:t>1分，扣完为止</w:t>
            </w:r>
            <w:r>
              <w:rPr>
                <w:rFonts w:hint="eastAsia" w:ascii="仿宋" w:hAnsi="仿宋" w:eastAsia="仿宋"/>
                <w:kern w:val="2"/>
                <w:sz w:val="24"/>
                <w:szCs w:val="24"/>
              </w:rPr>
              <w:t>。</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ascii="仿宋" w:hAnsi="仿宋" w:eastAsia="仿宋"/>
                <w:kern w:val="2"/>
                <w:sz w:val="24"/>
                <w:szCs w:val="24"/>
              </w:rPr>
            </w:pPr>
            <w:r>
              <w:rPr>
                <w:rFonts w:hint="eastAsia" w:ascii="仿宋" w:hAnsi="仿宋" w:eastAsia="仿宋"/>
                <w:kern w:val="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11</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根据投标人针对本项目的重点难点进行分析并提供相应解决方案，并对本项目提出合理化建议进行综合打分</w:t>
            </w:r>
            <w:r>
              <w:rPr>
                <w:rFonts w:hint="eastAsia" w:ascii="仿宋" w:hAnsi="仿宋" w:eastAsia="仿宋"/>
                <w:kern w:val="2"/>
                <w:sz w:val="24"/>
                <w:szCs w:val="24"/>
                <w:lang w:eastAsia="zh-CN"/>
              </w:rPr>
              <w:t>（</w:t>
            </w:r>
            <w:r>
              <w:rPr>
                <w:rFonts w:hint="eastAsia" w:ascii="仿宋" w:hAnsi="仿宋" w:eastAsia="仿宋"/>
                <w:kern w:val="2"/>
                <w:sz w:val="24"/>
                <w:szCs w:val="24"/>
                <w:lang w:val="en-US" w:eastAsia="zh-CN"/>
              </w:rPr>
              <w:t>0-5</w:t>
            </w:r>
            <w:r>
              <w:rPr>
                <w:rFonts w:hint="eastAsia" w:ascii="仿宋" w:hAnsi="仿宋" w:eastAsia="仿宋"/>
                <w:kern w:val="2"/>
                <w:sz w:val="24"/>
                <w:szCs w:val="24"/>
                <w:lang w:eastAsia="zh-CN"/>
              </w:rPr>
              <w:t>），每不满足一项扣</w:t>
            </w:r>
            <w:r>
              <w:rPr>
                <w:rFonts w:hint="eastAsia" w:ascii="仿宋" w:hAnsi="仿宋" w:eastAsia="仿宋"/>
                <w:kern w:val="2"/>
                <w:sz w:val="24"/>
                <w:szCs w:val="24"/>
                <w:lang w:val="en-US" w:eastAsia="zh-CN"/>
              </w:rPr>
              <w:t>1分，扣完为止</w:t>
            </w:r>
            <w:r>
              <w:rPr>
                <w:rFonts w:hint="eastAsia" w:ascii="仿宋" w:hAnsi="仿宋" w:eastAsia="仿宋"/>
                <w:kern w:val="2"/>
                <w:sz w:val="24"/>
                <w:szCs w:val="24"/>
              </w:rPr>
              <w:t>。</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hint="eastAsia" w:ascii="仿宋" w:hAnsi="仿宋" w:eastAsia="仿宋"/>
                <w:kern w:val="2"/>
                <w:sz w:val="24"/>
                <w:szCs w:val="24"/>
                <w:lang w:eastAsia="zh-CN"/>
              </w:rPr>
            </w:pPr>
            <w:r>
              <w:rPr>
                <w:rFonts w:hint="eastAsia" w:ascii="仿宋" w:hAnsi="仿宋" w:eastAsia="仿宋"/>
                <w:kern w:val="2"/>
                <w:sz w:val="24"/>
                <w:szCs w:val="24"/>
              </w:rPr>
              <w:t>0-</w:t>
            </w:r>
            <w:r>
              <w:rPr>
                <w:rFonts w:hint="eastAsia" w:ascii="仿宋" w:hAnsi="仿宋" w:eastAsia="仿宋"/>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12</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根据投标人建有一定规模的人才储备库，拥有较强的人力资源获取能力，能够满足安保人员的临时调拨等内容进行</w:t>
            </w:r>
            <w:r>
              <w:rPr>
                <w:rFonts w:hint="eastAsia" w:ascii="仿宋" w:hAnsi="仿宋" w:eastAsia="仿宋"/>
                <w:kern w:val="2"/>
                <w:sz w:val="24"/>
                <w:szCs w:val="24"/>
                <w:lang w:eastAsia="zh-CN"/>
              </w:rPr>
              <w:t>综合</w:t>
            </w:r>
            <w:r>
              <w:rPr>
                <w:rFonts w:hint="eastAsia" w:ascii="仿宋" w:hAnsi="仿宋" w:eastAsia="仿宋"/>
                <w:kern w:val="2"/>
                <w:sz w:val="24"/>
                <w:szCs w:val="24"/>
              </w:rPr>
              <w:t>打分</w:t>
            </w:r>
            <w:r>
              <w:rPr>
                <w:rFonts w:hint="eastAsia" w:ascii="仿宋" w:hAnsi="仿宋" w:eastAsia="仿宋"/>
                <w:kern w:val="2"/>
                <w:sz w:val="24"/>
                <w:szCs w:val="24"/>
                <w:lang w:eastAsia="zh-CN"/>
              </w:rPr>
              <w:t>（</w:t>
            </w:r>
            <w:r>
              <w:rPr>
                <w:rFonts w:hint="eastAsia" w:ascii="仿宋" w:hAnsi="仿宋" w:eastAsia="仿宋"/>
                <w:kern w:val="2"/>
                <w:sz w:val="24"/>
                <w:szCs w:val="24"/>
                <w:lang w:val="en-US" w:eastAsia="zh-CN"/>
              </w:rPr>
              <w:t>0-5</w:t>
            </w:r>
            <w:r>
              <w:rPr>
                <w:rFonts w:hint="eastAsia" w:ascii="仿宋" w:hAnsi="仿宋" w:eastAsia="仿宋"/>
                <w:kern w:val="2"/>
                <w:sz w:val="24"/>
                <w:szCs w:val="24"/>
                <w:lang w:eastAsia="zh-CN"/>
              </w:rPr>
              <w:t>），每不满足一项扣</w:t>
            </w:r>
            <w:r>
              <w:rPr>
                <w:rFonts w:hint="eastAsia" w:ascii="仿宋" w:hAnsi="仿宋" w:eastAsia="仿宋"/>
                <w:kern w:val="2"/>
                <w:sz w:val="24"/>
                <w:szCs w:val="24"/>
                <w:lang w:val="en-US" w:eastAsia="zh-CN"/>
              </w:rPr>
              <w:t>1分，扣完为止</w:t>
            </w:r>
            <w:r>
              <w:rPr>
                <w:rFonts w:hint="eastAsia" w:ascii="仿宋" w:hAnsi="仿宋" w:eastAsia="仿宋"/>
                <w:kern w:val="2"/>
                <w:sz w:val="24"/>
                <w:szCs w:val="24"/>
              </w:rPr>
              <w:t>。</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ascii="仿宋" w:hAnsi="仿宋" w:eastAsia="仿宋"/>
                <w:kern w:val="2"/>
                <w:sz w:val="24"/>
                <w:szCs w:val="24"/>
              </w:rPr>
            </w:pPr>
            <w:r>
              <w:rPr>
                <w:rFonts w:hint="eastAsia" w:ascii="仿宋" w:hAnsi="仿宋" w:eastAsia="仿宋"/>
                <w:kern w:val="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13</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根据投标人的内部管理制度、质量控制标准和信息化管理</w:t>
            </w:r>
            <w:r>
              <w:rPr>
                <w:rFonts w:hint="eastAsia" w:ascii="仿宋" w:hAnsi="仿宋" w:eastAsia="仿宋"/>
                <w:kern w:val="2"/>
                <w:sz w:val="24"/>
                <w:szCs w:val="24"/>
                <w:lang w:eastAsia="zh-CN"/>
              </w:rPr>
              <w:t>、</w:t>
            </w:r>
            <w:r>
              <w:rPr>
                <w:rFonts w:hint="eastAsia" w:ascii="仿宋" w:hAnsi="仿宋" w:eastAsia="仿宋"/>
                <w:kern w:val="2"/>
                <w:sz w:val="24"/>
                <w:szCs w:val="24"/>
              </w:rPr>
              <w:t>有奖励考核措施等情况进行综合打分</w:t>
            </w:r>
            <w:r>
              <w:rPr>
                <w:rFonts w:hint="eastAsia" w:ascii="仿宋" w:hAnsi="仿宋" w:eastAsia="仿宋"/>
                <w:kern w:val="2"/>
                <w:sz w:val="24"/>
                <w:szCs w:val="24"/>
                <w:lang w:eastAsia="zh-CN"/>
              </w:rPr>
              <w:t>（</w:t>
            </w:r>
            <w:r>
              <w:rPr>
                <w:rFonts w:hint="eastAsia" w:ascii="仿宋" w:hAnsi="仿宋" w:eastAsia="仿宋"/>
                <w:kern w:val="2"/>
                <w:sz w:val="24"/>
                <w:szCs w:val="24"/>
                <w:lang w:val="en-US" w:eastAsia="zh-CN"/>
              </w:rPr>
              <w:t>0-5</w:t>
            </w:r>
            <w:r>
              <w:rPr>
                <w:rFonts w:hint="eastAsia" w:ascii="仿宋" w:hAnsi="仿宋" w:eastAsia="仿宋"/>
                <w:kern w:val="2"/>
                <w:sz w:val="24"/>
                <w:szCs w:val="24"/>
                <w:lang w:eastAsia="zh-CN"/>
              </w:rPr>
              <w:t>），每不满足一项扣</w:t>
            </w:r>
            <w:r>
              <w:rPr>
                <w:rFonts w:hint="eastAsia" w:ascii="仿宋" w:hAnsi="仿宋" w:eastAsia="仿宋"/>
                <w:kern w:val="2"/>
                <w:sz w:val="24"/>
                <w:szCs w:val="24"/>
                <w:lang w:val="en-US" w:eastAsia="zh-CN"/>
              </w:rPr>
              <w:t>1分，扣完为止</w:t>
            </w:r>
            <w:r>
              <w:rPr>
                <w:rFonts w:hint="eastAsia" w:ascii="仿宋" w:hAnsi="仿宋" w:eastAsia="仿宋"/>
                <w:kern w:val="2"/>
                <w:sz w:val="24"/>
                <w:szCs w:val="24"/>
              </w:rPr>
              <w:t>。</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hint="eastAsia" w:ascii="仿宋" w:hAnsi="仿宋" w:eastAsia="仿宋"/>
                <w:kern w:val="2"/>
                <w:sz w:val="24"/>
                <w:szCs w:val="24"/>
                <w:lang w:eastAsia="zh-CN"/>
              </w:rPr>
            </w:pPr>
            <w:r>
              <w:rPr>
                <w:rFonts w:hint="eastAsia" w:ascii="仿宋" w:hAnsi="仿宋" w:eastAsia="仿宋"/>
                <w:kern w:val="2"/>
                <w:sz w:val="24"/>
                <w:szCs w:val="24"/>
              </w:rPr>
              <w:t>0-</w:t>
            </w:r>
            <w:r>
              <w:rPr>
                <w:rFonts w:hint="eastAsia" w:ascii="仿宋" w:hAnsi="仿宋" w:eastAsia="仿宋"/>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14</w:t>
            </w:r>
          </w:p>
        </w:tc>
        <w:tc>
          <w:tcPr>
            <w:tcW w:w="1492" w:type="dxa"/>
            <w:vMerge w:val="continue"/>
            <w:tcBorders>
              <w:top w:val="nil"/>
              <w:left w:val="nil"/>
              <w:bottom w:val="single" w:color="auto" w:sz="4" w:space="0"/>
              <w:right w:val="single" w:color="auto" w:sz="4" w:space="0"/>
            </w:tcBorders>
            <w:noWrap w:val="0"/>
            <w:vAlign w:val="center"/>
          </w:tcPr>
          <w:p>
            <w:pPr>
              <w:widowControl/>
              <w:autoSpaceDE/>
              <w:autoSpaceDN/>
              <w:adjustRightInd/>
              <w:jc w:val="left"/>
              <w:rPr>
                <w:rFonts w:ascii="仿宋" w:hAnsi="仿宋" w:eastAsia="仿宋"/>
                <w:kern w:val="2"/>
                <w:sz w:val="24"/>
                <w:szCs w:val="24"/>
              </w:rPr>
            </w:pP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根据投标人提供的突发事故处理方案全面、措施有力，针对性强、切实可行且具有特色等进行综合打分</w:t>
            </w:r>
            <w:r>
              <w:rPr>
                <w:rFonts w:hint="eastAsia" w:ascii="仿宋" w:hAnsi="仿宋" w:eastAsia="仿宋"/>
                <w:kern w:val="2"/>
                <w:sz w:val="24"/>
                <w:szCs w:val="24"/>
                <w:lang w:eastAsia="zh-CN"/>
              </w:rPr>
              <w:t>（</w:t>
            </w:r>
            <w:r>
              <w:rPr>
                <w:rFonts w:hint="eastAsia" w:ascii="仿宋" w:hAnsi="仿宋" w:eastAsia="仿宋"/>
                <w:kern w:val="2"/>
                <w:sz w:val="24"/>
                <w:szCs w:val="24"/>
                <w:lang w:val="en-US" w:eastAsia="zh-CN"/>
              </w:rPr>
              <w:t>0-4</w:t>
            </w:r>
            <w:r>
              <w:rPr>
                <w:rFonts w:hint="eastAsia" w:ascii="仿宋" w:hAnsi="仿宋" w:eastAsia="仿宋"/>
                <w:kern w:val="2"/>
                <w:sz w:val="24"/>
                <w:szCs w:val="24"/>
                <w:lang w:eastAsia="zh-CN"/>
              </w:rPr>
              <w:t>），每不满足一项扣</w:t>
            </w:r>
            <w:r>
              <w:rPr>
                <w:rFonts w:hint="eastAsia" w:ascii="仿宋" w:hAnsi="仿宋" w:eastAsia="仿宋"/>
                <w:kern w:val="2"/>
                <w:sz w:val="24"/>
                <w:szCs w:val="24"/>
                <w:lang w:val="en-US" w:eastAsia="zh-CN"/>
              </w:rPr>
              <w:t>1分，扣完为止</w:t>
            </w:r>
            <w:r>
              <w:rPr>
                <w:rFonts w:hint="eastAsia" w:ascii="仿宋" w:hAnsi="仿宋" w:eastAsia="仿宋"/>
                <w:kern w:val="2"/>
                <w:sz w:val="24"/>
                <w:szCs w:val="24"/>
              </w:rPr>
              <w:t>。</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ascii="仿宋" w:hAnsi="仿宋" w:eastAsia="仿宋"/>
                <w:kern w:val="2"/>
                <w:sz w:val="24"/>
                <w:szCs w:val="24"/>
              </w:rPr>
            </w:pPr>
            <w:r>
              <w:rPr>
                <w:rFonts w:hint="eastAsia" w:ascii="仿宋" w:hAnsi="仿宋" w:eastAsia="仿宋"/>
                <w:kern w:val="2"/>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仿宋" w:hAnsi="仿宋" w:eastAsia="仿宋"/>
                <w:kern w:val="2"/>
                <w:sz w:val="24"/>
                <w:szCs w:val="24"/>
              </w:rPr>
            </w:pPr>
            <w:r>
              <w:rPr>
                <w:rFonts w:hint="eastAsia" w:ascii="仿宋" w:hAnsi="仿宋" w:eastAsia="仿宋"/>
                <w:kern w:val="2"/>
                <w:sz w:val="24"/>
                <w:szCs w:val="24"/>
              </w:rPr>
              <w:t>15</w:t>
            </w:r>
          </w:p>
        </w:tc>
        <w:tc>
          <w:tcPr>
            <w:tcW w:w="1492" w:type="dxa"/>
            <w:tcBorders>
              <w:top w:val="single" w:color="auto" w:sz="4" w:space="0"/>
              <w:left w:val="nil"/>
              <w:bottom w:val="single" w:color="auto" w:sz="4" w:space="0"/>
              <w:right w:val="single" w:color="auto" w:sz="4" w:space="0"/>
            </w:tcBorders>
            <w:noWrap/>
            <w:vAlign w:val="center"/>
          </w:tcPr>
          <w:p>
            <w:pPr>
              <w:spacing w:line="300" w:lineRule="auto"/>
              <w:ind w:left="240" w:hanging="240" w:hangingChars="100"/>
              <w:rPr>
                <w:rFonts w:ascii="仿宋" w:hAnsi="仿宋" w:eastAsia="仿宋"/>
                <w:kern w:val="2"/>
                <w:sz w:val="24"/>
                <w:szCs w:val="24"/>
              </w:rPr>
            </w:pPr>
            <w:r>
              <w:rPr>
                <w:rFonts w:hint="eastAsia" w:ascii="仿宋" w:hAnsi="仿宋" w:eastAsia="仿宋"/>
                <w:kern w:val="2"/>
                <w:sz w:val="24"/>
                <w:szCs w:val="24"/>
              </w:rPr>
              <w:t>劳动纠纷处置能力</w:t>
            </w: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投标人针对本项目配备的专职律师作为法律顾问的得2分；设有保安员权益保障机构的可再加1分，投标人服务人员中应配备劳动人事争议调解专员，调解员须具有由政府部门颁发的劳动争议调解证书，5人（含）以上得5分，5人以下按实际人数得分；设有固定劳动纠纷调解场所得2分。</w:t>
            </w:r>
            <w:r>
              <w:rPr>
                <w:rFonts w:hint="eastAsia" w:ascii="仿宋" w:hAnsi="仿宋" w:eastAsia="仿宋" w:cs="Times New Roman"/>
                <w:kern w:val="2"/>
                <w:sz w:val="24"/>
                <w:szCs w:val="24"/>
              </w:rPr>
              <w:t>本项最高得10分。</w:t>
            </w:r>
          </w:p>
          <w:p>
            <w:pPr>
              <w:spacing w:line="300" w:lineRule="auto"/>
              <w:rPr>
                <w:rFonts w:ascii="仿宋" w:hAnsi="仿宋" w:eastAsia="仿宋"/>
                <w:kern w:val="2"/>
                <w:sz w:val="24"/>
                <w:szCs w:val="24"/>
              </w:rPr>
            </w:pPr>
            <w:r>
              <w:rPr>
                <w:rFonts w:hint="eastAsia" w:ascii="仿宋" w:hAnsi="仿宋" w:eastAsia="仿宋"/>
                <w:b/>
                <w:bCs/>
                <w:kern w:val="2"/>
                <w:sz w:val="24"/>
                <w:szCs w:val="24"/>
              </w:rPr>
              <w:t>注：以上需提供相关证明材料（律师执业资格证书、法务合同、设置保安员权益保障机构文件证明、调解场所实图），未提供证书或证明材料、证书及证明材料字迹模糊无法辨识的不得分。</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ascii="仿宋" w:hAnsi="仿宋" w:eastAsia="仿宋"/>
                <w:kern w:val="2"/>
                <w:sz w:val="24"/>
                <w:szCs w:val="24"/>
              </w:rPr>
            </w:pPr>
            <w:r>
              <w:rPr>
                <w:rFonts w:hint="eastAsia" w:ascii="仿宋" w:hAnsi="仿宋" w:eastAsia="仿宋"/>
                <w:kern w:val="2"/>
                <w:sz w:val="24"/>
                <w:szCs w:val="24"/>
              </w:rPr>
              <w:t>0-10</w:t>
            </w:r>
          </w:p>
          <w:p>
            <w:pPr>
              <w:spacing w:line="273" w:lineRule="auto"/>
              <w:jc w:val="center"/>
              <w:rPr>
                <w:rFonts w:ascii="仿宋" w:hAnsi="仿宋" w:eastAsia="仿宋"/>
                <w:kern w:val="2"/>
                <w:sz w:val="24"/>
                <w:szCs w:val="24"/>
              </w:rPr>
            </w:pPr>
            <w:r>
              <w:rPr>
                <w:rFonts w:hint="eastAsia" w:ascii="仿宋" w:hAnsi="仿宋" w:eastAsia="仿宋"/>
                <w:kern w:val="2"/>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16</w:t>
            </w:r>
          </w:p>
        </w:tc>
        <w:tc>
          <w:tcPr>
            <w:tcW w:w="1492" w:type="dxa"/>
            <w:tcBorders>
              <w:top w:val="single" w:color="auto" w:sz="4" w:space="0"/>
              <w:left w:val="nil"/>
              <w:bottom w:val="single" w:color="auto" w:sz="4" w:space="0"/>
              <w:right w:val="single" w:color="auto" w:sz="4" w:space="0"/>
            </w:tcBorders>
            <w:noWrap/>
            <w:vAlign w:val="center"/>
          </w:tcPr>
          <w:p>
            <w:pPr>
              <w:spacing w:line="300" w:lineRule="auto"/>
              <w:ind w:firstLine="240" w:firstLineChars="100"/>
              <w:rPr>
                <w:rFonts w:ascii="仿宋" w:hAnsi="仿宋" w:eastAsia="仿宋"/>
                <w:kern w:val="2"/>
                <w:sz w:val="24"/>
                <w:szCs w:val="24"/>
              </w:rPr>
            </w:pPr>
            <w:r>
              <w:rPr>
                <w:rFonts w:hint="eastAsia" w:ascii="仿宋" w:hAnsi="仿宋" w:eastAsia="仿宋"/>
                <w:kern w:val="2"/>
                <w:sz w:val="24"/>
                <w:szCs w:val="24"/>
              </w:rPr>
              <w:t>团队资质</w:t>
            </w:r>
          </w:p>
        </w:tc>
        <w:tc>
          <w:tcPr>
            <w:tcW w:w="6167" w:type="dxa"/>
            <w:tcBorders>
              <w:top w:val="single" w:color="auto" w:sz="4" w:space="0"/>
              <w:left w:val="nil"/>
              <w:bottom w:val="single" w:color="auto" w:sz="4" w:space="0"/>
              <w:right w:val="single" w:color="auto" w:sz="4" w:space="0"/>
            </w:tcBorders>
            <w:noWrap/>
            <w:vAlign w:val="center"/>
          </w:tcPr>
          <w:p>
            <w:pPr>
              <w:spacing w:line="300" w:lineRule="auto"/>
              <w:rPr>
                <w:rFonts w:ascii="仿宋" w:hAnsi="仿宋" w:eastAsia="仿宋"/>
                <w:kern w:val="2"/>
                <w:sz w:val="24"/>
                <w:szCs w:val="24"/>
              </w:rPr>
            </w:pPr>
            <w:r>
              <w:rPr>
                <w:rFonts w:hint="eastAsia" w:ascii="仿宋" w:hAnsi="仿宋" w:eastAsia="仿宋"/>
                <w:kern w:val="2"/>
                <w:sz w:val="24"/>
                <w:szCs w:val="24"/>
              </w:rPr>
              <w:t>根据拟投入符合本项目的服务人员、专业技术人员和其他从业人员的配备情况及人员资质情况等进行打分。其中具备高级职称的每人得3分，中级职称的每人得1分。最高得6分。</w:t>
            </w:r>
            <w:r>
              <w:rPr>
                <w:rFonts w:hint="eastAsia" w:ascii="仿宋" w:hAnsi="仿宋" w:eastAsia="仿宋"/>
                <w:b/>
                <w:bCs/>
                <w:kern w:val="2"/>
                <w:sz w:val="24"/>
                <w:szCs w:val="24"/>
              </w:rPr>
              <w:t>（以上需提供从业人员职称、资格证书及在本公司</w:t>
            </w:r>
            <w:r>
              <w:rPr>
                <w:rFonts w:hint="eastAsia" w:ascii="仿宋" w:hAnsi="仿宋" w:eastAsia="仿宋"/>
                <w:b/>
                <w:bCs/>
                <w:kern w:val="2"/>
                <w:sz w:val="24"/>
                <w:szCs w:val="24"/>
                <w:lang w:eastAsia="zh-CN"/>
              </w:rPr>
              <w:t>近三个月</w:t>
            </w:r>
            <w:r>
              <w:rPr>
                <w:rFonts w:hint="eastAsia" w:ascii="仿宋" w:hAnsi="仿宋" w:eastAsia="仿宋"/>
                <w:b/>
                <w:bCs/>
                <w:kern w:val="2"/>
                <w:sz w:val="24"/>
                <w:szCs w:val="24"/>
              </w:rPr>
              <w:t>参保的社保参保证明复印件）</w:t>
            </w:r>
          </w:p>
        </w:tc>
        <w:tc>
          <w:tcPr>
            <w:tcW w:w="1094" w:type="dxa"/>
            <w:tcBorders>
              <w:top w:val="single" w:color="auto" w:sz="4" w:space="0"/>
              <w:left w:val="nil"/>
              <w:bottom w:val="single" w:color="auto" w:sz="4" w:space="0"/>
              <w:right w:val="single" w:color="auto" w:sz="4" w:space="0"/>
            </w:tcBorders>
            <w:noWrap/>
            <w:vAlign w:val="center"/>
          </w:tcPr>
          <w:p>
            <w:pPr>
              <w:spacing w:line="273" w:lineRule="auto"/>
              <w:jc w:val="center"/>
              <w:rPr>
                <w:rFonts w:hint="eastAsia" w:ascii="仿宋" w:hAnsi="仿宋" w:eastAsia="仿宋"/>
                <w:kern w:val="2"/>
                <w:sz w:val="24"/>
                <w:szCs w:val="24"/>
              </w:rPr>
            </w:pPr>
            <w:r>
              <w:rPr>
                <w:rFonts w:hint="eastAsia" w:ascii="仿宋" w:hAnsi="仿宋" w:eastAsia="仿宋"/>
                <w:kern w:val="2"/>
                <w:sz w:val="24"/>
                <w:szCs w:val="24"/>
              </w:rPr>
              <w:t>0-6</w:t>
            </w:r>
          </w:p>
          <w:p>
            <w:pPr>
              <w:spacing w:line="273" w:lineRule="auto"/>
              <w:jc w:val="center"/>
              <w:rPr>
                <w:rFonts w:ascii="仿宋" w:hAnsi="仿宋" w:eastAsia="仿宋"/>
                <w:kern w:val="2"/>
                <w:sz w:val="24"/>
                <w:szCs w:val="24"/>
              </w:rPr>
            </w:pPr>
            <w:r>
              <w:rPr>
                <w:rFonts w:hint="eastAsia" w:ascii="仿宋" w:hAnsi="仿宋" w:eastAsia="仿宋"/>
                <w:kern w:val="2"/>
                <w:sz w:val="18"/>
                <w:szCs w:val="18"/>
              </w:rPr>
              <w:t>（客观分）</w:t>
            </w:r>
          </w:p>
        </w:tc>
      </w:tr>
    </w:tbl>
    <w:p>
      <w:pPr>
        <w:keepNext/>
        <w:keepLines/>
        <w:ind w:firstLine="420"/>
        <w:outlineLvl w:val="2"/>
      </w:pPr>
    </w:p>
    <w:p>
      <w:pPr>
        <w:pStyle w:val="9"/>
        <w:ind w:firstLine="0"/>
        <w:rPr>
          <w:rFonts w:hint="eastAsia" w:ascii="仿宋" w:hAnsi="仿宋" w:eastAsia="仿宋" w:cs="仿宋"/>
        </w:rPr>
      </w:pPr>
    </w:p>
    <w:p>
      <w:pPr>
        <w:pStyle w:val="17"/>
        <w:ind w:left="0" w:leftChars="0"/>
        <w:rPr>
          <w:rFonts w:hint="eastAsia" w:ascii="仿宋" w:hAnsi="仿宋" w:eastAsia="仿宋" w:cs="仿宋"/>
        </w:rPr>
      </w:pPr>
      <w:r>
        <w:rPr>
          <w:rFonts w:hint="eastAsia" w:ascii="仿宋" w:hAnsi="仿宋" w:eastAsia="仿宋" w:cs="仿宋"/>
          <w:b/>
          <w:color w:val="auto"/>
          <w:sz w:val="24"/>
          <w:szCs w:val="24"/>
        </w:rPr>
        <w:t>注：本次评审通过资格审查和符合性评审的单位全部入围进行商务评审。</w:t>
      </w:r>
      <w:bookmarkEnd w:id="12"/>
    </w:p>
    <w:p>
      <w:pPr>
        <w:spacing w:line="312" w:lineRule="auto"/>
        <w:jc w:val="center"/>
        <w:rPr>
          <w:rFonts w:hint="eastAsia" w:ascii="仿宋" w:hAnsi="仿宋" w:eastAsia="仿宋" w:cs="仿宋"/>
          <w:b/>
          <w:color w:val="auto"/>
          <w:kern w:val="44"/>
          <w:sz w:val="36"/>
          <w:szCs w:val="36"/>
        </w:rPr>
      </w:pPr>
    </w:p>
    <w:p>
      <w:pPr>
        <w:pStyle w:val="10"/>
        <w:ind w:left="0" w:leftChars="0"/>
        <w:rPr>
          <w:rFonts w:hint="eastAsia" w:ascii="仿宋" w:hAnsi="仿宋" w:eastAsia="仿宋" w:cs="仿宋"/>
        </w:rPr>
      </w:pPr>
    </w:p>
    <w:p>
      <w:pPr>
        <w:rPr>
          <w:rFonts w:hint="eastAsia"/>
        </w:rPr>
      </w:pPr>
    </w:p>
    <w:p>
      <w:pPr>
        <w:spacing w:line="312" w:lineRule="auto"/>
        <w:jc w:val="center"/>
        <w:rPr>
          <w:rFonts w:hint="eastAsia" w:ascii="仿宋" w:hAnsi="仿宋" w:eastAsia="仿宋" w:cs="仿宋"/>
          <w:b/>
          <w:color w:val="auto"/>
          <w:kern w:val="44"/>
          <w:sz w:val="36"/>
          <w:szCs w:val="36"/>
        </w:rPr>
      </w:pPr>
    </w:p>
    <w:p>
      <w:pPr>
        <w:spacing w:line="312" w:lineRule="auto"/>
        <w:jc w:val="center"/>
        <w:rPr>
          <w:rFonts w:hint="eastAsia" w:ascii="仿宋" w:hAnsi="仿宋" w:eastAsia="仿宋" w:cs="仿宋"/>
          <w:b/>
          <w:color w:val="auto"/>
          <w:kern w:val="44"/>
          <w:sz w:val="36"/>
          <w:szCs w:val="36"/>
        </w:rPr>
      </w:pPr>
    </w:p>
    <w:p>
      <w:pPr>
        <w:spacing w:line="312" w:lineRule="auto"/>
        <w:jc w:val="center"/>
        <w:rPr>
          <w:rFonts w:hint="eastAsia" w:ascii="仿宋" w:hAnsi="仿宋" w:eastAsia="仿宋" w:cs="仿宋"/>
          <w:b/>
          <w:color w:val="auto"/>
          <w:kern w:val="44"/>
          <w:sz w:val="36"/>
          <w:szCs w:val="36"/>
        </w:rPr>
      </w:pPr>
    </w:p>
    <w:p>
      <w:pPr>
        <w:spacing w:line="312" w:lineRule="auto"/>
        <w:jc w:val="center"/>
        <w:rPr>
          <w:rFonts w:hint="eastAsia" w:ascii="仿宋" w:hAnsi="仿宋" w:eastAsia="仿宋" w:cs="仿宋"/>
          <w:b/>
          <w:color w:val="auto"/>
          <w:kern w:val="44"/>
          <w:sz w:val="36"/>
          <w:szCs w:val="36"/>
        </w:rPr>
      </w:pPr>
    </w:p>
    <w:p>
      <w:pPr>
        <w:spacing w:line="312" w:lineRule="auto"/>
        <w:jc w:val="both"/>
        <w:rPr>
          <w:rFonts w:hint="eastAsia" w:ascii="仿宋" w:hAnsi="仿宋" w:eastAsia="仿宋" w:cs="仿宋"/>
          <w:b/>
          <w:color w:val="auto"/>
          <w:kern w:val="44"/>
          <w:sz w:val="36"/>
          <w:szCs w:val="36"/>
        </w:rPr>
      </w:pPr>
    </w:p>
    <w:p>
      <w:pPr>
        <w:spacing w:line="312" w:lineRule="auto"/>
        <w:jc w:val="center"/>
        <w:rPr>
          <w:rFonts w:hint="eastAsia" w:ascii="仿宋" w:hAnsi="仿宋" w:eastAsia="仿宋" w:cs="仿宋"/>
          <w:color w:val="auto"/>
          <w:sz w:val="44"/>
          <w:szCs w:val="44"/>
        </w:rPr>
      </w:pPr>
      <w:r>
        <w:rPr>
          <w:rFonts w:hint="eastAsia" w:ascii="仿宋" w:hAnsi="仿宋" w:eastAsia="仿宋" w:cs="仿宋"/>
          <w:b/>
          <w:color w:val="auto"/>
          <w:kern w:val="44"/>
          <w:sz w:val="36"/>
          <w:szCs w:val="36"/>
        </w:rPr>
        <w:t>第五章  武义县政府采购合同（通用条款）</w:t>
      </w:r>
    </w:p>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合同编号：</w:t>
      </w:r>
    </w:p>
    <w:p>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乙方（供货单位）：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根据《中华人民共和国民法典》、《中华人民共和国政府采购法》等有关规定，以及</w:t>
      </w:r>
      <w:r>
        <w:rPr>
          <w:rFonts w:hint="eastAsia" w:ascii="仿宋" w:hAnsi="仿宋" w:eastAsia="仿宋" w:cs="仿宋"/>
          <w:color w:val="auto"/>
          <w:sz w:val="24"/>
          <w:szCs w:val="24"/>
          <w:u w:val="single"/>
          <w:lang w:eastAsia="zh-CN"/>
        </w:rPr>
        <w:t>浙江省武义县第一人民医院安保服务外包项目</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lang w:eastAsia="zh-CN"/>
        </w:rPr>
        <w:t>ZJRS2022-CG091-02</w:t>
      </w:r>
      <w:r>
        <w:rPr>
          <w:rFonts w:hint="eastAsia" w:ascii="仿宋" w:hAnsi="仿宋" w:eastAsia="仿宋" w:cs="仿宋"/>
          <w:color w:val="auto"/>
          <w:sz w:val="24"/>
          <w:szCs w:val="24"/>
        </w:rPr>
        <w:t>）采购文件相关要求，经法定程序采购，双方同意签订以下合同条款，以便双方共同遵守、履行合同。</w:t>
      </w:r>
    </w:p>
    <w:p>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一、采购项目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产品（或服务）名称</w:t>
            </w:r>
          </w:p>
        </w:tc>
        <w:tc>
          <w:tcPr>
            <w:tcW w:w="3332" w:type="dxa"/>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产品（或服务）内容</w:t>
            </w:r>
          </w:p>
        </w:tc>
        <w:tc>
          <w:tcPr>
            <w:tcW w:w="1388" w:type="dxa"/>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数量（或服务期限）</w:t>
            </w:r>
          </w:p>
        </w:tc>
        <w:tc>
          <w:tcPr>
            <w:tcW w:w="1260" w:type="dxa"/>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c>
          <w:tcPr>
            <w:tcW w:w="1440" w:type="dxa"/>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pPr>
              <w:spacing w:line="420" w:lineRule="exact"/>
              <w:rPr>
                <w:rFonts w:hint="eastAsia" w:ascii="仿宋" w:hAnsi="仿宋" w:eastAsia="仿宋" w:cs="仿宋"/>
                <w:color w:val="auto"/>
                <w:sz w:val="24"/>
                <w:szCs w:val="24"/>
              </w:rPr>
            </w:pPr>
          </w:p>
        </w:tc>
        <w:tc>
          <w:tcPr>
            <w:tcW w:w="3332" w:type="dxa"/>
            <w:noWrap w:val="0"/>
            <w:vAlign w:val="top"/>
          </w:tcPr>
          <w:p>
            <w:pPr>
              <w:spacing w:line="420" w:lineRule="exact"/>
              <w:rPr>
                <w:rFonts w:hint="eastAsia" w:ascii="仿宋" w:hAnsi="仿宋" w:eastAsia="仿宋" w:cs="仿宋"/>
                <w:color w:val="auto"/>
                <w:sz w:val="24"/>
                <w:szCs w:val="24"/>
              </w:rPr>
            </w:pPr>
          </w:p>
        </w:tc>
        <w:tc>
          <w:tcPr>
            <w:tcW w:w="1388" w:type="dxa"/>
            <w:noWrap w:val="0"/>
            <w:vAlign w:val="top"/>
          </w:tcPr>
          <w:p>
            <w:pPr>
              <w:spacing w:line="420" w:lineRule="exact"/>
              <w:rPr>
                <w:rFonts w:hint="eastAsia" w:ascii="仿宋" w:hAnsi="仿宋" w:eastAsia="仿宋" w:cs="仿宋"/>
                <w:color w:val="auto"/>
                <w:sz w:val="24"/>
                <w:szCs w:val="24"/>
              </w:rPr>
            </w:pPr>
          </w:p>
        </w:tc>
        <w:tc>
          <w:tcPr>
            <w:tcW w:w="1260" w:type="dxa"/>
            <w:noWrap w:val="0"/>
            <w:vAlign w:val="top"/>
          </w:tcPr>
          <w:p>
            <w:pPr>
              <w:spacing w:line="420" w:lineRule="exact"/>
              <w:rPr>
                <w:rFonts w:hint="eastAsia" w:ascii="仿宋" w:hAnsi="仿宋" w:eastAsia="仿宋" w:cs="仿宋"/>
                <w:color w:val="auto"/>
                <w:sz w:val="24"/>
                <w:szCs w:val="24"/>
              </w:rPr>
            </w:pPr>
          </w:p>
        </w:tc>
        <w:tc>
          <w:tcPr>
            <w:tcW w:w="1440" w:type="dxa"/>
            <w:noWrap w:val="0"/>
            <w:vAlign w:val="top"/>
          </w:tcPr>
          <w:p>
            <w:pPr>
              <w:spacing w:line="4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pPr>
              <w:spacing w:line="420" w:lineRule="exact"/>
              <w:rPr>
                <w:rFonts w:hint="eastAsia" w:ascii="仿宋" w:hAnsi="仿宋" w:eastAsia="仿宋" w:cs="仿宋"/>
                <w:color w:val="auto"/>
                <w:sz w:val="24"/>
                <w:szCs w:val="24"/>
              </w:rPr>
            </w:pPr>
          </w:p>
        </w:tc>
        <w:tc>
          <w:tcPr>
            <w:tcW w:w="3332" w:type="dxa"/>
            <w:noWrap w:val="0"/>
            <w:vAlign w:val="top"/>
          </w:tcPr>
          <w:p>
            <w:pPr>
              <w:spacing w:line="420" w:lineRule="exact"/>
              <w:rPr>
                <w:rFonts w:hint="eastAsia" w:ascii="仿宋" w:hAnsi="仿宋" w:eastAsia="仿宋" w:cs="仿宋"/>
                <w:color w:val="auto"/>
                <w:sz w:val="24"/>
                <w:szCs w:val="24"/>
              </w:rPr>
            </w:pPr>
          </w:p>
        </w:tc>
        <w:tc>
          <w:tcPr>
            <w:tcW w:w="1388" w:type="dxa"/>
            <w:noWrap w:val="0"/>
            <w:vAlign w:val="top"/>
          </w:tcPr>
          <w:p>
            <w:pPr>
              <w:spacing w:line="420" w:lineRule="exact"/>
              <w:rPr>
                <w:rFonts w:hint="eastAsia" w:ascii="仿宋" w:hAnsi="仿宋" w:eastAsia="仿宋" w:cs="仿宋"/>
                <w:color w:val="auto"/>
                <w:sz w:val="24"/>
                <w:szCs w:val="24"/>
              </w:rPr>
            </w:pPr>
          </w:p>
        </w:tc>
        <w:tc>
          <w:tcPr>
            <w:tcW w:w="1260" w:type="dxa"/>
            <w:noWrap w:val="0"/>
            <w:vAlign w:val="top"/>
          </w:tcPr>
          <w:p>
            <w:pPr>
              <w:spacing w:line="420" w:lineRule="exact"/>
              <w:rPr>
                <w:rFonts w:hint="eastAsia" w:ascii="仿宋" w:hAnsi="仿宋" w:eastAsia="仿宋" w:cs="仿宋"/>
                <w:color w:val="auto"/>
                <w:sz w:val="24"/>
                <w:szCs w:val="24"/>
              </w:rPr>
            </w:pPr>
          </w:p>
        </w:tc>
        <w:tc>
          <w:tcPr>
            <w:tcW w:w="1440" w:type="dxa"/>
            <w:noWrap w:val="0"/>
            <w:vAlign w:val="top"/>
          </w:tcPr>
          <w:p>
            <w:pPr>
              <w:spacing w:line="4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pPr>
              <w:spacing w:line="420" w:lineRule="exact"/>
              <w:rPr>
                <w:rFonts w:hint="eastAsia" w:ascii="仿宋" w:hAnsi="仿宋" w:eastAsia="仿宋" w:cs="仿宋"/>
                <w:color w:val="auto"/>
                <w:sz w:val="24"/>
                <w:szCs w:val="24"/>
              </w:rPr>
            </w:pPr>
          </w:p>
        </w:tc>
        <w:tc>
          <w:tcPr>
            <w:tcW w:w="3332" w:type="dxa"/>
            <w:noWrap w:val="0"/>
            <w:vAlign w:val="top"/>
          </w:tcPr>
          <w:p>
            <w:pPr>
              <w:spacing w:line="420" w:lineRule="exact"/>
              <w:rPr>
                <w:rFonts w:hint="eastAsia" w:ascii="仿宋" w:hAnsi="仿宋" w:eastAsia="仿宋" w:cs="仿宋"/>
                <w:color w:val="auto"/>
                <w:sz w:val="24"/>
                <w:szCs w:val="24"/>
              </w:rPr>
            </w:pPr>
          </w:p>
        </w:tc>
        <w:tc>
          <w:tcPr>
            <w:tcW w:w="1388" w:type="dxa"/>
            <w:noWrap w:val="0"/>
            <w:vAlign w:val="top"/>
          </w:tcPr>
          <w:p>
            <w:pPr>
              <w:spacing w:line="420" w:lineRule="exact"/>
              <w:rPr>
                <w:rFonts w:hint="eastAsia" w:ascii="仿宋" w:hAnsi="仿宋" w:eastAsia="仿宋" w:cs="仿宋"/>
                <w:color w:val="auto"/>
                <w:sz w:val="24"/>
                <w:szCs w:val="24"/>
              </w:rPr>
            </w:pPr>
          </w:p>
        </w:tc>
        <w:tc>
          <w:tcPr>
            <w:tcW w:w="1260" w:type="dxa"/>
            <w:noWrap w:val="0"/>
            <w:vAlign w:val="top"/>
          </w:tcPr>
          <w:p>
            <w:pPr>
              <w:spacing w:line="420" w:lineRule="exact"/>
              <w:rPr>
                <w:rFonts w:hint="eastAsia" w:ascii="仿宋" w:hAnsi="仿宋" w:eastAsia="仿宋" w:cs="仿宋"/>
                <w:color w:val="auto"/>
                <w:sz w:val="24"/>
                <w:szCs w:val="24"/>
              </w:rPr>
            </w:pPr>
          </w:p>
        </w:tc>
        <w:tc>
          <w:tcPr>
            <w:tcW w:w="1440" w:type="dxa"/>
            <w:noWrap w:val="0"/>
            <w:vAlign w:val="top"/>
          </w:tcPr>
          <w:p>
            <w:pPr>
              <w:spacing w:line="4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noWrap w:val="0"/>
            <w:vAlign w:val="center"/>
          </w:tcPr>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合计人民币（大写）：  佰   拾   万   仟   佰   拾   元    角    分  ￥：</w:t>
            </w:r>
          </w:p>
        </w:tc>
      </w:tr>
    </w:tbl>
    <w:p>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二、产品（或服务）要求</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三、产品（或服务）质量要求</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六、履约保证金</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1、中标方在签订合同前需向采购单位缴纳</w:t>
      </w:r>
      <w:r>
        <w:rPr>
          <w:rFonts w:hint="eastAsia" w:ascii="仿宋" w:hAnsi="仿宋" w:eastAsia="仿宋" w:cs="仿宋"/>
          <w:sz w:val="24"/>
          <w:szCs w:val="24"/>
          <w:u w:val="single"/>
          <w:lang w:val="en-US" w:eastAsia="zh-CN"/>
        </w:rPr>
        <w:t>合同金额1%</w:t>
      </w:r>
      <w:r>
        <w:rPr>
          <w:rFonts w:hint="eastAsia" w:ascii="仿宋" w:hAnsi="仿宋" w:eastAsia="仿宋" w:cs="仿宋"/>
          <w:sz w:val="24"/>
          <w:szCs w:val="24"/>
        </w:rPr>
        <w:t>的履约保证金。</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2、履约保证金在甲方将项目验收合格后，无息退还给乙方。</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3、如乙方未能履行合同规定的义务，甲方有权在履约保证金中取得补偿。</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七、产品数量变更</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八、售后服务</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九、违约责任</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1、甲方无正当理由拒收产品（或服务），由甲方向乙方偿付合同总价的5%违约金。</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2、甲方未能在合同规定期限内验收完毕的，每超过一天，付合同价的</w:t>
      </w:r>
      <w:r>
        <w:rPr>
          <w:rFonts w:hint="eastAsia" w:ascii="仿宋" w:hAnsi="仿宋" w:eastAsia="仿宋" w:cs="仿宋"/>
          <w:color w:val="auto"/>
          <w:sz w:val="24"/>
          <w:szCs w:val="24"/>
          <w:u w:val="single"/>
        </w:rPr>
        <w:t xml:space="preserve"> 0.5 </w:t>
      </w:r>
      <w:r>
        <w:rPr>
          <w:rFonts w:hint="eastAsia" w:ascii="仿宋" w:hAnsi="仿宋" w:eastAsia="仿宋" w:cs="仿宋"/>
          <w:color w:val="auto"/>
          <w:sz w:val="24"/>
          <w:szCs w:val="24"/>
        </w:rPr>
        <w:t>%的违约金给乙方。</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3、乙方不能交付产品（或服务），甲方有权扣留全部履约保证金；同时乙方向甲方支付合同款总价5%的违约金。</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4、乙方逾期交付产品（或服务）的，每逾期1天，乙方向甲方偿付逾期部分产品（或服务）货款的0.5%的滞纳金，如乙方逾期15天，甲方有权解除合同，解除合同的通知自到达乙方时生效。</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十、其他约定事项</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十一、解决合同纠纷方式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u w:val="single"/>
        </w:rPr>
        <w:t>武义县</w:t>
      </w:r>
      <w:r>
        <w:rPr>
          <w:rFonts w:hint="eastAsia" w:ascii="仿宋" w:hAnsi="仿宋" w:eastAsia="仿宋" w:cs="仿宋"/>
          <w:color w:val="auto"/>
          <w:sz w:val="24"/>
          <w:szCs w:val="24"/>
        </w:rPr>
        <w:t>人民法院起诉。</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十二、其它</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1、本项目的招标文件、投标文件、中标通知书作为合同的附件，具有同等法律效力。</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2、本合同自签订之日起生效。</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3、本合同一式陆份，甲乙双方各执两份，采</w:t>
      </w:r>
      <w:r>
        <w:rPr>
          <w:rFonts w:hint="eastAsia" w:ascii="仿宋" w:hAnsi="仿宋" w:eastAsia="仿宋" w:cs="仿宋"/>
          <w:color w:val="auto"/>
          <w:sz w:val="24"/>
          <w:szCs w:val="24"/>
          <w:lang w:eastAsia="zh-CN"/>
        </w:rPr>
        <w:t>监科</w:t>
      </w:r>
      <w:r>
        <w:rPr>
          <w:rFonts w:hint="eastAsia" w:ascii="仿宋" w:hAnsi="仿宋" w:eastAsia="仿宋" w:cs="仿宋"/>
          <w:color w:val="auto"/>
          <w:sz w:val="24"/>
          <w:szCs w:val="24"/>
        </w:rPr>
        <w:t>备案一份，代理机构存档一份。</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7" w:hRule="exact"/>
          <w:jc w:val="center"/>
        </w:trPr>
        <w:tc>
          <w:tcPr>
            <w:tcW w:w="4809" w:type="dxa"/>
            <w:noWrap w:val="0"/>
            <w:vAlign w:val="top"/>
          </w:tcPr>
          <w:p>
            <w:pPr>
              <w:spacing w:line="360" w:lineRule="auto"/>
              <w:jc w:val="center"/>
              <w:rPr>
                <w:rFonts w:hint="eastAsia" w:ascii="仿宋" w:hAnsi="仿宋" w:eastAsia="仿宋" w:cs="仿宋"/>
                <w:sz w:val="24"/>
              </w:rPr>
            </w:pPr>
            <w:r>
              <w:rPr>
                <w:rFonts w:hint="eastAsia" w:ascii="仿宋" w:hAnsi="仿宋" w:eastAsia="仿宋" w:cs="仿宋"/>
                <w:sz w:val="24"/>
              </w:rPr>
              <w:t>甲  方</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单位名称（盖章）：</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单位地址：</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法定代表人：</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委托代理人：</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电话：</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pPr>
              <w:spacing w:line="360" w:lineRule="auto"/>
              <w:ind w:left="-78" w:leftChars="-37" w:right="-57" w:rightChars="-27"/>
              <w:jc w:val="center"/>
              <w:rPr>
                <w:rFonts w:hint="eastAsia" w:ascii="仿宋" w:hAnsi="仿宋" w:eastAsia="仿宋" w:cs="仿宋"/>
                <w:sz w:val="24"/>
              </w:rPr>
            </w:pPr>
            <w:r>
              <w:rPr>
                <w:rFonts w:hint="eastAsia" w:ascii="仿宋" w:hAnsi="仿宋" w:eastAsia="仿宋" w:cs="仿宋"/>
                <w:sz w:val="24"/>
              </w:rPr>
              <w:t>乙  方</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单位名称（盖章）：</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单位地址：</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法定代表人：</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委托代理人：</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电话：</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开户银行（必填）：</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账号（必填）：</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邮政编码：</w:t>
            </w:r>
          </w:p>
          <w:p>
            <w:pPr>
              <w:spacing w:line="360" w:lineRule="auto"/>
              <w:jc w:val="center"/>
              <w:rPr>
                <w:rFonts w:hint="eastAsia" w:ascii="仿宋" w:hAnsi="仿宋" w:eastAsia="仿宋" w:cs="仿宋"/>
                <w:sz w:val="24"/>
              </w:rPr>
            </w:pPr>
          </w:p>
          <w:p>
            <w:pPr>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exact"/>
          <w:jc w:val="center"/>
        </w:trPr>
        <w:tc>
          <w:tcPr>
            <w:tcW w:w="9536" w:type="dxa"/>
            <w:gridSpan w:val="2"/>
            <w:noWrap w:val="0"/>
            <w:vAlign w:val="top"/>
          </w:tcPr>
          <w:p>
            <w:pPr>
              <w:tabs>
                <w:tab w:val="left" w:pos="760"/>
              </w:tabs>
              <w:spacing w:line="360" w:lineRule="auto"/>
              <w:jc w:val="left"/>
              <w:rPr>
                <w:rFonts w:hint="eastAsia" w:ascii="仿宋" w:hAnsi="仿宋" w:eastAsia="仿宋" w:cs="仿宋"/>
                <w:sz w:val="24"/>
              </w:rPr>
            </w:pPr>
          </w:p>
          <w:p>
            <w:pPr>
              <w:tabs>
                <w:tab w:val="left" w:pos="760"/>
              </w:tabs>
              <w:spacing w:line="360" w:lineRule="auto"/>
              <w:jc w:val="left"/>
              <w:rPr>
                <w:rFonts w:hint="eastAsia" w:ascii="仿宋" w:hAnsi="仿宋" w:eastAsia="仿宋" w:cs="仿宋"/>
                <w:sz w:val="24"/>
              </w:rPr>
            </w:pPr>
            <w:r>
              <w:rPr>
                <w:rFonts w:hint="eastAsia" w:ascii="仿宋" w:hAnsi="仿宋" w:eastAsia="仿宋" w:cs="仿宋"/>
                <w:sz w:val="24"/>
              </w:rPr>
              <w:t>见证方（盖章）：浙江日晟信息咨询有限公司</w:t>
            </w:r>
          </w:p>
          <w:p>
            <w:pPr>
              <w:tabs>
                <w:tab w:val="left" w:pos="760"/>
              </w:tabs>
              <w:spacing w:line="360" w:lineRule="auto"/>
              <w:jc w:val="left"/>
              <w:rPr>
                <w:rFonts w:hint="eastAsia" w:ascii="仿宋" w:hAnsi="仿宋" w:eastAsia="仿宋" w:cs="仿宋"/>
                <w:sz w:val="24"/>
              </w:rPr>
            </w:pPr>
            <w:r>
              <w:rPr>
                <w:rFonts w:hint="eastAsia" w:ascii="仿宋" w:hAnsi="仿宋" w:eastAsia="仿宋" w:cs="仿宋"/>
                <w:sz w:val="24"/>
              </w:rPr>
              <w:t>经办人：</w:t>
            </w:r>
          </w:p>
          <w:p>
            <w:pPr>
              <w:tabs>
                <w:tab w:val="left" w:pos="760"/>
              </w:tabs>
              <w:spacing w:line="360" w:lineRule="auto"/>
              <w:jc w:val="left"/>
              <w:rPr>
                <w:rFonts w:hint="eastAsia" w:ascii="仿宋" w:hAnsi="仿宋" w:eastAsia="仿宋" w:cs="仿宋"/>
              </w:rPr>
            </w:pPr>
            <w:r>
              <w:rPr>
                <w:rFonts w:hint="eastAsia" w:ascii="仿宋" w:hAnsi="仿宋" w:eastAsia="仿宋" w:cs="仿宋"/>
                <w:sz w:val="24"/>
              </w:rPr>
              <w:t>时  间：      年     月     日</w:t>
            </w:r>
          </w:p>
        </w:tc>
      </w:tr>
    </w:tbl>
    <w:p>
      <w:pPr>
        <w:spacing w:line="420" w:lineRule="exact"/>
        <w:rPr>
          <w:rFonts w:hint="eastAsia" w:ascii="仿宋" w:hAnsi="仿宋" w:eastAsia="仿宋" w:cs="仿宋"/>
          <w:color w:val="auto"/>
          <w:sz w:val="24"/>
          <w:szCs w:val="24"/>
        </w:rPr>
      </w:pPr>
    </w:p>
    <w:p>
      <w:pPr>
        <w:spacing w:line="420" w:lineRule="exact"/>
        <w:jc w:val="center"/>
        <w:rPr>
          <w:rFonts w:hint="eastAsia" w:ascii="仿宋" w:hAnsi="仿宋" w:eastAsia="仿宋" w:cs="仿宋"/>
          <w:color w:val="auto"/>
          <w:sz w:val="24"/>
          <w:szCs w:val="24"/>
        </w:rPr>
      </w:pPr>
    </w:p>
    <w:p>
      <w:pPr>
        <w:spacing w:line="312" w:lineRule="auto"/>
        <w:jc w:val="center"/>
        <w:rPr>
          <w:rFonts w:hint="eastAsia" w:ascii="仿宋" w:hAnsi="仿宋" w:eastAsia="仿宋" w:cs="仿宋"/>
          <w:color w:val="auto"/>
          <w:sz w:val="44"/>
          <w:szCs w:val="44"/>
        </w:rPr>
      </w:pPr>
    </w:p>
    <w:p>
      <w:pPr>
        <w:spacing w:line="312" w:lineRule="auto"/>
        <w:jc w:val="center"/>
        <w:rPr>
          <w:rFonts w:hint="eastAsia" w:ascii="仿宋" w:hAnsi="仿宋" w:eastAsia="仿宋" w:cs="仿宋"/>
          <w:color w:val="auto"/>
          <w:sz w:val="44"/>
          <w:szCs w:val="44"/>
        </w:rPr>
      </w:pPr>
    </w:p>
    <w:p>
      <w:pPr>
        <w:spacing w:line="312" w:lineRule="auto"/>
        <w:jc w:val="center"/>
        <w:rPr>
          <w:rFonts w:hint="eastAsia" w:ascii="仿宋" w:hAnsi="仿宋" w:eastAsia="仿宋" w:cs="仿宋"/>
          <w:color w:val="auto"/>
          <w:sz w:val="44"/>
          <w:szCs w:val="44"/>
        </w:rPr>
      </w:pPr>
    </w:p>
    <w:p>
      <w:pPr>
        <w:spacing w:line="312" w:lineRule="auto"/>
        <w:jc w:val="center"/>
        <w:rPr>
          <w:rFonts w:hint="eastAsia" w:ascii="仿宋" w:hAnsi="仿宋" w:eastAsia="仿宋" w:cs="仿宋"/>
          <w:color w:val="auto"/>
          <w:sz w:val="44"/>
          <w:szCs w:val="44"/>
        </w:rPr>
      </w:pPr>
    </w:p>
    <w:p>
      <w:pPr>
        <w:spacing w:line="312" w:lineRule="auto"/>
        <w:jc w:val="center"/>
        <w:rPr>
          <w:rFonts w:hint="eastAsia" w:ascii="仿宋" w:hAnsi="仿宋" w:eastAsia="仿宋" w:cs="仿宋"/>
          <w:color w:val="auto"/>
          <w:sz w:val="44"/>
          <w:szCs w:val="44"/>
        </w:rPr>
      </w:pPr>
    </w:p>
    <w:p>
      <w:pPr>
        <w:spacing w:line="312" w:lineRule="auto"/>
        <w:jc w:val="center"/>
        <w:rPr>
          <w:rFonts w:hint="eastAsia" w:ascii="仿宋" w:hAnsi="仿宋" w:eastAsia="仿宋" w:cs="仿宋"/>
          <w:color w:val="auto"/>
          <w:sz w:val="44"/>
          <w:szCs w:val="44"/>
        </w:rPr>
      </w:pPr>
    </w:p>
    <w:p>
      <w:pPr>
        <w:spacing w:line="312"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br w:type="page"/>
      </w:r>
      <w:r>
        <w:rPr>
          <w:rFonts w:hint="eastAsia" w:ascii="仿宋" w:hAnsi="仿宋" w:eastAsia="仿宋" w:cs="仿宋"/>
          <w:b/>
          <w:bCs/>
          <w:color w:val="auto"/>
          <w:sz w:val="36"/>
          <w:szCs w:val="36"/>
        </w:rPr>
        <w:t>第六章  应提交的有关格式范例</w:t>
      </w:r>
    </w:p>
    <w:p>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一、封面格式</w:t>
      </w:r>
    </w:p>
    <w:p>
      <w:pPr>
        <w:widowControl/>
        <w:tabs>
          <w:tab w:val="left" w:pos="8280"/>
        </w:tabs>
        <w:spacing w:line="312" w:lineRule="auto"/>
        <w:ind w:firstLine="480"/>
        <w:jc w:val="center"/>
        <w:rPr>
          <w:rFonts w:hint="eastAsia" w:ascii="仿宋" w:hAnsi="仿宋" w:eastAsia="仿宋" w:cs="仿宋"/>
          <w:b/>
          <w:color w:val="auto"/>
          <w:sz w:val="30"/>
          <w:szCs w:val="30"/>
        </w:rPr>
      </w:pPr>
    </w:p>
    <w:p>
      <w:pPr>
        <w:widowControl/>
        <w:tabs>
          <w:tab w:val="left" w:pos="8280"/>
        </w:tabs>
        <w:spacing w:line="312" w:lineRule="auto"/>
        <w:ind w:firstLine="48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资格文件或商务技术文件或报价文件</w:t>
      </w:r>
    </w:p>
    <w:p>
      <w:pPr>
        <w:widowControl/>
        <w:tabs>
          <w:tab w:val="left" w:pos="275"/>
          <w:tab w:val="left" w:pos="8280"/>
        </w:tabs>
        <w:spacing w:line="312" w:lineRule="auto"/>
        <w:ind w:firstLine="480"/>
        <w:jc w:val="left"/>
        <w:rPr>
          <w:rFonts w:hint="eastAsia" w:ascii="仿宋" w:hAnsi="仿宋" w:eastAsia="仿宋" w:cs="仿宋"/>
          <w:b/>
          <w:color w:val="auto"/>
          <w:sz w:val="30"/>
          <w:szCs w:val="30"/>
        </w:rPr>
      </w:pPr>
      <w:r>
        <w:rPr>
          <w:rFonts w:hint="eastAsia" w:ascii="仿宋" w:hAnsi="仿宋" w:eastAsia="仿宋" w:cs="仿宋"/>
          <w:b/>
          <w:color w:val="auto"/>
          <w:sz w:val="30"/>
          <w:szCs w:val="30"/>
        </w:rPr>
        <w:tab/>
      </w:r>
    </w:p>
    <w:p>
      <w:pPr>
        <w:widowControl/>
        <w:tabs>
          <w:tab w:val="left" w:pos="275"/>
          <w:tab w:val="left" w:pos="8280"/>
        </w:tabs>
        <w:spacing w:line="312" w:lineRule="auto"/>
        <w:jc w:val="left"/>
        <w:rPr>
          <w:rFonts w:hint="eastAsia" w:ascii="仿宋" w:hAnsi="仿宋" w:eastAsia="仿宋" w:cs="仿宋"/>
          <w:b/>
          <w:color w:val="auto"/>
          <w:sz w:val="30"/>
          <w:szCs w:val="30"/>
          <w:u w:val="single"/>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rPr>
        <w:t xml:space="preserve">                                      </w:t>
      </w:r>
    </w:p>
    <w:p>
      <w:pPr>
        <w:widowControl/>
        <w:tabs>
          <w:tab w:val="left" w:pos="275"/>
          <w:tab w:val="left" w:pos="8280"/>
        </w:tabs>
        <w:spacing w:line="312" w:lineRule="auto"/>
        <w:ind w:firstLine="443" w:firstLineChars="147"/>
        <w:jc w:val="left"/>
        <w:rPr>
          <w:rFonts w:hint="eastAsia" w:ascii="仿宋" w:hAnsi="仿宋" w:eastAsia="仿宋" w:cs="仿宋"/>
          <w:b/>
          <w:color w:val="auto"/>
          <w:sz w:val="30"/>
          <w:szCs w:val="30"/>
        </w:rPr>
      </w:pPr>
    </w:p>
    <w:p>
      <w:pPr>
        <w:widowControl/>
        <w:tabs>
          <w:tab w:val="left" w:pos="275"/>
          <w:tab w:val="left" w:pos="8280"/>
        </w:tabs>
        <w:spacing w:line="312" w:lineRule="auto"/>
        <w:jc w:val="left"/>
        <w:rPr>
          <w:rFonts w:hint="eastAsia"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 xml:space="preserve">   </w:t>
      </w:r>
    </w:p>
    <w:p>
      <w:pPr>
        <w:widowControl/>
        <w:tabs>
          <w:tab w:val="left" w:pos="765"/>
          <w:tab w:val="left" w:pos="8280"/>
        </w:tabs>
        <w:spacing w:line="312" w:lineRule="auto"/>
        <w:ind w:firstLine="480"/>
        <w:jc w:val="left"/>
        <w:rPr>
          <w:rFonts w:hint="eastAsia" w:ascii="仿宋" w:hAnsi="仿宋" w:eastAsia="仿宋" w:cs="仿宋"/>
          <w:b/>
          <w:color w:val="auto"/>
          <w:sz w:val="30"/>
          <w:szCs w:val="30"/>
        </w:rPr>
      </w:pPr>
      <w:r>
        <w:rPr>
          <w:rFonts w:hint="eastAsia" w:ascii="仿宋" w:hAnsi="仿宋" w:eastAsia="仿宋" w:cs="仿宋"/>
          <w:b/>
          <w:color w:val="auto"/>
          <w:sz w:val="30"/>
          <w:szCs w:val="30"/>
        </w:rPr>
        <w:tab/>
      </w:r>
    </w:p>
    <w:p>
      <w:pPr>
        <w:widowControl/>
        <w:tabs>
          <w:tab w:val="left" w:pos="765"/>
          <w:tab w:val="left" w:pos="8280"/>
        </w:tabs>
        <w:spacing w:line="312" w:lineRule="auto"/>
        <w:jc w:val="left"/>
        <w:rPr>
          <w:rFonts w:hint="eastAsia" w:ascii="仿宋" w:hAnsi="仿宋" w:eastAsia="仿宋" w:cs="仿宋"/>
          <w:b/>
          <w:color w:val="auto"/>
          <w:sz w:val="30"/>
          <w:szCs w:val="30"/>
          <w:u w:val="single"/>
        </w:rPr>
      </w:pPr>
      <w:r>
        <w:rPr>
          <w:rFonts w:hint="eastAsia" w:ascii="仿宋" w:hAnsi="仿宋" w:eastAsia="仿宋" w:cs="仿宋"/>
          <w:b/>
          <w:color w:val="auto"/>
          <w:sz w:val="30"/>
          <w:szCs w:val="30"/>
        </w:rPr>
        <w:t>投标人：</w:t>
      </w:r>
      <w:r>
        <w:rPr>
          <w:rFonts w:hint="eastAsia" w:ascii="仿宋" w:hAnsi="仿宋" w:eastAsia="仿宋" w:cs="仿宋"/>
          <w:b/>
          <w:color w:val="auto"/>
          <w:sz w:val="30"/>
          <w:szCs w:val="30"/>
          <w:u w:val="single"/>
        </w:rPr>
        <w:t xml:space="preserve">           （盖章）              </w:t>
      </w:r>
    </w:p>
    <w:p>
      <w:pPr>
        <w:widowControl/>
        <w:tabs>
          <w:tab w:val="left" w:pos="8280"/>
        </w:tabs>
        <w:spacing w:line="312" w:lineRule="auto"/>
        <w:ind w:firstLine="480"/>
        <w:jc w:val="center"/>
        <w:rPr>
          <w:rFonts w:hint="eastAsia" w:ascii="仿宋" w:hAnsi="仿宋" w:eastAsia="仿宋" w:cs="仿宋"/>
          <w:b/>
          <w:color w:val="auto"/>
          <w:sz w:val="30"/>
          <w:szCs w:val="30"/>
        </w:rPr>
      </w:pPr>
    </w:p>
    <w:p>
      <w:pPr>
        <w:widowControl/>
        <w:tabs>
          <w:tab w:val="left" w:pos="8280"/>
        </w:tabs>
        <w:spacing w:line="312" w:lineRule="auto"/>
        <w:ind w:firstLine="480"/>
        <w:jc w:val="center"/>
        <w:rPr>
          <w:rFonts w:hint="eastAsia" w:ascii="仿宋" w:hAnsi="仿宋" w:eastAsia="仿宋" w:cs="仿宋"/>
          <w:b/>
          <w:color w:val="auto"/>
          <w:sz w:val="30"/>
          <w:szCs w:val="30"/>
        </w:rPr>
      </w:pPr>
    </w:p>
    <w:p>
      <w:pPr>
        <w:widowControl/>
        <w:tabs>
          <w:tab w:val="left" w:pos="350"/>
          <w:tab w:val="left" w:pos="8280"/>
        </w:tabs>
        <w:spacing w:line="312" w:lineRule="auto"/>
        <w:jc w:val="left"/>
        <w:rPr>
          <w:rFonts w:hint="eastAsia" w:ascii="仿宋" w:hAnsi="仿宋" w:eastAsia="仿宋" w:cs="仿宋"/>
          <w:b/>
          <w:color w:val="auto"/>
          <w:sz w:val="30"/>
          <w:szCs w:val="30"/>
        </w:rPr>
      </w:pPr>
      <w:r>
        <w:rPr>
          <w:rFonts w:hint="eastAsia" w:ascii="仿宋" w:hAnsi="仿宋" w:eastAsia="仿宋" w:cs="仿宋"/>
          <w:b/>
          <w:color w:val="auto"/>
          <w:sz w:val="30"/>
          <w:szCs w:val="30"/>
        </w:rPr>
        <w:t>日期：       年     月     日</w:t>
      </w:r>
    </w:p>
    <w:p>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pPr>
        <w:pStyle w:val="2"/>
        <w:spacing w:line="312" w:lineRule="auto"/>
        <w:jc w:val="center"/>
        <w:rPr>
          <w:rFonts w:hint="eastAsia" w:ascii="仿宋" w:hAnsi="仿宋" w:eastAsia="仿宋" w:cs="仿宋"/>
          <w:b w:val="0"/>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r>
        <w:rPr>
          <w:rFonts w:hint="eastAsia" w:ascii="仿宋" w:hAnsi="仿宋" w:eastAsia="仿宋" w:cs="仿宋"/>
          <w:b/>
          <w:bCs/>
          <w:color w:val="auto"/>
          <w:sz w:val="30"/>
          <w:szCs w:val="30"/>
        </w:rPr>
        <w:t>二、投标函（格式）</w:t>
      </w:r>
    </w:p>
    <w:p>
      <w:pPr>
        <w:spacing w:line="420" w:lineRule="exact"/>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致：浙江日晟信息咨询有限公司</w:t>
      </w:r>
    </w:p>
    <w:p>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ascii="仿宋" w:hAnsi="仿宋" w:eastAsia="仿宋" w:cs="仿宋"/>
          <w:color w:val="auto"/>
          <w:spacing w:val="8"/>
          <w:sz w:val="24"/>
          <w:szCs w:val="24"/>
          <w:u w:val="single"/>
        </w:rPr>
        <w:t xml:space="preserve">                           项目的</w:t>
      </w:r>
      <w:r>
        <w:rPr>
          <w:rFonts w:hint="eastAsia" w:ascii="仿宋" w:hAnsi="仿宋" w:eastAsia="仿宋" w:cs="仿宋"/>
          <w:color w:val="auto"/>
          <w:spacing w:val="8"/>
          <w:sz w:val="24"/>
          <w:szCs w:val="24"/>
        </w:rPr>
        <w:t>招标文件（编号：</w:t>
      </w:r>
      <w:r>
        <w:rPr>
          <w:rFonts w:hint="eastAsia" w:ascii="仿宋" w:hAnsi="仿宋" w:eastAsia="仿宋" w:cs="仿宋"/>
          <w:color w:val="auto"/>
          <w:spacing w:val="8"/>
          <w:sz w:val="24"/>
          <w:szCs w:val="24"/>
          <w:lang w:eastAsia="zh-CN"/>
        </w:rPr>
        <w:t>ZJRS2022-CG091-02</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pPr>
        <w:snapToGrid w:val="0"/>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1、我方已详细研读了全部招标文件，包括修改文件（如有的话）以及全部参考资料和有关附件等，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p>
    <w:p>
      <w:pPr>
        <w:tabs>
          <w:tab w:val="left" w:pos="900"/>
        </w:tabs>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2、我方承诺本投标文件在开标之日起至投标有效期满均具有约束力，并严格遵守投标文件中的承诺。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3、我方承诺已经具备《中华人民共和国政府采购法》及招标文件中规定的参加本项目的供应商资格条件。</w:t>
      </w:r>
    </w:p>
    <w:p>
      <w:pPr>
        <w:snapToGrid w:val="0"/>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4、我方严格按照招标文件的规定报价，并提供招标文件规定的全部投标文件。</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5、如我方中标，投标文件将作为本项目合同的组成部分，直到合同履行完毕均保持有效，我方将按招标文件及政府采购法律、法规的规定履行合同责任和义务。</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6、我方完全理解贵方不一定接受最低价的投标。</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7、我方同意向贵方提供任何与该项投标有关的一切数据或资料。若贵方需要，我方愿意提供我方作出的一切承诺的证明材料。</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8、与本次投标有关的一切正式往来通讯，请寄</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pPr>
        <w:spacing w:line="420" w:lineRule="exact"/>
        <w:ind w:firstLine="480" w:firstLineChars="200"/>
        <w:rPr>
          <w:rFonts w:hint="eastAsia" w:ascii="仿宋" w:hAnsi="仿宋" w:eastAsia="仿宋" w:cs="仿宋"/>
          <w:color w:val="auto"/>
          <w:sz w:val="24"/>
          <w:szCs w:val="24"/>
        </w:rPr>
      </w:pP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（盖章）          </w:t>
      </w:r>
    </w:p>
    <w:p>
      <w:pPr>
        <w:spacing w:line="420" w:lineRule="exact"/>
        <w:ind w:firstLine="480" w:firstLineChars="200"/>
        <w:rPr>
          <w:rFonts w:hint="eastAsia" w:ascii="仿宋" w:hAnsi="仿宋" w:eastAsia="仿宋" w:cs="仿宋"/>
          <w:color w:val="auto"/>
          <w:sz w:val="24"/>
          <w:szCs w:val="24"/>
        </w:rPr>
      </w:pP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12" w:lineRule="auto"/>
        <w:ind w:firstLine="480" w:firstLineChars="200"/>
        <w:rPr>
          <w:rFonts w:hint="eastAsia" w:ascii="仿宋" w:hAnsi="仿宋" w:eastAsia="仿宋" w:cs="仿宋"/>
          <w:color w:val="auto"/>
          <w:sz w:val="24"/>
          <w:szCs w:val="24"/>
        </w:rPr>
      </w:pPr>
    </w:p>
    <w:p>
      <w:pPr>
        <w:widowControl/>
        <w:tabs>
          <w:tab w:val="left" w:pos="450"/>
          <w:tab w:val="left" w:pos="2520"/>
          <w:tab w:val="left" w:pos="8280"/>
        </w:tabs>
        <w:spacing w:line="312" w:lineRule="auto"/>
        <w:ind w:firstLine="480"/>
        <w:jc w:val="center"/>
        <w:rPr>
          <w:rFonts w:hint="eastAsia" w:ascii="仿宋" w:hAnsi="仿宋" w:eastAsia="仿宋" w:cs="仿宋"/>
          <w:color w:val="auto"/>
          <w:sz w:val="32"/>
          <w:szCs w:val="32"/>
        </w:rPr>
      </w:pPr>
    </w:p>
    <w:p>
      <w:pPr>
        <w:widowControl/>
        <w:tabs>
          <w:tab w:val="left" w:pos="450"/>
          <w:tab w:val="left" w:pos="2520"/>
          <w:tab w:val="left" w:pos="8280"/>
        </w:tabs>
        <w:spacing w:line="312" w:lineRule="auto"/>
        <w:ind w:firstLine="480"/>
        <w:jc w:val="center"/>
        <w:rPr>
          <w:rFonts w:hint="eastAsia" w:ascii="仿宋" w:hAnsi="仿宋" w:eastAsia="仿宋" w:cs="仿宋"/>
          <w:color w:val="auto"/>
          <w:sz w:val="32"/>
          <w:szCs w:val="32"/>
        </w:rPr>
      </w:pPr>
    </w:p>
    <w:p>
      <w:pPr>
        <w:pStyle w:val="2"/>
        <w:spacing w:line="312" w:lineRule="auto"/>
        <w:jc w:val="center"/>
        <w:rPr>
          <w:rFonts w:hint="eastAsia" w:ascii="仿宋" w:hAnsi="仿宋" w:eastAsia="仿宋" w:cs="仿宋"/>
          <w:b w:val="0"/>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三、授权委托书（格式）</w:t>
      </w:r>
    </w:p>
    <w:p>
      <w:pPr>
        <w:spacing w:line="420" w:lineRule="exact"/>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致：浙江日晟信息咨询有限公司</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我方对被授权人的签名事项负全部责任。</w:t>
      </w:r>
    </w:p>
    <w:p>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附：1、社保机构出具的投标人为授权委托人缴纳的近三个月社保证明。未按要求提供社保证明的不视为投标人的授权代表。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2、法定代表人和被授权人身份证复印件。</w:t>
      </w:r>
    </w:p>
    <w:p>
      <w:pPr>
        <w:spacing w:line="360" w:lineRule="auto"/>
        <w:ind w:firstLine="4440" w:firstLineChars="185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 xml:space="preserve">           　　　 (盖章)</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20" w:lineRule="exact"/>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jc w:val="center"/>
        <w:rPr>
          <w:rFonts w:hint="eastAsia" w:ascii="仿宋" w:hAnsi="仿宋" w:eastAsia="仿宋" w:cs="仿宋"/>
          <w:color w:val="auto"/>
          <w:sz w:val="30"/>
          <w:szCs w:val="30"/>
        </w:rPr>
      </w:pPr>
      <w:r>
        <w:rPr>
          <w:rFonts w:hint="eastAsia" w:ascii="仿宋" w:hAnsi="仿宋" w:eastAsia="仿宋" w:cs="仿宋"/>
          <w:b/>
          <w:bCs/>
          <w:color w:val="auto"/>
          <w:sz w:val="32"/>
          <w:szCs w:val="32"/>
        </w:rPr>
        <w:t xml:space="preserve"> </w:t>
      </w:r>
      <w:r>
        <w:rPr>
          <w:rFonts w:hint="eastAsia" w:ascii="仿宋" w:hAnsi="仿宋" w:eastAsia="仿宋" w:cs="仿宋"/>
          <w:b/>
          <w:bCs/>
          <w:color w:val="auto"/>
          <w:sz w:val="30"/>
          <w:szCs w:val="30"/>
        </w:rPr>
        <w:t xml:space="preserve"> 四、</w:t>
      </w:r>
      <w:bookmarkStart w:id="13" w:name="_Toc331876394"/>
      <w:bookmarkStart w:id="14" w:name="_Toc48672384"/>
      <w:r>
        <w:rPr>
          <w:rFonts w:hint="eastAsia" w:ascii="仿宋" w:hAnsi="仿宋" w:eastAsia="仿宋" w:cs="仿宋"/>
          <w:b/>
          <w:bCs/>
          <w:color w:val="auto"/>
          <w:sz w:val="30"/>
          <w:szCs w:val="30"/>
        </w:rPr>
        <w:t>开标一览表（格式）</w:t>
      </w:r>
    </w:p>
    <w:p>
      <w:pPr>
        <w:spacing w:line="420" w:lineRule="exact"/>
        <w:rPr>
          <w:rFonts w:hint="eastAsia" w:ascii="仿宋" w:hAnsi="仿宋" w:eastAsia="仿宋" w:cs="仿宋"/>
          <w:color w:val="auto"/>
          <w:sz w:val="24"/>
          <w:szCs w:val="24"/>
        </w:rPr>
      </w:pPr>
    </w:p>
    <w:p>
      <w:pPr>
        <w:pStyle w:val="29"/>
        <w:spacing w:before="0" w:beforeAutospacing="0" w:after="0" w:afterAutospacing="0" w:line="420" w:lineRule="exact"/>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浙江省武义县第一人民医院安保服务外包项目</w:t>
      </w:r>
    </w:p>
    <w:p>
      <w:pPr>
        <w:spacing w:line="420" w:lineRule="exact"/>
        <w:rPr>
          <w:rFonts w:hint="eastAsia" w:ascii="仿宋" w:hAnsi="仿宋" w:eastAsia="仿宋" w:cs="仿宋"/>
          <w:sz w:val="28"/>
          <w:szCs w:val="28"/>
          <w:lang w:eastAsia="zh-CN"/>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eastAsia="zh-CN"/>
        </w:rPr>
        <w:t>ZJRS2022-CG091-02</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bl>
      <w:tblPr>
        <w:tblStyle w:val="31"/>
        <w:tblW w:w="899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2988"/>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712" w:type="dxa"/>
            <w:vMerge w:val="restart"/>
            <w:noWrap w:val="0"/>
            <w:vAlign w:val="center"/>
          </w:tcPr>
          <w:p>
            <w:pPr>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标的内容</w:t>
            </w:r>
          </w:p>
        </w:tc>
        <w:tc>
          <w:tcPr>
            <w:tcW w:w="6286" w:type="dxa"/>
            <w:gridSpan w:val="2"/>
            <w:noWrap w:val="0"/>
            <w:vAlign w:val="center"/>
          </w:tcPr>
          <w:p>
            <w:pPr>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投标报价（单位：元）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712" w:type="dxa"/>
            <w:vMerge w:val="continue"/>
            <w:noWrap w:val="0"/>
            <w:vAlign w:val="center"/>
          </w:tcPr>
          <w:p>
            <w:pPr>
              <w:spacing w:line="312" w:lineRule="auto"/>
              <w:jc w:val="center"/>
              <w:rPr>
                <w:rFonts w:hint="eastAsia" w:ascii="仿宋" w:hAnsi="仿宋" w:eastAsia="仿宋" w:cs="仿宋"/>
                <w:b/>
                <w:sz w:val="28"/>
                <w:szCs w:val="28"/>
              </w:rPr>
            </w:pPr>
          </w:p>
        </w:tc>
        <w:tc>
          <w:tcPr>
            <w:tcW w:w="2988" w:type="dxa"/>
            <w:noWrap w:val="0"/>
            <w:vAlign w:val="center"/>
          </w:tcPr>
          <w:p>
            <w:pPr>
              <w:spacing w:line="312"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一年报价</w:t>
            </w:r>
          </w:p>
        </w:tc>
        <w:tc>
          <w:tcPr>
            <w:tcW w:w="3298" w:type="dxa"/>
            <w:noWrap w:val="0"/>
            <w:vAlign w:val="center"/>
          </w:tcPr>
          <w:p>
            <w:pPr>
              <w:spacing w:line="312"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三年报价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712" w:type="dxa"/>
            <w:vMerge w:val="restart"/>
            <w:noWrap w:val="0"/>
            <w:vAlign w:val="center"/>
          </w:tcPr>
          <w:p>
            <w:pPr>
              <w:spacing w:line="312" w:lineRule="auto"/>
              <w:jc w:val="center"/>
              <w:rPr>
                <w:rFonts w:hint="eastAsia" w:ascii="仿宋" w:hAnsi="仿宋" w:eastAsia="仿宋" w:cs="仿宋"/>
                <w:sz w:val="24"/>
                <w:szCs w:val="24"/>
                <w:lang w:eastAsia="zh-CN"/>
              </w:rPr>
            </w:pPr>
            <w:r>
              <w:rPr>
                <w:rFonts w:hint="eastAsia" w:ascii="仿宋" w:hAnsi="仿宋" w:eastAsia="仿宋" w:cs="仿宋"/>
                <w:color w:val="auto"/>
                <w:sz w:val="28"/>
                <w:szCs w:val="28"/>
                <w:lang w:eastAsia="zh-CN"/>
              </w:rPr>
              <w:t>浙江省武义县第一人民医院安保服务外包项目</w:t>
            </w:r>
          </w:p>
        </w:tc>
        <w:tc>
          <w:tcPr>
            <w:tcW w:w="2988" w:type="dxa"/>
            <w:noWrap w:val="0"/>
            <w:vAlign w:val="center"/>
          </w:tcPr>
          <w:p>
            <w:pPr>
              <w:spacing w:line="312"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小写：￥</w:t>
            </w:r>
          </w:p>
        </w:tc>
        <w:tc>
          <w:tcPr>
            <w:tcW w:w="3298" w:type="dxa"/>
            <w:noWrap w:val="0"/>
            <w:vAlign w:val="center"/>
          </w:tcPr>
          <w:p>
            <w:pPr>
              <w:spacing w:line="312" w:lineRule="auto"/>
              <w:rPr>
                <w:rFonts w:hint="eastAsia" w:ascii="仿宋" w:hAnsi="仿宋" w:eastAsia="仿宋" w:cs="仿宋"/>
                <w:sz w:val="24"/>
                <w:szCs w:val="24"/>
              </w:rPr>
            </w:pPr>
            <w:r>
              <w:rPr>
                <w:rFonts w:hint="eastAsia" w:ascii="仿宋" w:hAnsi="仿宋" w:eastAsia="仿宋" w:cs="仿宋"/>
                <w:sz w:val="24"/>
                <w:szCs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712" w:type="dxa"/>
            <w:vMerge w:val="continue"/>
            <w:noWrap w:val="0"/>
            <w:vAlign w:val="center"/>
          </w:tcPr>
          <w:p>
            <w:pPr>
              <w:spacing w:line="312" w:lineRule="auto"/>
            </w:pPr>
          </w:p>
        </w:tc>
        <w:tc>
          <w:tcPr>
            <w:tcW w:w="2988" w:type="dxa"/>
            <w:noWrap w:val="0"/>
            <w:vAlign w:val="center"/>
          </w:tcPr>
          <w:p>
            <w:pPr>
              <w:spacing w:line="312" w:lineRule="auto"/>
              <w:rPr>
                <w:rFonts w:hint="default" w:ascii="仿宋" w:hAnsi="仿宋" w:eastAsia="仿宋" w:cs="仿宋"/>
                <w:sz w:val="24"/>
                <w:szCs w:val="24"/>
                <w:u w:val="single"/>
                <w:lang w:val="en-US" w:eastAsia="zh-CN"/>
              </w:rPr>
            </w:pPr>
            <w:r>
              <w:rPr>
                <w:rFonts w:hint="eastAsia" w:ascii="仿宋" w:hAnsi="仿宋" w:eastAsia="仿宋" w:cs="仿宋"/>
                <w:sz w:val="24"/>
                <w:szCs w:val="24"/>
                <w:lang w:eastAsia="zh-CN"/>
              </w:rPr>
              <w:t>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c>
          <w:tcPr>
            <w:tcW w:w="3298" w:type="dxa"/>
            <w:noWrap w:val="0"/>
            <w:vAlign w:val="center"/>
          </w:tcPr>
          <w:p>
            <w:pPr>
              <w:spacing w:line="312" w:lineRule="auto"/>
              <w:rPr>
                <w:rFonts w:hint="eastAsia" w:ascii="仿宋" w:hAnsi="仿宋" w:eastAsia="仿宋" w:cs="仿宋"/>
                <w:sz w:val="24"/>
                <w:szCs w:val="24"/>
              </w:rPr>
            </w:pPr>
            <w:r>
              <w:rPr>
                <w:rFonts w:hint="eastAsia" w:ascii="仿宋" w:hAnsi="仿宋" w:eastAsia="仿宋" w:cs="仿宋"/>
                <w:sz w:val="24"/>
                <w:szCs w:val="24"/>
                <w:lang w:eastAsia="zh-CN"/>
              </w:rPr>
              <w:t>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998" w:type="dxa"/>
            <w:gridSpan w:val="3"/>
            <w:noWrap w:val="0"/>
            <w:vAlign w:val="center"/>
          </w:tcPr>
          <w:p>
            <w:pPr>
              <w:snapToGrid w:val="0"/>
              <w:spacing w:line="360" w:lineRule="auto"/>
              <w:rPr>
                <w:rFonts w:hint="eastAsia" w:ascii="仿宋" w:hAnsi="仿宋" w:eastAsia="仿宋" w:cs="仿宋"/>
                <w:sz w:val="24"/>
                <w:szCs w:val="24"/>
                <w:lang w:eastAsia="zh-CN"/>
              </w:rPr>
            </w:pPr>
            <w:r>
              <w:rPr>
                <w:rFonts w:hint="eastAsia" w:ascii="仿宋" w:hAnsi="仿宋" w:eastAsia="仿宋" w:cs="仿宋"/>
                <w:b/>
                <w:bCs/>
                <w:sz w:val="32"/>
                <w:szCs w:val="32"/>
                <w:lang w:eastAsia="zh-CN"/>
              </w:rPr>
              <w:t>注：须后附分项报价表，按照人员分类进行分项报价。</w:t>
            </w:r>
          </w:p>
        </w:tc>
      </w:tr>
    </w:tbl>
    <w:p>
      <w:pPr>
        <w:snapToGrid w:val="0"/>
        <w:jc w:val="left"/>
        <w:rPr>
          <w:rFonts w:hint="eastAsia" w:ascii="仿宋" w:hAnsi="仿宋" w:eastAsia="仿宋" w:cs="仿宋"/>
          <w:color w:val="auto"/>
          <w:sz w:val="30"/>
          <w:szCs w:val="30"/>
        </w:rPr>
      </w:pPr>
    </w:p>
    <w:p>
      <w:pPr>
        <w:snapToGrid w:val="0"/>
        <w:jc w:val="left"/>
        <w:rPr>
          <w:rFonts w:hint="eastAsia" w:ascii="仿宋" w:hAnsi="仿宋" w:eastAsia="仿宋" w:cs="仿宋"/>
          <w:color w:val="auto"/>
          <w:sz w:val="30"/>
          <w:szCs w:val="30"/>
        </w:rPr>
      </w:pPr>
    </w:p>
    <w:p>
      <w:pPr>
        <w:spacing w:line="400" w:lineRule="exact"/>
        <w:rPr>
          <w:rFonts w:hint="eastAsia" w:ascii="仿宋" w:hAnsi="仿宋" w:eastAsia="仿宋" w:cs="仿宋"/>
          <w:w w:val="110"/>
          <w:sz w:val="24"/>
          <w:szCs w:val="24"/>
        </w:rPr>
      </w:pPr>
      <w:r>
        <w:rPr>
          <w:rFonts w:hint="eastAsia" w:ascii="仿宋" w:hAnsi="仿宋" w:eastAsia="仿宋" w:cs="仿宋"/>
          <w:w w:val="110"/>
          <w:sz w:val="24"/>
          <w:szCs w:val="24"/>
        </w:rPr>
        <w:t>投标人：</w:t>
      </w:r>
      <w:r>
        <w:rPr>
          <w:rFonts w:hint="eastAsia" w:ascii="仿宋" w:hAnsi="仿宋" w:eastAsia="仿宋" w:cs="仿宋"/>
          <w:w w:val="110"/>
          <w:sz w:val="24"/>
          <w:szCs w:val="24"/>
          <w:u w:val="single"/>
        </w:rPr>
        <w:t xml:space="preserve">           （盖单位公章）               </w:t>
      </w:r>
      <w:r>
        <w:rPr>
          <w:rFonts w:hint="eastAsia" w:ascii="仿宋" w:hAnsi="仿宋" w:eastAsia="仿宋" w:cs="仿宋"/>
          <w:w w:val="110"/>
          <w:sz w:val="24"/>
          <w:szCs w:val="24"/>
        </w:rPr>
        <w:t xml:space="preserve">      </w:t>
      </w:r>
    </w:p>
    <w:p>
      <w:pPr>
        <w:spacing w:line="400" w:lineRule="exact"/>
        <w:rPr>
          <w:rFonts w:hint="eastAsia" w:ascii="仿宋" w:hAnsi="仿宋" w:eastAsia="仿宋" w:cs="仿宋"/>
          <w:w w:val="110"/>
          <w:sz w:val="24"/>
          <w:szCs w:val="24"/>
        </w:rPr>
      </w:pPr>
      <w:r>
        <w:rPr>
          <w:rFonts w:hint="eastAsia" w:ascii="仿宋" w:hAnsi="仿宋" w:eastAsia="仿宋" w:cs="仿宋"/>
          <w:w w:val="110"/>
          <w:sz w:val="24"/>
          <w:szCs w:val="24"/>
        </w:rPr>
        <w:t xml:space="preserve">      </w:t>
      </w:r>
    </w:p>
    <w:p>
      <w:pPr>
        <w:spacing w:line="400" w:lineRule="exact"/>
        <w:rPr>
          <w:rFonts w:hint="eastAsia" w:ascii="仿宋" w:hAnsi="仿宋" w:eastAsia="仿宋" w:cs="仿宋"/>
          <w:w w:val="110"/>
          <w:sz w:val="24"/>
          <w:szCs w:val="24"/>
        </w:rPr>
      </w:pPr>
    </w:p>
    <w:p>
      <w:pPr>
        <w:spacing w:line="400" w:lineRule="exact"/>
        <w:rPr>
          <w:rFonts w:hint="eastAsia" w:ascii="仿宋" w:hAnsi="仿宋" w:eastAsia="仿宋" w:cs="仿宋"/>
          <w:w w:val="110"/>
          <w:sz w:val="24"/>
          <w:szCs w:val="24"/>
        </w:rPr>
      </w:pPr>
      <w:r>
        <w:rPr>
          <w:rFonts w:hint="eastAsia" w:ascii="仿宋" w:hAnsi="仿宋" w:eastAsia="仿宋" w:cs="仿宋"/>
          <w:w w:val="110"/>
          <w:sz w:val="24"/>
          <w:szCs w:val="24"/>
        </w:rPr>
        <w:t>日期：</w:t>
      </w:r>
      <w:r>
        <w:rPr>
          <w:rFonts w:hint="eastAsia" w:ascii="仿宋" w:hAnsi="仿宋" w:eastAsia="仿宋" w:cs="仿宋"/>
          <w:w w:val="110"/>
          <w:sz w:val="24"/>
          <w:szCs w:val="24"/>
          <w:u w:val="single"/>
        </w:rPr>
        <w:t xml:space="preserve">      </w:t>
      </w:r>
      <w:r>
        <w:rPr>
          <w:rFonts w:hint="eastAsia" w:ascii="仿宋" w:hAnsi="仿宋" w:eastAsia="仿宋" w:cs="仿宋"/>
          <w:w w:val="110"/>
          <w:sz w:val="24"/>
          <w:szCs w:val="24"/>
        </w:rPr>
        <w:t>年</w:t>
      </w:r>
      <w:r>
        <w:rPr>
          <w:rFonts w:hint="eastAsia" w:ascii="仿宋" w:hAnsi="仿宋" w:eastAsia="仿宋" w:cs="仿宋"/>
          <w:w w:val="110"/>
          <w:sz w:val="24"/>
          <w:szCs w:val="24"/>
          <w:u w:val="single"/>
        </w:rPr>
        <w:t xml:space="preserve">    </w:t>
      </w:r>
      <w:r>
        <w:rPr>
          <w:rFonts w:hint="eastAsia" w:ascii="仿宋" w:hAnsi="仿宋" w:eastAsia="仿宋" w:cs="仿宋"/>
          <w:w w:val="110"/>
          <w:sz w:val="24"/>
          <w:szCs w:val="24"/>
        </w:rPr>
        <w:t>月</w:t>
      </w:r>
      <w:r>
        <w:rPr>
          <w:rFonts w:hint="eastAsia" w:ascii="仿宋" w:hAnsi="仿宋" w:eastAsia="仿宋" w:cs="仿宋"/>
          <w:w w:val="110"/>
          <w:sz w:val="24"/>
          <w:szCs w:val="24"/>
          <w:u w:val="single"/>
        </w:rPr>
        <w:t xml:space="preserve">    </w:t>
      </w:r>
      <w:r>
        <w:rPr>
          <w:rFonts w:hint="eastAsia" w:ascii="仿宋" w:hAnsi="仿宋" w:eastAsia="仿宋" w:cs="仿宋"/>
          <w:w w:val="110"/>
          <w:sz w:val="24"/>
          <w:szCs w:val="24"/>
        </w:rPr>
        <w:t>日</w:t>
      </w:r>
    </w:p>
    <w:p>
      <w:pPr>
        <w:rPr>
          <w:rFonts w:hint="eastAsia" w:ascii="仿宋" w:hAnsi="仿宋" w:eastAsia="仿宋" w:cs="仿宋"/>
        </w:rPr>
      </w:pPr>
    </w:p>
    <w:p>
      <w:pPr>
        <w:snapToGrid w:val="0"/>
        <w:jc w:val="center"/>
        <w:rPr>
          <w:rFonts w:hint="eastAsia" w:ascii="仿宋" w:hAnsi="仿宋" w:eastAsia="仿宋" w:cs="仿宋"/>
          <w:b/>
          <w:bCs/>
          <w:color w:val="auto"/>
          <w:sz w:val="32"/>
          <w:szCs w:val="32"/>
          <w:lang w:eastAsia="zh-CN"/>
        </w:rPr>
      </w:pPr>
    </w:p>
    <w:p>
      <w:pPr>
        <w:snapToGrid w:val="0"/>
        <w:jc w:val="center"/>
        <w:rPr>
          <w:rFonts w:hint="eastAsia" w:ascii="仿宋" w:hAnsi="仿宋" w:eastAsia="仿宋" w:cs="仿宋"/>
          <w:b/>
          <w:bCs/>
          <w:color w:val="auto"/>
          <w:sz w:val="32"/>
          <w:szCs w:val="32"/>
          <w:lang w:eastAsia="zh-CN"/>
        </w:rPr>
      </w:pPr>
    </w:p>
    <w:p>
      <w:pPr>
        <w:snapToGrid w:val="0"/>
        <w:jc w:val="center"/>
        <w:rPr>
          <w:rFonts w:hint="eastAsia" w:ascii="仿宋" w:hAnsi="仿宋" w:eastAsia="仿宋" w:cs="仿宋"/>
          <w:b/>
          <w:bCs/>
          <w:color w:val="auto"/>
          <w:sz w:val="32"/>
          <w:szCs w:val="32"/>
          <w:lang w:eastAsia="zh-CN"/>
        </w:rPr>
      </w:pPr>
    </w:p>
    <w:p>
      <w:pPr>
        <w:snapToGrid w:val="0"/>
        <w:jc w:val="center"/>
        <w:rPr>
          <w:rFonts w:hint="eastAsia" w:ascii="仿宋" w:hAnsi="仿宋" w:eastAsia="仿宋" w:cs="仿宋"/>
          <w:b/>
          <w:bCs/>
          <w:color w:val="auto"/>
          <w:sz w:val="32"/>
          <w:szCs w:val="32"/>
          <w:lang w:eastAsia="zh-CN"/>
        </w:rPr>
      </w:pPr>
    </w:p>
    <w:p>
      <w:pPr>
        <w:snapToGrid w:val="0"/>
        <w:jc w:val="center"/>
        <w:rPr>
          <w:rFonts w:hint="eastAsia" w:ascii="仿宋" w:hAnsi="仿宋" w:eastAsia="仿宋" w:cs="仿宋"/>
          <w:b/>
          <w:bCs/>
          <w:color w:val="auto"/>
          <w:sz w:val="32"/>
          <w:szCs w:val="32"/>
          <w:lang w:eastAsia="zh-CN"/>
        </w:rPr>
      </w:pPr>
    </w:p>
    <w:p>
      <w:pPr>
        <w:snapToGrid w:val="0"/>
        <w:jc w:val="center"/>
        <w:rPr>
          <w:rFonts w:hint="eastAsia" w:ascii="仿宋" w:hAnsi="仿宋" w:eastAsia="仿宋" w:cs="仿宋"/>
          <w:b/>
          <w:bCs/>
          <w:color w:val="auto"/>
          <w:sz w:val="32"/>
          <w:szCs w:val="32"/>
          <w:lang w:eastAsia="zh-CN"/>
        </w:rPr>
      </w:pPr>
    </w:p>
    <w:p>
      <w:pPr>
        <w:snapToGrid w:val="0"/>
        <w:jc w:val="center"/>
        <w:rPr>
          <w:rFonts w:hint="eastAsia" w:ascii="仿宋" w:hAnsi="仿宋" w:eastAsia="仿宋" w:cs="仿宋"/>
          <w:b/>
          <w:bCs/>
          <w:color w:val="auto"/>
          <w:sz w:val="32"/>
          <w:szCs w:val="32"/>
          <w:lang w:eastAsia="zh-CN"/>
        </w:rPr>
      </w:pPr>
    </w:p>
    <w:p>
      <w:pPr>
        <w:snapToGrid w:val="0"/>
        <w:jc w:val="center"/>
        <w:rPr>
          <w:rFonts w:hint="eastAsia" w:ascii="仿宋" w:hAnsi="仿宋" w:eastAsia="仿宋" w:cs="仿宋"/>
          <w:b/>
          <w:bCs/>
          <w:color w:val="auto"/>
          <w:sz w:val="32"/>
          <w:szCs w:val="32"/>
          <w:lang w:eastAsia="zh-CN"/>
        </w:rPr>
      </w:pPr>
    </w:p>
    <w:p>
      <w:pPr>
        <w:snapToGrid w:val="0"/>
        <w:jc w:val="center"/>
        <w:rPr>
          <w:rFonts w:hint="eastAsia" w:ascii="仿宋" w:hAnsi="仿宋" w:eastAsia="仿宋" w:cs="仿宋"/>
          <w:b/>
          <w:bCs/>
          <w:color w:val="auto"/>
          <w:sz w:val="32"/>
          <w:szCs w:val="32"/>
          <w:lang w:eastAsia="zh-CN"/>
        </w:rPr>
      </w:pPr>
    </w:p>
    <w:p>
      <w:pPr>
        <w:snapToGrid w:val="0"/>
        <w:jc w:val="center"/>
        <w:rPr>
          <w:rFonts w:hint="eastAsia" w:ascii="仿宋" w:hAnsi="仿宋" w:eastAsia="仿宋" w:cs="仿宋"/>
          <w:b/>
          <w:bCs/>
          <w:color w:val="auto"/>
          <w:sz w:val="32"/>
          <w:szCs w:val="32"/>
          <w:lang w:eastAsia="zh-CN"/>
        </w:rPr>
      </w:pPr>
    </w:p>
    <w:p>
      <w:pPr>
        <w:snapToGrid w:val="0"/>
        <w:ind w:firstLine="3534" w:firstLineChars="1100"/>
        <w:jc w:val="both"/>
        <w:rPr>
          <w:rFonts w:hint="eastAsia" w:ascii="仿宋" w:hAnsi="仿宋" w:eastAsia="仿宋" w:cs="仿宋"/>
          <w:b/>
          <w:bCs/>
          <w:color w:val="auto"/>
          <w:sz w:val="32"/>
          <w:szCs w:val="32"/>
          <w:lang w:eastAsia="zh-CN"/>
        </w:rPr>
      </w:pPr>
    </w:p>
    <w:p>
      <w:pPr>
        <w:snapToGrid w:val="0"/>
        <w:ind w:firstLine="3534" w:firstLineChars="1100"/>
        <w:jc w:val="both"/>
        <w:rPr>
          <w:rFonts w:hint="eastAsia" w:ascii="仿宋" w:hAnsi="仿宋" w:eastAsia="仿宋" w:cs="仿宋"/>
          <w:b/>
          <w:bCs/>
          <w:color w:val="auto"/>
          <w:sz w:val="32"/>
          <w:szCs w:val="32"/>
          <w:lang w:eastAsia="zh-CN"/>
        </w:rPr>
      </w:pPr>
    </w:p>
    <w:p>
      <w:pPr>
        <w:snapToGrid w:val="0"/>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五、分项报价表</w:t>
      </w:r>
    </w:p>
    <w:tbl>
      <w:tblPr>
        <w:tblStyle w:val="32"/>
        <w:tblpPr w:leftFromText="180" w:rightFromText="180" w:vertAnchor="page" w:horzAnchor="page" w:tblpX="1511" w:tblpY="29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2500"/>
        <w:gridCol w:w="20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82" w:type="dxa"/>
            <w:noWrap w:val="0"/>
            <w:vAlign w:val="center"/>
          </w:tcPr>
          <w:p>
            <w:pPr>
              <w:jc w:val="center"/>
              <w:rPr>
                <w:rFonts w:hint="eastAsia" w:ascii="仿宋" w:hAnsi="仿宋" w:eastAsia="仿宋" w:cs="仿宋"/>
                <w:b/>
                <w:bCs/>
                <w:sz w:val="32"/>
                <w:szCs w:val="32"/>
              </w:rPr>
            </w:pPr>
            <w:r>
              <w:rPr>
                <w:rFonts w:hint="eastAsia" w:ascii="仿宋" w:hAnsi="仿宋" w:eastAsia="仿宋" w:cs="仿宋"/>
                <w:b/>
                <w:bCs/>
                <w:sz w:val="32"/>
                <w:szCs w:val="32"/>
              </w:rPr>
              <w:t>类别</w:t>
            </w:r>
          </w:p>
        </w:tc>
        <w:tc>
          <w:tcPr>
            <w:tcW w:w="2500" w:type="dxa"/>
            <w:noWrap w:val="0"/>
            <w:vAlign w:val="center"/>
          </w:tcPr>
          <w:p>
            <w:pPr>
              <w:jc w:val="center"/>
              <w:rPr>
                <w:rFonts w:hint="eastAsia" w:ascii="仿宋" w:hAnsi="仿宋" w:eastAsia="仿宋" w:cs="仿宋"/>
                <w:b/>
                <w:bCs/>
                <w:sz w:val="32"/>
                <w:szCs w:val="32"/>
              </w:rPr>
            </w:pPr>
            <w:r>
              <w:rPr>
                <w:rFonts w:hint="eastAsia" w:ascii="仿宋" w:hAnsi="仿宋" w:eastAsia="仿宋" w:cs="仿宋"/>
                <w:b/>
                <w:bCs/>
                <w:sz w:val="32"/>
                <w:szCs w:val="32"/>
              </w:rPr>
              <w:t>人数</w:t>
            </w:r>
          </w:p>
        </w:tc>
        <w:tc>
          <w:tcPr>
            <w:tcW w:w="2088" w:type="dxa"/>
            <w:noWrap w:val="0"/>
            <w:vAlign w:val="center"/>
          </w:tcPr>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单价</w:t>
            </w:r>
            <w:r>
              <w:rPr>
                <w:rFonts w:hint="eastAsia" w:ascii="仿宋" w:hAnsi="仿宋" w:eastAsia="仿宋" w:cs="仿宋"/>
                <w:b/>
                <w:bCs/>
                <w:sz w:val="32"/>
                <w:szCs w:val="32"/>
                <w:lang w:eastAsia="zh-CN"/>
              </w:rPr>
              <w:t>（元）</w:t>
            </w:r>
          </w:p>
        </w:tc>
        <w:tc>
          <w:tcPr>
            <w:tcW w:w="2387" w:type="dxa"/>
            <w:noWrap w:val="0"/>
            <w:vAlign w:val="center"/>
          </w:tcPr>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总价</w:t>
            </w:r>
            <w:r>
              <w:rPr>
                <w:rFonts w:hint="eastAsia" w:ascii="仿宋" w:hAnsi="仿宋" w:eastAsia="仿宋" w:cs="仿宋"/>
                <w:b/>
                <w:bCs/>
                <w:sz w:val="32"/>
                <w:szCs w:val="32"/>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4" w:hRule="atLeast"/>
        </w:trPr>
        <w:tc>
          <w:tcPr>
            <w:tcW w:w="2382"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普通保安员</w:t>
            </w:r>
          </w:p>
        </w:tc>
        <w:tc>
          <w:tcPr>
            <w:tcW w:w="2500"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32</w:t>
            </w:r>
          </w:p>
        </w:tc>
        <w:tc>
          <w:tcPr>
            <w:tcW w:w="2088" w:type="dxa"/>
            <w:noWrap w:val="0"/>
            <w:vAlign w:val="center"/>
          </w:tcPr>
          <w:p>
            <w:pPr>
              <w:jc w:val="center"/>
              <w:rPr>
                <w:rFonts w:hint="eastAsia" w:ascii="仿宋" w:hAnsi="仿宋" w:eastAsia="仿宋" w:cs="仿宋"/>
                <w:sz w:val="32"/>
                <w:szCs w:val="32"/>
              </w:rPr>
            </w:pPr>
          </w:p>
        </w:tc>
        <w:tc>
          <w:tcPr>
            <w:tcW w:w="2387" w:type="dxa"/>
            <w:noWrap w:val="0"/>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2" w:hRule="atLeast"/>
        </w:trPr>
        <w:tc>
          <w:tcPr>
            <w:tcW w:w="2382"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巡逻/机动</w:t>
            </w:r>
          </w:p>
        </w:tc>
        <w:tc>
          <w:tcPr>
            <w:tcW w:w="2500"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9</w:t>
            </w:r>
          </w:p>
        </w:tc>
        <w:tc>
          <w:tcPr>
            <w:tcW w:w="2088" w:type="dxa"/>
            <w:noWrap w:val="0"/>
            <w:vAlign w:val="center"/>
          </w:tcPr>
          <w:p>
            <w:pPr>
              <w:jc w:val="center"/>
              <w:rPr>
                <w:rFonts w:hint="eastAsia" w:ascii="仿宋" w:hAnsi="仿宋" w:eastAsia="仿宋" w:cs="仿宋"/>
                <w:sz w:val="32"/>
                <w:szCs w:val="32"/>
              </w:rPr>
            </w:pPr>
          </w:p>
        </w:tc>
        <w:tc>
          <w:tcPr>
            <w:tcW w:w="2387" w:type="dxa"/>
            <w:noWrap w:val="0"/>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76" w:hRule="atLeast"/>
        </w:trPr>
        <w:tc>
          <w:tcPr>
            <w:tcW w:w="2382"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消控</w:t>
            </w:r>
          </w:p>
        </w:tc>
        <w:tc>
          <w:tcPr>
            <w:tcW w:w="2500"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3</w:t>
            </w:r>
          </w:p>
        </w:tc>
        <w:tc>
          <w:tcPr>
            <w:tcW w:w="2088" w:type="dxa"/>
            <w:noWrap w:val="0"/>
            <w:vAlign w:val="center"/>
          </w:tcPr>
          <w:p>
            <w:pPr>
              <w:jc w:val="center"/>
              <w:rPr>
                <w:rFonts w:hint="eastAsia" w:ascii="仿宋" w:hAnsi="仿宋" w:eastAsia="仿宋" w:cs="仿宋"/>
                <w:sz w:val="32"/>
                <w:szCs w:val="32"/>
              </w:rPr>
            </w:pPr>
          </w:p>
        </w:tc>
        <w:tc>
          <w:tcPr>
            <w:tcW w:w="2387" w:type="dxa"/>
            <w:noWrap w:val="0"/>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80" w:hRule="atLeast"/>
        </w:trPr>
        <w:tc>
          <w:tcPr>
            <w:tcW w:w="2382"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主管</w:t>
            </w:r>
          </w:p>
        </w:tc>
        <w:tc>
          <w:tcPr>
            <w:tcW w:w="2500"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2088" w:type="dxa"/>
            <w:noWrap w:val="0"/>
            <w:vAlign w:val="center"/>
          </w:tcPr>
          <w:p>
            <w:pPr>
              <w:jc w:val="center"/>
              <w:rPr>
                <w:rFonts w:hint="eastAsia" w:ascii="仿宋" w:hAnsi="仿宋" w:eastAsia="仿宋" w:cs="仿宋"/>
                <w:sz w:val="32"/>
                <w:szCs w:val="32"/>
              </w:rPr>
            </w:pPr>
          </w:p>
        </w:tc>
        <w:tc>
          <w:tcPr>
            <w:tcW w:w="2387" w:type="dxa"/>
            <w:noWrap w:val="0"/>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55" w:hRule="atLeast"/>
        </w:trPr>
        <w:tc>
          <w:tcPr>
            <w:tcW w:w="2382"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合计</w:t>
            </w:r>
          </w:p>
        </w:tc>
        <w:tc>
          <w:tcPr>
            <w:tcW w:w="2500"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45</w:t>
            </w:r>
          </w:p>
        </w:tc>
        <w:tc>
          <w:tcPr>
            <w:tcW w:w="2088" w:type="dxa"/>
            <w:noWrap w:val="0"/>
            <w:vAlign w:val="center"/>
          </w:tcPr>
          <w:p>
            <w:pPr>
              <w:jc w:val="center"/>
              <w:rPr>
                <w:rFonts w:hint="eastAsia" w:ascii="仿宋" w:hAnsi="仿宋" w:eastAsia="仿宋" w:cs="仿宋"/>
                <w:sz w:val="32"/>
                <w:szCs w:val="32"/>
              </w:rPr>
            </w:pPr>
          </w:p>
        </w:tc>
        <w:tc>
          <w:tcPr>
            <w:tcW w:w="2387" w:type="dxa"/>
            <w:noWrap w:val="0"/>
            <w:vAlign w:val="center"/>
          </w:tcPr>
          <w:p>
            <w:pPr>
              <w:jc w:val="center"/>
              <w:rPr>
                <w:rFonts w:hint="eastAsia" w:ascii="仿宋" w:hAnsi="仿宋" w:eastAsia="仿宋" w:cs="仿宋"/>
                <w:sz w:val="32"/>
                <w:szCs w:val="32"/>
              </w:rPr>
            </w:pPr>
          </w:p>
        </w:tc>
      </w:tr>
    </w:tbl>
    <w:p>
      <w:pPr>
        <w:snapToGrid w:val="0"/>
        <w:jc w:val="center"/>
        <w:rPr>
          <w:rFonts w:hint="eastAsia" w:ascii="仿宋" w:hAnsi="仿宋" w:eastAsia="仿宋" w:cs="仿宋"/>
          <w:b/>
          <w:bCs/>
          <w:color w:val="auto"/>
          <w:sz w:val="30"/>
          <w:szCs w:val="30"/>
        </w:rPr>
      </w:pPr>
      <w:r>
        <w:rPr>
          <w:rFonts w:hint="eastAsia" w:ascii="仿宋" w:hAnsi="仿宋" w:eastAsia="仿宋" w:cs="仿宋"/>
          <w:b/>
          <w:bCs/>
          <w:color w:val="auto"/>
          <w:sz w:val="32"/>
          <w:szCs w:val="32"/>
        </w:rPr>
        <w:br w:type="page"/>
      </w:r>
      <w:r>
        <w:rPr>
          <w:rFonts w:hint="eastAsia" w:ascii="仿宋" w:hAnsi="仿宋" w:eastAsia="仿宋" w:cs="仿宋"/>
          <w:b/>
          <w:bCs/>
          <w:color w:val="auto"/>
          <w:sz w:val="28"/>
          <w:szCs w:val="28"/>
          <w:lang w:eastAsia="zh-CN"/>
        </w:rPr>
        <w:t>六</w:t>
      </w:r>
      <w:r>
        <w:rPr>
          <w:rFonts w:hint="eastAsia" w:ascii="仿宋" w:hAnsi="仿宋" w:eastAsia="仿宋" w:cs="仿宋"/>
          <w:b/>
          <w:bCs/>
          <w:color w:val="auto"/>
          <w:sz w:val="28"/>
          <w:szCs w:val="28"/>
        </w:rPr>
        <w:t>、</w:t>
      </w:r>
      <w:bookmarkEnd w:id="13"/>
      <w:bookmarkEnd w:id="14"/>
      <w:r>
        <w:rPr>
          <w:rFonts w:hint="eastAsia" w:ascii="仿宋" w:hAnsi="仿宋" w:eastAsia="仿宋" w:cs="仿宋"/>
          <w:b/>
          <w:bCs/>
          <w:color w:val="auto"/>
          <w:sz w:val="30"/>
          <w:szCs w:val="30"/>
        </w:rPr>
        <w:t>投标承诺书（格式）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项目（项目编号：）招标文件，现参加该项目投标，并就有关事项作出如下承诺：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（1）已报名但无故放弃投标(开标前已有书面说明并证实的除外)一年内累计3次以上的；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（2）在招标采购过程中，与采购人进行协商谈判的；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（3）投标有效期内撤回其投标文件的；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（4）拒绝有关部门监督检查或提供虚假情况的；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（5）不积极配合采购人做好标的验收工作的；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（6）在有关部门的监督检查或考核中被通报批评或处以警告及以上处罚的；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（7）不遵守投标会场纪律，无理取闹，扰乱交易秩序的；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（8）中标后无正当理由放弃中标，或不与采购人签订政府采购合同，或在签订合同时提出附加条件或更改合同实质性内容，或拒不提交所要求的履约保证金的；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（9）虚假投诉、恶意投诉或未按层级和相关程序逐级质疑、投诉而影响采购工作正常进行或造成不良影响的；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（10）不按照与采购人订立的合同履行义务（包括提供标的、售后服务、技术支持等），严重违反合同规定和廉政合同要求的；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（11）项目负责人不到位，或擅自变换项目负责人，或不认真履行职责造成采购人损失的；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（12）发生经营状况重大变化以及重要担保、重大合同纠纷或诉讼、信用等级和资质变化等可能影响履约能力的重大事项，未及时向采购人提供书面报告，因而造成采购人损失的；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（13）与采购人、其他供应商或者采购代理机构相互串通的；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（14）采取不正当手段排挤其他供应商，进行不公平竞争的；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（15）中标后与采购人另行订立背离合同实质内容的协议的；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（16）事先有承诺，而事后违反承诺内容的；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（17）将中标项目转包或违反规定进行分包的；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（18）以他人名义投标或允许他人以自己名义投标，或者以其他方式弄虚作假的；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（19）为获取自身利益，向采购人及其他有利害关系的单位或个人提供不正当利益的；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（20）擅自变更、中止、终止或解除政府采购合同的；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（21）向有关人员行贿或者提供不正当利益谋取中标的；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（22）在政府采购活动期间，对管理机构、采购人、其他投标人、评标专家、中介机构等政府采购相关机构和人员，采取诋毁、诽谤、胁迫、暴力等不正当手段的；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1、质疑人须为投标人和其他利害关系人；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2、投诉时，应当递交质疑书，质疑书应当包括下列内容：</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（6）质疑人是法人的，质疑书必须由其法定代表人或者授权代表签字并加盖章；其他组织或者个人质疑的，质疑书必须由其主要负责人或者质疑人本人签字，并附有效身份证明复印件。</w:t>
      </w:r>
    </w:p>
    <w:p>
      <w:pPr>
        <w:spacing w:line="420" w:lineRule="exact"/>
        <w:ind w:firstLine="964" w:firstLineChars="400"/>
        <w:rPr>
          <w:rFonts w:hint="eastAsia" w:ascii="仿宋" w:hAnsi="仿宋" w:eastAsia="仿宋" w:cs="仿宋"/>
          <w:b/>
          <w:color w:val="auto"/>
          <w:sz w:val="24"/>
          <w:szCs w:val="24"/>
        </w:rPr>
      </w:pPr>
    </w:p>
    <w:p>
      <w:pPr>
        <w:spacing w:line="420" w:lineRule="exact"/>
        <w:ind w:firstLine="960" w:firstLineChars="400"/>
        <w:rPr>
          <w:rFonts w:hint="eastAsia" w:ascii="仿宋" w:hAnsi="仿宋" w:eastAsia="仿宋" w:cs="仿宋"/>
          <w:color w:val="auto"/>
          <w:sz w:val="24"/>
          <w:szCs w:val="24"/>
        </w:rPr>
      </w:pPr>
    </w:p>
    <w:p>
      <w:pPr>
        <w:spacing w:line="420" w:lineRule="exact"/>
        <w:ind w:firstLine="960" w:firstLineChars="400"/>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pPr>
        <w:pStyle w:val="2"/>
        <w:spacing w:before="0" w:after="0" w:line="420" w:lineRule="exact"/>
        <w:rPr>
          <w:rFonts w:hint="eastAsia" w:ascii="仿宋" w:hAnsi="仿宋" w:eastAsia="仿宋" w:cs="仿宋"/>
          <w:b w:val="0"/>
          <w:sz w:val="24"/>
          <w:szCs w:val="24"/>
        </w:rPr>
      </w:pPr>
    </w:p>
    <w:p>
      <w:pPr>
        <w:rPr>
          <w:rFonts w:hint="eastAsia" w:ascii="仿宋" w:hAnsi="仿宋" w:eastAsia="仿宋" w:cs="仿宋"/>
          <w:color w:val="auto"/>
          <w:sz w:val="44"/>
          <w:szCs w:val="44"/>
        </w:rPr>
      </w:pPr>
    </w:p>
    <w:p>
      <w:pPr>
        <w:spacing w:line="312" w:lineRule="auto"/>
        <w:rPr>
          <w:rFonts w:hint="eastAsia" w:ascii="仿宋" w:hAnsi="仿宋" w:eastAsia="仿宋" w:cs="仿宋"/>
          <w:color w:val="auto"/>
        </w:rPr>
      </w:pPr>
    </w:p>
    <w:p>
      <w:pPr>
        <w:snapToGrid w:val="0"/>
        <w:spacing w:before="50" w:after="50" w:line="312"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0"/>
          <w:szCs w:val="30"/>
          <w:lang w:eastAsia="zh-CN"/>
        </w:rPr>
        <w:t>七</w:t>
      </w:r>
      <w:r>
        <w:rPr>
          <w:rFonts w:hint="eastAsia" w:ascii="仿宋" w:hAnsi="仿宋" w:eastAsia="仿宋" w:cs="仿宋"/>
          <w:b/>
          <w:color w:val="auto"/>
          <w:sz w:val="30"/>
          <w:szCs w:val="30"/>
        </w:rPr>
        <w:t>、</w:t>
      </w:r>
      <w:r>
        <w:rPr>
          <w:rFonts w:hint="eastAsia" w:ascii="仿宋" w:hAnsi="仿宋" w:eastAsia="仿宋" w:cs="仿宋"/>
          <w:b/>
          <w:color w:val="auto"/>
          <w:sz w:val="30"/>
          <w:szCs w:val="30"/>
        </w:rPr>
        <w:t>小微企业声明函</w:t>
      </w:r>
    </w:p>
    <w:p>
      <w:pPr>
        <w:jc w:val="center"/>
        <w:rPr>
          <w:rFonts w:hint="eastAsia" w:ascii="仿宋" w:hAnsi="仿宋" w:eastAsia="仿宋" w:cs="仿宋"/>
          <w:b/>
          <w:color w:val="auto"/>
          <w:sz w:val="24"/>
          <w:szCs w:val="24"/>
        </w:rPr>
      </w:pPr>
    </w:p>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1、中小企业声明函（货物）</w:t>
      </w:r>
    </w:p>
    <w:p>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（财库﹝2021﹞46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420" w:lineRule="exact"/>
        <w:ind w:right="420" w:firstLine="5880" w:firstLineChars="2450"/>
        <w:jc w:val="left"/>
        <w:rPr>
          <w:rFonts w:hint="eastAsia" w:ascii="仿宋" w:hAnsi="仿宋" w:eastAsia="仿宋" w:cs="仿宋"/>
          <w:color w:val="auto"/>
          <w:sz w:val="24"/>
          <w:szCs w:val="24"/>
        </w:rPr>
      </w:pPr>
    </w:p>
    <w:p>
      <w:pPr>
        <w:spacing w:line="420" w:lineRule="exact"/>
        <w:ind w:right="420" w:firstLine="5880" w:firstLineChars="2450"/>
        <w:rPr>
          <w:rFonts w:hint="eastAsia" w:ascii="仿宋" w:hAnsi="仿宋" w:eastAsia="仿宋" w:cs="仿宋"/>
          <w:color w:val="auto"/>
          <w:sz w:val="24"/>
          <w:szCs w:val="24"/>
        </w:rPr>
      </w:pPr>
      <w:r>
        <w:rPr>
          <w:rFonts w:hint="eastAsia" w:ascii="仿宋" w:hAnsi="仿宋" w:eastAsia="仿宋" w:cs="仿宋"/>
          <w:color w:val="auto"/>
          <w:sz w:val="24"/>
          <w:szCs w:val="24"/>
        </w:rPr>
        <w:t xml:space="preserve">企业名称（盖章）： </w:t>
      </w:r>
    </w:p>
    <w:p>
      <w:pPr>
        <w:spacing w:line="420" w:lineRule="exact"/>
        <w:ind w:right="420" w:firstLine="5520" w:firstLineChars="2300"/>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spacing w:line="420" w:lineRule="exact"/>
        <w:jc w:val="center"/>
        <w:rPr>
          <w:rFonts w:hint="eastAsia" w:ascii="仿宋" w:hAnsi="仿宋" w:eastAsia="仿宋" w:cs="仿宋"/>
          <w:b/>
          <w:color w:val="auto"/>
          <w:sz w:val="24"/>
          <w:szCs w:val="24"/>
        </w:rPr>
      </w:pPr>
    </w:p>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2、中小企业声明函（工程、服务）</w:t>
      </w:r>
    </w:p>
    <w:p>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（财库﹝2021﹞46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420" w:lineRule="exact"/>
        <w:ind w:right="420" w:firstLine="5880" w:firstLineChars="2450"/>
        <w:jc w:val="left"/>
        <w:rPr>
          <w:rFonts w:hint="eastAsia" w:ascii="仿宋" w:hAnsi="仿宋" w:eastAsia="仿宋" w:cs="仿宋"/>
          <w:color w:val="auto"/>
          <w:sz w:val="24"/>
          <w:szCs w:val="24"/>
        </w:rPr>
      </w:pPr>
    </w:p>
    <w:p>
      <w:pPr>
        <w:spacing w:line="420" w:lineRule="exact"/>
        <w:ind w:right="420" w:firstLine="5880" w:firstLineChars="2450"/>
        <w:rPr>
          <w:rFonts w:hint="eastAsia" w:ascii="仿宋" w:hAnsi="仿宋" w:eastAsia="仿宋" w:cs="仿宋"/>
          <w:color w:val="auto"/>
          <w:sz w:val="24"/>
          <w:szCs w:val="24"/>
        </w:rPr>
      </w:pPr>
      <w:r>
        <w:rPr>
          <w:rFonts w:hint="eastAsia" w:ascii="仿宋" w:hAnsi="仿宋" w:eastAsia="仿宋" w:cs="仿宋"/>
          <w:color w:val="auto"/>
          <w:sz w:val="24"/>
          <w:szCs w:val="24"/>
        </w:rPr>
        <w:t xml:space="preserve">企业名称（盖章）： </w:t>
      </w:r>
    </w:p>
    <w:p>
      <w:pPr>
        <w:spacing w:line="420" w:lineRule="exact"/>
        <w:ind w:right="420" w:firstLine="5520" w:firstLineChars="2300"/>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spacing w:line="312" w:lineRule="auto"/>
        <w:jc w:val="center"/>
        <w:rPr>
          <w:rFonts w:hint="eastAsia" w:ascii="仿宋" w:hAnsi="仿宋" w:eastAsia="仿宋" w:cs="仿宋"/>
          <w:b/>
          <w:color w:val="auto"/>
          <w:sz w:val="30"/>
          <w:szCs w:val="30"/>
        </w:rPr>
      </w:pPr>
      <w:r>
        <w:rPr>
          <w:rFonts w:hint="eastAsia" w:ascii="仿宋" w:hAnsi="仿宋" w:eastAsia="仿宋" w:cs="仿宋"/>
          <w:color w:val="auto"/>
          <w:sz w:val="30"/>
          <w:szCs w:val="30"/>
        </w:rPr>
        <w:br w:type="page"/>
      </w:r>
      <w:r>
        <w:rPr>
          <w:rFonts w:hint="eastAsia" w:ascii="仿宋" w:hAnsi="仿宋" w:eastAsia="仿宋" w:cs="仿宋"/>
          <w:b/>
          <w:color w:val="auto"/>
          <w:sz w:val="30"/>
          <w:szCs w:val="30"/>
          <w:lang w:eastAsia="zh-CN"/>
        </w:rPr>
        <w:t>八</w:t>
      </w:r>
      <w:r>
        <w:rPr>
          <w:rFonts w:hint="eastAsia" w:ascii="仿宋" w:hAnsi="仿宋" w:eastAsia="仿宋" w:cs="仿宋"/>
          <w:b/>
          <w:color w:val="auto"/>
          <w:sz w:val="30"/>
          <w:szCs w:val="30"/>
        </w:rPr>
        <w:t>、</w:t>
      </w:r>
      <w:r>
        <w:rPr>
          <w:rFonts w:hint="eastAsia" w:ascii="仿宋" w:hAnsi="仿宋" w:eastAsia="仿宋" w:cs="仿宋"/>
          <w:b/>
          <w:color w:val="auto"/>
          <w:sz w:val="30"/>
          <w:szCs w:val="30"/>
        </w:rPr>
        <w:t>残疾人福利性单位声明函</w:t>
      </w:r>
    </w:p>
    <w:p>
      <w:pPr>
        <w:snapToGrid w:val="0"/>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napToGrid w:val="0"/>
        <w:spacing w:line="420" w:lineRule="exact"/>
        <w:ind w:firstLine="504" w:firstLineChars="200"/>
        <w:jc w:val="right"/>
        <w:rPr>
          <w:rFonts w:hint="eastAsia" w:ascii="仿宋" w:hAnsi="仿宋" w:eastAsia="仿宋" w:cs="仿宋"/>
          <w:color w:val="auto"/>
          <w:sz w:val="24"/>
          <w:szCs w:val="24"/>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单位名称（盖章）：</w:t>
      </w:r>
    </w:p>
    <w:p>
      <w:pPr>
        <w:snapToGrid w:val="0"/>
        <w:spacing w:line="42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日  期：</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注：</w:t>
      </w:r>
      <w:r>
        <w:rPr>
          <w:rFonts w:hint="eastAsia" w:ascii="仿宋" w:hAnsi="仿宋" w:eastAsia="仿宋" w:cs="仿宋"/>
          <w:b/>
          <w:color w:val="auto"/>
          <w:sz w:val="24"/>
          <w:szCs w:val="24"/>
        </w:rPr>
        <w:t>１、残疾人福利性单位视同小型、微型企业，享受价格扣除。</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２、残疾人福利性单位属于小型、微型企业的，不重复享受政策。</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３、如中标人声明为残疾人福利性单位，本声明函将随中标结果同时公告，接受社会监督。</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4、享受政府采购支持政策的残疾人福利性单位应当同时满足以下条件：</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（一）安置的残疾人占本单位在职职工人数的比例不低于25%（含25%），并且安置的残疾人人数不少于10人（含10人）；</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（二）依法与安置的每位残疾人签订了一年以上（含一年）的劳动合同或服务协议；</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（三）为安置的每位残疾人按月足额缴纳了基本养老保险、基本医疗保险、失业保险、工伤保险和生育保险等社会保险费；</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（四）通过银行等金融机构向安置的每位残疾人，按月支付了不低于单位所在区县适用的经省级人民政府批准的月最低工资标准的工资；</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（五）提供本单位制造的货物、承担的工程或者服务（以下简称产品），或者提供其他残疾人福利性单位制造的货物（不包括使用非残疾人福利性单位注册商标的货物）。</w:t>
      </w: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spacing w:line="312" w:lineRule="auto"/>
        <w:rPr>
          <w:rFonts w:hint="eastAsia" w:ascii="仿宋" w:hAnsi="仿宋" w:eastAsia="仿宋" w:cs="仿宋"/>
          <w:color w:val="auto"/>
        </w:rPr>
      </w:pPr>
    </w:p>
    <w:p>
      <w:pPr>
        <w:pStyle w:val="16"/>
        <w:ind w:firstLine="240"/>
        <w:rPr>
          <w:rFonts w:hint="eastAsia" w:ascii="仿宋" w:hAnsi="仿宋" w:eastAsia="仿宋"/>
          <w:sz w:val="24"/>
          <w:szCs w:val="24"/>
        </w:rPr>
      </w:pPr>
    </w:p>
    <w:p>
      <w:pPr>
        <w:pStyle w:val="16"/>
        <w:ind w:firstLine="240"/>
        <w:rPr>
          <w:rFonts w:hint="eastAsia" w:ascii="仿宋" w:hAnsi="仿宋" w:eastAsia="仿宋"/>
          <w:sz w:val="24"/>
          <w:szCs w:val="24"/>
        </w:rPr>
      </w:pPr>
    </w:p>
    <w:p>
      <w:pPr>
        <w:pStyle w:val="16"/>
        <w:ind w:firstLine="240"/>
        <w:rPr>
          <w:rFonts w:hint="eastAsia" w:ascii="仿宋" w:hAnsi="仿宋" w:eastAsia="仿宋"/>
          <w:sz w:val="24"/>
          <w:szCs w:val="24"/>
        </w:rPr>
      </w:pPr>
    </w:p>
    <w:p>
      <w:pPr>
        <w:pStyle w:val="16"/>
        <w:ind w:firstLine="240"/>
        <w:rPr>
          <w:rFonts w:hint="eastAsia" w:ascii="仿宋" w:hAnsi="仿宋" w:eastAsia="仿宋"/>
          <w:sz w:val="24"/>
          <w:szCs w:val="24"/>
        </w:rPr>
      </w:pPr>
    </w:p>
    <w:p>
      <w:pPr>
        <w:pStyle w:val="16"/>
        <w:ind w:firstLine="240"/>
        <w:rPr>
          <w:rFonts w:hint="eastAsia" w:ascii="仿宋" w:hAnsi="仿宋" w:eastAsia="仿宋"/>
          <w:sz w:val="24"/>
          <w:szCs w:val="24"/>
        </w:rPr>
      </w:pPr>
    </w:p>
    <w:p>
      <w:pPr>
        <w:pStyle w:val="16"/>
        <w:ind w:firstLine="240"/>
        <w:rPr>
          <w:rFonts w:hint="eastAsia" w:ascii="仿宋" w:hAnsi="仿宋" w:eastAsia="仿宋"/>
          <w:sz w:val="24"/>
          <w:szCs w:val="24"/>
        </w:rPr>
      </w:pPr>
    </w:p>
    <w:p>
      <w:pPr>
        <w:pStyle w:val="16"/>
        <w:ind w:firstLine="240"/>
        <w:rPr>
          <w:rFonts w:hint="eastAsia" w:ascii="仿宋" w:hAnsi="仿宋" w:eastAsia="仿宋"/>
          <w:sz w:val="24"/>
          <w:szCs w:val="24"/>
        </w:rPr>
      </w:pPr>
    </w:p>
    <w:p>
      <w:pPr>
        <w:pStyle w:val="16"/>
        <w:ind w:firstLine="240"/>
        <w:rPr>
          <w:rFonts w:hint="eastAsia" w:ascii="仿宋" w:hAnsi="仿宋" w:eastAsia="仿宋"/>
          <w:sz w:val="24"/>
          <w:szCs w:val="24"/>
        </w:rPr>
      </w:pPr>
    </w:p>
    <w:p>
      <w:pPr>
        <w:pStyle w:val="16"/>
        <w:ind w:firstLine="240"/>
        <w:rPr>
          <w:rFonts w:ascii="仿宋" w:hAnsi="仿宋" w:eastAsia="仿宋"/>
          <w:b/>
          <w:bCs/>
          <w:sz w:val="22"/>
          <w:szCs w:val="28"/>
        </w:rPr>
      </w:pPr>
      <w:r>
        <w:rPr>
          <w:rFonts w:hint="eastAsia" w:ascii="仿宋" w:hAnsi="仿宋" w:eastAsia="仿宋"/>
          <w:b/>
          <w:bCs/>
          <w:sz w:val="28"/>
          <w:szCs w:val="28"/>
        </w:rPr>
        <w:t>附件一：</w:t>
      </w:r>
    </w:p>
    <w:p>
      <w:pPr>
        <w:spacing w:beforeLines="50"/>
        <w:jc w:val="center"/>
        <w:rPr>
          <w:rFonts w:ascii="宋体" w:hAnsi="宋体" w:cs="华文中宋"/>
          <w:b/>
          <w:sz w:val="36"/>
          <w:szCs w:val="36"/>
        </w:rPr>
      </w:pPr>
      <w:r>
        <w:rPr>
          <w:rFonts w:hint="eastAsia" w:ascii="宋体" w:hAnsi="宋体" w:cs="华文中宋"/>
          <w:b/>
          <w:kern w:val="2"/>
          <w:sz w:val="36"/>
          <w:szCs w:val="36"/>
        </w:rPr>
        <w:t>武义县第一人民医院安保服务现场考核表</w:t>
      </w:r>
    </w:p>
    <w:tbl>
      <w:tblPr>
        <w:tblStyle w:val="31"/>
        <w:tblW w:w="99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3376"/>
        <w:gridCol w:w="1500"/>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28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
                <w:kern w:val="2"/>
                <w:sz w:val="24"/>
                <w:szCs w:val="24"/>
              </w:rPr>
            </w:pPr>
            <w:r>
              <w:rPr>
                <w:rFonts w:hint="eastAsia" w:ascii="宋体" w:hAnsi="宋体" w:cs="仿宋"/>
                <w:b/>
                <w:kern w:val="2"/>
                <w:sz w:val="24"/>
                <w:szCs w:val="24"/>
              </w:rPr>
              <w:t>考核项目</w:t>
            </w:r>
          </w:p>
        </w:tc>
        <w:tc>
          <w:tcPr>
            <w:tcW w:w="3376"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仿宋"/>
                <w:kern w:val="2"/>
                <w:sz w:val="24"/>
                <w:szCs w:val="24"/>
              </w:rPr>
            </w:pPr>
            <w:r>
              <w:rPr>
                <w:rFonts w:hint="eastAsia" w:ascii="宋体" w:hAnsi="宋体" w:cs="仿宋"/>
                <w:b/>
                <w:kern w:val="2"/>
                <w:sz w:val="24"/>
                <w:szCs w:val="24"/>
              </w:rPr>
              <w:t>考核内容</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仿宋"/>
                <w:b/>
                <w:kern w:val="2"/>
                <w:sz w:val="24"/>
                <w:szCs w:val="24"/>
              </w:rPr>
            </w:pPr>
            <w:r>
              <w:rPr>
                <w:rFonts w:hint="eastAsia" w:ascii="宋体" w:hAnsi="宋体" w:cs="仿宋"/>
                <w:b/>
                <w:kern w:val="2"/>
                <w:sz w:val="24"/>
                <w:szCs w:val="24"/>
              </w:rPr>
              <w:t>扣分值</w:t>
            </w:r>
          </w:p>
        </w:tc>
        <w:tc>
          <w:tcPr>
            <w:tcW w:w="2263"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仿宋"/>
                <w:b/>
                <w:kern w:val="2"/>
                <w:sz w:val="24"/>
                <w:szCs w:val="24"/>
              </w:rPr>
            </w:pPr>
            <w:r>
              <w:rPr>
                <w:rFonts w:hint="eastAsia" w:ascii="宋体" w:hAnsi="宋体" w:cs="仿宋"/>
                <w:b/>
                <w:kern w:val="2"/>
                <w:sz w:val="24"/>
                <w:szCs w:val="24"/>
              </w:rPr>
              <w:t>考核情况反馈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2836" w:type="dxa"/>
            <w:vMerge w:val="restart"/>
            <w:tcBorders>
              <w:top w:val="nil"/>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岗位职责与工作纪律</w:t>
            </w:r>
          </w:p>
          <w:p>
            <w:pPr>
              <w:jc w:val="left"/>
              <w:rPr>
                <w:rFonts w:ascii="仿宋" w:hAnsi="仿宋" w:eastAsia="仿宋"/>
                <w:kern w:val="2"/>
              </w:rPr>
            </w:pPr>
            <w:r>
              <w:rPr>
                <w:rFonts w:hint="eastAsia" w:ascii="仿宋" w:hAnsi="仿宋" w:eastAsia="仿宋"/>
                <w:kern w:val="2"/>
                <w:sz w:val="24"/>
                <w:szCs w:val="24"/>
              </w:rPr>
              <w:t>工作人员必须遵守工作纪律，执行岗位职责。违反工作纪律的做出相应扣罚</w:t>
            </w: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1.岗位职责未执行到位</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2分/人次</w:t>
            </w:r>
          </w:p>
        </w:tc>
        <w:tc>
          <w:tcPr>
            <w:tcW w:w="2263" w:type="dxa"/>
            <w:vMerge w:val="restart"/>
            <w:tcBorders>
              <w:top w:val="nil"/>
              <w:left w:val="nil"/>
              <w:bottom w:val="single" w:color="000000" w:sz="4" w:space="0"/>
              <w:right w:val="single" w:color="000000" w:sz="4" w:space="0"/>
            </w:tcBorders>
            <w:noWrap w:val="0"/>
            <w:vAlign w:val="top"/>
          </w:tcPr>
          <w:p>
            <w:pPr>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2836"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2.迟到半小时以内</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2分/人次</w:t>
            </w:r>
          </w:p>
        </w:tc>
        <w:tc>
          <w:tcPr>
            <w:tcW w:w="2263"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836"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c>
          <w:tcPr>
            <w:tcW w:w="3376" w:type="dxa"/>
            <w:tcBorders>
              <w:top w:val="single" w:color="000000" w:sz="4" w:space="0"/>
              <w:left w:val="nil"/>
              <w:bottom w:val="single" w:color="000000" w:sz="4" w:space="0"/>
              <w:right w:val="single" w:color="000000" w:sz="4" w:space="0"/>
            </w:tcBorders>
            <w:noWrap w:val="0"/>
            <w:vAlign w:val="center"/>
          </w:tcPr>
          <w:p>
            <w:pPr>
              <w:spacing w:line="480" w:lineRule="auto"/>
              <w:jc w:val="left"/>
              <w:rPr>
                <w:rFonts w:ascii="仿宋" w:hAnsi="仿宋" w:eastAsia="仿宋"/>
                <w:kern w:val="2"/>
                <w:sz w:val="24"/>
                <w:szCs w:val="24"/>
              </w:rPr>
            </w:pPr>
            <w:r>
              <w:rPr>
                <w:rFonts w:hint="eastAsia" w:ascii="仿宋" w:hAnsi="仿宋" w:eastAsia="仿宋"/>
                <w:kern w:val="2"/>
                <w:sz w:val="24"/>
                <w:szCs w:val="24"/>
              </w:rPr>
              <w:t>3.迟到半小时以上</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4分/人次</w:t>
            </w:r>
          </w:p>
        </w:tc>
        <w:tc>
          <w:tcPr>
            <w:tcW w:w="2263"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836"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4.在岗期间玩手机</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1分/人次</w:t>
            </w:r>
          </w:p>
        </w:tc>
        <w:tc>
          <w:tcPr>
            <w:tcW w:w="2263"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2836"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5.工作中擅自离岗</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3分/人次</w:t>
            </w:r>
          </w:p>
        </w:tc>
        <w:tc>
          <w:tcPr>
            <w:tcW w:w="2263"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2836"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6.工作时间睡觉或干私事</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2分/人次</w:t>
            </w:r>
          </w:p>
        </w:tc>
        <w:tc>
          <w:tcPr>
            <w:tcW w:w="2263"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2836" w:type="dxa"/>
            <w:vMerge w:val="restart"/>
            <w:tcBorders>
              <w:top w:val="nil"/>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工作记录与规范</w:t>
            </w:r>
          </w:p>
          <w:p>
            <w:pPr>
              <w:jc w:val="left"/>
              <w:rPr>
                <w:rFonts w:ascii="仿宋" w:hAnsi="仿宋" w:eastAsia="仿宋"/>
                <w:b/>
                <w:kern w:val="2"/>
              </w:rPr>
            </w:pPr>
            <w:r>
              <w:rPr>
                <w:rFonts w:hint="eastAsia" w:ascii="仿宋" w:hAnsi="仿宋" w:eastAsia="仿宋"/>
                <w:kern w:val="2"/>
                <w:sz w:val="24"/>
                <w:szCs w:val="24"/>
              </w:rPr>
              <w:t>各班次做好工作记录，治安巡查、防火巡查、消防设施查签</w:t>
            </w:r>
            <w:r>
              <w:rPr>
                <w:rFonts w:hint="eastAsia" w:ascii="仿宋" w:hAnsi="仿宋" w:eastAsia="仿宋"/>
                <w:kern w:val="2"/>
              </w:rPr>
              <w:t>。</w:t>
            </w: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1.应急处置岗未按规定巡查。</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4分/人次</w:t>
            </w:r>
          </w:p>
        </w:tc>
        <w:tc>
          <w:tcPr>
            <w:tcW w:w="2263" w:type="dxa"/>
            <w:vMerge w:val="restart"/>
            <w:tcBorders>
              <w:top w:val="nil"/>
              <w:left w:val="nil"/>
              <w:bottom w:val="single" w:color="000000" w:sz="4" w:space="0"/>
              <w:right w:val="single" w:color="000000" w:sz="4" w:space="0"/>
            </w:tcBorders>
            <w:noWrap w:val="0"/>
            <w:vAlign w:val="top"/>
          </w:tcPr>
          <w:p>
            <w:pPr>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2836"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b/>
                <w:kern w:val="2"/>
              </w:rPr>
            </w:pP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2.有巡查未记录.</w:t>
            </w:r>
          </w:p>
        </w:tc>
        <w:tc>
          <w:tcPr>
            <w:tcW w:w="1500" w:type="dxa"/>
            <w:tcBorders>
              <w:top w:val="single" w:color="000000" w:sz="4" w:space="0"/>
              <w:left w:val="nil"/>
              <w:bottom w:val="single" w:color="000000" w:sz="4" w:space="0"/>
              <w:right w:val="single" w:color="000000" w:sz="4" w:space="0"/>
            </w:tcBorders>
            <w:noWrap w:val="0"/>
            <w:vAlign w:val="center"/>
          </w:tcPr>
          <w:p>
            <w:pPr>
              <w:ind w:firstLine="120" w:firstLineChars="50"/>
              <w:jc w:val="left"/>
              <w:rPr>
                <w:rFonts w:ascii="仿宋" w:hAnsi="仿宋" w:eastAsia="仿宋"/>
                <w:kern w:val="2"/>
                <w:sz w:val="24"/>
                <w:szCs w:val="24"/>
              </w:rPr>
            </w:pPr>
            <w:r>
              <w:rPr>
                <w:rFonts w:hint="eastAsia" w:ascii="仿宋" w:hAnsi="仿宋" w:eastAsia="仿宋"/>
                <w:kern w:val="2"/>
                <w:sz w:val="24"/>
                <w:szCs w:val="24"/>
              </w:rPr>
              <w:t>3分/人次</w:t>
            </w:r>
          </w:p>
        </w:tc>
        <w:tc>
          <w:tcPr>
            <w:tcW w:w="2263"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2836"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b/>
                <w:kern w:val="2"/>
              </w:rPr>
            </w:pP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3.巡查记录不规范，消控出警记录未登记</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2分/人次</w:t>
            </w:r>
          </w:p>
        </w:tc>
        <w:tc>
          <w:tcPr>
            <w:tcW w:w="2263"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2836"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b/>
                <w:kern w:val="2"/>
              </w:rPr>
            </w:pP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4.消防栓查记录登记漏签</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1分/人次</w:t>
            </w:r>
          </w:p>
        </w:tc>
        <w:tc>
          <w:tcPr>
            <w:tcW w:w="2263"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2836" w:type="dxa"/>
            <w:vMerge w:val="restart"/>
            <w:tcBorders>
              <w:top w:val="nil"/>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装备与公共财物</w:t>
            </w:r>
          </w:p>
          <w:p>
            <w:pPr>
              <w:jc w:val="left"/>
              <w:rPr>
                <w:rFonts w:ascii="仿宋" w:hAnsi="仿宋" w:eastAsia="仿宋"/>
                <w:kern w:val="2"/>
              </w:rPr>
            </w:pPr>
            <w:r>
              <w:rPr>
                <w:rFonts w:hint="eastAsia" w:ascii="仿宋" w:hAnsi="仿宋" w:eastAsia="仿宋"/>
                <w:kern w:val="2"/>
                <w:sz w:val="24"/>
                <w:szCs w:val="24"/>
              </w:rPr>
              <w:t>工作中必须穿工作服,巡察时必须带上装备。各组都要保持对讲机、电筒、记录仪等工具的充电及正常运用。</w:t>
            </w: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1.未佩戴装备或着装不规范</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1分/人次</w:t>
            </w:r>
          </w:p>
        </w:tc>
        <w:tc>
          <w:tcPr>
            <w:tcW w:w="2263" w:type="dxa"/>
            <w:vMerge w:val="restart"/>
            <w:tcBorders>
              <w:top w:val="nil"/>
              <w:left w:val="nil"/>
              <w:bottom w:val="single" w:color="000000" w:sz="4" w:space="0"/>
              <w:right w:val="single" w:color="000000" w:sz="4" w:space="0"/>
            </w:tcBorders>
            <w:noWrap w:val="0"/>
            <w:vAlign w:val="top"/>
          </w:tcPr>
          <w:p>
            <w:pPr>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836"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2.对讲机、电筒充电装置充电不及时</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1分/人次</w:t>
            </w:r>
          </w:p>
        </w:tc>
        <w:tc>
          <w:tcPr>
            <w:tcW w:w="2263"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2836"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c>
          <w:tcPr>
            <w:tcW w:w="3376"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3.公共财物装备有蓄意破坏或遗失</w:t>
            </w:r>
          </w:p>
        </w:tc>
        <w:tc>
          <w:tcPr>
            <w:tcW w:w="150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3分/人次</w:t>
            </w:r>
          </w:p>
        </w:tc>
        <w:tc>
          <w:tcPr>
            <w:tcW w:w="2263"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rPr>
            </w:pPr>
          </w:p>
        </w:tc>
      </w:tr>
    </w:tbl>
    <w:p>
      <w:pPr>
        <w:jc w:val="left"/>
        <w:rPr>
          <w:rFonts w:ascii="宋体" w:hAnsi="宋体" w:cs="仿宋"/>
        </w:rPr>
      </w:pPr>
      <w:r>
        <w:rPr>
          <w:rFonts w:hint="eastAsia" w:ascii="仿宋" w:hAnsi="仿宋" w:eastAsia="仿宋"/>
          <w:b/>
          <w:kern w:val="2"/>
          <w:sz w:val="24"/>
          <w:szCs w:val="24"/>
        </w:rPr>
        <w:t>检查人：                日期：</w:t>
      </w:r>
    </w:p>
    <w:p>
      <w:pPr>
        <w:jc w:val="left"/>
        <w:rPr>
          <w:rFonts w:ascii="宋体" w:hAnsi="宋体" w:cs="仿宋"/>
        </w:rPr>
      </w:pPr>
      <w:r>
        <w:rPr>
          <w:rFonts w:hint="eastAsia" w:ascii="宋体" w:hAnsi="宋体" w:cs="仿宋"/>
        </w:rPr>
        <w:t xml:space="preserve"> </w:t>
      </w:r>
    </w:p>
    <w:p>
      <w:pPr>
        <w:spacing w:beforeLines="50"/>
        <w:jc w:val="both"/>
        <w:rPr>
          <w:rFonts w:hint="eastAsia" w:ascii="宋体" w:hAnsi="宋体" w:cs="华文中宋"/>
          <w:b/>
          <w:kern w:val="2"/>
          <w:sz w:val="36"/>
          <w:szCs w:val="36"/>
        </w:rPr>
      </w:pPr>
    </w:p>
    <w:p>
      <w:pPr>
        <w:spacing w:beforeLines="50"/>
        <w:jc w:val="center"/>
        <w:rPr>
          <w:rFonts w:ascii="宋体" w:hAnsi="宋体" w:cs="华文中宋"/>
          <w:b/>
          <w:sz w:val="36"/>
          <w:szCs w:val="36"/>
        </w:rPr>
      </w:pPr>
      <w:r>
        <w:rPr>
          <w:rFonts w:hint="eastAsia" w:ascii="宋体" w:hAnsi="宋体" w:cs="华文中宋"/>
          <w:b/>
          <w:kern w:val="2"/>
          <w:sz w:val="36"/>
          <w:szCs w:val="36"/>
        </w:rPr>
        <w:t>武义县第一人民医院安保服务月考核表（公司）</w:t>
      </w:r>
    </w:p>
    <w:p>
      <w:pPr>
        <w:jc w:val="left"/>
        <w:rPr>
          <w:rFonts w:ascii="宋体" w:hAnsi="宋体" w:cs="仿宋"/>
        </w:rPr>
      </w:pPr>
      <w:r>
        <w:rPr>
          <w:rFonts w:hint="eastAsia" w:ascii="宋体" w:hAnsi="宋体" w:cs="仿宋"/>
        </w:rPr>
        <w:t xml:space="preserve"> </w:t>
      </w:r>
    </w:p>
    <w:p>
      <w:pPr>
        <w:jc w:val="left"/>
        <w:rPr>
          <w:rFonts w:ascii="宋体" w:hAnsi="宋体" w:cs="仿宋"/>
        </w:rPr>
      </w:pPr>
      <w:r>
        <w:rPr>
          <w:rFonts w:hint="eastAsia" w:ascii="宋体" w:hAnsi="宋体" w:cs="仿宋"/>
        </w:rPr>
        <w:t xml:space="preserve"> </w:t>
      </w:r>
    </w:p>
    <w:tbl>
      <w:tblPr>
        <w:tblStyle w:val="31"/>
        <w:tblW w:w="10019"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0"/>
        <w:gridCol w:w="992"/>
        <w:gridCol w:w="3259"/>
        <w:gridCol w:w="1309"/>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3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
                <w:kern w:val="2"/>
                <w:sz w:val="24"/>
                <w:szCs w:val="24"/>
              </w:rPr>
            </w:pPr>
            <w:r>
              <w:rPr>
                <w:rFonts w:hint="eastAsia" w:ascii="宋体" w:hAnsi="宋体" w:cs="仿宋"/>
                <w:b/>
                <w:kern w:val="2"/>
                <w:sz w:val="24"/>
                <w:szCs w:val="24"/>
              </w:rPr>
              <w:t>考核项目</w:t>
            </w:r>
          </w:p>
        </w:tc>
        <w:tc>
          <w:tcPr>
            <w:tcW w:w="992"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仿宋"/>
                <w:b/>
                <w:kern w:val="2"/>
                <w:sz w:val="24"/>
                <w:szCs w:val="24"/>
              </w:rPr>
            </w:pPr>
            <w:r>
              <w:rPr>
                <w:rFonts w:hint="eastAsia" w:ascii="宋体" w:hAnsi="宋体" w:cs="仿宋"/>
                <w:b/>
                <w:kern w:val="2"/>
                <w:sz w:val="24"/>
                <w:szCs w:val="24"/>
              </w:rPr>
              <w:t>分值</w:t>
            </w:r>
          </w:p>
        </w:tc>
        <w:tc>
          <w:tcPr>
            <w:tcW w:w="3259"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仿宋"/>
                <w:kern w:val="2"/>
                <w:sz w:val="24"/>
                <w:szCs w:val="24"/>
              </w:rPr>
            </w:pPr>
            <w:r>
              <w:rPr>
                <w:rFonts w:hint="eastAsia" w:ascii="宋体" w:hAnsi="宋体" w:cs="仿宋"/>
                <w:b/>
                <w:kern w:val="2"/>
                <w:sz w:val="24"/>
                <w:szCs w:val="24"/>
              </w:rPr>
              <w:t>考核内容</w:t>
            </w:r>
          </w:p>
        </w:tc>
        <w:tc>
          <w:tcPr>
            <w:tcW w:w="1309"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仿宋"/>
                <w:b/>
                <w:kern w:val="2"/>
                <w:sz w:val="24"/>
                <w:szCs w:val="24"/>
              </w:rPr>
            </w:pPr>
            <w:r>
              <w:rPr>
                <w:rFonts w:hint="eastAsia" w:ascii="宋体" w:hAnsi="宋体" w:cs="仿宋"/>
                <w:b/>
                <w:kern w:val="2"/>
                <w:sz w:val="24"/>
                <w:szCs w:val="24"/>
              </w:rPr>
              <w:t>扣分值</w:t>
            </w:r>
          </w:p>
        </w:tc>
        <w:tc>
          <w:tcPr>
            <w:tcW w:w="1309"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仿宋"/>
                <w:b/>
                <w:kern w:val="2"/>
                <w:sz w:val="24"/>
                <w:szCs w:val="24"/>
              </w:rPr>
            </w:pPr>
            <w:r>
              <w:rPr>
                <w:rFonts w:hint="eastAsia" w:ascii="宋体" w:hAnsi="宋体" w:cs="仿宋"/>
                <w:b/>
                <w:kern w:val="2"/>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3150" w:type="dxa"/>
            <w:vMerge w:val="restart"/>
            <w:tcBorders>
              <w:top w:val="nil"/>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有效投诉或被有关部门通报</w:t>
            </w:r>
          </w:p>
        </w:tc>
        <w:tc>
          <w:tcPr>
            <w:tcW w:w="992" w:type="dxa"/>
            <w:vMerge w:val="restart"/>
            <w:tcBorders>
              <w:top w:val="nil"/>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倒扣分</w:t>
            </w:r>
          </w:p>
        </w:tc>
        <w:tc>
          <w:tcPr>
            <w:tcW w:w="325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lang w:val="en-US" w:eastAsia="zh-CN"/>
              </w:rPr>
              <w:t>1.</w:t>
            </w:r>
            <w:r>
              <w:rPr>
                <w:rFonts w:hint="eastAsia" w:ascii="仿宋" w:hAnsi="仿宋" w:eastAsia="仿宋"/>
                <w:kern w:val="2"/>
                <w:sz w:val="24"/>
                <w:szCs w:val="24"/>
              </w:rPr>
              <w:t>有效投诉每起</w:t>
            </w:r>
          </w:p>
        </w:tc>
        <w:tc>
          <w:tcPr>
            <w:tcW w:w="1309"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10分/起</w:t>
            </w:r>
          </w:p>
        </w:tc>
        <w:tc>
          <w:tcPr>
            <w:tcW w:w="1309" w:type="dxa"/>
            <w:tcBorders>
              <w:top w:val="single" w:color="000000" w:sz="4" w:space="0"/>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150"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b/>
                <w:kern w:val="2"/>
                <w:sz w:val="24"/>
                <w:szCs w:val="24"/>
              </w:rPr>
            </w:pPr>
          </w:p>
        </w:tc>
        <w:tc>
          <w:tcPr>
            <w:tcW w:w="992"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sz w:val="24"/>
                <w:szCs w:val="24"/>
              </w:rPr>
            </w:pPr>
          </w:p>
        </w:tc>
        <w:tc>
          <w:tcPr>
            <w:tcW w:w="325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lang w:val="en-US" w:eastAsia="zh-CN"/>
              </w:rPr>
              <w:t>2.</w:t>
            </w:r>
            <w:r>
              <w:rPr>
                <w:rFonts w:hint="eastAsia" w:ascii="仿宋" w:hAnsi="仿宋" w:eastAsia="仿宋"/>
                <w:kern w:val="2"/>
                <w:sz w:val="24"/>
                <w:szCs w:val="24"/>
              </w:rPr>
              <w:t>被有关部门通报批评</w:t>
            </w:r>
          </w:p>
        </w:tc>
        <w:tc>
          <w:tcPr>
            <w:tcW w:w="1309"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30分/次</w:t>
            </w:r>
          </w:p>
        </w:tc>
        <w:tc>
          <w:tcPr>
            <w:tcW w:w="1309" w:type="dxa"/>
            <w:tcBorders>
              <w:top w:val="single" w:color="000000" w:sz="4" w:space="0"/>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3150" w:type="dxa"/>
            <w:vMerge w:val="restart"/>
            <w:tcBorders>
              <w:top w:val="nil"/>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突发事件处置情况</w:t>
            </w:r>
          </w:p>
          <w:p>
            <w:pPr>
              <w:jc w:val="left"/>
              <w:rPr>
                <w:rFonts w:ascii="仿宋" w:hAnsi="仿宋" w:eastAsia="仿宋"/>
                <w:b/>
                <w:kern w:val="2"/>
                <w:sz w:val="24"/>
                <w:szCs w:val="24"/>
              </w:rPr>
            </w:pPr>
          </w:p>
        </w:tc>
        <w:tc>
          <w:tcPr>
            <w:tcW w:w="992" w:type="dxa"/>
            <w:vMerge w:val="restart"/>
            <w:tcBorders>
              <w:top w:val="nil"/>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c>
          <w:tcPr>
            <w:tcW w:w="325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lang w:val="en-US" w:eastAsia="zh-CN"/>
              </w:rPr>
              <w:t>1.</w:t>
            </w:r>
            <w:r>
              <w:rPr>
                <w:rFonts w:hint="eastAsia" w:ascii="仿宋" w:hAnsi="仿宋" w:eastAsia="仿宋"/>
                <w:kern w:val="2"/>
                <w:sz w:val="24"/>
                <w:szCs w:val="24"/>
              </w:rPr>
              <w:t>处理事件被处置不及时，不积极</w:t>
            </w:r>
          </w:p>
        </w:tc>
        <w:tc>
          <w:tcPr>
            <w:tcW w:w="1309"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2分/起</w:t>
            </w:r>
          </w:p>
        </w:tc>
        <w:tc>
          <w:tcPr>
            <w:tcW w:w="1309" w:type="dxa"/>
            <w:tcBorders>
              <w:top w:val="single" w:color="000000" w:sz="4" w:space="0"/>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3150"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jc w:val="left"/>
              <w:rPr>
                <w:rFonts w:ascii="仿宋" w:hAnsi="仿宋" w:eastAsia="仿宋"/>
                <w:b/>
                <w:kern w:val="2"/>
                <w:sz w:val="24"/>
                <w:szCs w:val="24"/>
              </w:rPr>
            </w:pPr>
          </w:p>
        </w:tc>
        <w:tc>
          <w:tcPr>
            <w:tcW w:w="992" w:type="dxa"/>
            <w:vMerge w:val="continue"/>
            <w:tcBorders>
              <w:top w:val="nil"/>
              <w:left w:val="nil"/>
              <w:bottom w:val="single" w:color="000000" w:sz="4" w:space="0"/>
              <w:right w:val="single" w:color="000000" w:sz="4" w:space="0"/>
            </w:tcBorders>
            <w:noWrap w:val="0"/>
            <w:vAlign w:val="center"/>
          </w:tcPr>
          <w:p>
            <w:pPr>
              <w:widowControl/>
              <w:autoSpaceDE/>
              <w:autoSpaceDN/>
              <w:adjustRightInd/>
              <w:jc w:val="left"/>
              <w:rPr>
                <w:rFonts w:ascii="仿宋" w:hAnsi="仿宋" w:eastAsia="仿宋"/>
                <w:kern w:val="2"/>
                <w:sz w:val="24"/>
                <w:szCs w:val="24"/>
              </w:rPr>
            </w:pPr>
          </w:p>
        </w:tc>
        <w:tc>
          <w:tcPr>
            <w:tcW w:w="325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lang w:val="en-US" w:eastAsia="zh-CN"/>
              </w:rPr>
              <w:t>2.</w:t>
            </w:r>
            <w:r>
              <w:rPr>
                <w:rFonts w:hint="eastAsia" w:ascii="仿宋" w:hAnsi="仿宋" w:eastAsia="仿宋"/>
                <w:kern w:val="2"/>
                <w:sz w:val="24"/>
                <w:szCs w:val="24"/>
              </w:rPr>
              <w:t>处理不当引发后果</w:t>
            </w:r>
          </w:p>
        </w:tc>
        <w:tc>
          <w:tcPr>
            <w:tcW w:w="1309"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4分/起</w:t>
            </w:r>
          </w:p>
        </w:tc>
        <w:tc>
          <w:tcPr>
            <w:tcW w:w="1309" w:type="dxa"/>
            <w:tcBorders>
              <w:top w:val="single" w:color="000000" w:sz="4" w:space="0"/>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31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工作安排合理性</w:t>
            </w:r>
          </w:p>
        </w:tc>
        <w:tc>
          <w:tcPr>
            <w:tcW w:w="992"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10</w:t>
            </w:r>
          </w:p>
        </w:tc>
        <w:tc>
          <w:tcPr>
            <w:tcW w:w="325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不合理程度扣分</w:t>
            </w:r>
          </w:p>
        </w:tc>
        <w:tc>
          <w:tcPr>
            <w:tcW w:w="1309"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5-10分</w:t>
            </w:r>
          </w:p>
        </w:tc>
        <w:tc>
          <w:tcPr>
            <w:tcW w:w="1309" w:type="dxa"/>
            <w:tcBorders>
              <w:top w:val="single" w:color="000000" w:sz="4" w:space="0"/>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1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员工管理</w:t>
            </w:r>
          </w:p>
        </w:tc>
        <w:tc>
          <w:tcPr>
            <w:tcW w:w="992"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10</w:t>
            </w:r>
          </w:p>
        </w:tc>
        <w:tc>
          <w:tcPr>
            <w:tcW w:w="325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未依照制度管理，酌情扣分</w:t>
            </w:r>
          </w:p>
        </w:tc>
        <w:tc>
          <w:tcPr>
            <w:tcW w:w="1309"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5-10分</w:t>
            </w:r>
          </w:p>
        </w:tc>
        <w:tc>
          <w:tcPr>
            <w:tcW w:w="1309" w:type="dxa"/>
            <w:tcBorders>
              <w:top w:val="single" w:color="000000" w:sz="4" w:space="0"/>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31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保安队伍内部管理</w:t>
            </w:r>
          </w:p>
        </w:tc>
        <w:tc>
          <w:tcPr>
            <w:tcW w:w="992"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10</w:t>
            </w:r>
          </w:p>
        </w:tc>
        <w:tc>
          <w:tcPr>
            <w:tcW w:w="325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发生员工向院方投诉每起扣</w:t>
            </w:r>
          </w:p>
        </w:tc>
        <w:tc>
          <w:tcPr>
            <w:tcW w:w="1309"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2分</w:t>
            </w:r>
          </w:p>
        </w:tc>
        <w:tc>
          <w:tcPr>
            <w:tcW w:w="1309" w:type="dxa"/>
            <w:tcBorders>
              <w:top w:val="single" w:color="000000" w:sz="4" w:space="0"/>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31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现场考核</w:t>
            </w:r>
          </w:p>
        </w:tc>
        <w:tc>
          <w:tcPr>
            <w:tcW w:w="992"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30</w:t>
            </w:r>
          </w:p>
        </w:tc>
        <w:tc>
          <w:tcPr>
            <w:tcW w:w="325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现场考核扣分按30%折算</w:t>
            </w:r>
          </w:p>
        </w:tc>
        <w:tc>
          <w:tcPr>
            <w:tcW w:w="130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p>
        </w:tc>
        <w:tc>
          <w:tcPr>
            <w:tcW w:w="1309" w:type="dxa"/>
            <w:tcBorders>
              <w:top w:val="single" w:color="000000" w:sz="4" w:space="0"/>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31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满意度</w:t>
            </w:r>
          </w:p>
        </w:tc>
        <w:tc>
          <w:tcPr>
            <w:tcW w:w="992"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40</w:t>
            </w:r>
          </w:p>
        </w:tc>
        <w:tc>
          <w:tcPr>
            <w:tcW w:w="325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r>
              <w:rPr>
                <w:rFonts w:hint="eastAsia" w:ascii="仿宋" w:hAnsi="仿宋" w:eastAsia="仿宋"/>
                <w:kern w:val="2"/>
                <w:sz w:val="24"/>
                <w:szCs w:val="24"/>
              </w:rPr>
              <w:t>满意度测评得分按40%折算</w:t>
            </w:r>
          </w:p>
        </w:tc>
        <w:tc>
          <w:tcPr>
            <w:tcW w:w="130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p>
        </w:tc>
        <w:tc>
          <w:tcPr>
            <w:tcW w:w="1309" w:type="dxa"/>
            <w:tcBorders>
              <w:top w:val="single" w:color="000000" w:sz="4" w:space="0"/>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31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b/>
                <w:kern w:val="2"/>
                <w:sz w:val="24"/>
                <w:szCs w:val="24"/>
              </w:rPr>
            </w:pPr>
            <w:r>
              <w:rPr>
                <w:rFonts w:hint="eastAsia" w:ascii="仿宋" w:hAnsi="仿宋" w:eastAsia="仿宋"/>
                <w:b/>
                <w:kern w:val="2"/>
                <w:sz w:val="24"/>
                <w:szCs w:val="24"/>
              </w:rPr>
              <w:t>总分</w:t>
            </w:r>
          </w:p>
        </w:tc>
        <w:tc>
          <w:tcPr>
            <w:tcW w:w="992"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kern w:val="2"/>
                <w:sz w:val="24"/>
                <w:szCs w:val="24"/>
              </w:rPr>
            </w:pPr>
            <w:r>
              <w:rPr>
                <w:rFonts w:hint="eastAsia" w:ascii="仿宋" w:hAnsi="仿宋" w:eastAsia="仿宋"/>
                <w:kern w:val="2"/>
                <w:sz w:val="24"/>
                <w:szCs w:val="24"/>
              </w:rPr>
              <w:t>100</w:t>
            </w:r>
          </w:p>
        </w:tc>
        <w:tc>
          <w:tcPr>
            <w:tcW w:w="325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p>
        </w:tc>
        <w:tc>
          <w:tcPr>
            <w:tcW w:w="1309" w:type="dxa"/>
            <w:tcBorders>
              <w:top w:val="single" w:color="000000" w:sz="4" w:space="0"/>
              <w:left w:val="nil"/>
              <w:bottom w:val="single" w:color="000000" w:sz="4" w:space="0"/>
              <w:right w:val="single" w:color="000000" w:sz="4" w:space="0"/>
            </w:tcBorders>
            <w:noWrap w:val="0"/>
            <w:vAlign w:val="center"/>
          </w:tcPr>
          <w:p>
            <w:pPr>
              <w:jc w:val="left"/>
              <w:rPr>
                <w:rFonts w:ascii="仿宋" w:hAnsi="仿宋" w:eastAsia="仿宋"/>
                <w:kern w:val="2"/>
                <w:sz w:val="24"/>
                <w:szCs w:val="24"/>
              </w:rPr>
            </w:pPr>
          </w:p>
        </w:tc>
        <w:tc>
          <w:tcPr>
            <w:tcW w:w="1309" w:type="dxa"/>
            <w:tcBorders>
              <w:top w:val="single" w:color="000000" w:sz="4" w:space="0"/>
              <w:left w:val="nil"/>
              <w:bottom w:val="single" w:color="000000" w:sz="4" w:space="0"/>
              <w:right w:val="single" w:color="000000" w:sz="4" w:space="0"/>
            </w:tcBorders>
            <w:noWrap w:val="0"/>
            <w:vAlign w:val="top"/>
          </w:tcPr>
          <w:p>
            <w:pPr>
              <w:jc w:val="left"/>
              <w:rPr>
                <w:rFonts w:ascii="仿宋" w:hAnsi="仿宋" w:eastAsia="仿宋"/>
                <w:kern w:val="2"/>
                <w:sz w:val="24"/>
                <w:szCs w:val="24"/>
              </w:rPr>
            </w:pPr>
          </w:p>
        </w:tc>
      </w:tr>
    </w:tbl>
    <w:p>
      <w:pPr>
        <w:pStyle w:val="11"/>
        <w:spacing w:line="312" w:lineRule="auto"/>
        <w:ind w:left="0" w:leftChars="0" w:firstLine="0" w:firstLineChars="0"/>
        <w:rPr>
          <w:rFonts w:hint="eastAsia" w:ascii="仿宋" w:hAnsi="仿宋" w:eastAsia="仿宋" w:cs="仿宋"/>
        </w:rPr>
      </w:pPr>
    </w:p>
    <w:sectPr>
      <w:pgSz w:w="11906" w:h="16838"/>
      <w:pgMar w:top="1247" w:right="1134" w:bottom="1020" w:left="1418" w:header="851" w:footer="90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rPr>
                              <w:lang/>
                            </w:rPr>
                            <w:t>- 30 -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pci88sBAACcAwAADgAAAGRycy9lMm9Eb2MueG1srVPNjtMwEL4j8Q6W 79RpJ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rFTaDEcYsDv3z/dvnx6/LzK1lW q9dZoT5AjYkPAVPTcOeHnD35AZ2Z+KCizV+kRDCO+p6v+sohEZEfrVfrdYUhgbH5gjjs8XmIkN5K b0k2GhpxgEVXfnoPaUydU3I15++1MejntXF/ORAze1jufewxW2nYD1Pje9+ekU+Ps2+ow1WnxLxz KG1ek9mIs7GfjWOI+tCVPcr1INweEzZRessVRtipMA6tsJsWLG/Fn/eS9fhT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qXIvPLAQAAnAMAAA4AAAAAAAAAAQAgAAAAHgEAAGRycy9lMm9E b2MueG1sUEsFBgAAAAAGAAYAWQEAAFsFAAAAAA== ">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rPr>
                        <w:lang/>
                      </w:rPr>
                      <w:t>- 30 -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fldChar w:fldCharType="begin"/>
    </w:r>
    <w:r>
      <w:rPr>
        <w:rStyle w:val="35"/>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rPr>
                              <w:lang/>
                            </w:rPr>
                            <w:t>- 7 -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Yf+88sBAACcAwAADgAAAGRycy9lMm9Eb2MueG1srVNLbtswEN0XyB0I 7mPJWgSGYDlIYKQoEKQF0h6ApkiLAH/g0JZ8gfYGXXXTfc/lc3RISU6bbrLohhrODN/MezNa3w5G k6MIoJxt6HJRUiIsd62y+4Z++fxwvaIEIrMt086Khp4E0NvN1bt172tRuc7pVgSCIBbq3je0i9HX RQG8E4bBwnlhMShdMCziNeyLNrAe0Y0uqrK8KXoXWh8cFwDo3Y5BOiGGtwA6KRUXW8cPRtg4ogah WURK0CkPdJO7lVLw+FFKEJHohiLTmE8sgvYuncVmzep9YL5TfGqBvaWFV5wMUxaLXqC2LDJyCOof KKN4cOBkXHBnipFIVgRZLMtX2jx3zIvMBaUGfxEd/h8sfzp+CkS1Da0osczgwM/fv51//Dr//EqW ZXWTFOo91Jj47DE1DvduwL2Z/YDORHyQwaQvUiIYR31PF33FEAlPj1bValViiGNsviB+8fLcB4jv hTMkGQ0NOMCsKzs+QhxT55RUzboHpXUeorZ/ORAzeYrU+9hjsuKwGyZCO9eekE+Ps2+oxVWnRH+w KG1ak9kIs7GbjYMPat/lPUr1wN8dIjaRe0sVRtipMA4ts5sWLG3Fn/ec9fJTbX4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WH/vPLAQAAnAMAAA4AAAAAAAAAAQAgAAAAHgEAAGRycy9lMm9E b2MueG1sUEsFBgAAAAAGAAYAWQEAAFsFAAAAAA== ">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rPr>
                        <w:lang/>
                      </w:rP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p>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15BFE"/>
    <w:multiLevelType w:val="multilevel"/>
    <w:tmpl w:val="42515BF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6D4B249C"/>
    <w:multiLevelType w:val="multilevel"/>
    <w:tmpl w:val="6D4B249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TBmZWVlNDJhZTRmOTc4NzRhODk0ZGQ1Y2ZmZDAifQ=="/>
  </w:docVars>
  <w:rsids>
    <w:rsidRoot w:val="00BB21A4"/>
    <w:rsid w:val="000334DE"/>
    <w:rsid w:val="000657C2"/>
    <w:rsid w:val="000829E9"/>
    <w:rsid w:val="000959AB"/>
    <w:rsid w:val="000A1F01"/>
    <w:rsid w:val="000C4880"/>
    <w:rsid w:val="000D418C"/>
    <w:rsid w:val="000D65F6"/>
    <w:rsid w:val="000E7400"/>
    <w:rsid w:val="00115C38"/>
    <w:rsid w:val="00125CD3"/>
    <w:rsid w:val="00145F17"/>
    <w:rsid w:val="001550C6"/>
    <w:rsid w:val="00157431"/>
    <w:rsid w:val="00183FA7"/>
    <w:rsid w:val="00184AAF"/>
    <w:rsid w:val="00184D67"/>
    <w:rsid w:val="0019035C"/>
    <w:rsid w:val="001E102B"/>
    <w:rsid w:val="00223832"/>
    <w:rsid w:val="00234444"/>
    <w:rsid w:val="00235BBA"/>
    <w:rsid w:val="00235EB6"/>
    <w:rsid w:val="00242AB5"/>
    <w:rsid w:val="00260536"/>
    <w:rsid w:val="0026572D"/>
    <w:rsid w:val="00266D2F"/>
    <w:rsid w:val="00281B14"/>
    <w:rsid w:val="00293E79"/>
    <w:rsid w:val="002950E7"/>
    <w:rsid w:val="002A3799"/>
    <w:rsid w:val="002A42AB"/>
    <w:rsid w:val="003119E6"/>
    <w:rsid w:val="003166B9"/>
    <w:rsid w:val="003202C2"/>
    <w:rsid w:val="00363B98"/>
    <w:rsid w:val="0037285A"/>
    <w:rsid w:val="00383C2B"/>
    <w:rsid w:val="00385DE3"/>
    <w:rsid w:val="00394C04"/>
    <w:rsid w:val="003A05DC"/>
    <w:rsid w:val="003A28F1"/>
    <w:rsid w:val="003B0642"/>
    <w:rsid w:val="003B0756"/>
    <w:rsid w:val="003B130A"/>
    <w:rsid w:val="003E1794"/>
    <w:rsid w:val="003F0FA4"/>
    <w:rsid w:val="00426A2B"/>
    <w:rsid w:val="00426BF7"/>
    <w:rsid w:val="00443ADE"/>
    <w:rsid w:val="004F5A5F"/>
    <w:rsid w:val="004F6596"/>
    <w:rsid w:val="00531176"/>
    <w:rsid w:val="0058256E"/>
    <w:rsid w:val="005A0CC7"/>
    <w:rsid w:val="005A6E8F"/>
    <w:rsid w:val="005C7704"/>
    <w:rsid w:val="005D2530"/>
    <w:rsid w:val="005D50B2"/>
    <w:rsid w:val="005E6C88"/>
    <w:rsid w:val="005F42E4"/>
    <w:rsid w:val="00603CAA"/>
    <w:rsid w:val="006133A8"/>
    <w:rsid w:val="00623912"/>
    <w:rsid w:val="00634708"/>
    <w:rsid w:val="00643C51"/>
    <w:rsid w:val="00663DE4"/>
    <w:rsid w:val="00664BDA"/>
    <w:rsid w:val="006721D3"/>
    <w:rsid w:val="00681AD9"/>
    <w:rsid w:val="00684BA6"/>
    <w:rsid w:val="006A3BB5"/>
    <w:rsid w:val="006B2D5A"/>
    <w:rsid w:val="00702219"/>
    <w:rsid w:val="00706E24"/>
    <w:rsid w:val="0071158E"/>
    <w:rsid w:val="00721346"/>
    <w:rsid w:val="00722738"/>
    <w:rsid w:val="00727930"/>
    <w:rsid w:val="00780392"/>
    <w:rsid w:val="00782FEF"/>
    <w:rsid w:val="007E1444"/>
    <w:rsid w:val="007E2166"/>
    <w:rsid w:val="007F3012"/>
    <w:rsid w:val="008119C1"/>
    <w:rsid w:val="00831160"/>
    <w:rsid w:val="00847F9E"/>
    <w:rsid w:val="008728D5"/>
    <w:rsid w:val="008A52B0"/>
    <w:rsid w:val="008C5747"/>
    <w:rsid w:val="008C6E03"/>
    <w:rsid w:val="00920E93"/>
    <w:rsid w:val="0093224B"/>
    <w:rsid w:val="0093395F"/>
    <w:rsid w:val="00942A93"/>
    <w:rsid w:val="009470F2"/>
    <w:rsid w:val="009732CC"/>
    <w:rsid w:val="009804D9"/>
    <w:rsid w:val="009929B9"/>
    <w:rsid w:val="009C056E"/>
    <w:rsid w:val="009C380E"/>
    <w:rsid w:val="009C43D2"/>
    <w:rsid w:val="009D1CC7"/>
    <w:rsid w:val="009D364A"/>
    <w:rsid w:val="00A24FD7"/>
    <w:rsid w:val="00A27176"/>
    <w:rsid w:val="00A41A19"/>
    <w:rsid w:val="00A56430"/>
    <w:rsid w:val="00A66712"/>
    <w:rsid w:val="00A80098"/>
    <w:rsid w:val="00A8117B"/>
    <w:rsid w:val="00A820A3"/>
    <w:rsid w:val="00A845AD"/>
    <w:rsid w:val="00A86EF8"/>
    <w:rsid w:val="00A96726"/>
    <w:rsid w:val="00AA0736"/>
    <w:rsid w:val="00AD2447"/>
    <w:rsid w:val="00AD58BB"/>
    <w:rsid w:val="00AE0E4D"/>
    <w:rsid w:val="00AF2FB4"/>
    <w:rsid w:val="00B40C2A"/>
    <w:rsid w:val="00B43FF9"/>
    <w:rsid w:val="00B55013"/>
    <w:rsid w:val="00B64DD0"/>
    <w:rsid w:val="00B67B87"/>
    <w:rsid w:val="00BA0638"/>
    <w:rsid w:val="00BB21A4"/>
    <w:rsid w:val="00BC19B9"/>
    <w:rsid w:val="00BD0D11"/>
    <w:rsid w:val="00C02A7A"/>
    <w:rsid w:val="00C06C86"/>
    <w:rsid w:val="00C160C0"/>
    <w:rsid w:val="00C34DAD"/>
    <w:rsid w:val="00C40407"/>
    <w:rsid w:val="00C4700A"/>
    <w:rsid w:val="00C57CD8"/>
    <w:rsid w:val="00C8047B"/>
    <w:rsid w:val="00C92BA1"/>
    <w:rsid w:val="00C93899"/>
    <w:rsid w:val="00CC28EF"/>
    <w:rsid w:val="00CE5CA2"/>
    <w:rsid w:val="00CE60CA"/>
    <w:rsid w:val="00D70489"/>
    <w:rsid w:val="00D90A3C"/>
    <w:rsid w:val="00D90B6E"/>
    <w:rsid w:val="00D95294"/>
    <w:rsid w:val="00D968FD"/>
    <w:rsid w:val="00DC0C4E"/>
    <w:rsid w:val="00DC7D33"/>
    <w:rsid w:val="00DD7894"/>
    <w:rsid w:val="00DE1EA7"/>
    <w:rsid w:val="00DE5485"/>
    <w:rsid w:val="00E13C5D"/>
    <w:rsid w:val="00E26E53"/>
    <w:rsid w:val="00E32104"/>
    <w:rsid w:val="00E46127"/>
    <w:rsid w:val="00E46AD2"/>
    <w:rsid w:val="00E6726D"/>
    <w:rsid w:val="00E85638"/>
    <w:rsid w:val="00E861BB"/>
    <w:rsid w:val="00E87DEA"/>
    <w:rsid w:val="00E966D7"/>
    <w:rsid w:val="00EA5339"/>
    <w:rsid w:val="00EC714B"/>
    <w:rsid w:val="00EE238B"/>
    <w:rsid w:val="00EE2B94"/>
    <w:rsid w:val="00F0215C"/>
    <w:rsid w:val="00F22640"/>
    <w:rsid w:val="00F339E1"/>
    <w:rsid w:val="00F51381"/>
    <w:rsid w:val="00F660AB"/>
    <w:rsid w:val="00F73849"/>
    <w:rsid w:val="00F75400"/>
    <w:rsid w:val="00F85036"/>
    <w:rsid w:val="00F956B0"/>
    <w:rsid w:val="00FB06A1"/>
    <w:rsid w:val="00FB7DB0"/>
    <w:rsid w:val="00FD4BCD"/>
    <w:rsid w:val="01214171"/>
    <w:rsid w:val="013806F4"/>
    <w:rsid w:val="013942BA"/>
    <w:rsid w:val="01553412"/>
    <w:rsid w:val="01BD57B9"/>
    <w:rsid w:val="01E21263"/>
    <w:rsid w:val="02790D71"/>
    <w:rsid w:val="02C960FB"/>
    <w:rsid w:val="03175548"/>
    <w:rsid w:val="03783E99"/>
    <w:rsid w:val="03C91764"/>
    <w:rsid w:val="03EB56D0"/>
    <w:rsid w:val="03FC7BCB"/>
    <w:rsid w:val="04073D0E"/>
    <w:rsid w:val="04653F87"/>
    <w:rsid w:val="046B3792"/>
    <w:rsid w:val="04A42ED2"/>
    <w:rsid w:val="04C43BA8"/>
    <w:rsid w:val="04CC23D9"/>
    <w:rsid w:val="04CD59F7"/>
    <w:rsid w:val="050250E9"/>
    <w:rsid w:val="051A4175"/>
    <w:rsid w:val="058C4601"/>
    <w:rsid w:val="058F4B9D"/>
    <w:rsid w:val="059C1E46"/>
    <w:rsid w:val="05CF60C4"/>
    <w:rsid w:val="05D10F0C"/>
    <w:rsid w:val="05E05EFF"/>
    <w:rsid w:val="064D24D3"/>
    <w:rsid w:val="074534E6"/>
    <w:rsid w:val="07B03C50"/>
    <w:rsid w:val="07F053D2"/>
    <w:rsid w:val="07FE491D"/>
    <w:rsid w:val="08190B17"/>
    <w:rsid w:val="08835025"/>
    <w:rsid w:val="089178DF"/>
    <w:rsid w:val="08996888"/>
    <w:rsid w:val="0903667B"/>
    <w:rsid w:val="09286893"/>
    <w:rsid w:val="099329A7"/>
    <w:rsid w:val="099948FD"/>
    <w:rsid w:val="0A5214E8"/>
    <w:rsid w:val="0A7B03D1"/>
    <w:rsid w:val="0AB054B8"/>
    <w:rsid w:val="0ABE1220"/>
    <w:rsid w:val="0ADB0F46"/>
    <w:rsid w:val="0AFE256E"/>
    <w:rsid w:val="0B0D5A0C"/>
    <w:rsid w:val="0B1E54E6"/>
    <w:rsid w:val="0B8D2B29"/>
    <w:rsid w:val="0BAC4354"/>
    <w:rsid w:val="0BE17EA7"/>
    <w:rsid w:val="0BE51A0A"/>
    <w:rsid w:val="0BEA3A95"/>
    <w:rsid w:val="0C117152"/>
    <w:rsid w:val="0C167CE5"/>
    <w:rsid w:val="0C616DE7"/>
    <w:rsid w:val="0CA65D0E"/>
    <w:rsid w:val="0CAA6F1B"/>
    <w:rsid w:val="0CC61002"/>
    <w:rsid w:val="0D06654A"/>
    <w:rsid w:val="0D2A652D"/>
    <w:rsid w:val="0D6F1F08"/>
    <w:rsid w:val="0DF03C9F"/>
    <w:rsid w:val="0DF5183F"/>
    <w:rsid w:val="0DFC287C"/>
    <w:rsid w:val="0E1E752B"/>
    <w:rsid w:val="0E22418A"/>
    <w:rsid w:val="0E4A55FF"/>
    <w:rsid w:val="0E667A72"/>
    <w:rsid w:val="0E8954E1"/>
    <w:rsid w:val="0E9F0660"/>
    <w:rsid w:val="0F003DD8"/>
    <w:rsid w:val="0F017E89"/>
    <w:rsid w:val="0F0C4514"/>
    <w:rsid w:val="0F3B0205"/>
    <w:rsid w:val="0F3D0D10"/>
    <w:rsid w:val="0F4C378C"/>
    <w:rsid w:val="0F9067A2"/>
    <w:rsid w:val="10165F44"/>
    <w:rsid w:val="10376C1E"/>
    <w:rsid w:val="104B4248"/>
    <w:rsid w:val="106D5C44"/>
    <w:rsid w:val="109B71AD"/>
    <w:rsid w:val="10C2514B"/>
    <w:rsid w:val="10F16DCD"/>
    <w:rsid w:val="110342A2"/>
    <w:rsid w:val="11376C9C"/>
    <w:rsid w:val="11563EF3"/>
    <w:rsid w:val="1167230E"/>
    <w:rsid w:val="118C6633"/>
    <w:rsid w:val="11B7080D"/>
    <w:rsid w:val="11CC309D"/>
    <w:rsid w:val="11D24A50"/>
    <w:rsid w:val="122435B8"/>
    <w:rsid w:val="1246647E"/>
    <w:rsid w:val="127C2B61"/>
    <w:rsid w:val="129012D5"/>
    <w:rsid w:val="12A04F4F"/>
    <w:rsid w:val="12A3081F"/>
    <w:rsid w:val="12CF2E4E"/>
    <w:rsid w:val="12FF2AEB"/>
    <w:rsid w:val="130E6A2B"/>
    <w:rsid w:val="131105D2"/>
    <w:rsid w:val="1339789D"/>
    <w:rsid w:val="134809B3"/>
    <w:rsid w:val="136A10B9"/>
    <w:rsid w:val="14275A79"/>
    <w:rsid w:val="14886B00"/>
    <w:rsid w:val="14DA3B02"/>
    <w:rsid w:val="15144C8B"/>
    <w:rsid w:val="15397052"/>
    <w:rsid w:val="15597410"/>
    <w:rsid w:val="15822DCD"/>
    <w:rsid w:val="15AB7445"/>
    <w:rsid w:val="15BB3FF5"/>
    <w:rsid w:val="15CA7C4A"/>
    <w:rsid w:val="15D47FCC"/>
    <w:rsid w:val="164E75B4"/>
    <w:rsid w:val="166E6DB3"/>
    <w:rsid w:val="169E17A5"/>
    <w:rsid w:val="16AD7D94"/>
    <w:rsid w:val="16B46C09"/>
    <w:rsid w:val="16EA216E"/>
    <w:rsid w:val="17477F57"/>
    <w:rsid w:val="175E0F34"/>
    <w:rsid w:val="17824C23"/>
    <w:rsid w:val="17C23A4A"/>
    <w:rsid w:val="17C4348D"/>
    <w:rsid w:val="18103FD0"/>
    <w:rsid w:val="186B1F1A"/>
    <w:rsid w:val="186D6BAC"/>
    <w:rsid w:val="18C54FC2"/>
    <w:rsid w:val="18D977CA"/>
    <w:rsid w:val="19070890"/>
    <w:rsid w:val="195101C6"/>
    <w:rsid w:val="195736F5"/>
    <w:rsid w:val="198F767F"/>
    <w:rsid w:val="19F96965"/>
    <w:rsid w:val="1A0436B0"/>
    <w:rsid w:val="1A2B5593"/>
    <w:rsid w:val="1A915899"/>
    <w:rsid w:val="1ABF2A75"/>
    <w:rsid w:val="1B2F5490"/>
    <w:rsid w:val="1BA2338F"/>
    <w:rsid w:val="1C081DD4"/>
    <w:rsid w:val="1C296126"/>
    <w:rsid w:val="1C365FC1"/>
    <w:rsid w:val="1C3A6978"/>
    <w:rsid w:val="1C5751E5"/>
    <w:rsid w:val="1C622E27"/>
    <w:rsid w:val="1C8651B5"/>
    <w:rsid w:val="1C8D60F7"/>
    <w:rsid w:val="1C9D0464"/>
    <w:rsid w:val="1D1B05C1"/>
    <w:rsid w:val="1D412711"/>
    <w:rsid w:val="1D811B84"/>
    <w:rsid w:val="1D9D0C87"/>
    <w:rsid w:val="1E737711"/>
    <w:rsid w:val="1E78035A"/>
    <w:rsid w:val="1EBE4420"/>
    <w:rsid w:val="1EDD4C81"/>
    <w:rsid w:val="1F0D4C7F"/>
    <w:rsid w:val="1F6F0BF4"/>
    <w:rsid w:val="1FA12B1D"/>
    <w:rsid w:val="1FF458B4"/>
    <w:rsid w:val="204B5A6F"/>
    <w:rsid w:val="205D4FC4"/>
    <w:rsid w:val="20635618"/>
    <w:rsid w:val="20EC63F2"/>
    <w:rsid w:val="21424748"/>
    <w:rsid w:val="21806E00"/>
    <w:rsid w:val="219655AD"/>
    <w:rsid w:val="21C60F27"/>
    <w:rsid w:val="21E4194F"/>
    <w:rsid w:val="21EA01E3"/>
    <w:rsid w:val="220577ED"/>
    <w:rsid w:val="22274258"/>
    <w:rsid w:val="22405E06"/>
    <w:rsid w:val="22961151"/>
    <w:rsid w:val="22A5181C"/>
    <w:rsid w:val="22AE6D44"/>
    <w:rsid w:val="22BE5CAD"/>
    <w:rsid w:val="22FF5F63"/>
    <w:rsid w:val="23347028"/>
    <w:rsid w:val="23770A7B"/>
    <w:rsid w:val="239B5366"/>
    <w:rsid w:val="23E17175"/>
    <w:rsid w:val="23EF669C"/>
    <w:rsid w:val="23F12241"/>
    <w:rsid w:val="23F53426"/>
    <w:rsid w:val="240943BC"/>
    <w:rsid w:val="24187BB4"/>
    <w:rsid w:val="245A632C"/>
    <w:rsid w:val="24B03A5B"/>
    <w:rsid w:val="251351A2"/>
    <w:rsid w:val="25342843"/>
    <w:rsid w:val="255F77A2"/>
    <w:rsid w:val="257C7FF5"/>
    <w:rsid w:val="25953B87"/>
    <w:rsid w:val="265610B9"/>
    <w:rsid w:val="26696856"/>
    <w:rsid w:val="26A22AE5"/>
    <w:rsid w:val="26BA31BD"/>
    <w:rsid w:val="26CA2CA7"/>
    <w:rsid w:val="26CE11D6"/>
    <w:rsid w:val="2725487D"/>
    <w:rsid w:val="276D3EB1"/>
    <w:rsid w:val="27C45758"/>
    <w:rsid w:val="27EE23EF"/>
    <w:rsid w:val="27F46464"/>
    <w:rsid w:val="27F87D8A"/>
    <w:rsid w:val="28327FB6"/>
    <w:rsid w:val="284626E9"/>
    <w:rsid w:val="287815C6"/>
    <w:rsid w:val="28A24E19"/>
    <w:rsid w:val="28A56D8C"/>
    <w:rsid w:val="28CF3D02"/>
    <w:rsid w:val="28D759DC"/>
    <w:rsid w:val="28E62402"/>
    <w:rsid w:val="290E5F03"/>
    <w:rsid w:val="29572644"/>
    <w:rsid w:val="296F4635"/>
    <w:rsid w:val="297871EC"/>
    <w:rsid w:val="29A10B01"/>
    <w:rsid w:val="29F05ADF"/>
    <w:rsid w:val="2A2933C6"/>
    <w:rsid w:val="2A931EAE"/>
    <w:rsid w:val="2ABE3DDE"/>
    <w:rsid w:val="2B186C8F"/>
    <w:rsid w:val="2B740B6B"/>
    <w:rsid w:val="2B8207C3"/>
    <w:rsid w:val="2BB633C0"/>
    <w:rsid w:val="2BD107BC"/>
    <w:rsid w:val="2BE444C4"/>
    <w:rsid w:val="2BFF07BF"/>
    <w:rsid w:val="2C4445A6"/>
    <w:rsid w:val="2C7D1978"/>
    <w:rsid w:val="2CAB5025"/>
    <w:rsid w:val="2CBB40EF"/>
    <w:rsid w:val="2CC46FE5"/>
    <w:rsid w:val="2CDD3CF2"/>
    <w:rsid w:val="2CE678B3"/>
    <w:rsid w:val="2D1C199A"/>
    <w:rsid w:val="2D362EE8"/>
    <w:rsid w:val="2D705822"/>
    <w:rsid w:val="2DD17A64"/>
    <w:rsid w:val="2E001131"/>
    <w:rsid w:val="2E356803"/>
    <w:rsid w:val="2E741C0D"/>
    <w:rsid w:val="2E77680D"/>
    <w:rsid w:val="2E931A52"/>
    <w:rsid w:val="2EB03F0B"/>
    <w:rsid w:val="2F2912AC"/>
    <w:rsid w:val="2F2F3626"/>
    <w:rsid w:val="2F6F376E"/>
    <w:rsid w:val="2FAB5523"/>
    <w:rsid w:val="2FBE6F16"/>
    <w:rsid w:val="3060772E"/>
    <w:rsid w:val="30974CFA"/>
    <w:rsid w:val="30EE2ED1"/>
    <w:rsid w:val="30F77BFA"/>
    <w:rsid w:val="313F2F53"/>
    <w:rsid w:val="315937B6"/>
    <w:rsid w:val="31854EDB"/>
    <w:rsid w:val="319E1EAF"/>
    <w:rsid w:val="31D064A2"/>
    <w:rsid w:val="31DA7461"/>
    <w:rsid w:val="31DA7D3E"/>
    <w:rsid w:val="31DC7DD4"/>
    <w:rsid w:val="31DF6C3A"/>
    <w:rsid w:val="3293788C"/>
    <w:rsid w:val="32C205B8"/>
    <w:rsid w:val="331D7FE5"/>
    <w:rsid w:val="3339559F"/>
    <w:rsid w:val="336E73BB"/>
    <w:rsid w:val="338E57E1"/>
    <w:rsid w:val="33D30D38"/>
    <w:rsid w:val="33E51FCA"/>
    <w:rsid w:val="34124BAE"/>
    <w:rsid w:val="347A4A2F"/>
    <w:rsid w:val="34C807C9"/>
    <w:rsid w:val="34EC3EA5"/>
    <w:rsid w:val="35552ADD"/>
    <w:rsid w:val="35A0093A"/>
    <w:rsid w:val="36D0788F"/>
    <w:rsid w:val="36ED7EA1"/>
    <w:rsid w:val="371331E9"/>
    <w:rsid w:val="371A4A20"/>
    <w:rsid w:val="371B335A"/>
    <w:rsid w:val="373E1C4E"/>
    <w:rsid w:val="377B62F6"/>
    <w:rsid w:val="37960BA2"/>
    <w:rsid w:val="3799043E"/>
    <w:rsid w:val="37AF2791"/>
    <w:rsid w:val="37B91BD5"/>
    <w:rsid w:val="381E7477"/>
    <w:rsid w:val="386A301D"/>
    <w:rsid w:val="38C80C72"/>
    <w:rsid w:val="38D33FBC"/>
    <w:rsid w:val="38EF3F70"/>
    <w:rsid w:val="38F02DD8"/>
    <w:rsid w:val="393B5C45"/>
    <w:rsid w:val="394339CF"/>
    <w:rsid w:val="39603112"/>
    <w:rsid w:val="397F2478"/>
    <w:rsid w:val="397F3979"/>
    <w:rsid w:val="398F53E2"/>
    <w:rsid w:val="39A4677C"/>
    <w:rsid w:val="3A414A3D"/>
    <w:rsid w:val="3A4B22C2"/>
    <w:rsid w:val="3A4F2F0C"/>
    <w:rsid w:val="3A60099C"/>
    <w:rsid w:val="3A8743AB"/>
    <w:rsid w:val="3AA071B5"/>
    <w:rsid w:val="3ACB0366"/>
    <w:rsid w:val="3B8F67CE"/>
    <w:rsid w:val="3BAB5BE8"/>
    <w:rsid w:val="3BD04777"/>
    <w:rsid w:val="3BFE599C"/>
    <w:rsid w:val="3C314DF4"/>
    <w:rsid w:val="3C3D150C"/>
    <w:rsid w:val="3C7B7154"/>
    <w:rsid w:val="3C7F30CE"/>
    <w:rsid w:val="3CA606F6"/>
    <w:rsid w:val="3CBD26C0"/>
    <w:rsid w:val="3CF71CDA"/>
    <w:rsid w:val="3D286537"/>
    <w:rsid w:val="3D3A05D8"/>
    <w:rsid w:val="3D3A1097"/>
    <w:rsid w:val="3D5D0787"/>
    <w:rsid w:val="3D5E3AC0"/>
    <w:rsid w:val="3D7162A3"/>
    <w:rsid w:val="3D7F639F"/>
    <w:rsid w:val="3E7F7189"/>
    <w:rsid w:val="3E941FCF"/>
    <w:rsid w:val="3E9474C2"/>
    <w:rsid w:val="3ED10D0F"/>
    <w:rsid w:val="3EE678BD"/>
    <w:rsid w:val="3F3703C1"/>
    <w:rsid w:val="3F472174"/>
    <w:rsid w:val="3F6C0E4C"/>
    <w:rsid w:val="3FA27D53"/>
    <w:rsid w:val="405A1880"/>
    <w:rsid w:val="406B1E48"/>
    <w:rsid w:val="40AF376F"/>
    <w:rsid w:val="40BE37B3"/>
    <w:rsid w:val="40CB077A"/>
    <w:rsid w:val="419C1C31"/>
    <w:rsid w:val="41CE3A06"/>
    <w:rsid w:val="41E86753"/>
    <w:rsid w:val="42075BA1"/>
    <w:rsid w:val="42290808"/>
    <w:rsid w:val="4233095D"/>
    <w:rsid w:val="424A0990"/>
    <w:rsid w:val="429D19EF"/>
    <w:rsid w:val="42EB362E"/>
    <w:rsid w:val="431A366E"/>
    <w:rsid w:val="431E30B4"/>
    <w:rsid w:val="43746BF0"/>
    <w:rsid w:val="438003C2"/>
    <w:rsid w:val="4397173E"/>
    <w:rsid w:val="43CE66E5"/>
    <w:rsid w:val="4419359B"/>
    <w:rsid w:val="44197BC9"/>
    <w:rsid w:val="44392EA3"/>
    <w:rsid w:val="446F0A61"/>
    <w:rsid w:val="448A3758"/>
    <w:rsid w:val="44C452FE"/>
    <w:rsid w:val="44DB1FCA"/>
    <w:rsid w:val="44E543F9"/>
    <w:rsid w:val="44E94A69"/>
    <w:rsid w:val="44F16DDB"/>
    <w:rsid w:val="44F45BFE"/>
    <w:rsid w:val="451F65AB"/>
    <w:rsid w:val="45485339"/>
    <w:rsid w:val="457D1432"/>
    <w:rsid w:val="46054AED"/>
    <w:rsid w:val="463A1FEB"/>
    <w:rsid w:val="46603CC1"/>
    <w:rsid w:val="466B401A"/>
    <w:rsid w:val="46CB79DF"/>
    <w:rsid w:val="46EA64C9"/>
    <w:rsid w:val="47241614"/>
    <w:rsid w:val="474E31C6"/>
    <w:rsid w:val="47B247F6"/>
    <w:rsid w:val="47D33438"/>
    <w:rsid w:val="47DC3B6A"/>
    <w:rsid w:val="480D71FC"/>
    <w:rsid w:val="480E6BE3"/>
    <w:rsid w:val="481C4A75"/>
    <w:rsid w:val="4828599F"/>
    <w:rsid w:val="4884619D"/>
    <w:rsid w:val="48987A7C"/>
    <w:rsid w:val="48E92B3F"/>
    <w:rsid w:val="490C7ED1"/>
    <w:rsid w:val="491B5723"/>
    <w:rsid w:val="491F38B6"/>
    <w:rsid w:val="498D0F73"/>
    <w:rsid w:val="498E4155"/>
    <w:rsid w:val="498E47A6"/>
    <w:rsid w:val="49912FAC"/>
    <w:rsid w:val="499A25A6"/>
    <w:rsid w:val="49A32653"/>
    <w:rsid w:val="49BA4330"/>
    <w:rsid w:val="49CA2717"/>
    <w:rsid w:val="49F71AFB"/>
    <w:rsid w:val="4A282681"/>
    <w:rsid w:val="4A2E72F7"/>
    <w:rsid w:val="4A51221D"/>
    <w:rsid w:val="4A7239C5"/>
    <w:rsid w:val="4A9A7B82"/>
    <w:rsid w:val="4AA015A2"/>
    <w:rsid w:val="4B276A01"/>
    <w:rsid w:val="4B94151D"/>
    <w:rsid w:val="4BA615BA"/>
    <w:rsid w:val="4BC13264"/>
    <w:rsid w:val="4BE058C8"/>
    <w:rsid w:val="4C1B436C"/>
    <w:rsid w:val="4C524F04"/>
    <w:rsid w:val="4C6B4F7E"/>
    <w:rsid w:val="4C7402D7"/>
    <w:rsid w:val="4CAD22CE"/>
    <w:rsid w:val="4CC42996"/>
    <w:rsid w:val="4D1760CF"/>
    <w:rsid w:val="4D683DFC"/>
    <w:rsid w:val="4D9B7411"/>
    <w:rsid w:val="4DC30393"/>
    <w:rsid w:val="4DD3727F"/>
    <w:rsid w:val="4DEF7F68"/>
    <w:rsid w:val="4E3E636B"/>
    <w:rsid w:val="4E587722"/>
    <w:rsid w:val="4EC13473"/>
    <w:rsid w:val="4ED72FA3"/>
    <w:rsid w:val="4EE003E8"/>
    <w:rsid w:val="4F0D01F4"/>
    <w:rsid w:val="4F3D70A6"/>
    <w:rsid w:val="4F666DEB"/>
    <w:rsid w:val="4F866730"/>
    <w:rsid w:val="4FBF7ABB"/>
    <w:rsid w:val="4FE025E0"/>
    <w:rsid w:val="501F3880"/>
    <w:rsid w:val="5046043D"/>
    <w:rsid w:val="50836D3A"/>
    <w:rsid w:val="50E27F05"/>
    <w:rsid w:val="511002E9"/>
    <w:rsid w:val="514905BF"/>
    <w:rsid w:val="51652A09"/>
    <w:rsid w:val="516F6E2B"/>
    <w:rsid w:val="51D71537"/>
    <w:rsid w:val="51EC2BE8"/>
    <w:rsid w:val="5203503D"/>
    <w:rsid w:val="521C525B"/>
    <w:rsid w:val="522B24BC"/>
    <w:rsid w:val="52334D75"/>
    <w:rsid w:val="52443778"/>
    <w:rsid w:val="52A35F4C"/>
    <w:rsid w:val="538D602C"/>
    <w:rsid w:val="5452328A"/>
    <w:rsid w:val="54997340"/>
    <w:rsid w:val="54B559D4"/>
    <w:rsid w:val="54D408AE"/>
    <w:rsid w:val="54DE024F"/>
    <w:rsid w:val="54EC5F79"/>
    <w:rsid w:val="54FB5444"/>
    <w:rsid w:val="54FD1102"/>
    <w:rsid w:val="55055F70"/>
    <w:rsid w:val="55090A19"/>
    <w:rsid w:val="551E3F9E"/>
    <w:rsid w:val="554615BE"/>
    <w:rsid w:val="55A14FAB"/>
    <w:rsid w:val="55A81752"/>
    <w:rsid w:val="55B6370E"/>
    <w:rsid w:val="55CF47D0"/>
    <w:rsid w:val="55D3794A"/>
    <w:rsid w:val="55EC4565"/>
    <w:rsid w:val="561B3B00"/>
    <w:rsid w:val="563F467C"/>
    <w:rsid w:val="56455FAE"/>
    <w:rsid w:val="56BB0943"/>
    <w:rsid w:val="56F52014"/>
    <w:rsid w:val="56FA14FB"/>
    <w:rsid w:val="5711210B"/>
    <w:rsid w:val="573E0403"/>
    <w:rsid w:val="57705680"/>
    <w:rsid w:val="57846A77"/>
    <w:rsid w:val="57A07230"/>
    <w:rsid w:val="580A0B02"/>
    <w:rsid w:val="58185268"/>
    <w:rsid w:val="585C7C6C"/>
    <w:rsid w:val="589A10C5"/>
    <w:rsid w:val="59063942"/>
    <w:rsid w:val="5963595B"/>
    <w:rsid w:val="59B70A90"/>
    <w:rsid w:val="59CD6C42"/>
    <w:rsid w:val="59DD7E29"/>
    <w:rsid w:val="59E142EA"/>
    <w:rsid w:val="5A285C48"/>
    <w:rsid w:val="5A730A8D"/>
    <w:rsid w:val="5A7667C4"/>
    <w:rsid w:val="5A7C37B6"/>
    <w:rsid w:val="5AC34BDF"/>
    <w:rsid w:val="5AE40AA6"/>
    <w:rsid w:val="5AF03874"/>
    <w:rsid w:val="5B430A76"/>
    <w:rsid w:val="5B547984"/>
    <w:rsid w:val="5B6B69D5"/>
    <w:rsid w:val="5B9733E6"/>
    <w:rsid w:val="5C0D40D4"/>
    <w:rsid w:val="5C477069"/>
    <w:rsid w:val="5C894C91"/>
    <w:rsid w:val="5C8A644F"/>
    <w:rsid w:val="5CA1330F"/>
    <w:rsid w:val="5CA2659C"/>
    <w:rsid w:val="5D260F62"/>
    <w:rsid w:val="5D32359D"/>
    <w:rsid w:val="5D7C5344"/>
    <w:rsid w:val="5D8B444C"/>
    <w:rsid w:val="5D8C7D92"/>
    <w:rsid w:val="5D8E4A13"/>
    <w:rsid w:val="5DAA76A0"/>
    <w:rsid w:val="5DDF2E56"/>
    <w:rsid w:val="5E924C91"/>
    <w:rsid w:val="5EAC3900"/>
    <w:rsid w:val="5EDD4008"/>
    <w:rsid w:val="5EFE7FE1"/>
    <w:rsid w:val="5F0F09B8"/>
    <w:rsid w:val="5F425D63"/>
    <w:rsid w:val="5F426012"/>
    <w:rsid w:val="5F4317C5"/>
    <w:rsid w:val="5F697993"/>
    <w:rsid w:val="5FC627A0"/>
    <w:rsid w:val="5FCD6B44"/>
    <w:rsid w:val="5FDB31BD"/>
    <w:rsid w:val="60194FC5"/>
    <w:rsid w:val="601B1C59"/>
    <w:rsid w:val="6042276E"/>
    <w:rsid w:val="609C7CF5"/>
    <w:rsid w:val="60C419CC"/>
    <w:rsid w:val="611E1D80"/>
    <w:rsid w:val="613C538C"/>
    <w:rsid w:val="614D7AEA"/>
    <w:rsid w:val="61875606"/>
    <w:rsid w:val="6189714C"/>
    <w:rsid w:val="619C4100"/>
    <w:rsid w:val="61C27FCD"/>
    <w:rsid w:val="61EC2CBD"/>
    <w:rsid w:val="622B75BC"/>
    <w:rsid w:val="6262667A"/>
    <w:rsid w:val="6270769E"/>
    <w:rsid w:val="632779F9"/>
    <w:rsid w:val="63317327"/>
    <w:rsid w:val="63B92307"/>
    <w:rsid w:val="63E600AB"/>
    <w:rsid w:val="64144421"/>
    <w:rsid w:val="6442222B"/>
    <w:rsid w:val="64786844"/>
    <w:rsid w:val="647E2E1D"/>
    <w:rsid w:val="65136487"/>
    <w:rsid w:val="652E3E8A"/>
    <w:rsid w:val="65436D44"/>
    <w:rsid w:val="654A755C"/>
    <w:rsid w:val="65624D19"/>
    <w:rsid w:val="65857E01"/>
    <w:rsid w:val="659B73A8"/>
    <w:rsid w:val="65C77D39"/>
    <w:rsid w:val="65DC72BF"/>
    <w:rsid w:val="663D2859"/>
    <w:rsid w:val="665C57C7"/>
    <w:rsid w:val="66636F9A"/>
    <w:rsid w:val="668F6971"/>
    <w:rsid w:val="66FD0CE0"/>
    <w:rsid w:val="67A70A1D"/>
    <w:rsid w:val="68014AED"/>
    <w:rsid w:val="680B28EF"/>
    <w:rsid w:val="68584742"/>
    <w:rsid w:val="68617509"/>
    <w:rsid w:val="68996317"/>
    <w:rsid w:val="68AB1BD6"/>
    <w:rsid w:val="68C10D85"/>
    <w:rsid w:val="68EC14C9"/>
    <w:rsid w:val="696700E4"/>
    <w:rsid w:val="69AB071F"/>
    <w:rsid w:val="69BF1D96"/>
    <w:rsid w:val="69C151D9"/>
    <w:rsid w:val="69CB5663"/>
    <w:rsid w:val="69DF6807"/>
    <w:rsid w:val="69E25F7F"/>
    <w:rsid w:val="6A1467F5"/>
    <w:rsid w:val="6A5212BC"/>
    <w:rsid w:val="6A551DB1"/>
    <w:rsid w:val="6A8951B7"/>
    <w:rsid w:val="6AA21D5B"/>
    <w:rsid w:val="6AC23C05"/>
    <w:rsid w:val="6AC81AC2"/>
    <w:rsid w:val="6B454397"/>
    <w:rsid w:val="6B527601"/>
    <w:rsid w:val="6B882FFF"/>
    <w:rsid w:val="6BB97128"/>
    <w:rsid w:val="6BD277E8"/>
    <w:rsid w:val="6BFD2A28"/>
    <w:rsid w:val="6C4D1349"/>
    <w:rsid w:val="6C796E3D"/>
    <w:rsid w:val="6C94573D"/>
    <w:rsid w:val="6CCD7863"/>
    <w:rsid w:val="6CD01FD8"/>
    <w:rsid w:val="6D2B435B"/>
    <w:rsid w:val="6D4F2E1E"/>
    <w:rsid w:val="6D686457"/>
    <w:rsid w:val="6E090100"/>
    <w:rsid w:val="6E1317EA"/>
    <w:rsid w:val="6E18557C"/>
    <w:rsid w:val="6E2A39A8"/>
    <w:rsid w:val="6E421B8B"/>
    <w:rsid w:val="6EEB3FD1"/>
    <w:rsid w:val="6F1E158B"/>
    <w:rsid w:val="705C33D8"/>
    <w:rsid w:val="70E57FB0"/>
    <w:rsid w:val="7118355C"/>
    <w:rsid w:val="71310664"/>
    <w:rsid w:val="71407058"/>
    <w:rsid w:val="71474024"/>
    <w:rsid w:val="715E3875"/>
    <w:rsid w:val="71880D86"/>
    <w:rsid w:val="71904781"/>
    <w:rsid w:val="71BC6783"/>
    <w:rsid w:val="71E81787"/>
    <w:rsid w:val="724A4BB5"/>
    <w:rsid w:val="725F0F5E"/>
    <w:rsid w:val="7280279E"/>
    <w:rsid w:val="729969F1"/>
    <w:rsid w:val="72BF0905"/>
    <w:rsid w:val="72FD2F26"/>
    <w:rsid w:val="73224FA8"/>
    <w:rsid w:val="73314D95"/>
    <w:rsid w:val="736A4BEB"/>
    <w:rsid w:val="736B59F6"/>
    <w:rsid w:val="737D7BDD"/>
    <w:rsid w:val="73A801D6"/>
    <w:rsid w:val="73B3482C"/>
    <w:rsid w:val="73C90EA6"/>
    <w:rsid w:val="73CD68AC"/>
    <w:rsid w:val="74094773"/>
    <w:rsid w:val="744E101C"/>
    <w:rsid w:val="744F47EA"/>
    <w:rsid w:val="745656E1"/>
    <w:rsid w:val="74AA6190"/>
    <w:rsid w:val="74AD1034"/>
    <w:rsid w:val="74D47662"/>
    <w:rsid w:val="7514378C"/>
    <w:rsid w:val="752C3C1A"/>
    <w:rsid w:val="75460086"/>
    <w:rsid w:val="754C0E77"/>
    <w:rsid w:val="76FA4F51"/>
    <w:rsid w:val="77786AEB"/>
    <w:rsid w:val="77795FA5"/>
    <w:rsid w:val="777E374F"/>
    <w:rsid w:val="77847292"/>
    <w:rsid w:val="779B65CD"/>
    <w:rsid w:val="77D31774"/>
    <w:rsid w:val="77E15F71"/>
    <w:rsid w:val="78301166"/>
    <w:rsid w:val="78306EF8"/>
    <w:rsid w:val="78521C9F"/>
    <w:rsid w:val="785666CE"/>
    <w:rsid w:val="789310AD"/>
    <w:rsid w:val="78A415AC"/>
    <w:rsid w:val="78DE6AD7"/>
    <w:rsid w:val="78E657AE"/>
    <w:rsid w:val="79087668"/>
    <w:rsid w:val="7918591A"/>
    <w:rsid w:val="795127FF"/>
    <w:rsid w:val="796C0DCE"/>
    <w:rsid w:val="7A1F413B"/>
    <w:rsid w:val="7A2D3750"/>
    <w:rsid w:val="7B1E12EC"/>
    <w:rsid w:val="7B5411A9"/>
    <w:rsid w:val="7BA55800"/>
    <w:rsid w:val="7BCC46AA"/>
    <w:rsid w:val="7BD8247F"/>
    <w:rsid w:val="7C060D6E"/>
    <w:rsid w:val="7C5D655B"/>
    <w:rsid w:val="7C97027F"/>
    <w:rsid w:val="7D1F0D16"/>
    <w:rsid w:val="7D746018"/>
    <w:rsid w:val="7D813F51"/>
    <w:rsid w:val="7D824625"/>
    <w:rsid w:val="7DCB087D"/>
    <w:rsid w:val="7E451012"/>
    <w:rsid w:val="7E486AA7"/>
    <w:rsid w:val="7E7570E2"/>
    <w:rsid w:val="7E8C53E6"/>
    <w:rsid w:val="7EE249C8"/>
    <w:rsid w:val="7EEF264D"/>
    <w:rsid w:val="7EF667A6"/>
    <w:rsid w:val="7F507EDF"/>
    <w:rsid w:val="7F925919"/>
    <w:rsid w:val="7FB4038B"/>
    <w:rsid w:val="7FCC253D"/>
    <w:rsid w:val="7FF076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color w:val="000000"/>
      <w:sz w:val="21"/>
      <w:szCs w:val="21"/>
      <w:lang w:val="en-US" w:eastAsia="zh-CN" w:bidi="ar-SA"/>
    </w:rPr>
  </w:style>
  <w:style w:type="paragraph" w:styleId="3">
    <w:name w:val="heading 1"/>
    <w:basedOn w:val="1"/>
    <w:next w:val="4"/>
    <w:link w:val="39"/>
    <w:qFormat/>
    <w:uiPriority w:val="0"/>
    <w:pPr>
      <w:keepNext/>
      <w:keepLines/>
      <w:spacing w:before="340" w:after="330" w:line="578" w:lineRule="auto"/>
      <w:outlineLvl w:val="0"/>
    </w:pPr>
    <w:rPr>
      <w:b/>
      <w:kern w:val="44"/>
      <w:sz w:val="44"/>
    </w:rPr>
  </w:style>
  <w:style w:type="paragraph" w:styleId="2">
    <w:name w:val="heading 2"/>
    <w:basedOn w:val="1"/>
    <w:next w:val="1"/>
    <w:link w:val="38"/>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5">
    <w:name w:val="heading 3"/>
    <w:basedOn w:val="2"/>
    <w:next w:val="4"/>
    <w:qFormat/>
    <w:uiPriority w:val="99"/>
    <w:pPr>
      <w:keepNext/>
      <w:keepLines/>
      <w:numPr>
        <w:ilvl w:val="2"/>
        <w:numId w:val="1"/>
      </w:numPr>
      <w:adjustRightInd w:val="0"/>
      <w:spacing w:before="260" w:after="260" w:line="416" w:lineRule="atLeast"/>
      <w:textAlignment w:val="baseline"/>
      <w:outlineLvl w:val="2"/>
    </w:pPr>
    <w:rPr>
      <w:kern w:val="0"/>
      <w:sz w:val="32"/>
      <w:szCs w:val="20"/>
    </w:rPr>
  </w:style>
  <w:style w:type="paragraph" w:styleId="6">
    <w:name w:val="heading 4"/>
    <w:basedOn w:val="1"/>
    <w:next w:val="1"/>
    <w:qFormat/>
    <w:uiPriority w:val="9"/>
    <w:pPr>
      <w:keepNext/>
      <w:keepLines/>
      <w:outlineLvl w:val="3"/>
    </w:pPr>
    <w:rPr>
      <w:rFonts w:ascii="Cambria" w:hAnsi="Cambria"/>
      <w:b/>
      <w:bCs/>
      <w:szCs w:val="28"/>
    </w:rPr>
  </w:style>
  <w:style w:type="character" w:default="1" w:styleId="33">
    <w:name w:val="Default Paragraph Font"/>
    <w:unhideWhenUsed/>
    <w:qFormat/>
    <w:uiPriority w:val="1"/>
  </w:style>
  <w:style w:type="table" w:default="1" w:styleId="31">
    <w:name w:val="Normal Table"/>
    <w:unhideWhenUsed/>
    <w:qFormat/>
    <w:uiPriority w:val="99"/>
    <w:tblPr>
      <w:tblStyle w:val="31"/>
      <w:tblCellMar>
        <w:top w:w="0" w:type="dxa"/>
        <w:left w:w="108" w:type="dxa"/>
        <w:bottom w:w="0" w:type="dxa"/>
        <w:right w:w="108" w:type="dxa"/>
      </w:tblCellMar>
    </w:tblPr>
  </w:style>
  <w:style w:type="paragraph" w:customStyle="1" w:styleId="4">
    <w:name w:val="HTZH-正文格式"/>
    <w:basedOn w:val="1"/>
    <w:qFormat/>
    <w:uiPriority w:val="0"/>
    <w:pPr>
      <w:ind w:firstLine="560"/>
    </w:pPr>
    <w:rPr>
      <w:rFonts w:ascii="Times New Roman" w:hAnsi="Times New Roman"/>
      <w:kern w:val="0"/>
      <w:szCs w:val="20"/>
    </w:rPr>
  </w:style>
  <w:style w:type="paragraph" w:styleId="7">
    <w:name w:val="table of authorities"/>
    <w:basedOn w:val="1"/>
    <w:next w:val="1"/>
    <w:unhideWhenUsed/>
    <w:qFormat/>
    <w:uiPriority w:val="99"/>
    <w:pPr>
      <w:ind w:left="420" w:leftChars="200"/>
    </w:pPr>
  </w:style>
  <w:style w:type="paragraph" w:styleId="8">
    <w:name w:val="List Number"/>
    <w:basedOn w:val="1"/>
    <w:qFormat/>
    <w:uiPriority w:val="0"/>
    <w:pPr>
      <w:widowControl/>
      <w:tabs>
        <w:tab w:val="left" w:pos="360"/>
        <w:tab w:val="left" w:pos="720"/>
      </w:tabs>
      <w:autoSpaceDE/>
      <w:autoSpaceDN/>
      <w:adjustRightInd/>
      <w:spacing w:afterLines="50"/>
      <w:ind w:left="360" w:hanging="360"/>
      <w:jc w:val="left"/>
    </w:pPr>
    <w:rPr>
      <w:color w:val="auto"/>
      <w:sz w:val="24"/>
      <w:szCs w:val="20"/>
    </w:rPr>
  </w:style>
  <w:style w:type="paragraph" w:styleId="9">
    <w:name w:val="Normal Indent"/>
    <w:basedOn w:val="1"/>
    <w:next w:val="10"/>
    <w:link w:val="40"/>
    <w:qFormat/>
    <w:uiPriority w:val="0"/>
    <w:pPr>
      <w:autoSpaceDE/>
      <w:autoSpaceDN/>
      <w:adjustRightInd/>
      <w:ind w:firstLine="420"/>
    </w:pPr>
    <w:rPr>
      <w:color w:val="auto"/>
      <w:kern w:val="2"/>
      <w:szCs w:val="20"/>
    </w:rPr>
  </w:style>
  <w:style w:type="paragraph" w:styleId="10">
    <w:name w:val="Body Text Indent"/>
    <w:basedOn w:val="1"/>
    <w:next w:val="11"/>
    <w:link w:val="41"/>
    <w:qFormat/>
    <w:uiPriority w:val="0"/>
    <w:pPr>
      <w:spacing w:after="120"/>
      <w:ind w:left="420" w:leftChars="200"/>
    </w:pPr>
  </w:style>
  <w:style w:type="paragraph" w:styleId="11">
    <w:name w:val="Body Text First Indent 2"/>
    <w:basedOn w:val="10"/>
    <w:next w:val="12"/>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12">
    <w:name w:val="xl53"/>
    <w:basedOn w:val="1"/>
    <w:next w:val="1"/>
    <w:qFormat/>
    <w:uiPriority w:val="0"/>
    <w:pPr>
      <w:spacing w:before="280" w:after="280" w:line="100" w:lineRule="exact"/>
      <w:jc w:val="center"/>
    </w:pPr>
    <w:rPr>
      <w:b/>
      <w:sz w:val="20"/>
    </w:rPr>
  </w:style>
  <w:style w:type="paragraph" w:styleId="13">
    <w:name w:val="index 5"/>
    <w:basedOn w:val="1"/>
    <w:next w:val="1"/>
    <w:qFormat/>
    <w:uiPriority w:val="0"/>
    <w:pPr>
      <w:ind w:left="800" w:leftChars="800"/>
    </w:pPr>
  </w:style>
  <w:style w:type="paragraph" w:styleId="14">
    <w:name w:val="Body Text 3"/>
    <w:basedOn w:val="1"/>
    <w:unhideWhenUsed/>
    <w:qFormat/>
    <w:uiPriority w:val="99"/>
    <w:pPr>
      <w:spacing w:after="120"/>
    </w:pPr>
    <w:rPr>
      <w:sz w:val="16"/>
      <w:szCs w:val="16"/>
    </w:rPr>
  </w:style>
  <w:style w:type="paragraph" w:styleId="15">
    <w:name w:val="Body Text"/>
    <w:basedOn w:val="1"/>
    <w:next w:val="16"/>
    <w:link w:val="42"/>
    <w:qFormat/>
    <w:uiPriority w:val="0"/>
    <w:pPr>
      <w:spacing w:after="120"/>
    </w:pPr>
  </w:style>
  <w:style w:type="paragraph" w:styleId="16">
    <w:name w:val="Body Text First Indent"/>
    <w:basedOn w:val="15"/>
    <w:next w:val="17"/>
    <w:qFormat/>
    <w:uiPriority w:val="0"/>
    <w:pPr>
      <w:autoSpaceDE/>
      <w:autoSpaceDN/>
      <w:adjustRightInd/>
      <w:ind w:firstLine="420" w:firstLineChars="100"/>
    </w:pPr>
    <w:rPr>
      <w:rFonts w:ascii="Calibri" w:hAnsi="Calibri"/>
      <w:color w:val="auto"/>
      <w:kern w:val="2"/>
      <w:szCs w:val="24"/>
      <w:lang w:val="en-US" w:eastAsia="zh-CN"/>
    </w:rPr>
  </w:style>
  <w:style w:type="paragraph" w:styleId="17">
    <w:name w:val="toc 6"/>
    <w:basedOn w:val="1"/>
    <w:next w:val="1"/>
    <w:unhideWhenUsed/>
    <w:qFormat/>
    <w:uiPriority w:val="39"/>
    <w:pPr>
      <w:ind w:left="2100" w:leftChars="1000"/>
    </w:pPr>
    <w:rPr>
      <w:rFonts w:ascii="Calibri" w:hAnsi="Calibri" w:eastAsia="宋体" w:cs="Times New Roman"/>
      <w:szCs w:val="22"/>
    </w:rPr>
  </w:style>
  <w:style w:type="paragraph" w:styleId="18">
    <w:name w:val="List Number 3"/>
    <w:basedOn w:val="1"/>
    <w:qFormat/>
    <w:uiPriority w:val="0"/>
    <w:pPr>
      <w:tabs>
        <w:tab w:val="left" w:pos="1200"/>
      </w:tabs>
      <w:ind w:left="1200" w:leftChars="400" w:hanging="360" w:hangingChars="200"/>
    </w:pPr>
  </w:style>
  <w:style w:type="paragraph" w:styleId="19">
    <w:name w:val="Plain Text"/>
    <w:basedOn w:val="1"/>
    <w:next w:val="1"/>
    <w:link w:val="43"/>
    <w:qFormat/>
    <w:uiPriority w:val="0"/>
    <w:pPr>
      <w:autoSpaceDE/>
      <w:autoSpaceDN/>
      <w:adjustRightInd/>
    </w:pPr>
    <w:rPr>
      <w:color w:val="auto"/>
      <w:kern w:val="2"/>
      <w:sz w:val="24"/>
      <w:szCs w:val="20"/>
    </w:rPr>
  </w:style>
  <w:style w:type="paragraph" w:styleId="20">
    <w:name w:val="Date"/>
    <w:basedOn w:val="1"/>
    <w:next w:val="1"/>
    <w:link w:val="44"/>
    <w:qFormat/>
    <w:uiPriority w:val="0"/>
    <w:pPr>
      <w:ind w:left="100" w:leftChars="2500"/>
    </w:pPr>
  </w:style>
  <w:style w:type="paragraph" w:styleId="21">
    <w:name w:val="Balloon Text"/>
    <w:basedOn w:val="1"/>
    <w:link w:val="45"/>
    <w:unhideWhenUsed/>
    <w:qFormat/>
    <w:uiPriority w:val="99"/>
    <w:rPr>
      <w:sz w:val="18"/>
      <w:szCs w:val="18"/>
    </w:rPr>
  </w:style>
  <w:style w:type="paragraph" w:styleId="22">
    <w:name w:val="footer"/>
    <w:basedOn w:val="1"/>
    <w:link w:val="46"/>
    <w:qFormat/>
    <w:uiPriority w:val="0"/>
    <w:pPr>
      <w:tabs>
        <w:tab w:val="center" w:pos="4153"/>
        <w:tab w:val="right" w:pos="8306"/>
      </w:tabs>
      <w:snapToGrid w:val="0"/>
      <w:jc w:val="left"/>
    </w:pPr>
    <w:rPr>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5">
    <w:name w:val="footnote text"/>
    <w:basedOn w:val="1"/>
    <w:qFormat/>
    <w:uiPriority w:val="99"/>
    <w:pPr>
      <w:jc w:val="left"/>
    </w:pPr>
    <w:rPr>
      <w:kern w:val="1"/>
      <w:sz w:val="18"/>
    </w:rPr>
  </w:style>
  <w:style w:type="paragraph" w:styleId="26">
    <w:name w:val="Body Text Indent 3"/>
    <w:basedOn w:val="1"/>
    <w:link w:val="48"/>
    <w:qFormat/>
    <w:uiPriority w:val="0"/>
    <w:pPr>
      <w:autoSpaceDE/>
      <w:autoSpaceDN/>
      <w:adjustRightInd/>
      <w:ind w:firstLine="435"/>
    </w:pPr>
    <w:rPr>
      <w:color w:val="auto"/>
      <w:kern w:val="2"/>
      <w:szCs w:val="24"/>
    </w:rPr>
  </w:style>
  <w:style w:type="paragraph" w:styleId="27">
    <w:name w:val="index 7"/>
    <w:basedOn w:val="1"/>
    <w:next w:val="1"/>
    <w:qFormat/>
    <w:uiPriority w:val="0"/>
    <w:pPr>
      <w:autoSpaceDE/>
      <w:autoSpaceDN/>
      <w:adjustRightInd/>
      <w:ind w:left="1200" w:leftChars="1200"/>
    </w:pPr>
    <w:rPr>
      <w:rFonts w:ascii="Times New Roman" w:hAnsi="Times New Roman" w:eastAsia="宋体" w:cs="Times New Roman"/>
      <w:color w:val="auto"/>
      <w:kern w:val="2"/>
      <w:szCs w:val="24"/>
    </w:rPr>
  </w:style>
  <w:style w:type="paragraph" w:styleId="28">
    <w:name w:val="Body Text 2"/>
    <w:basedOn w:val="1"/>
    <w:link w:val="49"/>
    <w:qFormat/>
    <w:uiPriority w:val="0"/>
    <w:pPr>
      <w:spacing w:after="120" w:line="480" w:lineRule="auto"/>
    </w:pPr>
  </w:style>
  <w:style w:type="paragraph" w:styleId="2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30">
    <w:name w:val="Title"/>
    <w:basedOn w:val="1"/>
    <w:next w:val="1"/>
    <w:qFormat/>
    <w:uiPriority w:val="0"/>
    <w:pPr>
      <w:spacing w:before="240" w:after="60"/>
      <w:jc w:val="center"/>
      <w:outlineLvl w:val="0"/>
    </w:pPr>
    <w:rPr>
      <w:rFonts w:ascii="Arial" w:hAnsi="Arial" w:eastAsia="宋体" w:cs="Arial"/>
      <w:b/>
      <w:bCs/>
      <w:color w:val="000000"/>
      <w:sz w:val="32"/>
      <w:szCs w:val="32"/>
    </w:rPr>
  </w:style>
  <w:style w:type="table" w:styleId="32">
    <w:name w:val="Table Grid"/>
    <w:basedOn w:val="31"/>
    <w:qFormat/>
    <w:uiPriority w:val="0"/>
    <w:pPr>
      <w:widowControl w:val="0"/>
      <w:jc w:val="both"/>
    </w:p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style>
  <w:style w:type="character" w:styleId="36">
    <w:name w:val="FollowedHyperlink"/>
    <w:unhideWhenUsed/>
    <w:uiPriority w:val="99"/>
    <w:rPr>
      <w:color w:val="800080"/>
      <w:u w:val="none"/>
    </w:rPr>
  </w:style>
  <w:style w:type="character" w:styleId="37">
    <w:name w:val="Hyperlink"/>
    <w:qFormat/>
    <w:uiPriority w:val="0"/>
    <w:rPr>
      <w:color w:val="0000FF"/>
      <w:u w:val="none"/>
    </w:rPr>
  </w:style>
  <w:style w:type="character" w:customStyle="1" w:styleId="38">
    <w:name w:val="标题 2 Char"/>
    <w:link w:val="2"/>
    <w:qFormat/>
    <w:uiPriority w:val="0"/>
    <w:rPr>
      <w:rFonts w:ascii="Arial" w:hAnsi="Arial" w:eastAsia="黑体" w:cs="Times New Roman"/>
      <w:b/>
      <w:bCs/>
      <w:sz w:val="32"/>
      <w:szCs w:val="32"/>
    </w:rPr>
  </w:style>
  <w:style w:type="character" w:customStyle="1" w:styleId="39">
    <w:name w:val="标题 1 Char"/>
    <w:link w:val="3"/>
    <w:qFormat/>
    <w:uiPriority w:val="0"/>
    <w:rPr>
      <w:rFonts w:ascii="Times New Roman" w:hAnsi="Times New Roman" w:eastAsia="宋体" w:cs="Times New Roman"/>
      <w:b/>
      <w:color w:val="000000"/>
      <w:kern w:val="44"/>
      <w:sz w:val="44"/>
      <w:szCs w:val="21"/>
    </w:rPr>
  </w:style>
  <w:style w:type="character" w:customStyle="1" w:styleId="40">
    <w:name w:val="正文缩进 Char"/>
    <w:link w:val="9"/>
    <w:qFormat/>
    <w:uiPriority w:val="0"/>
    <w:rPr>
      <w:rFonts w:ascii="Times New Roman" w:hAnsi="Times New Roman" w:eastAsia="宋体" w:cs="Times New Roman"/>
      <w:szCs w:val="20"/>
    </w:rPr>
  </w:style>
  <w:style w:type="character" w:customStyle="1" w:styleId="41">
    <w:name w:val="正文文本缩进 Char"/>
    <w:link w:val="10"/>
    <w:qFormat/>
    <w:uiPriority w:val="0"/>
    <w:rPr>
      <w:rFonts w:ascii="Times New Roman" w:hAnsi="Times New Roman" w:eastAsia="宋体" w:cs="Times New Roman"/>
      <w:color w:val="000000"/>
      <w:kern w:val="0"/>
      <w:szCs w:val="21"/>
    </w:rPr>
  </w:style>
  <w:style w:type="character" w:customStyle="1" w:styleId="42">
    <w:name w:val="正文文本 Char"/>
    <w:link w:val="15"/>
    <w:qFormat/>
    <w:uiPriority w:val="0"/>
    <w:rPr>
      <w:rFonts w:ascii="Times New Roman" w:hAnsi="Times New Roman" w:eastAsia="宋体" w:cs="Times New Roman"/>
      <w:color w:val="000000"/>
      <w:kern w:val="0"/>
      <w:szCs w:val="21"/>
    </w:rPr>
  </w:style>
  <w:style w:type="character" w:customStyle="1" w:styleId="43">
    <w:name w:val="纯文本 Char1"/>
    <w:link w:val="19"/>
    <w:qFormat/>
    <w:locked/>
    <w:uiPriority w:val="0"/>
    <w:rPr>
      <w:rFonts w:ascii="Times New Roman" w:hAnsi="Times New Roman" w:eastAsia="宋体" w:cs="Times New Roman"/>
      <w:sz w:val="24"/>
      <w:szCs w:val="20"/>
    </w:rPr>
  </w:style>
  <w:style w:type="character" w:customStyle="1" w:styleId="44">
    <w:name w:val="日期 Char"/>
    <w:link w:val="20"/>
    <w:qFormat/>
    <w:uiPriority w:val="0"/>
    <w:rPr>
      <w:rFonts w:ascii="Times New Roman" w:hAnsi="Times New Roman" w:eastAsia="宋体" w:cs="Times New Roman"/>
      <w:color w:val="000000"/>
      <w:kern w:val="0"/>
      <w:szCs w:val="21"/>
    </w:rPr>
  </w:style>
  <w:style w:type="character" w:customStyle="1" w:styleId="45">
    <w:name w:val="批注框文本 Char"/>
    <w:link w:val="21"/>
    <w:semiHidden/>
    <w:qFormat/>
    <w:uiPriority w:val="99"/>
    <w:rPr>
      <w:rFonts w:ascii="Times New Roman" w:hAnsi="Times New Roman" w:eastAsia="宋体" w:cs="Times New Roman"/>
      <w:color w:val="000000"/>
      <w:kern w:val="0"/>
      <w:sz w:val="18"/>
      <w:szCs w:val="18"/>
    </w:rPr>
  </w:style>
  <w:style w:type="character" w:customStyle="1" w:styleId="46">
    <w:name w:val="页脚 Char"/>
    <w:link w:val="22"/>
    <w:qFormat/>
    <w:uiPriority w:val="0"/>
    <w:rPr>
      <w:rFonts w:ascii="Times New Roman" w:hAnsi="Times New Roman" w:eastAsia="宋体" w:cs="Times New Roman"/>
      <w:color w:val="000000"/>
      <w:kern w:val="0"/>
      <w:sz w:val="18"/>
      <w:szCs w:val="18"/>
    </w:rPr>
  </w:style>
  <w:style w:type="character" w:customStyle="1" w:styleId="47">
    <w:name w:val="页眉 Char"/>
    <w:link w:val="24"/>
    <w:qFormat/>
    <w:uiPriority w:val="0"/>
    <w:rPr>
      <w:rFonts w:ascii="Times New Roman" w:hAnsi="Times New Roman" w:eastAsia="宋体" w:cs="Times New Roman"/>
      <w:color w:val="000000"/>
      <w:kern w:val="0"/>
      <w:sz w:val="18"/>
      <w:szCs w:val="18"/>
    </w:rPr>
  </w:style>
  <w:style w:type="character" w:customStyle="1" w:styleId="48">
    <w:name w:val="正文文本缩进 3 Char"/>
    <w:link w:val="26"/>
    <w:qFormat/>
    <w:uiPriority w:val="0"/>
    <w:rPr>
      <w:rFonts w:ascii="Times New Roman" w:hAnsi="Times New Roman" w:eastAsia="宋体" w:cs="Times New Roman"/>
      <w:szCs w:val="24"/>
    </w:rPr>
  </w:style>
  <w:style w:type="character" w:customStyle="1" w:styleId="49">
    <w:name w:val="正文文本 2 Char"/>
    <w:link w:val="28"/>
    <w:qFormat/>
    <w:uiPriority w:val="0"/>
    <w:rPr>
      <w:rFonts w:ascii="Times New Roman" w:hAnsi="Times New Roman" w:eastAsia="宋体" w:cs="Times New Roman"/>
      <w:color w:val="000000"/>
      <w:kern w:val="0"/>
      <w:szCs w:val="21"/>
    </w:rPr>
  </w:style>
  <w:style w:type="character" w:customStyle="1" w:styleId="50">
    <w:name w:val="font31"/>
    <w:qFormat/>
    <w:uiPriority w:val="0"/>
    <w:rPr>
      <w:rFonts w:hint="eastAsia" w:ascii="宋体" w:hAnsi="宋体" w:eastAsia="宋体" w:cs="宋体"/>
      <w:color w:val="000000"/>
      <w:sz w:val="24"/>
      <w:szCs w:val="24"/>
      <w:u w:val="none"/>
    </w:rPr>
  </w:style>
  <w:style w:type="character" w:customStyle="1" w:styleId="51">
    <w:name w:val="纯文本 Char"/>
    <w:qFormat/>
    <w:uiPriority w:val="0"/>
    <w:rPr>
      <w:rFonts w:ascii="宋体" w:hAnsi="Courier New" w:eastAsia="宋体" w:cs="Courier New"/>
      <w:color w:val="000000"/>
      <w:kern w:val="0"/>
      <w:szCs w:val="21"/>
    </w:rPr>
  </w:style>
  <w:style w:type="character" w:customStyle="1" w:styleId="52">
    <w:name w:val="正文文字2 Char"/>
    <w:link w:val="53"/>
    <w:qFormat/>
    <w:uiPriority w:val="0"/>
    <w:rPr>
      <w:rFonts w:ascii="Arial" w:hAnsi="Times New Roman" w:eastAsia="黑体" w:cs="Times New Roman"/>
      <w:kern w:val="0"/>
      <w:sz w:val="20"/>
      <w:szCs w:val="20"/>
    </w:rPr>
  </w:style>
  <w:style w:type="paragraph" w:customStyle="1" w:styleId="53">
    <w:name w:val="正文文字2"/>
    <w:basedOn w:val="15"/>
    <w:link w:val="52"/>
    <w:qFormat/>
    <w:uiPriority w:val="0"/>
    <w:pPr>
      <w:autoSpaceDE/>
      <w:autoSpaceDN/>
      <w:spacing w:after="60" w:line="360" w:lineRule="atLeast"/>
      <w:ind w:left="72" w:right="72"/>
      <w:jc w:val="center"/>
      <w:textAlignment w:val="baseline"/>
    </w:pPr>
    <w:rPr>
      <w:rFonts w:ascii="Arial" w:eastAsia="黑体"/>
      <w:color w:val="auto"/>
      <w:sz w:val="20"/>
      <w:szCs w:val="20"/>
    </w:rPr>
  </w:style>
  <w:style w:type="character" w:customStyle="1" w:styleId="54">
    <w:name w:val="bookmark-item"/>
    <w:qFormat/>
    <w:uiPriority w:val="0"/>
  </w:style>
  <w:style w:type="paragraph" w:customStyle="1" w:styleId="55">
    <w:name w:val="TOC 71"/>
    <w:next w:val="1"/>
    <w:qFormat/>
    <w:uiPriority w:val="0"/>
    <w:pPr>
      <w:wordWrap w:val="0"/>
      <w:ind w:left="2550"/>
      <w:jc w:val="both"/>
    </w:pPr>
    <w:rPr>
      <w:sz w:val="21"/>
      <w:szCs w:val="22"/>
      <w:lang w:val="en-US" w:eastAsia="zh-CN" w:bidi="ar-SA"/>
    </w:rPr>
  </w:style>
  <w:style w:type="paragraph" w:customStyle="1" w:styleId="56">
    <w:name w:val="索引 51"/>
    <w:basedOn w:val="1"/>
    <w:next w:val="1"/>
    <w:qFormat/>
    <w:uiPriority w:val="0"/>
    <w:pPr>
      <w:ind w:left="800" w:leftChars="800"/>
    </w:pPr>
  </w:style>
  <w:style w:type="paragraph" w:customStyle="1" w:styleId="57">
    <w:name w:val="Body Text Indent1"/>
    <w:basedOn w:val="1"/>
    <w:next w:val="1"/>
    <w:qFormat/>
    <w:uiPriority w:val="0"/>
    <w:pPr>
      <w:spacing w:after="120" w:afterLines="0"/>
      <w:ind w:left="420" w:leftChars="200"/>
    </w:pPr>
  </w:style>
  <w:style w:type="paragraph" w:customStyle="1" w:styleId="58">
    <w:name w:val="font5"/>
    <w:basedOn w:val="1"/>
    <w:qFormat/>
    <w:uiPriority w:val="0"/>
    <w:pPr>
      <w:widowControl/>
      <w:spacing w:before="100" w:beforeAutospacing="1" w:after="100" w:afterAutospacing="1"/>
      <w:jc w:val="left"/>
    </w:pPr>
    <w:rPr>
      <w:rFonts w:ascii="Tahoma" w:hAnsi="Tahoma" w:eastAsia="Arial Unicode MS" w:cs="Tahoma"/>
      <w:kern w:val="0"/>
      <w:sz w:val="20"/>
      <w:szCs w:val="20"/>
    </w:rPr>
  </w:style>
  <w:style w:type="paragraph" w:customStyle="1" w:styleId="59">
    <w:name w:val="_Style 3"/>
    <w:qFormat/>
    <w:uiPriority w:val="0"/>
    <w:pPr>
      <w:widowControl w:val="0"/>
      <w:jc w:val="both"/>
    </w:pPr>
    <w:rPr>
      <w:kern w:val="2"/>
      <w:sz w:val="21"/>
      <w:szCs w:val="22"/>
      <w:lang w:val="en-US" w:eastAsia="zh-CN" w:bidi="ar-SA"/>
    </w:rPr>
  </w:style>
  <w:style w:type="paragraph" w:customStyle="1" w:styleId="60">
    <w:name w:val="*正文"/>
    <w:basedOn w:val="1"/>
    <w:next w:val="1"/>
    <w:qFormat/>
    <w:uiPriority w:val="0"/>
    <w:pPr>
      <w:widowControl/>
      <w:autoSpaceDE/>
      <w:autoSpaceDN/>
      <w:spacing w:before="50" w:beforeLines="50" w:after="50" w:afterLines="50"/>
      <w:ind w:firstLine="200" w:firstLineChars="200"/>
    </w:pPr>
    <w:rPr>
      <w:rFonts w:ascii="Times New Roman" w:hAnsi="Times New Roman" w:cs="仿宋_GB2312"/>
      <w:szCs w:val="24"/>
      <w:lang w:eastAsia="zh-CN"/>
    </w:rPr>
  </w:style>
  <w:style w:type="paragraph" w:customStyle="1" w:styleId="61">
    <w:name w:val="Default"/>
    <w:next w:val="55"/>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62">
    <w:name w:val="表格文字"/>
    <w:basedOn w:val="19"/>
    <w:next w:val="15"/>
    <w:qFormat/>
    <w:uiPriority w:val="0"/>
    <w:pPr>
      <w:adjustRightInd w:val="0"/>
      <w:spacing w:line="420" w:lineRule="atLeast"/>
      <w:textAlignment w:val="baseline"/>
    </w:pPr>
    <w:rPr>
      <w:szCs w:val="24"/>
    </w:rPr>
  </w:style>
  <w:style w:type="paragraph" w:customStyle="1" w:styleId="63">
    <w:name w:val="List Paragraph"/>
    <w:basedOn w:val="1"/>
    <w:qFormat/>
    <w:uiPriority w:val="0"/>
    <w:pPr>
      <w:autoSpaceDE/>
      <w:autoSpaceDN/>
      <w:adjustRightInd/>
      <w:ind w:firstLine="420" w:firstLineChars="200"/>
      <w:jc w:val="both"/>
    </w:pPr>
    <w:rPr>
      <w:rFonts w:ascii="Times New Roman"/>
      <w:kern w:val="2"/>
      <w:sz w:val="21"/>
      <w:szCs w:val="24"/>
    </w:rPr>
  </w:style>
  <w:style w:type="paragraph" w:customStyle="1" w:styleId="64">
    <w:name w:val="正文_13"/>
    <w:qFormat/>
    <w:uiPriority w:val="0"/>
    <w:pPr>
      <w:widowControl w:val="0"/>
      <w:jc w:val="both"/>
    </w:pPr>
    <w:rPr>
      <w:kern w:val="2"/>
      <w:sz w:val="21"/>
      <w:szCs w:val="24"/>
      <w:lang w:val="en-US" w:eastAsia="zh-CN" w:bidi="ar-SA"/>
    </w:rPr>
  </w:style>
  <w:style w:type="paragraph" w:customStyle="1" w:styleId="65">
    <w:name w:val="index 5"/>
    <w:basedOn w:val="1"/>
    <w:next w:val="1"/>
    <w:qFormat/>
    <w:uiPriority w:val="0"/>
    <w:pPr>
      <w:ind w:left="800" w:leftChars="800"/>
    </w:pPr>
    <w:rPr>
      <w:rFonts w:ascii="Times New Roman" w:hAnsi="Times New Roman"/>
      <w:szCs w:val="24"/>
    </w:rPr>
  </w:style>
  <w:style w:type="paragraph" w:customStyle="1" w:styleId="66">
    <w:name w:val="1"/>
    <w:basedOn w:val="1"/>
    <w:next w:val="26"/>
    <w:uiPriority w:val="0"/>
    <w:pPr>
      <w:widowControl/>
      <w:spacing w:after="160" w:afterLines="0" w:line="240" w:lineRule="exact"/>
      <w:jc w:val="left"/>
    </w:pPr>
    <w:rPr>
      <w:rFonts w:ascii="Times New Roman" w:hAnsi="Times New Roman"/>
      <w:szCs w:val="24"/>
    </w:rPr>
  </w:style>
  <w:style w:type="paragraph" w:customStyle="1" w:styleId="67">
    <w:name w:val="标准正文"/>
    <w:basedOn w:val="1"/>
    <w:qFormat/>
    <w:uiPriority w:val="0"/>
    <w:pPr>
      <w:spacing w:afterLines="50"/>
      <w:ind w:firstLine="200" w:firstLineChars="200"/>
    </w:pPr>
    <w:rPr>
      <w:rFonts w:eastAsia="宋体"/>
      <w:sz w:val="24"/>
      <w:szCs w:val="21"/>
    </w:rPr>
  </w:style>
  <w:style w:type="paragraph" w:customStyle="1" w:styleId="68">
    <w:name w:val="纯文本1"/>
    <w:basedOn w:val="1"/>
    <w:qFormat/>
    <w:uiPriority w:val="0"/>
    <w:pPr>
      <w:autoSpaceDE w:val="0"/>
      <w:autoSpaceDN w:val="0"/>
      <w:adjustRightInd w:val="0"/>
    </w:pPr>
    <w:rPr>
      <w:rFonts w:ascii="Times New Roman" w:hAnsi="Times New Roman" w:cs="Times New Roman"/>
      <w:color w:val="000000"/>
      <w:kern w:val="0"/>
      <w:sz w:val="24"/>
      <w:szCs w:val="20"/>
    </w:rPr>
  </w:style>
  <w:style w:type="paragraph" w:customStyle="1" w:styleId="69">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70">
    <w:name w:val="Body Text First Indent 21"/>
    <w:basedOn w:val="57"/>
    <w:qFormat/>
    <w:uiPriority w:val="0"/>
    <w:pPr>
      <w:spacing w:after="120" w:afterLines="0" w:line="240" w:lineRule="auto"/>
      <w:ind w:left="420" w:leftChars="200" w:firstLine="420"/>
    </w:pPr>
    <w:rPr>
      <w:rFonts w:cs="宋体"/>
    </w:rPr>
  </w:style>
  <w:style w:type="paragraph" w:customStyle="1" w:styleId="71">
    <w:name w:val="Table Paragraph"/>
    <w:basedOn w:val="1"/>
    <w:qFormat/>
    <w:uiPriority w:val="1"/>
    <w:rPr>
      <w:rFonts w:ascii="宋体" w:hAnsi="宋体" w:eastAsia="宋体" w:cs="宋体"/>
      <w:lang w:val="zh-CN" w:eastAsia="zh-CN" w:bidi="zh-CN"/>
    </w:rPr>
  </w:style>
  <w:style w:type="paragraph" w:customStyle="1" w:styleId="72">
    <w:name w:val="正文 New New New"/>
    <w:qFormat/>
    <w:uiPriority w:val="0"/>
    <w:pPr>
      <w:widowControl w:val="0"/>
      <w:jc w:val="both"/>
    </w:pPr>
    <w:rPr>
      <w:kern w:val="2"/>
      <w:sz w:val="24"/>
      <w:lang w:val="en-US" w:eastAsia="zh-CN" w:bidi="ar-SA"/>
    </w:rPr>
  </w:style>
  <w:style w:type="paragraph" w:customStyle="1" w:styleId="73">
    <w:name w:val="国普正文"/>
    <w:basedOn w:val="1"/>
    <w:qFormat/>
    <w:uiPriority w:val="0"/>
    <w:pPr>
      <w:spacing w:line="360" w:lineRule="auto"/>
      <w:ind w:firstLine="600" w:firstLineChars="200"/>
    </w:pPr>
    <w:rPr>
      <w:rFonts w:ascii="仿宋_GB2312" w:hAnsi="Calibri" w:eastAsia="仿宋_GB2312"/>
      <w:sz w:val="30"/>
      <w:szCs w:val="30"/>
    </w:rPr>
  </w:style>
  <w:style w:type="paragraph" w:customStyle="1" w:styleId="74">
    <w:name w:val="彩色列表 - 强调文字颜色 11"/>
    <w:basedOn w:val="1"/>
    <w:qFormat/>
    <w:uiPriority w:val="0"/>
    <w:pPr>
      <w:ind w:firstLine="420" w:firstLineChars="200"/>
    </w:pPr>
    <w:rPr>
      <w:szCs w:val="24"/>
    </w:rPr>
  </w:style>
  <w:style w:type="paragraph" w:styleId="75">
    <w:name w:val="List Paragraph"/>
    <w:basedOn w:val="1"/>
    <w:qFormat/>
    <w:uiPriority w:val="1"/>
    <w:pPr>
      <w:widowControl w:val="0"/>
    </w:pPr>
    <w:rPr>
      <w:rFonts w:ascii="Calibri" w:hAnsi="Calibri" w:eastAsia="宋体" w:cs="Times New Roman"/>
      <w:sz w:val="22"/>
      <w:szCs w:val="22"/>
      <w:lang w:eastAsia="en-US"/>
    </w:rPr>
  </w:style>
  <w:style w:type="paragraph" w:customStyle="1" w:styleId="76">
    <w:name w:val="投标正文"/>
    <w:basedOn w:val="1"/>
    <w:qFormat/>
    <w:uiPriority w:val="0"/>
    <w:pPr>
      <w:spacing w:line="240" w:lineRule="auto"/>
      <w:ind w:firstLine="425" w:firstLineChars="177"/>
    </w:pPr>
    <w:rPr>
      <w:rFonts w:eastAsia="宋体"/>
      <w:sz w:val="21"/>
    </w:rPr>
  </w:style>
  <w:style w:type="paragraph" w:customStyle="1" w:styleId="77">
    <w:name w:val="正文段"/>
    <w:basedOn w:val="1"/>
    <w:next w:val="56"/>
    <w:qFormat/>
    <w:uiPriority w:val="0"/>
    <w:pPr>
      <w:widowControl/>
      <w:autoSpaceDE/>
      <w:autoSpaceDN/>
      <w:adjustRightInd/>
      <w:snapToGrid w:val="0"/>
      <w:spacing w:afterLines="50"/>
      <w:ind w:firstLine="200" w:firstLineChars="200"/>
    </w:pPr>
    <w:rPr>
      <w:color w:val="auto"/>
      <w:sz w:val="24"/>
      <w:szCs w:val="20"/>
    </w:rPr>
  </w:style>
  <w:style w:type="paragraph" w:customStyle="1" w:styleId="78">
    <w:name w:val="xl55"/>
    <w:basedOn w:val="1"/>
    <w:uiPriority w:val="0"/>
    <w:pPr>
      <w:widowControl/>
      <w:spacing w:before="100" w:beforeAutospacing="1" w:after="100" w:afterAutospacing="1"/>
      <w:jc w:val="center"/>
      <w:textAlignment w:val="center"/>
    </w:pPr>
    <w:rPr>
      <w:rFonts w:ascii="Arial Unicode MS" w:hAnsi="Arial Unicode MS" w:eastAsia="宋体"/>
      <w:color w:val="auto"/>
      <w:sz w:val="24"/>
      <w:szCs w:val="24"/>
    </w:rPr>
  </w:style>
  <w:style w:type="paragraph" w:customStyle="1" w:styleId="79">
    <w:name w:val="Body Text First Indent 2"/>
    <w:basedOn w:val="8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80">
    <w:name w:val="Body Text Indent"/>
    <w:basedOn w:val="1"/>
    <w:next w:val="1"/>
    <w:qFormat/>
    <w:uiPriority w:val="0"/>
    <w:pPr>
      <w:spacing w:after="120" w:afterLines="0"/>
      <w:ind w:left="420" w:leftChars="200"/>
    </w:pPr>
    <w:rPr>
      <w:color w:val="000000"/>
      <w:sz w:val="21"/>
      <w:szCs w:val="21"/>
    </w:rPr>
  </w:style>
  <w:style w:type="paragraph" w:customStyle="1" w:styleId="81">
    <w:name w:val="Body Text 3"/>
    <w:basedOn w:val="1"/>
    <w:qFormat/>
    <w:uiPriority w:val="0"/>
    <w:pPr>
      <w:spacing w:after="120" w:afterLines="0"/>
    </w:pPr>
    <w:rPr>
      <w:sz w:val="16"/>
      <w:szCs w:val="16"/>
    </w:rPr>
  </w:style>
  <w:style w:type="paragraph" w:customStyle="1" w:styleId="82">
    <w:name w:val="首行缩进"/>
    <w:basedOn w:val="1"/>
    <w:qFormat/>
    <w:uiPriority w:val="0"/>
    <w:pPr>
      <w:spacing w:line="360" w:lineRule="auto"/>
      <w:ind w:firstLine="480" w:firstLineChars="200"/>
    </w:pPr>
    <w:rPr>
      <w:sz w:val="24"/>
      <w:lang w:val="zh-CN"/>
    </w:rPr>
  </w:style>
  <w:style w:type="paragraph" w:customStyle="1" w:styleId="83">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26450</Words>
  <Characters>27973</Characters>
  <Lines>343</Lines>
  <Paragraphs>96</Paragraphs>
  <TotalTime>4</TotalTime>
  <ScaleCrop>false</ScaleCrop>
  <LinksUpToDate>false</LinksUpToDate>
  <CharactersWithSpaces>29751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2021-04-01T06:51:00Z</dcterms:created>
  <dc:creator>Lenovo</dc:creator>
  <cp:lastModifiedBy>WPS_1701756769</cp:lastModifiedBy>
  <cp:lastPrinted>2020-07-02T03:42:00Z</cp:lastPrinted>
  <dcterms:modified xsi:type="dcterms:W3CDTF">2024-02-23T01:07:38Z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39B2E04D1716403B9A0FD65F385A6045_13</vt:lpwstr>
  </property>
</Properties>
</file>