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73CFCEC">
      <w:pPr>
        <w:spacing w:line="288" w:lineRule="auto"/>
        <w:jc w:val="center"/>
        <w:rPr>
          <w:rFonts w:ascii="宋体" w:hAnsi="宋体" w:cs="宋体"/>
          <w:b/>
          <w:color w:val="auto"/>
          <w:sz w:val="24"/>
          <w:highlight w:val="none"/>
        </w:rPr>
      </w:pPr>
    </w:p>
    <w:p w14:paraId="0FD45A1D">
      <w:pPr>
        <w:spacing w:line="360" w:lineRule="auto"/>
        <w:jc w:val="center"/>
        <w:rPr>
          <w:rFonts w:ascii="宋体" w:hAnsi="宋体" w:cs="宋体"/>
          <w:b/>
          <w:color w:val="auto"/>
          <w:sz w:val="44"/>
          <w:szCs w:val="44"/>
          <w:highlight w:val="none"/>
        </w:rPr>
      </w:pPr>
    </w:p>
    <w:p w14:paraId="0EBB66BD">
      <w:pPr>
        <w:spacing w:line="360" w:lineRule="auto"/>
        <w:jc w:val="center"/>
        <w:rPr>
          <w:rFonts w:hint="eastAsia" w:ascii="宋体" w:hAnsi="宋体" w:eastAsia="宋体" w:cs="宋体"/>
          <w:b/>
          <w:color w:val="auto"/>
          <w:sz w:val="44"/>
          <w:szCs w:val="44"/>
          <w:highlight w:val="none"/>
          <w:lang w:eastAsia="zh-CN"/>
        </w:rPr>
      </w:pPr>
      <w:r>
        <w:rPr>
          <w:rFonts w:hint="eastAsia" w:ascii="宋体" w:hAnsi="宋体" w:cs="宋体"/>
          <w:b/>
          <w:color w:val="auto"/>
          <w:sz w:val="44"/>
          <w:szCs w:val="44"/>
          <w:highlight w:val="none"/>
        </w:rPr>
        <w:t>金华正达工程造价咨询有限公司关于</w:t>
      </w:r>
      <w:r>
        <w:rPr>
          <w:rFonts w:hint="eastAsia" w:ascii="宋体" w:hAnsi="宋体" w:cs="宋体"/>
          <w:b/>
          <w:color w:val="auto"/>
          <w:sz w:val="44"/>
          <w:szCs w:val="44"/>
          <w:highlight w:val="none"/>
          <w:lang w:eastAsia="zh-CN"/>
        </w:rPr>
        <w:t>东阳市农药废弃包装物回收和集中处置采购项目（第二次）</w:t>
      </w:r>
    </w:p>
    <w:p w14:paraId="7F490203">
      <w:pPr>
        <w:rPr>
          <w:color w:val="auto"/>
          <w:highlight w:val="none"/>
        </w:rPr>
      </w:pPr>
    </w:p>
    <w:p w14:paraId="0C4A7691">
      <w:pPr>
        <w:rPr>
          <w:color w:val="auto"/>
          <w:highlight w:val="none"/>
        </w:rPr>
      </w:pPr>
    </w:p>
    <w:p w14:paraId="6339D77B">
      <w:pPr>
        <w:pStyle w:val="30"/>
        <w:ind w:firstLine="0" w:firstLineChars="0"/>
        <w:rPr>
          <w:color w:val="auto"/>
          <w:highlight w:val="none"/>
          <w:lang w:val="en-US"/>
        </w:rPr>
      </w:pPr>
    </w:p>
    <w:p w14:paraId="25E00752">
      <w:pPr>
        <w:rPr>
          <w:color w:val="auto"/>
          <w:highlight w:val="none"/>
        </w:rPr>
      </w:pPr>
    </w:p>
    <w:p w14:paraId="39CB4DDC">
      <w:pPr>
        <w:pStyle w:val="30"/>
        <w:ind w:firstLine="0" w:firstLineChars="0"/>
        <w:rPr>
          <w:color w:val="auto"/>
          <w:highlight w:val="none"/>
          <w:lang w:val="en-US"/>
        </w:rPr>
      </w:pPr>
    </w:p>
    <w:p w14:paraId="4BC8F935">
      <w:pPr>
        <w:rPr>
          <w:color w:val="auto"/>
          <w:highlight w:val="none"/>
          <w:lang w:bidi="zh-CN"/>
        </w:rPr>
      </w:pPr>
    </w:p>
    <w:p w14:paraId="3C8945E5">
      <w:pPr>
        <w:rPr>
          <w:color w:val="auto"/>
          <w:highlight w:val="none"/>
        </w:rPr>
      </w:pPr>
    </w:p>
    <w:p w14:paraId="24C42E58">
      <w:pPr>
        <w:rPr>
          <w:color w:val="auto"/>
          <w:highlight w:val="none"/>
        </w:rPr>
      </w:pPr>
    </w:p>
    <w:p w14:paraId="49E373DD">
      <w:pPr>
        <w:jc w:val="center"/>
        <w:rPr>
          <w:rFonts w:ascii="宋体" w:hAnsi="宋体" w:cs="宋体"/>
          <w:b/>
          <w:bCs/>
          <w:color w:val="auto"/>
          <w:sz w:val="52"/>
          <w:szCs w:val="52"/>
          <w:highlight w:val="none"/>
        </w:rPr>
      </w:pPr>
      <w:r>
        <w:rPr>
          <w:rFonts w:hint="eastAsia" w:ascii="宋体" w:hAnsi="宋体" w:cs="宋体"/>
          <w:b/>
          <w:color w:val="auto"/>
          <w:kern w:val="0"/>
          <w:sz w:val="52"/>
          <w:szCs w:val="52"/>
          <w:highlight w:val="none"/>
        </w:rPr>
        <w:t>公开招标采购文件</w:t>
      </w:r>
    </w:p>
    <w:p w14:paraId="44A1808C">
      <w:pPr>
        <w:rPr>
          <w:color w:val="auto"/>
          <w:highlight w:val="none"/>
        </w:rPr>
      </w:pPr>
    </w:p>
    <w:p w14:paraId="7A4E2CF8">
      <w:pPr>
        <w:pStyle w:val="30"/>
        <w:ind w:firstLine="0" w:firstLineChars="0"/>
        <w:rPr>
          <w:color w:val="auto"/>
          <w:highlight w:val="none"/>
          <w:lang w:val="en-US"/>
        </w:rPr>
      </w:pPr>
    </w:p>
    <w:p w14:paraId="5426B48A">
      <w:pPr>
        <w:rPr>
          <w:color w:val="auto"/>
          <w:highlight w:val="none"/>
        </w:rPr>
      </w:pPr>
    </w:p>
    <w:p w14:paraId="59EFFF6F">
      <w:pPr>
        <w:rPr>
          <w:color w:val="auto"/>
          <w:highlight w:val="none"/>
        </w:rPr>
      </w:pPr>
    </w:p>
    <w:p w14:paraId="33B9A3F1">
      <w:pPr>
        <w:rPr>
          <w:color w:val="auto"/>
          <w:highlight w:val="none"/>
        </w:rPr>
      </w:pPr>
    </w:p>
    <w:p w14:paraId="01B3377A">
      <w:pPr>
        <w:pStyle w:val="2"/>
        <w:rPr>
          <w:color w:val="auto"/>
          <w:highlight w:val="none"/>
        </w:rPr>
      </w:pPr>
    </w:p>
    <w:p w14:paraId="69D7E1B5">
      <w:pPr>
        <w:pStyle w:val="30"/>
        <w:ind w:firstLine="0" w:firstLineChars="0"/>
        <w:rPr>
          <w:color w:val="auto"/>
          <w:highlight w:val="none"/>
          <w:lang w:val="en-US"/>
        </w:rPr>
      </w:pPr>
    </w:p>
    <w:p w14:paraId="52D03FF4">
      <w:pPr>
        <w:rPr>
          <w:color w:val="auto"/>
          <w:highlight w:val="none"/>
        </w:rPr>
      </w:pPr>
    </w:p>
    <w:p w14:paraId="62661E0A">
      <w:pPr>
        <w:spacing w:line="860" w:lineRule="exact"/>
        <w:ind w:firstLine="602" w:firstLineChars="200"/>
        <w:rPr>
          <w:rFonts w:hint="eastAsia" w:ascii="宋体" w:hAnsi="宋体" w:eastAsia="宋体" w:cs="宋体"/>
          <w:b/>
          <w:color w:val="auto"/>
          <w:kern w:val="0"/>
          <w:sz w:val="30"/>
          <w:szCs w:val="30"/>
          <w:highlight w:val="none"/>
          <w:lang w:eastAsia="zh-CN"/>
        </w:rPr>
      </w:pPr>
      <w:r>
        <w:rPr>
          <w:rFonts w:hint="eastAsia" w:ascii="宋体" w:hAnsi="宋体" w:cs="宋体"/>
          <w:b/>
          <w:color w:val="auto"/>
          <w:kern w:val="0"/>
          <w:sz w:val="30"/>
          <w:szCs w:val="30"/>
          <w:highlight w:val="none"/>
        </w:rPr>
        <w:t>项目名称：</w:t>
      </w:r>
      <w:r>
        <w:rPr>
          <w:rFonts w:hint="eastAsia" w:ascii="宋体" w:hAnsi="宋体" w:cs="宋体"/>
          <w:b/>
          <w:color w:val="auto"/>
          <w:kern w:val="0"/>
          <w:sz w:val="30"/>
          <w:szCs w:val="30"/>
          <w:highlight w:val="none"/>
          <w:lang w:eastAsia="zh-CN"/>
        </w:rPr>
        <w:t>东阳市农药废弃包装物回收和集中处置采购项目（第二次）</w:t>
      </w:r>
    </w:p>
    <w:p w14:paraId="693961AE">
      <w:pPr>
        <w:spacing w:line="860" w:lineRule="exact"/>
        <w:ind w:left="2149" w:leftChars="306" w:hanging="1506" w:hangingChars="500"/>
        <w:rPr>
          <w:rFonts w:hint="eastAsia" w:ascii="宋体" w:hAnsi="宋体" w:eastAsia="宋体" w:cs="宋体"/>
          <w:b/>
          <w:color w:val="auto"/>
          <w:kern w:val="0"/>
          <w:sz w:val="30"/>
          <w:szCs w:val="30"/>
          <w:highlight w:val="none"/>
          <w:lang w:eastAsia="zh-CN"/>
        </w:rPr>
      </w:pPr>
      <w:r>
        <w:rPr>
          <w:rFonts w:hint="eastAsia" w:ascii="宋体" w:hAnsi="宋体" w:cs="宋体"/>
          <w:b/>
          <w:color w:val="auto"/>
          <w:kern w:val="0"/>
          <w:sz w:val="30"/>
          <w:szCs w:val="30"/>
          <w:highlight w:val="none"/>
        </w:rPr>
        <w:t>项目编号：</w:t>
      </w:r>
      <w:r>
        <w:rPr>
          <w:rFonts w:hint="eastAsia" w:ascii="宋体" w:hAnsi="宋体" w:cs="宋体"/>
          <w:b/>
          <w:color w:val="auto"/>
          <w:kern w:val="0"/>
          <w:sz w:val="30"/>
          <w:szCs w:val="30"/>
          <w:highlight w:val="none"/>
          <w:lang w:eastAsia="zh-CN"/>
        </w:rPr>
        <w:t>JHZD2025-002-1</w:t>
      </w:r>
    </w:p>
    <w:p w14:paraId="21BC6B18">
      <w:pPr>
        <w:spacing w:line="860" w:lineRule="exact"/>
        <w:ind w:left="2149" w:leftChars="306" w:hanging="1506" w:hangingChars="500"/>
        <w:rPr>
          <w:rFonts w:hint="eastAsia" w:ascii="宋体" w:hAnsi="宋体" w:eastAsia="宋体" w:cs="宋体"/>
          <w:b/>
          <w:color w:val="auto"/>
          <w:kern w:val="0"/>
          <w:sz w:val="30"/>
          <w:szCs w:val="30"/>
          <w:highlight w:val="none"/>
          <w:lang w:eastAsia="zh-CN"/>
        </w:rPr>
      </w:pPr>
      <w:r>
        <w:rPr>
          <w:rFonts w:hint="eastAsia" w:ascii="宋体" w:hAnsi="宋体" w:cs="宋体"/>
          <w:b/>
          <w:color w:val="auto"/>
          <w:kern w:val="0"/>
          <w:sz w:val="30"/>
          <w:szCs w:val="30"/>
          <w:highlight w:val="none"/>
        </w:rPr>
        <w:t>采购单位：</w:t>
      </w:r>
      <w:r>
        <w:rPr>
          <w:rFonts w:hint="eastAsia" w:ascii="宋体" w:hAnsi="宋体" w:cs="宋体"/>
          <w:b/>
          <w:color w:val="auto"/>
          <w:kern w:val="0"/>
          <w:sz w:val="30"/>
          <w:szCs w:val="30"/>
          <w:highlight w:val="none"/>
          <w:lang w:eastAsia="zh-CN"/>
        </w:rPr>
        <w:t>东阳市农业农村局</w:t>
      </w:r>
    </w:p>
    <w:p w14:paraId="1FBCDE8A">
      <w:pPr>
        <w:spacing w:line="860" w:lineRule="exact"/>
        <w:ind w:left="2149" w:leftChars="306" w:hanging="1506" w:hangingChars="500"/>
        <w:rPr>
          <w:rFonts w:ascii="宋体" w:hAnsi="宋体" w:cs="宋体"/>
          <w:color w:val="auto"/>
          <w:sz w:val="30"/>
          <w:szCs w:val="30"/>
          <w:highlight w:val="none"/>
        </w:rPr>
      </w:pPr>
      <w:r>
        <w:rPr>
          <w:rFonts w:hint="eastAsia" w:ascii="宋体" w:hAnsi="宋体" w:cs="宋体"/>
          <w:b/>
          <w:color w:val="auto"/>
          <w:kern w:val="0"/>
          <w:sz w:val="30"/>
          <w:szCs w:val="30"/>
          <w:highlight w:val="none"/>
        </w:rPr>
        <w:t>招标机构：金华正达工程造价咨询有限公司</w:t>
      </w:r>
    </w:p>
    <w:p w14:paraId="07040FD5">
      <w:pPr>
        <w:pStyle w:val="12"/>
        <w:spacing w:line="860" w:lineRule="exact"/>
        <w:jc w:val="center"/>
        <w:rPr>
          <w:rFonts w:hint="default" w:ascii="宋体" w:hAnsi="宋体" w:eastAsia="宋体" w:cs="宋体"/>
          <w:b/>
          <w:color w:val="auto"/>
          <w:sz w:val="30"/>
          <w:szCs w:val="30"/>
          <w:highlight w:val="none"/>
          <w:lang w:val="en-US" w:eastAsia="zh-CN"/>
        </w:rPr>
      </w:pPr>
      <w:r>
        <w:rPr>
          <w:rFonts w:hint="eastAsia" w:ascii="宋体" w:hAnsi="宋体" w:cs="宋体"/>
          <w:b/>
          <w:color w:val="auto"/>
          <w:sz w:val="30"/>
          <w:szCs w:val="30"/>
          <w:highlight w:val="none"/>
          <w:lang w:eastAsia="zh-CN"/>
        </w:rPr>
        <w:t>2025</w:t>
      </w:r>
      <w:r>
        <w:rPr>
          <w:rFonts w:hint="eastAsia" w:ascii="宋体" w:hAnsi="宋体" w:cs="宋体"/>
          <w:b/>
          <w:color w:val="auto"/>
          <w:sz w:val="30"/>
          <w:szCs w:val="30"/>
          <w:highlight w:val="none"/>
        </w:rPr>
        <w:t>年</w:t>
      </w:r>
      <w:r>
        <w:rPr>
          <w:rFonts w:hint="eastAsia" w:ascii="宋体" w:hAnsi="宋体" w:cs="宋体"/>
          <w:b/>
          <w:color w:val="auto"/>
          <w:sz w:val="30"/>
          <w:szCs w:val="30"/>
          <w:highlight w:val="none"/>
          <w:lang w:val="en-US" w:eastAsia="zh-CN"/>
        </w:rPr>
        <w:t>6</w:t>
      </w:r>
      <w:r>
        <w:rPr>
          <w:rFonts w:hint="eastAsia" w:ascii="宋体" w:hAnsi="宋体" w:cs="宋体"/>
          <w:b/>
          <w:color w:val="auto"/>
          <w:sz w:val="30"/>
          <w:szCs w:val="30"/>
          <w:highlight w:val="none"/>
        </w:rPr>
        <w:t>月</w:t>
      </w:r>
      <w:r>
        <w:rPr>
          <w:rFonts w:hint="eastAsia" w:ascii="宋体" w:hAnsi="宋体" w:cs="宋体"/>
          <w:b/>
          <w:color w:val="auto"/>
          <w:sz w:val="30"/>
          <w:szCs w:val="30"/>
          <w:highlight w:val="none"/>
          <w:lang w:val="en-US" w:eastAsia="zh-CN"/>
        </w:rPr>
        <w:t>26日</w:t>
      </w:r>
    </w:p>
    <w:p w14:paraId="68556B27">
      <w:pPr>
        <w:pStyle w:val="12"/>
        <w:pageBreakBefore/>
        <w:spacing w:line="860" w:lineRule="exact"/>
        <w:jc w:val="center"/>
        <w:rPr>
          <w:rFonts w:ascii="宋体" w:hAnsi="宋体" w:cs="宋体"/>
          <w:b/>
          <w:color w:val="auto"/>
          <w:sz w:val="30"/>
          <w:szCs w:val="30"/>
          <w:highlight w:val="none"/>
        </w:rPr>
        <w:sectPr>
          <w:headerReference r:id="rId3" w:type="default"/>
          <w:pgSz w:w="11906" w:h="16838"/>
          <w:pgMar w:top="1060" w:right="1174" w:bottom="1060" w:left="1174" w:header="851" w:footer="992" w:gutter="0"/>
          <w:cols w:space="425" w:num="1"/>
          <w:docGrid w:type="lines" w:linePitch="312" w:charSpace="0"/>
        </w:sectPr>
      </w:pPr>
    </w:p>
    <w:p w14:paraId="4D69ABB1">
      <w:pPr>
        <w:snapToGrid w:val="0"/>
        <w:spacing w:before="166" w:beforeLines="50" w:line="360" w:lineRule="auto"/>
        <w:ind w:firstLine="3080" w:firstLineChars="700"/>
        <w:rPr>
          <w:rFonts w:ascii="创艺简标宋" w:hAnsi="宋体" w:eastAsia="创艺简标宋"/>
          <w:color w:val="auto"/>
          <w:sz w:val="44"/>
          <w:szCs w:val="44"/>
          <w:highlight w:val="none"/>
        </w:rPr>
      </w:pPr>
      <w:bookmarkStart w:id="0" w:name="_Toc5997"/>
      <w:r>
        <w:rPr>
          <w:rFonts w:hint="eastAsia" w:ascii="创艺简标宋" w:hAnsi="宋体" w:eastAsia="创艺简标宋"/>
          <w:color w:val="auto"/>
          <w:sz w:val="44"/>
          <w:szCs w:val="44"/>
          <w:highlight w:val="none"/>
        </w:rPr>
        <w:t>目   录</w:t>
      </w:r>
    </w:p>
    <w:p w14:paraId="6C1EBDC0">
      <w:pPr>
        <w:pStyle w:val="12"/>
        <w:spacing w:before="166" w:after="166" w:line="360" w:lineRule="auto"/>
        <w:jc w:val="center"/>
        <w:rPr>
          <w:rFonts w:ascii="创艺简标宋" w:hAnsi="宋体" w:eastAsia="创艺简标宋"/>
          <w:color w:val="auto"/>
          <w:sz w:val="44"/>
          <w:szCs w:val="44"/>
          <w:highlight w:val="none"/>
        </w:rPr>
      </w:pPr>
    </w:p>
    <w:p w14:paraId="01BA1C7D">
      <w:pPr>
        <w:numPr>
          <w:ilvl w:val="0"/>
          <w:numId w:val="2"/>
        </w:numPr>
        <w:spacing w:before="166" w:beforeLines="50" w:line="360" w:lineRule="auto"/>
        <w:rPr>
          <w:rFonts w:ascii="宋体"/>
          <w:color w:val="auto"/>
          <w:sz w:val="30"/>
          <w:szCs w:val="20"/>
          <w:highlight w:val="none"/>
        </w:rPr>
      </w:pPr>
      <w:r>
        <w:rPr>
          <w:rFonts w:hint="eastAsia" w:ascii="宋体" w:hAnsi="宋体"/>
          <w:color w:val="auto"/>
          <w:sz w:val="30"/>
          <w:highlight w:val="none"/>
        </w:rPr>
        <w:t>公开招标采购公告</w:t>
      </w:r>
    </w:p>
    <w:p w14:paraId="12A33E23">
      <w:pPr>
        <w:numPr>
          <w:ilvl w:val="0"/>
          <w:numId w:val="2"/>
        </w:numPr>
        <w:spacing w:before="166" w:beforeLines="50" w:line="360" w:lineRule="auto"/>
        <w:rPr>
          <w:rFonts w:ascii="宋体"/>
          <w:color w:val="auto"/>
          <w:sz w:val="30"/>
          <w:szCs w:val="20"/>
          <w:highlight w:val="none"/>
        </w:rPr>
      </w:pPr>
      <w:r>
        <w:rPr>
          <w:rFonts w:hint="eastAsia" w:ascii="宋体" w:hAnsi="宋体"/>
          <w:color w:val="auto"/>
          <w:sz w:val="30"/>
          <w:highlight w:val="none"/>
        </w:rPr>
        <w:t>招标需求</w:t>
      </w:r>
    </w:p>
    <w:p w14:paraId="0D202EF9">
      <w:pPr>
        <w:numPr>
          <w:ilvl w:val="0"/>
          <w:numId w:val="2"/>
        </w:numPr>
        <w:spacing w:before="166" w:beforeLines="50" w:line="360" w:lineRule="auto"/>
        <w:rPr>
          <w:rFonts w:ascii="宋体"/>
          <w:color w:val="auto"/>
          <w:sz w:val="30"/>
          <w:szCs w:val="20"/>
          <w:highlight w:val="none"/>
        </w:rPr>
      </w:pPr>
      <w:r>
        <w:rPr>
          <w:rFonts w:hint="eastAsia" w:ascii="宋体" w:hAnsi="宋体"/>
          <w:color w:val="auto"/>
          <w:sz w:val="30"/>
          <w:highlight w:val="none"/>
        </w:rPr>
        <w:t>投标人须知</w:t>
      </w:r>
    </w:p>
    <w:p w14:paraId="696FC5B2">
      <w:pPr>
        <w:numPr>
          <w:ilvl w:val="0"/>
          <w:numId w:val="2"/>
        </w:numPr>
        <w:spacing w:before="166" w:beforeLines="50" w:line="360" w:lineRule="auto"/>
        <w:rPr>
          <w:rFonts w:ascii="宋体"/>
          <w:color w:val="auto"/>
          <w:sz w:val="30"/>
          <w:szCs w:val="20"/>
          <w:highlight w:val="none"/>
        </w:rPr>
      </w:pPr>
      <w:r>
        <w:rPr>
          <w:rFonts w:hint="eastAsia" w:ascii="宋体" w:hAnsi="宋体"/>
          <w:color w:val="auto"/>
          <w:sz w:val="30"/>
          <w:highlight w:val="none"/>
        </w:rPr>
        <w:t>评标办法及评分标准</w:t>
      </w:r>
    </w:p>
    <w:p w14:paraId="7852DC50">
      <w:pPr>
        <w:numPr>
          <w:ilvl w:val="0"/>
          <w:numId w:val="2"/>
        </w:numPr>
        <w:spacing w:before="166" w:beforeLines="50" w:line="360" w:lineRule="auto"/>
        <w:rPr>
          <w:rFonts w:ascii="宋体"/>
          <w:color w:val="auto"/>
          <w:sz w:val="30"/>
          <w:szCs w:val="20"/>
          <w:highlight w:val="none"/>
        </w:rPr>
      </w:pPr>
      <w:r>
        <w:rPr>
          <w:rFonts w:hint="eastAsia" w:ascii="宋体" w:hAnsi="宋体"/>
          <w:color w:val="auto"/>
          <w:sz w:val="30"/>
          <w:highlight w:val="none"/>
        </w:rPr>
        <w:t>政府采购合同主要条款</w:t>
      </w:r>
    </w:p>
    <w:p w14:paraId="52807856">
      <w:pPr>
        <w:numPr>
          <w:ilvl w:val="0"/>
          <w:numId w:val="2"/>
        </w:numPr>
        <w:spacing w:before="166" w:beforeLines="50" w:line="360" w:lineRule="auto"/>
        <w:rPr>
          <w:rFonts w:ascii="宋体"/>
          <w:color w:val="auto"/>
          <w:sz w:val="30"/>
          <w:szCs w:val="20"/>
          <w:highlight w:val="none"/>
        </w:rPr>
      </w:pPr>
      <w:r>
        <w:rPr>
          <w:rFonts w:hint="eastAsia" w:ascii="宋体" w:hAnsi="宋体"/>
          <w:color w:val="auto"/>
          <w:sz w:val="30"/>
          <w:highlight w:val="none"/>
        </w:rPr>
        <w:t>投标文件格式</w:t>
      </w:r>
    </w:p>
    <w:p w14:paraId="3E6092F1">
      <w:pPr>
        <w:pStyle w:val="12"/>
        <w:snapToGrid w:val="0"/>
        <w:spacing w:before="166" w:after="166" w:line="360" w:lineRule="auto"/>
        <w:outlineLvl w:val="0"/>
        <w:rPr>
          <w:rFonts w:hAnsi="宋体"/>
          <w:color w:val="auto"/>
          <w:highlight w:val="none"/>
        </w:rPr>
        <w:sectPr>
          <w:footerReference r:id="rId5" w:type="first"/>
          <w:footerReference r:id="rId4" w:type="default"/>
          <w:pgSz w:w="11906" w:h="16838"/>
          <w:pgMar w:top="1440" w:right="1800" w:bottom="1440" w:left="1800" w:header="851" w:footer="992" w:gutter="0"/>
          <w:pgNumType w:fmt="numberInDash" w:start="1"/>
          <w:cols w:space="720" w:num="1"/>
          <w:docGrid w:type="lines" w:linePitch="332" w:charSpace="0"/>
        </w:sectPr>
      </w:pPr>
    </w:p>
    <w:p w14:paraId="0617B5CB">
      <w:pPr>
        <w:pStyle w:val="12"/>
        <w:snapToGrid w:val="0"/>
        <w:spacing w:before="156" w:after="156" w:line="360" w:lineRule="auto"/>
        <w:outlineLvl w:val="0"/>
        <w:rPr>
          <w:rFonts w:hAnsi="宋体"/>
          <w:color w:val="auto"/>
          <w:highlight w:val="none"/>
        </w:rPr>
      </w:pPr>
    </w:p>
    <w:p w14:paraId="25344AAC">
      <w:pPr>
        <w:rPr>
          <w:color w:val="auto"/>
          <w:highlight w:val="none"/>
        </w:rPr>
      </w:pPr>
    </w:p>
    <w:p w14:paraId="74F804EE">
      <w:pPr>
        <w:rPr>
          <w:color w:val="auto"/>
          <w:highlight w:val="none"/>
        </w:rPr>
      </w:pPr>
    </w:p>
    <w:p w14:paraId="5FA3FA55">
      <w:pPr>
        <w:rPr>
          <w:color w:val="auto"/>
          <w:highlight w:val="none"/>
        </w:rPr>
      </w:pPr>
    </w:p>
    <w:p w14:paraId="4BA47488">
      <w:pPr>
        <w:rPr>
          <w:color w:val="auto"/>
          <w:highlight w:val="none"/>
        </w:rPr>
      </w:pPr>
    </w:p>
    <w:p w14:paraId="031F9816">
      <w:pPr>
        <w:rPr>
          <w:color w:val="auto"/>
          <w:highlight w:val="none"/>
        </w:rPr>
      </w:pPr>
    </w:p>
    <w:p w14:paraId="4D36E080">
      <w:pPr>
        <w:rPr>
          <w:color w:val="auto"/>
          <w:highlight w:val="none"/>
        </w:rPr>
      </w:pPr>
    </w:p>
    <w:p w14:paraId="27562B0E">
      <w:pPr>
        <w:rPr>
          <w:color w:val="auto"/>
          <w:highlight w:val="none"/>
        </w:rPr>
      </w:pPr>
    </w:p>
    <w:p w14:paraId="56362A71">
      <w:pPr>
        <w:rPr>
          <w:color w:val="auto"/>
          <w:highlight w:val="none"/>
        </w:rPr>
      </w:pPr>
    </w:p>
    <w:p w14:paraId="7DCA6852">
      <w:pPr>
        <w:rPr>
          <w:color w:val="auto"/>
          <w:highlight w:val="none"/>
        </w:rPr>
      </w:pPr>
    </w:p>
    <w:p w14:paraId="75C8AC48">
      <w:pPr>
        <w:rPr>
          <w:color w:val="auto"/>
          <w:highlight w:val="none"/>
        </w:rPr>
      </w:pPr>
    </w:p>
    <w:p w14:paraId="3F29708C">
      <w:pPr>
        <w:rPr>
          <w:color w:val="auto"/>
          <w:highlight w:val="none"/>
        </w:rPr>
      </w:pPr>
    </w:p>
    <w:p w14:paraId="24613326">
      <w:pPr>
        <w:rPr>
          <w:color w:val="auto"/>
          <w:highlight w:val="none"/>
        </w:rPr>
      </w:pPr>
    </w:p>
    <w:p w14:paraId="3A2C4ADE">
      <w:pPr>
        <w:pStyle w:val="12"/>
        <w:snapToGrid w:val="0"/>
        <w:spacing w:before="156" w:after="156" w:line="360" w:lineRule="auto"/>
        <w:outlineLvl w:val="0"/>
        <w:rPr>
          <w:rFonts w:hAnsi="宋体"/>
          <w:color w:val="auto"/>
          <w:highlight w:val="none"/>
        </w:rPr>
        <w:sectPr>
          <w:headerReference r:id="rId7" w:type="first"/>
          <w:footerReference r:id="rId10" w:type="first"/>
          <w:headerReference r:id="rId6" w:type="default"/>
          <w:footerReference r:id="rId8" w:type="default"/>
          <w:footerReference r:id="rId9" w:type="even"/>
          <w:type w:val="continuous"/>
          <w:pgSz w:w="11906" w:h="16838"/>
          <w:pgMar w:top="1440" w:right="1797" w:bottom="1440" w:left="1797" w:header="851" w:footer="992" w:gutter="0"/>
          <w:pgNumType w:fmt="numberInDash"/>
          <w:cols w:space="720" w:num="1"/>
          <w:docGrid w:type="linesAndChars" w:linePitch="312" w:charSpace="0"/>
        </w:sectPr>
      </w:pPr>
    </w:p>
    <w:p w14:paraId="3F5F6D98">
      <w:pPr>
        <w:pStyle w:val="17"/>
        <w:pageBreakBefore/>
        <w:tabs>
          <w:tab w:val="right" w:leader="dot" w:pos="9402"/>
        </w:tabs>
        <w:spacing w:line="480" w:lineRule="auto"/>
        <w:jc w:val="center"/>
        <w:outlineLvl w:val="0"/>
        <w:rPr>
          <w:rFonts w:ascii="宋体" w:hAnsi="宋体" w:cs="宋体"/>
          <w:b/>
          <w:color w:val="auto"/>
          <w:sz w:val="28"/>
          <w:szCs w:val="28"/>
          <w:highlight w:val="none"/>
        </w:rPr>
      </w:pPr>
      <w:r>
        <w:rPr>
          <w:rFonts w:hint="eastAsia" w:ascii="宋体" w:hAnsi="宋体" w:cs="宋体"/>
          <w:b/>
          <w:color w:val="auto"/>
          <w:sz w:val="28"/>
          <w:szCs w:val="28"/>
          <w:highlight w:val="none"/>
        </w:rPr>
        <w:t>第一章  公开招标采购公告</w:t>
      </w:r>
      <w:bookmarkEnd w:id="0"/>
      <w:r>
        <w:rPr>
          <w:rFonts w:hint="eastAsia" w:ascii="宋体" w:hAnsi="宋体" w:cs="宋体"/>
          <w:b/>
          <w:color w:val="auto"/>
          <w:sz w:val="28"/>
          <w:szCs w:val="28"/>
          <w:highlight w:val="none"/>
        </w:rPr>
        <w:t xml:space="preserve"> </w:t>
      </w:r>
    </w:p>
    <w:p w14:paraId="14333608">
      <w:pPr>
        <w:pBdr>
          <w:top w:val="single" w:color="auto" w:sz="4" w:space="1"/>
          <w:left w:val="single" w:color="auto" w:sz="4" w:space="4"/>
          <w:bottom w:val="single" w:color="auto" w:sz="4" w:space="1"/>
          <w:right w:val="single" w:color="auto" w:sz="4" w:space="4"/>
        </w:pBdr>
        <w:spacing w:line="360"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项目概况</w:t>
      </w:r>
    </w:p>
    <w:p w14:paraId="568F2A7C">
      <w:pPr>
        <w:pBdr>
          <w:top w:val="single" w:color="auto" w:sz="4" w:space="1"/>
          <w:left w:val="single" w:color="auto" w:sz="4" w:space="4"/>
          <w:bottom w:val="single" w:color="auto" w:sz="4" w:space="1"/>
          <w:right w:val="single" w:color="auto" w:sz="4" w:space="4"/>
        </w:pBd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lang w:eastAsia="zh-CN"/>
        </w:rPr>
        <w:t>东阳市农药废弃包装物回收和集中处置采购项目（第二次）</w:t>
      </w:r>
      <w:r>
        <w:rPr>
          <w:rFonts w:hint="eastAsia" w:ascii="宋体" w:hAnsi="宋体" w:cs="宋体"/>
          <w:color w:val="auto"/>
          <w:sz w:val="24"/>
          <w:highlight w:val="none"/>
        </w:rPr>
        <w:t>的潜在投标人应在浙江政府采购网（http://zfcg.czt.zj.gov.cn/）；金华市公共资源交易网（</w:t>
      </w:r>
      <w:r>
        <w:rPr>
          <w:rFonts w:ascii="宋体" w:hAnsi="宋体" w:cs="宋体"/>
          <w:color w:val="auto"/>
          <w:sz w:val="24"/>
          <w:highlight w:val="none"/>
        </w:rPr>
        <w:t>http://ggzyjy.jinhua.gov.cn/</w:t>
      </w:r>
      <w:r>
        <w:rPr>
          <w:rFonts w:hint="eastAsia" w:ascii="宋体" w:hAnsi="宋体" w:cs="宋体"/>
          <w:color w:val="auto"/>
          <w:sz w:val="24"/>
          <w:highlight w:val="none"/>
        </w:rPr>
        <w:t>）获取招标文件，并于</w:t>
      </w:r>
      <w:r>
        <w:rPr>
          <w:rFonts w:hint="eastAsia" w:ascii="宋体" w:hAnsi="宋体" w:cs="宋体"/>
          <w:color w:val="auto"/>
          <w:sz w:val="24"/>
          <w:highlight w:val="none"/>
          <w:lang w:eastAsia="zh-CN"/>
        </w:rPr>
        <w:t>2025</w:t>
      </w:r>
      <w:r>
        <w:rPr>
          <w:rFonts w:hint="eastAsia" w:ascii="宋体" w:hAnsi="宋体" w:cs="宋体"/>
          <w:color w:val="auto"/>
          <w:sz w:val="24"/>
          <w:highlight w:val="none"/>
        </w:rPr>
        <w:t>年</w:t>
      </w:r>
      <w:r>
        <w:rPr>
          <w:rFonts w:hint="eastAsia" w:ascii="宋体" w:hAnsi="宋体" w:cs="宋体"/>
          <w:color w:val="auto"/>
          <w:sz w:val="24"/>
          <w:highlight w:val="none"/>
          <w:lang w:val="en-US" w:eastAsia="zh-CN"/>
        </w:rPr>
        <w:t>7</w:t>
      </w:r>
      <w:r>
        <w:rPr>
          <w:rFonts w:hint="eastAsia" w:ascii="宋体" w:hAnsi="宋体" w:cs="宋体"/>
          <w:color w:val="auto"/>
          <w:sz w:val="24"/>
          <w:highlight w:val="none"/>
        </w:rPr>
        <w:t>月</w:t>
      </w:r>
      <w:r>
        <w:rPr>
          <w:rFonts w:hint="eastAsia" w:ascii="宋体" w:hAnsi="宋体" w:cs="宋体"/>
          <w:color w:val="auto"/>
          <w:sz w:val="24"/>
          <w:highlight w:val="none"/>
          <w:lang w:val="en-US" w:eastAsia="zh-CN"/>
        </w:rPr>
        <w:t>17</w:t>
      </w:r>
      <w:r>
        <w:rPr>
          <w:rFonts w:hint="eastAsia" w:ascii="宋体" w:hAnsi="宋体" w:cs="宋体"/>
          <w:color w:val="auto"/>
          <w:sz w:val="24"/>
          <w:highlight w:val="none"/>
        </w:rPr>
        <w:t>日14时00分（北京时间）前递交（上传）电子投标文件。</w:t>
      </w:r>
    </w:p>
    <w:p w14:paraId="05209B5F">
      <w:pPr>
        <w:numPr>
          <w:ilvl w:val="0"/>
          <w:numId w:val="3"/>
        </w:numPr>
        <w:snapToGrid w:val="0"/>
        <w:spacing w:line="360" w:lineRule="auto"/>
        <w:rPr>
          <w:rFonts w:ascii="宋体" w:hAnsi="宋体" w:cs="宋体"/>
          <w:b/>
          <w:bCs/>
          <w:color w:val="auto"/>
          <w:sz w:val="24"/>
          <w:highlight w:val="none"/>
        </w:rPr>
      </w:pPr>
      <w:r>
        <w:rPr>
          <w:rFonts w:hint="eastAsia" w:ascii="宋体" w:hAnsi="宋体" w:cs="宋体"/>
          <w:b/>
          <w:bCs/>
          <w:color w:val="auto"/>
          <w:sz w:val="24"/>
          <w:highlight w:val="none"/>
        </w:rPr>
        <w:t>项目基本情况</w:t>
      </w:r>
    </w:p>
    <w:p w14:paraId="2E7881BE">
      <w:pPr>
        <w:spacing w:line="360" w:lineRule="auto"/>
        <w:ind w:firstLine="482" w:firstLineChars="200"/>
        <w:rPr>
          <w:rFonts w:hint="eastAsia" w:ascii="宋体" w:hAnsi="宋体" w:eastAsia="宋体" w:cs="宋体"/>
          <w:color w:val="auto"/>
          <w:sz w:val="24"/>
          <w:highlight w:val="none"/>
          <w:lang w:eastAsia="zh-CN"/>
        </w:rPr>
      </w:pPr>
      <w:r>
        <w:rPr>
          <w:rFonts w:hint="eastAsia" w:ascii="宋体" w:hAnsi="宋体" w:cs="宋体"/>
          <w:b/>
          <w:bCs/>
          <w:color w:val="auto"/>
          <w:sz w:val="24"/>
          <w:highlight w:val="none"/>
        </w:rPr>
        <w:t>项目编号：</w:t>
      </w:r>
      <w:r>
        <w:rPr>
          <w:rFonts w:hint="eastAsia" w:ascii="宋体" w:hAnsi="宋体" w:cs="宋体"/>
          <w:b/>
          <w:bCs/>
          <w:color w:val="auto"/>
          <w:sz w:val="24"/>
          <w:highlight w:val="none"/>
          <w:lang w:eastAsia="zh-CN"/>
        </w:rPr>
        <w:t>JHZD2025-002-1</w:t>
      </w:r>
    </w:p>
    <w:p w14:paraId="03CCD234">
      <w:pPr>
        <w:spacing w:line="360" w:lineRule="auto"/>
        <w:ind w:left="1684" w:leftChars="228" w:hanging="1205" w:hangingChars="500"/>
        <w:rPr>
          <w:rFonts w:hint="eastAsia" w:ascii="宋体" w:hAnsi="宋体" w:eastAsia="宋体" w:cs="宋体"/>
          <w:color w:val="auto"/>
          <w:sz w:val="24"/>
          <w:highlight w:val="none"/>
          <w:lang w:eastAsia="zh-CN"/>
        </w:rPr>
      </w:pPr>
      <w:r>
        <w:rPr>
          <w:rFonts w:hint="eastAsia" w:ascii="宋体" w:hAnsi="宋体" w:cs="宋体"/>
          <w:b/>
          <w:bCs/>
          <w:color w:val="auto"/>
          <w:sz w:val="24"/>
          <w:highlight w:val="none"/>
        </w:rPr>
        <w:t>项目名称：</w:t>
      </w:r>
      <w:r>
        <w:rPr>
          <w:rFonts w:hint="eastAsia" w:ascii="宋体" w:hAnsi="宋体" w:cs="宋体"/>
          <w:b/>
          <w:bCs/>
          <w:color w:val="auto"/>
          <w:sz w:val="24"/>
          <w:highlight w:val="none"/>
          <w:lang w:eastAsia="zh-CN"/>
        </w:rPr>
        <w:t>东阳市农药废弃包装物回收和集中处置采购项目（第二次）</w:t>
      </w:r>
    </w:p>
    <w:p w14:paraId="4BBFEFD5">
      <w:pPr>
        <w:spacing w:line="360" w:lineRule="auto"/>
        <w:ind w:firstLine="480" w:firstLineChars="200"/>
        <w:rPr>
          <w:rFonts w:ascii="宋体" w:hAnsi="宋体" w:cs="宋体"/>
          <w:bCs/>
          <w:color w:val="auto"/>
          <w:sz w:val="24"/>
          <w:highlight w:val="none"/>
        </w:rPr>
      </w:pPr>
      <w:r>
        <w:rPr>
          <w:rFonts w:hint="eastAsia" w:ascii="宋体" w:hAnsi="宋体" w:cs="宋体"/>
          <w:bCs/>
          <w:color w:val="auto"/>
          <w:sz w:val="24"/>
          <w:highlight w:val="none"/>
        </w:rPr>
        <w:t>预算金额（元）：16</w:t>
      </w:r>
      <w:r>
        <w:rPr>
          <w:rFonts w:hint="eastAsia" w:ascii="宋体" w:hAnsi="宋体" w:cs="宋体"/>
          <w:bCs/>
          <w:color w:val="auto"/>
          <w:sz w:val="24"/>
          <w:highlight w:val="none"/>
          <w:lang w:val="en-US" w:eastAsia="zh-CN"/>
        </w:rPr>
        <w:t>0</w:t>
      </w:r>
      <w:r>
        <w:rPr>
          <w:rFonts w:hint="eastAsia" w:ascii="宋体" w:hAnsi="宋体" w:cs="宋体"/>
          <w:bCs/>
          <w:color w:val="auto"/>
          <w:sz w:val="24"/>
          <w:highlight w:val="none"/>
        </w:rPr>
        <w:t>0000元；</w:t>
      </w:r>
    </w:p>
    <w:p w14:paraId="35133125">
      <w:pPr>
        <w:spacing w:line="360" w:lineRule="auto"/>
        <w:ind w:firstLine="480" w:firstLineChars="200"/>
        <w:rPr>
          <w:rFonts w:ascii="宋体" w:hAnsi="宋体" w:cs="宋体"/>
          <w:bCs/>
          <w:color w:val="auto"/>
          <w:sz w:val="24"/>
          <w:highlight w:val="none"/>
        </w:rPr>
      </w:pPr>
      <w:r>
        <w:rPr>
          <w:rFonts w:hint="eastAsia" w:ascii="宋体" w:hAnsi="宋体" w:cs="宋体"/>
          <w:bCs/>
          <w:color w:val="auto"/>
          <w:sz w:val="24"/>
          <w:highlight w:val="none"/>
        </w:rPr>
        <w:t>最高限价（元）：</w:t>
      </w:r>
      <w:r>
        <w:rPr>
          <w:rFonts w:hint="eastAsia" w:ascii="宋体" w:hAnsi="宋体" w:cs="宋体"/>
          <w:bCs/>
          <w:color w:val="auto"/>
          <w:sz w:val="24"/>
          <w:highlight w:val="none"/>
          <w:lang w:val="en-US" w:eastAsia="zh-CN"/>
        </w:rPr>
        <w:t>1600000元；</w:t>
      </w:r>
      <w:r>
        <w:rPr>
          <w:rFonts w:hint="eastAsia" w:ascii="宋体" w:hAnsi="宋体" w:cs="宋体"/>
          <w:bCs/>
          <w:color w:val="auto"/>
          <w:sz w:val="24"/>
          <w:highlight w:val="none"/>
        </w:rPr>
        <w:t xml:space="preserve"> </w:t>
      </w:r>
    </w:p>
    <w:p w14:paraId="28EE8201">
      <w:pPr>
        <w:pStyle w:val="2"/>
        <w:spacing w:line="360"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采购需求：</w:t>
      </w:r>
    </w:p>
    <w:p w14:paraId="56A93192">
      <w:pPr>
        <w:pStyle w:val="2"/>
        <w:spacing w:line="360"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标项一：</w:t>
      </w:r>
    </w:p>
    <w:p w14:paraId="146E3DA0">
      <w:pPr>
        <w:pStyle w:val="2"/>
        <w:spacing w:line="360" w:lineRule="auto"/>
        <w:ind w:left="1679" w:leftChars="228" w:hanging="1200" w:hangingChars="500"/>
        <w:rPr>
          <w:rFonts w:hint="eastAsia" w:ascii="宋体" w:hAnsi="宋体" w:eastAsia="宋体" w:cs="宋体"/>
          <w:color w:val="auto"/>
          <w:sz w:val="24"/>
          <w:highlight w:val="none"/>
          <w:lang w:eastAsia="zh-CN"/>
        </w:rPr>
      </w:pPr>
      <w:r>
        <w:rPr>
          <w:rFonts w:hint="eastAsia" w:ascii="宋体" w:hAnsi="宋体" w:cs="宋体"/>
          <w:color w:val="auto"/>
          <w:sz w:val="24"/>
          <w:highlight w:val="none"/>
        </w:rPr>
        <w:t>标项名称：</w:t>
      </w:r>
      <w:r>
        <w:rPr>
          <w:rFonts w:hint="eastAsia" w:ascii="宋体" w:hAnsi="宋体" w:cs="宋体"/>
          <w:color w:val="auto"/>
          <w:sz w:val="24"/>
          <w:highlight w:val="none"/>
          <w:lang w:eastAsia="zh-CN"/>
        </w:rPr>
        <w:t>东阳市农药废弃包装物回收和集中处置采购项目（第二次）</w:t>
      </w:r>
    </w:p>
    <w:p w14:paraId="4CE92A47">
      <w:pPr>
        <w:pStyle w:val="2"/>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数量：1项</w:t>
      </w:r>
    </w:p>
    <w:p w14:paraId="0791DCC8">
      <w:pPr>
        <w:spacing w:line="360" w:lineRule="auto"/>
        <w:ind w:firstLine="480" w:firstLineChars="200"/>
        <w:rPr>
          <w:rFonts w:ascii="宋体" w:hAnsi="宋体" w:cs="宋体"/>
          <w:bCs/>
          <w:color w:val="auto"/>
          <w:sz w:val="24"/>
          <w:highlight w:val="none"/>
        </w:rPr>
      </w:pPr>
      <w:r>
        <w:rPr>
          <w:rFonts w:hint="eastAsia" w:ascii="宋体" w:hAnsi="宋体" w:cs="宋体"/>
          <w:color w:val="auto"/>
          <w:sz w:val="24"/>
          <w:highlight w:val="none"/>
        </w:rPr>
        <w:t>预算金额（元）：</w:t>
      </w:r>
      <w:r>
        <w:rPr>
          <w:rFonts w:hint="eastAsia" w:ascii="宋体" w:hAnsi="宋体" w:cs="宋体"/>
          <w:bCs/>
          <w:color w:val="auto"/>
          <w:sz w:val="24"/>
          <w:highlight w:val="none"/>
        </w:rPr>
        <w:t>16</w:t>
      </w:r>
      <w:r>
        <w:rPr>
          <w:rFonts w:hint="eastAsia" w:ascii="宋体" w:hAnsi="宋体" w:cs="宋体"/>
          <w:bCs/>
          <w:color w:val="auto"/>
          <w:sz w:val="24"/>
          <w:highlight w:val="none"/>
          <w:lang w:val="en-US" w:eastAsia="zh-CN"/>
        </w:rPr>
        <w:t>0</w:t>
      </w:r>
      <w:r>
        <w:rPr>
          <w:rFonts w:hint="eastAsia" w:ascii="宋体" w:hAnsi="宋体" w:cs="宋体"/>
          <w:bCs/>
          <w:color w:val="auto"/>
          <w:sz w:val="24"/>
          <w:highlight w:val="none"/>
        </w:rPr>
        <w:t>0000元</w:t>
      </w:r>
    </w:p>
    <w:p w14:paraId="785B64C1">
      <w:pPr>
        <w:pStyle w:val="2"/>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简要规格描述或项目基本概况介绍、用途：具体要求详见第二章招标需求</w:t>
      </w:r>
    </w:p>
    <w:p w14:paraId="2DF0ECAE">
      <w:pPr>
        <w:pStyle w:val="2"/>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备注：</w:t>
      </w:r>
    </w:p>
    <w:p w14:paraId="23356D9E">
      <w:pPr>
        <w:pStyle w:val="2"/>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合同履约期限：合同签订之日起至</w:t>
      </w:r>
      <w:r>
        <w:rPr>
          <w:rFonts w:hint="eastAsia" w:ascii="宋体" w:hAnsi="宋体" w:cs="宋体"/>
          <w:color w:val="auto"/>
          <w:sz w:val="24"/>
          <w:highlight w:val="none"/>
          <w:lang w:eastAsia="zh-CN"/>
        </w:rPr>
        <w:t>2025</w:t>
      </w:r>
      <w:r>
        <w:rPr>
          <w:rFonts w:hint="eastAsia" w:ascii="宋体" w:hAnsi="宋体" w:cs="宋体"/>
          <w:color w:val="auto"/>
          <w:sz w:val="24"/>
          <w:highlight w:val="none"/>
        </w:rPr>
        <w:t>年12月31日或采购金额累计达到预算金额，先到者为准。</w:t>
      </w:r>
    </w:p>
    <w:p w14:paraId="78BF5EEE">
      <w:pPr>
        <w:snapToGrid w:val="0"/>
        <w:spacing w:line="360" w:lineRule="auto"/>
        <w:ind w:firstLine="480" w:firstLineChars="200"/>
        <w:rPr>
          <w:rFonts w:ascii="宋体" w:hAnsi="宋体" w:cs="宋体"/>
          <w:bCs/>
          <w:color w:val="auto"/>
          <w:sz w:val="24"/>
          <w:highlight w:val="none"/>
        </w:rPr>
      </w:pPr>
      <w:r>
        <w:rPr>
          <w:rFonts w:hint="eastAsia" w:ascii="宋体" w:hAnsi="宋体" w:cs="宋体"/>
          <w:bCs/>
          <w:color w:val="auto"/>
          <w:sz w:val="24"/>
          <w:highlight w:val="none"/>
        </w:rPr>
        <w:t>本项目（是）接受联合体投标</w:t>
      </w:r>
    </w:p>
    <w:p w14:paraId="1F3958FB">
      <w:pPr>
        <w:snapToGrid w:val="0"/>
        <w:spacing w:line="360" w:lineRule="auto"/>
        <w:rPr>
          <w:rFonts w:ascii="宋体" w:hAnsi="宋体" w:cs="宋体"/>
          <w:b/>
          <w:bCs/>
          <w:strike/>
          <w:color w:val="auto"/>
          <w:sz w:val="24"/>
          <w:highlight w:val="none"/>
        </w:rPr>
      </w:pPr>
      <w:r>
        <w:rPr>
          <w:rFonts w:hint="eastAsia" w:ascii="宋体" w:hAnsi="宋体" w:cs="宋体"/>
          <w:b/>
          <w:bCs/>
          <w:color w:val="auto"/>
          <w:sz w:val="24"/>
          <w:highlight w:val="none"/>
        </w:rPr>
        <w:t xml:space="preserve">▲二、申请人的资格要求： </w:t>
      </w:r>
    </w:p>
    <w:p w14:paraId="0B7FCF4E">
      <w:pPr>
        <w:pStyle w:val="2"/>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满足《中华人民共和国政府采购法》第二十二条规定；未被“信用中国”（www.creditchina.gov.cn)、中国政府采购网（www.ccgp.gov.cn）列入失信被执行人、重大税收违法案件当事人名单、政府采购严重违法失信行为记录名单。</w:t>
      </w:r>
    </w:p>
    <w:p w14:paraId="3E938EC7">
      <w:pPr>
        <w:spacing w:line="360" w:lineRule="auto"/>
        <w:ind w:firstLine="480" w:firstLineChars="200"/>
        <w:rPr>
          <w:color w:val="auto"/>
          <w:highlight w:val="none"/>
        </w:rPr>
      </w:pPr>
      <w:r>
        <w:rPr>
          <w:rFonts w:hint="eastAsia" w:ascii="宋体" w:hAnsi="宋体" w:cs="宋体"/>
          <w:color w:val="auto"/>
          <w:sz w:val="24"/>
          <w:highlight w:val="none"/>
        </w:rPr>
        <w:t>2.落实政府采购政策需满足的资格要求：根据《政府采购促进中小企业发展管理办法》有关规定，本项目仅面向中小型及以下企业响应投标。</w:t>
      </w:r>
    </w:p>
    <w:p w14:paraId="2B8C7250">
      <w:pPr>
        <w:pStyle w:val="2"/>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3.本项目的特定资格要求：</w:t>
      </w:r>
    </w:p>
    <w:p w14:paraId="14ACCFAA">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（1）投标人具有农药经营许可证；</w:t>
      </w:r>
    </w:p>
    <w:p w14:paraId="57F3A707">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（2）投标人须为浙江政府采购网注册的正式供应商或承诺中标后30天内注册为浙江政府采购网正式供应商。</w:t>
      </w:r>
    </w:p>
    <w:p w14:paraId="5ED94DB9">
      <w:pPr>
        <w:snapToGrid w:val="0"/>
        <w:spacing w:line="360" w:lineRule="auto"/>
        <w:rPr>
          <w:rFonts w:ascii="宋体" w:hAnsi="宋体" w:cs="宋体"/>
          <w:b/>
          <w:bCs/>
          <w:color w:val="auto"/>
          <w:sz w:val="24"/>
          <w:highlight w:val="none"/>
        </w:rPr>
      </w:pPr>
      <w:r>
        <w:rPr>
          <w:rFonts w:hint="eastAsia" w:ascii="宋体" w:hAnsi="宋体" w:cs="宋体"/>
          <w:b/>
          <w:bCs/>
          <w:color w:val="auto"/>
          <w:sz w:val="24"/>
          <w:highlight w:val="none"/>
        </w:rPr>
        <w:t xml:space="preserve">▲三、获取招标文件： </w:t>
      </w:r>
    </w:p>
    <w:p w14:paraId="18E7B666">
      <w:pPr>
        <w:spacing w:line="360" w:lineRule="auto"/>
        <w:ind w:firstLine="640"/>
        <w:rPr>
          <w:rFonts w:ascii="宋体" w:hAnsi="宋体" w:cs="宋体"/>
          <w:color w:val="auto"/>
          <w:sz w:val="24"/>
          <w:highlight w:val="none"/>
        </w:rPr>
      </w:pPr>
      <w:r>
        <w:rPr>
          <w:rFonts w:hint="eastAsia" w:ascii="宋体" w:hAnsi="宋体" w:cs="宋体"/>
          <w:color w:val="auto"/>
          <w:sz w:val="24"/>
          <w:highlight w:val="none"/>
        </w:rPr>
        <w:t>时间：至</w:t>
      </w:r>
      <w:r>
        <w:rPr>
          <w:rFonts w:hint="eastAsia" w:ascii="宋体" w:hAnsi="宋体" w:cs="宋体"/>
          <w:color w:val="auto"/>
          <w:sz w:val="24"/>
          <w:highlight w:val="none"/>
          <w:lang w:eastAsia="zh-CN"/>
        </w:rPr>
        <w:t>2025</w:t>
      </w:r>
      <w:r>
        <w:rPr>
          <w:rFonts w:hint="eastAsia" w:ascii="宋体" w:hAnsi="宋体" w:cs="宋体"/>
          <w:color w:val="auto"/>
          <w:sz w:val="24"/>
          <w:highlight w:val="none"/>
        </w:rPr>
        <w:t>年</w:t>
      </w:r>
      <w:r>
        <w:rPr>
          <w:rFonts w:hint="eastAsia" w:ascii="宋体" w:hAnsi="宋体" w:cs="宋体"/>
          <w:color w:val="auto"/>
          <w:sz w:val="24"/>
          <w:highlight w:val="none"/>
          <w:lang w:val="en-US" w:eastAsia="zh-CN"/>
        </w:rPr>
        <w:t>7</w:t>
      </w:r>
      <w:r>
        <w:rPr>
          <w:rFonts w:hint="eastAsia" w:ascii="宋体" w:hAnsi="宋体" w:cs="宋体"/>
          <w:color w:val="auto"/>
          <w:sz w:val="24"/>
          <w:highlight w:val="none"/>
        </w:rPr>
        <w:t>月</w:t>
      </w:r>
      <w:r>
        <w:rPr>
          <w:rFonts w:hint="eastAsia" w:ascii="宋体" w:hAnsi="宋体" w:cs="宋体"/>
          <w:color w:val="auto"/>
          <w:sz w:val="24"/>
          <w:highlight w:val="none"/>
          <w:lang w:val="en-US" w:eastAsia="zh-CN"/>
        </w:rPr>
        <w:t>17</w:t>
      </w:r>
      <w:r>
        <w:rPr>
          <w:rFonts w:hint="eastAsia" w:ascii="宋体" w:hAnsi="宋体" w:cs="宋体"/>
          <w:color w:val="auto"/>
          <w:sz w:val="24"/>
          <w:highlight w:val="none"/>
        </w:rPr>
        <w:t>日14时00分，每天上午00：00至12:00，下午12:00至23:59（北京时间，线上获取法定节假日均可，线下获取文件法定节假日除外）</w:t>
      </w:r>
    </w:p>
    <w:p w14:paraId="6AEC7D1D">
      <w:pPr>
        <w:spacing w:line="360" w:lineRule="auto"/>
        <w:ind w:firstLine="640"/>
        <w:rPr>
          <w:rFonts w:ascii="宋体" w:hAnsi="宋体" w:cs="宋体"/>
          <w:color w:val="auto"/>
          <w:sz w:val="24"/>
          <w:highlight w:val="none"/>
        </w:rPr>
      </w:pPr>
      <w:r>
        <w:rPr>
          <w:rFonts w:hint="eastAsia" w:ascii="宋体" w:hAnsi="宋体" w:cs="宋体"/>
          <w:color w:val="auto"/>
          <w:sz w:val="24"/>
          <w:highlight w:val="none"/>
        </w:rPr>
        <w:t>地点（网址）：浙江政府采购网（http://zfcg.czt.zj.gov.cn/）； 金华市公共资源交易网(</w:t>
      </w:r>
      <w:r>
        <w:rPr>
          <w:rFonts w:ascii="宋体" w:hAnsi="宋体" w:cs="宋体"/>
          <w:color w:val="auto"/>
          <w:sz w:val="24"/>
          <w:highlight w:val="none"/>
        </w:rPr>
        <w:t>http://ggzyjy.jinhua.gov.cn/</w:t>
      </w:r>
      <w:r>
        <w:rPr>
          <w:rFonts w:hint="eastAsia" w:ascii="宋体" w:hAnsi="宋体" w:cs="宋体"/>
          <w:color w:val="auto"/>
          <w:sz w:val="24"/>
          <w:highlight w:val="none"/>
        </w:rPr>
        <w:t>)</w:t>
      </w:r>
    </w:p>
    <w:p w14:paraId="77577685">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方式：1、由投标人通过登录浙江省政府采购网(http://zfcg.czt.zj.gov.cn/)上的政采云系统进行获取（首次参加投标的单位应先登录浙江省政府采购网(http://zfcg.czt.zj.gov.cn/)进行账户注册，注册完毕待审核成功后方可登录政采云系统获取；注册流程见网址</w:t>
      </w:r>
    </w:p>
    <w:p w14:paraId="3CDDDF5A">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http://zfcg.czt.zj.gov.cn/register/2017-07-24/6728.html?_=2017-11-13%2011:10:28）；</w:t>
      </w:r>
    </w:p>
    <w:p w14:paraId="29E4F3BA">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2、招标文件获取流程：浙江政府采购网-政采云用户登录-用户中心-项目采购-获取采购文件管理。</w:t>
      </w:r>
    </w:p>
    <w:p w14:paraId="321D5927">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3、浙江政府采购网上以“游客”身份获取的采购文件仅供阅览；潜在供应商应按上述方式获取采购文件；未按上述方式获取采购文件的，不得对采购文件提起质疑投诉。</w:t>
      </w:r>
    </w:p>
    <w:p w14:paraId="4F71BEBE">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 xml:space="preserve"> 售价（元）：0</w:t>
      </w:r>
    </w:p>
    <w:p w14:paraId="73C5ADB2">
      <w:pPr>
        <w:snapToGrid w:val="0"/>
        <w:spacing w:line="360" w:lineRule="auto"/>
        <w:rPr>
          <w:rFonts w:ascii="宋体" w:hAnsi="宋体" w:cs="宋体"/>
          <w:b/>
          <w:bCs/>
          <w:color w:val="auto"/>
          <w:sz w:val="24"/>
          <w:highlight w:val="none"/>
        </w:rPr>
      </w:pPr>
      <w:r>
        <w:rPr>
          <w:rFonts w:hint="eastAsia" w:ascii="宋体" w:hAnsi="宋体" w:cs="宋体"/>
          <w:b/>
          <w:bCs/>
          <w:color w:val="auto"/>
          <w:sz w:val="24"/>
          <w:highlight w:val="none"/>
        </w:rPr>
        <w:t>四、提交投标文件截止时间、开标时间和地点</w:t>
      </w:r>
    </w:p>
    <w:p w14:paraId="09C3F180">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提交投标文件截止时间：</w:t>
      </w:r>
      <w:r>
        <w:rPr>
          <w:rFonts w:hint="eastAsia" w:ascii="宋体" w:hAnsi="宋体" w:cs="宋体"/>
          <w:color w:val="auto"/>
          <w:sz w:val="24"/>
          <w:highlight w:val="none"/>
          <w:lang w:eastAsia="zh-CN"/>
        </w:rPr>
        <w:t>2025</w:t>
      </w:r>
      <w:r>
        <w:rPr>
          <w:rFonts w:hint="eastAsia" w:ascii="宋体" w:hAnsi="宋体" w:cs="宋体"/>
          <w:color w:val="auto"/>
          <w:sz w:val="24"/>
          <w:highlight w:val="none"/>
        </w:rPr>
        <w:t>年</w:t>
      </w:r>
      <w:r>
        <w:rPr>
          <w:rFonts w:hint="eastAsia" w:ascii="宋体" w:hAnsi="宋体" w:cs="宋体"/>
          <w:color w:val="auto"/>
          <w:sz w:val="24"/>
          <w:highlight w:val="none"/>
          <w:lang w:val="en-US" w:eastAsia="zh-CN"/>
        </w:rPr>
        <w:t>7</w:t>
      </w:r>
      <w:r>
        <w:rPr>
          <w:rFonts w:hint="eastAsia" w:ascii="宋体" w:hAnsi="宋体" w:cs="宋体"/>
          <w:color w:val="auto"/>
          <w:sz w:val="24"/>
          <w:highlight w:val="none"/>
        </w:rPr>
        <w:t>月</w:t>
      </w:r>
      <w:r>
        <w:rPr>
          <w:rFonts w:hint="eastAsia" w:ascii="宋体" w:hAnsi="宋体" w:cs="宋体"/>
          <w:color w:val="auto"/>
          <w:sz w:val="24"/>
          <w:highlight w:val="none"/>
          <w:lang w:val="en-US" w:eastAsia="zh-CN"/>
        </w:rPr>
        <w:t>17</w:t>
      </w:r>
      <w:r>
        <w:rPr>
          <w:rFonts w:hint="eastAsia" w:ascii="宋体" w:hAnsi="宋体" w:cs="宋体"/>
          <w:color w:val="auto"/>
          <w:sz w:val="24"/>
          <w:highlight w:val="none"/>
        </w:rPr>
        <w:t>日14时00分（北京时间）</w:t>
      </w:r>
    </w:p>
    <w:p w14:paraId="1EAE34A3">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投标地点（网址）：政采云平台</w:t>
      </w:r>
    </w:p>
    <w:p w14:paraId="153D151E">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开标时间：</w:t>
      </w:r>
      <w:r>
        <w:rPr>
          <w:rFonts w:hint="eastAsia" w:ascii="宋体" w:hAnsi="宋体" w:cs="宋体"/>
          <w:color w:val="auto"/>
          <w:sz w:val="24"/>
          <w:highlight w:val="none"/>
          <w:lang w:eastAsia="zh-CN"/>
        </w:rPr>
        <w:t>2025</w:t>
      </w:r>
      <w:r>
        <w:rPr>
          <w:rFonts w:hint="eastAsia" w:ascii="宋体" w:hAnsi="宋体" w:cs="宋体"/>
          <w:color w:val="auto"/>
          <w:sz w:val="24"/>
          <w:highlight w:val="none"/>
        </w:rPr>
        <w:t>年</w:t>
      </w:r>
      <w:r>
        <w:rPr>
          <w:rFonts w:hint="eastAsia" w:ascii="宋体" w:hAnsi="宋体" w:cs="宋体"/>
          <w:color w:val="auto"/>
          <w:sz w:val="24"/>
          <w:highlight w:val="none"/>
          <w:lang w:val="en-US" w:eastAsia="zh-CN"/>
        </w:rPr>
        <w:t>7</w:t>
      </w:r>
      <w:r>
        <w:rPr>
          <w:rFonts w:hint="eastAsia" w:ascii="宋体" w:hAnsi="宋体" w:cs="宋体"/>
          <w:color w:val="auto"/>
          <w:sz w:val="24"/>
          <w:highlight w:val="none"/>
        </w:rPr>
        <w:t>月</w:t>
      </w:r>
      <w:r>
        <w:rPr>
          <w:rFonts w:hint="eastAsia" w:ascii="宋体" w:hAnsi="宋体" w:cs="宋体"/>
          <w:color w:val="auto"/>
          <w:sz w:val="24"/>
          <w:highlight w:val="none"/>
          <w:lang w:val="en-US" w:eastAsia="zh-CN"/>
        </w:rPr>
        <w:t>17</w:t>
      </w:r>
      <w:r>
        <w:rPr>
          <w:rFonts w:hint="eastAsia" w:ascii="宋体" w:hAnsi="宋体" w:cs="宋体"/>
          <w:color w:val="auto"/>
          <w:sz w:val="24"/>
          <w:highlight w:val="none"/>
        </w:rPr>
        <w:t>日14时00分</w:t>
      </w:r>
    </w:p>
    <w:p w14:paraId="78C88837">
      <w:pPr>
        <w:snapToGrid w:val="0"/>
        <w:spacing w:line="360" w:lineRule="auto"/>
        <w:ind w:firstLine="481"/>
        <w:rPr>
          <w:rFonts w:ascii="宋体" w:hAnsi="宋体" w:cs="宋体"/>
          <w:b/>
          <w:bCs/>
          <w:color w:val="auto"/>
          <w:sz w:val="24"/>
          <w:highlight w:val="none"/>
        </w:rPr>
      </w:pPr>
      <w:r>
        <w:rPr>
          <w:rFonts w:hint="eastAsia" w:ascii="宋体" w:hAnsi="宋体" w:cs="宋体"/>
          <w:color w:val="auto"/>
          <w:sz w:val="24"/>
          <w:highlight w:val="none"/>
        </w:rPr>
        <w:t>开标地点（网址）：政采云平台</w:t>
      </w:r>
    </w:p>
    <w:p w14:paraId="7FD2E14F">
      <w:pPr>
        <w:numPr>
          <w:ilvl w:val="0"/>
          <w:numId w:val="4"/>
        </w:numPr>
        <w:snapToGrid w:val="0"/>
        <w:spacing w:line="360" w:lineRule="auto"/>
        <w:rPr>
          <w:rFonts w:ascii="宋体" w:hAnsi="宋体" w:cs="宋体"/>
          <w:b/>
          <w:bCs/>
          <w:color w:val="auto"/>
          <w:sz w:val="24"/>
          <w:highlight w:val="none"/>
        </w:rPr>
      </w:pPr>
      <w:r>
        <w:rPr>
          <w:rFonts w:hint="eastAsia" w:ascii="宋体" w:hAnsi="宋体" w:cs="宋体"/>
          <w:b/>
          <w:bCs/>
          <w:color w:val="auto"/>
          <w:sz w:val="24"/>
          <w:highlight w:val="none"/>
        </w:rPr>
        <w:t xml:space="preserve">采购意向公开链接   </w:t>
      </w:r>
    </w:p>
    <w:p w14:paraId="1E3CF34A">
      <w:pPr>
        <w:snapToGrid w:val="0"/>
        <w:spacing w:line="360" w:lineRule="auto"/>
        <w:jc w:val="left"/>
        <w:rPr>
          <w:rFonts w:hint="eastAsia" w:ascii="宋体" w:hAnsi="宋体" w:cs="宋体"/>
          <w:b/>
          <w:bCs/>
          <w:color w:val="auto"/>
          <w:sz w:val="24"/>
          <w:highlight w:val="none"/>
        </w:rPr>
      </w:pPr>
      <w:r>
        <w:rPr>
          <w:rFonts w:hint="eastAsia" w:ascii="宋体" w:hAnsi="宋体" w:cs="宋体"/>
          <w:b/>
          <w:bCs/>
          <w:color w:val="auto"/>
          <w:sz w:val="24"/>
          <w:highlight w:val="none"/>
        </w:rPr>
        <w:fldChar w:fldCharType="begin"/>
      </w:r>
      <w:r>
        <w:rPr>
          <w:rFonts w:hint="eastAsia" w:ascii="宋体" w:hAnsi="宋体" w:cs="宋体"/>
          <w:b/>
          <w:bCs/>
          <w:color w:val="auto"/>
          <w:sz w:val="24"/>
          <w:highlight w:val="none"/>
        </w:rPr>
        <w:instrText xml:space="preserve"> HYPERLINK "http://www.ccgp-zhejiang.gov.cn/site/detail?parentId=600007&amp;articleId=YiRZNZdLN%2FgvHcpnkA%2Bs5g%3D%3D" </w:instrText>
      </w:r>
      <w:r>
        <w:rPr>
          <w:rFonts w:hint="eastAsia" w:ascii="宋体" w:hAnsi="宋体" w:cs="宋体"/>
          <w:b/>
          <w:bCs/>
          <w:color w:val="auto"/>
          <w:sz w:val="24"/>
          <w:highlight w:val="none"/>
        </w:rPr>
        <w:fldChar w:fldCharType="separate"/>
      </w:r>
      <w:r>
        <w:rPr>
          <w:rStyle w:val="27"/>
          <w:rFonts w:hint="eastAsia" w:ascii="宋体" w:hAnsi="宋体" w:cs="宋体"/>
          <w:b/>
          <w:bCs/>
          <w:color w:val="auto"/>
          <w:sz w:val="24"/>
          <w:highlight w:val="none"/>
        </w:rPr>
        <w:t>http://www.ccgp-zhejiang.gov.cn/site/detail?parentId=600007&amp;articleId=YiRZNZdLN%2FgvHcpnkA%2Bs5g%3D%3D</w:t>
      </w:r>
      <w:r>
        <w:rPr>
          <w:rFonts w:hint="eastAsia" w:ascii="宋体" w:hAnsi="宋体" w:cs="宋体"/>
          <w:b/>
          <w:bCs/>
          <w:color w:val="auto"/>
          <w:sz w:val="24"/>
          <w:highlight w:val="none"/>
        </w:rPr>
        <w:fldChar w:fldCharType="end"/>
      </w:r>
    </w:p>
    <w:p w14:paraId="52D2CECF">
      <w:pPr>
        <w:snapToGrid w:val="0"/>
        <w:spacing w:line="360" w:lineRule="auto"/>
        <w:jc w:val="left"/>
        <w:rPr>
          <w:rFonts w:ascii="宋体" w:hAnsi="宋体" w:cs="宋体"/>
          <w:b/>
          <w:bCs/>
          <w:color w:val="auto"/>
          <w:sz w:val="24"/>
          <w:highlight w:val="none"/>
        </w:rPr>
      </w:pPr>
      <w:r>
        <w:rPr>
          <w:rFonts w:hint="eastAsia" w:ascii="宋体" w:hAnsi="宋体" w:cs="宋体"/>
          <w:b/>
          <w:bCs/>
          <w:color w:val="auto"/>
          <w:sz w:val="24"/>
          <w:highlight w:val="none"/>
        </w:rPr>
        <w:t>六、公告期限</w:t>
      </w:r>
    </w:p>
    <w:p w14:paraId="36452A11">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自本公告发布之日起5个工作日</w:t>
      </w:r>
    </w:p>
    <w:p w14:paraId="37162879">
      <w:pPr>
        <w:snapToGrid w:val="0"/>
        <w:spacing w:line="360" w:lineRule="auto"/>
        <w:rPr>
          <w:rFonts w:ascii="宋体" w:hAnsi="宋体" w:cs="宋体"/>
          <w:b/>
          <w:bCs/>
          <w:color w:val="auto"/>
          <w:sz w:val="24"/>
          <w:highlight w:val="none"/>
        </w:rPr>
      </w:pPr>
      <w:r>
        <w:rPr>
          <w:rFonts w:hint="eastAsia" w:ascii="宋体" w:hAnsi="宋体" w:cs="宋体"/>
          <w:b/>
          <w:bCs/>
          <w:color w:val="auto"/>
          <w:sz w:val="24"/>
          <w:highlight w:val="none"/>
        </w:rPr>
        <w:t>七、其他补充事宜</w:t>
      </w:r>
    </w:p>
    <w:p w14:paraId="19784337">
      <w:pPr>
        <w:pStyle w:val="21"/>
        <w:adjustRightInd w:val="0"/>
        <w:snapToGrid w:val="0"/>
        <w:spacing w:line="360" w:lineRule="auto"/>
        <w:rPr>
          <w:color w:val="auto"/>
          <w:kern w:val="2"/>
          <w:highlight w:val="none"/>
        </w:rPr>
      </w:pPr>
      <w:r>
        <w:rPr>
          <w:rFonts w:hint="eastAsia"/>
          <w:color w:val="auto"/>
          <w:highlight w:val="none"/>
        </w:rPr>
        <w:t xml:space="preserve"> </w:t>
      </w:r>
      <w:bookmarkStart w:id="1" w:name="_Toc28359008"/>
      <w:bookmarkStart w:id="2" w:name="_Toc28359085"/>
      <w:bookmarkStart w:id="3" w:name="_Toc35393627"/>
      <w:bookmarkStart w:id="4" w:name="_Toc35393796"/>
      <w:r>
        <w:rPr>
          <w:rFonts w:hint="eastAsia"/>
          <w:color w:val="auto"/>
          <w:highlight w:val="none"/>
        </w:rPr>
        <w:t xml:space="preserve">  </w:t>
      </w:r>
      <w:r>
        <w:rPr>
          <w:rFonts w:hint="eastAsia"/>
          <w:color w:val="auto"/>
          <w:kern w:val="2"/>
          <w:highlight w:val="none"/>
        </w:rPr>
        <w:t>1、供应商认为采购文件使自己的权益受到损害的，可以自获取采购文件之日或者采购文件公告期限届满之日（公告期限届满后获取采购文件的，以公告期限届满之日为准）起7个工作日内，对采购文件需求的以书面形式向采购人提出质疑，对其他内容的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225C4725">
      <w:pPr>
        <w:pStyle w:val="21"/>
        <w:adjustRightInd w:val="0"/>
        <w:snapToGrid w:val="0"/>
        <w:spacing w:line="360" w:lineRule="auto"/>
        <w:ind w:firstLine="480" w:firstLineChars="200"/>
        <w:jc w:val="both"/>
        <w:rPr>
          <w:color w:val="auto"/>
          <w:kern w:val="2"/>
          <w:highlight w:val="none"/>
        </w:rPr>
      </w:pPr>
      <w:r>
        <w:rPr>
          <w:rFonts w:hint="eastAsia"/>
          <w:color w:val="auto"/>
          <w:kern w:val="2"/>
          <w:highlight w:val="none"/>
        </w:rPr>
        <w:t>2、其他事项：1.《浙江省财政厅关于进一步发挥政府采购政策功能全力推动经济稳进提质的通知》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 助力扎实稳住经济的通知》（浙财采监〔2022〕8号）已分别于2022年1月29日、2022年2月1日和2022年7月1日开始实施，此前有关规定与上述文件内容不一致的，按上述文件要求执行。</w:t>
      </w:r>
    </w:p>
    <w:p w14:paraId="1A9579FE">
      <w:pPr>
        <w:pStyle w:val="21"/>
        <w:adjustRightInd w:val="0"/>
        <w:snapToGrid w:val="0"/>
        <w:spacing w:line="360" w:lineRule="auto"/>
        <w:ind w:firstLine="240" w:firstLineChars="100"/>
        <w:jc w:val="both"/>
        <w:rPr>
          <w:color w:val="auto"/>
          <w:kern w:val="2"/>
          <w:highlight w:val="none"/>
        </w:rPr>
      </w:pPr>
      <w:r>
        <w:rPr>
          <w:rFonts w:hint="eastAsia"/>
          <w:color w:val="auto"/>
          <w:kern w:val="2"/>
          <w:highlight w:val="none"/>
        </w:rPr>
        <w:t>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6C163BF6">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企业信用融资:省财政厅、浙江银监局、省金融办制定了《浙江省政府采购支持中小企业信用融资试点办法》浙财采监[2012]13号)，所称的政府采购信用融资，是指银行业金融机构(以下简称银行)以政府采购诚信考核和信用审查为基础，凭借政府采购合同，按优于一般中小企业的贷款利率直接向申请贷款的投标人发放贷款的一种融资方式。投标人可登录浙江政府采购( https://zfcg.czt.zj.gov.cn)的中小企业信用融资栏目了解相关信息。 供应商可以通过浙江政府采购网(https://zfcg. czt.zj. gov.cn/)首页的“浙江政采贷”模块进入申请，还可以通过政府采购云平台(https://wwwzcygov.cn/)首页的“金融服务”模块进入申请。</w:t>
      </w:r>
    </w:p>
    <w:p w14:paraId="43D58ABB">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4.根据《浙江省财政厅关于进一步加大政府采购支持中小企业力度 助力扎实稳住经济的通知》（浙财采监〔2022〕8号）简化对政府采购供应商资格条件的形式审查，供应商书面承诺符合参与政府采购活动资格条件的，不需要再提供财务状况报告、依法缴纳税收和社会保障资金记录、无重大违法记录等证明材料。</w:t>
      </w:r>
    </w:p>
    <w:p w14:paraId="69443B95">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5.本项目实行电子投标，投标文件应按照本项目招标文件和政采云平台的要求编制、加密并递交。投标人在使用系统进行投标的过程中遇到涉及平台使用的任何问题，可致电政采云平台技术支持热线咨询，联系方式：400-881-7190。</w:t>
      </w:r>
    </w:p>
    <w:p w14:paraId="3C761BA8">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6. 投 标 人 应 在 开 标 前 完 成 CA 数 字 证 书 办 理 。 （ 办 理 流 程 详 见http://zfcg.czt.zj.gov.cn/bidClientTemplate/2019-05-27/12945.html）。完成 CA 数字证书办理预计一周左右，建议各投标人抓紧时间办理。</w:t>
      </w:r>
    </w:p>
    <w:p w14:paraId="4029AA21">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7.投标人通过政采云平台电子投标工具制作投标文件，电子投标工具请供应商自行前往浙江省政府采购网下载并安装，（下载网址：http://zfcg.czt.zj.gov.cn/bidClientTemplate/2019-08-30/12975.html），</w:t>
      </w:r>
    </w:p>
    <w:p w14:paraId="52D07C76">
      <w:pPr>
        <w:snapToGrid w:val="0"/>
        <w:spacing w:line="360" w:lineRule="auto"/>
        <w:rPr>
          <w:rStyle w:val="28"/>
          <w:rFonts w:ascii="宋体" w:hAnsi="宋体" w:cs="宋体"/>
          <w:color w:val="auto"/>
          <w:sz w:val="24"/>
          <w:highlight w:val="none"/>
        </w:rPr>
      </w:pPr>
      <w:r>
        <w:rPr>
          <w:rFonts w:hint="eastAsia" w:ascii="宋体" w:hAnsi="宋体" w:cs="宋体"/>
          <w:color w:val="auto"/>
          <w:sz w:val="24"/>
          <w:highlight w:val="none"/>
        </w:rPr>
        <w:t xml:space="preserve">（ 电 子 投 标 相 关 学 习 网 址 ： </w:t>
      </w:r>
      <w:r>
        <w:rPr>
          <w:color w:val="auto"/>
          <w:highlight w:val="none"/>
        </w:rPr>
        <w:fldChar w:fldCharType="begin"/>
      </w:r>
      <w:r>
        <w:rPr>
          <w:color w:val="auto"/>
          <w:highlight w:val="none"/>
        </w:rPr>
        <w:instrText xml:space="preserve"> HYPERLINK "https://edu.zcygov.cn/luban/e-biding?utm=a0004.2ef5001f.0001.0109.2d44db10df9111e9b92b0f36d4889416。）" </w:instrText>
      </w:r>
      <w:r>
        <w:rPr>
          <w:color w:val="auto"/>
          <w:highlight w:val="none"/>
        </w:rPr>
        <w:fldChar w:fldCharType="separate"/>
      </w:r>
      <w:r>
        <w:rPr>
          <w:rStyle w:val="28"/>
          <w:rFonts w:hint="eastAsia" w:ascii="宋体" w:hAnsi="宋体" w:cs="宋体"/>
          <w:color w:val="auto"/>
          <w:sz w:val="24"/>
          <w:highlight w:val="none"/>
        </w:rPr>
        <w:t>https://edu.zcygov.cn/luban/e-biding?utm=a0004.2ef5001f.0001.0109.2d44db10df9111e9b92b0f36d4889416。）</w:t>
      </w:r>
      <w:r>
        <w:rPr>
          <w:rStyle w:val="28"/>
          <w:rFonts w:hint="eastAsia" w:ascii="宋体" w:hAnsi="宋体" w:cs="宋体"/>
          <w:color w:val="auto"/>
          <w:sz w:val="24"/>
          <w:highlight w:val="none"/>
        </w:rPr>
        <w:fldChar w:fldCharType="end"/>
      </w:r>
    </w:p>
    <w:p w14:paraId="7DBCE583">
      <w:pPr>
        <w:spacing w:line="360"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8</w:t>
      </w:r>
      <w:r>
        <w:rPr>
          <w:rFonts w:hint="eastAsia" w:ascii="宋体" w:hAnsi="宋体" w:cs="宋体"/>
          <w:color w:val="auto"/>
          <w:sz w:val="24"/>
          <w:highlight w:val="none"/>
        </w:rPr>
        <w:t>.</w:t>
      </w:r>
      <w:r>
        <w:rPr>
          <w:rFonts w:hint="eastAsia" w:ascii="宋体" w:hAnsi="宋体" w:cs="宋体"/>
          <w:b/>
          <w:bCs/>
          <w:color w:val="auto"/>
          <w:sz w:val="24"/>
          <w:highlight w:val="none"/>
        </w:rPr>
        <w:t xml:space="preserve">政府采购金融服务提示：为扩大政府采购金融服务面，除政采云网上金融服务合作银行外，东阳市范围内增加浙商银行金华分行东阳支行作为线下合作银行。   </w:t>
      </w:r>
    </w:p>
    <w:p w14:paraId="1C366FF2">
      <w:pPr>
        <w:spacing w:line="360"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浙商银行金华东阳支行  联系人：许燕  联系电话：13967983441  0579-86222992</w:t>
      </w:r>
    </w:p>
    <w:p w14:paraId="674EC5D7">
      <w:pPr>
        <w:spacing w:line="360" w:lineRule="auto"/>
        <w:rPr>
          <w:rFonts w:ascii="宋体" w:hAnsi="宋体" w:cs="宋体"/>
          <w:b/>
          <w:color w:val="auto"/>
          <w:sz w:val="24"/>
          <w:highlight w:val="none"/>
        </w:rPr>
      </w:pPr>
      <w:r>
        <w:rPr>
          <w:rFonts w:hint="eastAsia" w:ascii="宋体" w:hAnsi="宋体" w:cs="宋体"/>
          <w:b/>
          <w:color w:val="auto"/>
          <w:sz w:val="24"/>
          <w:highlight w:val="none"/>
        </w:rPr>
        <w:t>八、</w:t>
      </w:r>
      <w:bookmarkEnd w:id="1"/>
      <w:bookmarkEnd w:id="2"/>
      <w:bookmarkEnd w:id="3"/>
      <w:bookmarkEnd w:id="4"/>
      <w:r>
        <w:rPr>
          <w:rFonts w:hint="eastAsia" w:ascii="宋体" w:hAnsi="宋体" w:cs="宋体"/>
          <w:b/>
          <w:color w:val="auto"/>
          <w:sz w:val="24"/>
          <w:highlight w:val="none"/>
        </w:rPr>
        <w:t>对本次采购提出询问、质疑、投诉，请按以下方式联系。</w:t>
      </w:r>
    </w:p>
    <w:p w14:paraId="7D2FD8E4">
      <w:pPr>
        <w:spacing w:line="360" w:lineRule="auto"/>
        <w:ind w:firstLine="723" w:firstLineChars="300"/>
        <w:rPr>
          <w:rFonts w:ascii="宋体" w:hAnsi="宋体" w:cs="宋体"/>
          <w:b/>
          <w:bCs/>
          <w:color w:val="auto"/>
          <w:sz w:val="24"/>
          <w:highlight w:val="none"/>
        </w:rPr>
      </w:pPr>
      <w:r>
        <w:rPr>
          <w:rFonts w:hint="eastAsia" w:ascii="宋体" w:hAnsi="宋体" w:cs="宋体"/>
          <w:b/>
          <w:bCs/>
          <w:color w:val="auto"/>
          <w:sz w:val="24"/>
          <w:highlight w:val="none"/>
        </w:rPr>
        <w:t xml:space="preserve">1.采购人信息  </w:t>
      </w:r>
    </w:p>
    <w:p w14:paraId="4FEEF4E9">
      <w:pPr>
        <w:spacing w:line="360" w:lineRule="auto"/>
        <w:ind w:firstLine="720" w:firstLineChars="300"/>
        <w:rPr>
          <w:rFonts w:hint="eastAsia" w:ascii="宋体" w:hAnsi="宋体" w:eastAsia="宋体" w:cs="宋体"/>
          <w:color w:val="auto"/>
          <w:sz w:val="24"/>
          <w:highlight w:val="none"/>
          <w:lang w:eastAsia="zh-CN"/>
        </w:rPr>
      </w:pPr>
      <w:bookmarkStart w:id="5" w:name="_Toc28359086"/>
      <w:bookmarkStart w:id="6" w:name="_Toc28359009"/>
      <w:r>
        <w:rPr>
          <w:rFonts w:hint="eastAsia" w:ascii="宋体" w:hAnsi="宋体" w:cs="宋体"/>
          <w:color w:val="auto"/>
          <w:sz w:val="24"/>
          <w:highlight w:val="none"/>
        </w:rPr>
        <w:t>名称</w:t>
      </w:r>
      <w:r>
        <w:rPr>
          <w:rFonts w:ascii="宋体" w:hAnsi="宋体" w:cs="宋体"/>
          <w:color w:val="auto"/>
          <w:sz w:val="24"/>
          <w:highlight w:val="none"/>
        </w:rPr>
        <w:t>：</w:t>
      </w:r>
      <w:r>
        <w:rPr>
          <w:rFonts w:hint="eastAsia" w:ascii="宋体" w:hAnsi="宋体" w:cs="宋体"/>
          <w:color w:val="auto"/>
          <w:sz w:val="24"/>
          <w:highlight w:val="none"/>
          <w:lang w:eastAsia="zh-CN"/>
        </w:rPr>
        <w:t>东阳市农业农村局</w:t>
      </w:r>
    </w:p>
    <w:p w14:paraId="5FC45064">
      <w:pPr>
        <w:spacing w:line="360" w:lineRule="auto"/>
        <w:ind w:firstLine="720" w:firstLineChars="300"/>
        <w:rPr>
          <w:rFonts w:ascii="宋体" w:hAnsi="宋体" w:cs="宋体"/>
          <w:color w:val="auto"/>
          <w:sz w:val="24"/>
          <w:highlight w:val="none"/>
        </w:rPr>
      </w:pPr>
      <w:r>
        <w:rPr>
          <w:rFonts w:hint="eastAsia" w:ascii="宋体" w:hAnsi="宋体" w:cs="宋体"/>
          <w:color w:val="auto"/>
          <w:sz w:val="24"/>
          <w:highlight w:val="none"/>
        </w:rPr>
        <w:t>地址： 东阳市望江北路316号</w:t>
      </w:r>
    </w:p>
    <w:p w14:paraId="5F4A0997">
      <w:pPr>
        <w:spacing w:line="360" w:lineRule="auto"/>
        <w:ind w:firstLine="720" w:firstLineChars="300"/>
        <w:rPr>
          <w:rFonts w:ascii="宋体" w:hAnsi="宋体" w:cs="宋体"/>
          <w:color w:val="auto"/>
          <w:sz w:val="24"/>
          <w:highlight w:val="none"/>
        </w:rPr>
      </w:pPr>
      <w:r>
        <w:rPr>
          <w:rFonts w:hint="eastAsia" w:ascii="宋体" w:hAnsi="宋体" w:cs="宋体"/>
          <w:color w:val="auto"/>
          <w:sz w:val="24"/>
          <w:highlight w:val="none"/>
        </w:rPr>
        <w:t xml:space="preserve">项目联系人（询问）：杜利鑫        项目联系方式（询问）：0579-86650733   </w:t>
      </w:r>
    </w:p>
    <w:p w14:paraId="7AEE7158">
      <w:pPr>
        <w:spacing w:line="360" w:lineRule="auto"/>
        <w:ind w:firstLine="720"/>
        <w:rPr>
          <w:rFonts w:ascii="宋体" w:hAnsi="宋体" w:cs="宋体"/>
          <w:b/>
          <w:bCs/>
          <w:color w:val="auto"/>
          <w:sz w:val="24"/>
          <w:highlight w:val="none"/>
        </w:rPr>
      </w:pPr>
      <w:r>
        <w:rPr>
          <w:rFonts w:hint="eastAsia" w:ascii="宋体" w:hAnsi="宋体" w:cs="宋体"/>
          <w:color w:val="auto"/>
          <w:sz w:val="24"/>
          <w:highlight w:val="none"/>
        </w:rPr>
        <w:t xml:space="preserve">质疑联系人：胡军庆                </w:t>
      </w:r>
      <w:r>
        <w:rPr>
          <w:rFonts w:ascii="宋体" w:hAnsi="宋体" w:cs="宋体"/>
          <w:color w:val="auto"/>
          <w:sz w:val="24"/>
          <w:highlight w:val="none"/>
        </w:rPr>
        <w:t xml:space="preserve"> </w:t>
      </w:r>
      <w:r>
        <w:rPr>
          <w:rFonts w:hint="eastAsia" w:ascii="宋体" w:hAnsi="宋体" w:cs="宋体"/>
          <w:color w:val="auto"/>
          <w:sz w:val="24"/>
          <w:highlight w:val="none"/>
        </w:rPr>
        <w:t xml:space="preserve">质疑联系方式：0579-86650725   </w:t>
      </w:r>
    </w:p>
    <w:p w14:paraId="02746F79">
      <w:pPr>
        <w:spacing w:line="360" w:lineRule="auto"/>
        <w:ind w:firstLine="723" w:firstLineChars="300"/>
        <w:rPr>
          <w:rFonts w:ascii="宋体" w:hAnsi="宋体" w:cs="宋体"/>
          <w:b/>
          <w:bCs/>
          <w:color w:val="auto"/>
          <w:sz w:val="24"/>
          <w:highlight w:val="none"/>
        </w:rPr>
      </w:pPr>
      <w:r>
        <w:rPr>
          <w:rFonts w:hint="eastAsia" w:ascii="宋体" w:hAnsi="宋体" w:cs="宋体"/>
          <w:b/>
          <w:bCs/>
          <w:color w:val="auto"/>
          <w:sz w:val="24"/>
          <w:highlight w:val="none"/>
        </w:rPr>
        <w:t>2.采购代理机构</w:t>
      </w:r>
      <w:bookmarkEnd w:id="5"/>
      <w:bookmarkEnd w:id="6"/>
      <w:r>
        <w:rPr>
          <w:rFonts w:hint="eastAsia" w:ascii="宋体" w:hAnsi="宋体" w:cs="宋体"/>
          <w:b/>
          <w:bCs/>
          <w:color w:val="auto"/>
          <w:sz w:val="24"/>
          <w:highlight w:val="none"/>
        </w:rPr>
        <w:t>信息</w:t>
      </w:r>
    </w:p>
    <w:p w14:paraId="1882C1C0">
      <w:pPr>
        <w:snapToGrid w:val="0"/>
        <w:spacing w:line="360" w:lineRule="auto"/>
        <w:ind w:left="504" w:leftChars="240" w:firstLine="240" w:firstLineChars="100"/>
        <w:rPr>
          <w:rFonts w:ascii="宋体" w:cs="宋体"/>
          <w:color w:val="auto"/>
          <w:sz w:val="24"/>
          <w:highlight w:val="none"/>
        </w:rPr>
      </w:pPr>
      <w:bookmarkStart w:id="7" w:name="_Toc28359010"/>
      <w:bookmarkStart w:id="8" w:name="_Toc28359087"/>
      <w:r>
        <w:rPr>
          <w:rFonts w:hint="eastAsia" w:ascii="宋体" w:hAnsi="宋体" w:cs="宋体"/>
          <w:color w:val="auto"/>
          <w:sz w:val="24"/>
          <w:highlight w:val="none"/>
        </w:rPr>
        <w:t>名称：金华正达工程造价咨询有限公司</w:t>
      </w:r>
    </w:p>
    <w:p w14:paraId="32E0AE1C">
      <w:pPr>
        <w:snapToGrid w:val="0"/>
        <w:spacing w:line="360" w:lineRule="auto"/>
        <w:ind w:firstLine="780" w:firstLineChars="325"/>
        <w:rPr>
          <w:rFonts w:ascii="宋体" w:cs="宋体"/>
          <w:color w:val="auto"/>
          <w:sz w:val="24"/>
          <w:highlight w:val="none"/>
        </w:rPr>
      </w:pPr>
      <w:r>
        <w:rPr>
          <w:rFonts w:hint="eastAsia" w:ascii="宋体" w:hAnsi="宋体" w:cs="宋体"/>
          <w:color w:val="auto"/>
          <w:sz w:val="24"/>
          <w:highlight w:val="none"/>
        </w:rPr>
        <w:t>地址：浙江省东阳市江北街道艺海北路292-1号二楼</w:t>
      </w:r>
    </w:p>
    <w:p w14:paraId="428C8E95">
      <w:pPr>
        <w:snapToGrid w:val="0"/>
        <w:spacing w:line="360" w:lineRule="auto"/>
        <w:ind w:firstLine="720" w:firstLineChars="300"/>
        <w:rPr>
          <w:rFonts w:ascii="宋体" w:hAnsi="宋体" w:cs="宋体"/>
          <w:color w:val="auto"/>
          <w:sz w:val="24"/>
          <w:highlight w:val="none"/>
        </w:rPr>
      </w:pPr>
      <w:r>
        <w:rPr>
          <w:rFonts w:hint="eastAsia" w:ascii="宋体" w:hAnsi="宋体" w:cs="宋体"/>
          <w:color w:val="auto"/>
          <w:sz w:val="24"/>
          <w:highlight w:val="none"/>
        </w:rPr>
        <w:t xml:space="preserve">项目联系人（询问）：王女士         项目联系方式（询问）：13511255666 </w:t>
      </w:r>
    </w:p>
    <w:p w14:paraId="7C3CDAC7">
      <w:pPr>
        <w:snapToGrid w:val="0"/>
        <w:spacing w:line="360" w:lineRule="auto"/>
        <w:ind w:firstLine="720" w:firstLineChars="300"/>
        <w:rPr>
          <w:rFonts w:ascii="宋体" w:hAnsi="宋体" w:cs="宋体"/>
          <w:color w:val="auto"/>
          <w:sz w:val="24"/>
          <w:highlight w:val="none"/>
        </w:rPr>
      </w:pPr>
      <w:r>
        <w:rPr>
          <w:rFonts w:hint="eastAsia" w:ascii="宋体" w:hAnsi="宋体" w:cs="宋体"/>
          <w:color w:val="auto"/>
          <w:sz w:val="24"/>
          <w:highlight w:val="none"/>
        </w:rPr>
        <w:t>质疑联系人：胡先生                 项目联系方式：13516912657</w:t>
      </w:r>
    </w:p>
    <w:p w14:paraId="7B7AC41D">
      <w:pPr>
        <w:spacing w:line="360" w:lineRule="auto"/>
        <w:ind w:firstLine="723" w:firstLineChars="300"/>
        <w:rPr>
          <w:rFonts w:ascii="宋体" w:hAnsi="宋体" w:cs="宋体"/>
          <w:color w:val="auto"/>
          <w:sz w:val="24"/>
          <w:highlight w:val="none"/>
          <w:u w:val="single"/>
        </w:rPr>
      </w:pPr>
      <w:r>
        <w:rPr>
          <w:rFonts w:hint="eastAsia" w:ascii="宋体" w:hAnsi="宋体" w:cs="宋体"/>
          <w:b/>
          <w:bCs/>
          <w:color w:val="auto"/>
          <w:sz w:val="24"/>
          <w:highlight w:val="none"/>
        </w:rPr>
        <w:t>3.</w:t>
      </w:r>
      <w:bookmarkEnd w:id="7"/>
      <w:bookmarkEnd w:id="8"/>
      <w:r>
        <w:rPr>
          <w:rFonts w:hint="eastAsia" w:ascii="宋体" w:hAnsi="宋体" w:cs="宋体"/>
          <w:b/>
          <w:bCs/>
          <w:color w:val="auto"/>
          <w:sz w:val="24"/>
          <w:highlight w:val="none"/>
        </w:rPr>
        <w:t>同级政府采购监督管理部门：</w:t>
      </w:r>
    </w:p>
    <w:p w14:paraId="43128D12">
      <w:pPr>
        <w:spacing w:line="360" w:lineRule="auto"/>
        <w:ind w:firstLine="720" w:firstLineChars="300"/>
        <w:rPr>
          <w:rFonts w:ascii="宋体" w:hAnsi="宋体" w:cs="宋体"/>
          <w:color w:val="auto"/>
          <w:sz w:val="24"/>
          <w:highlight w:val="none"/>
        </w:rPr>
      </w:pPr>
      <w:r>
        <w:rPr>
          <w:rFonts w:hint="eastAsia" w:ascii="宋体" w:hAnsi="宋体" w:cs="宋体"/>
          <w:color w:val="auto"/>
          <w:sz w:val="24"/>
          <w:highlight w:val="none"/>
        </w:rPr>
        <w:t>名称：东阳市财政局采监科              地址：东阳市人民路8号</w:t>
      </w:r>
    </w:p>
    <w:p w14:paraId="38770ED7">
      <w:pPr>
        <w:spacing w:line="360" w:lineRule="auto"/>
        <w:ind w:firstLine="720" w:firstLineChars="300"/>
        <w:rPr>
          <w:rFonts w:ascii="宋体" w:hAnsi="宋体" w:cs="宋体"/>
          <w:b/>
          <w:color w:val="auto"/>
          <w:sz w:val="24"/>
          <w:highlight w:val="none"/>
        </w:rPr>
      </w:pPr>
      <w:r>
        <w:rPr>
          <w:rFonts w:hint="eastAsia" w:ascii="宋体" w:hAnsi="宋体" w:cs="宋体"/>
          <w:color w:val="auto"/>
          <w:sz w:val="24"/>
          <w:highlight w:val="none"/>
        </w:rPr>
        <w:t>监督投诉电话：0579-86662677</w:t>
      </w:r>
    </w:p>
    <w:p w14:paraId="6BBE8FEA">
      <w:pPr>
        <w:snapToGrid w:val="0"/>
        <w:spacing w:line="360" w:lineRule="auto"/>
        <w:ind w:firstLine="723" w:firstLineChars="300"/>
        <w:rPr>
          <w:rFonts w:ascii="宋体" w:hAnsi="宋体" w:cs="宋体"/>
          <w:b/>
          <w:color w:val="auto"/>
          <w:sz w:val="24"/>
          <w:highlight w:val="none"/>
        </w:rPr>
      </w:pPr>
      <w:r>
        <w:rPr>
          <w:rFonts w:hint="eastAsia" w:ascii="宋体" w:hAnsi="宋体" w:cs="宋体"/>
          <w:b/>
          <w:color w:val="auto"/>
          <w:sz w:val="24"/>
          <w:highlight w:val="none"/>
        </w:rPr>
        <w:t>附件：</w:t>
      </w:r>
      <w:r>
        <w:rPr>
          <w:rFonts w:hint="eastAsia" w:ascii="宋体" w:hAnsi="宋体" w:cs="宋体"/>
          <w:b/>
          <w:color w:val="auto"/>
          <w:sz w:val="24"/>
          <w:highlight w:val="none"/>
          <w:lang w:eastAsia="zh-CN"/>
        </w:rPr>
        <w:t>东阳市农药废弃包装物回收和集中处置采购项目（第二次）</w:t>
      </w:r>
      <w:r>
        <w:rPr>
          <w:rFonts w:hint="eastAsia" w:ascii="宋体" w:hAnsi="宋体" w:cs="宋体"/>
          <w:b/>
          <w:color w:val="auto"/>
          <w:sz w:val="24"/>
          <w:highlight w:val="none"/>
        </w:rPr>
        <w:t xml:space="preserve">招标文件   </w:t>
      </w:r>
    </w:p>
    <w:p w14:paraId="47BF57AF">
      <w:pPr>
        <w:snapToGrid w:val="0"/>
        <w:spacing w:line="360" w:lineRule="auto"/>
        <w:ind w:left="5799" w:leftChars="237" w:right="198" w:hanging="5301" w:hangingChars="2200"/>
        <w:jc w:val="center"/>
        <w:rPr>
          <w:rFonts w:ascii="宋体" w:hAnsi="宋体" w:cs="宋体"/>
          <w:b/>
          <w:color w:val="auto"/>
          <w:sz w:val="24"/>
          <w:highlight w:val="none"/>
        </w:rPr>
      </w:pPr>
    </w:p>
    <w:p w14:paraId="341DDD66">
      <w:pPr>
        <w:snapToGrid w:val="0"/>
        <w:spacing w:line="360" w:lineRule="auto"/>
        <w:ind w:left="5799" w:leftChars="237" w:right="198" w:hanging="5301" w:hangingChars="2200"/>
        <w:jc w:val="center"/>
        <w:rPr>
          <w:rFonts w:ascii="宋体" w:hAnsi="宋体" w:cs="宋体"/>
          <w:b/>
          <w:color w:val="auto"/>
          <w:sz w:val="24"/>
          <w:highlight w:val="none"/>
        </w:rPr>
      </w:pPr>
      <w:r>
        <w:rPr>
          <w:rFonts w:hint="eastAsia" w:ascii="宋体" w:hAnsi="宋体" w:cs="宋体"/>
          <w:b/>
          <w:color w:val="auto"/>
          <w:sz w:val="24"/>
          <w:highlight w:val="none"/>
        </w:rPr>
        <w:t xml:space="preserve">                                         </w:t>
      </w:r>
      <w:r>
        <w:rPr>
          <w:rFonts w:hint="eastAsia" w:ascii="宋体" w:hAnsi="宋体" w:cs="宋体"/>
          <w:b/>
          <w:color w:val="auto"/>
          <w:sz w:val="24"/>
          <w:highlight w:val="none"/>
          <w:lang w:eastAsia="zh-CN"/>
        </w:rPr>
        <w:t>东阳市农业农村局</w:t>
      </w:r>
      <w:r>
        <w:rPr>
          <w:rFonts w:hint="eastAsia" w:ascii="宋体" w:hAnsi="宋体" w:cs="宋体"/>
          <w:b/>
          <w:color w:val="auto"/>
          <w:sz w:val="24"/>
          <w:highlight w:val="none"/>
        </w:rPr>
        <w:t xml:space="preserve">                           </w:t>
      </w:r>
    </w:p>
    <w:p w14:paraId="4CE43A87">
      <w:pPr>
        <w:snapToGrid w:val="0"/>
        <w:spacing w:line="360" w:lineRule="auto"/>
        <w:ind w:left="5799" w:leftChars="237" w:right="198" w:hanging="5301" w:hangingChars="2200"/>
        <w:jc w:val="center"/>
        <w:rPr>
          <w:rFonts w:ascii="宋体" w:hAnsi="宋体" w:cs="宋体"/>
          <w:b/>
          <w:color w:val="auto"/>
          <w:sz w:val="24"/>
          <w:highlight w:val="none"/>
        </w:rPr>
      </w:pPr>
      <w:r>
        <w:rPr>
          <w:rFonts w:hint="eastAsia" w:ascii="宋体" w:hAnsi="宋体" w:cs="宋体"/>
          <w:b/>
          <w:color w:val="auto"/>
          <w:sz w:val="24"/>
          <w:highlight w:val="none"/>
        </w:rPr>
        <w:t xml:space="preserve">                                         金华正达工程造价咨询有限公司</w:t>
      </w:r>
    </w:p>
    <w:p w14:paraId="3B7D7D5E">
      <w:pPr>
        <w:snapToGrid w:val="0"/>
        <w:spacing w:line="360" w:lineRule="auto"/>
        <w:ind w:right="198" w:firstLine="6505" w:firstLineChars="2700"/>
        <w:rPr>
          <w:rFonts w:ascii="宋体" w:hAnsi="宋体" w:cs="宋体"/>
          <w:color w:val="auto"/>
          <w:kern w:val="0"/>
          <w:sz w:val="24"/>
          <w:highlight w:val="none"/>
          <w:lang w:bidi="ar"/>
        </w:rPr>
      </w:pPr>
      <w:r>
        <w:rPr>
          <w:rFonts w:hint="eastAsia" w:ascii="宋体" w:hAnsi="宋体" w:cs="宋体"/>
          <w:b/>
          <w:color w:val="auto"/>
          <w:sz w:val="24"/>
          <w:highlight w:val="none"/>
          <w:lang w:eastAsia="zh-CN"/>
        </w:rPr>
        <w:t>2025</w:t>
      </w:r>
      <w:r>
        <w:rPr>
          <w:rFonts w:hint="eastAsia" w:ascii="宋体" w:hAnsi="宋体" w:cs="宋体"/>
          <w:b/>
          <w:color w:val="auto"/>
          <w:sz w:val="24"/>
          <w:highlight w:val="none"/>
        </w:rPr>
        <w:t>年</w:t>
      </w:r>
      <w:r>
        <w:rPr>
          <w:rFonts w:hint="eastAsia" w:ascii="宋体" w:hAnsi="宋体" w:cs="宋体"/>
          <w:b/>
          <w:color w:val="auto"/>
          <w:sz w:val="24"/>
          <w:highlight w:val="none"/>
          <w:lang w:val="en-US" w:eastAsia="zh-CN"/>
        </w:rPr>
        <w:t>6</w:t>
      </w:r>
      <w:r>
        <w:rPr>
          <w:rFonts w:hint="eastAsia" w:ascii="宋体" w:hAnsi="宋体" w:cs="宋体"/>
          <w:b/>
          <w:color w:val="auto"/>
          <w:sz w:val="24"/>
          <w:highlight w:val="none"/>
        </w:rPr>
        <w:t>月</w:t>
      </w:r>
      <w:r>
        <w:rPr>
          <w:rFonts w:hint="eastAsia" w:ascii="宋体" w:hAnsi="宋体" w:cs="宋体"/>
          <w:b/>
          <w:color w:val="auto"/>
          <w:sz w:val="24"/>
          <w:highlight w:val="none"/>
          <w:lang w:val="en-US" w:eastAsia="zh-CN"/>
        </w:rPr>
        <w:t>26</w:t>
      </w:r>
      <w:r>
        <w:rPr>
          <w:rFonts w:hint="eastAsia" w:ascii="宋体" w:hAnsi="宋体" w:cs="宋体"/>
          <w:b/>
          <w:color w:val="auto"/>
          <w:sz w:val="24"/>
          <w:highlight w:val="none"/>
        </w:rPr>
        <w:t>日</w:t>
      </w:r>
    </w:p>
    <w:p w14:paraId="5A623C48">
      <w:pPr>
        <w:snapToGrid w:val="0"/>
        <w:spacing w:line="360" w:lineRule="auto"/>
        <w:ind w:right="198"/>
        <w:rPr>
          <w:rFonts w:ascii="宋体" w:hAnsi="宋体" w:cs="宋体"/>
          <w:color w:val="auto"/>
          <w:kern w:val="0"/>
          <w:sz w:val="22"/>
          <w:szCs w:val="22"/>
          <w:highlight w:val="none"/>
          <w:lang w:bidi="ar"/>
        </w:rPr>
      </w:pPr>
    </w:p>
    <w:p w14:paraId="1ED24CC6">
      <w:pPr>
        <w:snapToGrid w:val="0"/>
        <w:spacing w:line="360" w:lineRule="auto"/>
        <w:ind w:right="198"/>
        <w:rPr>
          <w:rFonts w:ascii="宋体" w:hAnsi="宋体" w:cs="宋体"/>
          <w:color w:val="auto"/>
          <w:sz w:val="22"/>
          <w:szCs w:val="22"/>
          <w:highlight w:val="none"/>
        </w:rPr>
      </w:pPr>
      <w:r>
        <w:rPr>
          <w:rFonts w:hint="eastAsia" w:ascii="宋体" w:hAnsi="宋体" w:cs="宋体"/>
          <w:color w:val="auto"/>
          <w:kern w:val="0"/>
          <w:sz w:val="22"/>
          <w:szCs w:val="22"/>
          <w:highlight w:val="none"/>
          <w:lang w:bidi="ar"/>
        </w:rPr>
        <w:t>若对项目采购电子交易系统操作有疑问，可登录政采云（https://www.zcygov.cn/），点击右侧咨询小采，获取采小蜜智能服务管家帮助，或拨打政采云服务热线400-881-7190获取热线服务帮助。</w:t>
      </w:r>
    </w:p>
    <w:p w14:paraId="4514E5C4">
      <w:pPr>
        <w:widowControl/>
        <w:spacing w:line="360" w:lineRule="auto"/>
        <w:jc w:val="left"/>
        <w:rPr>
          <w:rFonts w:ascii="宋体" w:hAnsi="宋体" w:cs="宋体"/>
          <w:color w:val="auto"/>
          <w:sz w:val="22"/>
          <w:szCs w:val="22"/>
          <w:highlight w:val="none"/>
        </w:rPr>
      </w:pPr>
      <w:r>
        <w:rPr>
          <w:rFonts w:hint="eastAsia" w:ascii="宋体" w:hAnsi="宋体" w:cs="宋体"/>
          <w:color w:val="auto"/>
          <w:kern w:val="0"/>
          <w:sz w:val="22"/>
          <w:szCs w:val="22"/>
          <w:highlight w:val="none"/>
          <w:lang w:bidi="ar"/>
        </w:rPr>
        <w:t>CA问题联系电话（人工）：汇信CA 400-888-4636；天谷CA 400-087-8198。</w:t>
      </w:r>
    </w:p>
    <w:p w14:paraId="6508F583">
      <w:pPr>
        <w:pStyle w:val="12"/>
        <w:pageBreakBefore/>
        <w:snapToGrid w:val="0"/>
        <w:spacing w:before="120" w:after="120" w:line="360" w:lineRule="auto"/>
        <w:jc w:val="center"/>
        <w:outlineLvl w:val="0"/>
        <w:rPr>
          <w:rFonts w:ascii="宋体" w:hAnsi="宋体" w:cs="宋体"/>
          <w:b/>
          <w:color w:val="auto"/>
          <w:sz w:val="36"/>
          <w:szCs w:val="36"/>
          <w:highlight w:val="none"/>
        </w:rPr>
      </w:pPr>
      <w:bookmarkStart w:id="9" w:name="_Toc24260"/>
      <w:r>
        <w:rPr>
          <w:rFonts w:hint="eastAsia" w:ascii="宋体" w:hAnsi="宋体" w:cs="宋体"/>
          <w:b/>
          <w:color w:val="auto"/>
          <w:sz w:val="36"/>
          <w:szCs w:val="36"/>
          <w:highlight w:val="none"/>
        </w:rPr>
        <w:t>第二章  招标需求</w:t>
      </w:r>
      <w:bookmarkEnd w:id="9"/>
    </w:p>
    <w:p w14:paraId="37ACC4CB">
      <w:pPr>
        <w:spacing w:line="360" w:lineRule="auto"/>
        <w:rPr>
          <w:rFonts w:hint="eastAsia" w:ascii="宋体" w:hAnsi="宋体" w:eastAsia="宋体" w:cs="宋体"/>
          <w:b/>
          <w:color w:val="auto"/>
          <w:sz w:val="24"/>
          <w:szCs w:val="22"/>
          <w:highlight w:val="none"/>
          <w:lang w:eastAsia="zh-CN"/>
        </w:rPr>
      </w:pPr>
      <w:r>
        <w:rPr>
          <w:rFonts w:hint="eastAsia" w:ascii="宋体" w:hAnsi="宋体" w:cs="宋体"/>
          <w:b/>
          <w:color w:val="auto"/>
          <w:sz w:val="24"/>
          <w:szCs w:val="22"/>
          <w:highlight w:val="none"/>
        </w:rPr>
        <w:t>一、项目编号：</w:t>
      </w:r>
      <w:r>
        <w:rPr>
          <w:rFonts w:hint="eastAsia" w:ascii="宋体" w:hAnsi="宋体" w:cs="宋体"/>
          <w:b/>
          <w:color w:val="auto"/>
          <w:sz w:val="24"/>
          <w:szCs w:val="22"/>
          <w:highlight w:val="none"/>
          <w:lang w:eastAsia="zh-CN"/>
        </w:rPr>
        <w:t>JHZD2025-002-1</w:t>
      </w:r>
    </w:p>
    <w:p w14:paraId="43D88D7E">
      <w:pPr>
        <w:spacing w:line="360" w:lineRule="auto"/>
        <w:rPr>
          <w:rFonts w:ascii="宋体" w:hAnsi="宋体" w:cs="宋体"/>
          <w:b/>
          <w:color w:val="auto"/>
          <w:sz w:val="28"/>
          <w:highlight w:val="none"/>
        </w:rPr>
      </w:pPr>
      <w:r>
        <w:rPr>
          <w:rFonts w:hint="eastAsia" w:ascii="宋体" w:hAnsi="宋体" w:cs="宋体"/>
          <w:b/>
          <w:color w:val="auto"/>
          <w:sz w:val="24"/>
          <w:szCs w:val="22"/>
          <w:highlight w:val="none"/>
        </w:rPr>
        <w:t>二、采购项目名称：</w:t>
      </w:r>
      <w:bookmarkStart w:id="10" w:name="_Toc495926918"/>
      <w:r>
        <w:rPr>
          <w:rFonts w:hint="eastAsia" w:ascii="宋体" w:hAnsi="宋体" w:cs="宋体"/>
          <w:b/>
          <w:color w:val="auto"/>
          <w:sz w:val="24"/>
          <w:szCs w:val="22"/>
          <w:highlight w:val="none"/>
          <w:lang w:eastAsia="zh-CN"/>
        </w:rPr>
        <w:t>东阳市农药废弃包装物回收和集中处置采购项目（第二次）</w:t>
      </w:r>
      <w:r>
        <w:rPr>
          <w:rFonts w:hint="eastAsia" w:ascii="宋体" w:hAnsi="宋体" w:cs="宋体"/>
          <w:b/>
          <w:color w:val="auto"/>
          <w:sz w:val="28"/>
          <w:highlight w:val="none"/>
        </w:rPr>
        <w:t xml:space="preserve">   </w:t>
      </w:r>
    </w:p>
    <w:tbl>
      <w:tblPr>
        <w:tblStyle w:val="23"/>
        <w:tblW w:w="83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9"/>
        <w:gridCol w:w="3677"/>
        <w:gridCol w:w="1593"/>
        <w:gridCol w:w="2309"/>
      </w:tblGrid>
      <w:tr w14:paraId="0B2A4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809" w:type="dxa"/>
            <w:vAlign w:val="center"/>
          </w:tcPr>
          <w:p w14:paraId="2C152D06">
            <w:pPr>
              <w:widowControl/>
              <w:overflowPunct w:val="0"/>
              <w:autoSpaceDE w:val="0"/>
              <w:autoSpaceDN w:val="0"/>
              <w:adjustRightInd w:val="0"/>
              <w:spacing w:line="460" w:lineRule="exact"/>
              <w:jc w:val="center"/>
              <w:textAlignment w:val="baseline"/>
              <w:rPr>
                <w:color w:val="auto"/>
                <w:sz w:val="24"/>
                <w:highlight w:val="none"/>
              </w:rPr>
            </w:pPr>
            <w:r>
              <w:rPr>
                <w:rFonts w:hint="eastAsia" w:ascii="宋体" w:hAnsi="宋体"/>
                <w:bCs/>
                <w:color w:val="auto"/>
                <w:kern w:val="0"/>
                <w:sz w:val="24"/>
                <w:highlight w:val="none"/>
              </w:rPr>
              <w:t>标项</w:t>
            </w:r>
          </w:p>
        </w:tc>
        <w:tc>
          <w:tcPr>
            <w:tcW w:w="3677" w:type="dxa"/>
            <w:vAlign w:val="center"/>
          </w:tcPr>
          <w:p w14:paraId="12DD5C87">
            <w:pPr>
              <w:widowControl/>
              <w:overflowPunct w:val="0"/>
              <w:autoSpaceDE w:val="0"/>
              <w:autoSpaceDN w:val="0"/>
              <w:adjustRightInd w:val="0"/>
              <w:spacing w:line="460" w:lineRule="exact"/>
              <w:jc w:val="center"/>
              <w:textAlignment w:val="baseline"/>
              <w:rPr>
                <w:rFonts w:ascii="宋体" w:hAnsi="宋体"/>
                <w:bCs/>
                <w:color w:val="auto"/>
                <w:kern w:val="0"/>
                <w:sz w:val="24"/>
                <w:highlight w:val="none"/>
              </w:rPr>
            </w:pPr>
            <w:r>
              <w:rPr>
                <w:rFonts w:hint="eastAsia" w:ascii="宋体" w:hAnsi="宋体"/>
                <w:bCs/>
                <w:color w:val="auto"/>
                <w:kern w:val="0"/>
                <w:sz w:val="24"/>
                <w:highlight w:val="none"/>
              </w:rPr>
              <w:t>采购内容</w:t>
            </w:r>
          </w:p>
        </w:tc>
        <w:tc>
          <w:tcPr>
            <w:tcW w:w="1593" w:type="dxa"/>
            <w:vAlign w:val="center"/>
          </w:tcPr>
          <w:p w14:paraId="128C69B6">
            <w:pPr>
              <w:widowControl/>
              <w:overflowPunct w:val="0"/>
              <w:autoSpaceDE w:val="0"/>
              <w:autoSpaceDN w:val="0"/>
              <w:adjustRightInd w:val="0"/>
              <w:spacing w:line="460" w:lineRule="exact"/>
              <w:jc w:val="center"/>
              <w:textAlignment w:val="baseline"/>
              <w:rPr>
                <w:color w:val="auto"/>
                <w:highlight w:val="none"/>
              </w:rPr>
            </w:pPr>
            <w:r>
              <w:rPr>
                <w:rFonts w:hint="eastAsia" w:ascii="宋体" w:hAnsi="宋体"/>
                <w:bCs/>
                <w:color w:val="auto"/>
                <w:kern w:val="0"/>
                <w:sz w:val="24"/>
                <w:highlight w:val="none"/>
              </w:rPr>
              <w:t>数量</w:t>
            </w:r>
          </w:p>
        </w:tc>
        <w:tc>
          <w:tcPr>
            <w:tcW w:w="2309" w:type="dxa"/>
            <w:vAlign w:val="center"/>
          </w:tcPr>
          <w:p w14:paraId="413A45A5">
            <w:pPr>
              <w:widowControl/>
              <w:overflowPunct w:val="0"/>
              <w:autoSpaceDE w:val="0"/>
              <w:autoSpaceDN w:val="0"/>
              <w:adjustRightInd w:val="0"/>
              <w:spacing w:line="460" w:lineRule="exact"/>
              <w:jc w:val="center"/>
              <w:textAlignment w:val="baseline"/>
              <w:rPr>
                <w:color w:val="auto"/>
                <w:sz w:val="24"/>
                <w:highlight w:val="none"/>
              </w:rPr>
            </w:pPr>
            <w:r>
              <w:rPr>
                <w:rFonts w:hint="eastAsia" w:ascii="宋体" w:hAnsi="宋体"/>
                <w:bCs/>
                <w:color w:val="auto"/>
                <w:kern w:val="0"/>
                <w:sz w:val="24"/>
                <w:highlight w:val="none"/>
              </w:rPr>
              <w:t>预算金额</w:t>
            </w:r>
          </w:p>
        </w:tc>
      </w:tr>
      <w:tr w14:paraId="46C89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2" w:hRule="atLeast"/>
          <w:jc w:val="center"/>
        </w:trPr>
        <w:tc>
          <w:tcPr>
            <w:tcW w:w="809" w:type="dxa"/>
            <w:vAlign w:val="center"/>
          </w:tcPr>
          <w:p w14:paraId="0AABBC7C">
            <w:pPr>
              <w:spacing w:line="380" w:lineRule="exact"/>
              <w:jc w:val="center"/>
              <w:rPr>
                <w:rFonts w:ascii="宋体" w:hAnsi="宋体" w:cs="宋体"/>
                <w:color w:val="auto"/>
                <w:sz w:val="24"/>
                <w:highlight w:val="none"/>
              </w:rPr>
            </w:pPr>
            <w:r>
              <w:rPr>
                <w:rFonts w:hint="eastAsia" w:ascii="宋体" w:hAnsi="宋体" w:cs="宋体"/>
                <w:color w:val="auto"/>
                <w:sz w:val="24"/>
                <w:highlight w:val="none"/>
              </w:rPr>
              <w:t>一</w:t>
            </w:r>
          </w:p>
        </w:tc>
        <w:tc>
          <w:tcPr>
            <w:tcW w:w="3677" w:type="dxa"/>
            <w:vAlign w:val="center"/>
          </w:tcPr>
          <w:p w14:paraId="3EB6AE84">
            <w:pPr>
              <w:spacing w:line="380" w:lineRule="exact"/>
              <w:jc w:val="center"/>
              <w:rPr>
                <w:color w:val="auto"/>
                <w:sz w:val="24"/>
                <w:highlight w:val="none"/>
              </w:rPr>
            </w:pPr>
            <w:r>
              <w:rPr>
                <w:rFonts w:hint="eastAsia"/>
                <w:color w:val="auto"/>
                <w:sz w:val="24"/>
                <w:highlight w:val="none"/>
                <w:lang w:eastAsia="zh-CN"/>
              </w:rPr>
              <w:t>东阳市农药废弃包装物回收和集中处置采购项目（第二次）</w:t>
            </w:r>
            <w:r>
              <w:rPr>
                <w:rFonts w:hint="eastAsia"/>
                <w:color w:val="auto"/>
                <w:sz w:val="24"/>
                <w:highlight w:val="none"/>
              </w:rPr>
              <w:t xml:space="preserve"> </w:t>
            </w:r>
          </w:p>
        </w:tc>
        <w:tc>
          <w:tcPr>
            <w:tcW w:w="1593" w:type="dxa"/>
            <w:vAlign w:val="center"/>
          </w:tcPr>
          <w:p w14:paraId="5F0CC8BA">
            <w:pPr>
              <w:spacing w:line="380" w:lineRule="exact"/>
              <w:jc w:val="center"/>
              <w:rPr>
                <w:color w:val="auto"/>
                <w:sz w:val="24"/>
                <w:highlight w:val="none"/>
              </w:rPr>
            </w:pPr>
            <w:r>
              <w:rPr>
                <w:rFonts w:hint="eastAsia"/>
                <w:color w:val="auto"/>
                <w:sz w:val="24"/>
                <w:highlight w:val="none"/>
              </w:rPr>
              <w:t>1项</w:t>
            </w:r>
          </w:p>
        </w:tc>
        <w:tc>
          <w:tcPr>
            <w:tcW w:w="2309" w:type="dxa"/>
            <w:vAlign w:val="center"/>
          </w:tcPr>
          <w:p w14:paraId="3BB0168F">
            <w:pPr>
              <w:spacing w:line="380" w:lineRule="exact"/>
              <w:jc w:val="center"/>
              <w:rPr>
                <w:color w:val="auto"/>
                <w:sz w:val="24"/>
                <w:highlight w:val="none"/>
              </w:rPr>
            </w:pPr>
            <w:r>
              <w:rPr>
                <w:rFonts w:hint="eastAsia"/>
                <w:color w:val="auto"/>
                <w:sz w:val="24"/>
                <w:highlight w:val="none"/>
              </w:rPr>
              <w:t>16</w:t>
            </w:r>
            <w:r>
              <w:rPr>
                <w:rFonts w:hint="eastAsia"/>
                <w:color w:val="auto"/>
                <w:sz w:val="24"/>
                <w:highlight w:val="none"/>
                <w:lang w:val="en-US" w:eastAsia="zh-CN"/>
              </w:rPr>
              <w:t>0</w:t>
            </w:r>
            <w:r>
              <w:rPr>
                <w:rFonts w:hint="eastAsia"/>
                <w:color w:val="auto"/>
                <w:sz w:val="24"/>
                <w:highlight w:val="none"/>
              </w:rPr>
              <w:t>万元</w:t>
            </w:r>
          </w:p>
        </w:tc>
      </w:tr>
      <w:tr w14:paraId="295AC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2" w:hRule="atLeast"/>
          <w:jc w:val="center"/>
        </w:trPr>
        <w:tc>
          <w:tcPr>
            <w:tcW w:w="8388" w:type="dxa"/>
            <w:gridSpan w:val="4"/>
            <w:vAlign w:val="center"/>
          </w:tcPr>
          <w:p w14:paraId="64A817A8">
            <w:pPr>
              <w:spacing w:line="380" w:lineRule="exact"/>
              <w:jc w:val="left"/>
              <w:rPr>
                <w:color w:val="auto"/>
                <w:sz w:val="24"/>
                <w:highlight w:val="none"/>
              </w:rPr>
            </w:pPr>
            <w:r>
              <w:rPr>
                <w:rFonts w:hint="eastAsia" w:ascii="宋体" w:hAnsi="宋体" w:cs="宋体"/>
                <w:color w:val="auto"/>
                <w:kern w:val="0"/>
                <w:sz w:val="24"/>
                <w:szCs w:val="20"/>
                <w:highlight w:val="none"/>
              </w:rPr>
              <w:t>服务期限：合同签订之日起至</w:t>
            </w:r>
            <w:r>
              <w:rPr>
                <w:rFonts w:hint="eastAsia" w:ascii="宋体" w:hAnsi="宋体" w:cs="宋体"/>
                <w:color w:val="auto"/>
                <w:kern w:val="0"/>
                <w:sz w:val="24"/>
                <w:szCs w:val="20"/>
                <w:highlight w:val="none"/>
                <w:lang w:eastAsia="zh-CN"/>
              </w:rPr>
              <w:t>2025</w:t>
            </w:r>
            <w:r>
              <w:rPr>
                <w:rFonts w:hint="eastAsia" w:ascii="宋体" w:hAnsi="宋体" w:cs="宋体"/>
                <w:color w:val="auto"/>
                <w:kern w:val="0"/>
                <w:sz w:val="24"/>
                <w:szCs w:val="20"/>
                <w:highlight w:val="none"/>
              </w:rPr>
              <w:t>年12月31日或采购金额累计达到预算金额，先到者为准。中标人若采购金额超预算金额，超出部分将不予支付。</w:t>
            </w:r>
          </w:p>
        </w:tc>
      </w:tr>
      <w:bookmarkEnd w:id="10"/>
    </w:tbl>
    <w:p w14:paraId="5B9DD7BF">
      <w:pPr>
        <w:spacing w:line="360" w:lineRule="auto"/>
        <w:rPr>
          <w:rFonts w:ascii="宋体" w:hAnsi="宋体" w:cs="宋体"/>
          <w:b/>
          <w:bCs/>
          <w:color w:val="auto"/>
          <w:sz w:val="24"/>
          <w:highlight w:val="none"/>
        </w:rPr>
      </w:pPr>
    </w:p>
    <w:p w14:paraId="38A5DE7A">
      <w:pPr>
        <w:spacing w:line="360" w:lineRule="auto"/>
        <w:rPr>
          <w:rFonts w:ascii="宋体" w:hAnsi="宋体" w:cs="宋体"/>
          <w:b/>
          <w:color w:val="auto"/>
          <w:sz w:val="24"/>
          <w:szCs w:val="22"/>
          <w:highlight w:val="none"/>
        </w:rPr>
      </w:pPr>
      <w:r>
        <w:rPr>
          <w:rFonts w:hint="eastAsia" w:ascii="宋体" w:hAnsi="宋体" w:cs="宋体"/>
          <w:b/>
          <w:color w:val="auto"/>
          <w:sz w:val="24"/>
          <w:szCs w:val="22"/>
          <w:highlight w:val="none"/>
        </w:rPr>
        <w:t>三、技术参数</w:t>
      </w:r>
    </w:p>
    <w:p w14:paraId="20E56AF2">
      <w:pPr>
        <w:spacing w:line="480" w:lineRule="exact"/>
        <w:ind w:firstLine="482" w:firstLineChars="200"/>
        <w:rPr>
          <w:rFonts w:ascii="宋体" w:hAnsi="宋体" w:cs="宋体"/>
          <w:b/>
          <w:color w:val="auto"/>
          <w:sz w:val="24"/>
          <w:highlight w:val="none"/>
        </w:rPr>
      </w:pPr>
      <w:r>
        <w:rPr>
          <w:rFonts w:hint="eastAsia" w:ascii="宋体" w:hAnsi="宋体" w:cs="宋体"/>
          <w:b/>
          <w:color w:val="auto"/>
          <w:sz w:val="24"/>
          <w:highlight w:val="none"/>
        </w:rPr>
        <w:t>（一）项目概述</w:t>
      </w:r>
    </w:p>
    <w:p w14:paraId="2D33AFDE">
      <w:pPr>
        <w:spacing w:line="480" w:lineRule="exact"/>
        <w:ind w:firstLine="480" w:firstLineChars="200"/>
        <w:rPr>
          <w:rFonts w:ascii="宋体" w:hAnsi="宋体" w:cs="宋体"/>
          <w:bCs/>
          <w:color w:val="auto"/>
          <w:sz w:val="24"/>
          <w:highlight w:val="none"/>
        </w:rPr>
      </w:pPr>
      <w:r>
        <w:rPr>
          <w:rFonts w:hint="eastAsia" w:ascii="宋体" w:hAnsi="宋体" w:cs="宋体"/>
          <w:bCs/>
          <w:color w:val="auto"/>
          <w:sz w:val="24"/>
          <w:highlight w:val="none"/>
        </w:rPr>
        <w:t>为加强我市农业生态环境保护，解决农药废弃包装物随意丢弃造成的污染问题，促进绿色生态农业发展，根据《浙江省农药废弃包装物回收和集中处置试行办法》（浙政办发〔2015〕82号）等相关文件精神，建立以“市场主体回收、专业机构处置、公共财政扶持”为主要模式的农药废弃包装物回收处置体系，将本市范围内因农业生产产生，不再具有使用价值的农药废弃包装物（包括用塑料、纸板、玻璃等材料制作的与农药直接接触的瓶、桶、罐、袋等）进行回收归集，并统一进行规范化处置，实现农药废弃包装物回收率91%以上、处置率100%，农药使用主体环保意识明显增强，乱扔乱弃现象基本杜绝，农药废弃包装物面源污染得到有效控制。现将做好我市农药废弃包装物回收处置事项进行公开招标实施主体。</w:t>
      </w:r>
    </w:p>
    <w:p w14:paraId="69D3E512">
      <w:pPr>
        <w:spacing w:line="480" w:lineRule="exact"/>
        <w:ind w:firstLine="482" w:firstLineChars="200"/>
        <w:rPr>
          <w:rFonts w:ascii="宋体" w:hAnsi="宋体" w:cs="宋体"/>
          <w:b/>
          <w:color w:val="auto"/>
          <w:sz w:val="24"/>
          <w:highlight w:val="none"/>
        </w:rPr>
      </w:pPr>
      <w:r>
        <w:rPr>
          <w:rFonts w:hint="eastAsia" w:ascii="宋体" w:hAnsi="宋体" w:cs="宋体"/>
          <w:b/>
          <w:color w:val="auto"/>
          <w:sz w:val="24"/>
          <w:highlight w:val="none"/>
        </w:rPr>
        <w:t>（二）项目工作要求</w:t>
      </w:r>
    </w:p>
    <w:p w14:paraId="75A24922">
      <w:pPr>
        <w:spacing w:line="480" w:lineRule="exact"/>
        <w:ind w:firstLine="480" w:firstLineChars="200"/>
        <w:rPr>
          <w:rFonts w:ascii="宋体" w:hAnsi="宋体" w:cs="宋体"/>
          <w:bCs/>
          <w:color w:val="auto"/>
          <w:sz w:val="24"/>
          <w:highlight w:val="none"/>
        </w:rPr>
      </w:pPr>
      <w:r>
        <w:rPr>
          <w:rFonts w:hint="eastAsia" w:ascii="宋体" w:hAnsi="宋体" w:cs="宋体"/>
          <w:bCs/>
          <w:color w:val="auto"/>
          <w:sz w:val="24"/>
          <w:highlight w:val="none"/>
        </w:rPr>
        <w:t>中标人具体负责做好我市农药废弃包装物回收和集中处置工作。</w:t>
      </w:r>
    </w:p>
    <w:p w14:paraId="18A55F2B">
      <w:pPr>
        <w:spacing w:line="480" w:lineRule="exact"/>
        <w:ind w:firstLine="480" w:firstLineChars="200"/>
        <w:rPr>
          <w:rFonts w:ascii="宋体" w:hAnsi="宋体" w:cs="宋体"/>
          <w:bCs/>
          <w:color w:val="auto"/>
          <w:sz w:val="24"/>
          <w:highlight w:val="none"/>
        </w:rPr>
      </w:pPr>
      <w:r>
        <w:rPr>
          <w:rFonts w:hint="eastAsia" w:ascii="宋体" w:hAnsi="宋体" w:cs="宋体"/>
          <w:bCs/>
          <w:color w:val="auto"/>
          <w:sz w:val="24"/>
          <w:highlight w:val="none"/>
        </w:rPr>
        <w:t>1.农药废弃包装物的归集和储运。建立以全市各农资经营点为依托的回收网络，完成农药废弃包装物回收56.33吨以上，实现农药废弃包装物回收率91%以上。</w:t>
      </w:r>
      <w:r>
        <w:rPr>
          <w:rFonts w:hint="eastAsia" w:ascii="宋体" w:hAnsi="宋体" w:cs="宋体"/>
          <w:bCs/>
          <w:color w:val="auto"/>
          <w:sz w:val="24"/>
          <w:highlight w:val="none"/>
          <w:lang w:val="en-US" w:eastAsia="zh-CN"/>
        </w:rPr>
        <w:t>中标人须与回收网点签订回收归集协议，对回收网点</w:t>
      </w:r>
      <w:r>
        <w:rPr>
          <w:rFonts w:hint="eastAsia" w:ascii="宋体" w:hAnsi="宋体" w:cs="宋体"/>
          <w:bCs/>
          <w:color w:val="auto"/>
          <w:sz w:val="24"/>
          <w:highlight w:val="none"/>
        </w:rPr>
        <w:t>配备回收存放的设施设备、工具账册，对回收人员开展回收业务及相关安全知识的培训，指导各回收</w:t>
      </w:r>
      <w:r>
        <w:rPr>
          <w:rFonts w:hint="eastAsia" w:ascii="宋体" w:hAnsi="宋体" w:cs="宋体"/>
          <w:bCs/>
          <w:color w:val="auto"/>
          <w:sz w:val="24"/>
          <w:highlight w:val="none"/>
          <w:lang w:val="en-US" w:eastAsia="zh-CN"/>
        </w:rPr>
        <w:t>网</w:t>
      </w:r>
      <w:r>
        <w:rPr>
          <w:rFonts w:hint="eastAsia" w:ascii="宋体" w:hAnsi="宋体" w:cs="宋体"/>
          <w:bCs/>
          <w:color w:val="auto"/>
          <w:sz w:val="24"/>
          <w:highlight w:val="none"/>
        </w:rPr>
        <w:t>点建立农药废弃包装物回收台账。投标人须承诺中标后</w:t>
      </w:r>
      <w:r>
        <w:rPr>
          <w:rFonts w:hint="eastAsia" w:ascii="宋体" w:hAnsi="宋体" w:cs="宋体"/>
          <w:bCs/>
          <w:color w:val="auto"/>
          <w:sz w:val="24"/>
          <w:highlight w:val="none"/>
          <w:lang w:val="en-US" w:eastAsia="zh-CN"/>
        </w:rPr>
        <w:t>30日</w:t>
      </w:r>
      <w:r>
        <w:rPr>
          <w:rFonts w:hint="eastAsia" w:ascii="宋体" w:hAnsi="宋体" w:cs="宋体"/>
          <w:bCs/>
          <w:color w:val="auto"/>
          <w:sz w:val="24"/>
          <w:highlight w:val="none"/>
        </w:rPr>
        <w:t>内在东阳市范围内设立符合《危险废物贮存污染控制标准》（</w:t>
      </w:r>
      <w:r>
        <w:rPr>
          <w:rFonts w:hint="eastAsia" w:ascii="宋体" w:hAnsi="宋体" w:cs="宋体"/>
          <w:bCs/>
          <w:color w:val="auto"/>
          <w:sz w:val="24"/>
          <w:highlight w:val="none"/>
          <w:lang w:eastAsia="zh-CN"/>
        </w:rPr>
        <w:t>GB18597-2023</w:t>
      </w:r>
      <w:r>
        <w:rPr>
          <w:rFonts w:hint="eastAsia" w:ascii="宋体" w:hAnsi="宋体" w:cs="宋体"/>
          <w:bCs/>
          <w:color w:val="auto"/>
          <w:sz w:val="24"/>
          <w:highlight w:val="none"/>
        </w:rPr>
        <w:t>）的指定仓库，做好对各回收网点农药废弃包装物的归集和运输至指定仓库，实行分类归集，落实安全防范措施。做好危险废物台账记录，危险废物管理计划申报，编制落实危险废物意外事故应急预案。</w:t>
      </w:r>
    </w:p>
    <w:p w14:paraId="620094C5">
      <w:pPr>
        <w:spacing w:line="480" w:lineRule="exact"/>
        <w:ind w:firstLine="480" w:firstLineChars="200"/>
        <w:rPr>
          <w:rFonts w:ascii="宋体" w:hAnsi="宋体" w:cs="宋体"/>
          <w:bCs/>
          <w:color w:val="auto"/>
          <w:sz w:val="24"/>
          <w:highlight w:val="none"/>
        </w:rPr>
      </w:pPr>
      <w:r>
        <w:rPr>
          <w:rFonts w:hint="eastAsia" w:ascii="宋体" w:hAnsi="宋体" w:cs="宋体"/>
          <w:bCs/>
          <w:color w:val="auto"/>
          <w:sz w:val="24"/>
          <w:highlight w:val="none"/>
        </w:rPr>
        <w:t>2.农药废弃包装物的专业规范化处置。中标人须与具备危险废物经营许可证的处置单位签订委托处置协议</w:t>
      </w:r>
      <w:r>
        <w:rPr>
          <w:rFonts w:hint="eastAsia" w:ascii="宋体" w:hAnsi="宋体" w:cs="宋体"/>
          <w:bCs/>
          <w:color w:val="auto"/>
          <w:sz w:val="24"/>
          <w:highlight w:val="none"/>
          <w:lang w:val="en-US" w:eastAsia="zh-CN"/>
        </w:rPr>
        <w:t>报采购人备案</w:t>
      </w:r>
      <w:r>
        <w:rPr>
          <w:rFonts w:hint="eastAsia" w:ascii="宋体" w:hAnsi="宋体" w:cs="宋体"/>
          <w:bCs/>
          <w:color w:val="auto"/>
          <w:sz w:val="24"/>
          <w:highlight w:val="none"/>
        </w:rPr>
        <w:t>，并做好年度规范化处置计划安排，执行危险废物转移联系单制度，协助处置单位用具备危化资质的运输车辆将农药废弃包装物运送至处置单位进行集中处置，确保完成处置率达100%。</w:t>
      </w:r>
    </w:p>
    <w:p w14:paraId="314B6E3C">
      <w:pPr>
        <w:spacing w:line="480" w:lineRule="exact"/>
        <w:ind w:firstLine="480" w:firstLineChars="200"/>
        <w:rPr>
          <w:rFonts w:ascii="宋体" w:hAnsi="宋体" w:cs="宋体"/>
          <w:bCs/>
          <w:color w:val="auto"/>
          <w:sz w:val="24"/>
          <w:highlight w:val="none"/>
        </w:rPr>
      </w:pPr>
      <w:r>
        <w:rPr>
          <w:rFonts w:hint="eastAsia" w:ascii="宋体" w:hAnsi="宋体" w:cs="宋体"/>
          <w:bCs/>
          <w:color w:val="auto"/>
          <w:sz w:val="24"/>
          <w:highlight w:val="none"/>
        </w:rPr>
        <w:t>3.中标人归集和运输过程必须符合以下标准和规范（包含但不限于）：</w:t>
      </w:r>
    </w:p>
    <w:p w14:paraId="5CCB3BEF">
      <w:pPr>
        <w:spacing w:line="480" w:lineRule="exact"/>
        <w:ind w:firstLine="480" w:firstLineChars="200"/>
        <w:rPr>
          <w:rFonts w:ascii="宋体" w:hAnsi="宋体" w:cs="宋体"/>
          <w:bCs/>
          <w:color w:val="auto"/>
          <w:sz w:val="24"/>
          <w:highlight w:val="none"/>
        </w:rPr>
      </w:pPr>
      <w:r>
        <w:rPr>
          <w:rFonts w:hint="eastAsia" w:ascii="宋体" w:hAnsi="宋体" w:cs="宋体"/>
          <w:bCs/>
          <w:color w:val="auto"/>
          <w:sz w:val="24"/>
          <w:highlight w:val="none"/>
          <w:lang w:eastAsia="zh-CN"/>
        </w:rPr>
        <w:t>GB18597-2023</w:t>
      </w:r>
      <w:r>
        <w:rPr>
          <w:rFonts w:hint="eastAsia" w:ascii="宋体" w:hAnsi="宋体" w:cs="宋体"/>
          <w:bCs/>
          <w:color w:val="auto"/>
          <w:sz w:val="24"/>
          <w:highlight w:val="none"/>
        </w:rPr>
        <w:t xml:space="preserve"> 危险废物贮存污染控制标准</w:t>
      </w:r>
    </w:p>
    <w:p w14:paraId="304CB639">
      <w:pPr>
        <w:spacing w:line="480" w:lineRule="exact"/>
        <w:ind w:firstLine="480" w:firstLineChars="200"/>
        <w:rPr>
          <w:rFonts w:ascii="宋体" w:hAnsi="宋体" w:cs="宋体"/>
          <w:bCs/>
          <w:color w:val="auto"/>
          <w:sz w:val="24"/>
          <w:highlight w:val="none"/>
        </w:rPr>
      </w:pPr>
      <w:r>
        <w:rPr>
          <w:rFonts w:hint="eastAsia" w:ascii="宋体" w:hAnsi="宋体" w:cs="宋体"/>
          <w:bCs/>
          <w:color w:val="auto"/>
          <w:sz w:val="24"/>
          <w:highlight w:val="none"/>
        </w:rPr>
        <w:t>GB15603 常用化学危险品贮存通则</w:t>
      </w:r>
    </w:p>
    <w:p w14:paraId="58E5F9A2">
      <w:pPr>
        <w:spacing w:line="480" w:lineRule="exact"/>
        <w:ind w:firstLine="480" w:firstLineChars="200"/>
        <w:rPr>
          <w:rFonts w:ascii="宋体" w:hAnsi="宋体" w:cs="宋体"/>
          <w:bCs/>
          <w:color w:val="auto"/>
          <w:sz w:val="24"/>
          <w:highlight w:val="none"/>
        </w:rPr>
      </w:pPr>
      <w:r>
        <w:rPr>
          <w:rFonts w:hint="eastAsia" w:ascii="宋体" w:hAnsi="宋体" w:cs="宋体"/>
          <w:bCs/>
          <w:color w:val="auto"/>
          <w:sz w:val="24"/>
          <w:highlight w:val="none"/>
        </w:rPr>
        <w:t>GB12463 危险货物运输包装通用技术条件</w:t>
      </w:r>
    </w:p>
    <w:p w14:paraId="4758CF86">
      <w:pPr>
        <w:spacing w:line="480" w:lineRule="exact"/>
        <w:ind w:firstLine="480" w:firstLineChars="200"/>
        <w:rPr>
          <w:rFonts w:ascii="宋体" w:hAnsi="宋体" w:cs="宋体"/>
          <w:bCs/>
          <w:color w:val="auto"/>
          <w:sz w:val="24"/>
          <w:highlight w:val="none"/>
        </w:rPr>
      </w:pPr>
      <w:r>
        <w:rPr>
          <w:rFonts w:hint="eastAsia" w:ascii="宋体" w:hAnsi="宋体" w:cs="宋体"/>
          <w:bCs/>
          <w:color w:val="auto"/>
          <w:sz w:val="24"/>
          <w:highlight w:val="none"/>
        </w:rPr>
        <w:t>HJ 2025-2012 危险废物收集贮存运输技术规范</w:t>
      </w:r>
    </w:p>
    <w:p w14:paraId="698E6950">
      <w:pPr>
        <w:spacing w:line="480" w:lineRule="exact"/>
        <w:ind w:firstLine="480" w:firstLineChars="200"/>
        <w:rPr>
          <w:rFonts w:ascii="宋体" w:hAnsi="宋体" w:cs="宋体"/>
          <w:bCs/>
          <w:color w:val="auto"/>
          <w:sz w:val="24"/>
          <w:highlight w:val="none"/>
        </w:rPr>
      </w:pPr>
      <w:r>
        <w:rPr>
          <w:rFonts w:hint="eastAsia" w:ascii="宋体" w:hAnsi="宋体" w:cs="宋体"/>
          <w:bCs/>
          <w:color w:val="auto"/>
          <w:sz w:val="24"/>
          <w:highlight w:val="none"/>
        </w:rPr>
        <w:t>4.其他要求</w:t>
      </w:r>
    </w:p>
    <w:p w14:paraId="452F3E4F">
      <w:pPr>
        <w:spacing w:line="480" w:lineRule="exact"/>
        <w:ind w:firstLine="480" w:firstLineChars="200"/>
        <w:rPr>
          <w:rFonts w:ascii="宋体" w:hAnsi="宋体" w:cs="宋体"/>
          <w:bCs/>
          <w:color w:val="auto"/>
          <w:sz w:val="24"/>
          <w:highlight w:val="none"/>
        </w:rPr>
      </w:pPr>
      <w:r>
        <w:rPr>
          <w:rFonts w:hint="eastAsia" w:ascii="宋体" w:hAnsi="宋体" w:cs="宋体"/>
          <w:bCs/>
          <w:color w:val="auto"/>
          <w:sz w:val="24"/>
          <w:highlight w:val="none"/>
        </w:rPr>
        <w:t>1、中标人应按时提供约定工作成果，按时向采购人汇报工作进展，并负责解答与工作成果有关的问题。中标人对项目过程了解的有关信息负有商业保密责任，不得泄漏和造假回收、归集、处置台账，并负责台账的原始性、真实性和完整性。</w:t>
      </w:r>
    </w:p>
    <w:p w14:paraId="4453D784">
      <w:pPr>
        <w:pStyle w:val="22"/>
        <w:spacing w:after="0" w:line="480" w:lineRule="exact"/>
        <w:ind w:left="0" w:leftChars="0" w:firstLine="480"/>
        <w:rPr>
          <w:rFonts w:ascii="宋体" w:hAnsi="宋体" w:cs="宋体"/>
          <w:bCs/>
          <w:color w:val="auto"/>
          <w:sz w:val="24"/>
          <w:highlight w:val="none"/>
        </w:rPr>
      </w:pPr>
      <w:r>
        <w:rPr>
          <w:rFonts w:hint="eastAsia" w:ascii="宋体" w:hAnsi="宋体" w:cs="宋体"/>
          <w:color w:val="auto"/>
          <w:sz w:val="24"/>
          <w:highlight w:val="none"/>
        </w:rPr>
        <w:t>▲</w:t>
      </w:r>
      <w:r>
        <w:rPr>
          <w:rFonts w:hint="eastAsia" w:ascii="宋体" w:hAnsi="宋体" w:cs="宋体"/>
          <w:bCs/>
          <w:color w:val="auto"/>
          <w:sz w:val="24"/>
          <w:highlight w:val="none"/>
        </w:rPr>
        <w:t>2、为了项目更好的实施以及工作的开展，投标人须承诺中标后</w:t>
      </w:r>
      <w:r>
        <w:rPr>
          <w:rFonts w:hint="eastAsia" w:ascii="宋体" w:hAnsi="宋体" w:cs="宋体"/>
          <w:bCs/>
          <w:color w:val="auto"/>
          <w:sz w:val="24"/>
          <w:highlight w:val="none"/>
          <w:lang w:val="en-US" w:eastAsia="zh-CN"/>
        </w:rPr>
        <w:t>30日</w:t>
      </w:r>
      <w:r>
        <w:rPr>
          <w:rFonts w:hint="eastAsia" w:ascii="宋体" w:hAnsi="宋体" w:cs="宋体"/>
          <w:bCs/>
          <w:color w:val="auto"/>
          <w:sz w:val="24"/>
          <w:highlight w:val="none"/>
        </w:rPr>
        <w:t>内在东阳市范围内设立不少于100平方米的，符合《危险废物贮存污染控制标准》（</w:t>
      </w:r>
      <w:r>
        <w:rPr>
          <w:rFonts w:hint="eastAsia" w:ascii="宋体" w:hAnsi="宋体" w:cs="宋体"/>
          <w:bCs/>
          <w:color w:val="auto"/>
          <w:sz w:val="24"/>
          <w:highlight w:val="none"/>
          <w:lang w:eastAsia="zh-CN"/>
        </w:rPr>
        <w:t>GB18597-2023</w:t>
      </w:r>
      <w:r>
        <w:rPr>
          <w:rFonts w:hint="eastAsia" w:ascii="宋体" w:hAnsi="宋体" w:cs="宋体"/>
          <w:bCs/>
          <w:color w:val="auto"/>
          <w:sz w:val="24"/>
          <w:highlight w:val="none"/>
        </w:rPr>
        <w:t>）的农药废弃包装物仓储场地。</w:t>
      </w:r>
    </w:p>
    <w:p w14:paraId="553CAAB6">
      <w:pPr>
        <w:spacing w:line="480" w:lineRule="exact"/>
        <w:ind w:firstLine="482" w:firstLineChars="200"/>
        <w:rPr>
          <w:rFonts w:ascii="宋体" w:hAnsi="宋体" w:cs="宋体"/>
          <w:b/>
          <w:color w:val="auto"/>
          <w:sz w:val="24"/>
          <w:highlight w:val="none"/>
        </w:rPr>
      </w:pPr>
      <w:r>
        <w:rPr>
          <w:rFonts w:hint="eastAsia" w:ascii="宋体" w:hAnsi="宋体" w:cs="宋体"/>
          <w:b/>
          <w:color w:val="auto"/>
          <w:sz w:val="24"/>
          <w:highlight w:val="none"/>
        </w:rPr>
        <w:t>（三）服务期限</w:t>
      </w:r>
    </w:p>
    <w:p w14:paraId="57860018">
      <w:pPr>
        <w:spacing w:line="480" w:lineRule="exact"/>
        <w:ind w:firstLine="480" w:firstLineChars="200"/>
        <w:rPr>
          <w:rFonts w:ascii="宋体" w:hAnsi="宋体" w:cs="宋体"/>
          <w:bCs/>
          <w:color w:val="auto"/>
          <w:sz w:val="24"/>
          <w:highlight w:val="none"/>
        </w:rPr>
      </w:pPr>
      <w:r>
        <w:rPr>
          <w:rFonts w:hint="eastAsia" w:ascii="宋体" w:hAnsi="宋体" w:cs="宋体"/>
          <w:bCs/>
          <w:color w:val="auto"/>
          <w:sz w:val="24"/>
          <w:highlight w:val="none"/>
        </w:rPr>
        <w:t>服务期限为</w:t>
      </w:r>
      <w:r>
        <w:rPr>
          <w:rFonts w:hint="eastAsia" w:ascii="宋体"/>
          <w:color w:val="auto"/>
          <w:sz w:val="24"/>
          <w:highlight w:val="none"/>
        </w:rPr>
        <w:t>合同签订之日起至</w:t>
      </w:r>
      <w:r>
        <w:rPr>
          <w:rFonts w:hint="eastAsia" w:ascii="宋体"/>
          <w:color w:val="auto"/>
          <w:sz w:val="24"/>
          <w:highlight w:val="none"/>
          <w:lang w:eastAsia="zh-CN"/>
        </w:rPr>
        <w:t>2025</w:t>
      </w:r>
      <w:r>
        <w:rPr>
          <w:rFonts w:hint="eastAsia" w:ascii="宋体"/>
          <w:color w:val="auto"/>
          <w:sz w:val="24"/>
          <w:highlight w:val="none"/>
        </w:rPr>
        <w:t>年12月31日或采购金额累计达到预算金额，先到者为准</w:t>
      </w:r>
      <w:r>
        <w:rPr>
          <w:rFonts w:hint="eastAsia" w:ascii="宋体" w:hAnsi="宋体" w:cs="宋体"/>
          <w:bCs/>
          <w:color w:val="auto"/>
          <w:sz w:val="24"/>
          <w:highlight w:val="none"/>
        </w:rPr>
        <w:t>。</w:t>
      </w:r>
    </w:p>
    <w:p w14:paraId="08826B20">
      <w:pPr>
        <w:spacing w:line="480" w:lineRule="exact"/>
        <w:ind w:firstLine="482" w:firstLineChars="200"/>
        <w:rPr>
          <w:rFonts w:ascii="宋体" w:hAnsi="宋体" w:cs="宋体"/>
          <w:b/>
          <w:color w:val="auto"/>
          <w:sz w:val="24"/>
          <w:highlight w:val="none"/>
        </w:rPr>
      </w:pPr>
      <w:r>
        <w:rPr>
          <w:rFonts w:hint="eastAsia" w:ascii="宋体" w:hAnsi="宋体" w:cs="宋体"/>
          <w:b/>
          <w:color w:val="auto"/>
          <w:sz w:val="24"/>
          <w:highlight w:val="none"/>
        </w:rPr>
        <w:t>（四）回收处置资金结算最高限价</w:t>
      </w:r>
    </w:p>
    <w:p w14:paraId="25096A90">
      <w:pPr>
        <w:spacing w:line="480" w:lineRule="exact"/>
        <w:ind w:firstLine="480" w:firstLineChars="200"/>
        <w:rPr>
          <w:rFonts w:ascii="宋体" w:hAnsi="宋体" w:cs="宋体"/>
          <w:bCs/>
          <w:color w:val="auto"/>
          <w:sz w:val="24"/>
          <w:highlight w:val="none"/>
        </w:rPr>
      </w:pPr>
      <w:r>
        <w:rPr>
          <w:rFonts w:hint="eastAsia" w:ascii="宋体" w:hAnsi="宋体" w:cs="宋体"/>
          <w:bCs/>
          <w:color w:val="auto"/>
          <w:sz w:val="24"/>
          <w:highlight w:val="none"/>
        </w:rPr>
        <w:t>1.回收费用。回收标准为废弃农药包装瓶（桶、罐）100ml及以下（包括5-10ml针剂）的回收价格为0.2元/只，101ml-500ml的回收价格为0.3元/只，501ml及以上的回收价格为0.6元/只；废弃农药袋回收价格统一为0.1元/只。回收费用由回收网点支付给回收人，并由中标人与回收网点按实结算。</w:t>
      </w:r>
    </w:p>
    <w:p w14:paraId="23C268D8">
      <w:pPr>
        <w:spacing w:line="480" w:lineRule="exact"/>
        <w:ind w:firstLine="480" w:firstLineChars="200"/>
        <w:rPr>
          <w:rFonts w:ascii="宋体" w:hAnsi="宋体" w:cs="宋体"/>
          <w:bCs/>
          <w:color w:val="auto"/>
          <w:sz w:val="24"/>
          <w:highlight w:val="none"/>
        </w:rPr>
      </w:pPr>
      <w:r>
        <w:rPr>
          <w:rFonts w:hint="eastAsia" w:ascii="宋体" w:hAnsi="宋体" w:cs="宋体"/>
          <w:bCs/>
          <w:color w:val="auto"/>
          <w:sz w:val="24"/>
          <w:highlight w:val="none"/>
        </w:rPr>
        <w:t>2.回收工时费和保管费。对各回收网点实行有偿回收、存放，按回收网点回收金额的25%计算由中标人支付回收网点回收工时费和保管费。</w:t>
      </w:r>
    </w:p>
    <w:p w14:paraId="77850A81">
      <w:pPr>
        <w:spacing w:line="480" w:lineRule="exact"/>
        <w:ind w:firstLine="480" w:firstLineChars="200"/>
        <w:rPr>
          <w:rFonts w:ascii="宋体" w:hAnsi="宋体" w:cs="宋体"/>
          <w:bCs/>
          <w:color w:val="auto"/>
          <w:sz w:val="24"/>
          <w:highlight w:val="none"/>
        </w:rPr>
      </w:pPr>
      <w:r>
        <w:rPr>
          <w:rFonts w:hint="eastAsia" w:ascii="宋体" w:hAnsi="宋体" w:cs="宋体"/>
          <w:bCs/>
          <w:color w:val="auto"/>
          <w:sz w:val="24"/>
          <w:highlight w:val="none"/>
        </w:rPr>
        <w:t>3.存放保管及运输费。对中标人的回收运输、存放管理支付存放保管及运输费，按中标人回收金额的35%计算。</w:t>
      </w:r>
    </w:p>
    <w:p w14:paraId="3C8E7389">
      <w:pPr>
        <w:spacing w:line="480" w:lineRule="exact"/>
        <w:ind w:firstLine="480" w:firstLineChars="200"/>
        <w:rPr>
          <w:rFonts w:ascii="宋体" w:hAnsi="宋体" w:cs="宋体"/>
          <w:bCs/>
          <w:color w:val="auto"/>
          <w:sz w:val="24"/>
          <w:highlight w:val="none"/>
        </w:rPr>
      </w:pPr>
      <w:r>
        <w:rPr>
          <w:rFonts w:hint="eastAsia" w:ascii="宋体" w:hAnsi="宋体" w:cs="宋体"/>
          <w:bCs/>
          <w:color w:val="auto"/>
          <w:sz w:val="24"/>
          <w:highlight w:val="none"/>
        </w:rPr>
        <w:t>4.焚烧处置费（包含运输费用）。由中标人委托具有危险废物经营许可证的处置单位实施，费用按市场价计算。中标人应与具有危险废物经营许可证的处置单位签订委托处置协议，并报采购人备案。采购人不定期抽查焚烧处置情况，若发现中标人未在协议单位进行处置，本期焚烧处置费不予支付，发现两次此类情况，采购人有权解除合同。</w:t>
      </w:r>
    </w:p>
    <w:p w14:paraId="04F7C554">
      <w:pPr>
        <w:spacing w:line="480" w:lineRule="exact"/>
        <w:ind w:firstLine="480" w:firstLineChars="200"/>
        <w:rPr>
          <w:rFonts w:ascii="宋体" w:hAnsi="宋体" w:cs="宋体"/>
          <w:bCs/>
          <w:color w:val="auto"/>
          <w:sz w:val="24"/>
          <w:highlight w:val="none"/>
        </w:rPr>
      </w:pPr>
      <w:r>
        <w:rPr>
          <w:rFonts w:hint="eastAsia" w:ascii="宋体" w:hAnsi="宋体" w:cs="宋体"/>
          <w:bCs/>
          <w:color w:val="auto"/>
          <w:sz w:val="24"/>
          <w:highlight w:val="none"/>
        </w:rPr>
        <w:t>5.回收设备设施费用。中标人按需要统一购置必要的回收设备配备到各回收网点。回收设备设施包括回收专用编织袋等所需费用按市场价计算。</w:t>
      </w:r>
    </w:p>
    <w:p w14:paraId="595D28A3">
      <w:pPr>
        <w:spacing w:line="480" w:lineRule="exact"/>
        <w:ind w:firstLine="480" w:firstLineChars="200"/>
        <w:rPr>
          <w:rFonts w:ascii="宋体" w:hAnsi="宋体" w:cs="宋体"/>
          <w:bCs/>
          <w:color w:val="auto"/>
          <w:sz w:val="24"/>
          <w:highlight w:val="none"/>
        </w:rPr>
      </w:pPr>
      <w:r>
        <w:rPr>
          <w:rFonts w:hint="eastAsia" w:ascii="宋体" w:hAnsi="宋体" w:cs="宋体"/>
          <w:bCs/>
          <w:color w:val="auto"/>
          <w:sz w:val="24"/>
          <w:highlight w:val="none"/>
        </w:rPr>
        <w:t>最终结算时，回收处置资金=（回收费用+回收工时费和保管费+存放保管及运输费+焚烧处置费+回收设备设施费用）</w:t>
      </w:r>
      <w:r>
        <w:rPr>
          <w:rFonts w:hint="eastAsia" w:ascii="宋体" w:hAnsi="宋体"/>
          <w:color w:val="auto"/>
          <w:sz w:val="24"/>
          <w:highlight w:val="none"/>
        </w:rPr>
        <w:t>*（1-中标下浮率）。</w:t>
      </w:r>
      <w:r>
        <w:rPr>
          <w:rFonts w:hint="eastAsia" w:ascii="宋体" w:hAnsi="宋体" w:cs="宋体"/>
          <w:color w:val="auto"/>
          <w:kern w:val="0"/>
          <w:sz w:val="24"/>
          <w:szCs w:val="20"/>
          <w:highlight w:val="none"/>
        </w:rPr>
        <w:t>若中标人未完成56.33吨回收任务，按未完成数量每吨5万元扣减回收处置资金。若最终回收处置资金超预算金额，超出部分将不予支付。</w:t>
      </w:r>
    </w:p>
    <w:p w14:paraId="6226C394">
      <w:pPr>
        <w:spacing w:line="480" w:lineRule="exact"/>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（五）验收</w:t>
      </w:r>
    </w:p>
    <w:p w14:paraId="17CE7F9E">
      <w:pPr>
        <w:spacing w:line="480" w:lineRule="exact"/>
        <w:ind w:firstLine="480" w:firstLineChars="200"/>
        <w:rPr>
          <w:rFonts w:ascii="宋体" w:hAnsi="宋体" w:cs="宋体"/>
          <w:bCs/>
          <w:color w:val="auto"/>
          <w:sz w:val="24"/>
          <w:highlight w:val="none"/>
        </w:rPr>
      </w:pPr>
      <w:r>
        <w:rPr>
          <w:rFonts w:hint="eastAsia" w:ascii="宋体" w:hAnsi="宋体" w:cs="宋体"/>
          <w:bCs/>
          <w:color w:val="auto"/>
          <w:sz w:val="24"/>
          <w:highlight w:val="none"/>
        </w:rPr>
        <w:t>按照《东阳市农药废弃包装物回收抽样验收办法》(详见附件)标准进行验收。</w:t>
      </w:r>
    </w:p>
    <w:p w14:paraId="34B436EF">
      <w:pPr>
        <w:spacing w:line="480" w:lineRule="exact"/>
        <w:ind w:firstLine="482" w:firstLineChars="200"/>
        <w:rPr>
          <w:rFonts w:ascii="宋体" w:hAnsi="宋体" w:cs="宋体"/>
          <w:b/>
          <w:color w:val="auto"/>
          <w:sz w:val="24"/>
          <w:highlight w:val="none"/>
        </w:rPr>
      </w:pPr>
      <w:r>
        <w:rPr>
          <w:rFonts w:hint="eastAsia" w:ascii="宋体" w:hAnsi="宋体" w:cs="宋体"/>
          <w:b/>
          <w:color w:val="auto"/>
          <w:sz w:val="24"/>
          <w:highlight w:val="none"/>
        </w:rPr>
        <w:t>（六）资金结算及付款方式</w:t>
      </w:r>
    </w:p>
    <w:p w14:paraId="0D9651E4">
      <w:pPr>
        <w:spacing w:line="48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1、合同生效以及具备实施条件后7个工作日内支付合同价款的40%作为预付款</w:t>
      </w:r>
      <w:r>
        <w:rPr>
          <w:rFonts w:hint="eastAsia" w:ascii="宋体"/>
          <w:color w:val="auto"/>
          <w:sz w:val="24"/>
          <w:highlight w:val="none"/>
        </w:rPr>
        <w:t>（</w:t>
      </w:r>
      <w:r>
        <w:rPr>
          <w:rFonts w:hint="eastAsia" w:ascii="宋体" w:hAnsi="宋体"/>
          <w:bCs/>
          <w:color w:val="auto"/>
          <w:sz w:val="24"/>
          <w:highlight w:val="none"/>
        </w:rPr>
        <w:t>若供应商为大型企业，或合同签订时，供应商明确表示无需预付款或主动降低预付款比例的，采购人可不适用前述规定）</w:t>
      </w:r>
      <w:r>
        <w:rPr>
          <w:rFonts w:hint="eastAsia" w:ascii="宋体" w:hAnsi="宋体" w:cs="宋体"/>
          <w:color w:val="auto"/>
          <w:sz w:val="24"/>
          <w:highlight w:val="none"/>
        </w:rPr>
        <w:t>；</w:t>
      </w:r>
    </w:p>
    <w:p w14:paraId="3F80C502">
      <w:pPr>
        <w:spacing w:line="480" w:lineRule="exact"/>
        <w:ind w:firstLine="480" w:firstLineChars="200"/>
        <w:rPr>
          <w:rFonts w:ascii="宋体" w:hAnsi="宋体" w:cs="宋体"/>
          <w:bCs/>
          <w:color w:val="auto"/>
          <w:sz w:val="24"/>
          <w:highlight w:val="none"/>
        </w:rPr>
      </w:pPr>
      <w:r>
        <w:rPr>
          <w:rFonts w:hint="eastAsia" w:ascii="宋体" w:hAnsi="宋体" w:cs="宋体"/>
          <w:color w:val="auto"/>
          <w:sz w:val="24"/>
          <w:highlight w:val="none"/>
        </w:rPr>
        <w:t>2、</w:t>
      </w:r>
      <w:r>
        <w:rPr>
          <w:rFonts w:hint="eastAsia" w:ascii="宋体" w:hAnsi="宋体" w:cs="宋体"/>
          <w:bCs/>
          <w:color w:val="auto"/>
          <w:sz w:val="24"/>
          <w:highlight w:val="none"/>
        </w:rPr>
        <w:t>中标人制作回收报表、处置报表分别报送至</w:t>
      </w:r>
      <w:r>
        <w:rPr>
          <w:rFonts w:hint="eastAsia" w:ascii="宋体" w:hAnsi="宋体" w:cs="宋体"/>
          <w:bCs/>
          <w:color w:val="auto"/>
          <w:sz w:val="24"/>
          <w:highlight w:val="none"/>
          <w:lang w:eastAsia="zh-CN"/>
        </w:rPr>
        <w:t>东阳市农业农村局</w:t>
      </w:r>
      <w:r>
        <w:rPr>
          <w:rFonts w:hint="eastAsia" w:ascii="宋体" w:hAnsi="宋体" w:cs="宋体"/>
          <w:bCs/>
          <w:color w:val="auto"/>
          <w:sz w:val="24"/>
          <w:highlight w:val="none"/>
        </w:rPr>
        <w:t>、金华市生态环境局东阳分局，由</w:t>
      </w:r>
      <w:r>
        <w:rPr>
          <w:rFonts w:hint="eastAsia" w:ascii="宋体" w:hAnsi="宋体" w:cs="宋体"/>
          <w:bCs/>
          <w:color w:val="auto"/>
          <w:sz w:val="24"/>
          <w:highlight w:val="none"/>
          <w:lang w:eastAsia="zh-CN"/>
        </w:rPr>
        <w:t>东阳市农业农村局</w:t>
      </w:r>
      <w:r>
        <w:rPr>
          <w:rFonts w:hint="eastAsia" w:ascii="宋体" w:hAnsi="宋体" w:cs="宋体"/>
          <w:bCs/>
          <w:color w:val="auto"/>
          <w:sz w:val="24"/>
          <w:highlight w:val="none"/>
        </w:rPr>
        <w:t>、金华市生态环境局东阳分局核实后报市财政局结算回收处置费用（结算得出的金额应扣减已预付的款项）。</w:t>
      </w:r>
    </w:p>
    <w:p w14:paraId="46684321">
      <w:pPr>
        <w:spacing w:line="480" w:lineRule="exact"/>
        <w:ind w:firstLine="480" w:firstLineChars="200"/>
        <w:rPr>
          <w:rFonts w:ascii="宋体" w:hAnsi="宋体" w:cs="宋体"/>
          <w:bCs/>
          <w:color w:val="auto"/>
          <w:sz w:val="24"/>
          <w:highlight w:val="none"/>
        </w:rPr>
      </w:pPr>
      <w:r>
        <w:rPr>
          <w:rFonts w:hint="eastAsia" w:ascii="宋体" w:hAnsi="宋体" w:cs="宋体"/>
          <w:bCs/>
          <w:color w:val="auto"/>
          <w:sz w:val="24"/>
          <w:highlight w:val="none"/>
        </w:rPr>
        <w:t>3、中标人需随付款进度提供正式发票。</w:t>
      </w:r>
    </w:p>
    <w:p w14:paraId="323B329A">
      <w:pPr>
        <w:spacing w:line="480" w:lineRule="exact"/>
        <w:ind w:firstLine="482" w:firstLineChars="200"/>
        <w:rPr>
          <w:rFonts w:ascii="宋体" w:hAnsi="宋体" w:cs="宋体"/>
          <w:b/>
          <w:color w:val="auto"/>
          <w:sz w:val="24"/>
          <w:highlight w:val="none"/>
        </w:rPr>
      </w:pPr>
      <w:r>
        <w:rPr>
          <w:rFonts w:hint="eastAsia" w:ascii="宋体" w:hAnsi="宋体" w:cs="宋体"/>
          <w:b/>
          <w:color w:val="auto"/>
          <w:sz w:val="24"/>
          <w:highlight w:val="none"/>
        </w:rPr>
        <w:t>四、报价方式</w:t>
      </w:r>
    </w:p>
    <w:p w14:paraId="193AFC43">
      <w:pPr>
        <w:spacing w:line="480" w:lineRule="exact"/>
        <w:ind w:firstLine="480" w:firstLineChars="200"/>
        <w:rPr>
          <w:rFonts w:ascii="宋体" w:hAnsi="宋体" w:cs="宋体"/>
          <w:bCs/>
          <w:color w:val="auto"/>
          <w:sz w:val="24"/>
          <w:highlight w:val="none"/>
        </w:rPr>
      </w:pPr>
      <w:r>
        <w:rPr>
          <w:rFonts w:hint="eastAsia" w:ascii="宋体" w:hAnsi="宋体" w:cs="宋体"/>
          <w:bCs/>
          <w:color w:val="auto"/>
          <w:sz w:val="24"/>
          <w:highlight w:val="none"/>
        </w:rPr>
        <w:t>本次招标项目的报价内容为回收费用、回收工时费和保管费、存放保管及运输费、焚烧处置费（包含运输费用）、回收设备设施费用等5项总费用的下浮率。 下浮率以百分比（%）进行表述，下浮率百分比数值越大，则报价越低（如：2%的报价低于1%）。</w:t>
      </w:r>
      <w:r>
        <w:rPr>
          <w:rFonts w:hint="eastAsia" w:ascii="宋体" w:hAnsi="宋体" w:cs="宋体"/>
          <w:bCs/>
          <w:color w:val="auto"/>
          <w:sz w:val="24"/>
          <w:highlight w:val="none"/>
        </w:rPr>
        <w:br w:type="page"/>
      </w:r>
    </w:p>
    <w:p w14:paraId="7A43FD8B">
      <w:pPr>
        <w:pStyle w:val="4"/>
        <w:keepNext w:val="0"/>
        <w:keepLines w:val="0"/>
        <w:pageBreakBefore/>
        <w:spacing w:line="240" w:lineRule="auto"/>
        <w:jc w:val="center"/>
        <w:rPr>
          <w:rFonts w:ascii="宋体" w:hAnsi="宋体" w:cs="宋体"/>
          <w:color w:val="auto"/>
          <w:kern w:val="0"/>
          <w:sz w:val="24"/>
          <w:szCs w:val="24"/>
          <w:highlight w:val="none"/>
        </w:rPr>
      </w:pPr>
      <w:bookmarkStart w:id="11" w:name="_Toc7177"/>
      <w:r>
        <w:rPr>
          <w:rFonts w:hint="eastAsia" w:ascii="宋体" w:hAnsi="宋体" w:cs="宋体"/>
          <w:color w:val="auto"/>
          <w:sz w:val="24"/>
          <w:szCs w:val="24"/>
          <w:highlight w:val="none"/>
        </w:rPr>
        <w:t>第三章   投标人须知</w:t>
      </w:r>
      <w:bookmarkEnd w:id="11"/>
    </w:p>
    <w:p w14:paraId="396F356F">
      <w:pPr>
        <w:pStyle w:val="12"/>
        <w:snapToGrid w:val="0"/>
        <w:spacing w:before="120" w:after="120"/>
        <w:ind w:firstLine="472" w:firstLineChars="196"/>
        <w:jc w:val="center"/>
        <w:outlineLvl w:val="1"/>
        <w:rPr>
          <w:rFonts w:ascii="宋体" w:hAnsi="宋体" w:cs="宋体"/>
          <w:b/>
          <w:color w:val="auto"/>
          <w:szCs w:val="24"/>
          <w:highlight w:val="none"/>
        </w:rPr>
      </w:pPr>
      <w:bookmarkStart w:id="12" w:name="_Toc13011"/>
      <w:r>
        <w:rPr>
          <w:rFonts w:hint="eastAsia" w:ascii="宋体" w:hAnsi="宋体" w:cs="宋体"/>
          <w:b/>
          <w:color w:val="auto"/>
          <w:szCs w:val="24"/>
          <w:highlight w:val="none"/>
        </w:rPr>
        <w:t>前附表</w:t>
      </w:r>
      <w:bookmarkEnd w:id="12"/>
    </w:p>
    <w:tbl>
      <w:tblPr>
        <w:tblStyle w:val="23"/>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49"/>
        <w:gridCol w:w="8750"/>
      </w:tblGrid>
      <w:tr w14:paraId="044E913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4" w:hRule="atLeast"/>
          <w:jc w:val="center"/>
        </w:trPr>
        <w:tc>
          <w:tcPr>
            <w:tcW w:w="749" w:type="dxa"/>
            <w:tcBorders>
              <w:top w:val="single" w:color="auto" w:sz="4" w:space="0"/>
              <w:left w:val="single" w:color="auto" w:sz="4" w:space="0"/>
              <w:bottom w:val="single" w:color="auto" w:sz="4" w:space="0"/>
              <w:right w:val="single" w:color="auto" w:sz="4" w:space="0"/>
            </w:tcBorders>
            <w:vAlign w:val="center"/>
          </w:tcPr>
          <w:p w14:paraId="6657E382">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序号</w:t>
            </w:r>
          </w:p>
        </w:tc>
        <w:tc>
          <w:tcPr>
            <w:tcW w:w="8750" w:type="dxa"/>
            <w:tcBorders>
              <w:top w:val="single" w:color="auto" w:sz="4" w:space="0"/>
              <w:left w:val="single" w:color="auto" w:sz="4" w:space="0"/>
              <w:bottom w:val="single" w:color="auto" w:sz="4" w:space="0"/>
              <w:right w:val="single" w:color="auto" w:sz="4" w:space="0"/>
            </w:tcBorders>
            <w:vAlign w:val="center"/>
          </w:tcPr>
          <w:p w14:paraId="678AD631">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内容、要求</w:t>
            </w:r>
          </w:p>
        </w:tc>
      </w:tr>
      <w:tr w14:paraId="26A7FD6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4" w:hRule="atLeast"/>
          <w:jc w:val="center"/>
        </w:trPr>
        <w:tc>
          <w:tcPr>
            <w:tcW w:w="749" w:type="dxa"/>
            <w:tcBorders>
              <w:top w:val="single" w:color="auto" w:sz="4" w:space="0"/>
              <w:left w:val="single" w:color="auto" w:sz="4" w:space="0"/>
              <w:bottom w:val="single" w:color="auto" w:sz="4" w:space="0"/>
              <w:right w:val="single" w:color="auto" w:sz="4" w:space="0"/>
            </w:tcBorders>
            <w:vAlign w:val="center"/>
          </w:tcPr>
          <w:p w14:paraId="3008EA82">
            <w:pPr>
              <w:snapToGrid w:val="0"/>
              <w:spacing w:line="360" w:lineRule="auto"/>
              <w:ind w:firstLine="240" w:firstLineChars="100"/>
              <w:jc w:val="left"/>
              <w:rPr>
                <w:rFonts w:ascii="宋体" w:hAnsi="宋体" w:cs="宋体"/>
                <w:color w:val="auto"/>
                <w:sz w:val="24"/>
                <w:highlight w:val="none"/>
              </w:rPr>
            </w:pPr>
            <w:r>
              <w:rPr>
                <w:rFonts w:hint="eastAsia" w:ascii="宋体" w:hAnsi="宋体" w:cs="宋体"/>
                <w:color w:val="auto"/>
                <w:sz w:val="24"/>
                <w:highlight w:val="none"/>
              </w:rPr>
              <w:t>1</w:t>
            </w:r>
          </w:p>
        </w:tc>
        <w:tc>
          <w:tcPr>
            <w:tcW w:w="8750" w:type="dxa"/>
            <w:tcBorders>
              <w:top w:val="single" w:color="auto" w:sz="4" w:space="0"/>
              <w:left w:val="single" w:color="auto" w:sz="4" w:space="0"/>
              <w:bottom w:val="single" w:color="auto" w:sz="4" w:space="0"/>
              <w:right w:val="single" w:color="auto" w:sz="4" w:space="0"/>
            </w:tcBorders>
            <w:vAlign w:val="center"/>
          </w:tcPr>
          <w:p w14:paraId="1781BD70">
            <w:pPr>
              <w:snapToGrid w:val="0"/>
              <w:spacing w:line="360" w:lineRule="auto"/>
              <w:jc w:val="left"/>
              <w:rPr>
                <w:rFonts w:hint="eastAsia" w:ascii="宋体" w:hAnsi="宋体" w:eastAsia="宋体" w:cs="宋体"/>
                <w:b/>
                <w:bCs/>
                <w:color w:val="auto"/>
                <w:sz w:val="24"/>
                <w:highlight w:val="none"/>
                <w:lang w:eastAsia="zh-CN"/>
              </w:rPr>
            </w:pPr>
            <w:r>
              <w:rPr>
                <w:rFonts w:hint="eastAsia" w:ascii="宋体" w:hAnsi="宋体" w:cs="宋体"/>
                <w:color w:val="auto"/>
                <w:sz w:val="24"/>
                <w:highlight w:val="none"/>
              </w:rPr>
              <w:t>项目名称：</w:t>
            </w:r>
            <w:r>
              <w:rPr>
                <w:rFonts w:hint="eastAsia" w:ascii="宋体" w:hAnsi="宋体" w:cs="宋体"/>
                <w:color w:val="auto"/>
                <w:sz w:val="24"/>
                <w:highlight w:val="none"/>
                <w:lang w:eastAsia="zh-CN"/>
              </w:rPr>
              <w:t>东阳市农药废弃包装物回收和集中处置采购项目（第二次）</w:t>
            </w:r>
          </w:p>
        </w:tc>
      </w:tr>
      <w:tr w14:paraId="1255469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77" w:hRule="atLeast"/>
          <w:jc w:val="center"/>
        </w:trPr>
        <w:tc>
          <w:tcPr>
            <w:tcW w:w="749" w:type="dxa"/>
            <w:tcBorders>
              <w:top w:val="single" w:color="auto" w:sz="4" w:space="0"/>
              <w:left w:val="single" w:color="auto" w:sz="4" w:space="0"/>
              <w:bottom w:val="single" w:color="auto" w:sz="4" w:space="0"/>
              <w:right w:val="single" w:color="auto" w:sz="4" w:space="0"/>
            </w:tcBorders>
            <w:vAlign w:val="center"/>
          </w:tcPr>
          <w:p w14:paraId="44CBE746">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2</w:t>
            </w:r>
          </w:p>
        </w:tc>
        <w:tc>
          <w:tcPr>
            <w:tcW w:w="8750" w:type="dxa"/>
            <w:tcBorders>
              <w:top w:val="single" w:color="auto" w:sz="4" w:space="0"/>
              <w:left w:val="single" w:color="auto" w:sz="4" w:space="0"/>
              <w:bottom w:val="single" w:color="auto" w:sz="4" w:space="0"/>
              <w:right w:val="single" w:color="auto" w:sz="4" w:space="0"/>
            </w:tcBorders>
            <w:vAlign w:val="center"/>
          </w:tcPr>
          <w:p w14:paraId="4791CE40">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投标报价及费用：1、本项目投标应以</w:t>
            </w:r>
            <w:r>
              <w:rPr>
                <w:rFonts w:hint="eastAsia" w:ascii="宋体" w:hAnsi="宋体" w:cs="宋体"/>
                <w:bCs/>
                <w:color w:val="auto"/>
                <w:sz w:val="24"/>
                <w:highlight w:val="none"/>
              </w:rPr>
              <w:t>回收费用、回收工时费和保管费、存放保管及运输费、焚烧处置费（包含运输费用）、回收设备设施费用等5项总费用的下浮率</w:t>
            </w:r>
            <w:r>
              <w:rPr>
                <w:rFonts w:hint="eastAsia" w:ascii="宋体" w:hAnsi="宋体" w:cs="宋体"/>
                <w:color w:val="auto"/>
                <w:sz w:val="24"/>
                <w:highlight w:val="none"/>
              </w:rPr>
              <w:t>报价；2、不论投标结果如何，投标人均应自行承担所有与投标有关的全部费用；3、投标费用：金华正达工程造价咨询有限公司按照本招标文件总则第（五）条规定向中标人收取中标服务费。</w:t>
            </w:r>
          </w:p>
        </w:tc>
      </w:tr>
      <w:tr w14:paraId="09B8125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749" w:type="dxa"/>
            <w:tcBorders>
              <w:top w:val="single" w:color="auto" w:sz="4" w:space="0"/>
              <w:left w:val="single" w:color="auto" w:sz="4" w:space="0"/>
              <w:bottom w:val="single" w:color="auto" w:sz="4" w:space="0"/>
              <w:right w:val="single" w:color="auto" w:sz="4" w:space="0"/>
            </w:tcBorders>
            <w:vAlign w:val="center"/>
          </w:tcPr>
          <w:p w14:paraId="3D5BAF9F">
            <w:pPr>
              <w:snapToGrid w:val="0"/>
              <w:spacing w:line="420" w:lineRule="exact"/>
              <w:jc w:val="center"/>
              <w:rPr>
                <w:rFonts w:ascii="宋体" w:hAnsi="宋体" w:cs="宋体"/>
                <w:color w:val="auto"/>
                <w:sz w:val="24"/>
                <w:highlight w:val="none"/>
              </w:rPr>
            </w:pPr>
            <w:r>
              <w:rPr>
                <w:rFonts w:hint="eastAsia" w:ascii="宋体" w:hAnsi="宋体" w:cs="宋体"/>
                <w:color w:val="auto"/>
                <w:sz w:val="24"/>
                <w:highlight w:val="none"/>
              </w:rPr>
              <w:t>3</w:t>
            </w:r>
          </w:p>
        </w:tc>
        <w:tc>
          <w:tcPr>
            <w:tcW w:w="8750" w:type="dxa"/>
            <w:tcBorders>
              <w:top w:val="single" w:color="auto" w:sz="4" w:space="0"/>
              <w:left w:val="single" w:color="auto" w:sz="4" w:space="0"/>
              <w:bottom w:val="single" w:color="auto" w:sz="4" w:space="0"/>
              <w:right w:val="single" w:color="auto" w:sz="4" w:space="0"/>
            </w:tcBorders>
            <w:vAlign w:val="center"/>
          </w:tcPr>
          <w:p w14:paraId="6BAC781B">
            <w:pPr>
              <w:snapToGrid w:val="0"/>
              <w:spacing w:line="420" w:lineRule="exact"/>
              <w:rPr>
                <w:rFonts w:ascii="宋体" w:hAnsi="宋体" w:cs="宋体"/>
                <w:color w:val="auto"/>
                <w:sz w:val="24"/>
                <w:highlight w:val="none"/>
              </w:rPr>
            </w:pPr>
            <w:r>
              <w:rPr>
                <w:rFonts w:hint="eastAsia" w:ascii="宋体" w:hAnsi="宋体" w:cs="宋体"/>
                <w:b/>
                <w:bCs/>
                <w:color w:val="auto"/>
                <w:sz w:val="24"/>
                <w:highlight w:val="none"/>
              </w:rPr>
              <w:t>根据《政府采购促进中小企业管理办法》及《关于印发中小企业划型标准规定的通知工信部联企业》（〔2011〕300号）有关规定，本采购标的对应的所属行业为：</w:t>
            </w:r>
            <w:r>
              <w:rPr>
                <w:rFonts w:hint="eastAsia" w:ascii="宋体" w:hAnsi="宋体" w:cs="宋体"/>
                <w:b/>
                <w:bCs/>
                <w:color w:val="auto"/>
                <w:sz w:val="24"/>
                <w:highlight w:val="none"/>
                <w:u w:val="single"/>
              </w:rPr>
              <w:t>其他未列明行业</w:t>
            </w:r>
            <w:r>
              <w:rPr>
                <w:rFonts w:hint="eastAsia" w:ascii="宋体" w:hAnsi="宋体" w:cs="宋体"/>
                <w:b/>
                <w:bCs/>
                <w:color w:val="auto"/>
                <w:sz w:val="24"/>
                <w:highlight w:val="none"/>
              </w:rPr>
              <w:t>。</w:t>
            </w:r>
          </w:p>
        </w:tc>
      </w:tr>
      <w:tr w14:paraId="6DFCE60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90" w:hRule="atLeast"/>
          <w:jc w:val="center"/>
        </w:trPr>
        <w:tc>
          <w:tcPr>
            <w:tcW w:w="749" w:type="dxa"/>
            <w:tcBorders>
              <w:top w:val="single" w:color="auto" w:sz="4" w:space="0"/>
              <w:left w:val="single" w:color="auto" w:sz="4" w:space="0"/>
              <w:bottom w:val="single" w:color="auto" w:sz="4" w:space="0"/>
              <w:right w:val="single" w:color="auto" w:sz="4" w:space="0"/>
            </w:tcBorders>
            <w:vAlign w:val="center"/>
          </w:tcPr>
          <w:p w14:paraId="5F3B6BF4">
            <w:pPr>
              <w:snapToGrid w:val="0"/>
              <w:spacing w:line="420" w:lineRule="exact"/>
              <w:jc w:val="center"/>
              <w:rPr>
                <w:rFonts w:ascii="宋体" w:hAnsi="宋体" w:cs="宋体"/>
                <w:color w:val="auto"/>
                <w:sz w:val="24"/>
                <w:highlight w:val="none"/>
              </w:rPr>
            </w:pPr>
            <w:r>
              <w:rPr>
                <w:rFonts w:hint="eastAsia" w:ascii="宋体" w:hAnsi="宋体" w:cs="宋体"/>
                <w:color w:val="auto"/>
                <w:sz w:val="24"/>
                <w:highlight w:val="none"/>
              </w:rPr>
              <w:t>4</w:t>
            </w:r>
          </w:p>
        </w:tc>
        <w:tc>
          <w:tcPr>
            <w:tcW w:w="8750" w:type="dxa"/>
            <w:tcBorders>
              <w:top w:val="single" w:color="auto" w:sz="4" w:space="0"/>
              <w:left w:val="single" w:color="auto" w:sz="4" w:space="0"/>
              <w:bottom w:val="single" w:color="auto" w:sz="4" w:space="0"/>
              <w:right w:val="single" w:color="auto" w:sz="4" w:space="0"/>
            </w:tcBorders>
            <w:vAlign w:val="center"/>
          </w:tcPr>
          <w:p w14:paraId="7F59E31D">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根据《关于在政府采购活动中查询及使用信用记录有关问题的通知》财库[2016]125号的规定：</w:t>
            </w:r>
          </w:p>
          <w:p w14:paraId="3D9AE0DB">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（1）采购人或采购代理机构将对本项目供应商的信用记录进行查询。查询渠道为信用中国网站（www.creditchina.gov.cn）、中国政府采购网（www.ccgp.gov.cn）；</w:t>
            </w:r>
          </w:p>
          <w:p w14:paraId="65446033">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（2）截止时点：提交投标文件（响应文件）截止时间前3年内；</w:t>
            </w:r>
          </w:p>
          <w:p w14:paraId="09CE8F08">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（3）查询记录和证据的留存：信用信息查询记录和证据以网页截图等方式留存。</w:t>
            </w:r>
          </w:p>
          <w:p w14:paraId="29AA8298">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（4）使用规则：被列入失信被执行人、重大税收违法案件当事人名单、政府采购严重违法失信行为记录名单及其它不符合《中华人民共和国政府采购法》第二十二条规定条件的，其投标将被拒绝。</w:t>
            </w:r>
          </w:p>
          <w:p w14:paraId="54BF8459">
            <w:pPr>
              <w:snapToGrid w:val="0"/>
              <w:spacing w:line="360" w:lineRule="auto"/>
              <w:rPr>
                <w:rFonts w:ascii="宋体" w:hAnsi="宋体" w:cs="宋体"/>
                <w:b/>
                <w:bCs/>
                <w:color w:val="auto"/>
                <w:sz w:val="24"/>
                <w:highlight w:val="none"/>
              </w:rPr>
            </w:pPr>
            <w:r>
              <w:rPr>
                <w:rFonts w:hint="eastAsia" w:ascii="宋体" w:hAnsi="宋体" w:cs="宋体"/>
                <w:color w:val="auto"/>
                <w:sz w:val="24"/>
                <w:highlight w:val="none"/>
              </w:rPr>
              <w:t>（5）联合体成员任意一方存在不良信用记录的，视同联合体存在不良信用记录。</w:t>
            </w:r>
          </w:p>
        </w:tc>
      </w:tr>
      <w:tr w14:paraId="3B1ED8F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450" w:hRule="atLeast"/>
          <w:jc w:val="center"/>
        </w:trPr>
        <w:tc>
          <w:tcPr>
            <w:tcW w:w="749" w:type="dxa"/>
            <w:tcBorders>
              <w:top w:val="single" w:color="auto" w:sz="4" w:space="0"/>
              <w:left w:val="single" w:color="auto" w:sz="4" w:space="0"/>
              <w:bottom w:val="single" w:color="auto" w:sz="4" w:space="0"/>
              <w:right w:val="single" w:color="auto" w:sz="4" w:space="0"/>
            </w:tcBorders>
            <w:vAlign w:val="center"/>
          </w:tcPr>
          <w:p w14:paraId="66D1A959">
            <w:pPr>
              <w:snapToGrid w:val="0"/>
              <w:spacing w:line="420" w:lineRule="exact"/>
              <w:jc w:val="center"/>
              <w:rPr>
                <w:rFonts w:ascii="宋体" w:hAnsi="宋体" w:cs="宋体"/>
                <w:color w:val="auto"/>
                <w:sz w:val="24"/>
                <w:highlight w:val="none"/>
              </w:rPr>
            </w:pPr>
            <w:r>
              <w:rPr>
                <w:rFonts w:hint="eastAsia" w:ascii="宋体" w:hAnsi="宋体" w:cs="宋体"/>
                <w:color w:val="auto"/>
                <w:sz w:val="24"/>
                <w:highlight w:val="none"/>
              </w:rPr>
              <w:t>5</w:t>
            </w:r>
          </w:p>
        </w:tc>
        <w:tc>
          <w:tcPr>
            <w:tcW w:w="8750" w:type="dxa"/>
            <w:tcBorders>
              <w:top w:val="single" w:color="auto" w:sz="4" w:space="0"/>
              <w:left w:val="single" w:color="auto" w:sz="4" w:space="0"/>
              <w:bottom w:val="single" w:color="auto" w:sz="4" w:space="0"/>
              <w:right w:val="single" w:color="auto" w:sz="4" w:space="0"/>
            </w:tcBorders>
            <w:vAlign w:val="center"/>
          </w:tcPr>
          <w:p w14:paraId="38F1A564">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1、节能产品、环境标志产品的强制采购政策</w:t>
            </w:r>
          </w:p>
          <w:p w14:paraId="037064F5">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根据财政部、国家发展和改革委员会、生态环境部等部门公布的政府采购节能产品、环境标志产品品目清单的规定，依据品目清单和认证证书实施政府优先采购和强制采购。采购人拟采购的产品属于品目清单范围内的强制采购品目的，投标人提供的产品应具有国家确定的认证机构出具的、处于有效期之内的节能产品、环境标志产品认证证书，并在响应文件中提供该产品节能产品、环境标志产品认证证书，否则无效。（注：本项目执行最新政府采购节能产品、环境标志产品品目清单。）</w:t>
            </w:r>
          </w:p>
          <w:p w14:paraId="06E064AB">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2、节能产品、环境标志产品的优先采购政策</w:t>
            </w:r>
          </w:p>
          <w:p w14:paraId="3D2905D3">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根据财政部、国家发展和改革委员会、生态环境部等部门公布的政府采购节能产品、环境标志产品品目清单的规定、依据品目清单和认证证书实施政府优先采购和强制采购。采购人拟采购的产品属于品目清单范围内的优先采购品目的，投标人提供的产品应具有国家确定的认证机构出具的、处于有效期之内的节能产品、环境标志产品认证证书，并在响应文件中提供该产品节能产品、环境标志产品认证证书，（注：本项目执行最新政府采购节能产品、环境标志产品品目清单。）</w:t>
            </w:r>
          </w:p>
        </w:tc>
      </w:tr>
      <w:tr w14:paraId="567A359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749" w:type="dxa"/>
            <w:tcBorders>
              <w:top w:val="single" w:color="auto" w:sz="4" w:space="0"/>
              <w:left w:val="single" w:color="auto" w:sz="4" w:space="0"/>
              <w:bottom w:val="single" w:color="auto" w:sz="4" w:space="0"/>
              <w:right w:val="single" w:color="auto" w:sz="4" w:space="0"/>
            </w:tcBorders>
            <w:vAlign w:val="center"/>
          </w:tcPr>
          <w:p w14:paraId="68059AC4">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6</w:t>
            </w:r>
          </w:p>
        </w:tc>
        <w:tc>
          <w:tcPr>
            <w:tcW w:w="8750" w:type="dxa"/>
            <w:tcBorders>
              <w:top w:val="single" w:color="auto" w:sz="4" w:space="0"/>
              <w:left w:val="single" w:color="auto" w:sz="4" w:space="0"/>
              <w:bottom w:val="single" w:color="auto" w:sz="4" w:space="0"/>
              <w:right w:val="single" w:color="auto" w:sz="4" w:space="0"/>
            </w:tcBorders>
            <w:vAlign w:val="center"/>
          </w:tcPr>
          <w:p w14:paraId="187D3C7C">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答疑与澄清：投标人如认为招标文件表述不清晰、存在歧视性、排他性或者其他违法内容的，应当按照公开招标公告第三、七条规定以书面形式要求招标方作出书面解释、澄清或者向招标方提出书面质疑；</w:t>
            </w:r>
            <w:r>
              <w:rPr>
                <w:rFonts w:hint="eastAsia" w:ascii="宋体" w:hAnsi="宋体" w:cs="宋体"/>
                <w:b/>
                <w:color w:val="auto"/>
                <w:sz w:val="24"/>
                <w:highlight w:val="none"/>
              </w:rPr>
              <w:t>在质疑截止时间前，未对招标文件提出质疑时，视投标人对招标文件的默认；</w:t>
            </w:r>
            <w:r>
              <w:rPr>
                <w:rFonts w:hint="eastAsia" w:ascii="宋体" w:hAnsi="宋体" w:cs="宋体"/>
                <w:color w:val="auto"/>
                <w:sz w:val="24"/>
                <w:highlight w:val="none"/>
              </w:rPr>
              <w:t>招标采购单位对已发出的招标文件进行必要澄清、答复、修改或者补充的，在财政部门指定的政府采购信息发布媒体上发布更正公告，并以书面形式通知所有已获取招标文件的投标人；答疑内容是招标文件的组成部分；澄清或者修改的内容可能影响投标文件编制的，应当在投标截止时间至少15日前，以书面形式通知所有获取招标文件的潜在投标人；不足15日的，顺延提交投标文件的截止时间。</w:t>
            </w:r>
          </w:p>
        </w:tc>
      </w:tr>
      <w:tr w14:paraId="0659B37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04" w:hRule="atLeast"/>
          <w:jc w:val="center"/>
        </w:trPr>
        <w:tc>
          <w:tcPr>
            <w:tcW w:w="749" w:type="dxa"/>
            <w:tcBorders>
              <w:top w:val="single" w:color="auto" w:sz="4" w:space="0"/>
              <w:left w:val="single" w:color="auto" w:sz="4" w:space="0"/>
              <w:bottom w:val="single" w:color="auto" w:sz="4" w:space="0"/>
              <w:right w:val="single" w:color="auto" w:sz="4" w:space="0"/>
            </w:tcBorders>
            <w:vAlign w:val="center"/>
          </w:tcPr>
          <w:p w14:paraId="110BA956">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7</w:t>
            </w:r>
          </w:p>
        </w:tc>
        <w:tc>
          <w:tcPr>
            <w:tcW w:w="8750" w:type="dxa"/>
            <w:tcBorders>
              <w:top w:val="single" w:color="auto" w:sz="4" w:space="0"/>
              <w:left w:val="single" w:color="auto" w:sz="4" w:space="0"/>
              <w:bottom w:val="single" w:color="auto" w:sz="4" w:space="0"/>
              <w:right w:val="single" w:color="auto" w:sz="4" w:space="0"/>
            </w:tcBorders>
            <w:vAlign w:val="center"/>
          </w:tcPr>
          <w:p w14:paraId="6957BAB2">
            <w:pPr>
              <w:autoSpaceDE w:val="0"/>
              <w:autoSpaceDN w:val="0"/>
              <w:snapToGrid w:val="0"/>
              <w:spacing w:line="360" w:lineRule="auto"/>
              <w:textAlignment w:val="bottom"/>
              <w:rPr>
                <w:rFonts w:ascii="宋体" w:hAnsi="宋体" w:cs="宋体"/>
                <w:color w:val="auto"/>
                <w:sz w:val="24"/>
                <w:highlight w:val="none"/>
              </w:rPr>
            </w:pPr>
            <w:r>
              <w:rPr>
                <w:rFonts w:hint="eastAsia" w:ascii="宋体" w:hAnsi="宋体" w:cs="宋体"/>
                <w:color w:val="auto"/>
                <w:sz w:val="24"/>
                <w:highlight w:val="none"/>
              </w:rPr>
              <w:t>投标文件的递交：</w:t>
            </w:r>
          </w:p>
          <w:p w14:paraId="17B1C655">
            <w:pPr>
              <w:autoSpaceDE w:val="0"/>
              <w:autoSpaceDN w:val="0"/>
              <w:snapToGrid w:val="0"/>
              <w:spacing w:line="360" w:lineRule="auto"/>
              <w:textAlignment w:val="bottom"/>
              <w:rPr>
                <w:rFonts w:ascii="宋体" w:hAnsi="宋体" w:cs="宋体"/>
                <w:color w:val="auto"/>
                <w:sz w:val="24"/>
                <w:highlight w:val="none"/>
              </w:rPr>
            </w:pPr>
            <w:r>
              <w:rPr>
                <w:rFonts w:hint="eastAsia" w:ascii="宋体" w:hAnsi="宋体" w:cs="宋体"/>
                <w:color w:val="auto"/>
                <w:sz w:val="24"/>
                <w:highlight w:val="none"/>
              </w:rPr>
              <w:t>本项目投标文件由资格审查文件、商务技术文件和报价文件三部分组成。投标人应按以下方式递交投标文件：</w:t>
            </w:r>
          </w:p>
          <w:p w14:paraId="7E7FD585">
            <w:pPr>
              <w:autoSpaceDE w:val="0"/>
              <w:autoSpaceDN w:val="0"/>
              <w:snapToGrid w:val="0"/>
              <w:spacing w:line="360" w:lineRule="auto"/>
              <w:textAlignment w:val="bottom"/>
              <w:rPr>
                <w:rFonts w:ascii="宋体" w:hAnsi="宋体" w:cs="宋体"/>
                <w:color w:val="auto"/>
                <w:sz w:val="24"/>
                <w:highlight w:val="none"/>
              </w:rPr>
            </w:pPr>
            <w:r>
              <w:rPr>
                <w:rFonts w:hint="eastAsia" w:ascii="宋体" w:hAnsi="宋体" w:cs="宋体"/>
                <w:color w:val="auto"/>
                <w:sz w:val="24"/>
                <w:highlight w:val="none"/>
              </w:rPr>
              <w:t>▲1、本项目实行“网上投标、电子评标”，投标人应于投标截止时间前在“政采云”（电子交易平台）上传输、递交电子版投标文件（包括资格审查文件、商务技术文件和报价文件）；</w:t>
            </w:r>
          </w:p>
          <w:p w14:paraId="1B23A4E9">
            <w:pPr>
              <w:autoSpaceDE w:val="0"/>
              <w:autoSpaceDN w:val="0"/>
              <w:snapToGrid w:val="0"/>
              <w:spacing w:line="360" w:lineRule="auto"/>
              <w:textAlignment w:val="bottom"/>
              <w:rPr>
                <w:rFonts w:ascii="宋体" w:hAnsi="宋体" w:cs="宋体"/>
                <w:color w:val="auto"/>
                <w:sz w:val="24"/>
                <w:highlight w:val="none"/>
              </w:rPr>
            </w:pPr>
            <w:r>
              <w:rPr>
                <w:rFonts w:hint="eastAsia" w:ascii="宋体" w:hAnsi="宋体" w:cs="宋体"/>
                <w:color w:val="auto"/>
                <w:sz w:val="24"/>
                <w:highlight w:val="none"/>
              </w:rPr>
              <w:t>2、为了避免由于电子交易平台无法正常运行等技术、安全故障原因造成投标文件无法解密或解密失败，导致投标无效的情况，投标人可以在投标截止时间前将电子备份投标文件（经政采云电子交易客户端和CA驱动制作出的后缀名为“bfbs”的加密电子备份投标文件）发送至金华正达工程造价咨询有限公司邮箱：342981454@qq.com，逾期发送或发错后缀名的备份投标文件将被视为无效；</w:t>
            </w:r>
          </w:p>
          <w:p w14:paraId="2A1C016D">
            <w:pPr>
              <w:autoSpaceDE w:val="0"/>
              <w:autoSpaceDN w:val="0"/>
              <w:snapToGrid w:val="0"/>
              <w:spacing w:line="360" w:lineRule="auto"/>
              <w:textAlignment w:val="bottom"/>
              <w:rPr>
                <w:rFonts w:ascii="宋体" w:hAnsi="宋体" w:cs="宋体"/>
                <w:color w:val="auto"/>
                <w:sz w:val="24"/>
                <w:highlight w:val="none"/>
              </w:rPr>
            </w:pPr>
            <w:r>
              <w:rPr>
                <w:rFonts w:hint="eastAsia" w:ascii="宋体" w:hAnsi="宋体" w:cs="宋体"/>
                <w:color w:val="auto"/>
                <w:sz w:val="24"/>
                <w:highlight w:val="none"/>
              </w:rPr>
              <w:t>3、投标人仅提交电子备份投标文件的，投标无效；</w:t>
            </w:r>
          </w:p>
          <w:p w14:paraId="7077639C">
            <w:pPr>
              <w:autoSpaceDE w:val="0"/>
              <w:autoSpaceDN w:val="0"/>
              <w:snapToGrid w:val="0"/>
              <w:spacing w:line="360" w:lineRule="auto"/>
              <w:textAlignment w:val="bottom"/>
              <w:rPr>
                <w:rFonts w:ascii="宋体" w:hAnsi="宋体" w:cs="宋体"/>
                <w:color w:val="auto"/>
                <w:sz w:val="24"/>
                <w:highlight w:val="none"/>
              </w:rPr>
            </w:pPr>
            <w:r>
              <w:rPr>
                <w:rFonts w:hint="eastAsia" w:ascii="宋体" w:hAnsi="宋体" w:cs="宋体"/>
                <w:color w:val="auto"/>
                <w:sz w:val="24"/>
                <w:highlight w:val="none"/>
              </w:rPr>
              <w:t>4、本项目不强制投标人提交电子备份投标文件；如在开评标时出现电子投标文件无法解密或解密失败等情况，因投标人未提供电子备份投标文件而造成投标无效等一切后果和风险由投标人自行承担。</w:t>
            </w:r>
          </w:p>
        </w:tc>
      </w:tr>
      <w:tr w14:paraId="42DD4BB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28" w:hRule="atLeast"/>
          <w:jc w:val="center"/>
        </w:trPr>
        <w:tc>
          <w:tcPr>
            <w:tcW w:w="749" w:type="dxa"/>
            <w:tcBorders>
              <w:top w:val="single" w:color="auto" w:sz="4" w:space="0"/>
              <w:left w:val="single" w:color="auto" w:sz="4" w:space="0"/>
              <w:bottom w:val="single" w:color="auto" w:sz="4" w:space="0"/>
              <w:right w:val="single" w:color="auto" w:sz="4" w:space="0"/>
            </w:tcBorders>
            <w:vAlign w:val="center"/>
          </w:tcPr>
          <w:p w14:paraId="6429B4A9">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8</w:t>
            </w:r>
          </w:p>
        </w:tc>
        <w:tc>
          <w:tcPr>
            <w:tcW w:w="8750" w:type="dxa"/>
            <w:tcBorders>
              <w:top w:val="single" w:color="auto" w:sz="4" w:space="0"/>
              <w:left w:val="single" w:color="auto" w:sz="4" w:space="0"/>
              <w:bottom w:val="single" w:color="auto" w:sz="4" w:space="0"/>
              <w:right w:val="single" w:color="auto" w:sz="4" w:space="0"/>
            </w:tcBorders>
            <w:vAlign w:val="center"/>
          </w:tcPr>
          <w:p w14:paraId="1C69F368">
            <w:pPr>
              <w:snapToGrid w:val="0"/>
              <w:spacing w:line="360" w:lineRule="auto"/>
              <w:rPr>
                <w:rFonts w:ascii="宋体" w:hAnsi="宋体" w:cs="宋体"/>
                <w:bCs/>
                <w:color w:val="auto"/>
                <w:sz w:val="24"/>
                <w:highlight w:val="none"/>
                <w:u w:val="single"/>
              </w:rPr>
            </w:pPr>
            <w:r>
              <w:rPr>
                <w:rFonts w:hint="eastAsia" w:ascii="宋体" w:hAnsi="宋体" w:cs="宋体"/>
                <w:bCs/>
                <w:color w:val="auto"/>
                <w:sz w:val="24"/>
                <w:highlight w:val="none"/>
              </w:rPr>
              <w:t>投标截止时间：</w:t>
            </w:r>
            <w:r>
              <w:rPr>
                <w:rFonts w:hint="eastAsia" w:ascii="宋体" w:hAnsi="宋体" w:cs="宋体"/>
                <w:color w:val="auto"/>
                <w:sz w:val="24"/>
                <w:highlight w:val="none"/>
                <w:lang w:eastAsia="zh-CN"/>
              </w:rPr>
              <w:t>2025</w:t>
            </w:r>
            <w:r>
              <w:rPr>
                <w:rFonts w:hint="eastAsia" w:ascii="宋体" w:hAnsi="宋体" w:cs="宋体"/>
                <w:color w:val="auto"/>
                <w:sz w:val="24"/>
                <w:highlight w:val="none"/>
              </w:rPr>
              <w:t>年</w:t>
            </w:r>
            <w:r>
              <w:rPr>
                <w:rFonts w:hint="eastAsia" w:ascii="宋体" w:hAnsi="宋体" w:cs="宋体"/>
                <w:color w:val="auto"/>
                <w:sz w:val="24"/>
                <w:highlight w:val="none"/>
                <w:lang w:val="en-US" w:eastAsia="zh-CN"/>
              </w:rPr>
              <w:t>7</w:t>
            </w:r>
            <w:r>
              <w:rPr>
                <w:rFonts w:hint="eastAsia" w:ascii="宋体" w:hAnsi="宋体" w:cs="宋体"/>
                <w:color w:val="auto"/>
                <w:sz w:val="24"/>
                <w:highlight w:val="none"/>
              </w:rPr>
              <w:t>月</w:t>
            </w:r>
            <w:r>
              <w:rPr>
                <w:rFonts w:hint="eastAsia" w:ascii="宋体" w:hAnsi="宋体" w:cs="宋体"/>
                <w:color w:val="auto"/>
                <w:sz w:val="24"/>
                <w:highlight w:val="none"/>
                <w:lang w:val="en-US" w:eastAsia="zh-CN"/>
              </w:rPr>
              <w:t>17</w:t>
            </w:r>
            <w:r>
              <w:rPr>
                <w:rFonts w:hint="eastAsia" w:ascii="宋体" w:hAnsi="宋体" w:cs="宋体"/>
                <w:color w:val="auto"/>
                <w:sz w:val="24"/>
                <w:highlight w:val="none"/>
              </w:rPr>
              <w:t>日14时00分</w:t>
            </w:r>
          </w:p>
          <w:p w14:paraId="6A26C23F">
            <w:pPr>
              <w:pStyle w:val="12"/>
              <w:spacing w:line="360" w:lineRule="auto"/>
              <w:rPr>
                <w:rFonts w:ascii="宋体" w:hAnsi="宋体" w:cs="宋体"/>
                <w:bCs/>
                <w:color w:val="auto"/>
                <w:szCs w:val="24"/>
                <w:highlight w:val="none"/>
              </w:rPr>
            </w:pPr>
            <w:r>
              <w:rPr>
                <w:rFonts w:hint="eastAsia" w:ascii="宋体" w:hAnsi="宋体" w:cs="宋体"/>
                <w:bCs/>
                <w:color w:val="auto"/>
                <w:szCs w:val="24"/>
                <w:highlight w:val="none"/>
              </w:rPr>
              <w:t>1、投标人应当在投标截止时间前在“政采云”（电子交易平台）上自行上传加密的电子投标文件。投标截止时间前未完成传输的，视为撤回电子投标文件。投标截止时间后递交的电子投标文件，将被政采云平台拒收。</w:t>
            </w:r>
          </w:p>
          <w:p w14:paraId="06B8778F">
            <w:pPr>
              <w:snapToGrid w:val="0"/>
              <w:spacing w:line="360" w:lineRule="auto"/>
              <w:rPr>
                <w:rFonts w:ascii="宋体" w:hAnsi="宋体" w:cs="宋体"/>
                <w:bCs/>
                <w:color w:val="auto"/>
                <w:sz w:val="24"/>
                <w:highlight w:val="none"/>
              </w:rPr>
            </w:pPr>
            <w:r>
              <w:rPr>
                <w:rFonts w:hint="eastAsia" w:ascii="宋体" w:hAnsi="宋体" w:cs="宋体"/>
                <w:bCs/>
                <w:color w:val="auto"/>
                <w:sz w:val="24"/>
                <w:highlight w:val="none"/>
              </w:rPr>
              <w:t>2、电子备份投标文件的递交时间：投标人应当在投标截止时间前，逾期未递交的视为自动放弃。</w:t>
            </w:r>
          </w:p>
          <w:p w14:paraId="3A0172A8">
            <w:pPr>
              <w:pStyle w:val="12"/>
              <w:spacing w:line="360" w:lineRule="auto"/>
              <w:rPr>
                <w:rFonts w:ascii="宋体" w:hAnsi="宋体" w:cs="宋体"/>
                <w:color w:val="auto"/>
                <w:szCs w:val="24"/>
                <w:highlight w:val="none"/>
              </w:rPr>
            </w:pPr>
            <w:r>
              <w:rPr>
                <w:rFonts w:hint="eastAsia" w:ascii="宋体" w:hAnsi="宋体" w:cs="宋体"/>
                <w:bCs/>
                <w:color w:val="auto"/>
                <w:szCs w:val="24"/>
                <w:highlight w:val="none"/>
              </w:rPr>
              <w:t>3、投标人应当在投标截止时间前完成投标准备事宜（应具备上网的技术条件并保持网络及联系方式畅通）及电子投标文件的传输递交，可以补充、修改或者撤回电子投标文件。补充或者修改电子投标文件的，应当先行撤回原文件，补充、修改后重新传输递交。</w:t>
            </w:r>
          </w:p>
        </w:tc>
      </w:tr>
      <w:tr w14:paraId="3987466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42" w:hRule="atLeast"/>
          <w:jc w:val="center"/>
        </w:trPr>
        <w:tc>
          <w:tcPr>
            <w:tcW w:w="749" w:type="dxa"/>
            <w:tcBorders>
              <w:top w:val="single" w:color="auto" w:sz="4" w:space="0"/>
              <w:left w:val="single" w:color="auto" w:sz="4" w:space="0"/>
              <w:bottom w:val="single" w:color="auto" w:sz="4" w:space="0"/>
              <w:right w:val="single" w:color="auto" w:sz="4" w:space="0"/>
            </w:tcBorders>
            <w:vAlign w:val="center"/>
          </w:tcPr>
          <w:p w14:paraId="6E016055">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9</w:t>
            </w:r>
          </w:p>
        </w:tc>
        <w:tc>
          <w:tcPr>
            <w:tcW w:w="8750" w:type="dxa"/>
            <w:tcBorders>
              <w:top w:val="single" w:color="auto" w:sz="4" w:space="0"/>
              <w:left w:val="single" w:color="auto" w:sz="4" w:space="0"/>
              <w:bottom w:val="single" w:color="auto" w:sz="4" w:space="0"/>
              <w:right w:val="single" w:color="auto" w:sz="4" w:space="0"/>
            </w:tcBorders>
            <w:vAlign w:val="center"/>
          </w:tcPr>
          <w:p w14:paraId="60E8D843">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开标时间：</w:t>
            </w:r>
            <w:r>
              <w:rPr>
                <w:rFonts w:hint="eastAsia" w:ascii="宋体" w:hAnsi="宋体" w:cs="宋体"/>
                <w:color w:val="auto"/>
                <w:sz w:val="24"/>
                <w:highlight w:val="none"/>
                <w:lang w:eastAsia="zh-CN"/>
              </w:rPr>
              <w:t>2025</w:t>
            </w:r>
            <w:r>
              <w:rPr>
                <w:rFonts w:hint="eastAsia" w:ascii="宋体" w:hAnsi="宋体" w:cs="宋体"/>
                <w:color w:val="auto"/>
                <w:sz w:val="24"/>
                <w:highlight w:val="none"/>
              </w:rPr>
              <w:t>年</w:t>
            </w:r>
            <w:r>
              <w:rPr>
                <w:rFonts w:hint="eastAsia" w:ascii="宋体" w:hAnsi="宋体" w:cs="宋体"/>
                <w:color w:val="auto"/>
                <w:sz w:val="24"/>
                <w:highlight w:val="none"/>
                <w:lang w:val="en-US" w:eastAsia="zh-CN"/>
              </w:rPr>
              <w:t>7</w:t>
            </w:r>
            <w:r>
              <w:rPr>
                <w:rFonts w:hint="eastAsia" w:ascii="宋体" w:hAnsi="宋体" w:cs="宋体"/>
                <w:color w:val="auto"/>
                <w:sz w:val="24"/>
                <w:highlight w:val="none"/>
              </w:rPr>
              <w:t>月</w:t>
            </w:r>
            <w:r>
              <w:rPr>
                <w:rFonts w:hint="eastAsia" w:ascii="宋体" w:hAnsi="宋体" w:cs="宋体"/>
                <w:color w:val="auto"/>
                <w:sz w:val="24"/>
                <w:highlight w:val="none"/>
                <w:lang w:val="en-US" w:eastAsia="zh-CN"/>
              </w:rPr>
              <w:t>17</w:t>
            </w:r>
            <w:r>
              <w:rPr>
                <w:rFonts w:hint="eastAsia" w:ascii="宋体" w:hAnsi="宋体" w:cs="宋体"/>
                <w:color w:val="auto"/>
                <w:sz w:val="24"/>
                <w:highlight w:val="none"/>
              </w:rPr>
              <w:t>日14时00分</w:t>
            </w:r>
          </w:p>
          <w:p w14:paraId="45C8015A">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本项目不要求投标人到开标现场开标，但投标人应派法定代表人或委托代理人【委托代理人应当是投标人的在职正式职工（以投标人本单位缴纳社保花名册为准）】准时在线出席电子开标会议，随时关注开标进度，如在开标过程中有电子询标，应在规定的时间内对电子询标函进行澄清回复。</w:t>
            </w:r>
          </w:p>
          <w:p w14:paraId="2FCD1126">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截止开标时间，政采云（电子交易平台）自动提取所有投标文件，投标人须在开标时间截止后30分钟内对上传政采云的投标文件进行解密，所有投标人在规定的解密时限内解密完成或解密时限到后，采购代理机构开启投标文件；投标人超过解密时限的，系统默认自动放弃。</w:t>
            </w:r>
          </w:p>
        </w:tc>
      </w:tr>
      <w:tr w14:paraId="1B79CAE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4" w:hRule="atLeast"/>
          <w:jc w:val="center"/>
        </w:trPr>
        <w:tc>
          <w:tcPr>
            <w:tcW w:w="749" w:type="dxa"/>
            <w:tcBorders>
              <w:top w:val="single" w:color="auto" w:sz="4" w:space="0"/>
              <w:left w:val="single" w:color="auto" w:sz="4" w:space="0"/>
              <w:bottom w:val="single" w:color="auto" w:sz="4" w:space="0"/>
              <w:right w:val="single" w:color="auto" w:sz="4" w:space="0"/>
            </w:tcBorders>
            <w:vAlign w:val="center"/>
          </w:tcPr>
          <w:p w14:paraId="3E7F50D8">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10</w:t>
            </w:r>
          </w:p>
        </w:tc>
        <w:tc>
          <w:tcPr>
            <w:tcW w:w="8750" w:type="dxa"/>
            <w:tcBorders>
              <w:top w:val="single" w:color="auto" w:sz="4" w:space="0"/>
              <w:left w:val="single" w:color="auto" w:sz="4" w:space="0"/>
              <w:bottom w:val="single" w:color="auto" w:sz="4" w:space="0"/>
              <w:right w:val="single" w:color="auto" w:sz="4" w:space="0"/>
            </w:tcBorders>
            <w:vAlign w:val="center"/>
          </w:tcPr>
          <w:p w14:paraId="26D60C79">
            <w:pPr>
              <w:autoSpaceDE w:val="0"/>
              <w:autoSpaceDN w:val="0"/>
              <w:snapToGrid w:val="0"/>
              <w:spacing w:line="360" w:lineRule="auto"/>
              <w:textAlignment w:val="bottom"/>
              <w:rPr>
                <w:rFonts w:ascii="宋体" w:hAnsi="宋体" w:cs="宋体"/>
                <w:color w:val="auto"/>
                <w:sz w:val="24"/>
                <w:highlight w:val="none"/>
              </w:rPr>
            </w:pPr>
            <w:r>
              <w:rPr>
                <w:rFonts w:hint="eastAsia" w:ascii="宋体" w:hAnsi="宋体" w:cs="宋体"/>
                <w:color w:val="auto"/>
                <w:sz w:val="24"/>
                <w:highlight w:val="none"/>
              </w:rPr>
              <w:t>评标办法：综合评分法</w:t>
            </w:r>
          </w:p>
        </w:tc>
      </w:tr>
      <w:tr w14:paraId="69B738E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77" w:hRule="atLeast"/>
          <w:jc w:val="center"/>
        </w:trPr>
        <w:tc>
          <w:tcPr>
            <w:tcW w:w="749" w:type="dxa"/>
            <w:tcBorders>
              <w:top w:val="single" w:color="auto" w:sz="4" w:space="0"/>
              <w:left w:val="single" w:color="auto" w:sz="4" w:space="0"/>
              <w:bottom w:val="single" w:color="auto" w:sz="4" w:space="0"/>
              <w:right w:val="single" w:color="auto" w:sz="4" w:space="0"/>
            </w:tcBorders>
            <w:vAlign w:val="center"/>
          </w:tcPr>
          <w:p w14:paraId="4F296329">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11</w:t>
            </w:r>
          </w:p>
        </w:tc>
        <w:tc>
          <w:tcPr>
            <w:tcW w:w="8750" w:type="dxa"/>
            <w:tcBorders>
              <w:top w:val="single" w:color="auto" w:sz="4" w:space="0"/>
              <w:left w:val="single" w:color="auto" w:sz="4" w:space="0"/>
              <w:bottom w:val="single" w:color="auto" w:sz="4" w:space="0"/>
              <w:right w:val="single" w:color="auto" w:sz="4" w:space="0"/>
            </w:tcBorders>
            <w:vAlign w:val="center"/>
          </w:tcPr>
          <w:p w14:paraId="308241BD">
            <w:pPr>
              <w:autoSpaceDE w:val="0"/>
              <w:autoSpaceDN w:val="0"/>
              <w:snapToGrid w:val="0"/>
              <w:spacing w:line="360" w:lineRule="auto"/>
              <w:textAlignment w:val="bottom"/>
              <w:rPr>
                <w:rFonts w:ascii="宋体" w:hAnsi="宋体" w:cs="宋体"/>
                <w:color w:val="auto"/>
                <w:sz w:val="24"/>
                <w:highlight w:val="none"/>
              </w:rPr>
            </w:pPr>
            <w:bookmarkStart w:id="13" w:name="_Toc457480905"/>
            <w:r>
              <w:rPr>
                <w:rFonts w:hint="eastAsia" w:ascii="宋体" w:hAnsi="宋体" w:cs="宋体"/>
                <w:color w:val="auto"/>
                <w:sz w:val="24"/>
                <w:highlight w:val="none"/>
              </w:rPr>
              <w:t>中标结果公告：自中标人确定之日起2个工作日内，中标结果公告于浙江省政府采购网(http://zfcg.czt.zj.gov.cn/)、金华市公共资源交易网(</w:t>
            </w:r>
            <w:r>
              <w:rPr>
                <w:rFonts w:ascii="宋体" w:hAnsi="宋体" w:cs="宋体"/>
                <w:color w:val="auto"/>
                <w:sz w:val="24"/>
                <w:highlight w:val="none"/>
              </w:rPr>
              <w:t>http://ggzyjy.jinhua.gov.cn/</w:t>
            </w:r>
            <w:r>
              <w:rPr>
                <w:rFonts w:hint="eastAsia" w:ascii="宋体" w:hAnsi="宋体" w:cs="宋体"/>
                <w:color w:val="auto"/>
                <w:sz w:val="24"/>
                <w:highlight w:val="none"/>
              </w:rPr>
              <w:t>)，公告1个工作日</w:t>
            </w:r>
            <w:bookmarkEnd w:id="13"/>
            <w:r>
              <w:rPr>
                <w:rFonts w:hint="eastAsia" w:ascii="宋体" w:hAnsi="宋体" w:cs="宋体"/>
                <w:color w:val="auto"/>
                <w:sz w:val="24"/>
                <w:highlight w:val="none"/>
              </w:rPr>
              <w:t>。</w:t>
            </w:r>
          </w:p>
        </w:tc>
      </w:tr>
      <w:tr w14:paraId="6165FC4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77" w:hRule="atLeast"/>
          <w:jc w:val="center"/>
        </w:trPr>
        <w:tc>
          <w:tcPr>
            <w:tcW w:w="749" w:type="dxa"/>
            <w:tcBorders>
              <w:top w:val="single" w:color="auto" w:sz="4" w:space="0"/>
              <w:left w:val="single" w:color="auto" w:sz="4" w:space="0"/>
              <w:bottom w:val="single" w:color="auto" w:sz="4" w:space="0"/>
              <w:right w:val="single" w:color="auto" w:sz="4" w:space="0"/>
            </w:tcBorders>
            <w:vAlign w:val="center"/>
          </w:tcPr>
          <w:p w14:paraId="107EF528">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12</w:t>
            </w:r>
          </w:p>
        </w:tc>
        <w:tc>
          <w:tcPr>
            <w:tcW w:w="8750" w:type="dxa"/>
            <w:tcBorders>
              <w:top w:val="single" w:color="auto" w:sz="4" w:space="0"/>
              <w:left w:val="single" w:color="auto" w:sz="4" w:space="0"/>
              <w:bottom w:val="single" w:color="auto" w:sz="4" w:space="0"/>
              <w:right w:val="single" w:color="auto" w:sz="4" w:space="0"/>
            </w:tcBorders>
            <w:vAlign w:val="center"/>
          </w:tcPr>
          <w:p w14:paraId="703F9056">
            <w:pPr>
              <w:autoSpaceDE w:val="0"/>
              <w:autoSpaceDN w:val="0"/>
              <w:snapToGrid w:val="0"/>
              <w:spacing w:line="360" w:lineRule="auto"/>
              <w:textAlignment w:val="bottom"/>
              <w:rPr>
                <w:rFonts w:ascii="宋体" w:hAnsi="宋体" w:cs="宋体"/>
                <w:color w:val="auto"/>
                <w:sz w:val="24"/>
                <w:highlight w:val="none"/>
              </w:rPr>
            </w:pPr>
            <w:r>
              <w:rPr>
                <w:rFonts w:hint="eastAsia" w:ascii="宋体" w:hAnsi="宋体" w:cs="宋体"/>
                <w:color w:val="auto"/>
                <w:sz w:val="24"/>
                <w:highlight w:val="none"/>
              </w:rPr>
              <w:t>《中标通知书》的领取时间：中标人应自中标结果公告结束日起，在3个工作日内领取，否则按放弃中标资格处理，并因违反诚信原则，提交财政部门列入政府采购黑名单。</w:t>
            </w:r>
          </w:p>
        </w:tc>
      </w:tr>
      <w:tr w14:paraId="4BC672B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749" w:type="dxa"/>
            <w:tcBorders>
              <w:top w:val="single" w:color="auto" w:sz="4" w:space="0"/>
              <w:left w:val="single" w:color="auto" w:sz="4" w:space="0"/>
              <w:bottom w:val="single" w:color="auto" w:sz="4" w:space="0"/>
              <w:right w:val="single" w:color="auto" w:sz="4" w:space="0"/>
            </w:tcBorders>
            <w:vAlign w:val="center"/>
          </w:tcPr>
          <w:p w14:paraId="3D355B43">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13</w:t>
            </w:r>
          </w:p>
        </w:tc>
        <w:tc>
          <w:tcPr>
            <w:tcW w:w="8750" w:type="dxa"/>
            <w:tcBorders>
              <w:top w:val="single" w:color="auto" w:sz="4" w:space="0"/>
              <w:left w:val="single" w:color="auto" w:sz="4" w:space="0"/>
              <w:bottom w:val="single" w:color="auto" w:sz="4" w:space="0"/>
              <w:right w:val="single" w:color="auto" w:sz="4" w:space="0"/>
            </w:tcBorders>
            <w:vAlign w:val="center"/>
          </w:tcPr>
          <w:p w14:paraId="752FD623">
            <w:pPr>
              <w:autoSpaceDE w:val="0"/>
              <w:autoSpaceDN w:val="0"/>
              <w:snapToGrid w:val="0"/>
              <w:spacing w:line="360" w:lineRule="auto"/>
              <w:textAlignment w:val="bottom"/>
              <w:rPr>
                <w:rFonts w:ascii="宋体" w:hAnsi="宋体" w:cs="宋体"/>
                <w:color w:val="auto"/>
                <w:sz w:val="24"/>
                <w:highlight w:val="none"/>
              </w:rPr>
            </w:pPr>
            <w:r>
              <w:rPr>
                <w:rFonts w:hint="eastAsia" w:ascii="宋体" w:hAnsi="宋体" w:cs="宋体"/>
                <w:color w:val="auto"/>
                <w:sz w:val="24"/>
                <w:highlight w:val="none"/>
              </w:rPr>
              <w:t>履约保证金：本项目不收取履约保证金</w:t>
            </w:r>
          </w:p>
        </w:tc>
      </w:tr>
      <w:tr w14:paraId="04ABE9B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42" w:hRule="atLeast"/>
          <w:jc w:val="center"/>
        </w:trPr>
        <w:tc>
          <w:tcPr>
            <w:tcW w:w="749" w:type="dxa"/>
            <w:tcBorders>
              <w:top w:val="single" w:color="auto" w:sz="4" w:space="0"/>
              <w:left w:val="single" w:color="auto" w:sz="4" w:space="0"/>
              <w:bottom w:val="single" w:color="auto" w:sz="4" w:space="0"/>
              <w:right w:val="single" w:color="auto" w:sz="4" w:space="0"/>
            </w:tcBorders>
            <w:vAlign w:val="center"/>
          </w:tcPr>
          <w:p w14:paraId="649C3B7D">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14</w:t>
            </w:r>
          </w:p>
        </w:tc>
        <w:tc>
          <w:tcPr>
            <w:tcW w:w="8750" w:type="dxa"/>
            <w:tcBorders>
              <w:top w:val="single" w:color="auto" w:sz="4" w:space="0"/>
              <w:left w:val="single" w:color="auto" w:sz="4" w:space="0"/>
              <w:bottom w:val="single" w:color="auto" w:sz="4" w:space="0"/>
              <w:right w:val="single" w:color="auto" w:sz="4" w:space="0"/>
            </w:tcBorders>
            <w:vAlign w:val="center"/>
          </w:tcPr>
          <w:p w14:paraId="7E10079C">
            <w:pPr>
              <w:snapToGrid w:val="0"/>
              <w:spacing w:line="360" w:lineRule="auto"/>
              <w:jc w:val="left"/>
              <w:rPr>
                <w:rFonts w:ascii="宋体" w:hAnsi="宋体" w:cs="宋体"/>
                <w:color w:val="auto"/>
                <w:sz w:val="24"/>
                <w:highlight w:val="none"/>
              </w:rPr>
            </w:pPr>
            <w:r>
              <w:rPr>
                <w:rFonts w:hint="eastAsia" w:ascii="宋体" w:hAnsi="宋体" w:cs="宋体"/>
                <w:color w:val="auto"/>
                <w:sz w:val="24"/>
                <w:highlight w:val="none"/>
              </w:rPr>
              <w:t>1、企业信用融资: 省财政厅、浙江银监局、省金融办制定了《浙江省政府采购支持中小企业信用融资试点办法》浙财采监[2012]13号)，所称的政府采购信用融资，是指银行业金融机构(以下简称银行)以政府采购诚信考核和信用审查为基础，凭借政府采购合同，按优于一般中小企业的贷款利率直接向申请贷款的投标人发放贷款的一种融资方式。投标人可登录浙江政府采购( (tp:/www zizfcg gov.cn)的中小企业信用融资栏目了解相关信息。 供应商可以通过浙江政府采购网(https://zfcg. czt.zj. gov.cn/)首页的“浙江政采贷”模块进入申请，还可以通过政府采购云平台(https://wwwzcygov.cn/)首页的“金融服务”模块进入申请。</w:t>
            </w:r>
          </w:p>
          <w:p w14:paraId="62528694">
            <w:pPr>
              <w:snapToGrid w:val="0"/>
              <w:spacing w:line="360" w:lineRule="auto"/>
              <w:jc w:val="left"/>
              <w:rPr>
                <w:rFonts w:ascii="宋体" w:hAnsi="宋体" w:cs="宋体"/>
                <w:color w:val="auto"/>
                <w:sz w:val="24"/>
                <w:highlight w:val="none"/>
              </w:rPr>
            </w:pPr>
            <w:r>
              <w:rPr>
                <w:rFonts w:hint="eastAsia" w:ascii="宋体" w:hAnsi="宋体" w:cs="宋体"/>
                <w:color w:val="auto"/>
                <w:sz w:val="24"/>
                <w:highlight w:val="none"/>
              </w:rPr>
              <w:t xml:space="preserve">2、政府采购金融服务提示：为扩大政府采购金融服务面，除政采云网上金融服务合作银行外，东阳市范围内增加浙商银行金华分行东阳支行作为线下合作银行。   </w:t>
            </w:r>
          </w:p>
          <w:p w14:paraId="19F1FC26">
            <w:pPr>
              <w:snapToGrid w:val="0"/>
              <w:spacing w:line="360" w:lineRule="auto"/>
              <w:jc w:val="left"/>
              <w:rPr>
                <w:rFonts w:ascii="宋体" w:hAnsi="宋体" w:cs="宋体"/>
                <w:color w:val="auto"/>
                <w:highlight w:val="none"/>
              </w:rPr>
            </w:pPr>
            <w:r>
              <w:rPr>
                <w:rFonts w:hint="eastAsia" w:ascii="宋体" w:hAnsi="宋体" w:cs="宋体"/>
                <w:color w:val="auto"/>
                <w:sz w:val="24"/>
                <w:highlight w:val="none"/>
              </w:rPr>
              <w:t>浙商银行金华东阳支行联系人：许燕  联系电话：13967983441  0579-86222992</w:t>
            </w:r>
          </w:p>
        </w:tc>
      </w:tr>
      <w:tr w14:paraId="6CEFF3B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91" w:hRule="atLeast"/>
          <w:jc w:val="center"/>
        </w:trPr>
        <w:tc>
          <w:tcPr>
            <w:tcW w:w="749" w:type="dxa"/>
            <w:tcBorders>
              <w:top w:val="single" w:color="auto" w:sz="4" w:space="0"/>
              <w:left w:val="single" w:color="auto" w:sz="4" w:space="0"/>
              <w:bottom w:val="single" w:color="auto" w:sz="4" w:space="0"/>
              <w:right w:val="single" w:color="auto" w:sz="4" w:space="0"/>
            </w:tcBorders>
            <w:vAlign w:val="center"/>
          </w:tcPr>
          <w:p w14:paraId="0F617D49">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15</w:t>
            </w:r>
          </w:p>
        </w:tc>
        <w:tc>
          <w:tcPr>
            <w:tcW w:w="8750" w:type="dxa"/>
            <w:tcBorders>
              <w:top w:val="single" w:color="auto" w:sz="4" w:space="0"/>
              <w:left w:val="single" w:color="auto" w:sz="4" w:space="0"/>
              <w:bottom w:val="single" w:color="auto" w:sz="4" w:space="0"/>
              <w:right w:val="single" w:color="auto" w:sz="4" w:space="0"/>
            </w:tcBorders>
            <w:vAlign w:val="center"/>
          </w:tcPr>
          <w:p w14:paraId="1414FB64">
            <w:pPr>
              <w:autoSpaceDE w:val="0"/>
              <w:autoSpaceDN w:val="0"/>
              <w:snapToGrid w:val="0"/>
              <w:spacing w:line="360" w:lineRule="auto"/>
              <w:textAlignment w:val="bottom"/>
              <w:rPr>
                <w:rFonts w:ascii="宋体" w:hAnsi="宋体" w:cs="宋体"/>
                <w:color w:val="auto"/>
                <w:sz w:val="24"/>
                <w:highlight w:val="none"/>
              </w:rPr>
            </w:pPr>
            <w:r>
              <w:rPr>
                <w:rFonts w:hint="eastAsia" w:ascii="宋体" w:hAnsi="宋体" w:cs="宋体"/>
                <w:color w:val="auto"/>
                <w:sz w:val="24"/>
                <w:highlight w:val="none"/>
              </w:rPr>
              <w:t>签订合同时间：发出《中标通知书》之日起20天内。</w:t>
            </w:r>
          </w:p>
        </w:tc>
      </w:tr>
      <w:tr w14:paraId="037AA11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7" w:hRule="atLeast"/>
          <w:jc w:val="center"/>
        </w:trPr>
        <w:tc>
          <w:tcPr>
            <w:tcW w:w="749" w:type="dxa"/>
            <w:tcBorders>
              <w:top w:val="single" w:color="auto" w:sz="4" w:space="0"/>
              <w:left w:val="single" w:color="auto" w:sz="4" w:space="0"/>
              <w:bottom w:val="single" w:color="auto" w:sz="4" w:space="0"/>
              <w:right w:val="single" w:color="auto" w:sz="4" w:space="0"/>
            </w:tcBorders>
            <w:vAlign w:val="center"/>
          </w:tcPr>
          <w:p w14:paraId="561080B9">
            <w:pPr>
              <w:snapToGrid w:val="0"/>
              <w:spacing w:line="360" w:lineRule="auto"/>
              <w:jc w:val="center"/>
              <w:rPr>
                <w:rFonts w:ascii="宋体" w:hAnsi="宋体" w:cs="宋体"/>
                <w:bCs/>
                <w:color w:val="auto"/>
                <w:sz w:val="24"/>
                <w:highlight w:val="none"/>
              </w:rPr>
            </w:pPr>
            <w:r>
              <w:rPr>
                <w:rFonts w:hint="eastAsia" w:ascii="宋体" w:hAnsi="宋体" w:cs="宋体"/>
                <w:bCs/>
                <w:color w:val="auto"/>
                <w:sz w:val="24"/>
                <w:highlight w:val="none"/>
              </w:rPr>
              <w:t>16</w:t>
            </w:r>
          </w:p>
        </w:tc>
        <w:tc>
          <w:tcPr>
            <w:tcW w:w="8750" w:type="dxa"/>
            <w:tcBorders>
              <w:top w:val="single" w:color="auto" w:sz="4" w:space="0"/>
              <w:left w:val="single" w:color="auto" w:sz="4" w:space="0"/>
              <w:bottom w:val="single" w:color="auto" w:sz="4" w:space="0"/>
              <w:right w:val="single" w:color="auto" w:sz="4" w:space="0"/>
            </w:tcBorders>
            <w:vAlign w:val="center"/>
          </w:tcPr>
          <w:p w14:paraId="5A8AB4C7">
            <w:pPr>
              <w:autoSpaceDE w:val="0"/>
              <w:autoSpaceDN w:val="0"/>
              <w:snapToGrid w:val="0"/>
              <w:spacing w:line="360" w:lineRule="auto"/>
              <w:textAlignment w:val="bottom"/>
              <w:rPr>
                <w:rFonts w:ascii="宋体" w:hAnsi="宋体" w:cs="宋体"/>
                <w:color w:val="auto"/>
                <w:sz w:val="24"/>
                <w:highlight w:val="none"/>
              </w:rPr>
            </w:pPr>
            <w:r>
              <w:rPr>
                <w:rFonts w:hint="eastAsia" w:ascii="宋体" w:hAnsi="宋体" w:cs="宋体"/>
                <w:color w:val="auto"/>
                <w:sz w:val="24"/>
                <w:highlight w:val="none"/>
              </w:rPr>
              <w:t>中标人与</w:t>
            </w:r>
            <w:r>
              <w:rPr>
                <w:rFonts w:hint="eastAsia" w:ascii="宋体" w:hAnsi="宋体" w:cs="宋体"/>
                <w:color w:val="auto"/>
                <w:sz w:val="24"/>
                <w:highlight w:val="none"/>
                <w:lang w:eastAsia="zh-CN"/>
              </w:rPr>
              <w:t>东阳市农业农村局</w:t>
            </w:r>
            <w:r>
              <w:rPr>
                <w:rFonts w:hint="eastAsia" w:ascii="宋体" w:hAnsi="宋体" w:cs="宋体"/>
                <w:color w:val="auto"/>
                <w:sz w:val="24"/>
                <w:highlight w:val="none"/>
              </w:rPr>
              <w:t>签订政府采购合同。</w:t>
            </w:r>
          </w:p>
        </w:tc>
      </w:tr>
      <w:tr w14:paraId="3223B23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731" w:hRule="atLeast"/>
          <w:jc w:val="center"/>
        </w:trPr>
        <w:tc>
          <w:tcPr>
            <w:tcW w:w="749" w:type="dxa"/>
            <w:tcBorders>
              <w:top w:val="single" w:color="auto" w:sz="4" w:space="0"/>
              <w:left w:val="single" w:color="auto" w:sz="4" w:space="0"/>
              <w:bottom w:val="single" w:color="auto" w:sz="4" w:space="0"/>
              <w:right w:val="single" w:color="auto" w:sz="4" w:space="0"/>
            </w:tcBorders>
            <w:vAlign w:val="center"/>
          </w:tcPr>
          <w:p w14:paraId="1A21B223">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17</w:t>
            </w:r>
          </w:p>
        </w:tc>
        <w:tc>
          <w:tcPr>
            <w:tcW w:w="8750" w:type="dxa"/>
            <w:tcBorders>
              <w:top w:val="single" w:color="auto" w:sz="4" w:space="0"/>
              <w:left w:val="single" w:color="auto" w:sz="4" w:space="0"/>
              <w:bottom w:val="single" w:color="auto" w:sz="4" w:space="0"/>
              <w:right w:val="single" w:color="auto" w:sz="4" w:space="0"/>
            </w:tcBorders>
            <w:vAlign w:val="center"/>
          </w:tcPr>
          <w:p w14:paraId="5649F42B">
            <w:pPr>
              <w:spacing w:line="480" w:lineRule="exact"/>
              <w:rPr>
                <w:rFonts w:ascii="宋体" w:hAnsi="宋体" w:cs="宋体"/>
                <w:color w:val="auto"/>
                <w:sz w:val="24"/>
                <w:highlight w:val="none"/>
              </w:rPr>
            </w:pPr>
            <w:r>
              <w:rPr>
                <w:rFonts w:hint="eastAsia" w:ascii="宋体" w:hAnsi="宋体" w:cs="宋体"/>
                <w:color w:val="auto"/>
                <w:sz w:val="24"/>
                <w:highlight w:val="none"/>
              </w:rPr>
              <w:t>付款方式：</w:t>
            </w:r>
          </w:p>
          <w:p w14:paraId="769561F1">
            <w:pPr>
              <w:numPr>
                <w:ilvl w:val="0"/>
                <w:numId w:val="5"/>
              </w:numPr>
              <w:spacing w:line="480" w:lineRule="exact"/>
              <w:rPr>
                <w:rFonts w:ascii="宋体" w:hAnsi="宋体" w:cs="宋体"/>
                <w:color w:val="auto"/>
                <w:sz w:val="24"/>
                <w:highlight w:val="none"/>
              </w:rPr>
            </w:pPr>
            <w:r>
              <w:rPr>
                <w:rFonts w:hint="eastAsia" w:ascii="宋体" w:hAnsi="宋体" w:cs="宋体"/>
                <w:color w:val="auto"/>
                <w:sz w:val="24"/>
                <w:highlight w:val="none"/>
              </w:rPr>
              <w:t>合同生效以及具备实施条件后7个工作日内支付合同价款的40%作为预付款</w:t>
            </w:r>
            <w:r>
              <w:rPr>
                <w:rFonts w:hint="eastAsia" w:ascii="宋体"/>
                <w:color w:val="auto"/>
                <w:sz w:val="24"/>
                <w:highlight w:val="none"/>
              </w:rPr>
              <w:t>（</w:t>
            </w:r>
            <w:r>
              <w:rPr>
                <w:rFonts w:hint="eastAsia" w:ascii="宋体" w:hAnsi="宋体"/>
                <w:bCs/>
                <w:color w:val="auto"/>
                <w:sz w:val="24"/>
                <w:highlight w:val="none"/>
              </w:rPr>
              <w:t>若供应商为大型企业，或合同签订时，供应商明确表示无需预付款或主动降低预付款比例的，采购人可不适用前述规定）</w:t>
            </w:r>
            <w:r>
              <w:rPr>
                <w:rFonts w:hint="eastAsia" w:ascii="宋体" w:hAnsi="宋体" w:cs="宋体"/>
                <w:color w:val="auto"/>
                <w:sz w:val="24"/>
                <w:highlight w:val="none"/>
              </w:rPr>
              <w:t>；</w:t>
            </w:r>
          </w:p>
          <w:p w14:paraId="7A075076">
            <w:pPr>
              <w:numPr>
                <w:ilvl w:val="0"/>
                <w:numId w:val="5"/>
              </w:numPr>
              <w:spacing w:line="480" w:lineRule="exact"/>
              <w:rPr>
                <w:rFonts w:ascii="宋体" w:hAnsi="宋体" w:cs="宋体"/>
                <w:color w:val="auto"/>
                <w:sz w:val="24"/>
                <w:highlight w:val="none"/>
              </w:rPr>
            </w:pPr>
            <w:r>
              <w:rPr>
                <w:rFonts w:hint="eastAsia" w:ascii="宋体" w:hAnsi="宋体" w:cs="宋体"/>
                <w:bCs/>
                <w:color w:val="auto"/>
                <w:sz w:val="24"/>
                <w:highlight w:val="none"/>
              </w:rPr>
              <w:t>中标人定期制作回收报表、处置报表分别报送至市</w:t>
            </w:r>
            <w:r>
              <w:rPr>
                <w:rFonts w:hint="eastAsia" w:ascii="宋体" w:hAnsi="宋体" w:cs="宋体"/>
                <w:bCs/>
                <w:color w:val="auto"/>
                <w:sz w:val="24"/>
                <w:highlight w:val="none"/>
                <w:lang w:eastAsia="zh-CN"/>
              </w:rPr>
              <w:t>东阳市农业农村局</w:t>
            </w:r>
            <w:r>
              <w:rPr>
                <w:rFonts w:hint="eastAsia" w:ascii="宋体" w:hAnsi="宋体" w:cs="宋体"/>
                <w:bCs/>
                <w:color w:val="auto"/>
                <w:sz w:val="24"/>
                <w:highlight w:val="none"/>
              </w:rPr>
              <w:t>、金华市生态环境局东阳分局，由</w:t>
            </w:r>
            <w:r>
              <w:rPr>
                <w:rFonts w:hint="eastAsia" w:ascii="宋体" w:hAnsi="宋体" w:cs="宋体"/>
                <w:bCs/>
                <w:color w:val="auto"/>
                <w:sz w:val="24"/>
                <w:highlight w:val="none"/>
                <w:lang w:eastAsia="zh-CN"/>
              </w:rPr>
              <w:t>东阳市农业农村局</w:t>
            </w:r>
            <w:r>
              <w:rPr>
                <w:rFonts w:hint="eastAsia" w:ascii="宋体" w:hAnsi="宋体" w:cs="宋体"/>
                <w:bCs/>
                <w:color w:val="auto"/>
                <w:sz w:val="24"/>
                <w:highlight w:val="none"/>
              </w:rPr>
              <w:t>、金华市生态环境局东阳分局核实后报市财政局结算回收处置费用（结算得出的金额应扣减已预付的款项）。</w:t>
            </w:r>
          </w:p>
          <w:p w14:paraId="042F4778">
            <w:pPr>
              <w:numPr>
                <w:ilvl w:val="0"/>
                <w:numId w:val="5"/>
              </w:numPr>
              <w:spacing w:line="480" w:lineRule="exact"/>
              <w:rPr>
                <w:rFonts w:ascii="宋体" w:hAnsi="宋体" w:cs="宋体"/>
                <w:color w:val="auto"/>
                <w:sz w:val="24"/>
                <w:highlight w:val="none"/>
              </w:rPr>
            </w:pPr>
            <w:r>
              <w:rPr>
                <w:rFonts w:hint="eastAsia" w:ascii="宋体" w:hAnsi="宋体" w:cs="宋体"/>
                <w:bCs/>
                <w:color w:val="auto"/>
                <w:sz w:val="24"/>
                <w:highlight w:val="none"/>
              </w:rPr>
              <w:t>中标人需随付款进度提供正式发票。</w:t>
            </w:r>
            <w:r>
              <w:rPr>
                <w:rFonts w:hint="eastAsia" w:ascii="宋体" w:hAnsi="宋体" w:cs="宋体"/>
                <w:color w:val="auto"/>
                <w:sz w:val="24"/>
                <w:highlight w:val="none"/>
              </w:rPr>
              <w:t xml:space="preserve"> </w:t>
            </w:r>
          </w:p>
        </w:tc>
      </w:tr>
      <w:tr w14:paraId="4C7FDCF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6" w:hRule="atLeast"/>
          <w:jc w:val="center"/>
        </w:trPr>
        <w:tc>
          <w:tcPr>
            <w:tcW w:w="749" w:type="dxa"/>
            <w:tcBorders>
              <w:top w:val="single" w:color="auto" w:sz="4" w:space="0"/>
              <w:left w:val="single" w:color="auto" w:sz="4" w:space="0"/>
              <w:bottom w:val="single" w:color="auto" w:sz="4" w:space="0"/>
              <w:right w:val="single" w:color="auto" w:sz="4" w:space="0"/>
            </w:tcBorders>
            <w:vAlign w:val="center"/>
          </w:tcPr>
          <w:p w14:paraId="17545B65">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18</w:t>
            </w:r>
          </w:p>
        </w:tc>
        <w:tc>
          <w:tcPr>
            <w:tcW w:w="8750" w:type="dxa"/>
            <w:tcBorders>
              <w:top w:val="single" w:color="auto" w:sz="4" w:space="0"/>
              <w:left w:val="single" w:color="auto" w:sz="4" w:space="0"/>
              <w:bottom w:val="single" w:color="auto" w:sz="4" w:space="0"/>
              <w:right w:val="single" w:color="auto" w:sz="4" w:space="0"/>
            </w:tcBorders>
            <w:vAlign w:val="center"/>
          </w:tcPr>
          <w:p w14:paraId="1EDF88F1">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货物交付/服务地点：东阳市内，采购人指定的地点。</w:t>
            </w:r>
          </w:p>
          <w:p w14:paraId="625147C7">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验收：</w:t>
            </w:r>
          </w:p>
          <w:p w14:paraId="3E0A11DA">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1.采购人组织相关人员对供应商履约的验收，验收费用由中标人承担；采购人出具一式二份验收报告，一份由中标人保管，一份由金华正达工程造价咨询有限公司（原件）存档。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5EEF291C">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2.采购人可以邀请参加本项目的其他供应商或者第三方机构参与验收。参与验收的供应商或者第三方机构的意见作为验收书的参考资料一并存档。</w:t>
            </w:r>
          </w:p>
          <w:p w14:paraId="59B7AF58">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20760F67">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4.采购人原则上应当在履约验收之日起2个工作日内，将履约验收结果在浙江政府采购网上公告。</w:t>
            </w:r>
          </w:p>
          <w:p w14:paraId="453681B4">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5.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tc>
      </w:tr>
      <w:tr w14:paraId="6CF3BB1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67" w:hRule="atLeast"/>
          <w:jc w:val="center"/>
        </w:trPr>
        <w:tc>
          <w:tcPr>
            <w:tcW w:w="749" w:type="dxa"/>
            <w:tcBorders>
              <w:top w:val="single" w:color="auto" w:sz="4" w:space="0"/>
              <w:left w:val="single" w:color="auto" w:sz="4" w:space="0"/>
              <w:bottom w:val="single" w:color="auto" w:sz="4" w:space="0"/>
              <w:right w:val="single" w:color="auto" w:sz="4" w:space="0"/>
            </w:tcBorders>
            <w:vAlign w:val="center"/>
          </w:tcPr>
          <w:p w14:paraId="408723C2">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19</w:t>
            </w:r>
          </w:p>
        </w:tc>
        <w:tc>
          <w:tcPr>
            <w:tcW w:w="8750" w:type="dxa"/>
            <w:tcBorders>
              <w:top w:val="single" w:color="auto" w:sz="4" w:space="0"/>
              <w:left w:val="single" w:color="auto" w:sz="4" w:space="0"/>
              <w:bottom w:val="single" w:color="auto" w:sz="4" w:space="0"/>
              <w:right w:val="single" w:color="auto" w:sz="4" w:space="0"/>
            </w:tcBorders>
            <w:vAlign w:val="center"/>
          </w:tcPr>
          <w:p w14:paraId="0A6C220B">
            <w:pPr>
              <w:snapToGrid w:val="0"/>
              <w:spacing w:before="120" w:beforeLines="50" w:line="360" w:lineRule="auto"/>
              <w:outlineLvl w:val="2"/>
              <w:rPr>
                <w:rFonts w:ascii="宋体" w:hAnsi="宋体"/>
                <w:b/>
                <w:color w:val="auto"/>
                <w:sz w:val="24"/>
                <w:highlight w:val="none"/>
              </w:rPr>
            </w:pPr>
            <w:r>
              <w:rPr>
                <w:rFonts w:hint="eastAsia" w:ascii="宋体" w:hAnsi="宋体"/>
                <w:b/>
                <w:color w:val="auto"/>
                <w:sz w:val="24"/>
                <w:highlight w:val="none"/>
              </w:rPr>
              <w:t>供应商有下列情形之一的，列入失信名单，同时依照《政府采购法》第七十七条及《中华人民共和国政府采购法实施条例》第七十二条规定处罚并追求法律责任。</w:t>
            </w:r>
          </w:p>
          <w:p w14:paraId="0D13B4B5">
            <w:pPr>
              <w:snapToGrid w:val="0"/>
              <w:spacing w:line="360" w:lineRule="auto"/>
              <w:jc w:val="left"/>
              <w:rPr>
                <w:rFonts w:ascii="宋体" w:hAnsi="宋体"/>
                <w:color w:val="auto"/>
                <w:sz w:val="24"/>
                <w:highlight w:val="none"/>
              </w:rPr>
            </w:pPr>
            <w:r>
              <w:rPr>
                <w:rFonts w:hint="eastAsia" w:ascii="宋体" w:hAnsi="宋体"/>
                <w:color w:val="auto"/>
                <w:sz w:val="24"/>
                <w:highlight w:val="none"/>
              </w:rPr>
              <w:t xml:space="preserve">1、提供虚假材料谋取中标、成交的； </w:t>
            </w:r>
            <w:r>
              <w:rPr>
                <w:rFonts w:hint="eastAsia" w:ascii="宋体" w:hAnsi="宋体"/>
                <w:color w:val="auto"/>
                <w:sz w:val="24"/>
                <w:highlight w:val="none"/>
              </w:rPr>
              <w:br w:type="textWrapping"/>
            </w:r>
            <w:r>
              <w:rPr>
                <w:rFonts w:hint="eastAsia" w:ascii="宋体" w:hAnsi="宋体"/>
                <w:color w:val="auto"/>
                <w:sz w:val="24"/>
                <w:highlight w:val="none"/>
              </w:rPr>
              <w:t xml:space="preserve">2、采取不正当手段诋毁、排挤其他供应商的； </w:t>
            </w:r>
            <w:r>
              <w:rPr>
                <w:rFonts w:hint="eastAsia" w:ascii="宋体" w:hAnsi="宋体"/>
                <w:color w:val="auto"/>
                <w:sz w:val="24"/>
                <w:highlight w:val="none"/>
              </w:rPr>
              <w:br w:type="textWrapping"/>
            </w:r>
            <w:r>
              <w:rPr>
                <w:rFonts w:hint="eastAsia" w:ascii="宋体" w:hAnsi="宋体"/>
                <w:color w:val="auto"/>
                <w:sz w:val="24"/>
                <w:highlight w:val="none"/>
              </w:rPr>
              <w:t xml:space="preserve">3、与采购人、其他供应商或者采购代理机构恶意串通的； </w:t>
            </w:r>
            <w:r>
              <w:rPr>
                <w:rFonts w:hint="eastAsia" w:ascii="宋体" w:hAnsi="宋体"/>
                <w:color w:val="auto"/>
                <w:sz w:val="24"/>
                <w:highlight w:val="none"/>
              </w:rPr>
              <w:br w:type="textWrapping"/>
            </w:r>
            <w:r>
              <w:rPr>
                <w:rFonts w:hint="eastAsia" w:ascii="宋体" w:hAnsi="宋体"/>
                <w:color w:val="auto"/>
                <w:sz w:val="24"/>
                <w:highlight w:val="none"/>
              </w:rPr>
              <w:t xml:space="preserve">4、向采购人、采购代理机构行贿或者提供其他不正当利益的； </w:t>
            </w:r>
            <w:r>
              <w:rPr>
                <w:rFonts w:hint="eastAsia" w:ascii="宋体" w:hAnsi="宋体"/>
                <w:color w:val="auto"/>
                <w:sz w:val="24"/>
                <w:highlight w:val="none"/>
              </w:rPr>
              <w:br w:type="textWrapping"/>
            </w:r>
            <w:r>
              <w:rPr>
                <w:rFonts w:hint="eastAsia" w:ascii="宋体" w:hAnsi="宋体"/>
                <w:color w:val="auto"/>
                <w:sz w:val="24"/>
                <w:highlight w:val="none"/>
              </w:rPr>
              <w:t xml:space="preserve">5、在招标采购过程中与采购人进行协商谈判的； </w:t>
            </w:r>
          </w:p>
          <w:p w14:paraId="42DCED2D">
            <w:pPr>
              <w:snapToGrid w:val="0"/>
              <w:spacing w:line="360" w:lineRule="auto"/>
              <w:jc w:val="left"/>
              <w:rPr>
                <w:rFonts w:ascii="宋体" w:hAnsi="宋体"/>
                <w:color w:val="auto"/>
                <w:sz w:val="24"/>
                <w:highlight w:val="none"/>
              </w:rPr>
            </w:pPr>
            <w:r>
              <w:rPr>
                <w:rFonts w:hint="eastAsia" w:ascii="宋体" w:hAnsi="宋体"/>
                <w:color w:val="auto"/>
                <w:sz w:val="24"/>
                <w:highlight w:val="none"/>
              </w:rPr>
              <w:t>6、向评标委员会、竞争性谈判小组或者询价小组成员行贿或者提供其他不正当利益；</w:t>
            </w:r>
          </w:p>
          <w:p w14:paraId="5252D174">
            <w:pPr>
              <w:snapToGrid w:val="0"/>
              <w:spacing w:line="360" w:lineRule="auto"/>
              <w:jc w:val="left"/>
              <w:rPr>
                <w:rFonts w:ascii="宋体" w:hAnsi="宋体"/>
                <w:color w:val="auto"/>
                <w:sz w:val="24"/>
                <w:highlight w:val="none"/>
              </w:rPr>
            </w:pPr>
            <w:r>
              <w:rPr>
                <w:rFonts w:hint="eastAsia" w:ascii="宋体" w:hAnsi="宋体"/>
                <w:color w:val="auto"/>
                <w:sz w:val="24"/>
                <w:highlight w:val="none"/>
              </w:rPr>
              <w:t>7、中标或者成交后无正当理由拒不与采购人签订政府采购合同；</w:t>
            </w:r>
          </w:p>
          <w:p w14:paraId="65600F47">
            <w:pPr>
              <w:snapToGrid w:val="0"/>
              <w:spacing w:line="360" w:lineRule="auto"/>
              <w:jc w:val="left"/>
              <w:rPr>
                <w:rFonts w:ascii="宋体" w:hAnsi="宋体"/>
                <w:color w:val="auto"/>
                <w:sz w:val="24"/>
                <w:highlight w:val="none"/>
              </w:rPr>
            </w:pPr>
            <w:r>
              <w:rPr>
                <w:rFonts w:hint="eastAsia" w:ascii="宋体" w:hAnsi="宋体"/>
                <w:color w:val="auto"/>
                <w:sz w:val="24"/>
                <w:highlight w:val="none"/>
              </w:rPr>
              <w:t>8、未按照采购文件确定的事项签订政府采购合同；</w:t>
            </w:r>
          </w:p>
          <w:p w14:paraId="5BCD3E1A">
            <w:pPr>
              <w:snapToGrid w:val="0"/>
              <w:spacing w:line="360" w:lineRule="auto"/>
              <w:jc w:val="left"/>
              <w:rPr>
                <w:rFonts w:ascii="宋体" w:hAnsi="宋体"/>
                <w:color w:val="auto"/>
                <w:sz w:val="24"/>
                <w:highlight w:val="none"/>
              </w:rPr>
            </w:pPr>
            <w:r>
              <w:rPr>
                <w:rFonts w:hint="eastAsia" w:ascii="宋体" w:hAnsi="宋体"/>
                <w:color w:val="auto"/>
                <w:sz w:val="24"/>
                <w:highlight w:val="none"/>
              </w:rPr>
              <w:t>9、将政府采购合同转包；</w:t>
            </w:r>
          </w:p>
          <w:p w14:paraId="5F1567DC">
            <w:pPr>
              <w:snapToGrid w:val="0"/>
              <w:spacing w:line="360" w:lineRule="auto"/>
              <w:jc w:val="left"/>
              <w:rPr>
                <w:rFonts w:ascii="宋体" w:hAnsi="宋体"/>
                <w:color w:val="auto"/>
                <w:sz w:val="24"/>
                <w:highlight w:val="none"/>
              </w:rPr>
            </w:pPr>
            <w:r>
              <w:rPr>
                <w:rFonts w:hint="eastAsia" w:ascii="宋体" w:hAnsi="宋体"/>
                <w:color w:val="auto"/>
                <w:sz w:val="24"/>
                <w:highlight w:val="none"/>
              </w:rPr>
              <w:t>10、提供假冒伪劣产品；</w:t>
            </w:r>
          </w:p>
          <w:p w14:paraId="7DC057B7">
            <w:pPr>
              <w:snapToGrid w:val="0"/>
              <w:spacing w:line="360" w:lineRule="auto"/>
              <w:jc w:val="left"/>
              <w:rPr>
                <w:rFonts w:ascii="宋体" w:hAnsi="宋体"/>
                <w:color w:val="auto"/>
                <w:sz w:val="24"/>
                <w:highlight w:val="none"/>
              </w:rPr>
            </w:pPr>
            <w:r>
              <w:rPr>
                <w:rFonts w:hint="eastAsia" w:ascii="宋体" w:hAnsi="宋体"/>
                <w:color w:val="auto"/>
                <w:sz w:val="24"/>
                <w:highlight w:val="none"/>
              </w:rPr>
              <w:t>11、擅自变更、中止或者终止政府采购合同。</w:t>
            </w:r>
          </w:p>
          <w:p w14:paraId="0DA9A0F6">
            <w:pPr>
              <w:snapToGrid w:val="0"/>
              <w:spacing w:line="360" w:lineRule="auto"/>
              <w:rPr>
                <w:rFonts w:ascii="宋体" w:hAnsi="宋体" w:cs="宋体"/>
                <w:color w:val="auto"/>
                <w:sz w:val="24"/>
                <w:highlight w:val="none"/>
              </w:rPr>
            </w:pPr>
            <w:r>
              <w:rPr>
                <w:rFonts w:hint="eastAsia" w:ascii="宋体" w:hAnsi="宋体"/>
                <w:color w:val="auto"/>
                <w:sz w:val="24"/>
                <w:highlight w:val="none"/>
              </w:rPr>
              <w:t>12、其他严重扰乱招投标程序的。</w:t>
            </w:r>
          </w:p>
        </w:tc>
      </w:tr>
      <w:tr w14:paraId="0A710DD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36" w:hRule="atLeast"/>
          <w:jc w:val="center"/>
        </w:trPr>
        <w:tc>
          <w:tcPr>
            <w:tcW w:w="749" w:type="dxa"/>
            <w:tcBorders>
              <w:top w:val="single" w:color="auto" w:sz="4" w:space="0"/>
              <w:left w:val="single" w:color="auto" w:sz="4" w:space="0"/>
              <w:bottom w:val="single" w:color="auto" w:sz="4" w:space="0"/>
              <w:right w:val="single" w:color="auto" w:sz="4" w:space="0"/>
            </w:tcBorders>
            <w:vAlign w:val="center"/>
          </w:tcPr>
          <w:p w14:paraId="4AFB7006">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20</w:t>
            </w:r>
          </w:p>
        </w:tc>
        <w:tc>
          <w:tcPr>
            <w:tcW w:w="8750" w:type="dxa"/>
            <w:tcBorders>
              <w:top w:val="single" w:color="auto" w:sz="4" w:space="0"/>
              <w:left w:val="single" w:color="auto" w:sz="4" w:space="0"/>
              <w:bottom w:val="single" w:color="auto" w:sz="4" w:space="0"/>
              <w:right w:val="single" w:color="auto" w:sz="4" w:space="0"/>
            </w:tcBorders>
            <w:vAlign w:val="center"/>
          </w:tcPr>
          <w:p w14:paraId="5B4C62BB">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投标文件有效期：</w:t>
            </w:r>
            <w:r>
              <w:rPr>
                <w:rFonts w:hint="eastAsia" w:ascii="宋体" w:hAnsi="宋体" w:cs="宋体"/>
                <w:color w:val="auto"/>
                <w:sz w:val="24"/>
                <w:highlight w:val="none"/>
                <w:u w:val="single"/>
              </w:rPr>
              <w:t>60</w:t>
            </w:r>
            <w:r>
              <w:rPr>
                <w:rFonts w:hint="eastAsia" w:ascii="宋体" w:hAnsi="宋体" w:cs="宋体"/>
                <w:color w:val="auto"/>
                <w:sz w:val="24"/>
                <w:highlight w:val="none"/>
              </w:rPr>
              <w:t>天</w:t>
            </w:r>
          </w:p>
        </w:tc>
      </w:tr>
      <w:tr w14:paraId="1F2BD7F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749" w:type="dxa"/>
            <w:tcBorders>
              <w:top w:val="single" w:color="auto" w:sz="4" w:space="0"/>
              <w:left w:val="single" w:color="auto" w:sz="4" w:space="0"/>
              <w:bottom w:val="single" w:color="auto" w:sz="4" w:space="0"/>
              <w:right w:val="single" w:color="auto" w:sz="4" w:space="0"/>
            </w:tcBorders>
            <w:vAlign w:val="center"/>
          </w:tcPr>
          <w:p w14:paraId="11384752">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21</w:t>
            </w:r>
          </w:p>
        </w:tc>
        <w:tc>
          <w:tcPr>
            <w:tcW w:w="8750" w:type="dxa"/>
            <w:tcBorders>
              <w:top w:val="single" w:color="auto" w:sz="4" w:space="0"/>
              <w:left w:val="single" w:color="auto" w:sz="4" w:space="0"/>
              <w:bottom w:val="single" w:color="auto" w:sz="4" w:space="0"/>
              <w:right w:val="single" w:color="auto" w:sz="4" w:space="0"/>
            </w:tcBorders>
            <w:vAlign w:val="center"/>
          </w:tcPr>
          <w:p w14:paraId="3B884351">
            <w:pPr>
              <w:snapToGrid w:val="0"/>
              <w:spacing w:line="360" w:lineRule="auto"/>
              <w:rPr>
                <w:rFonts w:ascii="宋体" w:hAnsi="宋体" w:cs="宋体"/>
                <w:b/>
                <w:color w:val="auto"/>
                <w:sz w:val="24"/>
                <w:highlight w:val="none"/>
              </w:rPr>
            </w:pPr>
            <w:r>
              <w:rPr>
                <w:rFonts w:hint="eastAsia" w:ascii="宋体" w:hAnsi="宋体" w:cs="宋体"/>
                <w:b/>
                <w:color w:val="auto"/>
                <w:sz w:val="24"/>
                <w:highlight w:val="none"/>
              </w:rPr>
              <w:t>招标方对投标人的落选不作出任何解释。</w:t>
            </w:r>
          </w:p>
        </w:tc>
      </w:tr>
      <w:tr w14:paraId="2B1F7D9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749" w:type="dxa"/>
            <w:tcBorders>
              <w:top w:val="single" w:color="auto" w:sz="4" w:space="0"/>
              <w:left w:val="single" w:color="auto" w:sz="4" w:space="0"/>
              <w:bottom w:val="single" w:color="auto" w:sz="4" w:space="0"/>
              <w:right w:val="single" w:color="auto" w:sz="4" w:space="0"/>
            </w:tcBorders>
            <w:vAlign w:val="center"/>
          </w:tcPr>
          <w:p w14:paraId="60DC0965">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22</w:t>
            </w:r>
          </w:p>
        </w:tc>
        <w:tc>
          <w:tcPr>
            <w:tcW w:w="8750" w:type="dxa"/>
            <w:tcBorders>
              <w:top w:val="single" w:color="auto" w:sz="4" w:space="0"/>
              <w:left w:val="single" w:color="auto" w:sz="4" w:space="0"/>
              <w:bottom w:val="single" w:color="auto" w:sz="4" w:space="0"/>
              <w:right w:val="single" w:color="auto" w:sz="4" w:space="0"/>
            </w:tcBorders>
            <w:vAlign w:val="center"/>
          </w:tcPr>
          <w:p w14:paraId="714684D7">
            <w:pPr>
              <w:spacing w:line="360" w:lineRule="auto"/>
              <w:rPr>
                <w:rFonts w:ascii="宋体" w:hAnsi="宋体" w:cs="宋体"/>
                <w:b/>
                <w:color w:val="auto"/>
                <w:sz w:val="24"/>
                <w:highlight w:val="none"/>
              </w:rPr>
            </w:pPr>
            <w:r>
              <w:rPr>
                <w:rFonts w:hint="eastAsia" w:ascii="宋体" w:hAnsi="宋体" w:cs="宋体"/>
                <w:b/>
                <w:color w:val="auto"/>
                <w:kern w:val="0"/>
                <w:sz w:val="24"/>
                <w:highlight w:val="none"/>
              </w:rPr>
              <w:t>采购人和招标代理机构的任何工作人员对投标人所作的任何口头解释、介绍、答复，仅供投标人参考，不作为招标依据，对采购人、招标代理机构和投标人无任何约束力，一切以网上公告及书面形式为准。</w:t>
            </w:r>
          </w:p>
        </w:tc>
      </w:tr>
      <w:tr w14:paraId="52ED0C8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3" w:hRule="atLeast"/>
          <w:jc w:val="center"/>
        </w:trPr>
        <w:tc>
          <w:tcPr>
            <w:tcW w:w="749" w:type="dxa"/>
            <w:tcBorders>
              <w:top w:val="single" w:color="auto" w:sz="4" w:space="0"/>
              <w:left w:val="single" w:color="auto" w:sz="4" w:space="0"/>
              <w:bottom w:val="single" w:color="auto" w:sz="4" w:space="0"/>
              <w:right w:val="single" w:color="auto" w:sz="4" w:space="0"/>
            </w:tcBorders>
            <w:vAlign w:val="center"/>
          </w:tcPr>
          <w:p w14:paraId="2D3A471A">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23</w:t>
            </w:r>
          </w:p>
        </w:tc>
        <w:tc>
          <w:tcPr>
            <w:tcW w:w="8750" w:type="dxa"/>
            <w:tcBorders>
              <w:top w:val="single" w:color="auto" w:sz="4" w:space="0"/>
              <w:left w:val="single" w:color="auto" w:sz="4" w:space="0"/>
              <w:bottom w:val="single" w:color="auto" w:sz="4" w:space="0"/>
              <w:right w:val="single" w:color="auto" w:sz="4" w:space="0"/>
            </w:tcBorders>
            <w:vAlign w:val="center"/>
          </w:tcPr>
          <w:p w14:paraId="7714D952">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解释：本招标文件的解释权属于金华正达工程造价咨询有限公司。</w:t>
            </w:r>
          </w:p>
        </w:tc>
      </w:tr>
    </w:tbl>
    <w:p w14:paraId="72AA7E63">
      <w:pPr>
        <w:pStyle w:val="12"/>
        <w:snapToGrid w:val="0"/>
        <w:spacing w:before="120" w:after="120" w:line="360" w:lineRule="auto"/>
        <w:rPr>
          <w:rFonts w:ascii="宋体" w:hAnsi="宋体" w:cs="宋体"/>
          <w:b/>
          <w:color w:val="auto"/>
          <w:szCs w:val="24"/>
          <w:highlight w:val="none"/>
        </w:rPr>
      </w:pPr>
      <w:r>
        <w:rPr>
          <w:rFonts w:hint="eastAsia" w:ascii="宋体" w:hAnsi="宋体" w:cs="宋体"/>
          <w:b/>
          <w:color w:val="auto"/>
          <w:szCs w:val="24"/>
          <w:highlight w:val="none"/>
        </w:rPr>
        <w:t>注：如本招标文件后面的条款与本表有矛盾的以本表的内容为准。</w:t>
      </w:r>
    </w:p>
    <w:p w14:paraId="6D8AC037">
      <w:pPr>
        <w:pStyle w:val="12"/>
        <w:pageBreakBefore/>
        <w:numPr>
          <w:ilvl w:val="0"/>
          <w:numId w:val="6"/>
        </w:numPr>
        <w:snapToGrid w:val="0"/>
        <w:spacing w:line="360" w:lineRule="auto"/>
        <w:ind w:left="826" w:hanging="826" w:hangingChars="343"/>
        <w:jc w:val="center"/>
        <w:outlineLvl w:val="1"/>
        <w:rPr>
          <w:rFonts w:ascii="宋体" w:hAnsi="宋体" w:cs="宋体"/>
          <w:b/>
          <w:color w:val="auto"/>
          <w:szCs w:val="24"/>
          <w:highlight w:val="none"/>
        </w:rPr>
      </w:pPr>
      <w:bookmarkStart w:id="14" w:name="_Toc10582"/>
      <w:r>
        <w:rPr>
          <w:rFonts w:hint="eastAsia" w:ascii="宋体" w:hAnsi="宋体" w:cs="宋体"/>
          <w:b/>
          <w:color w:val="auto"/>
          <w:szCs w:val="24"/>
          <w:highlight w:val="none"/>
        </w:rPr>
        <w:t>总则</w:t>
      </w:r>
      <w:bookmarkEnd w:id="14"/>
    </w:p>
    <w:p w14:paraId="13DE8173">
      <w:pPr>
        <w:spacing w:line="440" w:lineRule="exact"/>
        <w:rPr>
          <w:rFonts w:ascii="宋体" w:hAnsi="宋体" w:cs="宋体"/>
          <w:b/>
          <w:color w:val="auto"/>
          <w:sz w:val="24"/>
          <w:highlight w:val="none"/>
        </w:rPr>
      </w:pPr>
      <w:bookmarkStart w:id="15" w:name="_Toc407182093"/>
      <w:r>
        <w:rPr>
          <w:rFonts w:hint="eastAsia" w:ascii="宋体" w:hAnsi="宋体" w:cs="宋体"/>
          <w:b/>
          <w:color w:val="auto"/>
          <w:sz w:val="24"/>
          <w:highlight w:val="none"/>
        </w:rPr>
        <w:t>（一） 适用范围</w:t>
      </w:r>
      <w:bookmarkEnd w:id="15"/>
    </w:p>
    <w:p w14:paraId="51658042">
      <w:pPr>
        <w:spacing w:line="440" w:lineRule="exact"/>
        <w:ind w:firstLine="480" w:firstLineChars="200"/>
        <w:rPr>
          <w:rFonts w:ascii="宋体" w:hAnsi="宋体" w:cs="宋体"/>
          <w:b/>
          <w:color w:val="auto"/>
          <w:sz w:val="24"/>
          <w:highlight w:val="none"/>
        </w:rPr>
      </w:pPr>
      <w:r>
        <w:rPr>
          <w:rFonts w:hint="eastAsia" w:ascii="宋体" w:hAnsi="宋体" w:cs="宋体"/>
          <w:color w:val="auto"/>
          <w:sz w:val="24"/>
          <w:highlight w:val="none"/>
        </w:rPr>
        <w:t>本招标文件适用于</w:t>
      </w:r>
      <w:r>
        <w:rPr>
          <w:rFonts w:hint="eastAsia" w:ascii="宋体" w:hAnsi="宋体" w:cs="宋体"/>
          <w:color w:val="auto"/>
          <w:sz w:val="24"/>
          <w:highlight w:val="none"/>
          <w:lang w:eastAsia="zh-CN"/>
        </w:rPr>
        <w:t>东阳市农药废弃包装物回收和集中处置采购项目（第二次）</w:t>
      </w:r>
      <w:r>
        <w:rPr>
          <w:rFonts w:hint="eastAsia" w:ascii="宋体" w:hAnsi="宋体" w:cs="宋体"/>
          <w:color w:val="auto"/>
          <w:sz w:val="24"/>
          <w:highlight w:val="none"/>
        </w:rPr>
        <w:t>的招标、投标、评标、定标、验收、合同履约、付款等行为（法律、法规另有规定的，从其规定）。</w:t>
      </w:r>
    </w:p>
    <w:p w14:paraId="6C2D139F">
      <w:pPr>
        <w:spacing w:line="440" w:lineRule="exact"/>
        <w:rPr>
          <w:rFonts w:ascii="宋体" w:hAnsi="宋体" w:cs="宋体"/>
          <w:b/>
          <w:color w:val="auto"/>
          <w:sz w:val="24"/>
          <w:highlight w:val="none"/>
        </w:rPr>
      </w:pPr>
      <w:bookmarkStart w:id="16" w:name="_Toc407182094"/>
      <w:r>
        <w:rPr>
          <w:rFonts w:hint="eastAsia" w:ascii="宋体" w:hAnsi="宋体" w:cs="宋体"/>
          <w:b/>
          <w:color w:val="auto"/>
          <w:sz w:val="24"/>
          <w:highlight w:val="none"/>
        </w:rPr>
        <w:t>（二）定义</w:t>
      </w:r>
      <w:bookmarkEnd w:id="16"/>
      <w:r>
        <w:rPr>
          <w:rFonts w:hint="eastAsia" w:ascii="宋体" w:hAnsi="宋体" w:cs="宋体"/>
          <w:b/>
          <w:color w:val="auto"/>
          <w:sz w:val="24"/>
          <w:highlight w:val="none"/>
        </w:rPr>
        <w:t>及采购项目需要落实的政府采购政策</w:t>
      </w:r>
    </w:p>
    <w:p w14:paraId="020A0258">
      <w:pPr>
        <w:spacing w:line="440" w:lineRule="exact"/>
        <w:rPr>
          <w:rFonts w:ascii="宋体" w:hAnsi="宋体" w:cs="宋体"/>
          <w:color w:val="auto"/>
          <w:sz w:val="24"/>
          <w:highlight w:val="none"/>
        </w:rPr>
      </w:pPr>
      <w:r>
        <w:rPr>
          <w:rFonts w:hint="eastAsia" w:ascii="宋体" w:hAnsi="宋体" w:cs="宋体"/>
          <w:color w:val="auto"/>
          <w:sz w:val="24"/>
          <w:highlight w:val="none"/>
        </w:rPr>
        <w:t>1.招标采购单位系指组织本次招标的金华正达工程造价咨询有限公司（“招标方”）和</w:t>
      </w:r>
      <w:r>
        <w:rPr>
          <w:rFonts w:hint="eastAsia" w:ascii="宋体" w:hAnsi="宋体" w:cs="宋体"/>
          <w:color w:val="auto"/>
          <w:sz w:val="24"/>
          <w:highlight w:val="none"/>
          <w:lang w:eastAsia="zh-CN"/>
        </w:rPr>
        <w:t>东阳市农业农村局</w:t>
      </w:r>
      <w:r>
        <w:rPr>
          <w:rFonts w:hint="eastAsia" w:ascii="宋体" w:hAnsi="宋体" w:cs="宋体"/>
          <w:color w:val="auto"/>
          <w:sz w:val="24"/>
          <w:highlight w:val="none"/>
        </w:rPr>
        <w:t>（“采购人”）。</w:t>
      </w:r>
    </w:p>
    <w:p w14:paraId="61A5EDF6">
      <w:pPr>
        <w:spacing w:line="440" w:lineRule="exact"/>
        <w:rPr>
          <w:rFonts w:ascii="宋体" w:hAnsi="宋体" w:cs="宋体"/>
          <w:color w:val="auto"/>
          <w:sz w:val="24"/>
          <w:highlight w:val="none"/>
        </w:rPr>
      </w:pPr>
      <w:r>
        <w:rPr>
          <w:rFonts w:hint="eastAsia" w:ascii="宋体" w:hAnsi="宋体" w:cs="宋体"/>
          <w:color w:val="auto"/>
          <w:sz w:val="24"/>
          <w:highlight w:val="none"/>
        </w:rPr>
        <w:t>2.“投标人”系指向招标方提交投标文件的单位或个人。</w:t>
      </w:r>
    </w:p>
    <w:p w14:paraId="4D67DA1C">
      <w:pPr>
        <w:spacing w:line="440" w:lineRule="exact"/>
        <w:rPr>
          <w:rFonts w:ascii="宋体" w:hAnsi="宋体" w:cs="宋体"/>
          <w:color w:val="auto"/>
          <w:sz w:val="24"/>
          <w:highlight w:val="none"/>
        </w:rPr>
      </w:pPr>
      <w:r>
        <w:rPr>
          <w:rFonts w:hint="eastAsia" w:ascii="宋体" w:hAnsi="宋体" w:cs="宋体"/>
          <w:color w:val="auto"/>
          <w:sz w:val="24"/>
          <w:highlight w:val="none"/>
        </w:rPr>
        <w:t xml:space="preserve">3.“服务”系指招标文件规定投标人须承担的本项目所衍生的一切服务义务。 </w:t>
      </w:r>
    </w:p>
    <w:p w14:paraId="77806BD0">
      <w:pPr>
        <w:spacing w:line="440" w:lineRule="exact"/>
        <w:rPr>
          <w:rFonts w:ascii="宋体" w:hAnsi="宋体" w:cs="宋体"/>
          <w:color w:val="auto"/>
          <w:sz w:val="24"/>
          <w:highlight w:val="none"/>
        </w:rPr>
      </w:pPr>
      <w:r>
        <w:rPr>
          <w:rFonts w:hint="eastAsia" w:ascii="宋体" w:hAnsi="宋体" w:cs="宋体"/>
          <w:color w:val="auto"/>
          <w:sz w:val="24"/>
          <w:highlight w:val="none"/>
        </w:rPr>
        <w:t>4.“项目”系指投标人按招标文件规定向采购人提供的成果和项目服务。</w:t>
      </w:r>
    </w:p>
    <w:p w14:paraId="32AD9D16">
      <w:pPr>
        <w:spacing w:line="440" w:lineRule="exact"/>
        <w:rPr>
          <w:rFonts w:ascii="宋体" w:hAnsi="宋体" w:cs="宋体"/>
          <w:color w:val="auto"/>
          <w:sz w:val="24"/>
          <w:highlight w:val="none"/>
        </w:rPr>
      </w:pPr>
      <w:r>
        <w:rPr>
          <w:rFonts w:hint="eastAsia" w:ascii="宋体" w:hAnsi="宋体" w:cs="宋体"/>
          <w:color w:val="auto"/>
          <w:sz w:val="24"/>
          <w:highlight w:val="none"/>
        </w:rPr>
        <w:t>5.“书面形式”包括信函、传真、电报等。</w:t>
      </w:r>
    </w:p>
    <w:p w14:paraId="398C14FD">
      <w:pPr>
        <w:spacing w:line="440" w:lineRule="exact"/>
        <w:rPr>
          <w:rFonts w:ascii="宋体" w:hAnsi="宋体" w:cs="宋体"/>
          <w:b/>
          <w:bCs/>
          <w:color w:val="auto"/>
          <w:sz w:val="24"/>
          <w:highlight w:val="none"/>
        </w:rPr>
      </w:pPr>
      <w:r>
        <w:rPr>
          <w:rFonts w:hint="eastAsia" w:ascii="宋体" w:hAnsi="宋体" w:cs="宋体"/>
          <w:color w:val="auto"/>
          <w:sz w:val="24"/>
          <w:highlight w:val="none"/>
        </w:rPr>
        <w:t>6.</w:t>
      </w:r>
      <w:r>
        <w:rPr>
          <w:rFonts w:hint="eastAsia" w:ascii="宋体" w:hAnsi="宋体" w:cs="宋体"/>
          <w:b/>
          <w:bCs/>
          <w:color w:val="auto"/>
          <w:sz w:val="24"/>
          <w:highlight w:val="none"/>
        </w:rPr>
        <w:t>“▲”系指实质性要求条款；“★”系指重要指标。</w:t>
      </w:r>
    </w:p>
    <w:p w14:paraId="5874F9F7">
      <w:pPr>
        <w:spacing w:line="440" w:lineRule="exact"/>
        <w:rPr>
          <w:rFonts w:ascii="宋体" w:hAnsi="宋体" w:cs="宋体"/>
          <w:color w:val="auto"/>
          <w:sz w:val="24"/>
          <w:highlight w:val="none"/>
        </w:rPr>
      </w:pPr>
      <w:r>
        <w:rPr>
          <w:rFonts w:hint="eastAsia" w:ascii="宋体" w:hAnsi="宋体" w:cs="宋体"/>
          <w:color w:val="auto"/>
          <w:sz w:val="24"/>
          <w:highlight w:val="none"/>
        </w:rPr>
        <w:t>7. 采购项目需要落实的政府采购政策</w:t>
      </w:r>
    </w:p>
    <w:p w14:paraId="7AFFF9A0">
      <w:pPr>
        <w:spacing w:line="440" w:lineRule="exact"/>
        <w:rPr>
          <w:rFonts w:ascii="宋体" w:hAnsi="宋体" w:cs="宋体"/>
          <w:color w:val="auto"/>
          <w:sz w:val="24"/>
          <w:highlight w:val="none"/>
        </w:rPr>
      </w:pPr>
      <w:r>
        <w:rPr>
          <w:rFonts w:hint="eastAsia" w:ascii="宋体" w:hAnsi="宋体" w:cs="宋体"/>
          <w:color w:val="auto"/>
          <w:sz w:val="24"/>
          <w:highlight w:val="none"/>
        </w:rPr>
        <w:t>7.1 本项目原则上采购本国生产的货物、工程和服务，不允许采购进口产品。除非采购人采购进口产品，已经在采购活动开始前向财政部门提出申请并获得财政部门审核同意，且在采购需求中明确规定可以采购进口产品，未明确视同不得采购进口产品（但如果因信息不对称等原因，仍有满足需求的国内产品要求参与采购竞争的，采购人、采购机构不会对其加以限制，仍将按照公平竞争原则实施采购）。</w:t>
      </w:r>
    </w:p>
    <w:p w14:paraId="3C1714B9">
      <w:pPr>
        <w:spacing w:line="440" w:lineRule="exact"/>
        <w:rPr>
          <w:rFonts w:ascii="宋体" w:hAnsi="宋体" w:cs="宋体"/>
          <w:color w:val="auto"/>
          <w:sz w:val="24"/>
          <w:highlight w:val="none"/>
        </w:rPr>
      </w:pPr>
      <w:r>
        <w:rPr>
          <w:rFonts w:hint="eastAsia" w:ascii="宋体" w:hAnsi="宋体" w:cs="宋体"/>
          <w:color w:val="auto"/>
          <w:sz w:val="24"/>
          <w:highlight w:val="none"/>
        </w:rPr>
        <w:t>7.2 支持绿色发展</w:t>
      </w:r>
    </w:p>
    <w:p w14:paraId="2CC864E9">
      <w:pPr>
        <w:spacing w:line="440" w:lineRule="exact"/>
        <w:rPr>
          <w:rFonts w:ascii="宋体" w:hAnsi="宋体" w:cs="宋体"/>
          <w:color w:val="auto"/>
          <w:sz w:val="24"/>
          <w:highlight w:val="none"/>
        </w:rPr>
      </w:pPr>
      <w:r>
        <w:rPr>
          <w:rFonts w:hint="eastAsia" w:ascii="宋体" w:hAnsi="宋体" w:cs="宋体"/>
          <w:color w:val="auto"/>
          <w:sz w:val="24"/>
          <w:highlight w:val="none"/>
        </w:rPr>
        <w:t>7.2.1采购人拟采购的产品属于品目清单范围的，采购人及其委托的采购代理机构将依据国家确定的认证机构出具的、处于有效期之内的节能产品、环境标志产品认证证书，对获得证书的产品实施政府优先采购或强制采购。供应商须按采购文件要求提供相关产品认证证书。▲采购人拟采购的产品属于政府强制采购的节能产品品目清单范围的，供应商未按采购文件要求提供国家确定的认证机构出具的、处于有效期之内的节能产品认证证书的，投标无效。</w:t>
      </w:r>
    </w:p>
    <w:p w14:paraId="5A4D2C0F">
      <w:pPr>
        <w:spacing w:line="440" w:lineRule="exact"/>
        <w:rPr>
          <w:rFonts w:ascii="宋体" w:hAnsi="宋体" w:cs="宋体"/>
          <w:color w:val="auto"/>
          <w:sz w:val="24"/>
          <w:highlight w:val="none"/>
        </w:rPr>
      </w:pPr>
      <w:r>
        <w:rPr>
          <w:rFonts w:hint="eastAsia" w:ascii="宋体" w:hAnsi="宋体" w:cs="宋体"/>
          <w:color w:val="auto"/>
          <w:sz w:val="24"/>
          <w:highlight w:val="none"/>
        </w:rPr>
        <w:t>7.2.2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2C6ED974">
      <w:pPr>
        <w:spacing w:line="440" w:lineRule="exact"/>
        <w:rPr>
          <w:rFonts w:ascii="宋体" w:hAnsi="宋体" w:cs="宋体"/>
          <w:color w:val="auto"/>
          <w:sz w:val="24"/>
          <w:highlight w:val="none"/>
        </w:rPr>
      </w:pPr>
      <w:r>
        <w:rPr>
          <w:rFonts w:hint="eastAsia" w:ascii="宋体" w:hAnsi="宋体" w:cs="宋体"/>
          <w:color w:val="auto"/>
          <w:sz w:val="24"/>
          <w:highlight w:val="none"/>
        </w:rPr>
        <w:t>7.3支持中小企业发展</w:t>
      </w:r>
    </w:p>
    <w:p w14:paraId="5B57B210">
      <w:pPr>
        <w:spacing w:line="440" w:lineRule="exact"/>
        <w:rPr>
          <w:rFonts w:ascii="宋体" w:hAnsi="宋体" w:cs="宋体"/>
          <w:color w:val="auto"/>
          <w:sz w:val="24"/>
          <w:highlight w:val="none"/>
        </w:rPr>
      </w:pPr>
      <w:r>
        <w:rPr>
          <w:rFonts w:hint="eastAsia" w:ascii="宋体" w:hAnsi="宋体" w:cs="宋体"/>
          <w:color w:val="auto"/>
          <w:sz w:val="24"/>
          <w:highlight w:val="none"/>
        </w:rPr>
        <w:t>7.3.1中小企业，是指在中华人民共和国境内依法设立，依据国务院批准的中小企业划分标准确定的中型企业、小型企业和微型企业，但与大企业的负责人为同一人，或者与大企业存在直接控股、管理关系的除外。</w:t>
      </w:r>
    </w:p>
    <w:p w14:paraId="3ED3A39B">
      <w:pPr>
        <w:spacing w:line="440" w:lineRule="exact"/>
        <w:rPr>
          <w:rFonts w:ascii="宋体" w:hAnsi="宋体" w:cs="宋体"/>
          <w:color w:val="auto"/>
          <w:sz w:val="24"/>
          <w:highlight w:val="none"/>
        </w:rPr>
      </w:pPr>
      <w:r>
        <w:rPr>
          <w:rFonts w:hint="eastAsia" w:ascii="宋体" w:hAnsi="宋体" w:cs="宋体"/>
          <w:color w:val="auto"/>
          <w:sz w:val="24"/>
          <w:highlight w:val="none"/>
        </w:rPr>
        <w:t>符合中小企业划分标准的个体工商户，在政府采购活动中视同中小企业。</w:t>
      </w:r>
    </w:p>
    <w:p w14:paraId="67D9AB34">
      <w:pPr>
        <w:spacing w:line="440" w:lineRule="exact"/>
        <w:rPr>
          <w:rFonts w:ascii="宋体" w:hAnsi="宋体" w:cs="宋体"/>
          <w:color w:val="auto"/>
          <w:sz w:val="24"/>
          <w:highlight w:val="none"/>
        </w:rPr>
      </w:pPr>
      <w:r>
        <w:rPr>
          <w:rFonts w:hint="eastAsia" w:ascii="宋体" w:hAnsi="宋体" w:cs="宋体"/>
          <w:color w:val="auto"/>
          <w:sz w:val="24"/>
          <w:highlight w:val="none"/>
        </w:rPr>
        <w:t>7.3.2在政府采购活动中，供应商提供的货物、工程或者服务符合下列情形的，享受中小企业扶持政策：</w:t>
      </w:r>
    </w:p>
    <w:p w14:paraId="6DF55673">
      <w:pPr>
        <w:spacing w:line="440" w:lineRule="exact"/>
        <w:rPr>
          <w:rFonts w:ascii="宋体" w:hAnsi="宋体" w:cs="宋体"/>
          <w:color w:val="auto"/>
          <w:sz w:val="24"/>
          <w:highlight w:val="none"/>
        </w:rPr>
      </w:pPr>
      <w:r>
        <w:rPr>
          <w:rFonts w:hint="eastAsia" w:ascii="宋体" w:hAnsi="宋体" w:cs="宋体"/>
          <w:color w:val="auto"/>
          <w:sz w:val="24"/>
          <w:highlight w:val="none"/>
        </w:rPr>
        <w:t>7.3.2.1在货物采购项目中，货物由中小企业制造，即货物由中小企业生产且使用该中小企业商号或者注册商标；</w:t>
      </w:r>
    </w:p>
    <w:p w14:paraId="4954485E">
      <w:pPr>
        <w:spacing w:line="440" w:lineRule="exact"/>
        <w:rPr>
          <w:rFonts w:ascii="宋体" w:hAnsi="宋体" w:cs="宋体"/>
          <w:color w:val="auto"/>
          <w:sz w:val="24"/>
          <w:highlight w:val="none"/>
        </w:rPr>
      </w:pPr>
      <w:r>
        <w:rPr>
          <w:rFonts w:hint="eastAsia" w:ascii="宋体" w:hAnsi="宋体" w:cs="宋体"/>
          <w:color w:val="auto"/>
          <w:sz w:val="24"/>
          <w:highlight w:val="none"/>
        </w:rPr>
        <w:t>7.3.2.2在工程采购项目中，工程由中小企业承建，即工程施工单位为中小企业；</w:t>
      </w:r>
    </w:p>
    <w:p w14:paraId="4F67E6CF">
      <w:pPr>
        <w:spacing w:line="440" w:lineRule="exact"/>
        <w:rPr>
          <w:rFonts w:ascii="宋体" w:hAnsi="宋体" w:cs="宋体"/>
          <w:color w:val="auto"/>
          <w:sz w:val="24"/>
          <w:highlight w:val="none"/>
        </w:rPr>
      </w:pPr>
      <w:r>
        <w:rPr>
          <w:rFonts w:hint="eastAsia" w:ascii="宋体" w:hAnsi="宋体" w:cs="宋体"/>
          <w:color w:val="auto"/>
          <w:sz w:val="24"/>
          <w:highlight w:val="none"/>
        </w:rPr>
        <w:t>7.3.2.3在服务采购项目中，服务由中小企业承接，即提供服务的人员为中小企业依照《中华人民共和国劳动合同法》订立劳动合同的从业人员。</w:t>
      </w:r>
    </w:p>
    <w:p w14:paraId="2BCCB6C1">
      <w:pPr>
        <w:spacing w:line="440" w:lineRule="exact"/>
        <w:rPr>
          <w:rFonts w:ascii="宋体" w:hAnsi="宋体" w:cs="宋体"/>
          <w:color w:val="auto"/>
          <w:sz w:val="24"/>
          <w:highlight w:val="none"/>
        </w:rPr>
      </w:pPr>
      <w:r>
        <w:rPr>
          <w:rFonts w:hint="eastAsia" w:ascii="宋体" w:hAnsi="宋体" w:cs="宋体"/>
          <w:color w:val="auto"/>
          <w:sz w:val="24"/>
          <w:highlight w:val="none"/>
        </w:rPr>
        <w:t>在货物采购项目中，供应商提供的货物既有中小企业制造货物，也有大型企业制造货物的，不享受中小企业扶持政策。</w:t>
      </w:r>
    </w:p>
    <w:p w14:paraId="3C8653DF">
      <w:pPr>
        <w:spacing w:line="440" w:lineRule="exact"/>
        <w:rPr>
          <w:rFonts w:ascii="宋体" w:hAnsi="宋体" w:cs="宋体"/>
          <w:color w:val="auto"/>
          <w:sz w:val="24"/>
          <w:highlight w:val="none"/>
        </w:rPr>
      </w:pPr>
      <w:r>
        <w:rPr>
          <w:rFonts w:hint="eastAsia" w:ascii="宋体" w:hAnsi="宋体" w:cs="宋体"/>
          <w:color w:val="auto"/>
          <w:sz w:val="24"/>
          <w:highlight w:val="none"/>
        </w:rPr>
        <w:t>以联合体形式参加政府采购活动，联合体各方均为中小企业的，联合体视同中小企业。其中，联合体各方均为小微企业的，联合体视同小微企业。</w:t>
      </w:r>
    </w:p>
    <w:p w14:paraId="3F8998BF">
      <w:pPr>
        <w:spacing w:line="440" w:lineRule="exact"/>
        <w:rPr>
          <w:rFonts w:ascii="宋体" w:hAnsi="宋体" w:cs="宋体"/>
          <w:color w:val="auto"/>
          <w:sz w:val="24"/>
          <w:highlight w:val="none"/>
        </w:rPr>
      </w:pPr>
      <w:r>
        <w:rPr>
          <w:rFonts w:hint="eastAsia" w:ascii="宋体" w:hAnsi="宋体" w:cs="宋体"/>
          <w:color w:val="auto"/>
          <w:sz w:val="24"/>
          <w:highlight w:val="none"/>
        </w:rPr>
        <w:t>7.3.3对于未预留份额专门面向中小企业的政府采购货物或服务项目，以及预留份额政府采购货物或服务项目中的非预留部分标项，对小型和微型企业的投标报价给予20%的扣除，用扣除后的价格参与评审。接受大中型企业与小微企业组成联合体或者允许大中型企业向一家或者多家小微企业分包的政府采购货物或服务项目，对于联合协议或者分包意向协议约定小微企业的合同份额占到合同总金额30%以上的，对联合体或者大中型企业的报价给予6%的扣除，用扣除后的价格参加评审。组成联合体或者接受分包的小微企业与联合体内其他企业、分包企业之间存在直接控股、管理关系的，不享受价格扣除优惠政策。</w:t>
      </w:r>
    </w:p>
    <w:p w14:paraId="76D48935">
      <w:pPr>
        <w:spacing w:line="440" w:lineRule="exact"/>
        <w:rPr>
          <w:rFonts w:ascii="宋体" w:hAnsi="宋体" w:cs="宋体"/>
          <w:color w:val="auto"/>
          <w:sz w:val="24"/>
          <w:highlight w:val="none"/>
        </w:rPr>
      </w:pPr>
      <w:r>
        <w:rPr>
          <w:rFonts w:hint="eastAsia" w:ascii="宋体" w:hAnsi="宋体" w:cs="宋体"/>
          <w:color w:val="auto"/>
          <w:sz w:val="24"/>
          <w:highlight w:val="none"/>
        </w:rPr>
        <w:t>7.3.4符合《关于促进残疾人就业政府采购政策的通知》（财库〔2017〕141号）规定的条件并提供《残疾人福利性单位声明函》（附件1）的残疾人福利性单位视同小型、微型企业；</w:t>
      </w:r>
    </w:p>
    <w:p w14:paraId="13EB5A25">
      <w:pPr>
        <w:spacing w:line="440" w:lineRule="exact"/>
        <w:rPr>
          <w:rFonts w:ascii="宋体" w:hAnsi="宋体" w:cs="宋体"/>
          <w:color w:val="auto"/>
          <w:sz w:val="24"/>
          <w:highlight w:val="none"/>
        </w:rPr>
      </w:pPr>
      <w:r>
        <w:rPr>
          <w:rFonts w:hint="eastAsia" w:ascii="宋体" w:hAnsi="宋体" w:cs="宋体"/>
          <w:color w:val="auto"/>
          <w:sz w:val="24"/>
          <w:highlight w:val="none"/>
        </w:rPr>
        <w:t>7.3.5符合《关于政府采购支持监狱企业发展有关问题的通知》（财库[2014]68号）规定的监狱企业并提供由省级以上监狱管理局、戒毒管理局（含新疆生产建设兵团）出具的属于监狱企业证明文件的，视同为小型、微型企业。</w:t>
      </w:r>
    </w:p>
    <w:p w14:paraId="3D44A742">
      <w:pPr>
        <w:spacing w:line="440" w:lineRule="exact"/>
        <w:rPr>
          <w:rFonts w:ascii="宋体" w:hAnsi="宋体" w:cs="宋体"/>
          <w:color w:val="auto"/>
          <w:sz w:val="24"/>
          <w:highlight w:val="none"/>
        </w:rPr>
      </w:pPr>
      <w:r>
        <w:rPr>
          <w:rFonts w:hint="eastAsia" w:ascii="宋体" w:hAnsi="宋体" w:cs="宋体"/>
          <w:color w:val="auto"/>
          <w:sz w:val="24"/>
          <w:highlight w:val="none"/>
        </w:rPr>
        <w:t>7.3.6可享受中小企业扶持政策的供应商应按照采购文件格式要求提供《中小企业声明函》，供应商提供的《中小企业声明函》与实际情况不符的，供应商未按采购文件要求提供国家确定的认证机构出具的、处于有效期之内的产品认证证书的，不享受中小企业扶持政策。声明内容不实的，属于提供虚假材料谋取中标、成交的，依法承担法律责任。</w:t>
      </w:r>
    </w:p>
    <w:p w14:paraId="7431D8DE">
      <w:pPr>
        <w:spacing w:line="440" w:lineRule="exact"/>
        <w:rPr>
          <w:rFonts w:ascii="宋体" w:hAnsi="宋体" w:cs="宋体"/>
          <w:color w:val="auto"/>
          <w:sz w:val="24"/>
          <w:highlight w:val="none"/>
        </w:rPr>
      </w:pPr>
      <w:r>
        <w:rPr>
          <w:rFonts w:hint="eastAsia" w:ascii="宋体" w:hAnsi="宋体" w:cs="宋体"/>
          <w:color w:val="auto"/>
          <w:sz w:val="24"/>
          <w:highlight w:val="none"/>
        </w:rPr>
        <w:t>7.3.7中小企业享受扶持政策获得政府采购合同的，小微企业不得将合同分包给大中型企业，中型企业不得将合同分包给大型企业。</w:t>
      </w:r>
    </w:p>
    <w:p w14:paraId="660BF265">
      <w:pPr>
        <w:spacing w:line="440" w:lineRule="exact"/>
        <w:rPr>
          <w:rFonts w:ascii="宋体" w:hAnsi="宋体" w:cs="宋体"/>
          <w:color w:val="auto"/>
          <w:sz w:val="24"/>
          <w:highlight w:val="none"/>
        </w:rPr>
      </w:pPr>
      <w:r>
        <w:rPr>
          <w:rFonts w:hint="eastAsia" w:ascii="宋体" w:hAnsi="宋体" w:cs="宋体"/>
          <w:color w:val="auto"/>
          <w:sz w:val="24"/>
          <w:highlight w:val="none"/>
        </w:rPr>
        <w:t>7.4支持创新发展</w:t>
      </w:r>
    </w:p>
    <w:p w14:paraId="00CEEA46">
      <w:pPr>
        <w:spacing w:line="440" w:lineRule="exact"/>
        <w:rPr>
          <w:rFonts w:ascii="宋体" w:hAnsi="宋体" w:cs="宋体"/>
          <w:color w:val="auto"/>
          <w:sz w:val="24"/>
          <w:highlight w:val="none"/>
        </w:rPr>
      </w:pPr>
      <w:r>
        <w:rPr>
          <w:rFonts w:hint="eastAsia" w:ascii="宋体" w:hAnsi="宋体" w:cs="宋体"/>
          <w:color w:val="auto"/>
          <w:sz w:val="24"/>
          <w:highlight w:val="none"/>
        </w:rPr>
        <w:t>7.4.1 采购人优先采购被认定为首台套产品和“制造精品”的自主创新产品。</w:t>
      </w:r>
    </w:p>
    <w:p w14:paraId="48D7A249">
      <w:pPr>
        <w:spacing w:line="440" w:lineRule="exact"/>
        <w:rPr>
          <w:rFonts w:ascii="宋体" w:hAnsi="宋体" w:cs="宋体"/>
          <w:color w:val="auto"/>
          <w:sz w:val="24"/>
          <w:highlight w:val="none"/>
        </w:rPr>
      </w:pPr>
      <w:r>
        <w:rPr>
          <w:rFonts w:hint="eastAsia" w:ascii="宋体" w:hAnsi="宋体" w:cs="宋体"/>
          <w:color w:val="auto"/>
          <w:sz w:val="24"/>
          <w:highlight w:val="none"/>
        </w:rPr>
        <w:t>7.4.2首台套产品被纳入《首台套产品推广应用指导目录》之日起3年内，以及产品核心技术高于国内领先水平，并具有明晰自主知识产权的“制造精品”产品，自认定之日起3年内视同已具备相应销售业绩，参加政府采购活动时业绩分值为满分。</w:t>
      </w:r>
    </w:p>
    <w:p w14:paraId="4C01C676">
      <w:pPr>
        <w:spacing w:line="440" w:lineRule="exact"/>
        <w:rPr>
          <w:rFonts w:ascii="宋体" w:hAnsi="宋体" w:cs="宋体"/>
          <w:color w:val="auto"/>
          <w:sz w:val="24"/>
          <w:highlight w:val="none"/>
        </w:rPr>
      </w:pPr>
      <w:r>
        <w:rPr>
          <w:rFonts w:hint="eastAsia" w:ascii="宋体" w:hAnsi="宋体" w:cs="宋体"/>
          <w:color w:val="auto"/>
          <w:sz w:val="24"/>
          <w:highlight w:val="none"/>
        </w:rPr>
        <w:t>7.5中小企业信用融资：为支持和促进中小企业发展，进一步发挥政府采购政策功能， 省财政厅、浙江银监局、省金融办制定了《浙江省政府采购支持中小企业信用融资试点办法》浙财采监[2012]13号)，所称的政府采购信用融资，是指银行业金融机构(以下简称银行)以政府采购诚信考核和信用审查为基础，凭借政府采购合同，按优于一般中小企业的贷款利率直接向申请贷款的投标人发放贷款的一种融资方式。投标人可登录浙江政府采购(https://zfcg.czt.zj.gov.cn)的中小企业信用融资栏目了解相关信息。 供应商可以通过浙江政府采购网(https://zfcg. czt.zj. gov.cn/)首页的“浙江政采贷”模块进入申请，还可以通过政府采购云平台(https://wwwzcygov.cn/)首页的“金融服务”模块进入申请。</w:t>
      </w:r>
    </w:p>
    <w:p w14:paraId="493A506C">
      <w:pPr>
        <w:spacing w:line="440" w:lineRule="exact"/>
        <w:rPr>
          <w:rFonts w:ascii="宋体" w:hAnsi="宋体" w:cs="宋体"/>
          <w:b/>
          <w:color w:val="auto"/>
          <w:sz w:val="24"/>
          <w:highlight w:val="none"/>
        </w:rPr>
      </w:pPr>
      <w:r>
        <w:rPr>
          <w:rFonts w:hint="eastAsia" w:ascii="宋体" w:hAnsi="宋体" w:cs="宋体"/>
          <w:b/>
          <w:color w:val="auto"/>
          <w:sz w:val="24"/>
          <w:highlight w:val="none"/>
        </w:rPr>
        <w:t>（三）招标方式</w:t>
      </w:r>
    </w:p>
    <w:p w14:paraId="694E861D">
      <w:pPr>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本次招标采用公开招标方式进行。</w:t>
      </w:r>
    </w:p>
    <w:p w14:paraId="281120F6">
      <w:pPr>
        <w:spacing w:line="440" w:lineRule="exact"/>
        <w:rPr>
          <w:rFonts w:ascii="宋体" w:hAnsi="宋体" w:cs="宋体"/>
          <w:b/>
          <w:color w:val="auto"/>
          <w:sz w:val="24"/>
          <w:highlight w:val="none"/>
        </w:rPr>
      </w:pPr>
      <w:r>
        <w:rPr>
          <w:rFonts w:hint="eastAsia" w:ascii="宋体" w:hAnsi="宋体" w:cs="宋体"/>
          <w:b/>
          <w:color w:val="auto"/>
          <w:sz w:val="24"/>
          <w:highlight w:val="none"/>
        </w:rPr>
        <w:t>（四）投标委托</w:t>
      </w:r>
    </w:p>
    <w:p w14:paraId="4950CC32">
      <w:pPr>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如投标人代表不是法定代表人，须有法定代表人出具的授权委托书，委托代理人必须为投标人的在职正式职工（以投标人本单位缴纳社保花名册为准）。</w:t>
      </w:r>
    </w:p>
    <w:p w14:paraId="15C9B6C0">
      <w:pPr>
        <w:spacing w:line="440" w:lineRule="exact"/>
        <w:rPr>
          <w:rFonts w:ascii="宋体" w:hAnsi="宋体" w:cs="宋体"/>
          <w:b/>
          <w:color w:val="auto"/>
          <w:sz w:val="24"/>
          <w:highlight w:val="none"/>
        </w:rPr>
      </w:pPr>
      <w:r>
        <w:rPr>
          <w:rFonts w:hint="eastAsia" w:ascii="宋体" w:hAnsi="宋体" w:cs="宋体"/>
          <w:b/>
          <w:color w:val="auto"/>
          <w:sz w:val="24"/>
          <w:highlight w:val="none"/>
        </w:rPr>
        <w:t>▲（五）投标费用</w:t>
      </w:r>
    </w:p>
    <w:p w14:paraId="2C7E9E95">
      <w:pPr>
        <w:widowControl/>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sz w:val="24"/>
          <w:highlight w:val="none"/>
        </w:rPr>
        <w:t>不论投标结果如何，投标人均应自行承担所有与投标有关的全部费用（招标文件有相反规定除外）。</w:t>
      </w:r>
      <w:r>
        <w:rPr>
          <w:rFonts w:hint="eastAsia" w:ascii="宋体" w:hAnsi="宋体"/>
          <w:color w:val="auto"/>
          <w:sz w:val="24"/>
          <w:highlight w:val="none"/>
        </w:rPr>
        <w:t>中标人须在在中标结果公示结束之日起3天内（领取中标通知书前）向招标代理机构交纳中标服务费，中标服务费按以下标准计算收取（以预算金额为基数）。</w:t>
      </w:r>
    </w:p>
    <w:p w14:paraId="2A2E3FB9">
      <w:pPr>
        <w:widowControl/>
        <w:spacing w:line="360" w:lineRule="auto"/>
        <w:ind w:firstLine="2650" w:firstLineChars="1100"/>
        <w:rPr>
          <w:rFonts w:ascii="宋体" w:hAnsi="宋体"/>
          <w:color w:val="auto"/>
          <w:kern w:val="0"/>
          <w:sz w:val="24"/>
          <w:highlight w:val="none"/>
        </w:rPr>
      </w:pPr>
      <w:r>
        <w:rPr>
          <w:rFonts w:ascii="宋体" w:hAnsi="宋体"/>
          <w:b/>
          <w:bCs/>
          <w:color w:val="auto"/>
          <w:kern w:val="0"/>
          <w:sz w:val="24"/>
          <w:highlight w:val="none"/>
        </w:rPr>
        <w:t>招标代理服务收费标准</w:t>
      </w:r>
    </w:p>
    <w:tbl>
      <w:tblPr>
        <w:tblStyle w:val="23"/>
        <w:tblW w:w="5009" w:type="pct"/>
        <w:jc w:val="center"/>
        <w:tblLayout w:type="autofit"/>
        <w:tblCellMar>
          <w:top w:w="0" w:type="dxa"/>
          <w:left w:w="0" w:type="dxa"/>
          <w:bottom w:w="0" w:type="dxa"/>
          <w:right w:w="0" w:type="dxa"/>
        </w:tblCellMar>
      </w:tblPr>
      <w:tblGrid>
        <w:gridCol w:w="3813"/>
        <w:gridCol w:w="5346"/>
      </w:tblGrid>
      <w:tr w14:paraId="44AEC4A6">
        <w:tblPrEx>
          <w:tblCellMar>
            <w:top w:w="0" w:type="dxa"/>
            <w:left w:w="0" w:type="dxa"/>
            <w:bottom w:w="0" w:type="dxa"/>
            <w:right w:w="0" w:type="dxa"/>
          </w:tblCellMar>
        </w:tblPrEx>
        <w:trPr>
          <w:trHeight w:val="419" w:hRule="atLeast"/>
          <w:jc w:val="center"/>
        </w:trPr>
        <w:tc>
          <w:tcPr>
            <w:tcW w:w="2081" w:type="pct"/>
            <w:tcBorders>
              <w:top w:val="single" w:color="auto" w:sz="6" w:space="0"/>
              <w:left w:val="single" w:color="auto" w:sz="6" w:space="0"/>
              <w:bottom w:val="single" w:color="auto" w:sz="6" w:space="0"/>
              <w:right w:val="single" w:color="auto" w:sz="6" w:space="0"/>
            </w:tcBorders>
            <w:vAlign w:val="center"/>
          </w:tcPr>
          <w:p w14:paraId="4F966F2D">
            <w:pPr>
              <w:spacing w:line="300" w:lineRule="exact"/>
              <w:rPr>
                <w:rFonts w:ascii="宋体" w:hAnsi="宋体"/>
                <w:b/>
                <w:color w:val="auto"/>
                <w:sz w:val="24"/>
                <w:highlight w:val="none"/>
              </w:rPr>
            </w:pPr>
            <w:r>
              <w:rPr>
                <w:rFonts w:hint="eastAsia" w:ascii="宋体" w:hAnsi="宋体"/>
                <w:b/>
                <w:color w:val="auto"/>
                <w:sz w:val="24"/>
                <w:highlight w:val="none"/>
              </w:rPr>
              <w:t xml:space="preserve">      中标金额（万元）</w:t>
            </w:r>
          </w:p>
        </w:tc>
        <w:tc>
          <w:tcPr>
            <w:tcW w:w="2918" w:type="pct"/>
            <w:tcBorders>
              <w:top w:val="single" w:color="auto" w:sz="6" w:space="0"/>
              <w:left w:val="single" w:color="auto" w:sz="6" w:space="0"/>
              <w:bottom w:val="single" w:color="auto" w:sz="6" w:space="0"/>
              <w:right w:val="single" w:color="auto" w:sz="6" w:space="0"/>
            </w:tcBorders>
            <w:vAlign w:val="center"/>
          </w:tcPr>
          <w:p w14:paraId="438A50D4">
            <w:pPr>
              <w:spacing w:line="300" w:lineRule="exact"/>
              <w:jc w:val="center"/>
              <w:rPr>
                <w:rFonts w:ascii="宋体" w:hAnsi="宋体"/>
                <w:b/>
                <w:color w:val="auto"/>
                <w:sz w:val="24"/>
                <w:highlight w:val="none"/>
              </w:rPr>
            </w:pPr>
            <w:r>
              <w:rPr>
                <w:rFonts w:hint="eastAsia" w:ascii="宋体" w:hAnsi="宋体"/>
                <w:b/>
                <w:color w:val="auto"/>
                <w:sz w:val="24"/>
                <w:highlight w:val="none"/>
              </w:rPr>
              <w:t>服务招标</w:t>
            </w:r>
          </w:p>
        </w:tc>
      </w:tr>
      <w:tr w14:paraId="1C20AD5C">
        <w:tblPrEx>
          <w:tblCellMar>
            <w:top w:w="0" w:type="dxa"/>
            <w:left w:w="0" w:type="dxa"/>
            <w:bottom w:w="0" w:type="dxa"/>
            <w:right w:w="0" w:type="dxa"/>
          </w:tblCellMar>
        </w:tblPrEx>
        <w:trPr>
          <w:trHeight w:val="411" w:hRule="atLeast"/>
          <w:jc w:val="center"/>
        </w:trPr>
        <w:tc>
          <w:tcPr>
            <w:tcW w:w="2081" w:type="pct"/>
            <w:tcBorders>
              <w:top w:val="single" w:color="auto" w:sz="6" w:space="0"/>
              <w:left w:val="single" w:color="auto" w:sz="6" w:space="0"/>
              <w:bottom w:val="single" w:color="auto" w:sz="6" w:space="0"/>
              <w:right w:val="single" w:color="auto" w:sz="6" w:space="0"/>
            </w:tcBorders>
            <w:vAlign w:val="center"/>
          </w:tcPr>
          <w:p w14:paraId="5C677062">
            <w:pPr>
              <w:spacing w:line="300" w:lineRule="exact"/>
              <w:ind w:firstLine="204" w:firstLineChars="85"/>
              <w:jc w:val="center"/>
              <w:rPr>
                <w:rFonts w:ascii="宋体" w:hAnsi="宋体"/>
                <w:color w:val="auto"/>
                <w:sz w:val="24"/>
                <w:highlight w:val="none"/>
              </w:rPr>
            </w:pPr>
            <w:r>
              <w:rPr>
                <w:rFonts w:hint="eastAsia" w:ascii="宋体" w:hAnsi="宋体"/>
                <w:color w:val="auto"/>
                <w:sz w:val="24"/>
                <w:highlight w:val="none"/>
              </w:rPr>
              <w:t>100以下</w:t>
            </w:r>
          </w:p>
        </w:tc>
        <w:tc>
          <w:tcPr>
            <w:tcW w:w="2918" w:type="pct"/>
            <w:tcBorders>
              <w:top w:val="single" w:color="auto" w:sz="6" w:space="0"/>
              <w:left w:val="single" w:color="auto" w:sz="6" w:space="0"/>
              <w:bottom w:val="single" w:color="auto" w:sz="6" w:space="0"/>
              <w:right w:val="single" w:color="auto" w:sz="6" w:space="0"/>
            </w:tcBorders>
            <w:vAlign w:val="center"/>
          </w:tcPr>
          <w:p w14:paraId="0CABA634">
            <w:pPr>
              <w:spacing w:line="300" w:lineRule="exact"/>
              <w:jc w:val="center"/>
              <w:rPr>
                <w:rFonts w:ascii="宋体" w:hAnsi="宋体"/>
                <w:color w:val="auto"/>
                <w:sz w:val="24"/>
                <w:highlight w:val="none"/>
              </w:rPr>
            </w:pPr>
            <w:r>
              <w:rPr>
                <w:rFonts w:hint="eastAsia" w:ascii="宋体" w:hAnsi="宋体"/>
                <w:color w:val="auto"/>
                <w:sz w:val="24"/>
                <w:highlight w:val="none"/>
              </w:rPr>
              <w:t>1.5％</w:t>
            </w:r>
          </w:p>
        </w:tc>
      </w:tr>
      <w:tr w14:paraId="21388FFF">
        <w:tblPrEx>
          <w:tblCellMar>
            <w:top w:w="0" w:type="dxa"/>
            <w:left w:w="0" w:type="dxa"/>
            <w:bottom w:w="0" w:type="dxa"/>
            <w:right w:w="0" w:type="dxa"/>
          </w:tblCellMar>
        </w:tblPrEx>
        <w:trPr>
          <w:trHeight w:val="418" w:hRule="atLeast"/>
          <w:jc w:val="center"/>
        </w:trPr>
        <w:tc>
          <w:tcPr>
            <w:tcW w:w="2081" w:type="pct"/>
            <w:tcBorders>
              <w:top w:val="single" w:color="auto" w:sz="6" w:space="0"/>
              <w:left w:val="single" w:color="auto" w:sz="6" w:space="0"/>
              <w:bottom w:val="single" w:color="auto" w:sz="6" w:space="0"/>
              <w:right w:val="single" w:color="auto" w:sz="6" w:space="0"/>
            </w:tcBorders>
            <w:vAlign w:val="center"/>
          </w:tcPr>
          <w:p w14:paraId="1CBC3384">
            <w:pPr>
              <w:spacing w:line="300" w:lineRule="exact"/>
              <w:ind w:firstLine="204" w:firstLineChars="85"/>
              <w:jc w:val="center"/>
              <w:rPr>
                <w:rFonts w:ascii="宋体" w:hAnsi="宋体"/>
                <w:color w:val="auto"/>
                <w:sz w:val="24"/>
                <w:highlight w:val="none"/>
              </w:rPr>
            </w:pPr>
            <w:r>
              <w:rPr>
                <w:rFonts w:hint="eastAsia" w:ascii="宋体" w:hAnsi="宋体"/>
                <w:color w:val="auto"/>
                <w:sz w:val="24"/>
                <w:highlight w:val="none"/>
              </w:rPr>
              <w:t>100—500</w:t>
            </w:r>
          </w:p>
        </w:tc>
        <w:tc>
          <w:tcPr>
            <w:tcW w:w="2918" w:type="pct"/>
            <w:tcBorders>
              <w:top w:val="single" w:color="auto" w:sz="6" w:space="0"/>
              <w:left w:val="single" w:color="auto" w:sz="6" w:space="0"/>
              <w:bottom w:val="single" w:color="auto" w:sz="6" w:space="0"/>
              <w:right w:val="single" w:color="auto" w:sz="6" w:space="0"/>
            </w:tcBorders>
            <w:vAlign w:val="center"/>
          </w:tcPr>
          <w:p w14:paraId="0D7B8CF8">
            <w:pPr>
              <w:spacing w:line="300" w:lineRule="exact"/>
              <w:jc w:val="center"/>
              <w:rPr>
                <w:rFonts w:ascii="宋体" w:hAnsi="宋体"/>
                <w:color w:val="auto"/>
                <w:sz w:val="24"/>
                <w:highlight w:val="none"/>
              </w:rPr>
            </w:pPr>
            <w:r>
              <w:rPr>
                <w:rFonts w:hint="eastAsia" w:ascii="宋体" w:hAnsi="宋体"/>
                <w:color w:val="auto"/>
                <w:sz w:val="24"/>
                <w:highlight w:val="none"/>
              </w:rPr>
              <w:t>0.8％</w:t>
            </w:r>
          </w:p>
        </w:tc>
      </w:tr>
    </w:tbl>
    <w:p w14:paraId="4D51295E">
      <w:pPr>
        <w:pStyle w:val="12"/>
        <w:snapToGrid w:val="0"/>
        <w:spacing w:line="360" w:lineRule="auto"/>
        <w:ind w:firstLine="420"/>
        <w:rPr>
          <w:rFonts w:hAnsi="宋体" w:cs="宋体"/>
          <w:color w:val="auto"/>
          <w:highlight w:val="none"/>
        </w:rPr>
      </w:pPr>
      <w:r>
        <w:rPr>
          <w:rFonts w:hint="eastAsia" w:hAnsi="宋体" w:cs="宋体"/>
          <w:color w:val="auto"/>
          <w:highlight w:val="none"/>
        </w:rPr>
        <w:t>金华正达工程造价咨询有限公司东阳分公司</w:t>
      </w:r>
    </w:p>
    <w:p w14:paraId="451D13FB">
      <w:pPr>
        <w:pStyle w:val="12"/>
        <w:snapToGrid w:val="0"/>
        <w:spacing w:before="120" w:after="120" w:line="360" w:lineRule="auto"/>
        <w:ind w:firstLine="480" w:firstLineChars="200"/>
        <w:rPr>
          <w:rFonts w:hAnsi="宋体" w:cs="宋体"/>
          <w:color w:val="auto"/>
          <w:highlight w:val="none"/>
        </w:rPr>
      </w:pPr>
      <w:r>
        <w:rPr>
          <w:rFonts w:hint="eastAsia" w:hAnsi="宋体" w:cs="宋体"/>
          <w:color w:val="auto"/>
          <w:highlight w:val="none"/>
        </w:rPr>
        <w:t>银行账号：201000270851026</w:t>
      </w:r>
    </w:p>
    <w:p w14:paraId="1A5786C6">
      <w:pPr>
        <w:pStyle w:val="12"/>
        <w:snapToGrid w:val="0"/>
        <w:spacing w:before="120" w:after="120" w:line="360" w:lineRule="auto"/>
        <w:ind w:firstLine="480" w:firstLineChars="200"/>
        <w:rPr>
          <w:rFonts w:hAnsi="宋体" w:cs="宋体"/>
          <w:b/>
          <w:color w:val="auto"/>
          <w:highlight w:val="none"/>
        </w:rPr>
      </w:pPr>
      <w:r>
        <w:rPr>
          <w:rFonts w:hint="eastAsia" w:hAnsi="宋体" w:cs="宋体"/>
          <w:color w:val="auto"/>
          <w:highlight w:val="none"/>
        </w:rPr>
        <w:t>开户银行：浙江东阳农村商业银行股份有限公司吴宁支行</w:t>
      </w:r>
    </w:p>
    <w:p w14:paraId="1AB78565">
      <w:pPr>
        <w:spacing w:line="440" w:lineRule="exact"/>
        <w:rPr>
          <w:rFonts w:ascii="宋体" w:hAnsi="宋体" w:cs="宋体"/>
          <w:color w:val="auto"/>
          <w:sz w:val="24"/>
          <w:highlight w:val="none"/>
        </w:rPr>
      </w:pPr>
      <w:r>
        <w:rPr>
          <w:rFonts w:hint="eastAsia" w:ascii="宋体" w:hAnsi="宋体" w:cs="宋体"/>
          <w:b/>
          <w:color w:val="auto"/>
          <w:sz w:val="24"/>
          <w:highlight w:val="none"/>
        </w:rPr>
        <w:t>（六）联合体投标</w:t>
      </w:r>
      <w:r>
        <w:rPr>
          <w:rFonts w:hint="eastAsia" w:ascii="宋体" w:hAnsi="宋体" w:cs="宋体"/>
          <w:b/>
          <w:color w:val="auto"/>
          <w:sz w:val="24"/>
          <w:highlight w:val="none"/>
        </w:rPr>
        <w:tab/>
      </w:r>
    </w:p>
    <w:p w14:paraId="6A260CC5">
      <w:pPr>
        <w:spacing w:line="440" w:lineRule="exact"/>
        <w:ind w:firstLine="240" w:firstLineChars="100"/>
        <w:rPr>
          <w:rFonts w:ascii="宋体" w:hAnsi="宋体" w:cs="宋体"/>
          <w:color w:val="auto"/>
          <w:kern w:val="0"/>
          <w:sz w:val="24"/>
          <w:highlight w:val="none"/>
        </w:rPr>
      </w:pPr>
      <w:r>
        <w:rPr>
          <w:rFonts w:hint="eastAsia" w:ascii="宋体" w:hAnsi="宋体" w:cs="宋体"/>
          <w:color w:val="auto"/>
          <w:kern w:val="0"/>
          <w:sz w:val="24"/>
          <w:highlight w:val="none"/>
        </w:rPr>
        <w:t>本项目（是）接受联合体投标。</w:t>
      </w:r>
    </w:p>
    <w:p w14:paraId="307CB7E9">
      <w:pPr>
        <w:spacing w:line="440" w:lineRule="exact"/>
        <w:rPr>
          <w:rFonts w:ascii="宋体" w:hAnsi="宋体" w:cs="宋体"/>
          <w:b/>
          <w:color w:val="auto"/>
          <w:kern w:val="0"/>
          <w:sz w:val="24"/>
          <w:highlight w:val="none"/>
        </w:rPr>
      </w:pPr>
      <w:r>
        <w:rPr>
          <w:rFonts w:hint="eastAsia" w:ascii="宋体" w:hAnsi="宋体" w:cs="宋体"/>
          <w:b/>
          <w:color w:val="auto"/>
          <w:sz w:val="24"/>
          <w:highlight w:val="none"/>
        </w:rPr>
        <w:t>（七）</w:t>
      </w:r>
      <w:r>
        <w:rPr>
          <w:rFonts w:hint="eastAsia" w:ascii="宋体" w:hAnsi="宋体" w:cs="宋体"/>
          <w:b/>
          <w:color w:val="auto"/>
          <w:kern w:val="0"/>
          <w:sz w:val="24"/>
          <w:highlight w:val="none"/>
        </w:rPr>
        <w:t>转包与分包</w:t>
      </w:r>
    </w:p>
    <w:p w14:paraId="0D71D79E">
      <w:pPr>
        <w:spacing w:line="440" w:lineRule="exact"/>
        <w:ind w:firstLine="240" w:firstLineChars="100"/>
        <w:rPr>
          <w:rFonts w:ascii="宋体" w:hAnsi="宋体" w:cs="宋体"/>
          <w:color w:val="auto"/>
          <w:kern w:val="0"/>
          <w:sz w:val="24"/>
          <w:highlight w:val="none"/>
        </w:rPr>
      </w:pPr>
      <w:r>
        <w:rPr>
          <w:rFonts w:hint="eastAsia" w:ascii="宋体" w:hAnsi="宋体" w:cs="宋体"/>
          <w:color w:val="auto"/>
          <w:kern w:val="0"/>
          <w:sz w:val="24"/>
          <w:highlight w:val="none"/>
        </w:rPr>
        <w:t>1.本项目不允许转包。</w:t>
      </w:r>
    </w:p>
    <w:p w14:paraId="10DE0766">
      <w:pPr>
        <w:spacing w:line="440" w:lineRule="exact"/>
        <w:ind w:firstLine="240" w:firstLineChars="100"/>
        <w:rPr>
          <w:rFonts w:ascii="宋体" w:hAnsi="宋体" w:cs="宋体"/>
          <w:color w:val="auto"/>
          <w:kern w:val="0"/>
          <w:sz w:val="24"/>
          <w:highlight w:val="none"/>
        </w:rPr>
      </w:pPr>
      <w:r>
        <w:rPr>
          <w:rFonts w:hint="eastAsia" w:ascii="宋体" w:hAnsi="宋体" w:cs="宋体"/>
          <w:color w:val="auto"/>
          <w:kern w:val="0"/>
          <w:sz w:val="24"/>
          <w:highlight w:val="none"/>
        </w:rPr>
        <w:t>2.本项目允许分包。</w:t>
      </w:r>
    </w:p>
    <w:p w14:paraId="17A16729">
      <w:pPr>
        <w:spacing w:line="440" w:lineRule="exact"/>
        <w:rPr>
          <w:rFonts w:ascii="宋体" w:hAnsi="宋体" w:cs="宋体"/>
          <w:b/>
          <w:bCs/>
          <w:color w:val="auto"/>
          <w:sz w:val="24"/>
          <w:highlight w:val="none"/>
        </w:rPr>
      </w:pPr>
      <w:r>
        <w:rPr>
          <w:rFonts w:hint="eastAsia" w:ascii="宋体" w:hAnsi="宋体" w:cs="宋体"/>
          <w:color w:val="auto"/>
          <w:sz w:val="24"/>
          <w:highlight w:val="none"/>
        </w:rPr>
        <w:t>▲</w:t>
      </w:r>
      <w:r>
        <w:rPr>
          <w:rFonts w:hint="eastAsia" w:ascii="宋体" w:hAnsi="宋体" w:cs="宋体"/>
          <w:b/>
          <w:bCs/>
          <w:color w:val="auto"/>
          <w:sz w:val="24"/>
          <w:highlight w:val="none"/>
        </w:rPr>
        <w:t>（八）特别说明：</w:t>
      </w:r>
    </w:p>
    <w:p w14:paraId="70D403D0">
      <w:pPr>
        <w:spacing w:line="440" w:lineRule="exact"/>
        <w:rPr>
          <w:rFonts w:ascii="宋体" w:hAnsi="宋体" w:cs="宋体"/>
          <w:color w:val="auto"/>
          <w:sz w:val="24"/>
          <w:highlight w:val="none"/>
        </w:rPr>
      </w:pPr>
      <w:r>
        <w:rPr>
          <w:rFonts w:hint="eastAsia" w:ascii="宋体" w:hAnsi="宋体" w:cs="宋体"/>
          <w:color w:val="auto"/>
          <w:sz w:val="24"/>
          <w:highlight w:val="none"/>
        </w:rPr>
        <w:t>1.多家供应商参加投标，如其中两家或两家以上供应商的法定代表人为同一人或相互之间存在投资关系且达到控股的，应当按一个供应商认定。</w:t>
      </w:r>
    </w:p>
    <w:p w14:paraId="5BCF756F">
      <w:pPr>
        <w:spacing w:line="440" w:lineRule="exact"/>
        <w:rPr>
          <w:rFonts w:ascii="宋体" w:hAnsi="宋体" w:cs="宋体"/>
          <w:color w:val="auto"/>
          <w:sz w:val="24"/>
          <w:highlight w:val="none"/>
        </w:rPr>
      </w:pPr>
      <w:r>
        <w:rPr>
          <w:rFonts w:hint="eastAsia" w:ascii="宋体" w:hAnsi="宋体" w:cs="宋体"/>
          <w:color w:val="auto"/>
          <w:sz w:val="24"/>
          <w:highlight w:val="none"/>
        </w:rPr>
        <w:t>2.投标人投标所使用的资格、信誉、荣誉与企业认证必须为本法人所拥有。投标人投标所使用的采购项目实施人员必须为本法人员工（或必须为本法人或控股公司正式员工）。</w:t>
      </w:r>
    </w:p>
    <w:p w14:paraId="5BAD7919">
      <w:pPr>
        <w:spacing w:line="440" w:lineRule="exact"/>
        <w:rPr>
          <w:rFonts w:ascii="宋体" w:hAnsi="宋体" w:cs="宋体"/>
          <w:color w:val="auto"/>
          <w:sz w:val="24"/>
          <w:highlight w:val="none"/>
        </w:rPr>
      </w:pPr>
      <w:r>
        <w:rPr>
          <w:rFonts w:hint="eastAsia" w:ascii="宋体" w:hAnsi="宋体" w:cs="宋体"/>
          <w:color w:val="auto"/>
          <w:sz w:val="24"/>
          <w:highlight w:val="none"/>
        </w:rPr>
        <w:t>3.投标人应仔细阅读招标文件的所有内容，按照招标文件的要求提交投标文件，并对所提供的全部资料的真实性承担法律责任。</w:t>
      </w:r>
    </w:p>
    <w:p w14:paraId="620F9982">
      <w:pPr>
        <w:spacing w:line="440" w:lineRule="exact"/>
        <w:rPr>
          <w:rFonts w:ascii="宋体" w:hAnsi="宋体" w:cs="宋体"/>
          <w:color w:val="auto"/>
          <w:sz w:val="24"/>
          <w:highlight w:val="none"/>
        </w:rPr>
      </w:pPr>
      <w:r>
        <w:rPr>
          <w:rFonts w:hint="eastAsia" w:ascii="宋体" w:hAnsi="宋体" w:cs="宋体"/>
          <w:color w:val="auto"/>
          <w:sz w:val="24"/>
          <w:highlight w:val="none"/>
        </w:rPr>
        <w:t>4.投标人在投标活动中提供任何虚假材料,其投标无效，并报监管部门查处；中标后发现的,中标人须依照《中华人民共和国消费者权益保护法》第49条之规定，按中标价双倍赔偿采购人，且民事赔偿并不免除违法投标人的行政与刑事责任。</w:t>
      </w:r>
    </w:p>
    <w:p w14:paraId="3954C723">
      <w:pPr>
        <w:spacing w:line="440" w:lineRule="exact"/>
        <w:rPr>
          <w:rFonts w:ascii="宋体" w:hAnsi="宋体" w:cs="宋体"/>
          <w:color w:val="auto"/>
          <w:sz w:val="24"/>
          <w:highlight w:val="none"/>
        </w:rPr>
      </w:pPr>
      <w:r>
        <w:rPr>
          <w:rFonts w:hint="eastAsia" w:ascii="宋体" w:hAnsi="宋体" w:cs="宋体"/>
          <w:color w:val="auto"/>
          <w:sz w:val="24"/>
          <w:highlight w:val="none"/>
        </w:rPr>
        <w:t>5. 评标委员会认为预中标人的投标报价明显低于其他通过符合性审查投标人的报价，有可能影响产品质量或者不能诚信履约的，应当要求其在评标现场合理的时间内提供书面说明，必要时提交相关证明材料，预中标人不能证明其报价合理性的，评标委员会应当将其作为无效投标处理。</w:t>
      </w:r>
    </w:p>
    <w:p w14:paraId="2604A658">
      <w:pPr>
        <w:spacing w:line="440" w:lineRule="exact"/>
        <w:rPr>
          <w:rFonts w:ascii="宋体" w:hAnsi="宋体" w:cs="宋体"/>
          <w:color w:val="auto"/>
          <w:sz w:val="24"/>
          <w:highlight w:val="none"/>
        </w:rPr>
      </w:pPr>
      <w:r>
        <w:rPr>
          <w:rFonts w:hint="eastAsia" w:ascii="宋体" w:hAnsi="宋体" w:cs="宋体"/>
          <w:color w:val="auto"/>
          <w:sz w:val="24"/>
          <w:highlight w:val="none"/>
        </w:rPr>
        <w:t>6. 招标方不保证最低报价者为中标方。</w:t>
      </w:r>
    </w:p>
    <w:p w14:paraId="4924A601">
      <w:pPr>
        <w:spacing w:line="440" w:lineRule="exact"/>
        <w:rPr>
          <w:rFonts w:ascii="宋体" w:hAnsi="宋体" w:cs="宋体"/>
          <w:color w:val="auto"/>
          <w:sz w:val="24"/>
          <w:highlight w:val="none"/>
        </w:rPr>
      </w:pPr>
      <w:r>
        <w:rPr>
          <w:rFonts w:hint="eastAsia" w:ascii="宋体" w:hAnsi="宋体" w:cs="宋体"/>
          <w:color w:val="auto"/>
          <w:sz w:val="24"/>
          <w:highlight w:val="none"/>
        </w:rPr>
        <w:t>7. 为维护国家利益及招标方自身利益，允许招标方在合同签订之前仍有选择或拒绝任何或全部投标的权力。</w:t>
      </w:r>
    </w:p>
    <w:p w14:paraId="1F0FE3CF">
      <w:pPr>
        <w:spacing w:line="440" w:lineRule="exact"/>
        <w:rPr>
          <w:rFonts w:ascii="宋体" w:hAnsi="宋体" w:cs="宋体"/>
          <w:color w:val="auto"/>
          <w:sz w:val="24"/>
          <w:highlight w:val="none"/>
        </w:rPr>
      </w:pPr>
      <w:r>
        <w:rPr>
          <w:rFonts w:hint="eastAsia" w:ascii="宋体" w:hAnsi="宋体" w:cs="宋体"/>
          <w:color w:val="auto"/>
          <w:sz w:val="24"/>
          <w:highlight w:val="none"/>
        </w:rPr>
        <w:t>8.“政采云”平台运营机构，以及与该机构有直接控股或者管理关系可能影响采购公正性的任何单位和个人，不得在该平台进行的政府采购项目电子交易中投标、响应政府采购项目。</w:t>
      </w:r>
    </w:p>
    <w:p w14:paraId="39C08271">
      <w:pPr>
        <w:spacing w:line="440" w:lineRule="exact"/>
        <w:rPr>
          <w:rFonts w:ascii="宋体" w:hAnsi="宋体" w:cs="宋体"/>
          <w:b/>
          <w:bCs/>
          <w:color w:val="auto"/>
          <w:sz w:val="24"/>
          <w:highlight w:val="none"/>
        </w:rPr>
      </w:pPr>
      <w:r>
        <w:rPr>
          <w:rFonts w:hint="eastAsia" w:ascii="宋体" w:hAnsi="宋体" w:cs="宋体"/>
          <w:b/>
          <w:bCs/>
          <w:color w:val="auto"/>
          <w:sz w:val="24"/>
          <w:highlight w:val="none"/>
        </w:rPr>
        <w:t>（九）质疑和投诉</w:t>
      </w:r>
    </w:p>
    <w:p w14:paraId="2EB709FD">
      <w:pPr>
        <w:spacing w:line="440" w:lineRule="exact"/>
        <w:rPr>
          <w:rFonts w:ascii="宋体" w:hAnsi="宋体" w:cs="宋体"/>
          <w:color w:val="auto"/>
          <w:sz w:val="24"/>
          <w:highlight w:val="none"/>
        </w:rPr>
      </w:pPr>
      <w:r>
        <w:rPr>
          <w:rFonts w:hint="eastAsia" w:ascii="宋体" w:hAnsi="宋体" w:cs="宋体"/>
          <w:color w:val="auto"/>
          <w:sz w:val="24"/>
          <w:highlight w:val="none"/>
        </w:rPr>
        <w:t>1.投标人认为招标文件、招标过程或中标结果使自己的合法权益受到损害的，应当在知道或者应知其权益受到损害之日起七个工作日内，以书面形式向采购人、招标方提出质疑。投标人对招标方的质疑答复不满意或者招标方未在规定时间内作出答复的，可以在答复期满后十五个工作日内向同级采购监管部门投诉。</w:t>
      </w:r>
    </w:p>
    <w:p w14:paraId="3AC47534">
      <w:pPr>
        <w:spacing w:line="440" w:lineRule="exact"/>
        <w:rPr>
          <w:rFonts w:ascii="宋体" w:hAnsi="宋体" w:cs="宋体"/>
          <w:color w:val="auto"/>
          <w:sz w:val="24"/>
          <w:highlight w:val="none"/>
        </w:rPr>
      </w:pPr>
      <w:r>
        <w:rPr>
          <w:rFonts w:hint="eastAsia" w:ascii="宋体" w:hAnsi="宋体" w:cs="宋体"/>
          <w:color w:val="auto"/>
          <w:sz w:val="24"/>
          <w:highlight w:val="none"/>
        </w:rPr>
        <w:t>2.质疑、投诉应当采用书面形式，质疑书、投诉书均应明确阐述招标文件、招标过程或中标结果中使自己合法权益受到损害的实质性内容，提供相关事实、依据和证据及其来源或线索，便于有关单位调查、答复和处理。</w:t>
      </w:r>
    </w:p>
    <w:p w14:paraId="11CA01BB">
      <w:pPr>
        <w:spacing w:line="440" w:lineRule="exact"/>
        <w:rPr>
          <w:rFonts w:ascii="宋体" w:hAnsi="宋体" w:cs="宋体"/>
          <w:color w:val="auto"/>
          <w:sz w:val="24"/>
          <w:highlight w:val="none"/>
        </w:rPr>
      </w:pPr>
      <w:r>
        <w:rPr>
          <w:rFonts w:hint="eastAsia" w:ascii="宋体" w:hAnsi="宋体" w:cs="宋体"/>
          <w:color w:val="auto"/>
          <w:sz w:val="24"/>
          <w:highlight w:val="none"/>
        </w:rPr>
        <w:t>3. 采购人、招标方应当按照《浙江省政府采购供应商质疑处理办法》、中华人民共和国财政部第94号令《政府采购质疑和投诉办法》进行受理与答复质疑。</w:t>
      </w:r>
    </w:p>
    <w:p w14:paraId="3EF9726E">
      <w:pPr>
        <w:pStyle w:val="5"/>
        <w:keepNext w:val="0"/>
        <w:keepLines w:val="0"/>
        <w:pageBreakBefore/>
        <w:spacing w:line="360" w:lineRule="auto"/>
        <w:jc w:val="center"/>
        <w:rPr>
          <w:rFonts w:ascii="宋体" w:hAnsi="宋体" w:eastAsia="宋体" w:cs="宋体"/>
          <w:color w:val="auto"/>
          <w:sz w:val="24"/>
          <w:szCs w:val="24"/>
          <w:highlight w:val="none"/>
        </w:rPr>
      </w:pPr>
      <w:bookmarkStart w:id="17" w:name="_Toc24855"/>
      <w:bookmarkStart w:id="18" w:name="_Toc458697268"/>
      <w:bookmarkStart w:id="19" w:name="_Toc454196066"/>
      <w:r>
        <w:rPr>
          <w:rFonts w:hint="eastAsia" w:ascii="宋体" w:hAnsi="宋体" w:eastAsia="宋体" w:cs="宋体"/>
          <w:color w:val="auto"/>
          <w:sz w:val="24"/>
          <w:szCs w:val="24"/>
          <w:highlight w:val="none"/>
        </w:rPr>
        <w:t>二、招标文件</w:t>
      </w:r>
      <w:bookmarkEnd w:id="17"/>
      <w:bookmarkEnd w:id="18"/>
      <w:bookmarkEnd w:id="19"/>
    </w:p>
    <w:p w14:paraId="4E9E60DB">
      <w:pPr>
        <w:spacing w:line="360" w:lineRule="auto"/>
        <w:rPr>
          <w:rFonts w:ascii="宋体" w:hAnsi="宋体" w:cs="宋体"/>
          <w:b/>
          <w:color w:val="auto"/>
          <w:sz w:val="24"/>
          <w:highlight w:val="none"/>
        </w:rPr>
      </w:pPr>
      <w:r>
        <w:rPr>
          <w:rFonts w:hint="eastAsia" w:ascii="宋体" w:hAnsi="宋体" w:cs="宋体"/>
          <w:b/>
          <w:color w:val="auto"/>
          <w:sz w:val="24"/>
          <w:highlight w:val="none"/>
        </w:rPr>
        <w:t>（一）招标文件的构成。本招标文件由以下部分组成：</w:t>
      </w:r>
    </w:p>
    <w:p w14:paraId="1B4644FA">
      <w:pPr>
        <w:spacing w:line="360" w:lineRule="auto"/>
        <w:rPr>
          <w:rFonts w:ascii="宋体" w:hAnsi="宋体" w:cs="宋体"/>
          <w:color w:val="auto"/>
          <w:sz w:val="24"/>
          <w:highlight w:val="none"/>
        </w:rPr>
      </w:pPr>
      <w:r>
        <w:rPr>
          <w:rFonts w:hint="eastAsia" w:ascii="宋体" w:hAnsi="宋体" w:cs="宋体"/>
          <w:color w:val="auto"/>
          <w:sz w:val="24"/>
          <w:highlight w:val="none"/>
        </w:rPr>
        <w:t>1.招标公告</w:t>
      </w:r>
    </w:p>
    <w:p w14:paraId="301BAD73">
      <w:pPr>
        <w:spacing w:line="360" w:lineRule="auto"/>
        <w:rPr>
          <w:rFonts w:ascii="宋体" w:hAnsi="宋体" w:cs="宋体"/>
          <w:color w:val="auto"/>
          <w:sz w:val="24"/>
          <w:highlight w:val="none"/>
        </w:rPr>
      </w:pPr>
      <w:r>
        <w:rPr>
          <w:rFonts w:hint="eastAsia" w:ascii="宋体" w:hAnsi="宋体" w:cs="宋体"/>
          <w:color w:val="auto"/>
          <w:sz w:val="24"/>
          <w:highlight w:val="none"/>
        </w:rPr>
        <w:t>2.招标需求</w:t>
      </w:r>
    </w:p>
    <w:p w14:paraId="6BABB618">
      <w:pPr>
        <w:spacing w:line="360" w:lineRule="auto"/>
        <w:rPr>
          <w:rFonts w:ascii="宋体" w:hAnsi="宋体" w:cs="宋体"/>
          <w:color w:val="auto"/>
          <w:sz w:val="24"/>
          <w:highlight w:val="none"/>
        </w:rPr>
      </w:pPr>
      <w:r>
        <w:rPr>
          <w:rFonts w:hint="eastAsia" w:ascii="宋体" w:hAnsi="宋体" w:cs="宋体"/>
          <w:color w:val="auto"/>
          <w:sz w:val="24"/>
          <w:highlight w:val="none"/>
        </w:rPr>
        <w:t>3.投标人须知</w:t>
      </w:r>
    </w:p>
    <w:p w14:paraId="24707C6D">
      <w:pPr>
        <w:spacing w:line="360" w:lineRule="auto"/>
        <w:rPr>
          <w:rFonts w:ascii="宋体" w:hAnsi="宋体" w:cs="宋体"/>
          <w:color w:val="auto"/>
          <w:sz w:val="24"/>
          <w:highlight w:val="none"/>
        </w:rPr>
      </w:pPr>
      <w:r>
        <w:rPr>
          <w:rFonts w:hint="eastAsia" w:ascii="宋体" w:hAnsi="宋体" w:cs="宋体"/>
          <w:color w:val="auto"/>
          <w:sz w:val="24"/>
          <w:highlight w:val="none"/>
        </w:rPr>
        <w:t>4.评标办法及标准</w:t>
      </w:r>
    </w:p>
    <w:p w14:paraId="56354A4C">
      <w:pPr>
        <w:spacing w:line="360" w:lineRule="auto"/>
        <w:rPr>
          <w:rFonts w:ascii="宋体" w:hAnsi="宋体" w:cs="宋体"/>
          <w:color w:val="auto"/>
          <w:sz w:val="24"/>
          <w:highlight w:val="none"/>
        </w:rPr>
      </w:pPr>
      <w:r>
        <w:rPr>
          <w:rFonts w:hint="eastAsia" w:ascii="宋体" w:hAnsi="宋体" w:cs="宋体"/>
          <w:color w:val="auto"/>
          <w:sz w:val="24"/>
          <w:highlight w:val="none"/>
        </w:rPr>
        <w:t>5.合同主要条款</w:t>
      </w:r>
    </w:p>
    <w:p w14:paraId="5BB9B487">
      <w:pPr>
        <w:spacing w:line="360" w:lineRule="auto"/>
        <w:rPr>
          <w:rFonts w:ascii="宋体" w:hAnsi="宋体" w:cs="宋体"/>
          <w:color w:val="auto"/>
          <w:sz w:val="24"/>
          <w:highlight w:val="none"/>
        </w:rPr>
      </w:pPr>
      <w:r>
        <w:rPr>
          <w:rFonts w:hint="eastAsia" w:ascii="宋体" w:hAnsi="宋体" w:cs="宋体"/>
          <w:color w:val="auto"/>
          <w:sz w:val="24"/>
          <w:highlight w:val="none"/>
        </w:rPr>
        <w:t>6.投标文件格式</w:t>
      </w:r>
    </w:p>
    <w:p w14:paraId="4B995A3D">
      <w:pPr>
        <w:spacing w:line="360" w:lineRule="auto"/>
        <w:rPr>
          <w:rFonts w:ascii="宋体" w:hAnsi="宋体" w:cs="宋体"/>
          <w:color w:val="auto"/>
          <w:sz w:val="24"/>
          <w:highlight w:val="none"/>
        </w:rPr>
      </w:pPr>
      <w:r>
        <w:rPr>
          <w:rFonts w:hint="eastAsia" w:ascii="宋体" w:hAnsi="宋体" w:cs="宋体"/>
          <w:color w:val="auto"/>
          <w:sz w:val="24"/>
          <w:highlight w:val="none"/>
        </w:rPr>
        <w:t>7.本项目招标文件的澄清、答复、修改、补充的内容</w:t>
      </w:r>
    </w:p>
    <w:p w14:paraId="4D943F0F">
      <w:pPr>
        <w:spacing w:line="360" w:lineRule="auto"/>
        <w:rPr>
          <w:rFonts w:ascii="宋体" w:hAnsi="宋体" w:cs="宋体"/>
          <w:b/>
          <w:color w:val="auto"/>
          <w:sz w:val="24"/>
          <w:highlight w:val="none"/>
        </w:rPr>
      </w:pPr>
      <w:r>
        <w:rPr>
          <w:rFonts w:hint="eastAsia" w:ascii="宋体" w:hAnsi="宋体" w:cs="宋体"/>
          <w:b/>
          <w:color w:val="auto"/>
          <w:sz w:val="24"/>
          <w:highlight w:val="none"/>
        </w:rPr>
        <w:t>（二）投标人的风险</w:t>
      </w:r>
    </w:p>
    <w:p w14:paraId="144FC668">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投标人没有按照招标文件要求提供全部资料，或者投标人没有对招标文件在各方面作出实质性响应是投标人的风险，并可能导致其投标被拒绝。</w:t>
      </w:r>
    </w:p>
    <w:p w14:paraId="77212C0D">
      <w:pPr>
        <w:spacing w:line="360" w:lineRule="auto"/>
        <w:rPr>
          <w:rFonts w:ascii="宋体" w:hAnsi="宋体" w:cs="宋体"/>
          <w:b/>
          <w:color w:val="auto"/>
          <w:sz w:val="24"/>
          <w:highlight w:val="none"/>
        </w:rPr>
      </w:pPr>
      <w:r>
        <w:rPr>
          <w:rFonts w:hint="eastAsia" w:ascii="宋体" w:hAnsi="宋体" w:cs="宋体"/>
          <w:b/>
          <w:color w:val="auto"/>
          <w:sz w:val="24"/>
          <w:highlight w:val="none"/>
        </w:rPr>
        <w:t xml:space="preserve">（三）招标文件的澄清与修改 </w:t>
      </w:r>
    </w:p>
    <w:p w14:paraId="7875DDC4">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w:t>
      </w:r>
      <w:r>
        <w:rPr>
          <w:rFonts w:hint="eastAsia" w:ascii="宋体" w:hAnsi="宋体" w:cs="宋体"/>
          <w:bCs/>
          <w:color w:val="auto"/>
          <w:sz w:val="24"/>
          <w:highlight w:val="none"/>
        </w:rPr>
        <w:t>投标人应认真阅读本招标文件，发现其中有误或有不合理要求的，投标人应当按照公开招标公告第三、七条规定以书面形式要求招标方澄清</w:t>
      </w:r>
      <w:r>
        <w:rPr>
          <w:rFonts w:hint="eastAsia" w:ascii="宋体" w:hAnsi="宋体" w:cs="宋体"/>
          <w:color w:val="auto"/>
          <w:sz w:val="24"/>
          <w:highlight w:val="none"/>
        </w:rPr>
        <w:t>。招标方对已发出的招标文件进行必要澄清、答复、修改或补充的，应当在招标文件要求提交投标文件截止时间15日前，在财政部门指定的政府采购信息发布媒体上发布更正公告，并以书面形式通知所有招标文件收受人。</w:t>
      </w:r>
    </w:p>
    <w:p w14:paraId="58C6594D">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2.招标方必须以书面形式答复投标人要求澄清的问题，并将不包含问题来源的答复书面通知所有购买招标文件的投标人；除书面答复以外的其他澄清方式及澄清内容均无效。</w:t>
      </w:r>
    </w:p>
    <w:p w14:paraId="318F623A">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3.招标文件澄清、答复、修改、补充的内容为招标文件的组成部分。当招标文件与招标文件的答复、澄清、修改、补充通知就同一内容的表述不一致时，以最后发出的书面文件为准。</w:t>
      </w:r>
    </w:p>
    <w:p w14:paraId="1CDD4C39">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4.招标文件的澄清、答复、修改或补充都应该通过本招标机构以法定形式发布，采购人非通过本机构，不得擅自澄清、答复、修改或补充招标文件。</w:t>
      </w:r>
    </w:p>
    <w:p w14:paraId="2DE850ED">
      <w:pPr>
        <w:pStyle w:val="5"/>
        <w:keepNext w:val="0"/>
        <w:keepLines w:val="0"/>
        <w:pageBreakBefore/>
        <w:spacing w:line="360" w:lineRule="auto"/>
        <w:jc w:val="center"/>
        <w:rPr>
          <w:rFonts w:ascii="宋体" w:hAnsi="宋体" w:eastAsia="宋体" w:cs="宋体"/>
          <w:color w:val="auto"/>
          <w:sz w:val="24"/>
          <w:szCs w:val="24"/>
          <w:highlight w:val="none"/>
        </w:rPr>
      </w:pPr>
      <w:bookmarkStart w:id="20" w:name="_Toc454196067"/>
      <w:bookmarkStart w:id="21" w:name="_Toc17448"/>
      <w:bookmarkStart w:id="22" w:name="_Toc458697269"/>
      <w:r>
        <w:rPr>
          <w:rFonts w:hint="eastAsia" w:ascii="宋体" w:hAnsi="宋体" w:eastAsia="宋体" w:cs="宋体"/>
          <w:color w:val="auto"/>
          <w:sz w:val="24"/>
          <w:szCs w:val="24"/>
          <w:highlight w:val="none"/>
        </w:rPr>
        <w:t>三、投标文件的编制</w:t>
      </w:r>
      <w:bookmarkEnd w:id="20"/>
      <w:bookmarkEnd w:id="21"/>
      <w:bookmarkEnd w:id="22"/>
    </w:p>
    <w:p w14:paraId="5E3608B5">
      <w:pPr>
        <w:spacing w:line="360" w:lineRule="auto"/>
        <w:rPr>
          <w:rFonts w:ascii="宋体" w:hAnsi="宋体" w:cs="宋体"/>
          <w:b/>
          <w:color w:val="auto"/>
          <w:sz w:val="24"/>
          <w:highlight w:val="none"/>
        </w:rPr>
      </w:pPr>
      <w:r>
        <w:rPr>
          <w:rFonts w:hint="eastAsia" w:ascii="宋体" w:hAnsi="宋体" w:cs="宋体"/>
          <w:b/>
          <w:color w:val="auto"/>
          <w:sz w:val="24"/>
          <w:highlight w:val="none"/>
        </w:rPr>
        <w:t>▲（一）投标文件的组成</w:t>
      </w:r>
    </w:p>
    <w:p w14:paraId="6774BE31">
      <w:pPr>
        <w:spacing w:line="360" w:lineRule="auto"/>
        <w:rPr>
          <w:rFonts w:ascii="宋体" w:hAnsi="宋体" w:cs="宋体"/>
          <w:color w:val="auto"/>
          <w:sz w:val="24"/>
          <w:highlight w:val="none"/>
        </w:rPr>
      </w:pPr>
      <w:r>
        <w:rPr>
          <w:rFonts w:hint="eastAsia" w:ascii="宋体" w:hAnsi="宋体" w:cs="宋体"/>
          <w:color w:val="auto"/>
          <w:sz w:val="24"/>
          <w:highlight w:val="none"/>
        </w:rPr>
        <w:t>投标文件由资格审查文件、商务技术文件、报价文件三部分组成。</w:t>
      </w:r>
    </w:p>
    <w:p w14:paraId="3FD2F04F">
      <w:pPr>
        <w:spacing w:line="360" w:lineRule="auto"/>
        <w:rPr>
          <w:rFonts w:ascii="宋体" w:hAnsi="宋体" w:cs="宋体"/>
          <w:b/>
          <w:color w:val="auto"/>
          <w:sz w:val="24"/>
          <w:highlight w:val="none"/>
        </w:rPr>
      </w:pPr>
      <w:r>
        <w:rPr>
          <w:rFonts w:hint="eastAsia" w:ascii="宋体" w:hAnsi="宋体" w:cs="宋体"/>
          <w:b/>
          <w:color w:val="auto"/>
          <w:sz w:val="24"/>
          <w:highlight w:val="none"/>
        </w:rPr>
        <w:t>1.资格审查文件：</w:t>
      </w:r>
    </w:p>
    <w:p w14:paraId="5BED27DC">
      <w:pPr>
        <w:spacing w:line="360" w:lineRule="auto"/>
        <w:rPr>
          <w:rFonts w:ascii="宋体" w:hAnsi="宋体" w:cs="宋体"/>
          <w:color w:val="auto"/>
          <w:sz w:val="24"/>
          <w:highlight w:val="none"/>
        </w:rPr>
      </w:pPr>
      <w:r>
        <w:rPr>
          <w:rFonts w:hint="eastAsia" w:ascii="宋体" w:hAnsi="宋体" w:cs="宋体"/>
          <w:color w:val="auto"/>
          <w:sz w:val="24"/>
          <w:highlight w:val="none"/>
        </w:rPr>
        <w:t>（1）具有独立承担民事责任的能力：投标人须在投标文件中出具符合以下情况的证明材料复印件（五选一）：</w:t>
      </w:r>
    </w:p>
    <w:p w14:paraId="140A8803">
      <w:pPr>
        <w:spacing w:line="360" w:lineRule="auto"/>
        <w:rPr>
          <w:rFonts w:ascii="宋体" w:hAnsi="宋体" w:cs="宋体"/>
          <w:color w:val="auto"/>
          <w:sz w:val="24"/>
          <w:highlight w:val="none"/>
        </w:rPr>
      </w:pPr>
      <w:r>
        <w:rPr>
          <w:rFonts w:hint="eastAsia" w:ascii="宋体" w:hAnsi="宋体" w:cs="宋体"/>
          <w:color w:val="auto"/>
          <w:sz w:val="24"/>
          <w:highlight w:val="none"/>
        </w:rPr>
        <w:t>①如投标人是企业（包括合伙企业），提供在工商部门注册的有效“企业法人营业执照”或“营业执照”；</w:t>
      </w:r>
    </w:p>
    <w:p w14:paraId="3C86ECE2">
      <w:pPr>
        <w:spacing w:line="360" w:lineRule="auto"/>
        <w:rPr>
          <w:rFonts w:ascii="宋体" w:hAnsi="宋体" w:cs="宋体"/>
          <w:color w:val="auto"/>
          <w:sz w:val="24"/>
          <w:highlight w:val="none"/>
        </w:rPr>
      </w:pPr>
      <w:r>
        <w:rPr>
          <w:rFonts w:hint="eastAsia" w:ascii="宋体" w:hAnsi="宋体" w:cs="宋体"/>
          <w:color w:val="auto"/>
          <w:sz w:val="24"/>
          <w:highlight w:val="none"/>
        </w:rPr>
        <w:t>②如投标人是事业单位，提供有效的“事业单位法人证书”；</w:t>
      </w:r>
    </w:p>
    <w:p w14:paraId="6DE8F645">
      <w:pPr>
        <w:spacing w:line="360" w:lineRule="auto"/>
        <w:rPr>
          <w:rFonts w:ascii="宋体" w:hAnsi="宋体" w:cs="宋体"/>
          <w:color w:val="auto"/>
          <w:sz w:val="24"/>
          <w:highlight w:val="none"/>
        </w:rPr>
      </w:pPr>
      <w:r>
        <w:rPr>
          <w:rFonts w:hint="eastAsia" w:ascii="宋体" w:hAnsi="宋体" w:cs="宋体"/>
          <w:color w:val="auto"/>
          <w:sz w:val="24"/>
          <w:highlight w:val="none"/>
        </w:rPr>
        <w:t>③如投标人是非企业专业服务机构的，提供执业许可证等证明文件；</w:t>
      </w:r>
    </w:p>
    <w:p w14:paraId="5E1459F8">
      <w:pPr>
        <w:spacing w:line="360" w:lineRule="auto"/>
        <w:rPr>
          <w:rFonts w:ascii="宋体" w:hAnsi="宋体" w:cs="宋体"/>
          <w:color w:val="auto"/>
          <w:sz w:val="24"/>
          <w:highlight w:val="none"/>
        </w:rPr>
      </w:pPr>
      <w:r>
        <w:rPr>
          <w:rFonts w:hint="eastAsia" w:ascii="宋体" w:hAnsi="宋体" w:cs="宋体"/>
          <w:color w:val="auto"/>
          <w:sz w:val="24"/>
          <w:highlight w:val="none"/>
        </w:rPr>
        <w:t>④如投标人是个体工商户，提供有效的“个体工商户营业执照”；</w:t>
      </w:r>
    </w:p>
    <w:p w14:paraId="15D13150">
      <w:pPr>
        <w:spacing w:line="360" w:lineRule="auto"/>
        <w:rPr>
          <w:rFonts w:ascii="宋体" w:hAnsi="宋体" w:cs="宋体"/>
          <w:color w:val="auto"/>
          <w:sz w:val="24"/>
          <w:highlight w:val="none"/>
        </w:rPr>
      </w:pPr>
      <w:r>
        <w:rPr>
          <w:rFonts w:hint="eastAsia" w:ascii="宋体" w:hAnsi="宋体" w:cs="宋体"/>
          <w:color w:val="auto"/>
          <w:sz w:val="24"/>
          <w:highlight w:val="none"/>
        </w:rPr>
        <w:t>⑤如投标人是自然人，提供有效的自然人身份证明（居民身份证正反面或公安机关出具的临时居民身份证正反面或港澳台胞证或护照）。</w:t>
      </w:r>
    </w:p>
    <w:p w14:paraId="02A571A0">
      <w:pPr>
        <w:spacing w:line="360" w:lineRule="auto"/>
        <w:rPr>
          <w:rFonts w:ascii="宋体" w:hAnsi="宋体" w:cs="宋体"/>
          <w:color w:val="auto"/>
          <w:sz w:val="24"/>
          <w:highlight w:val="none"/>
        </w:rPr>
      </w:pPr>
      <w:r>
        <w:rPr>
          <w:rFonts w:hint="eastAsia" w:ascii="宋体" w:hAnsi="宋体" w:cs="宋体"/>
          <w:color w:val="auto"/>
          <w:sz w:val="24"/>
          <w:highlight w:val="none"/>
        </w:rPr>
        <w:t>（2）法定代表人身份证复印件或法定代表人授权委托书(格式见附件)；</w:t>
      </w:r>
    </w:p>
    <w:p w14:paraId="4BC63121">
      <w:pPr>
        <w:spacing w:line="360" w:lineRule="auto"/>
        <w:rPr>
          <w:rFonts w:ascii="宋体" w:hAnsi="宋体" w:cs="宋体"/>
          <w:color w:val="auto"/>
          <w:sz w:val="24"/>
          <w:highlight w:val="none"/>
        </w:rPr>
      </w:pPr>
      <w:r>
        <w:rPr>
          <w:rFonts w:hint="eastAsia" w:ascii="宋体" w:hAnsi="宋体" w:cs="宋体"/>
          <w:color w:val="auto"/>
          <w:sz w:val="24"/>
          <w:highlight w:val="none"/>
        </w:rPr>
        <w:t>（3）符合参加政府采购活动应当具备的一般条件的承诺函（格式见附件）；</w:t>
      </w:r>
    </w:p>
    <w:p w14:paraId="73FBC73E">
      <w:pPr>
        <w:spacing w:line="360" w:lineRule="auto"/>
        <w:rPr>
          <w:rFonts w:ascii="宋体" w:hAnsi="宋体" w:cs="宋体"/>
          <w:color w:val="auto"/>
          <w:sz w:val="24"/>
          <w:highlight w:val="none"/>
        </w:rPr>
      </w:pPr>
      <w:r>
        <w:rPr>
          <w:rFonts w:hint="eastAsia" w:ascii="宋体" w:hAnsi="宋体" w:cs="宋体"/>
          <w:color w:val="auto"/>
          <w:sz w:val="24"/>
          <w:highlight w:val="none"/>
        </w:rPr>
        <w:t>（4）信用记录网络查询页面截图（信用中国与中国政府采购网）；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48B054EF">
      <w:pPr>
        <w:spacing w:line="360" w:lineRule="auto"/>
        <w:rPr>
          <w:rFonts w:ascii="宋体" w:hAnsi="宋体" w:cs="宋体"/>
          <w:color w:val="auto"/>
          <w:sz w:val="24"/>
          <w:highlight w:val="none"/>
        </w:rPr>
      </w:pPr>
      <w:r>
        <w:rPr>
          <w:rFonts w:hint="eastAsia" w:ascii="宋体" w:hAnsi="宋体" w:cs="宋体"/>
          <w:color w:val="auto"/>
          <w:sz w:val="24"/>
          <w:highlight w:val="none"/>
        </w:rPr>
        <w:t>（5）浙江政府采购网注册正式供应商的网络截图或承诺中标后30天内注册为浙江政府采购网正式供应商（须提供承诺书）；</w:t>
      </w:r>
    </w:p>
    <w:p w14:paraId="5A2261A1">
      <w:pPr>
        <w:spacing w:line="360" w:lineRule="auto"/>
        <w:rPr>
          <w:rFonts w:ascii="宋体" w:hAnsi="宋体" w:cs="宋体"/>
          <w:color w:val="auto"/>
          <w:sz w:val="24"/>
          <w:highlight w:val="none"/>
        </w:rPr>
      </w:pPr>
      <w:r>
        <w:rPr>
          <w:rFonts w:hint="eastAsia" w:ascii="宋体" w:hAnsi="宋体" w:cs="宋体"/>
          <w:color w:val="auto"/>
          <w:sz w:val="24"/>
          <w:highlight w:val="none"/>
        </w:rPr>
        <w:t>（6）东阳市政府采购代理机构社会评价表（格式见附件）；</w:t>
      </w:r>
    </w:p>
    <w:p w14:paraId="7242DEB9">
      <w:pPr>
        <w:spacing w:line="360" w:lineRule="auto"/>
        <w:rPr>
          <w:rFonts w:ascii="宋体" w:hAnsi="宋体" w:cs="宋体"/>
          <w:color w:val="auto"/>
          <w:sz w:val="24"/>
          <w:highlight w:val="none"/>
        </w:rPr>
      </w:pPr>
      <w:r>
        <w:rPr>
          <w:rFonts w:hint="eastAsia" w:ascii="宋体" w:hAnsi="宋体" w:cs="宋体"/>
          <w:color w:val="auto"/>
          <w:sz w:val="24"/>
          <w:highlight w:val="none"/>
        </w:rPr>
        <w:t>（7）投标声明书 (格式见附件) ；</w:t>
      </w:r>
    </w:p>
    <w:p w14:paraId="134D2DB3">
      <w:pPr>
        <w:spacing w:line="360" w:lineRule="auto"/>
        <w:rPr>
          <w:rFonts w:hint="eastAsia" w:ascii="宋体" w:hAnsi="宋体" w:eastAsia="宋体" w:cs="宋体"/>
          <w:color w:val="auto"/>
          <w:sz w:val="24"/>
          <w:highlight w:val="none"/>
          <w:lang w:val="en-US" w:eastAsia="zh-CN"/>
        </w:rPr>
      </w:pPr>
      <w:r>
        <w:rPr>
          <w:rFonts w:hint="eastAsia" w:ascii="宋体" w:hAnsi="宋体" w:cs="宋体"/>
          <w:color w:val="auto"/>
          <w:sz w:val="24"/>
          <w:highlight w:val="none"/>
        </w:rPr>
        <w:t>（8）政府采购活动现场确认声明书 (格式见附件) ；</w:t>
      </w:r>
    </w:p>
    <w:p w14:paraId="7DB22F8E">
      <w:pPr>
        <w:spacing w:line="360" w:lineRule="auto"/>
        <w:rPr>
          <w:rFonts w:ascii="宋体" w:hAnsi="宋体" w:cs="宋体"/>
          <w:color w:val="auto"/>
          <w:sz w:val="24"/>
          <w:highlight w:val="none"/>
        </w:rPr>
      </w:pPr>
      <w:r>
        <w:rPr>
          <w:rFonts w:hint="eastAsia" w:ascii="宋体" w:hAnsi="宋体" w:cs="宋体"/>
          <w:color w:val="auto"/>
          <w:sz w:val="24"/>
          <w:highlight w:val="none"/>
        </w:rPr>
        <w:t>（9）联合体协议书（联合体投标时提供）（格式见附件）；</w:t>
      </w:r>
    </w:p>
    <w:p w14:paraId="217FD7A2">
      <w:pPr>
        <w:spacing w:line="360" w:lineRule="auto"/>
        <w:rPr>
          <w:rFonts w:ascii="宋体" w:hAnsi="宋体" w:cs="宋体"/>
          <w:b/>
          <w:bCs/>
          <w:color w:val="auto"/>
          <w:sz w:val="24"/>
          <w:highlight w:val="none"/>
        </w:rPr>
      </w:pPr>
      <w:r>
        <w:rPr>
          <w:rFonts w:hint="eastAsia" w:ascii="宋体" w:hAnsi="宋体" w:cs="宋体"/>
          <w:color w:val="auto"/>
          <w:sz w:val="24"/>
          <w:highlight w:val="none"/>
        </w:rPr>
        <w:t>（10）落实</w:t>
      </w:r>
      <w:r>
        <w:rPr>
          <w:rFonts w:hint="eastAsia" w:ascii="宋体" w:hAnsi="宋体" w:cs="宋体"/>
          <w:b/>
          <w:bCs/>
          <w:color w:val="auto"/>
          <w:sz w:val="24"/>
          <w:highlight w:val="none"/>
        </w:rPr>
        <w:t>政府采购政策需满足的资格：供应商为中小企业/小微企业，提供《中小企业声明函》（格式见附件）；</w:t>
      </w:r>
    </w:p>
    <w:p w14:paraId="52A48BF2">
      <w:pPr>
        <w:spacing w:line="360" w:lineRule="auto"/>
        <w:rPr>
          <w:rFonts w:ascii="宋体" w:hAnsi="宋体" w:cs="宋体"/>
          <w:color w:val="auto"/>
          <w:sz w:val="24"/>
          <w:highlight w:val="none"/>
        </w:rPr>
      </w:pPr>
      <w:r>
        <w:rPr>
          <w:rFonts w:hint="eastAsia" w:ascii="宋体" w:hAnsi="宋体" w:cs="宋体"/>
          <w:color w:val="auto"/>
          <w:sz w:val="24"/>
          <w:highlight w:val="none"/>
        </w:rPr>
        <w:t>（11）投标人情况介绍；</w:t>
      </w:r>
    </w:p>
    <w:p w14:paraId="2F57309F">
      <w:pPr>
        <w:spacing w:line="360" w:lineRule="auto"/>
        <w:rPr>
          <w:rFonts w:hint="eastAsia" w:ascii="宋体" w:hAnsi="宋体" w:cs="宋体"/>
          <w:color w:val="auto"/>
          <w:sz w:val="24"/>
          <w:highlight w:val="none"/>
          <w:lang w:eastAsia="zh-CN"/>
        </w:rPr>
      </w:pPr>
      <w:r>
        <w:rPr>
          <w:rFonts w:hint="eastAsia" w:ascii="宋体" w:hAnsi="宋体" w:cs="宋体"/>
          <w:color w:val="auto"/>
          <w:sz w:val="24"/>
          <w:highlight w:val="none"/>
        </w:rPr>
        <w:t>（12）农药经营许可证</w:t>
      </w:r>
      <w:r>
        <w:rPr>
          <w:rFonts w:hint="eastAsia" w:ascii="宋体" w:hAnsi="宋体" w:cs="宋体"/>
          <w:color w:val="auto"/>
          <w:sz w:val="24"/>
          <w:highlight w:val="none"/>
          <w:lang w:eastAsia="zh-CN"/>
        </w:rPr>
        <w:t>；</w:t>
      </w:r>
    </w:p>
    <w:p w14:paraId="21A767A7">
      <w:pPr>
        <w:spacing w:line="360" w:lineRule="auto"/>
        <w:rPr>
          <w:rFonts w:ascii="宋体" w:hAnsi="宋体" w:cs="宋体"/>
          <w:color w:val="auto"/>
          <w:sz w:val="24"/>
          <w:highlight w:val="none"/>
        </w:rPr>
      </w:pPr>
      <w:r>
        <w:rPr>
          <w:rFonts w:hint="eastAsia" w:ascii="宋体" w:hAnsi="宋体" w:cs="宋体"/>
          <w:color w:val="auto"/>
          <w:sz w:val="24"/>
          <w:highlight w:val="none"/>
          <w:lang w:eastAsia="zh-CN"/>
        </w:rPr>
        <w:t>（</w:t>
      </w:r>
      <w:r>
        <w:rPr>
          <w:rFonts w:hint="eastAsia" w:ascii="宋体" w:hAnsi="宋体" w:cs="宋体"/>
          <w:color w:val="auto"/>
          <w:sz w:val="24"/>
          <w:highlight w:val="none"/>
          <w:lang w:val="en-US" w:eastAsia="zh-CN"/>
        </w:rPr>
        <w:t>13</w:t>
      </w:r>
      <w:r>
        <w:rPr>
          <w:rFonts w:hint="eastAsia" w:ascii="宋体" w:hAnsi="宋体" w:cs="宋体"/>
          <w:color w:val="auto"/>
          <w:sz w:val="24"/>
          <w:highlight w:val="none"/>
          <w:lang w:eastAsia="zh-CN"/>
        </w:rPr>
        <w:t>）</w:t>
      </w:r>
      <w:r>
        <w:rPr>
          <w:rFonts w:hint="eastAsia" w:ascii="宋体" w:hAnsi="宋体" w:cs="宋体"/>
          <w:color w:val="auto"/>
          <w:sz w:val="24"/>
          <w:highlight w:val="none"/>
        </w:rPr>
        <w:t>投标人认为有必要提供的其它文件。</w:t>
      </w:r>
    </w:p>
    <w:p w14:paraId="247392C5">
      <w:pPr>
        <w:spacing w:line="360" w:lineRule="auto"/>
        <w:rPr>
          <w:rFonts w:ascii="宋体" w:hAnsi="宋体" w:cs="宋体"/>
          <w:b/>
          <w:bCs/>
          <w:color w:val="auto"/>
          <w:sz w:val="24"/>
          <w:highlight w:val="none"/>
        </w:rPr>
      </w:pPr>
      <w:r>
        <w:rPr>
          <w:rFonts w:hint="eastAsia" w:ascii="宋体" w:hAnsi="宋体" w:cs="宋体"/>
          <w:b/>
          <w:bCs/>
          <w:color w:val="auto"/>
          <w:sz w:val="24"/>
          <w:highlight w:val="none"/>
        </w:rPr>
        <w:t>2.商务技术文件</w:t>
      </w:r>
    </w:p>
    <w:p w14:paraId="78B8EF6D">
      <w:pPr>
        <w:spacing w:line="360" w:lineRule="auto"/>
        <w:rPr>
          <w:rFonts w:ascii="宋体" w:hAnsi="宋体" w:cs="宋体"/>
          <w:color w:val="auto"/>
          <w:sz w:val="24"/>
          <w:highlight w:val="none"/>
        </w:rPr>
      </w:pPr>
      <w:r>
        <w:rPr>
          <w:rFonts w:hint="eastAsia" w:ascii="宋体" w:hAnsi="宋体" w:cs="宋体"/>
          <w:color w:val="auto"/>
          <w:sz w:val="24"/>
          <w:highlight w:val="none"/>
        </w:rPr>
        <w:t>（1）投标人资信商务、技术自评得分表（格式见附件）；</w:t>
      </w:r>
    </w:p>
    <w:p w14:paraId="2BFFF0C8">
      <w:pPr>
        <w:spacing w:line="360" w:lineRule="auto"/>
        <w:rPr>
          <w:rFonts w:ascii="宋体" w:hAnsi="宋体" w:cs="宋体"/>
          <w:color w:val="auto"/>
          <w:sz w:val="24"/>
          <w:highlight w:val="none"/>
        </w:rPr>
      </w:pPr>
      <w:r>
        <w:rPr>
          <w:rFonts w:hint="eastAsia" w:ascii="宋体" w:hAnsi="宋体" w:cs="宋体"/>
          <w:color w:val="auto"/>
          <w:sz w:val="24"/>
          <w:highlight w:val="none"/>
        </w:rPr>
        <w:t>（2）商务响应表（格式见附件）；</w:t>
      </w:r>
    </w:p>
    <w:p w14:paraId="547A6D2C">
      <w:pPr>
        <w:spacing w:line="360" w:lineRule="auto"/>
        <w:rPr>
          <w:rFonts w:ascii="宋体" w:hAnsi="宋体" w:cs="宋体"/>
          <w:color w:val="auto"/>
          <w:sz w:val="24"/>
          <w:highlight w:val="none"/>
        </w:rPr>
      </w:pPr>
      <w:r>
        <w:rPr>
          <w:rFonts w:hint="eastAsia" w:ascii="宋体" w:hAnsi="宋体" w:cs="宋体"/>
          <w:color w:val="auto"/>
          <w:sz w:val="24"/>
          <w:highlight w:val="none"/>
        </w:rPr>
        <w:t>（3）技术响应表（格式见附件）；</w:t>
      </w:r>
    </w:p>
    <w:p w14:paraId="081B4CAD">
      <w:pPr>
        <w:snapToGrid w:val="0"/>
        <w:spacing w:line="360" w:lineRule="auto"/>
        <w:jc w:val="left"/>
        <w:rPr>
          <w:rFonts w:ascii="宋体" w:hAnsi="宋体"/>
          <w:color w:val="auto"/>
          <w:sz w:val="24"/>
          <w:highlight w:val="none"/>
        </w:rPr>
      </w:pPr>
      <w:r>
        <w:rPr>
          <w:rFonts w:hint="eastAsia" w:ascii="宋体" w:hAnsi="宋体"/>
          <w:color w:val="auto"/>
          <w:sz w:val="24"/>
          <w:highlight w:val="none"/>
        </w:rPr>
        <w:t>（4）项目的认识与了解；</w:t>
      </w:r>
    </w:p>
    <w:p w14:paraId="6BBCF511">
      <w:pPr>
        <w:snapToGrid w:val="0"/>
        <w:spacing w:line="360" w:lineRule="auto"/>
        <w:jc w:val="left"/>
        <w:rPr>
          <w:rFonts w:ascii="宋体" w:hAnsi="宋体"/>
          <w:color w:val="auto"/>
          <w:sz w:val="24"/>
          <w:highlight w:val="none"/>
        </w:rPr>
      </w:pPr>
      <w:r>
        <w:rPr>
          <w:rFonts w:hint="eastAsia" w:ascii="宋体" w:hAnsi="宋体"/>
          <w:color w:val="auto"/>
          <w:sz w:val="24"/>
          <w:highlight w:val="none"/>
        </w:rPr>
        <w:t>（5）项目实施方案；</w:t>
      </w:r>
    </w:p>
    <w:p w14:paraId="7FE8AE31">
      <w:pPr>
        <w:snapToGrid w:val="0"/>
        <w:spacing w:line="360" w:lineRule="auto"/>
        <w:jc w:val="left"/>
        <w:rPr>
          <w:rFonts w:ascii="宋体" w:hAnsi="宋体"/>
          <w:color w:val="auto"/>
          <w:sz w:val="24"/>
          <w:highlight w:val="none"/>
        </w:rPr>
      </w:pPr>
      <w:r>
        <w:rPr>
          <w:rFonts w:hint="eastAsia" w:ascii="宋体" w:hAnsi="宋体"/>
          <w:color w:val="auto"/>
          <w:sz w:val="24"/>
          <w:highlight w:val="none"/>
        </w:rPr>
        <w:t>（6）质量保障措施；</w:t>
      </w:r>
    </w:p>
    <w:p w14:paraId="7196E525">
      <w:pPr>
        <w:snapToGrid w:val="0"/>
        <w:spacing w:line="360" w:lineRule="auto"/>
        <w:jc w:val="left"/>
        <w:rPr>
          <w:rFonts w:ascii="宋体" w:hAnsi="宋体"/>
          <w:color w:val="auto"/>
          <w:sz w:val="24"/>
          <w:highlight w:val="none"/>
        </w:rPr>
      </w:pPr>
      <w:r>
        <w:rPr>
          <w:rFonts w:hint="eastAsia" w:ascii="宋体" w:hAnsi="宋体"/>
          <w:color w:val="auto"/>
          <w:sz w:val="24"/>
          <w:highlight w:val="none"/>
        </w:rPr>
        <w:t>（7）巡查方案及措施；</w:t>
      </w:r>
    </w:p>
    <w:p w14:paraId="54D26B70">
      <w:pPr>
        <w:snapToGrid w:val="0"/>
        <w:spacing w:line="360" w:lineRule="auto"/>
        <w:jc w:val="left"/>
        <w:rPr>
          <w:rFonts w:ascii="宋体" w:hAnsi="宋体"/>
          <w:color w:val="auto"/>
          <w:sz w:val="24"/>
          <w:highlight w:val="none"/>
        </w:rPr>
      </w:pPr>
      <w:r>
        <w:rPr>
          <w:rFonts w:hint="eastAsia" w:ascii="宋体" w:hAnsi="宋体"/>
          <w:color w:val="auto"/>
          <w:sz w:val="24"/>
          <w:highlight w:val="none"/>
        </w:rPr>
        <w:t>（8）重难点分析及解决方案；</w:t>
      </w:r>
    </w:p>
    <w:p w14:paraId="2D2D3DBF">
      <w:pPr>
        <w:snapToGrid w:val="0"/>
        <w:spacing w:line="360" w:lineRule="auto"/>
        <w:jc w:val="left"/>
        <w:rPr>
          <w:rFonts w:ascii="宋体" w:hAnsi="宋体"/>
          <w:color w:val="auto"/>
          <w:sz w:val="24"/>
          <w:highlight w:val="none"/>
        </w:rPr>
      </w:pPr>
      <w:r>
        <w:rPr>
          <w:rFonts w:hint="eastAsia" w:ascii="宋体" w:hAnsi="宋体"/>
          <w:color w:val="auto"/>
          <w:sz w:val="24"/>
          <w:highlight w:val="none"/>
        </w:rPr>
        <w:t>（9）污染防治；</w:t>
      </w:r>
    </w:p>
    <w:p w14:paraId="63D8DE62">
      <w:pPr>
        <w:snapToGrid w:val="0"/>
        <w:spacing w:line="360" w:lineRule="auto"/>
        <w:jc w:val="left"/>
        <w:rPr>
          <w:rFonts w:ascii="宋体" w:hAnsi="宋体"/>
          <w:color w:val="auto"/>
          <w:sz w:val="24"/>
          <w:highlight w:val="none"/>
        </w:rPr>
      </w:pPr>
      <w:r>
        <w:rPr>
          <w:rFonts w:hint="eastAsia" w:ascii="宋体" w:hAnsi="宋体"/>
          <w:color w:val="auto"/>
          <w:sz w:val="24"/>
          <w:highlight w:val="none"/>
        </w:rPr>
        <w:t>（10）项目组成员；</w:t>
      </w:r>
    </w:p>
    <w:p w14:paraId="233B6E95">
      <w:pPr>
        <w:snapToGrid w:val="0"/>
        <w:spacing w:line="360" w:lineRule="auto"/>
        <w:jc w:val="left"/>
        <w:rPr>
          <w:rFonts w:ascii="宋体" w:hAnsi="宋体"/>
          <w:color w:val="auto"/>
          <w:sz w:val="24"/>
          <w:highlight w:val="none"/>
        </w:rPr>
      </w:pPr>
      <w:r>
        <w:rPr>
          <w:rFonts w:hint="eastAsia" w:ascii="宋体" w:hAnsi="宋体"/>
          <w:color w:val="auto"/>
          <w:sz w:val="24"/>
          <w:highlight w:val="none"/>
        </w:rPr>
        <w:t>（11）仓储能力；</w:t>
      </w:r>
    </w:p>
    <w:p w14:paraId="46AE00B4">
      <w:pPr>
        <w:snapToGrid w:val="0"/>
        <w:spacing w:line="360" w:lineRule="auto"/>
        <w:jc w:val="left"/>
        <w:rPr>
          <w:rFonts w:ascii="宋体" w:hAnsi="宋体"/>
          <w:color w:val="auto"/>
          <w:sz w:val="24"/>
          <w:highlight w:val="none"/>
        </w:rPr>
      </w:pPr>
      <w:r>
        <w:rPr>
          <w:rFonts w:hint="eastAsia" w:ascii="宋体" w:hAnsi="宋体"/>
          <w:color w:val="auto"/>
          <w:sz w:val="24"/>
          <w:highlight w:val="none"/>
        </w:rPr>
        <w:t>（12）运输车辆；</w:t>
      </w:r>
    </w:p>
    <w:p w14:paraId="55A3F445">
      <w:pPr>
        <w:snapToGrid w:val="0"/>
        <w:spacing w:line="360" w:lineRule="auto"/>
        <w:jc w:val="left"/>
        <w:rPr>
          <w:rFonts w:ascii="宋体" w:hAnsi="宋体"/>
          <w:color w:val="auto"/>
          <w:sz w:val="24"/>
          <w:highlight w:val="none"/>
        </w:rPr>
      </w:pPr>
      <w:r>
        <w:rPr>
          <w:rFonts w:hint="eastAsia" w:ascii="宋体" w:hAnsi="宋体"/>
          <w:color w:val="auto"/>
          <w:sz w:val="24"/>
          <w:highlight w:val="none"/>
        </w:rPr>
        <w:t>（13）安全文明作业方案；</w:t>
      </w:r>
    </w:p>
    <w:p w14:paraId="25E0B604">
      <w:pPr>
        <w:snapToGrid w:val="0"/>
        <w:spacing w:line="360" w:lineRule="auto"/>
        <w:jc w:val="left"/>
        <w:rPr>
          <w:rFonts w:ascii="宋体" w:hAnsi="宋体"/>
          <w:color w:val="auto"/>
          <w:sz w:val="24"/>
          <w:highlight w:val="none"/>
        </w:rPr>
      </w:pPr>
      <w:r>
        <w:rPr>
          <w:rFonts w:hint="eastAsia" w:ascii="宋体" w:hAnsi="宋体"/>
          <w:color w:val="auto"/>
          <w:sz w:val="24"/>
          <w:highlight w:val="none"/>
        </w:rPr>
        <w:t>（14）培训方案；</w:t>
      </w:r>
    </w:p>
    <w:p w14:paraId="778211A2">
      <w:pPr>
        <w:snapToGrid w:val="0"/>
        <w:spacing w:line="360" w:lineRule="auto"/>
        <w:jc w:val="left"/>
        <w:rPr>
          <w:rFonts w:ascii="宋体" w:hAnsi="宋体"/>
          <w:color w:val="auto"/>
          <w:sz w:val="24"/>
          <w:highlight w:val="none"/>
        </w:rPr>
      </w:pPr>
      <w:r>
        <w:rPr>
          <w:rFonts w:hint="eastAsia" w:ascii="宋体" w:hAnsi="宋体"/>
          <w:color w:val="auto"/>
          <w:sz w:val="24"/>
          <w:highlight w:val="none"/>
        </w:rPr>
        <w:t>（15）应急预案；</w:t>
      </w:r>
    </w:p>
    <w:p w14:paraId="5846482B">
      <w:pPr>
        <w:snapToGrid w:val="0"/>
        <w:spacing w:line="360" w:lineRule="auto"/>
        <w:jc w:val="left"/>
        <w:rPr>
          <w:rFonts w:ascii="宋体" w:hAnsi="宋体"/>
          <w:color w:val="auto"/>
          <w:sz w:val="24"/>
          <w:highlight w:val="none"/>
        </w:rPr>
      </w:pPr>
      <w:r>
        <w:rPr>
          <w:rFonts w:hint="eastAsia" w:ascii="宋体" w:hAnsi="宋体"/>
          <w:color w:val="auto"/>
          <w:sz w:val="24"/>
          <w:highlight w:val="none"/>
        </w:rPr>
        <w:t>（16）同类项目业绩；</w:t>
      </w:r>
    </w:p>
    <w:p w14:paraId="08D8F95E">
      <w:pPr>
        <w:snapToGrid w:val="0"/>
        <w:spacing w:line="360" w:lineRule="auto"/>
        <w:jc w:val="left"/>
        <w:rPr>
          <w:rFonts w:hint="eastAsia" w:ascii="宋体" w:hAnsi="宋体"/>
          <w:color w:val="auto"/>
          <w:sz w:val="24"/>
          <w:highlight w:val="none"/>
        </w:rPr>
      </w:pPr>
      <w:r>
        <w:rPr>
          <w:rFonts w:hint="eastAsia" w:ascii="宋体" w:hAnsi="宋体"/>
          <w:color w:val="auto"/>
          <w:sz w:val="24"/>
          <w:highlight w:val="none"/>
        </w:rPr>
        <w:t>（17）售后服务保障；</w:t>
      </w:r>
    </w:p>
    <w:p w14:paraId="10E3B39C">
      <w:pPr>
        <w:snapToGrid w:val="0"/>
        <w:spacing w:line="360" w:lineRule="auto"/>
        <w:jc w:val="left"/>
        <w:rPr>
          <w:rFonts w:ascii="宋体" w:hAnsi="宋体"/>
          <w:color w:val="auto"/>
          <w:sz w:val="24"/>
          <w:highlight w:val="none"/>
        </w:rPr>
      </w:pPr>
      <w:r>
        <w:rPr>
          <w:rFonts w:hint="eastAsia" w:ascii="宋体" w:hAnsi="宋体"/>
          <w:color w:val="auto"/>
          <w:sz w:val="24"/>
          <w:highlight w:val="none"/>
        </w:rPr>
        <w:t>（18）合理化建议；</w:t>
      </w:r>
    </w:p>
    <w:p w14:paraId="6EEE5CC7">
      <w:pPr>
        <w:snapToGrid w:val="0"/>
        <w:spacing w:line="360" w:lineRule="auto"/>
        <w:jc w:val="left"/>
        <w:rPr>
          <w:rFonts w:hint="eastAsia" w:ascii="宋体" w:hAnsi="宋体"/>
          <w:color w:val="auto"/>
          <w:sz w:val="24"/>
          <w:highlight w:val="none"/>
        </w:rPr>
      </w:pPr>
      <w:r>
        <w:rPr>
          <w:rFonts w:hint="eastAsia" w:ascii="宋体" w:hAnsi="宋体"/>
          <w:color w:val="auto"/>
          <w:sz w:val="24"/>
          <w:highlight w:val="none"/>
        </w:rPr>
        <w:t>（19）服务费承诺书（格式见附件）；</w:t>
      </w:r>
    </w:p>
    <w:p w14:paraId="2800BC7D">
      <w:pPr>
        <w:snapToGrid w:val="0"/>
        <w:spacing w:line="360" w:lineRule="auto"/>
        <w:jc w:val="left"/>
        <w:rPr>
          <w:rFonts w:ascii="宋体" w:hAnsi="宋体"/>
          <w:color w:val="auto"/>
          <w:sz w:val="24"/>
          <w:highlight w:val="none"/>
        </w:rPr>
      </w:pPr>
      <w:r>
        <w:rPr>
          <w:rFonts w:hint="eastAsia" w:ascii="宋体" w:hAnsi="宋体"/>
          <w:color w:val="auto"/>
          <w:sz w:val="24"/>
          <w:highlight w:val="none"/>
        </w:rPr>
        <w:t>（20）安全承诺函</w:t>
      </w:r>
      <w:r>
        <w:rPr>
          <w:rFonts w:hint="eastAsia" w:ascii="宋体" w:hAnsi="宋体"/>
          <w:color w:val="auto"/>
          <w:sz w:val="24"/>
          <w:highlight w:val="none"/>
          <w:lang w:eastAsia="zh-CN"/>
        </w:rPr>
        <w:t>、</w:t>
      </w:r>
      <w:r>
        <w:rPr>
          <w:rFonts w:hint="eastAsia" w:ascii="宋体" w:hAnsi="宋体"/>
          <w:color w:val="auto"/>
          <w:sz w:val="24"/>
          <w:highlight w:val="none"/>
          <w:lang w:val="en-US" w:eastAsia="zh-CN"/>
        </w:rPr>
        <w:t>仓储场地承诺书</w:t>
      </w:r>
      <w:r>
        <w:rPr>
          <w:rFonts w:hint="eastAsia" w:ascii="宋体" w:hAnsi="宋体"/>
          <w:color w:val="auto"/>
          <w:sz w:val="24"/>
          <w:highlight w:val="none"/>
        </w:rPr>
        <w:t>（格式见附件）；</w:t>
      </w:r>
    </w:p>
    <w:p w14:paraId="66D36D4C">
      <w:pPr>
        <w:snapToGrid w:val="0"/>
        <w:spacing w:line="360" w:lineRule="auto"/>
        <w:jc w:val="left"/>
        <w:rPr>
          <w:rFonts w:ascii="宋体" w:hAnsi="宋体"/>
          <w:color w:val="auto"/>
          <w:sz w:val="24"/>
          <w:highlight w:val="none"/>
        </w:rPr>
      </w:pPr>
      <w:r>
        <w:rPr>
          <w:rFonts w:hint="eastAsia" w:ascii="宋体" w:hAnsi="宋体"/>
          <w:color w:val="auto"/>
          <w:sz w:val="24"/>
          <w:highlight w:val="none"/>
        </w:rPr>
        <w:t>（21）投标人需要说明的其他文件和说明。</w:t>
      </w:r>
    </w:p>
    <w:p w14:paraId="1B9B5CA8">
      <w:pPr>
        <w:numPr>
          <w:ilvl w:val="0"/>
          <w:numId w:val="7"/>
        </w:numPr>
        <w:spacing w:line="360" w:lineRule="auto"/>
        <w:rPr>
          <w:rFonts w:ascii="宋体" w:hAnsi="宋体" w:cs="宋体"/>
          <w:b/>
          <w:bCs/>
          <w:color w:val="auto"/>
          <w:sz w:val="24"/>
          <w:highlight w:val="none"/>
        </w:rPr>
      </w:pPr>
      <w:r>
        <w:rPr>
          <w:rFonts w:hint="eastAsia" w:ascii="宋体" w:hAnsi="宋体" w:cs="宋体"/>
          <w:b/>
          <w:bCs/>
          <w:color w:val="auto"/>
          <w:sz w:val="24"/>
          <w:highlight w:val="none"/>
        </w:rPr>
        <w:t>报价文件</w:t>
      </w:r>
    </w:p>
    <w:p w14:paraId="781FE5E4">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（1）投标函（格式见附件）； </w:t>
      </w:r>
    </w:p>
    <w:p w14:paraId="6D3C255F">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（2）开标一览表（格式见附件）； </w:t>
      </w:r>
    </w:p>
    <w:p w14:paraId="3D0B9C7A">
      <w:pPr>
        <w:spacing w:line="360" w:lineRule="auto"/>
        <w:rPr>
          <w:rFonts w:ascii="宋体" w:hAnsi="宋体" w:cs="宋体"/>
          <w:b/>
          <w:bCs/>
          <w:color w:val="auto"/>
          <w:sz w:val="24"/>
          <w:highlight w:val="none"/>
        </w:rPr>
      </w:pPr>
      <w:r>
        <w:rPr>
          <w:rFonts w:hint="eastAsia" w:ascii="宋体" w:hAnsi="宋体" w:cs="宋体"/>
          <w:color w:val="auto"/>
          <w:sz w:val="24"/>
          <w:highlight w:val="none"/>
        </w:rPr>
        <w:t>（3）投标人针对报价需要说明的其他文件和说明（格式自拟）。</w:t>
      </w:r>
    </w:p>
    <w:p w14:paraId="0DD75BC5">
      <w:pPr>
        <w:spacing w:line="360" w:lineRule="auto"/>
        <w:rPr>
          <w:rFonts w:ascii="宋体" w:hAnsi="宋体" w:cs="宋体"/>
          <w:b/>
          <w:color w:val="auto"/>
          <w:sz w:val="24"/>
          <w:highlight w:val="none"/>
        </w:rPr>
      </w:pPr>
      <w:r>
        <w:rPr>
          <w:rFonts w:hint="eastAsia" w:ascii="宋体" w:hAnsi="宋体" w:cs="宋体"/>
          <w:b/>
          <w:color w:val="auto"/>
          <w:sz w:val="24"/>
          <w:highlight w:val="none"/>
        </w:rPr>
        <w:t>▲（二）投标文件的语言及计量</w:t>
      </w:r>
    </w:p>
    <w:p w14:paraId="2EE4347C">
      <w:pPr>
        <w:spacing w:line="360" w:lineRule="auto"/>
        <w:ind w:firstLine="240" w:firstLineChars="100"/>
        <w:rPr>
          <w:rFonts w:ascii="宋体" w:hAnsi="宋体" w:cs="宋体"/>
          <w:color w:val="auto"/>
          <w:sz w:val="24"/>
          <w:highlight w:val="none"/>
        </w:rPr>
      </w:pPr>
      <w:r>
        <w:rPr>
          <w:rFonts w:hint="eastAsia" w:ascii="宋体" w:hAnsi="宋体" w:cs="宋体"/>
          <w:color w:val="auto"/>
          <w:sz w:val="24"/>
          <w:highlight w:val="none"/>
        </w:rPr>
        <w:t>1．投标文件以及投标方与招标方就有关投标事宜的所有来往函电，均应以中文汉语书写。除签名、盖章、专用名称等特殊情形外，以中文汉语以外的文字表述的投标文件视同未提供。</w:t>
      </w:r>
    </w:p>
    <w:p w14:paraId="53C5FAFF">
      <w:pPr>
        <w:spacing w:line="360" w:lineRule="auto"/>
        <w:ind w:firstLine="240" w:firstLineChars="100"/>
        <w:rPr>
          <w:rFonts w:ascii="宋体" w:hAnsi="宋体" w:cs="宋体"/>
          <w:color w:val="auto"/>
          <w:sz w:val="24"/>
          <w:highlight w:val="none"/>
        </w:rPr>
      </w:pPr>
      <w:r>
        <w:rPr>
          <w:rFonts w:hint="eastAsia" w:ascii="宋体" w:hAnsi="宋体" w:cs="宋体"/>
          <w:color w:val="auto"/>
          <w:sz w:val="24"/>
          <w:highlight w:val="none"/>
        </w:rPr>
        <w:t>2.投标计量单位，应采用中华人民共和国法定计量单位（货币单位：人民币元），否则视同未响应。</w:t>
      </w:r>
    </w:p>
    <w:p w14:paraId="4B34E3E8">
      <w:pPr>
        <w:spacing w:line="360" w:lineRule="auto"/>
        <w:rPr>
          <w:rFonts w:ascii="宋体" w:hAnsi="宋体" w:cs="宋体"/>
          <w:b/>
          <w:bCs/>
          <w:color w:val="auto"/>
          <w:sz w:val="24"/>
          <w:highlight w:val="none"/>
        </w:rPr>
      </w:pPr>
      <w:r>
        <w:rPr>
          <w:rFonts w:hint="eastAsia" w:ascii="宋体" w:hAnsi="宋体" w:cs="宋体"/>
          <w:b/>
          <w:bCs/>
          <w:color w:val="auto"/>
          <w:sz w:val="24"/>
          <w:highlight w:val="none"/>
        </w:rPr>
        <w:t>▲（三）投标报价</w:t>
      </w:r>
    </w:p>
    <w:p w14:paraId="4BED9F9E">
      <w:pPr>
        <w:spacing w:line="360" w:lineRule="auto"/>
        <w:rPr>
          <w:rFonts w:ascii="宋体" w:hAnsi="宋体" w:cs="宋体"/>
          <w:color w:val="auto"/>
          <w:sz w:val="24"/>
          <w:highlight w:val="none"/>
        </w:rPr>
      </w:pPr>
      <w:r>
        <w:rPr>
          <w:rFonts w:hint="eastAsia" w:ascii="宋体" w:hAnsi="宋体" w:cs="宋体"/>
          <w:color w:val="auto"/>
          <w:sz w:val="24"/>
          <w:highlight w:val="none"/>
        </w:rPr>
        <w:t>1.投标报价应按招标文件中相关附表格式填写。</w:t>
      </w:r>
    </w:p>
    <w:p w14:paraId="4FBDFC14">
      <w:pPr>
        <w:spacing w:line="360" w:lineRule="auto"/>
        <w:rPr>
          <w:rFonts w:ascii="宋体" w:hAnsi="宋体" w:cs="宋体"/>
          <w:color w:val="auto"/>
          <w:sz w:val="24"/>
          <w:highlight w:val="none"/>
        </w:rPr>
      </w:pPr>
      <w:r>
        <w:rPr>
          <w:rFonts w:hint="eastAsia" w:ascii="宋体" w:hAnsi="宋体" w:cs="宋体"/>
          <w:color w:val="auto"/>
          <w:sz w:val="24"/>
          <w:highlight w:val="none"/>
        </w:rPr>
        <w:t>2.投标报价是履行合同的最终价格，应包括项目实施所需的人工费、技术服务费、职业安全防护及卫生费、仓储费、保管费、运输费、处置费、整理及搬运费、水电费、台账资料费等与本项目相关的一切费用及税金。投标人投标报价为投标人所能承受的整个项目的一次性最终最低报价，如有漏项，视同已包含在本项目中，总价不做调整。</w:t>
      </w:r>
    </w:p>
    <w:p w14:paraId="3744A53C">
      <w:pPr>
        <w:spacing w:line="360" w:lineRule="auto"/>
        <w:rPr>
          <w:rFonts w:ascii="宋体" w:hAnsi="宋体" w:cs="宋体"/>
          <w:b/>
          <w:bCs/>
          <w:color w:val="auto"/>
          <w:sz w:val="24"/>
          <w:highlight w:val="none"/>
        </w:rPr>
      </w:pPr>
      <w:r>
        <w:rPr>
          <w:rFonts w:hint="eastAsia" w:ascii="宋体" w:hAnsi="宋体" w:cs="宋体"/>
          <w:b/>
          <w:bCs/>
          <w:color w:val="auto"/>
          <w:sz w:val="24"/>
          <w:highlight w:val="none"/>
        </w:rPr>
        <w:t>（四）投标文件的有效期</w:t>
      </w:r>
    </w:p>
    <w:p w14:paraId="45A48273">
      <w:pPr>
        <w:spacing w:line="360" w:lineRule="auto"/>
        <w:rPr>
          <w:rFonts w:ascii="宋体" w:hAnsi="宋体" w:cs="宋体"/>
          <w:color w:val="auto"/>
          <w:sz w:val="24"/>
          <w:highlight w:val="none"/>
        </w:rPr>
      </w:pPr>
      <w:bookmarkStart w:id="23" w:name="_Toc450548873"/>
      <w:bookmarkStart w:id="24" w:name="_Toc405368930"/>
      <w:r>
        <w:rPr>
          <w:rFonts w:hint="eastAsia" w:ascii="宋体" w:hAnsi="宋体" w:cs="宋体"/>
          <w:color w:val="auto"/>
          <w:sz w:val="24"/>
          <w:highlight w:val="none"/>
        </w:rPr>
        <w:t>▲1.自投标截止日起</w:t>
      </w:r>
      <w:r>
        <w:rPr>
          <w:rFonts w:hint="eastAsia" w:ascii="宋体" w:hAnsi="宋体" w:cs="宋体"/>
          <w:color w:val="auto"/>
          <w:sz w:val="24"/>
          <w:highlight w:val="none"/>
          <w:u w:val="single"/>
        </w:rPr>
        <w:t>60</w:t>
      </w:r>
      <w:r>
        <w:rPr>
          <w:rFonts w:hint="eastAsia" w:ascii="宋体" w:hAnsi="宋体" w:cs="宋体"/>
          <w:color w:val="auto"/>
          <w:sz w:val="24"/>
          <w:highlight w:val="none"/>
        </w:rPr>
        <w:t>天投标文件应保持有效。有效期不足的投标文件将被拒绝。</w:t>
      </w:r>
    </w:p>
    <w:p w14:paraId="6A85C9CF">
      <w:pPr>
        <w:spacing w:line="360" w:lineRule="auto"/>
        <w:rPr>
          <w:rFonts w:ascii="宋体" w:hAnsi="宋体" w:cs="宋体"/>
          <w:color w:val="auto"/>
          <w:sz w:val="24"/>
          <w:highlight w:val="none"/>
        </w:rPr>
      </w:pPr>
      <w:r>
        <w:rPr>
          <w:rFonts w:hint="eastAsia" w:ascii="宋体" w:hAnsi="宋体" w:cs="宋体"/>
          <w:color w:val="auto"/>
          <w:sz w:val="24"/>
          <w:highlight w:val="none"/>
        </w:rPr>
        <w:t>2.在特殊情况下，招标人可与投标人协商延长投标书的有效期，这种要求和答复均以书面形式进行。</w:t>
      </w:r>
    </w:p>
    <w:p w14:paraId="55E99284">
      <w:pPr>
        <w:spacing w:line="360" w:lineRule="auto"/>
        <w:rPr>
          <w:rFonts w:ascii="宋体" w:hAnsi="宋体" w:cs="宋体"/>
          <w:color w:val="auto"/>
          <w:sz w:val="24"/>
          <w:highlight w:val="none"/>
        </w:rPr>
      </w:pPr>
      <w:bookmarkStart w:id="25" w:name="_Toc407182105"/>
      <w:r>
        <w:rPr>
          <w:rFonts w:hint="eastAsia" w:ascii="宋体" w:hAnsi="宋体" w:cs="宋体"/>
          <w:color w:val="auto"/>
          <w:sz w:val="24"/>
          <w:highlight w:val="none"/>
        </w:rPr>
        <w:t>3.投标人可拒绝接受延期要求，若同意延长有效期的投标人，则不能修改投标文件。</w:t>
      </w:r>
      <w:bookmarkEnd w:id="25"/>
      <w:r>
        <w:rPr>
          <w:rFonts w:hint="eastAsia" w:ascii="宋体" w:hAnsi="宋体" w:cs="宋体"/>
          <w:color w:val="auto"/>
          <w:sz w:val="24"/>
          <w:highlight w:val="none"/>
        </w:rPr>
        <w:t xml:space="preserve"> </w:t>
      </w:r>
    </w:p>
    <w:p w14:paraId="239A67B1">
      <w:pPr>
        <w:spacing w:line="360" w:lineRule="auto"/>
        <w:rPr>
          <w:rFonts w:ascii="宋体" w:hAnsi="宋体" w:cs="宋体"/>
          <w:color w:val="auto"/>
          <w:sz w:val="24"/>
          <w:highlight w:val="none"/>
        </w:rPr>
      </w:pPr>
      <w:r>
        <w:rPr>
          <w:rFonts w:hint="eastAsia" w:ascii="宋体" w:hAnsi="宋体" w:cs="宋体"/>
          <w:color w:val="auto"/>
          <w:sz w:val="24"/>
          <w:highlight w:val="none"/>
        </w:rPr>
        <w:t>4.中标人的投标文件自开标之日起至合同履行完毕止均应保持有效。</w:t>
      </w:r>
    </w:p>
    <w:p w14:paraId="7E511BC1">
      <w:pPr>
        <w:spacing w:line="360" w:lineRule="auto"/>
        <w:rPr>
          <w:rFonts w:ascii="宋体" w:hAnsi="宋体" w:cs="宋体"/>
          <w:b/>
          <w:color w:val="auto"/>
          <w:sz w:val="24"/>
          <w:highlight w:val="none"/>
        </w:rPr>
      </w:pPr>
      <w:r>
        <w:rPr>
          <w:rFonts w:hint="eastAsia" w:ascii="宋体" w:hAnsi="宋体" w:cs="宋体"/>
          <w:b/>
          <w:color w:val="auto"/>
          <w:sz w:val="24"/>
          <w:highlight w:val="none"/>
        </w:rPr>
        <w:t>（五）履约保证金：本项目不收取履约保证金</w:t>
      </w:r>
    </w:p>
    <w:bookmarkEnd w:id="23"/>
    <w:bookmarkEnd w:id="24"/>
    <w:p w14:paraId="015C709D">
      <w:pPr>
        <w:spacing w:line="360" w:lineRule="auto"/>
        <w:rPr>
          <w:rFonts w:ascii="宋体" w:hAnsi="宋体" w:cs="宋体"/>
          <w:b/>
          <w:color w:val="auto"/>
          <w:sz w:val="24"/>
          <w:highlight w:val="none"/>
        </w:rPr>
      </w:pPr>
      <w:r>
        <w:rPr>
          <w:rFonts w:hint="eastAsia" w:ascii="宋体" w:hAnsi="宋体" w:cs="宋体"/>
          <w:b/>
          <w:color w:val="auto"/>
          <w:sz w:val="24"/>
          <w:highlight w:val="none"/>
        </w:rPr>
        <w:t>▲（六）投标文件的签署</w:t>
      </w:r>
    </w:p>
    <w:p w14:paraId="3C0F19C5">
      <w:pPr>
        <w:numPr>
          <w:ilvl w:val="0"/>
          <w:numId w:val="8"/>
        </w:numPr>
        <w:spacing w:line="360" w:lineRule="auto"/>
        <w:rPr>
          <w:rFonts w:ascii="宋体" w:hAnsi="宋体" w:cs="宋体"/>
          <w:color w:val="auto"/>
          <w:sz w:val="24"/>
          <w:highlight w:val="none"/>
        </w:rPr>
      </w:pPr>
      <w:r>
        <w:rPr>
          <w:rFonts w:hint="eastAsia" w:ascii="宋体" w:hAnsi="宋体" w:cs="宋体"/>
          <w:color w:val="auto"/>
          <w:sz w:val="24"/>
          <w:highlight w:val="none"/>
        </w:rPr>
        <w:t>投标人应按本招标文件规定的格式和顺序编制投标文件并标注页码，因投标文件内容不完整、编排混乱、放弃关联点或关联点错误等原因导致投标文件被误读、漏读或者查找不到相关内容等风险由投标人自行承担。</w:t>
      </w:r>
    </w:p>
    <w:p w14:paraId="2B801773">
      <w:pPr>
        <w:spacing w:line="360" w:lineRule="auto"/>
        <w:rPr>
          <w:rFonts w:ascii="宋体" w:hAnsi="宋体" w:cs="宋体"/>
          <w:b/>
          <w:color w:val="auto"/>
          <w:sz w:val="24"/>
          <w:highlight w:val="none"/>
        </w:rPr>
      </w:pPr>
      <w:r>
        <w:rPr>
          <w:rFonts w:hint="eastAsia" w:ascii="宋体" w:hAnsi="宋体" w:cs="宋体"/>
          <w:b/>
          <w:color w:val="auto"/>
          <w:sz w:val="24"/>
          <w:highlight w:val="none"/>
        </w:rPr>
        <w:t>2. 投标文件需盖章签字的地方必须由投标人法定代表人或法定代表人的授权委托人签署并加盖单位公章，投标人应写全称。</w:t>
      </w:r>
    </w:p>
    <w:p w14:paraId="3D0E8DAC">
      <w:pPr>
        <w:spacing w:line="360" w:lineRule="auto"/>
        <w:rPr>
          <w:rFonts w:ascii="宋体" w:hAnsi="宋体" w:cs="宋体"/>
          <w:color w:val="auto"/>
          <w:sz w:val="24"/>
          <w:highlight w:val="none"/>
        </w:rPr>
      </w:pPr>
      <w:r>
        <w:rPr>
          <w:rFonts w:hint="eastAsia" w:ascii="宋体" w:hAnsi="宋体" w:cs="宋体"/>
          <w:color w:val="auto"/>
          <w:sz w:val="24"/>
          <w:highlight w:val="none"/>
        </w:rPr>
        <w:t>3.投标文件不得涂改，若有修改错漏处，须加盖单位公章和由法定代表人或授权委托人签字或盖章。投标文件因字迹潦草或表达不清所引起的后果由投标人负责。</w:t>
      </w:r>
    </w:p>
    <w:p w14:paraId="6FCD3E24">
      <w:pPr>
        <w:spacing w:line="360" w:lineRule="auto"/>
        <w:rPr>
          <w:rFonts w:ascii="宋体" w:hAnsi="宋体" w:cs="宋体"/>
          <w:b/>
          <w:color w:val="auto"/>
          <w:sz w:val="24"/>
          <w:highlight w:val="none"/>
        </w:rPr>
      </w:pPr>
      <w:r>
        <w:rPr>
          <w:rFonts w:hint="eastAsia" w:ascii="宋体" w:hAnsi="宋体" w:cs="宋体"/>
          <w:b/>
          <w:color w:val="auto"/>
          <w:sz w:val="24"/>
          <w:highlight w:val="none"/>
        </w:rPr>
        <w:t>▲（七）投标文件的上传、递交、修改和撤回</w:t>
      </w:r>
    </w:p>
    <w:p w14:paraId="6386E0FB">
      <w:pPr>
        <w:spacing w:line="360" w:lineRule="auto"/>
        <w:ind w:firstLine="495"/>
        <w:rPr>
          <w:rFonts w:ascii="宋体" w:hAnsi="宋体" w:cs="宋体"/>
          <w:color w:val="auto"/>
          <w:sz w:val="24"/>
          <w:highlight w:val="none"/>
        </w:rPr>
      </w:pPr>
      <w:r>
        <w:rPr>
          <w:rFonts w:hint="eastAsia" w:ascii="宋体" w:hAnsi="宋体" w:cs="宋体"/>
          <w:color w:val="auto"/>
          <w:sz w:val="24"/>
          <w:highlight w:val="none"/>
        </w:rPr>
        <w:t>1. 投标人应当在投标截止时间前在“政采云”（电子交易平台）上自行上传加密的电子投标文件。</w:t>
      </w:r>
    </w:p>
    <w:p w14:paraId="2FDD31F5">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2.未按规定上传的投标文件将被拒绝，由此造成投标文件解密失败或被误投的风险由投标人承担。</w:t>
      </w:r>
    </w:p>
    <w:p w14:paraId="51A716A4">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 投标人未在“政采云”（电子交易平台）上自行上传加密的电子投标文件，仅提交电子备份投标文件的，投标无效。</w:t>
      </w:r>
    </w:p>
    <w:p w14:paraId="67BB419B">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 投标人应当在投标截止时间前完成电子投标文件的传输递交，并可以补充、修改或者撤回电子投标文件。补充或者修改电子投标文件的，应当先行撤回原文件，补充、修改后重新传输递交。投标截止时间前未完成传输的，视为撤回投标文件。投标、响应截止时间后上传的投标响应文件，将被政采云平台拒收。</w:t>
      </w:r>
    </w:p>
    <w:p w14:paraId="50DD90BB">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投标人在投标截止时间之前，可以对已提交的电子备份投标文件进行修改或撤回，并书面通知招标采购单位；修改后重新递交的电子备份投标文件应当按本招标文件的要求签署、盖章。投标截止时间后，投标人不得撤回、修改电子备份投标文件。</w:t>
      </w:r>
    </w:p>
    <w:p w14:paraId="1C9FD3C5">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5. 截止开标时间，政采云（电子交易平台）自动提取所有投标文件，投标人须在开标时间截止后30分钟内对上传政采云的投标文件进行解密，所有投标人在规定的解密时限内解密完成或解密时限到后，采购代理机构开启投标文件；投标人超过解密时限的，系统默认自动放弃。</w:t>
      </w:r>
    </w:p>
    <w:p w14:paraId="07741897">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6. 电子投标文件无法解密或解密失败时，投标人提供了电子备份投标文件的，以电子备份投标文件作为评审依据，否则视为投标文件撤回。投标文件已按时解密的，电子备份投标文件自动失效。</w:t>
      </w:r>
    </w:p>
    <w:p w14:paraId="2CF050B6">
      <w:pPr>
        <w:spacing w:line="360" w:lineRule="auto"/>
        <w:rPr>
          <w:rFonts w:ascii="宋体" w:hAnsi="宋体" w:cs="宋体"/>
          <w:b/>
          <w:color w:val="auto"/>
          <w:sz w:val="24"/>
          <w:highlight w:val="none"/>
        </w:rPr>
      </w:pPr>
      <w:r>
        <w:rPr>
          <w:rFonts w:hint="eastAsia" w:ascii="宋体" w:hAnsi="宋体" w:cs="宋体"/>
          <w:b/>
          <w:color w:val="auto"/>
          <w:sz w:val="24"/>
          <w:highlight w:val="none"/>
        </w:rPr>
        <w:t>（八）投标无效的情形</w:t>
      </w:r>
    </w:p>
    <w:p w14:paraId="446F7FA8">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实质上没有响应招标文件要求的投标将被视为无效投标。投标人不得通过修正或撤消不合要求的偏离或保留从而使其投标成为实质上响应的投标，但经评标委员会认定属于投标人疏忽、笔误所造成的差错，应当允许其在评标结束之前进行修改或者补正。限期内不补正或经补正后仍不符合招标文件要求的，应认定其投标无效。投标人修改、补正投标文件后，不影响评标委员会对其投标文件所作的评价和评分结果。</w:t>
      </w:r>
    </w:p>
    <w:p w14:paraId="41F57AF4">
      <w:pPr>
        <w:spacing w:line="360" w:lineRule="auto"/>
        <w:rPr>
          <w:rFonts w:ascii="宋体" w:hAnsi="宋体" w:cs="宋体"/>
          <w:b/>
          <w:color w:val="auto"/>
          <w:sz w:val="24"/>
          <w:highlight w:val="none"/>
        </w:rPr>
      </w:pPr>
      <w:r>
        <w:rPr>
          <w:rFonts w:hint="eastAsia" w:ascii="宋体" w:hAnsi="宋体" w:cs="宋体"/>
          <w:b/>
          <w:color w:val="auto"/>
          <w:sz w:val="24"/>
          <w:highlight w:val="none"/>
        </w:rPr>
        <w:t>1.在符合性审查和商务评审时，如发现下列情形之一的，投标文件将被视为无效：</w:t>
      </w:r>
    </w:p>
    <w:p w14:paraId="64259F7A">
      <w:pPr>
        <w:spacing w:line="360" w:lineRule="auto"/>
        <w:rPr>
          <w:rFonts w:ascii="宋体" w:hAnsi="宋体" w:cs="宋体"/>
          <w:color w:val="auto"/>
          <w:sz w:val="24"/>
          <w:highlight w:val="none"/>
        </w:rPr>
      </w:pPr>
      <w:r>
        <w:rPr>
          <w:rFonts w:hint="eastAsia" w:ascii="宋体" w:hAnsi="宋体" w:cs="宋体"/>
          <w:color w:val="auto"/>
          <w:sz w:val="24"/>
          <w:highlight w:val="none"/>
        </w:rPr>
        <w:t>（1）投标人仅提交电子备份投标文件的；</w:t>
      </w:r>
    </w:p>
    <w:p w14:paraId="059523DA">
      <w:pPr>
        <w:spacing w:line="360" w:lineRule="auto"/>
        <w:rPr>
          <w:rFonts w:ascii="宋体" w:hAnsi="宋体" w:cs="宋体"/>
          <w:color w:val="auto"/>
          <w:sz w:val="24"/>
          <w:highlight w:val="none"/>
        </w:rPr>
      </w:pPr>
      <w:r>
        <w:rPr>
          <w:rFonts w:hint="eastAsia" w:ascii="宋体" w:hAnsi="宋体" w:cs="宋体"/>
          <w:color w:val="auto"/>
          <w:sz w:val="24"/>
          <w:highlight w:val="none"/>
        </w:rPr>
        <w:t>（2）在开评标时出现电子投标文件无法解密或解密失败等情况，投标人未提供电子备份投标文件，无法对投标人继续进行评审的；</w:t>
      </w:r>
    </w:p>
    <w:p w14:paraId="15F058AE">
      <w:pPr>
        <w:spacing w:line="360" w:lineRule="auto"/>
        <w:rPr>
          <w:rFonts w:ascii="宋体" w:hAnsi="宋体" w:cs="宋体"/>
          <w:color w:val="auto"/>
          <w:sz w:val="24"/>
          <w:highlight w:val="none"/>
        </w:rPr>
      </w:pPr>
      <w:r>
        <w:rPr>
          <w:rFonts w:hint="eastAsia" w:ascii="宋体" w:hAnsi="宋体" w:cs="宋体"/>
          <w:color w:val="auto"/>
          <w:sz w:val="24"/>
          <w:highlight w:val="none"/>
        </w:rPr>
        <w:t>（3）投标人未在规定的时间内对电子询标函进行澄清回复、拒绝澄清回复或澄清回复的内容改变了投标文件的实质性内容的；</w:t>
      </w:r>
    </w:p>
    <w:p w14:paraId="17E80917">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（4）网上下载的证明文件，不能通过真实性验证的（发现提供虚假资料的，按照提供虚假资料处理）； </w:t>
      </w:r>
    </w:p>
    <w:p w14:paraId="57708791">
      <w:pPr>
        <w:spacing w:line="360" w:lineRule="auto"/>
        <w:rPr>
          <w:rFonts w:ascii="宋体" w:hAnsi="宋体" w:cs="宋体"/>
          <w:color w:val="auto"/>
          <w:sz w:val="24"/>
          <w:highlight w:val="none"/>
        </w:rPr>
      </w:pPr>
      <w:r>
        <w:rPr>
          <w:rFonts w:hint="eastAsia" w:ascii="宋体" w:hAnsi="宋体" w:cs="宋体"/>
          <w:color w:val="auto"/>
          <w:sz w:val="24"/>
          <w:highlight w:val="none"/>
        </w:rPr>
        <w:t>（5）资格证明文件不全的，或者不符合招标文件标明的资格要求的，及未提供招标文件中标有“ ▲”特殊符号的证明文件的；</w:t>
      </w:r>
    </w:p>
    <w:p w14:paraId="33BCE51B">
      <w:pPr>
        <w:spacing w:line="450" w:lineRule="exact"/>
        <w:rPr>
          <w:rFonts w:ascii="宋体" w:hAnsi="宋体" w:cs="宋体"/>
          <w:color w:val="auto"/>
          <w:sz w:val="24"/>
          <w:highlight w:val="none"/>
        </w:rPr>
      </w:pPr>
      <w:r>
        <w:rPr>
          <w:rFonts w:hint="eastAsia" w:ascii="宋体" w:hAnsi="宋体" w:cs="宋体"/>
          <w:color w:val="auto"/>
          <w:sz w:val="24"/>
          <w:highlight w:val="none"/>
        </w:rPr>
        <w:t>（6）本项目投标截止之日前三年内，相关主体在“信用中国”网站、中国政府采购网有失信行为或被列入受惩黑名单。</w:t>
      </w:r>
    </w:p>
    <w:p w14:paraId="3BA22E33">
      <w:pPr>
        <w:pStyle w:val="7"/>
        <w:rPr>
          <w:color w:val="auto"/>
          <w:highlight w:val="none"/>
        </w:rPr>
      </w:pPr>
    </w:p>
    <w:p w14:paraId="0F759A94">
      <w:pPr>
        <w:spacing w:line="360" w:lineRule="auto"/>
        <w:rPr>
          <w:rFonts w:ascii="宋体" w:hAnsi="宋体" w:cs="宋体"/>
          <w:color w:val="auto"/>
          <w:sz w:val="24"/>
          <w:highlight w:val="none"/>
        </w:rPr>
      </w:pPr>
      <w:r>
        <w:rPr>
          <w:rFonts w:hint="eastAsia" w:ascii="宋体" w:hAnsi="宋体" w:cs="宋体"/>
          <w:color w:val="auto"/>
          <w:sz w:val="24"/>
          <w:highlight w:val="none"/>
        </w:rPr>
        <w:t>（7）投标文件无法定代表人签字,或未提供法定代表人授权委托书、投标声明书或者填写项目不齐全的；</w:t>
      </w:r>
    </w:p>
    <w:p w14:paraId="4EB6BE1E">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（8）投标代表人未能出具身份证明或与法定代表人授权委托人身份不符的； </w:t>
      </w:r>
    </w:p>
    <w:p w14:paraId="7D255E2E">
      <w:pPr>
        <w:spacing w:line="360" w:lineRule="auto"/>
        <w:rPr>
          <w:rFonts w:ascii="宋体" w:hAnsi="宋体" w:cs="宋体"/>
          <w:color w:val="auto"/>
          <w:sz w:val="24"/>
          <w:highlight w:val="none"/>
        </w:rPr>
      </w:pPr>
      <w:r>
        <w:rPr>
          <w:rFonts w:hint="eastAsia" w:ascii="宋体" w:hAnsi="宋体" w:cs="宋体"/>
          <w:color w:val="auto"/>
          <w:sz w:val="24"/>
          <w:highlight w:val="none"/>
        </w:rPr>
        <w:t>（9）投标文件格式未按招标文件附件规定的格式、未按招标文件规定的内容编制投标文件的或者内容虚假的、未按规定签字或盖章的；</w:t>
      </w:r>
    </w:p>
    <w:p w14:paraId="60DE9961">
      <w:pPr>
        <w:spacing w:line="360" w:lineRule="auto"/>
        <w:rPr>
          <w:rFonts w:ascii="宋体" w:hAnsi="宋体" w:cs="宋体"/>
          <w:color w:val="auto"/>
          <w:sz w:val="24"/>
          <w:highlight w:val="none"/>
        </w:rPr>
      </w:pPr>
      <w:r>
        <w:rPr>
          <w:rFonts w:hint="eastAsia" w:ascii="宋体" w:hAnsi="宋体" w:cs="宋体"/>
          <w:color w:val="auto"/>
          <w:sz w:val="24"/>
          <w:highlight w:val="none"/>
        </w:rPr>
        <w:t>（10）投标文件的实质性内容未使用中文表述的或意思表述不明确、前后矛盾的或者使用计量单位不符合招标文件要求的（经评标委员会认定并允许其当场更正的笔误除外）；</w:t>
      </w:r>
    </w:p>
    <w:p w14:paraId="00945778">
      <w:pPr>
        <w:spacing w:line="360" w:lineRule="auto"/>
        <w:rPr>
          <w:rFonts w:ascii="宋体" w:hAnsi="宋体" w:cs="宋体"/>
          <w:color w:val="auto"/>
          <w:sz w:val="24"/>
          <w:highlight w:val="none"/>
        </w:rPr>
      </w:pPr>
      <w:r>
        <w:rPr>
          <w:rFonts w:hint="eastAsia" w:ascii="宋体" w:hAnsi="宋体" w:cs="宋体"/>
          <w:color w:val="auto"/>
          <w:sz w:val="24"/>
          <w:highlight w:val="none"/>
        </w:rPr>
        <w:t>（11）投标有效期、服务期（交货期）、质保期、付款方式等商务条款不能满足招标文件要求的；</w:t>
      </w:r>
    </w:p>
    <w:p w14:paraId="503A6064">
      <w:pPr>
        <w:spacing w:line="360" w:lineRule="auto"/>
        <w:rPr>
          <w:rFonts w:ascii="宋体" w:hAnsi="宋体" w:cs="宋体"/>
          <w:color w:val="auto"/>
          <w:sz w:val="24"/>
          <w:highlight w:val="none"/>
        </w:rPr>
      </w:pPr>
      <w:r>
        <w:rPr>
          <w:rFonts w:hint="eastAsia" w:ascii="宋体" w:hAnsi="宋体" w:cs="宋体"/>
          <w:color w:val="auto"/>
          <w:sz w:val="24"/>
          <w:highlight w:val="none"/>
        </w:rPr>
        <w:t>（12）未实质性响应招标文件要求或者投标文件有招标方不能接受的附加条件的；</w:t>
      </w:r>
    </w:p>
    <w:p w14:paraId="54448EEF">
      <w:pPr>
        <w:spacing w:line="360" w:lineRule="auto"/>
        <w:rPr>
          <w:rFonts w:ascii="宋体" w:hAnsi="宋体" w:cs="宋体"/>
          <w:color w:val="auto"/>
          <w:sz w:val="24"/>
          <w:highlight w:val="none"/>
        </w:rPr>
      </w:pPr>
      <w:r>
        <w:rPr>
          <w:rFonts w:hint="eastAsia" w:ascii="宋体" w:hAnsi="宋体" w:cs="宋体"/>
          <w:color w:val="auto"/>
          <w:sz w:val="24"/>
          <w:highlight w:val="none"/>
        </w:rPr>
        <w:t>（13）招标文件规定的其它投标无效的情况；</w:t>
      </w:r>
    </w:p>
    <w:p w14:paraId="0285458E">
      <w:pPr>
        <w:tabs>
          <w:tab w:val="left" w:pos="401"/>
        </w:tabs>
        <w:spacing w:line="360" w:lineRule="auto"/>
        <w:rPr>
          <w:rFonts w:ascii="宋体" w:hAnsi="宋体" w:cs="宋体"/>
          <w:color w:val="auto"/>
          <w:sz w:val="24"/>
          <w:highlight w:val="none"/>
        </w:rPr>
      </w:pPr>
      <w:r>
        <w:rPr>
          <w:rFonts w:hint="eastAsia" w:ascii="宋体" w:hAnsi="宋体" w:cs="宋体"/>
          <w:color w:val="auto"/>
          <w:sz w:val="24"/>
          <w:highlight w:val="none"/>
        </w:rPr>
        <w:t>（14）法律、法规规定的其它投标无效情况。</w:t>
      </w:r>
    </w:p>
    <w:p w14:paraId="6FE1C2E1">
      <w:pPr>
        <w:spacing w:line="360" w:lineRule="auto"/>
        <w:rPr>
          <w:rFonts w:ascii="宋体" w:hAnsi="宋体" w:cs="宋体"/>
          <w:b/>
          <w:color w:val="auto"/>
          <w:sz w:val="24"/>
          <w:highlight w:val="none"/>
        </w:rPr>
      </w:pPr>
      <w:r>
        <w:rPr>
          <w:rFonts w:hint="eastAsia" w:ascii="宋体" w:hAnsi="宋体" w:cs="宋体"/>
          <w:b/>
          <w:color w:val="auto"/>
          <w:sz w:val="24"/>
          <w:highlight w:val="none"/>
        </w:rPr>
        <w:t>2.在技术资信评审时，如发现下列情形之一的，投标文件将被视为无效：</w:t>
      </w:r>
    </w:p>
    <w:p w14:paraId="5A15A3F0">
      <w:pPr>
        <w:spacing w:line="360" w:lineRule="auto"/>
        <w:rPr>
          <w:rFonts w:ascii="宋体" w:hAnsi="宋体" w:cs="宋体"/>
          <w:b/>
          <w:color w:val="auto"/>
          <w:sz w:val="24"/>
          <w:highlight w:val="none"/>
        </w:rPr>
      </w:pPr>
      <w:r>
        <w:rPr>
          <w:rFonts w:hint="eastAsia" w:ascii="宋体" w:hAnsi="宋体" w:cs="宋体"/>
          <w:color w:val="auto"/>
          <w:sz w:val="24"/>
          <w:highlight w:val="none"/>
        </w:rPr>
        <w:t>（1）投标人未在规定的时间内对电子询标函进行澄清回复、拒绝澄清回复或澄清回复的内容改变了投标文件的实质性内容的；</w:t>
      </w:r>
    </w:p>
    <w:p w14:paraId="1A88C034">
      <w:pPr>
        <w:spacing w:line="360" w:lineRule="auto"/>
        <w:rPr>
          <w:rFonts w:ascii="宋体" w:hAnsi="宋体" w:cs="宋体"/>
          <w:color w:val="auto"/>
          <w:sz w:val="24"/>
          <w:highlight w:val="none"/>
        </w:rPr>
      </w:pPr>
      <w:r>
        <w:rPr>
          <w:rFonts w:hint="eastAsia" w:ascii="宋体" w:hAnsi="宋体" w:cs="宋体"/>
          <w:color w:val="auto"/>
          <w:sz w:val="24"/>
          <w:highlight w:val="none"/>
        </w:rPr>
        <w:t>（2）投标文件标明的响应或偏离与事实不符的或虚假投标的；</w:t>
      </w:r>
    </w:p>
    <w:p w14:paraId="12B7F5F7">
      <w:pPr>
        <w:spacing w:line="360" w:lineRule="auto"/>
        <w:rPr>
          <w:rFonts w:ascii="宋体" w:hAnsi="宋体" w:cs="宋体"/>
          <w:color w:val="auto"/>
          <w:sz w:val="24"/>
          <w:highlight w:val="none"/>
        </w:rPr>
      </w:pPr>
      <w:r>
        <w:rPr>
          <w:rFonts w:hint="eastAsia" w:ascii="宋体" w:hAnsi="宋体" w:cs="宋体"/>
          <w:color w:val="auto"/>
          <w:sz w:val="24"/>
          <w:highlight w:val="none"/>
        </w:rPr>
        <w:t>（3）明显不符合招标文件质量标准的，或者与招标文件中标有“ ▲”特殊符号的技术指标、主要功能项目发生实质性偏离的；</w:t>
      </w:r>
    </w:p>
    <w:p w14:paraId="1A873D69">
      <w:pPr>
        <w:spacing w:line="360" w:lineRule="auto"/>
        <w:rPr>
          <w:rFonts w:ascii="宋体" w:hAnsi="宋体" w:cs="宋体"/>
          <w:color w:val="auto"/>
          <w:sz w:val="24"/>
          <w:highlight w:val="none"/>
        </w:rPr>
      </w:pPr>
      <w:r>
        <w:rPr>
          <w:rFonts w:hint="eastAsia" w:ascii="宋体" w:hAnsi="宋体" w:cs="宋体"/>
          <w:color w:val="auto"/>
          <w:sz w:val="24"/>
          <w:highlight w:val="none"/>
        </w:rPr>
        <w:t>（4）招标文件中允许偏离的技术、性能指标或者辅助功能发生较大负偏离的，经评标委员会认定对项目实际使用造成影响的；</w:t>
      </w:r>
    </w:p>
    <w:p w14:paraId="6C0CD197">
      <w:pPr>
        <w:spacing w:line="360" w:lineRule="auto"/>
        <w:rPr>
          <w:rFonts w:ascii="宋体" w:hAnsi="宋体" w:cs="宋体"/>
          <w:color w:val="auto"/>
          <w:sz w:val="24"/>
          <w:highlight w:val="none"/>
        </w:rPr>
      </w:pPr>
      <w:r>
        <w:rPr>
          <w:rFonts w:hint="eastAsia" w:ascii="宋体" w:hAnsi="宋体" w:cs="宋体"/>
          <w:color w:val="auto"/>
          <w:sz w:val="24"/>
          <w:highlight w:val="none"/>
        </w:rPr>
        <w:t>（5）投标技术方案不明确，存在一个或一个以上备选（替代）投标方案的；</w:t>
      </w:r>
    </w:p>
    <w:p w14:paraId="76995628">
      <w:pPr>
        <w:spacing w:line="360" w:lineRule="auto"/>
        <w:rPr>
          <w:rFonts w:ascii="宋体" w:hAnsi="宋体" w:cs="宋体"/>
          <w:color w:val="auto"/>
          <w:sz w:val="24"/>
          <w:highlight w:val="none"/>
        </w:rPr>
      </w:pPr>
      <w:r>
        <w:rPr>
          <w:rFonts w:hint="eastAsia" w:ascii="宋体" w:hAnsi="宋体" w:cs="宋体"/>
          <w:color w:val="auto"/>
          <w:sz w:val="24"/>
          <w:highlight w:val="none"/>
        </w:rPr>
        <w:t>（6）与其他参加本次投标供应商的投标文件的文字表述内容相同连续20行以上或者差错相同2处以上的；</w:t>
      </w:r>
    </w:p>
    <w:p w14:paraId="681689EC">
      <w:pPr>
        <w:spacing w:line="360" w:lineRule="auto"/>
        <w:rPr>
          <w:rFonts w:ascii="宋体" w:hAnsi="宋体" w:cs="宋体"/>
          <w:color w:val="auto"/>
          <w:sz w:val="24"/>
          <w:highlight w:val="none"/>
        </w:rPr>
      </w:pPr>
      <w:r>
        <w:rPr>
          <w:rFonts w:hint="eastAsia" w:ascii="宋体" w:hAnsi="宋体" w:cs="宋体"/>
          <w:color w:val="auto"/>
          <w:sz w:val="24"/>
          <w:highlight w:val="none"/>
        </w:rPr>
        <w:t>（7）在资信及商务标、技术标内出现商务报价；</w:t>
      </w:r>
    </w:p>
    <w:p w14:paraId="5043C6A3">
      <w:pPr>
        <w:spacing w:line="360" w:lineRule="auto"/>
        <w:rPr>
          <w:rFonts w:ascii="宋体" w:hAnsi="宋体" w:cs="宋体"/>
          <w:color w:val="auto"/>
          <w:sz w:val="24"/>
          <w:highlight w:val="none"/>
        </w:rPr>
      </w:pPr>
      <w:r>
        <w:rPr>
          <w:rFonts w:hint="eastAsia" w:ascii="宋体" w:hAnsi="宋体" w:cs="宋体"/>
          <w:color w:val="auto"/>
          <w:sz w:val="24"/>
          <w:highlight w:val="none"/>
        </w:rPr>
        <w:t>（8）招标文件规定的其它投标无效的情况；</w:t>
      </w:r>
    </w:p>
    <w:p w14:paraId="1E37CBB5">
      <w:pPr>
        <w:spacing w:line="360" w:lineRule="auto"/>
        <w:rPr>
          <w:rFonts w:ascii="宋体" w:hAnsi="宋体" w:cs="宋体"/>
          <w:color w:val="auto"/>
          <w:sz w:val="24"/>
          <w:highlight w:val="none"/>
        </w:rPr>
      </w:pPr>
      <w:r>
        <w:rPr>
          <w:rFonts w:hint="eastAsia" w:ascii="宋体" w:hAnsi="宋体" w:cs="宋体"/>
          <w:color w:val="auto"/>
          <w:sz w:val="24"/>
          <w:highlight w:val="none"/>
        </w:rPr>
        <w:t>（9）法律、法规规定的其它投标无效情况。</w:t>
      </w:r>
    </w:p>
    <w:p w14:paraId="56DAF45A">
      <w:pPr>
        <w:spacing w:line="360" w:lineRule="auto"/>
        <w:rPr>
          <w:rFonts w:ascii="宋体" w:hAnsi="宋体" w:cs="宋体"/>
          <w:b/>
          <w:color w:val="auto"/>
          <w:sz w:val="24"/>
          <w:highlight w:val="none"/>
        </w:rPr>
      </w:pPr>
      <w:r>
        <w:rPr>
          <w:rFonts w:hint="eastAsia" w:ascii="宋体" w:hAnsi="宋体" w:cs="宋体"/>
          <w:b/>
          <w:color w:val="auto"/>
          <w:sz w:val="24"/>
          <w:highlight w:val="none"/>
        </w:rPr>
        <w:t>3.在报价评审时，如发现下列情形之一的，投标文件将被视为无效：</w:t>
      </w:r>
    </w:p>
    <w:p w14:paraId="2A141D8F">
      <w:pPr>
        <w:spacing w:line="360" w:lineRule="auto"/>
        <w:rPr>
          <w:rFonts w:ascii="宋体" w:hAnsi="宋体" w:cs="宋体"/>
          <w:color w:val="auto"/>
          <w:sz w:val="24"/>
          <w:highlight w:val="none"/>
        </w:rPr>
      </w:pPr>
      <w:r>
        <w:rPr>
          <w:rFonts w:hint="eastAsia" w:ascii="宋体" w:hAnsi="宋体" w:cs="宋体"/>
          <w:color w:val="auto"/>
          <w:sz w:val="24"/>
          <w:highlight w:val="none"/>
        </w:rPr>
        <w:t>（1）投标人未在规定的时间内对电子询标函进行澄清回复、拒绝澄清回复或者澄清回复的内容改变了投标文件的实质性内容的；</w:t>
      </w:r>
    </w:p>
    <w:p w14:paraId="4ADC5EDC">
      <w:pPr>
        <w:spacing w:line="360" w:lineRule="auto"/>
        <w:rPr>
          <w:rFonts w:ascii="宋体" w:hAnsi="宋体" w:cs="宋体"/>
          <w:color w:val="auto"/>
          <w:sz w:val="24"/>
          <w:highlight w:val="none"/>
        </w:rPr>
      </w:pPr>
      <w:r>
        <w:rPr>
          <w:rFonts w:hint="eastAsia" w:ascii="宋体" w:hAnsi="宋体" w:cs="宋体"/>
          <w:color w:val="auto"/>
          <w:sz w:val="24"/>
          <w:highlight w:val="none"/>
        </w:rPr>
        <w:t>（2）未填写投标报价或未采用人民币报价或者未按照招标文件标明的币种报价的；</w:t>
      </w:r>
    </w:p>
    <w:p w14:paraId="0372D4F0">
      <w:pPr>
        <w:spacing w:line="360" w:lineRule="auto"/>
        <w:rPr>
          <w:rFonts w:ascii="宋体" w:hAnsi="宋体" w:cs="宋体"/>
          <w:color w:val="auto"/>
          <w:sz w:val="24"/>
          <w:highlight w:val="none"/>
        </w:rPr>
      </w:pPr>
      <w:r>
        <w:rPr>
          <w:rFonts w:hint="eastAsia" w:ascii="宋体" w:hAnsi="宋体" w:cs="宋体"/>
          <w:color w:val="auto"/>
          <w:sz w:val="24"/>
          <w:highlight w:val="none"/>
        </w:rPr>
        <w:t>（3）投标报价具有选择性的，或者开标价格与投标文件承诺的优惠（折扣）价格不一致的；</w:t>
      </w:r>
    </w:p>
    <w:p w14:paraId="79D7FE0D">
      <w:pPr>
        <w:spacing w:line="360" w:lineRule="auto"/>
        <w:rPr>
          <w:rFonts w:ascii="宋体" w:hAnsi="宋体" w:cs="宋体"/>
          <w:color w:val="auto"/>
          <w:sz w:val="24"/>
          <w:highlight w:val="none"/>
        </w:rPr>
      </w:pPr>
      <w:r>
        <w:rPr>
          <w:rFonts w:hint="eastAsia" w:ascii="宋体" w:hAnsi="宋体" w:cs="宋体"/>
          <w:color w:val="auto"/>
          <w:sz w:val="24"/>
          <w:highlight w:val="none"/>
        </w:rPr>
        <w:t>（4）报价高于用户设定的最高限价或预算金额的；</w:t>
      </w:r>
    </w:p>
    <w:p w14:paraId="64BE7FF0">
      <w:pPr>
        <w:spacing w:line="360" w:lineRule="auto"/>
        <w:rPr>
          <w:rFonts w:ascii="宋体" w:hAnsi="宋体" w:cs="宋体"/>
          <w:color w:val="auto"/>
          <w:sz w:val="24"/>
          <w:highlight w:val="none"/>
        </w:rPr>
      </w:pPr>
      <w:r>
        <w:rPr>
          <w:rFonts w:hint="eastAsia" w:ascii="宋体" w:hAnsi="宋体" w:cs="宋体"/>
          <w:color w:val="auto"/>
          <w:sz w:val="24"/>
          <w:highlight w:val="none"/>
        </w:rPr>
        <w:t>（5）招标文件规定的其它投标无效的情况；</w:t>
      </w:r>
    </w:p>
    <w:p w14:paraId="6707BEEA">
      <w:pPr>
        <w:spacing w:line="360" w:lineRule="auto"/>
        <w:rPr>
          <w:rFonts w:ascii="宋体" w:hAnsi="宋体" w:cs="宋体"/>
          <w:color w:val="auto"/>
          <w:sz w:val="24"/>
          <w:highlight w:val="none"/>
        </w:rPr>
      </w:pPr>
      <w:r>
        <w:rPr>
          <w:rFonts w:hint="eastAsia" w:ascii="宋体" w:hAnsi="宋体" w:cs="宋体"/>
          <w:color w:val="auto"/>
          <w:sz w:val="24"/>
          <w:highlight w:val="none"/>
        </w:rPr>
        <w:t>（6）法律、法规规定的其它投标无效情况。</w:t>
      </w:r>
    </w:p>
    <w:p w14:paraId="383C33A4">
      <w:pPr>
        <w:spacing w:line="360" w:lineRule="auto"/>
        <w:rPr>
          <w:rFonts w:ascii="宋体" w:hAnsi="宋体" w:cs="宋体"/>
          <w:b/>
          <w:color w:val="auto"/>
          <w:sz w:val="24"/>
          <w:highlight w:val="none"/>
        </w:rPr>
      </w:pPr>
      <w:r>
        <w:rPr>
          <w:rFonts w:hint="eastAsia" w:ascii="宋体" w:hAnsi="宋体" w:cs="宋体"/>
          <w:b/>
          <w:color w:val="auto"/>
          <w:sz w:val="24"/>
          <w:highlight w:val="none"/>
        </w:rPr>
        <w:t>4.被拒绝的投标文件为无效。</w:t>
      </w:r>
    </w:p>
    <w:p w14:paraId="305FEBED">
      <w:pPr>
        <w:spacing w:line="360" w:lineRule="auto"/>
        <w:rPr>
          <w:rFonts w:ascii="宋体" w:hAnsi="宋体" w:cs="宋体"/>
          <w:b/>
          <w:color w:val="auto"/>
          <w:sz w:val="24"/>
          <w:highlight w:val="none"/>
        </w:rPr>
      </w:pPr>
      <w:r>
        <w:rPr>
          <w:rFonts w:hint="eastAsia" w:ascii="宋体" w:hAnsi="宋体" w:cs="宋体"/>
          <w:b/>
          <w:color w:val="auto"/>
          <w:sz w:val="24"/>
          <w:highlight w:val="none"/>
        </w:rPr>
        <w:t>5.根据有关法律、法规规定为无效、废标的，按法律、法规规定执行。</w:t>
      </w:r>
    </w:p>
    <w:p w14:paraId="2A648940">
      <w:pPr>
        <w:pStyle w:val="5"/>
        <w:keepNext w:val="0"/>
        <w:keepLines w:val="0"/>
        <w:pageBreakBefore/>
        <w:spacing w:line="360" w:lineRule="auto"/>
        <w:jc w:val="center"/>
        <w:rPr>
          <w:rFonts w:ascii="宋体" w:hAnsi="宋体" w:eastAsia="宋体" w:cs="宋体"/>
          <w:color w:val="auto"/>
          <w:sz w:val="24"/>
          <w:szCs w:val="24"/>
          <w:highlight w:val="none"/>
        </w:rPr>
      </w:pPr>
      <w:bookmarkStart w:id="26" w:name="_Toc10088"/>
      <w:bookmarkStart w:id="27" w:name="_Toc458697270"/>
      <w:r>
        <w:rPr>
          <w:rFonts w:hint="eastAsia" w:ascii="宋体" w:hAnsi="宋体" w:eastAsia="宋体" w:cs="宋体"/>
          <w:color w:val="auto"/>
          <w:sz w:val="24"/>
          <w:szCs w:val="24"/>
          <w:highlight w:val="none"/>
        </w:rPr>
        <w:t>四、开标</w:t>
      </w:r>
      <w:bookmarkEnd w:id="26"/>
      <w:bookmarkEnd w:id="27"/>
    </w:p>
    <w:p w14:paraId="40FE0282">
      <w:pPr>
        <w:spacing w:line="360" w:lineRule="auto"/>
        <w:rPr>
          <w:rFonts w:ascii="宋体" w:hAnsi="宋体" w:cs="宋体"/>
          <w:b/>
          <w:color w:val="auto"/>
          <w:sz w:val="24"/>
          <w:highlight w:val="none"/>
        </w:rPr>
      </w:pPr>
      <w:r>
        <w:rPr>
          <w:rFonts w:hint="eastAsia" w:ascii="宋体" w:hAnsi="宋体" w:cs="宋体"/>
          <w:b/>
          <w:color w:val="auto"/>
          <w:sz w:val="24"/>
          <w:highlight w:val="none"/>
        </w:rPr>
        <w:t xml:space="preserve">（一）开标准备   </w:t>
      </w:r>
    </w:p>
    <w:p w14:paraId="76CE2B2A">
      <w:pPr>
        <w:spacing w:line="360" w:lineRule="auto"/>
        <w:ind w:firstLine="720" w:firstLineChars="300"/>
        <w:rPr>
          <w:rFonts w:ascii="宋体" w:hAnsi="宋体" w:cs="宋体"/>
          <w:bCs/>
          <w:color w:val="auto"/>
          <w:sz w:val="24"/>
          <w:highlight w:val="none"/>
        </w:rPr>
      </w:pPr>
      <w:r>
        <w:rPr>
          <w:rFonts w:hint="eastAsia" w:ascii="宋体" w:hAnsi="宋体" w:cs="宋体"/>
          <w:bCs/>
          <w:color w:val="auto"/>
          <w:sz w:val="24"/>
          <w:highlight w:val="none"/>
        </w:rPr>
        <w:t>采购代理机构将在规定的时间和地点进行电子开标，投标人的法定代表人或其委托代理人【委托代理人应当是投标人的在职正式职工（以投标人本单位缴纳社保花名册为准）】应做好投标准备，准时在线参加电子开标会议，随时关注开标进度。</w:t>
      </w:r>
    </w:p>
    <w:p w14:paraId="5B4AA491">
      <w:pPr>
        <w:spacing w:line="360" w:lineRule="auto"/>
        <w:rPr>
          <w:rFonts w:ascii="宋体" w:hAnsi="宋体" w:cs="宋体"/>
          <w:b/>
          <w:color w:val="auto"/>
          <w:sz w:val="24"/>
          <w:highlight w:val="none"/>
        </w:rPr>
      </w:pPr>
      <w:r>
        <w:rPr>
          <w:rFonts w:hint="eastAsia" w:ascii="宋体" w:hAnsi="宋体" w:cs="宋体"/>
          <w:b/>
          <w:color w:val="auto"/>
          <w:sz w:val="24"/>
          <w:highlight w:val="none"/>
        </w:rPr>
        <w:t>（二）电子招投标开标程序</w:t>
      </w:r>
    </w:p>
    <w:p w14:paraId="29C75FA2">
      <w:pPr>
        <w:spacing w:line="360" w:lineRule="auto"/>
        <w:rPr>
          <w:rFonts w:ascii="宋体" w:hAnsi="宋体" w:cs="宋体"/>
          <w:bCs/>
          <w:color w:val="auto"/>
          <w:sz w:val="24"/>
          <w:highlight w:val="none"/>
        </w:rPr>
      </w:pPr>
      <w:r>
        <w:rPr>
          <w:rFonts w:hint="eastAsia" w:ascii="宋体" w:hAnsi="宋体" w:cs="宋体"/>
          <w:bCs/>
          <w:color w:val="auto"/>
          <w:sz w:val="24"/>
          <w:highlight w:val="none"/>
        </w:rPr>
        <w:t>1.开标会由招标代理机构主持，主持人宣布开标会议开始；</w:t>
      </w:r>
    </w:p>
    <w:p w14:paraId="30F93F34">
      <w:pPr>
        <w:spacing w:line="360" w:lineRule="auto"/>
        <w:rPr>
          <w:rFonts w:ascii="宋体" w:hAnsi="宋体" w:cs="宋体"/>
          <w:bCs/>
          <w:color w:val="auto"/>
          <w:sz w:val="24"/>
          <w:highlight w:val="none"/>
        </w:rPr>
      </w:pPr>
      <w:r>
        <w:rPr>
          <w:rFonts w:hint="eastAsia" w:ascii="宋体" w:hAnsi="宋体" w:cs="宋体"/>
          <w:bCs/>
          <w:color w:val="auto"/>
          <w:sz w:val="24"/>
          <w:highlight w:val="none"/>
        </w:rPr>
        <w:t>2.主持人宣布评标室会议纪律及评标期间的有关事项；告知应当回避的情形,提请有关人员回避；</w:t>
      </w:r>
    </w:p>
    <w:p w14:paraId="6989287E">
      <w:pPr>
        <w:spacing w:line="360" w:lineRule="auto"/>
        <w:rPr>
          <w:rFonts w:ascii="宋体" w:hAnsi="宋体" w:cs="宋体"/>
          <w:color w:val="auto"/>
          <w:sz w:val="24"/>
          <w:highlight w:val="none"/>
        </w:rPr>
      </w:pPr>
      <w:r>
        <w:rPr>
          <w:rFonts w:hint="eastAsia" w:ascii="宋体" w:hAnsi="宋体" w:cs="宋体"/>
          <w:color w:val="auto"/>
          <w:sz w:val="24"/>
          <w:highlight w:val="none"/>
        </w:rPr>
        <w:t>3.开标及评审程序</w:t>
      </w:r>
    </w:p>
    <w:p w14:paraId="20767351">
      <w:pPr>
        <w:spacing w:line="360" w:lineRule="auto"/>
        <w:rPr>
          <w:rFonts w:ascii="宋体" w:hAnsi="宋体" w:cs="宋体"/>
          <w:color w:val="auto"/>
          <w:sz w:val="24"/>
          <w:highlight w:val="none"/>
        </w:rPr>
      </w:pPr>
      <w:r>
        <w:rPr>
          <w:rFonts w:hint="eastAsia" w:ascii="宋体" w:hAnsi="宋体" w:cs="宋体"/>
          <w:color w:val="auto"/>
          <w:sz w:val="24"/>
          <w:highlight w:val="none"/>
        </w:rPr>
        <w:t>3.1在开标时间截止后30分钟内由各投标人自行对投标文件进行解密；</w:t>
      </w:r>
    </w:p>
    <w:p w14:paraId="7E797C3F">
      <w:pPr>
        <w:spacing w:line="360" w:lineRule="auto"/>
        <w:ind w:left="480" w:hanging="480" w:hangingChars="200"/>
        <w:rPr>
          <w:rFonts w:ascii="宋体" w:hAnsi="宋体" w:cs="宋体"/>
          <w:color w:val="auto"/>
          <w:sz w:val="24"/>
          <w:highlight w:val="none"/>
        </w:rPr>
      </w:pPr>
      <w:r>
        <w:rPr>
          <w:rFonts w:hint="eastAsia" w:ascii="宋体" w:hAnsi="宋体" w:cs="宋体"/>
          <w:color w:val="auto"/>
          <w:sz w:val="24"/>
          <w:highlight w:val="none"/>
        </w:rPr>
        <w:t>3.2由采购人进行资格审查，通过资格审查的投标人进入商务技术响应文件进行评审；</w:t>
      </w:r>
    </w:p>
    <w:p w14:paraId="6AA9029C">
      <w:pPr>
        <w:spacing w:line="360" w:lineRule="auto"/>
        <w:rPr>
          <w:rFonts w:ascii="宋体" w:hAnsi="宋体" w:cs="宋体"/>
          <w:color w:val="auto"/>
          <w:sz w:val="24"/>
          <w:highlight w:val="none"/>
        </w:rPr>
      </w:pPr>
      <w:r>
        <w:rPr>
          <w:rFonts w:hint="eastAsia" w:ascii="宋体" w:hAnsi="宋体" w:cs="宋体"/>
          <w:color w:val="auto"/>
          <w:sz w:val="24"/>
          <w:highlight w:val="none"/>
        </w:rPr>
        <w:t>3.3系统对各投标人的商务技术进行汇总并公布商务技术得分；</w:t>
      </w:r>
    </w:p>
    <w:p w14:paraId="39AD6119">
      <w:pPr>
        <w:spacing w:line="360" w:lineRule="auto"/>
        <w:rPr>
          <w:rFonts w:ascii="宋体" w:hAnsi="宋体" w:cs="宋体"/>
          <w:color w:val="auto"/>
          <w:sz w:val="24"/>
          <w:highlight w:val="none"/>
        </w:rPr>
      </w:pPr>
      <w:r>
        <w:rPr>
          <w:rFonts w:hint="eastAsia" w:ascii="宋体" w:hAnsi="宋体" w:cs="宋体"/>
          <w:color w:val="auto"/>
          <w:sz w:val="24"/>
          <w:highlight w:val="none"/>
        </w:rPr>
        <w:t>3.4在系统上公开报价开标情况；</w:t>
      </w:r>
    </w:p>
    <w:p w14:paraId="04FACF49">
      <w:pPr>
        <w:spacing w:line="360" w:lineRule="auto"/>
        <w:rPr>
          <w:rFonts w:ascii="宋体" w:hAnsi="宋体" w:cs="宋体"/>
          <w:color w:val="auto"/>
          <w:sz w:val="24"/>
          <w:highlight w:val="none"/>
        </w:rPr>
      </w:pPr>
      <w:r>
        <w:rPr>
          <w:rFonts w:hint="eastAsia" w:ascii="宋体" w:hAnsi="宋体" w:cs="宋体"/>
          <w:color w:val="auto"/>
          <w:sz w:val="24"/>
          <w:highlight w:val="none"/>
        </w:rPr>
        <w:t>3.5评标委员会对报价情况进行评审；</w:t>
      </w:r>
    </w:p>
    <w:p w14:paraId="505664CE">
      <w:pPr>
        <w:spacing w:line="360" w:lineRule="auto"/>
        <w:rPr>
          <w:rFonts w:ascii="宋体" w:hAnsi="宋体" w:cs="宋体"/>
          <w:color w:val="auto"/>
          <w:sz w:val="24"/>
          <w:highlight w:val="none"/>
        </w:rPr>
      </w:pPr>
      <w:r>
        <w:rPr>
          <w:rFonts w:hint="eastAsia" w:ascii="宋体" w:hAnsi="宋体" w:cs="宋体"/>
          <w:color w:val="auto"/>
          <w:sz w:val="24"/>
          <w:highlight w:val="none"/>
        </w:rPr>
        <w:t>3.6在系统上公布评审结果。</w:t>
      </w:r>
    </w:p>
    <w:p w14:paraId="2206DBFC">
      <w:pPr>
        <w:spacing w:line="360" w:lineRule="auto"/>
        <w:rPr>
          <w:rFonts w:ascii="宋体" w:hAnsi="宋体" w:cs="宋体"/>
          <w:b/>
          <w:color w:val="auto"/>
          <w:sz w:val="24"/>
          <w:highlight w:val="none"/>
        </w:rPr>
      </w:pPr>
      <w:r>
        <w:rPr>
          <w:rFonts w:hint="eastAsia" w:ascii="宋体" w:hAnsi="宋体" w:cs="宋体"/>
          <w:b/>
          <w:color w:val="auto"/>
          <w:sz w:val="24"/>
          <w:highlight w:val="none"/>
        </w:rPr>
        <w:t>特别说明：政采云公司如对电子化开标及评审程序有调整的，按调整后的程序操作。</w:t>
      </w:r>
    </w:p>
    <w:p w14:paraId="2065B95A">
      <w:pPr>
        <w:spacing w:line="360" w:lineRule="auto"/>
        <w:rPr>
          <w:rFonts w:ascii="宋体" w:hAnsi="宋体" w:cs="宋体"/>
          <w:color w:val="auto"/>
          <w:sz w:val="24"/>
          <w:highlight w:val="none"/>
        </w:rPr>
      </w:pPr>
      <w:r>
        <w:rPr>
          <w:rFonts w:hint="eastAsia" w:ascii="宋体" w:hAnsi="宋体" w:cs="宋体"/>
          <w:color w:val="auto"/>
          <w:sz w:val="24"/>
          <w:highlight w:val="none"/>
        </w:rPr>
        <w:t>4、本项目采用政采云电子招投标开标及评审程序，开评标时出现电子投标文件无法解密或解密失败等情况时，采购代理机构可上传投标人的电子备份投标文件继续评审。</w:t>
      </w:r>
    </w:p>
    <w:p w14:paraId="4EAF4F6B">
      <w:pPr>
        <w:pStyle w:val="2"/>
        <w:rPr>
          <w:color w:val="auto"/>
          <w:highlight w:val="none"/>
        </w:rPr>
      </w:pPr>
    </w:p>
    <w:p w14:paraId="3C19E647">
      <w:pPr>
        <w:pStyle w:val="5"/>
        <w:keepNext w:val="0"/>
        <w:keepLines w:val="0"/>
        <w:pageBreakBefore/>
        <w:spacing w:line="360" w:lineRule="auto"/>
        <w:jc w:val="center"/>
        <w:rPr>
          <w:rFonts w:ascii="宋体" w:hAnsi="宋体" w:eastAsia="宋体" w:cs="宋体"/>
          <w:color w:val="auto"/>
          <w:sz w:val="24"/>
          <w:szCs w:val="24"/>
          <w:highlight w:val="none"/>
        </w:rPr>
      </w:pPr>
      <w:bookmarkStart w:id="28" w:name="_Toc458697271"/>
      <w:bookmarkStart w:id="29" w:name="_Toc7166"/>
      <w:bookmarkStart w:id="30" w:name="_Toc5630"/>
      <w:r>
        <w:rPr>
          <w:rFonts w:hint="eastAsia" w:ascii="宋体" w:hAnsi="宋体" w:eastAsia="宋体" w:cs="宋体"/>
          <w:color w:val="auto"/>
          <w:sz w:val="24"/>
          <w:szCs w:val="24"/>
          <w:highlight w:val="none"/>
        </w:rPr>
        <w:t>五、评标</w:t>
      </w:r>
      <w:bookmarkEnd w:id="28"/>
      <w:bookmarkEnd w:id="29"/>
      <w:bookmarkEnd w:id="30"/>
    </w:p>
    <w:p w14:paraId="36F5CDCD">
      <w:pPr>
        <w:spacing w:line="360" w:lineRule="auto"/>
        <w:rPr>
          <w:rFonts w:ascii="宋体" w:hAnsi="宋体" w:cs="宋体"/>
          <w:b/>
          <w:color w:val="auto"/>
          <w:sz w:val="24"/>
          <w:highlight w:val="none"/>
        </w:rPr>
      </w:pPr>
      <w:r>
        <w:rPr>
          <w:rFonts w:hint="eastAsia" w:ascii="宋体" w:hAnsi="宋体" w:cs="宋体"/>
          <w:b/>
          <w:color w:val="auto"/>
          <w:sz w:val="24"/>
          <w:highlight w:val="none"/>
        </w:rPr>
        <w:t>（一）组建评标委员会</w:t>
      </w:r>
    </w:p>
    <w:p w14:paraId="2D734F74">
      <w:pPr>
        <w:spacing w:line="360" w:lineRule="auto"/>
        <w:rPr>
          <w:rFonts w:ascii="宋体" w:hAnsi="宋体" w:cs="宋体"/>
          <w:color w:val="auto"/>
          <w:sz w:val="24"/>
          <w:highlight w:val="none"/>
        </w:rPr>
      </w:pPr>
      <w:r>
        <w:rPr>
          <w:rFonts w:hint="eastAsia" w:ascii="宋体" w:hAnsi="宋体" w:cs="宋体"/>
          <w:color w:val="auto"/>
          <w:sz w:val="24"/>
          <w:highlight w:val="none"/>
        </w:rPr>
        <w:t>本项目评标委员会由政府采购评审专家</w:t>
      </w:r>
      <w:r>
        <w:rPr>
          <w:rFonts w:hint="eastAsia" w:ascii="宋体" w:hAnsi="宋体" w:cs="宋体"/>
          <w:color w:val="auto"/>
          <w:sz w:val="24"/>
          <w:highlight w:val="none"/>
          <w:u w:val="single"/>
        </w:rPr>
        <w:t>4</w:t>
      </w:r>
      <w:r>
        <w:rPr>
          <w:rFonts w:hint="eastAsia" w:ascii="宋体" w:hAnsi="宋体" w:cs="宋体"/>
          <w:color w:val="auto"/>
          <w:sz w:val="24"/>
          <w:highlight w:val="none"/>
        </w:rPr>
        <w:t>人和采购人代表</w:t>
      </w:r>
      <w:r>
        <w:rPr>
          <w:rFonts w:hint="eastAsia" w:ascii="宋体" w:hAnsi="宋体" w:cs="宋体"/>
          <w:color w:val="auto"/>
          <w:sz w:val="24"/>
          <w:highlight w:val="none"/>
          <w:u w:val="single"/>
        </w:rPr>
        <w:t>1</w:t>
      </w:r>
      <w:r>
        <w:rPr>
          <w:rFonts w:hint="eastAsia" w:ascii="宋体" w:hAnsi="宋体" w:cs="宋体"/>
          <w:color w:val="auto"/>
          <w:sz w:val="24"/>
          <w:highlight w:val="none"/>
        </w:rPr>
        <w:t>人,共</w:t>
      </w:r>
      <w:r>
        <w:rPr>
          <w:rFonts w:hint="eastAsia" w:ascii="宋体" w:hAnsi="宋体" w:cs="宋体"/>
          <w:color w:val="auto"/>
          <w:sz w:val="24"/>
          <w:highlight w:val="none"/>
          <w:u w:val="single"/>
        </w:rPr>
        <w:t>5</w:t>
      </w:r>
      <w:r>
        <w:rPr>
          <w:rFonts w:hint="eastAsia" w:ascii="宋体" w:hAnsi="宋体" w:cs="宋体"/>
          <w:color w:val="auto"/>
          <w:sz w:val="24"/>
          <w:highlight w:val="none"/>
        </w:rPr>
        <w:t>人组成。（允许采购人不推荐采购人代表参加，如采购人不推荐采购人代表参加评审时，评标委员会（5人）都从评标专家库中抽取）。</w:t>
      </w:r>
    </w:p>
    <w:p w14:paraId="57756A4D">
      <w:pPr>
        <w:spacing w:line="360" w:lineRule="auto"/>
        <w:rPr>
          <w:rFonts w:ascii="宋体" w:hAnsi="宋体" w:cs="宋体"/>
          <w:b/>
          <w:color w:val="auto"/>
          <w:sz w:val="24"/>
          <w:highlight w:val="none"/>
        </w:rPr>
      </w:pPr>
      <w:r>
        <w:rPr>
          <w:rFonts w:hint="eastAsia" w:ascii="宋体" w:hAnsi="宋体" w:cs="宋体"/>
          <w:b/>
          <w:color w:val="auto"/>
          <w:sz w:val="24"/>
          <w:highlight w:val="none"/>
        </w:rPr>
        <w:t>（二）评标的方式</w:t>
      </w:r>
    </w:p>
    <w:p w14:paraId="6E5B6910">
      <w:pPr>
        <w:spacing w:line="360" w:lineRule="auto"/>
        <w:rPr>
          <w:rFonts w:ascii="宋体" w:hAnsi="宋体" w:cs="宋体"/>
          <w:color w:val="auto"/>
          <w:sz w:val="24"/>
          <w:highlight w:val="none"/>
        </w:rPr>
      </w:pPr>
      <w:r>
        <w:rPr>
          <w:rFonts w:hint="eastAsia" w:ascii="宋体" w:hAnsi="宋体" w:cs="宋体"/>
          <w:color w:val="auto"/>
          <w:sz w:val="24"/>
          <w:highlight w:val="none"/>
        </w:rPr>
        <w:t>本项目采用不公开方式评标，评标的依据为招标文件和投标文件。</w:t>
      </w:r>
    </w:p>
    <w:p w14:paraId="2C1D9E84">
      <w:pPr>
        <w:spacing w:line="360" w:lineRule="auto"/>
        <w:rPr>
          <w:rFonts w:ascii="宋体" w:hAnsi="宋体" w:cs="宋体"/>
          <w:b/>
          <w:color w:val="auto"/>
          <w:sz w:val="24"/>
          <w:highlight w:val="none"/>
        </w:rPr>
      </w:pPr>
      <w:r>
        <w:rPr>
          <w:rFonts w:hint="eastAsia" w:ascii="宋体" w:hAnsi="宋体" w:cs="宋体"/>
          <w:b/>
          <w:color w:val="auto"/>
          <w:sz w:val="24"/>
          <w:highlight w:val="none"/>
        </w:rPr>
        <w:t>（三）评标程序</w:t>
      </w:r>
    </w:p>
    <w:p w14:paraId="1C39D362">
      <w:pPr>
        <w:spacing w:line="360" w:lineRule="auto"/>
        <w:rPr>
          <w:rFonts w:ascii="宋体" w:hAnsi="宋体" w:cs="宋体"/>
          <w:b/>
          <w:bCs/>
          <w:color w:val="auto"/>
          <w:sz w:val="24"/>
          <w:highlight w:val="none"/>
        </w:rPr>
      </w:pPr>
      <w:r>
        <w:rPr>
          <w:rFonts w:hint="eastAsia" w:ascii="宋体" w:hAnsi="宋体" w:cs="宋体"/>
          <w:b/>
          <w:bCs/>
          <w:color w:val="auto"/>
          <w:sz w:val="24"/>
          <w:highlight w:val="none"/>
        </w:rPr>
        <w:t>1.形式审查</w:t>
      </w:r>
    </w:p>
    <w:p w14:paraId="01D25D2C">
      <w:pPr>
        <w:spacing w:line="360" w:lineRule="auto"/>
        <w:rPr>
          <w:rFonts w:ascii="宋体" w:hAnsi="宋体" w:cs="宋体"/>
          <w:b/>
          <w:color w:val="auto"/>
          <w:sz w:val="24"/>
          <w:highlight w:val="none"/>
        </w:rPr>
      </w:pPr>
      <w:r>
        <w:rPr>
          <w:rFonts w:hint="eastAsia" w:ascii="宋体" w:hAnsi="宋体" w:cs="宋体"/>
          <w:color w:val="auto"/>
          <w:sz w:val="24"/>
          <w:highlight w:val="none"/>
        </w:rPr>
        <w:t>招标方工作人员协助评标委员会对投标人的商务技术文件、报价投标文件的完整性、合法性等进行审查。</w:t>
      </w:r>
    </w:p>
    <w:p w14:paraId="77459EC9">
      <w:pPr>
        <w:spacing w:line="360" w:lineRule="auto"/>
        <w:rPr>
          <w:rFonts w:ascii="宋体" w:hAnsi="宋体" w:cs="宋体"/>
          <w:b/>
          <w:bCs/>
          <w:color w:val="auto"/>
          <w:sz w:val="24"/>
          <w:highlight w:val="none"/>
        </w:rPr>
      </w:pPr>
      <w:r>
        <w:rPr>
          <w:rFonts w:hint="eastAsia" w:ascii="宋体" w:hAnsi="宋体" w:cs="宋体"/>
          <w:b/>
          <w:bCs/>
          <w:color w:val="auto"/>
          <w:sz w:val="24"/>
          <w:highlight w:val="none"/>
        </w:rPr>
        <w:t>2.实质审查与比较</w:t>
      </w:r>
    </w:p>
    <w:p w14:paraId="5C575E6D">
      <w:pPr>
        <w:spacing w:line="360" w:lineRule="auto"/>
        <w:rPr>
          <w:rFonts w:ascii="宋体" w:hAnsi="宋体" w:cs="宋体"/>
          <w:color w:val="auto"/>
          <w:sz w:val="24"/>
          <w:highlight w:val="none"/>
        </w:rPr>
      </w:pPr>
      <w:r>
        <w:rPr>
          <w:rFonts w:hint="eastAsia" w:ascii="宋体" w:hAnsi="宋体" w:cs="宋体"/>
          <w:color w:val="auto"/>
          <w:sz w:val="24"/>
          <w:highlight w:val="none"/>
        </w:rPr>
        <w:t>（1）评标委员会审查投标文件的实质性内容是否符合招标文件的实质性要求。</w:t>
      </w:r>
    </w:p>
    <w:p w14:paraId="004A06E2">
      <w:pPr>
        <w:spacing w:line="360" w:lineRule="auto"/>
        <w:rPr>
          <w:rFonts w:ascii="宋体" w:hAnsi="宋体" w:cs="宋体"/>
          <w:color w:val="auto"/>
          <w:sz w:val="24"/>
          <w:highlight w:val="none"/>
        </w:rPr>
      </w:pPr>
      <w:r>
        <w:rPr>
          <w:rFonts w:hint="eastAsia" w:ascii="宋体" w:hAnsi="宋体" w:cs="宋体"/>
          <w:color w:val="auto"/>
          <w:sz w:val="24"/>
          <w:highlight w:val="none"/>
        </w:rPr>
        <w:t>（2）评标委员会将对投标人的投标文件进行审查、核对,如有疑问,将对投标人进行电子询标,投标人须在规定的时间内向评标委员会澄清有关问题,并在政采云上进行询标答复。</w:t>
      </w:r>
    </w:p>
    <w:p w14:paraId="7EE7196D">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投标人代表未在规定的时间内进行澄清、拒绝澄清或者澄清的内容改变了投标文件的实质性内容的，评标委员会有权对该投标文件作出不利于投标人的评判。</w:t>
      </w:r>
    </w:p>
    <w:p w14:paraId="6C79635E">
      <w:pPr>
        <w:spacing w:line="360" w:lineRule="auto"/>
        <w:rPr>
          <w:rFonts w:ascii="宋体" w:hAnsi="宋体" w:cs="宋体"/>
          <w:color w:val="auto"/>
          <w:sz w:val="24"/>
          <w:highlight w:val="none"/>
        </w:rPr>
      </w:pPr>
      <w:r>
        <w:rPr>
          <w:rFonts w:hint="eastAsia" w:ascii="宋体" w:hAnsi="宋体" w:cs="宋体"/>
          <w:color w:val="auto"/>
          <w:sz w:val="24"/>
          <w:highlight w:val="none"/>
        </w:rPr>
        <w:t>（3）各投标人的技术得分为所有评委的有效评分的算术平均数，由指定专人进行计算复核。</w:t>
      </w:r>
    </w:p>
    <w:p w14:paraId="099B3636">
      <w:pPr>
        <w:spacing w:line="360" w:lineRule="auto"/>
        <w:rPr>
          <w:rFonts w:ascii="宋体" w:hAnsi="宋体" w:cs="宋体"/>
          <w:color w:val="auto"/>
          <w:sz w:val="24"/>
          <w:highlight w:val="none"/>
        </w:rPr>
      </w:pPr>
      <w:r>
        <w:rPr>
          <w:rFonts w:hint="eastAsia" w:ascii="宋体" w:hAnsi="宋体" w:cs="宋体"/>
          <w:color w:val="auto"/>
          <w:sz w:val="24"/>
          <w:highlight w:val="none"/>
        </w:rPr>
        <w:t>（4）招标方工作人员协助评标委员会审核商务报价有无计算错误，并根据本项目的评分标准计算各投标人的商务报价得分。</w:t>
      </w:r>
    </w:p>
    <w:p w14:paraId="0C8FF610">
      <w:pPr>
        <w:spacing w:line="360" w:lineRule="auto"/>
        <w:rPr>
          <w:rFonts w:ascii="宋体" w:hAnsi="宋体" w:cs="宋体"/>
          <w:color w:val="auto"/>
          <w:sz w:val="24"/>
          <w:highlight w:val="none"/>
        </w:rPr>
      </w:pPr>
      <w:r>
        <w:rPr>
          <w:rFonts w:hint="eastAsia" w:ascii="宋体" w:hAnsi="宋体" w:cs="宋体"/>
          <w:color w:val="auto"/>
          <w:sz w:val="24"/>
          <w:highlight w:val="none"/>
        </w:rPr>
        <w:t>（5）评标委员会完成评标后, 招标方工作人员对系统中的得分汇总进行复核,计算出本项目最终得分，评标委员会按评标原则推荐中标候选人并起草评标报告。</w:t>
      </w:r>
    </w:p>
    <w:p w14:paraId="2679148E">
      <w:pPr>
        <w:spacing w:line="360" w:lineRule="auto"/>
        <w:rPr>
          <w:rFonts w:ascii="宋体" w:hAnsi="宋体" w:cs="宋体"/>
          <w:b/>
          <w:color w:val="auto"/>
          <w:sz w:val="24"/>
          <w:highlight w:val="none"/>
        </w:rPr>
      </w:pPr>
      <w:r>
        <w:rPr>
          <w:rFonts w:hint="eastAsia" w:ascii="宋体" w:hAnsi="宋体" w:cs="宋体"/>
          <w:b/>
          <w:color w:val="auto"/>
          <w:sz w:val="24"/>
          <w:highlight w:val="none"/>
        </w:rPr>
        <w:t>（四）澄清问题的形式</w:t>
      </w:r>
    </w:p>
    <w:p w14:paraId="485B499D">
      <w:pPr>
        <w:spacing w:line="360" w:lineRule="auto"/>
        <w:rPr>
          <w:rFonts w:ascii="宋体" w:hAnsi="宋体" w:cs="宋体"/>
          <w:color w:val="auto"/>
          <w:sz w:val="24"/>
          <w:highlight w:val="none"/>
        </w:rPr>
      </w:pPr>
      <w:r>
        <w:rPr>
          <w:rFonts w:hint="eastAsia" w:ascii="宋体" w:hAnsi="宋体" w:cs="宋体"/>
          <w:color w:val="auto"/>
          <w:sz w:val="24"/>
          <w:highlight w:val="none"/>
        </w:rPr>
        <w:t>对投标文件中含义不明确、同类问题表述不一致或者有明显文字和计算错误的内容，评标委员会可要求投标人作出必要的澄清、说明或者纠正，投标人应在询标规定时间内进行澄清或说明（需盖CA电子签章或实体公章），并不得超出投标文件的范围或者改变投标文件的实质性内容。</w:t>
      </w:r>
    </w:p>
    <w:p w14:paraId="42D37960">
      <w:pPr>
        <w:spacing w:line="360" w:lineRule="auto"/>
        <w:rPr>
          <w:rFonts w:ascii="宋体" w:hAnsi="宋体" w:cs="宋体"/>
          <w:b/>
          <w:color w:val="auto"/>
          <w:sz w:val="24"/>
          <w:highlight w:val="none"/>
        </w:rPr>
      </w:pPr>
      <w:r>
        <w:rPr>
          <w:rFonts w:hint="eastAsia" w:ascii="宋体" w:hAnsi="宋体" w:cs="宋体"/>
          <w:b/>
          <w:color w:val="auto"/>
          <w:sz w:val="24"/>
          <w:highlight w:val="none"/>
        </w:rPr>
        <w:t>（五）错误修正</w:t>
      </w:r>
    </w:p>
    <w:p w14:paraId="7C329535">
      <w:pPr>
        <w:spacing w:line="360" w:lineRule="auto"/>
        <w:ind w:firstLine="360" w:firstLineChars="150"/>
        <w:rPr>
          <w:rFonts w:ascii="宋体" w:hAnsi="宋体" w:cs="宋体"/>
          <w:color w:val="auto"/>
          <w:sz w:val="24"/>
          <w:highlight w:val="none"/>
        </w:rPr>
      </w:pPr>
      <w:r>
        <w:rPr>
          <w:rFonts w:hint="eastAsia" w:ascii="宋体" w:hAnsi="宋体" w:cs="宋体"/>
          <w:color w:val="auto"/>
          <w:sz w:val="24"/>
          <w:highlight w:val="none"/>
        </w:rPr>
        <w:t>投标文件如果出现计算或表达上的错误，修正错误的原则如下：</w:t>
      </w:r>
    </w:p>
    <w:p w14:paraId="449D52FB">
      <w:pPr>
        <w:spacing w:line="360" w:lineRule="auto"/>
        <w:ind w:firstLine="360" w:firstLineChars="150"/>
        <w:rPr>
          <w:rFonts w:ascii="宋体" w:hAnsi="宋体" w:cs="宋体"/>
          <w:color w:val="auto"/>
          <w:sz w:val="24"/>
          <w:highlight w:val="none"/>
        </w:rPr>
      </w:pPr>
      <w:r>
        <w:rPr>
          <w:rFonts w:hint="eastAsia" w:ascii="宋体" w:hAnsi="宋体" w:cs="宋体"/>
          <w:color w:val="auto"/>
          <w:sz w:val="24"/>
          <w:highlight w:val="none"/>
        </w:rPr>
        <w:t>1.投标文件中开标一览表（报价表）内容与投标文件中相应内容不一致的，以开标一览表（报价表）为准；</w:t>
      </w:r>
    </w:p>
    <w:p w14:paraId="1C96C586">
      <w:pPr>
        <w:spacing w:line="360" w:lineRule="auto"/>
        <w:ind w:firstLine="240" w:firstLineChars="100"/>
        <w:rPr>
          <w:rFonts w:ascii="宋体" w:hAnsi="宋体" w:cs="宋体"/>
          <w:color w:val="auto"/>
          <w:sz w:val="24"/>
          <w:highlight w:val="none"/>
        </w:rPr>
      </w:pPr>
      <w:r>
        <w:rPr>
          <w:rFonts w:hint="eastAsia" w:ascii="宋体" w:hAnsi="宋体" w:cs="宋体"/>
          <w:color w:val="auto"/>
          <w:sz w:val="24"/>
          <w:highlight w:val="none"/>
        </w:rPr>
        <w:t>2.大写金额和小写金额不一致的，以大写金额为准；</w:t>
      </w:r>
    </w:p>
    <w:p w14:paraId="605B583F">
      <w:pPr>
        <w:spacing w:line="360" w:lineRule="auto"/>
        <w:ind w:firstLine="240" w:firstLineChars="100"/>
        <w:rPr>
          <w:rFonts w:ascii="宋体" w:hAnsi="宋体" w:cs="宋体"/>
          <w:color w:val="auto"/>
          <w:sz w:val="24"/>
          <w:highlight w:val="none"/>
        </w:rPr>
      </w:pPr>
      <w:r>
        <w:rPr>
          <w:rFonts w:hint="eastAsia" w:ascii="宋体" w:hAnsi="宋体" w:cs="宋体"/>
          <w:color w:val="auto"/>
          <w:sz w:val="24"/>
          <w:highlight w:val="none"/>
        </w:rPr>
        <w:t>3.单价金额小数点或者百分比有明显错位的，以开标一览表的总价为准，并修改单价；</w:t>
      </w:r>
    </w:p>
    <w:p w14:paraId="1259B085">
      <w:pPr>
        <w:spacing w:line="360" w:lineRule="auto"/>
        <w:ind w:firstLine="240" w:firstLineChars="100"/>
        <w:rPr>
          <w:rFonts w:ascii="宋体" w:hAnsi="宋体" w:cs="宋体"/>
          <w:color w:val="auto"/>
          <w:sz w:val="24"/>
          <w:highlight w:val="none"/>
        </w:rPr>
      </w:pPr>
      <w:r>
        <w:rPr>
          <w:rFonts w:hint="eastAsia" w:ascii="宋体" w:hAnsi="宋体" w:cs="宋体"/>
          <w:color w:val="auto"/>
          <w:sz w:val="24"/>
          <w:highlight w:val="none"/>
        </w:rPr>
        <w:t>4.总价金额与按单价汇总金额不一致的，以单价金额计算结果为准；</w:t>
      </w:r>
    </w:p>
    <w:p w14:paraId="4D46340A">
      <w:pPr>
        <w:pStyle w:val="22"/>
        <w:spacing w:line="360" w:lineRule="auto"/>
        <w:ind w:left="0" w:leftChars="0" w:firstLine="240" w:firstLineChars="100"/>
        <w:rPr>
          <w:rFonts w:ascii="宋体" w:hAnsi="宋体" w:cs="宋体"/>
          <w:color w:val="auto"/>
          <w:sz w:val="24"/>
          <w:highlight w:val="none"/>
        </w:rPr>
      </w:pPr>
      <w:r>
        <w:rPr>
          <w:rFonts w:hint="eastAsia" w:ascii="宋体" w:hAnsi="宋体" w:cs="宋体"/>
          <w:color w:val="auto"/>
          <w:sz w:val="24"/>
          <w:highlight w:val="none"/>
        </w:rPr>
        <w:t>5.政采云系统投标报价与投标文件中开标一览表（报价表）相应内容不一致的，以开标一览表（报价表）为准。</w:t>
      </w:r>
    </w:p>
    <w:p w14:paraId="25F53375">
      <w:pPr>
        <w:spacing w:line="360" w:lineRule="auto"/>
        <w:ind w:firstLine="360" w:firstLineChars="150"/>
        <w:rPr>
          <w:rFonts w:ascii="宋体" w:hAnsi="宋体" w:cs="宋体"/>
          <w:color w:val="auto"/>
          <w:sz w:val="24"/>
          <w:highlight w:val="none"/>
        </w:rPr>
      </w:pPr>
      <w:r>
        <w:rPr>
          <w:rFonts w:hint="eastAsia" w:ascii="宋体" w:hAnsi="宋体" w:cs="宋体"/>
          <w:color w:val="auto"/>
          <w:sz w:val="24"/>
          <w:highlight w:val="none"/>
        </w:rPr>
        <w:t>6.对不同文字文本投标文件的解释发生异议的，以中文文本为准。</w:t>
      </w:r>
    </w:p>
    <w:p w14:paraId="798BAF57">
      <w:pPr>
        <w:spacing w:line="360" w:lineRule="auto"/>
        <w:ind w:firstLine="240" w:firstLineChars="100"/>
        <w:rPr>
          <w:rFonts w:ascii="宋体" w:hAnsi="宋体" w:cs="宋体"/>
          <w:color w:val="auto"/>
          <w:sz w:val="24"/>
          <w:highlight w:val="none"/>
        </w:rPr>
      </w:pPr>
      <w:r>
        <w:rPr>
          <w:rFonts w:hint="eastAsia" w:ascii="宋体" w:hAnsi="宋体" w:cs="宋体"/>
          <w:color w:val="auto"/>
          <w:sz w:val="24"/>
          <w:highlight w:val="none"/>
        </w:rPr>
        <w:t>同时出现两种以上不一致的，按照前款规定的顺序修正。修正后的报价按照《政府采购货物和服务招标投标管理办法》（第87号令）第五十一条第二款规定：投标人的澄清、说明或者补正应当采用书面形式，并加盖公章，或者由法定代表人或其授权的代表签字。投标人的澄清、说明或者补正不得超出投标文件的范围或者改变投标文件的实质性内容的规定经投标人确认后产生约束力，投标人不确认的，其投标无效。</w:t>
      </w:r>
    </w:p>
    <w:p w14:paraId="01550316">
      <w:pPr>
        <w:spacing w:line="360" w:lineRule="auto"/>
        <w:rPr>
          <w:rFonts w:ascii="宋体" w:hAnsi="宋体" w:cs="宋体"/>
          <w:b/>
          <w:bCs/>
          <w:color w:val="auto"/>
          <w:sz w:val="24"/>
          <w:highlight w:val="none"/>
        </w:rPr>
      </w:pPr>
      <w:r>
        <w:rPr>
          <w:rFonts w:hint="eastAsia" w:ascii="宋体" w:hAnsi="宋体" w:cs="宋体"/>
          <w:b/>
          <w:color w:val="auto"/>
          <w:sz w:val="24"/>
          <w:highlight w:val="none"/>
        </w:rPr>
        <w:t>（六）评标原则和评标办法</w:t>
      </w:r>
    </w:p>
    <w:p w14:paraId="2ABE7C11">
      <w:pPr>
        <w:spacing w:line="360" w:lineRule="auto"/>
        <w:ind w:firstLine="240" w:firstLineChars="100"/>
        <w:rPr>
          <w:rFonts w:ascii="宋体" w:hAnsi="宋体" w:cs="宋体"/>
          <w:color w:val="auto"/>
          <w:sz w:val="24"/>
          <w:highlight w:val="none"/>
        </w:rPr>
      </w:pPr>
      <w:r>
        <w:rPr>
          <w:rFonts w:hint="eastAsia" w:ascii="宋体" w:hAnsi="宋体" w:cs="宋体"/>
          <w:color w:val="auto"/>
          <w:sz w:val="24"/>
          <w:highlight w:val="none"/>
        </w:rPr>
        <w:t>1.评审专家必须公平、公正评审，遵纪守法，客观、廉洁地履行职责。</w:t>
      </w:r>
    </w:p>
    <w:p w14:paraId="3AF6B8D4">
      <w:pPr>
        <w:spacing w:line="360" w:lineRule="auto"/>
        <w:ind w:firstLine="240" w:firstLineChars="100"/>
        <w:rPr>
          <w:rFonts w:ascii="宋体" w:hAnsi="宋体" w:cs="宋体"/>
          <w:color w:val="auto"/>
          <w:sz w:val="24"/>
          <w:highlight w:val="none"/>
        </w:rPr>
      </w:pPr>
      <w:r>
        <w:rPr>
          <w:rFonts w:hint="eastAsia" w:ascii="宋体" w:hAnsi="宋体" w:cs="宋体"/>
          <w:color w:val="auto"/>
          <w:sz w:val="24"/>
          <w:highlight w:val="none"/>
        </w:rPr>
        <w:t>2.评审专家在评审开始前，应关闭并上交随身携带的各种通信工具。</w:t>
      </w:r>
    </w:p>
    <w:p w14:paraId="7E676853">
      <w:pPr>
        <w:spacing w:line="360" w:lineRule="auto"/>
        <w:ind w:firstLine="240" w:firstLineChars="100"/>
        <w:rPr>
          <w:rFonts w:ascii="宋体" w:hAnsi="宋体" w:cs="宋体"/>
          <w:color w:val="auto"/>
          <w:sz w:val="24"/>
          <w:highlight w:val="none"/>
        </w:rPr>
      </w:pPr>
      <w:r>
        <w:rPr>
          <w:rFonts w:hint="eastAsia" w:ascii="宋体" w:hAnsi="宋体" w:cs="宋体"/>
          <w:color w:val="auto"/>
          <w:sz w:val="24"/>
          <w:highlight w:val="none"/>
        </w:rPr>
        <w:t>3.评审专家在评审过程中，未经许可不得中途离开评审现场，不得迟到早退。</w:t>
      </w:r>
    </w:p>
    <w:p w14:paraId="61038ABE">
      <w:pPr>
        <w:spacing w:line="360" w:lineRule="auto"/>
        <w:ind w:firstLine="240" w:firstLineChars="100"/>
        <w:rPr>
          <w:rFonts w:ascii="宋体" w:hAnsi="宋体" w:cs="宋体"/>
          <w:color w:val="auto"/>
          <w:sz w:val="24"/>
          <w:highlight w:val="none"/>
        </w:rPr>
      </w:pPr>
      <w:r>
        <w:rPr>
          <w:rFonts w:hint="eastAsia" w:ascii="宋体" w:hAnsi="宋体" w:cs="宋体"/>
          <w:color w:val="auto"/>
          <w:sz w:val="24"/>
          <w:highlight w:val="none"/>
        </w:rPr>
        <w:t>4.评审专家和工作人员不得透露评审过程中的讨论情况和评审结果。</w:t>
      </w:r>
    </w:p>
    <w:p w14:paraId="0CC26BCB">
      <w:pPr>
        <w:spacing w:line="360" w:lineRule="auto"/>
        <w:ind w:firstLine="240" w:firstLineChars="100"/>
        <w:rPr>
          <w:rFonts w:ascii="宋体" w:hAnsi="宋体" w:cs="宋体"/>
          <w:color w:val="auto"/>
          <w:sz w:val="24"/>
          <w:highlight w:val="none"/>
        </w:rPr>
      </w:pPr>
      <w:r>
        <w:rPr>
          <w:rFonts w:hint="eastAsia" w:ascii="宋体" w:hAnsi="宋体" w:cs="宋体"/>
          <w:color w:val="auto"/>
          <w:sz w:val="24"/>
          <w:highlight w:val="none"/>
        </w:rPr>
        <w:t>5.评审时，评审专家须按招标文件规定的程序、条件和标准，对投标人投标文件的合规性、完整性和有效性进行审查、比较和评估，其中对投标人的资格条件、主要技术参数、商务报价和其他评审要素等，评审专家应逐项进行审查、比较，不得漏评少评。如发现与招标文件要求相偏离的，应对其偏离情形进行必要的核实，并在工作底稿中予以说明；如属于实质性偏离或符合无效投标文件的，可询问投标人，并允许投标人进行陈述申辩，但不允许其对偏离条款进行补充、修正或撤回。</w:t>
      </w:r>
    </w:p>
    <w:p w14:paraId="66E2E959">
      <w:pPr>
        <w:spacing w:line="360" w:lineRule="auto"/>
        <w:ind w:firstLine="240" w:firstLineChars="100"/>
        <w:rPr>
          <w:rFonts w:ascii="宋体" w:hAnsi="宋体" w:cs="宋体"/>
          <w:color w:val="auto"/>
          <w:sz w:val="24"/>
          <w:highlight w:val="none"/>
        </w:rPr>
      </w:pPr>
      <w:r>
        <w:rPr>
          <w:rFonts w:hint="eastAsia" w:ascii="宋体" w:hAnsi="宋体" w:cs="宋体"/>
          <w:color w:val="auto"/>
          <w:sz w:val="24"/>
          <w:highlight w:val="none"/>
        </w:rPr>
        <w:t>6.采购人、采购代理机构不得向评审委员会的评审专家作倾向性、误导性的解释或者说明。</w:t>
      </w:r>
    </w:p>
    <w:p w14:paraId="23B70916">
      <w:pPr>
        <w:spacing w:line="360" w:lineRule="auto"/>
        <w:ind w:firstLine="240" w:firstLineChars="100"/>
        <w:rPr>
          <w:rFonts w:ascii="宋体" w:hAnsi="宋体" w:cs="宋体"/>
          <w:color w:val="auto"/>
          <w:sz w:val="24"/>
          <w:highlight w:val="none"/>
        </w:rPr>
      </w:pPr>
      <w:r>
        <w:rPr>
          <w:rFonts w:hint="eastAsia" w:ascii="宋体" w:hAnsi="宋体" w:cs="宋体"/>
          <w:color w:val="auto"/>
          <w:sz w:val="24"/>
          <w:highlight w:val="none"/>
        </w:rPr>
        <w:t>7.采购代理机构应当为评审专家提供必要的评审条件和相应的评审工作底稿，并严格按规定程序组织评审专家有步骤地进行项目评审，对各评审专家的评审情况和评审意见进行合理性和合规性审查，对明显畸高、畸低的重大差异评审情况（其总评分偏离平均分30%以上），提醒相关评审专家进行复核或书面说明理由。</w:t>
      </w:r>
    </w:p>
    <w:p w14:paraId="76A8B5A9">
      <w:pPr>
        <w:spacing w:line="360" w:lineRule="auto"/>
        <w:ind w:firstLine="240" w:firstLineChars="100"/>
        <w:rPr>
          <w:rFonts w:ascii="宋体" w:hAnsi="宋体" w:cs="宋体"/>
          <w:color w:val="auto"/>
          <w:sz w:val="24"/>
          <w:highlight w:val="none"/>
        </w:rPr>
      </w:pPr>
      <w:r>
        <w:rPr>
          <w:rFonts w:hint="eastAsia" w:ascii="宋体" w:hAnsi="宋体" w:cs="宋体"/>
          <w:color w:val="auto"/>
          <w:sz w:val="24"/>
          <w:highlight w:val="none"/>
        </w:rPr>
        <w:t>8.评审专家在评审过程中不得将自己的观点强加给其他评审专家，评审专家应自主发表见解，对评审意见承担个人责任。</w:t>
      </w:r>
    </w:p>
    <w:p w14:paraId="13DDDEA7">
      <w:pPr>
        <w:spacing w:line="360" w:lineRule="auto"/>
        <w:ind w:firstLine="240" w:firstLineChars="100"/>
        <w:rPr>
          <w:rFonts w:ascii="宋体" w:hAnsi="宋体" w:cs="宋体"/>
          <w:color w:val="auto"/>
          <w:sz w:val="24"/>
          <w:highlight w:val="none"/>
        </w:rPr>
      </w:pPr>
      <w:r>
        <w:rPr>
          <w:rFonts w:hint="eastAsia" w:ascii="宋体" w:hAnsi="宋体" w:cs="宋体"/>
          <w:color w:val="auto"/>
          <w:sz w:val="24"/>
          <w:highlight w:val="none"/>
        </w:rPr>
        <w:t>9.评审结束后，评审委员会应向采购代理机构提交项目评审报告。评审报告是采购人确定中标人的合法依据，评审委员会应当如实、客观地反映评审情况，按招标文件的评审办法和细则的规定推荐中标候选人，说明推荐理由，并重点对中标候选人的技术、服务和价格等情况进行评价和比较。如排名第一的投标人报价为最高报价的，评审报告中须对其报价的合理性等进行分析和特别说明。</w:t>
      </w:r>
    </w:p>
    <w:p w14:paraId="23484FCE">
      <w:pPr>
        <w:spacing w:line="360" w:lineRule="auto"/>
        <w:ind w:firstLine="240" w:firstLineChars="100"/>
        <w:rPr>
          <w:rFonts w:ascii="宋体" w:hAnsi="宋体" w:cs="宋体"/>
          <w:color w:val="auto"/>
          <w:sz w:val="24"/>
          <w:highlight w:val="none"/>
        </w:rPr>
      </w:pPr>
      <w:r>
        <w:rPr>
          <w:rFonts w:hint="eastAsia" w:ascii="宋体" w:hAnsi="宋体" w:cs="宋体"/>
          <w:color w:val="auto"/>
          <w:sz w:val="24"/>
          <w:highlight w:val="none"/>
        </w:rPr>
        <w:t>10.评审专家应当独立、客观、公正地提出评审意见，不得带有倾向性，不得影响其他评审专家评审，并在评审报告上签字；如对评审报告有异议的，可在报告上签署不同意见，并说明理由，否则将视为同意。</w:t>
      </w:r>
    </w:p>
    <w:p w14:paraId="46951B93">
      <w:pPr>
        <w:spacing w:line="360" w:lineRule="auto"/>
        <w:ind w:firstLine="240" w:firstLineChars="100"/>
        <w:rPr>
          <w:rFonts w:ascii="宋体" w:hAnsi="宋体" w:cs="宋体"/>
          <w:color w:val="auto"/>
          <w:sz w:val="24"/>
          <w:highlight w:val="none"/>
        </w:rPr>
      </w:pPr>
      <w:r>
        <w:rPr>
          <w:rFonts w:hint="eastAsia" w:ascii="宋体" w:hAnsi="宋体" w:cs="宋体"/>
          <w:color w:val="auto"/>
          <w:sz w:val="24"/>
          <w:highlight w:val="none"/>
        </w:rPr>
        <w:t>11.评审专家应当遵守评审工作纪律，不得泄露评审文件、评审情况和评审中获悉的商业秘密。</w:t>
      </w:r>
    </w:p>
    <w:p w14:paraId="74F971F6">
      <w:pPr>
        <w:spacing w:line="360" w:lineRule="auto"/>
        <w:ind w:firstLine="240" w:firstLineChars="100"/>
        <w:rPr>
          <w:rFonts w:ascii="宋体" w:hAnsi="宋体" w:cs="宋体"/>
          <w:color w:val="auto"/>
          <w:sz w:val="24"/>
          <w:highlight w:val="none"/>
        </w:rPr>
      </w:pPr>
      <w:r>
        <w:rPr>
          <w:rFonts w:hint="eastAsia" w:ascii="宋体" w:hAnsi="宋体" w:cs="宋体"/>
          <w:color w:val="auto"/>
          <w:sz w:val="24"/>
          <w:highlight w:val="none"/>
        </w:rPr>
        <w:t>评审委员会在评审过程中发现投标人有行贿、提供虚假材料或者串通等违法行为的，应当及时向财政部门报告。</w:t>
      </w:r>
    </w:p>
    <w:p w14:paraId="713D807F">
      <w:pPr>
        <w:spacing w:line="360" w:lineRule="auto"/>
        <w:ind w:firstLine="240" w:firstLineChars="100"/>
        <w:rPr>
          <w:rFonts w:ascii="宋体" w:hAnsi="宋体" w:cs="宋体"/>
          <w:color w:val="auto"/>
          <w:sz w:val="24"/>
          <w:highlight w:val="none"/>
        </w:rPr>
      </w:pPr>
      <w:r>
        <w:rPr>
          <w:rFonts w:hint="eastAsia" w:ascii="宋体" w:hAnsi="宋体" w:cs="宋体"/>
          <w:color w:val="auto"/>
          <w:sz w:val="24"/>
          <w:highlight w:val="none"/>
        </w:rPr>
        <w:t>12.招标文件内容违反国家有关强制性规定的，评审委员会应当停止评审并向采购代理机构说明情况。</w:t>
      </w:r>
    </w:p>
    <w:p w14:paraId="1590B1BC">
      <w:pPr>
        <w:spacing w:line="360" w:lineRule="auto"/>
        <w:ind w:firstLine="240" w:firstLineChars="100"/>
        <w:rPr>
          <w:rFonts w:ascii="宋体" w:hAnsi="宋体" w:cs="宋体"/>
          <w:color w:val="auto"/>
          <w:sz w:val="24"/>
          <w:highlight w:val="none"/>
        </w:rPr>
      </w:pPr>
      <w:r>
        <w:rPr>
          <w:rFonts w:hint="eastAsia" w:ascii="宋体" w:hAnsi="宋体" w:cs="宋体"/>
          <w:color w:val="auto"/>
          <w:sz w:val="24"/>
          <w:highlight w:val="none"/>
        </w:rPr>
        <w:t>13.评审专家应当配合采购代理机构答复投标人提出的质疑。</w:t>
      </w:r>
    </w:p>
    <w:p w14:paraId="2299E5A7">
      <w:pPr>
        <w:spacing w:line="360" w:lineRule="auto"/>
        <w:ind w:firstLine="240" w:firstLineChars="100"/>
        <w:rPr>
          <w:rFonts w:ascii="宋体" w:hAnsi="宋体" w:cs="宋体"/>
          <w:color w:val="auto"/>
          <w:sz w:val="24"/>
          <w:highlight w:val="none"/>
        </w:rPr>
      </w:pPr>
      <w:r>
        <w:rPr>
          <w:rFonts w:hint="eastAsia" w:ascii="宋体" w:hAnsi="宋体" w:cs="宋体"/>
          <w:color w:val="auto"/>
          <w:sz w:val="24"/>
          <w:highlight w:val="none"/>
        </w:rPr>
        <w:t>14.评审专家应当配合财政部门的投诉处理工作。</w:t>
      </w:r>
    </w:p>
    <w:p w14:paraId="27049A2C">
      <w:pPr>
        <w:spacing w:line="360" w:lineRule="auto"/>
        <w:ind w:firstLine="240" w:firstLineChars="100"/>
        <w:rPr>
          <w:rFonts w:ascii="宋体" w:hAnsi="宋体" w:cs="宋体"/>
          <w:color w:val="auto"/>
          <w:sz w:val="24"/>
          <w:highlight w:val="none"/>
        </w:rPr>
      </w:pPr>
      <w:r>
        <w:rPr>
          <w:rFonts w:hint="eastAsia" w:ascii="宋体" w:hAnsi="宋体" w:cs="宋体"/>
          <w:color w:val="auto"/>
          <w:sz w:val="24"/>
          <w:highlight w:val="none"/>
        </w:rPr>
        <w:t>15.评审专家有如下行为之一的，责令改正，给予警告，可以并处一千元以下的罚款：</w:t>
      </w:r>
    </w:p>
    <w:p w14:paraId="1F2F3B37">
      <w:pPr>
        <w:spacing w:line="360" w:lineRule="auto"/>
        <w:ind w:firstLine="240" w:firstLineChars="100"/>
        <w:rPr>
          <w:rFonts w:ascii="宋体" w:hAnsi="宋体" w:cs="宋体"/>
          <w:color w:val="auto"/>
          <w:sz w:val="24"/>
          <w:highlight w:val="none"/>
        </w:rPr>
      </w:pPr>
      <w:r>
        <w:rPr>
          <w:rFonts w:hint="eastAsia" w:ascii="宋体" w:hAnsi="宋体" w:cs="宋体"/>
          <w:color w:val="auto"/>
          <w:sz w:val="24"/>
          <w:highlight w:val="none"/>
        </w:rPr>
        <w:t>①明知应当回避而未主动回避的；</w:t>
      </w:r>
    </w:p>
    <w:p w14:paraId="546223E4">
      <w:pPr>
        <w:spacing w:line="360" w:lineRule="auto"/>
        <w:ind w:firstLine="240" w:firstLineChars="100"/>
        <w:rPr>
          <w:rFonts w:ascii="宋体" w:hAnsi="宋体" w:cs="宋体"/>
          <w:color w:val="auto"/>
          <w:sz w:val="24"/>
          <w:highlight w:val="none"/>
        </w:rPr>
      </w:pPr>
      <w:r>
        <w:rPr>
          <w:rFonts w:hint="eastAsia" w:ascii="宋体" w:hAnsi="宋体" w:cs="宋体"/>
          <w:color w:val="auto"/>
          <w:sz w:val="24"/>
          <w:highlight w:val="none"/>
        </w:rPr>
        <w:t>②在得知自己为评审专家身份后至评审结束前时段内私下接触投标人的；</w:t>
      </w:r>
    </w:p>
    <w:p w14:paraId="667BD845">
      <w:pPr>
        <w:spacing w:line="360" w:lineRule="auto"/>
        <w:ind w:firstLine="240" w:firstLineChars="100"/>
        <w:rPr>
          <w:rFonts w:ascii="宋体" w:hAnsi="宋体" w:cs="宋体"/>
          <w:color w:val="auto"/>
          <w:sz w:val="24"/>
          <w:highlight w:val="none"/>
        </w:rPr>
      </w:pPr>
      <w:r>
        <w:rPr>
          <w:rFonts w:hint="eastAsia" w:ascii="宋体" w:hAnsi="宋体" w:cs="宋体"/>
          <w:color w:val="auto"/>
          <w:sz w:val="24"/>
          <w:highlight w:val="none"/>
        </w:rPr>
        <w:t>③在评审过程中擅离职守，影响评审程序正常进行的；</w:t>
      </w:r>
    </w:p>
    <w:p w14:paraId="6E4A4BC3">
      <w:pPr>
        <w:spacing w:line="360" w:lineRule="auto"/>
        <w:ind w:firstLine="240" w:firstLineChars="100"/>
        <w:rPr>
          <w:rFonts w:ascii="宋体" w:hAnsi="宋体" w:cs="宋体"/>
          <w:color w:val="auto"/>
          <w:sz w:val="24"/>
          <w:highlight w:val="none"/>
        </w:rPr>
      </w:pPr>
      <w:r>
        <w:rPr>
          <w:rFonts w:hint="eastAsia" w:ascii="宋体" w:hAnsi="宋体" w:cs="宋体"/>
          <w:color w:val="auto"/>
          <w:sz w:val="24"/>
          <w:highlight w:val="none"/>
        </w:rPr>
        <w:t>④在评审过程有明显不合理或者不正当倾向性的；</w:t>
      </w:r>
    </w:p>
    <w:p w14:paraId="74ADD161">
      <w:pPr>
        <w:spacing w:line="360" w:lineRule="auto"/>
        <w:ind w:firstLine="240" w:firstLineChars="100"/>
        <w:rPr>
          <w:rFonts w:ascii="宋体" w:hAnsi="宋体" w:cs="宋体"/>
          <w:color w:val="auto"/>
          <w:sz w:val="24"/>
          <w:highlight w:val="none"/>
        </w:rPr>
      </w:pPr>
      <w:r>
        <w:rPr>
          <w:rFonts w:hint="eastAsia" w:ascii="宋体" w:hAnsi="宋体" w:cs="宋体"/>
          <w:color w:val="auto"/>
          <w:sz w:val="24"/>
          <w:highlight w:val="none"/>
        </w:rPr>
        <w:t>⑤未按招标文件规定的评审方法和标准进行评审的。</w:t>
      </w:r>
    </w:p>
    <w:p w14:paraId="543AC0F2">
      <w:pPr>
        <w:spacing w:line="360" w:lineRule="auto"/>
        <w:ind w:firstLine="240" w:firstLineChars="100"/>
        <w:rPr>
          <w:rFonts w:ascii="宋体" w:hAnsi="宋体" w:cs="宋体"/>
          <w:color w:val="auto"/>
          <w:sz w:val="24"/>
          <w:highlight w:val="none"/>
        </w:rPr>
      </w:pPr>
      <w:r>
        <w:rPr>
          <w:rFonts w:hint="eastAsia" w:ascii="宋体" w:hAnsi="宋体" w:cs="宋体"/>
          <w:color w:val="auto"/>
          <w:sz w:val="24"/>
          <w:highlight w:val="none"/>
        </w:rPr>
        <w:t>⑥上述①至⑤行为影响中标结果的，中标结果无效。</w:t>
      </w:r>
    </w:p>
    <w:p w14:paraId="7BF69CE2">
      <w:pPr>
        <w:spacing w:line="360" w:lineRule="auto"/>
        <w:ind w:firstLine="240" w:firstLineChars="100"/>
        <w:rPr>
          <w:rFonts w:ascii="宋体" w:hAnsi="宋体" w:cs="宋体"/>
          <w:color w:val="auto"/>
          <w:sz w:val="24"/>
          <w:highlight w:val="none"/>
        </w:rPr>
      </w:pPr>
      <w:r>
        <w:rPr>
          <w:rFonts w:hint="eastAsia" w:ascii="宋体" w:hAnsi="宋体" w:cs="宋体"/>
          <w:color w:val="auto"/>
          <w:sz w:val="24"/>
          <w:highlight w:val="none"/>
        </w:rPr>
        <w:t>16.政府采购评审专家未按照招标文件规定的评审程序、评审方法和评审标准进行独立评审或者泄露评审文件、评审情况的，由财政部门给予警告，并处2000元以上2万元以下的罚款；影响中标、成交结果的，处2万元以上5万元以下的罚款，禁止其参加政府采购评审活动。</w:t>
      </w:r>
    </w:p>
    <w:p w14:paraId="41595757">
      <w:pPr>
        <w:spacing w:line="360" w:lineRule="auto"/>
        <w:ind w:firstLine="240" w:firstLineChars="100"/>
        <w:rPr>
          <w:rFonts w:ascii="宋体" w:hAnsi="宋体" w:cs="宋体"/>
          <w:color w:val="auto"/>
          <w:sz w:val="24"/>
          <w:highlight w:val="none"/>
        </w:rPr>
      </w:pPr>
      <w:r>
        <w:rPr>
          <w:rFonts w:hint="eastAsia" w:ascii="宋体" w:hAnsi="宋体" w:cs="宋体"/>
          <w:color w:val="auto"/>
          <w:sz w:val="24"/>
          <w:highlight w:val="none"/>
        </w:rPr>
        <w:t>政府采购评审专家与投标人存在利害关系未回避的，处2万元以上5万元以下的罚款，禁止其参加政府采购评审活动。</w:t>
      </w:r>
    </w:p>
    <w:p w14:paraId="4DB50893">
      <w:pPr>
        <w:spacing w:line="360" w:lineRule="auto"/>
        <w:ind w:firstLine="240" w:firstLineChars="100"/>
        <w:rPr>
          <w:rFonts w:ascii="宋体" w:hAnsi="宋体" w:cs="宋体"/>
          <w:color w:val="auto"/>
          <w:sz w:val="24"/>
          <w:highlight w:val="none"/>
        </w:rPr>
      </w:pPr>
      <w:r>
        <w:rPr>
          <w:rFonts w:hint="eastAsia" w:ascii="宋体" w:hAnsi="宋体" w:cs="宋体"/>
          <w:color w:val="auto"/>
          <w:sz w:val="24"/>
          <w:highlight w:val="none"/>
        </w:rPr>
        <w:t>政府采购评审专家收受采购人、采购代理机构、投标人贿赂或者获取其他不正当利益，构成犯罪的，依法追究刑事责任；尚不构成犯罪的，处2万元以上5万元以下的罚款，禁止其参加政府采购评审活动。</w:t>
      </w:r>
    </w:p>
    <w:p w14:paraId="617F112A">
      <w:pPr>
        <w:spacing w:line="360" w:lineRule="auto"/>
        <w:ind w:firstLine="240" w:firstLineChars="100"/>
        <w:rPr>
          <w:rFonts w:ascii="宋体" w:hAnsi="宋体" w:cs="宋体"/>
          <w:color w:val="auto"/>
          <w:sz w:val="24"/>
          <w:highlight w:val="none"/>
        </w:rPr>
      </w:pPr>
      <w:r>
        <w:rPr>
          <w:rFonts w:hint="eastAsia" w:ascii="宋体" w:hAnsi="宋体" w:cs="宋体"/>
          <w:color w:val="auto"/>
          <w:sz w:val="24"/>
          <w:highlight w:val="none"/>
        </w:rPr>
        <w:t>政府采购评审专家有上述违法行为的，其评审意见无效，不得获取评审费；有违法所得的，没收违法所得；给他人造成损失的，依法承担民事责任。</w:t>
      </w:r>
    </w:p>
    <w:p w14:paraId="19509CFD">
      <w:pPr>
        <w:spacing w:line="360" w:lineRule="auto"/>
        <w:ind w:firstLine="240" w:firstLineChars="100"/>
        <w:rPr>
          <w:rFonts w:ascii="宋体" w:hAnsi="宋体" w:cs="宋体"/>
          <w:color w:val="auto"/>
          <w:sz w:val="24"/>
          <w:highlight w:val="none"/>
        </w:rPr>
      </w:pPr>
      <w:r>
        <w:rPr>
          <w:rFonts w:hint="eastAsia" w:ascii="宋体" w:hAnsi="宋体" w:cs="宋体"/>
          <w:color w:val="auto"/>
          <w:sz w:val="24"/>
          <w:highlight w:val="none"/>
        </w:rPr>
        <w:t>17.评标办法。</w:t>
      </w:r>
    </w:p>
    <w:p w14:paraId="1BF21FAD">
      <w:pPr>
        <w:spacing w:line="360" w:lineRule="auto"/>
        <w:ind w:firstLine="240" w:firstLineChars="100"/>
        <w:rPr>
          <w:rFonts w:ascii="宋体" w:hAnsi="宋体" w:cs="宋体"/>
          <w:color w:val="auto"/>
          <w:sz w:val="24"/>
          <w:highlight w:val="none"/>
        </w:rPr>
      </w:pPr>
      <w:r>
        <w:rPr>
          <w:rFonts w:hint="eastAsia" w:ascii="宋体" w:hAnsi="宋体" w:cs="宋体"/>
          <w:color w:val="auto"/>
          <w:sz w:val="24"/>
          <w:highlight w:val="none"/>
        </w:rPr>
        <w:t>本项目评标办法是：综合评分法，具体评标内容及评分标准等详见《第四章：评标办法及评分标准》。</w:t>
      </w:r>
    </w:p>
    <w:p w14:paraId="05B4F8E4">
      <w:pPr>
        <w:spacing w:line="360" w:lineRule="auto"/>
        <w:rPr>
          <w:rFonts w:ascii="宋体" w:hAnsi="宋体" w:cs="宋体"/>
          <w:b/>
          <w:color w:val="auto"/>
          <w:sz w:val="24"/>
          <w:highlight w:val="none"/>
        </w:rPr>
      </w:pPr>
      <w:r>
        <w:rPr>
          <w:rFonts w:hint="eastAsia" w:ascii="宋体" w:hAnsi="宋体" w:cs="宋体"/>
          <w:b/>
          <w:color w:val="auto"/>
          <w:sz w:val="24"/>
          <w:highlight w:val="none"/>
        </w:rPr>
        <w:t>（七）评标过程的监控</w:t>
      </w:r>
    </w:p>
    <w:p w14:paraId="1FB30CD6">
      <w:pPr>
        <w:spacing w:line="360" w:lineRule="auto"/>
        <w:ind w:firstLine="120" w:firstLineChars="50"/>
        <w:rPr>
          <w:rFonts w:ascii="宋体" w:hAnsi="宋体" w:cs="宋体"/>
          <w:color w:val="auto"/>
          <w:sz w:val="24"/>
          <w:highlight w:val="none"/>
        </w:rPr>
      </w:pPr>
      <w:r>
        <w:rPr>
          <w:rFonts w:hint="eastAsia" w:ascii="宋体" w:hAnsi="宋体" w:cs="宋体"/>
          <w:color w:val="auto"/>
          <w:sz w:val="24"/>
          <w:highlight w:val="none"/>
        </w:rPr>
        <w:t>本项目评标过程实行全程录音、录像监控，投标人在评标过程中所进行的试图影响评标结果的不公正活动，可能导致其投标被拒绝。</w:t>
      </w:r>
    </w:p>
    <w:p w14:paraId="7C356ED6">
      <w:pPr>
        <w:spacing w:line="360" w:lineRule="auto"/>
        <w:rPr>
          <w:rFonts w:ascii="宋体" w:hAnsi="宋体" w:cs="宋体"/>
          <w:b/>
          <w:color w:val="auto"/>
          <w:sz w:val="24"/>
          <w:highlight w:val="none"/>
        </w:rPr>
      </w:pPr>
      <w:r>
        <w:rPr>
          <w:rFonts w:hint="eastAsia" w:ascii="宋体" w:hAnsi="宋体" w:cs="宋体"/>
          <w:b/>
          <w:color w:val="auto"/>
          <w:sz w:val="24"/>
          <w:highlight w:val="none"/>
        </w:rPr>
        <w:t>（八）其他</w:t>
      </w:r>
    </w:p>
    <w:p w14:paraId="0EF6E502">
      <w:pPr>
        <w:spacing w:line="360" w:lineRule="auto"/>
        <w:ind w:firstLine="470" w:firstLineChars="196"/>
        <w:rPr>
          <w:rFonts w:ascii="宋体" w:hAnsi="宋体" w:cs="宋体"/>
          <w:color w:val="auto"/>
          <w:sz w:val="24"/>
          <w:highlight w:val="none"/>
        </w:rPr>
      </w:pPr>
      <w:r>
        <w:rPr>
          <w:rFonts w:hint="eastAsia" w:ascii="宋体" w:hAnsi="宋体" w:cs="宋体"/>
          <w:color w:val="auto"/>
          <w:sz w:val="24"/>
          <w:highlight w:val="none"/>
        </w:rPr>
        <w:t>采购过程中出现以下情形，导致电子交易平台无法正常运行，或者无法保证电子交易的公平、公正和安全时，采购组织机构可中止电子交易活动：</w:t>
      </w:r>
    </w:p>
    <w:p w14:paraId="67A7B0D0">
      <w:pPr>
        <w:spacing w:line="360" w:lineRule="auto"/>
        <w:ind w:firstLine="352" w:firstLineChars="147"/>
        <w:rPr>
          <w:rFonts w:ascii="宋体" w:hAnsi="宋体" w:cs="宋体"/>
          <w:color w:val="auto"/>
          <w:sz w:val="24"/>
          <w:highlight w:val="none"/>
        </w:rPr>
      </w:pPr>
      <w:r>
        <w:rPr>
          <w:rFonts w:hint="eastAsia" w:ascii="宋体" w:hAnsi="宋体" w:cs="宋体"/>
          <w:color w:val="auto"/>
          <w:sz w:val="24"/>
          <w:highlight w:val="none"/>
        </w:rPr>
        <w:t>1、电子交易平台发生故障而无法登录访问的；</w:t>
      </w:r>
    </w:p>
    <w:p w14:paraId="6E451F9B">
      <w:pPr>
        <w:spacing w:line="360" w:lineRule="auto"/>
        <w:ind w:firstLine="352" w:firstLineChars="147"/>
        <w:rPr>
          <w:rFonts w:ascii="宋体" w:hAnsi="宋体" w:cs="宋体"/>
          <w:color w:val="auto"/>
          <w:sz w:val="24"/>
          <w:highlight w:val="none"/>
        </w:rPr>
      </w:pPr>
      <w:r>
        <w:rPr>
          <w:rFonts w:hint="eastAsia" w:ascii="宋体" w:hAnsi="宋体" w:cs="宋体"/>
          <w:color w:val="auto"/>
          <w:sz w:val="24"/>
          <w:highlight w:val="none"/>
        </w:rPr>
        <w:t>2、电子交易平台应用或数据库出现错误，不能进行正常操作的；</w:t>
      </w:r>
    </w:p>
    <w:p w14:paraId="09D0DB13">
      <w:pPr>
        <w:spacing w:line="360" w:lineRule="auto"/>
        <w:ind w:firstLine="352" w:firstLineChars="147"/>
        <w:rPr>
          <w:rFonts w:ascii="宋体" w:hAnsi="宋体" w:cs="宋体"/>
          <w:color w:val="auto"/>
          <w:sz w:val="24"/>
          <w:highlight w:val="none"/>
        </w:rPr>
      </w:pPr>
      <w:r>
        <w:rPr>
          <w:rFonts w:hint="eastAsia" w:ascii="宋体" w:hAnsi="宋体" w:cs="宋体"/>
          <w:color w:val="auto"/>
          <w:sz w:val="24"/>
          <w:highlight w:val="none"/>
        </w:rPr>
        <w:t>3、电子交易平台发现严重安全漏洞，有潜在泄密危险的；</w:t>
      </w:r>
    </w:p>
    <w:p w14:paraId="22DFD3E7">
      <w:pPr>
        <w:spacing w:line="360" w:lineRule="auto"/>
        <w:ind w:firstLine="352" w:firstLineChars="147"/>
        <w:rPr>
          <w:rFonts w:ascii="宋体" w:hAnsi="宋体" w:cs="宋体"/>
          <w:color w:val="auto"/>
          <w:sz w:val="24"/>
          <w:highlight w:val="none"/>
        </w:rPr>
      </w:pPr>
      <w:r>
        <w:rPr>
          <w:rFonts w:hint="eastAsia" w:ascii="宋体" w:hAnsi="宋体" w:cs="宋体"/>
          <w:color w:val="auto"/>
          <w:sz w:val="24"/>
          <w:highlight w:val="none"/>
        </w:rPr>
        <w:t>4、病毒发作导致不能进行正常操作的；</w:t>
      </w:r>
    </w:p>
    <w:p w14:paraId="30279684">
      <w:pPr>
        <w:spacing w:line="360" w:lineRule="auto"/>
        <w:ind w:firstLine="352" w:firstLineChars="147"/>
        <w:rPr>
          <w:rFonts w:ascii="宋体" w:hAnsi="宋体" w:cs="宋体"/>
          <w:color w:val="auto"/>
          <w:sz w:val="24"/>
          <w:highlight w:val="none"/>
        </w:rPr>
      </w:pPr>
      <w:r>
        <w:rPr>
          <w:rFonts w:hint="eastAsia" w:ascii="宋体" w:hAnsi="宋体" w:cs="宋体"/>
          <w:color w:val="auto"/>
          <w:sz w:val="24"/>
          <w:highlight w:val="none"/>
        </w:rPr>
        <w:t>5、其他无法保证电子交易的公平、公正和安全的情况。</w:t>
      </w:r>
    </w:p>
    <w:p w14:paraId="4A16955F">
      <w:pPr>
        <w:spacing w:line="360" w:lineRule="auto"/>
        <w:ind w:firstLine="470" w:firstLineChars="196"/>
        <w:rPr>
          <w:rFonts w:ascii="宋体" w:hAnsi="宋体" w:cs="宋体"/>
          <w:color w:val="auto"/>
          <w:sz w:val="24"/>
          <w:highlight w:val="none"/>
        </w:rPr>
      </w:pPr>
      <w:r>
        <w:rPr>
          <w:rFonts w:hint="eastAsia" w:ascii="宋体" w:hAnsi="宋体" w:cs="宋体"/>
          <w:color w:val="auto"/>
          <w:sz w:val="24"/>
          <w:highlight w:val="none"/>
        </w:rPr>
        <w:t>出现前款规定情形，不影响采购公平、公正性的，采购组织机构可以待上述情形消除后继续组织电子交易活动；影响或可能影响采购公平、公正性的，应当重新采购。</w:t>
      </w:r>
    </w:p>
    <w:p w14:paraId="230855FF">
      <w:pPr>
        <w:pStyle w:val="5"/>
        <w:keepNext w:val="0"/>
        <w:keepLines w:val="0"/>
        <w:pageBreakBefore/>
        <w:spacing w:line="360" w:lineRule="auto"/>
        <w:jc w:val="center"/>
        <w:rPr>
          <w:rFonts w:ascii="宋体" w:hAnsi="宋体" w:eastAsia="宋体" w:cs="宋体"/>
          <w:color w:val="auto"/>
          <w:sz w:val="24"/>
          <w:szCs w:val="24"/>
          <w:highlight w:val="none"/>
        </w:rPr>
      </w:pPr>
      <w:bookmarkStart w:id="31" w:name="_Toc3516"/>
      <w:bookmarkStart w:id="32" w:name="_Toc2093"/>
      <w:bookmarkStart w:id="33" w:name="_Toc458697272"/>
      <w:r>
        <w:rPr>
          <w:rFonts w:hint="eastAsia" w:ascii="宋体" w:hAnsi="宋体" w:eastAsia="宋体" w:cs="宋体"/>
          <w:color w:val="auto"/>
          <w:sz w:val="24"/>
          <w:szCs w:val="24"/>
          <w:highlight w:val="none"/>
        </w:rPr>
        <w:t>六、定标</w:t>
      </w:r>
      <w:bookmarkEnd w:id="31"/>
      <w:bookmarkEnd w:id="32"/>
      <w:bookmarkEnd w:id="33"/>
    </w:p>
    <w:p w14:paraId="6B63F17E">
      <w:pPr>
        <w:spacing w:line="360" w:lineRule="auto"/>
        <w:rPr>
          <w:rFonts w:ascii="宋体" w:hAnsi="宋体" w:cs="宋体"/>
          <w:color w:val="auto"/>
          <w:sz w:val="24"/>
          <w:highlight w:val="none"/>
        </w:rPr>
      </w:pPr>
      <w:r>
        <w:rPr>
          <w:rFonts w:hint="eastAsia" w:ascii="宋体" w:hAnsi="宋体" w:cs="宋体"/>
          <w:color w:val="auto"/>
          <w:sz w:val="24"/>
          <w:highlight w:val="none"/>
        </w:rPr>
        <w:t>（一）确定中标人 。</w:t>
      </w:r>
      <w:r>
        <w:rPr>
          <w:rFonts w:hint="eastAsia" w:ascii="宋体" w:hAnsi="宋体" w:cs="宋体"/>
          <w:b/>
          <w:bCs/>
          <w:color w:val="auto"/>
          <w:sz w:val="24"/>
          <w:highlight w:val="none"/>
        </w:rPr>
        <w:t>本项目由采购人授权评标委员会确定中标人。</w:t>
      </w:r>
    </w:p>
    <w:p w14:paraId="1A163271">
      <w:pPr>
        <w:spacing w:line="360" w:lineRule="auto"/>
        <w:rPr>
          <w:rFonts w:ascii="宋体" w:hAnsi="宋体" w:cs="宋体"/>
          <w:color w:val="auto"/>
          <w:sz w:val="24"/>
          <w:highlight w:val="none"/>
        </w:rPr>
      </w:pPr>
      <w:bookmarkStart w:id="34" w:name="_Toc458697273"/>
      <w:r>
        <w:rPr>
          <w:rFonts w:hint="eastAsia" w:ascii="宋体" w:hAnsi="宋体" w:cs="宋体"/>
          <w:color w:val="auto"/>
          <w:sz w:val="24"/>
          <w:highlight w:val="none"/>
        </w:rPr>
        <w:t>1.招标方在评标结束后2个工作日内将评标报告交采购人确认。</w:t>
      </w:r>
    </w:p>
    <w:p w14:paraId="6819A88A">
      <w:pPr>
        <w:spacing w:line="360" w:lineRule="auto"/>
        <w:rPr>
          <w:rFonts w:ascii="宋体" w:hAnsi="宋体" w:cs="宋体"/>
          <w:color w:val="auto"/>
          <w:sz w:val="24"/>
          <w:highlight w:val="none"/>
        </w:rPr>
      </w:pPr>
      <w:r>
        <w:rPr>
          <w:rFonts w:hint="eastAsia" w:ascii="宋体" w:hAnsi="宋体" w:cs="宋体"/>
          <w:color w:val="auto"/>
          <w:sz w:val="24"/>
          <w:highlight w:val="none"/>
        </w:rPr>
        <w:t>2.采购人应在收到评标报告后5个工作日内对评标结果进行确认。如有投标人对评标结果提出质疑的，采购人可在质疑处理完毕后确定中标人。</w:t>
      </w:r>
    </w:p>
    <w:p w14:paraId="015D2887">
      <w:pPr>
        <w:spacing w:line="360" w:lineRule="auto"/>
        <w:rPr>
          <w:rFonts w:ascii="宋体" w:hAnsi="宋体" w:cs="宋体"/>
          <w:color w:val="auto"/>
          <w:sz w:val="24"/>
          <w:highlight w:val="none"/>
        </w:rPr>
      </w:pPr>
      <w:r>
        <w:rPr>
          <w:rFonts w:hint="eastAsia" w:ascii="宋体" w:hAnsi="宋体" w:cs="宋体"/>
          <w:color w:val="auto"/>
          <w:sz w:val="24"/>
          <w:highlight w:val="none"/>
        </w:rPr>
        <w:t>3.采购人依法确定中标人后2个工作日内，招标方以书面形式发出《中标通知书》,并同时在相关网站上发布中标公告。</w:t>
      </w:r>
    </w:p>
    <w:p w14:paraId="65960293">
      <w:pPr>
        <w:spacing w:line="360" w:lineRule="auto"/>
        <w:rPr>
          <w:rFonts w:ascii="宋体" w:hAnsi="宋体" w:cs="宋体"/>
          <w:color w:val="auto"/>
          <w:sz w:val="24"/>
          <w:highlight w:val="none"/>
        </w:rPr>
      </w:pPr>
      <w:r>
        <w:rPr>
          <w:rFonts w:hint="eastAsia" w:ascii="宋体" w:hAnsi="宋体" w:cs="宋体"/>
          <w:color w:val="auto"/>
          <w:sz w:val="24"/>
          <w:highlight w:val="none"/>
        </w:rPr>
        <w:t>4. 确定中标人后，中标人应在三个工作日内，向招标方领取《中标通知书》，否则按放弃中标资格处理，并因违反诚信原则，提交财政部门列入政府采购黑名单。</w:t>
      </w:r>
    </w:p>
    <w:p w14:paraId="3AF2DC80">
      <w:pPr>
        <w:pStyle w:val="5"/>
        <w:keepNext w:val="0"/>
        <w:keepLines w:val="0"/>
        <w:pageBreakBefore/>
        <w:spacing w:line="360" w:lineRule="auto"/>
        <w:jc w:val="center"/>
        <w:rPr>
          <w:rFonts w:ascii="宋体" w:hAnsi="宋体" w:eastAsia="宋体" w:cs="宋体"/>
          <w:color w:val="auto"/>
          <w:sz w:val="24"/>
          <w:szCs w:val="24"/>
          <w:highlight w:val="none"/>
        </w:rPr>
      </w:pPr>
      <w:bookmarkStart w:id="35" w:name="_Toc8955"/>
      <w:bookmarkStart w:id="36" w:name="_Toc27700"/>
      <w:r>
        <w:rPr>
          <w:rFonts w:hint="eastAsia" w:ascii="宋体" w:hAnsi="宋体" w:eastAsia="宋体" w:cs="宋体"/>
          <w:color w:val="auto"/>
          <w:sz w:val="24"/>
          <w:szCs w:val="24"/>
          <w:highlight w:val="none"/>
        </w:rPr>
        <w:t>七、合同授予</w:t>
      </w:r>
      <w:bookmarkEnd w:id="34"/>
      <w:bookmarkEnd w:id="35"/>
      <w:bookmarkEnd w:id="36"/>
    </w:p>
    <w:p w14:paraId="031CA1C9">
      <w:pPr>
        <w:spacing w:line="360" w:lineRule="auto"/>
        <w:rPr>
          <w:rFonts w:ascii="宋体" w:hAnsi="宋体" w:cs="宋体"/>
          <w:b/>
          <w:color w:val="auto"/>
          <w:sz w:val="24"/>
          <w:highlight w:val="none"/>
        </w:rPr>
      </w:pPr>
      <w:r>
        <w:rPr>
          <w:rFonts w:hint="eastAsia" w:ascii="宋体" w:hAnsi="宋体" w:cs="宋体"/>
          <w:b/>
          <w:color w:val="auto"/>
          <w:sz w:val="24"/>
          <w:highlight w:val="none"/>
        </w:rPr>
        <w:t>（一）签订合同</w:t>
      </w:r>
    </w:p>
    <w:p w14:paraId="6394D49C">
      <w:pPr>
        <w:spacing w:line="360" w:lineRule="auto"/>
        <w:rPr>
          <w:rFonts w:ascii="宋体" w:hAnsi="宋体" w:cs="宋体"/>
          <w:color w:val="auto"/>
          <w:sz w:val="24"/>
          <w:highlight w:val="none"/>
        </w:rPr>
      </w:pPr>
      <w:r>
        <w:rPr>
          <w:rFonts w:hint="eastAsia" w:ascii="宋体" w:hAnsi="宋体" w:cs="宋体"/>
          <w:color w:val="auto"/>
          <w:sz w:val="24"/>
          <w:highlight w:val="none"/>
        </w:rPr>
        <w:t>1.除不可抗力等特殊情况外，采购人原则上应当在中标通知书发出之日起20日内，与成交人按照采购文件确定的事项签订政府采购合同，并在签订之日起2个工作日内将政府采购合同在浙江政府采购网上公告。</w:t>
      </w:r>
    </w:p>
    <w:p w14:paraId="300A63E5">
      <w:pPr>
        <w:spacing w:line="360" w:lineRule="auto"/>
        <w:rPr>
          <w:rFonts w:ascii="宋体" w:hAnsi="宋体" w:cs="宋体"/>
          <w:color w:val="auto"/>
          <w:sz w:val="24"/>
          <w:highlight w:val="none"/>
        </w:rPr>
      </w:pPr>
      <w:r>
        <w:rPr>
          <w:rFonts w:hint="eastAsia" w:ascii="宋体" w:hAnsi="宋体" w:cs="宋体"/>
          <w:color w:val="auto"/>
          <w:sz w:val="24"/>
          <w:highlight w:val="none"/>
        </w:rPr>
        <w:t>2.成交人按规定的日期、时间、地点，由法定代表人或其授权代表与采购人代表签订合同。如成交人为联合体的，由联合体成员各方法定代表人或其授权代表与采购人代表签订合同。</w:t>
      </w:r>
    </w:p>
    <w:p w14:paraId="48B36235">
      <w:pPr>
        <w:spacing w:line="360" w:lineRule="auto"/>
        <w:rPr>
          <w:rFonts w:ascii="宋体" w:hAnsi="宋体" w:cs="宋体"/>
          <w:color w:val="auto"/>
          <w:sz w:val="24"/>
          <w:highlight w:val="none"/>
        </w:rPr>
      </w:pPr>
      <w:r>
        <w:rPr>
          <w:rFonts w:hint="eastAsia" w:ascii="宋体" w:hAnsi="宋体" w:cs="宋体"/>
          <w:color w:val="auto"/>
          <w:sz w:val="24"/>
          <w:highlight w:val="none"/>
        </w:rPr>
        <w:t>3.如签订合同并生效后，供应商无故拒绝或延期，除按照合同条款处理外，列入不良行为记录一次，并给予通报。</w:t>
      </w:r>
    </w:p>
    <w:p w14:paraId="374B6E27">
      <w:pPr>
        <w:spacing w:line="360" w:lineRule="auto"/>
        <w:rPr>
          <w:rFonts w:ascii="宋体" w:hAnsi="宋体" w:cs="宋体"/>
          <w:color w:val="auto"/>
          <w:sz w:val="24"/>
          <w:highlight w:val="none"/>
        </w:rPr>
      </w:pPr>
      <w:r>
        <w:rPr>
          <w:rFonts w:hint="eastAsia" w:ascii="宋体" w:hAnsi="宋体" w:cs="宋体"/>
          <w:color w:val="auto"/>
          <w:sz w:val="24"/>
          <w:highlight w:val="none"/>
        </w:rPr>
        <w:t>4.成交人拒绝与采购人签订合同的，采购人可以按照评审报告推荐的中标或者成交候选人名单排序，确定下一候选人为成交人，也可以重新开展政府采购活动。</w:t>
      </w:r>
    </w:p>
    <w:p w14:paraId="5461D920">
      <w:pPr>
        <w:spacing w:line="360" w:lineRule="auto"/>
        <w:rPr>
          <w:rFonts w:ascii="宋体" w:hAnsi="宋体" w:cs="宋体"/>
          <w:color w:val="auto"/>
          <w:sz w:val="24"/>
          <w:highlight w:val="none"/>
        </w:rPr>
      </w:pPr>
      <w:r>
        <w:rPr>
          <w:rFonts w:hint="eastAsia" w:ascii="宋体" w:hAnsi="宋体" w:cs="宋体"/>
          <w:color w:val="auto"/>
          <w:sz w:val="24"/>
          <w:highlight w:val="none"/>
        </w:rPr>
        <w:t>5.采购合同由采购人与成交人根据采购文件、磋商响应文件等内容通过政府采购电子交易平台在线签订，自动备案。</w:t>
      </w:r>
    </w:p>
    <w:p w14:paraId="3187D3FA">
      <w:pPr>
        <w:spacing w:line="360" w:lineRule="auto"/>
        <w:rPr>
          <w:rFonts w:ascii="宋体" w:hAnsi="宋体" w:cs="宋体"/>
          <w:bCs/>
          <w:color w:val="auto"/>
          <w:sz w:val="24"/>
          <w:highlight w:val="none"/>
        </w:rPr>
      </w:pPr>
      <w:r>
        <w:rPr>
          <w:rFonts w:hint="eastAsia" w:ascii="宋体" w:hAnsi="宋体" w:cs="宋体"/>
          <w:bCs/>
          <w:color w:val="auto"/>
          <w:sz w:val="24"/>
          <w:highlight w:val="none"/>
        </w:rPr>
        <w:t>6.政府采购货物和服务项目不得收取质量保证金。政府采购工程以及与工程建设有关的货物、服务，采用招标方式采购的，按国家和省有关规定执行。</w:t>
      </w:r>
    </w:p>
    <w:p w14:paraId="72038427">
      <w:pPr>
        <w:rPr>
          <w:rFonts w:ascii="宋体" w:hAnsi="宋体" w:cs="宋体"/>
          <w:color w:val="auto"/>
          <w:sz w:val="24"/>
          <w:highlight w:val="none"/>
        </w:rPr>
      </w:pPr>
    </w:p>
    <w:p w14:paraId="61A16D44">
      <w:pPr>
        <w:rPr>
          <w:rFonts w:ascii="宋体" w:hAnsi="宋体" w:cs="宋体"/>
          <w:color w:val="auto"/>
          <w:sz w:val="24"/>
          <w:highlight w:val="none"/>
        </w:rPr>
      </w:pPr>
    </w:p>
    <w:p w14:paraId="00AF5312">
      <w:pPr>
        <w:rPr>
          <w:rFonts w:ascii="宋体" w:hAnsi="宋体" w:cs="宋体"/>
          <w:color w:val="auto"/>
          <w:sz w:val="24"/>
          <w:highlight w:val="none"/>
        </w:rPr>
      </w:pPr>
    </w:p>
    <w:p w14:paraId="35C0940A">
      <w:pPr>
        <w:pStyle w:val="12"/>
        <w:pageBreakBefore/>
        <w:snapToGrid w:val="0"/>
        <w:spacing w:before="120" w:after="120" w:line="360" w:lineRule="auto"/>
        <w:jc w:val="center"/>
        <w:outlineLvl w:val="0"/>
        <w:rPr>
          <w:rFonts w:ascii="宋体" w:hAnsi="宋体" w:cs="宋体"/>
          <w:b/>
          <w:color w:val="auto"/>
          <w:sz w:val="28"/>
          <w:szCs w:val="28"/>
          <w:highlight w:val="none"/>
        </w:rPr>
      </w:pPr>
      <w:bookmarkStart w:id="37" w:name="_Toc15595"/>
      <w:r>
        <w:rPr>
          <w:rFonts w:hint="eastAsia" w:ascii="宋体" w:hAnsi="宋体" w:cs="宋体"/>
          <w:b/>
          <w:color w:val="auto"/>
          <w:sz w:val="28"/>
          <w:szCs w:val="28"/>
          <w:highlight w:val="none"/>
        </w:rPr>
        <w:t>第四章  评标办法及评分标准</w:t>
      </w:r>
      <w:bookmarkEnd w:id="37"/>
    </w:p>
    <w:p w14:paraId="218BAAD3">
      <w:pPr>
        <w:spacing w:line="5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为公正、公平、科学地选择中标人，根据《中华人民共和国政府采购法》等有关法律法规的规定，并结合本项目的实际，制定本办法。</w:t>
      </w:r>
    </w:p>
    <w:p w14:paraId="10C36BF8">
      <w:pPr>
        <w:spacing w:line="5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本办法适用于</w:t>
      </w:r>
      <w:r>
        <w:rPr>
          <w:rFonts w:hint="eastAsia" w:ascii="宋体" w:hAnsi="宋体" w:cs="宋体"/>
          <w:color w:val="auto"/>
          <w:sz w:val="24"/>
          <w:highlight w:val="none"/>
          <w:lang w:eastAsia="zh-CN"/>
        </w:rPr>
        <w:t>东阳市农药废弃包装物回收和集中处置采购项目（第二次）</w:t>
      </w:r>
      <w:r>
        <w:rPr>
          <w:rFonts w:hint="eastAsia" w:ascii="宋体" w:hAnsi="宋体" w:cs="宋体"/>
          <w:color w:val="auto"/>
          <w:sz w:val="24"/>
          <w:highlight w:val="none"/>
        </w:rPr>
        <w:t>的评标。</w:t>
      </w:r>
    </w:p>
    <w:p w14:paraId="7BCC03B4">
      <w:pPr>
        <w:spacing w:line="540" w:lineRule="exact"/>
        <w:rPr>
          <w:rFonts w:ascii="宋体" w:hAnsi="宋体" w:cs="宋体"/>
          <w:b/>
          <w:color w:val="auto"/>
          <w:sz w:val="24"/>
          <w:highlight w:val="none"/>
        </w:rPr>
      </w:pPr>
      <w:bookmarkStart w:id="38" w:name="_Toc31315"/>
      <w:bookmarkStart w:id="39" w:name="_Toc452728219"/>
      <w:bookmarkStart w:id="40" w:name="_Toc26574"/>
      <w:bookmarkStart w:id="41" w:name="_Toc12525"/>
      <w:r>
        <w:rPr>
          <w:rFonts w:hint="eastAsia" w:ascii="宋体" w:hAnsi="宋体" w:cs="宋体"/>
          <w:b/>
          <w:color w:val="auto"/>
          <w:sz w:val="24"/>
          <w:highlight w:val="none"/>
        </w:rPr>
        <w:t>一、总则</w:t>
      </w:r>
      <w:bookmarkEnd w:id="38"/>
      <w:bookmarkEnd w:id="39"/>
      <w:bookmarkEnd w:id="40"/>
      <w:bookmarkEnd w:id="41"/>
    </w:p>
    <w:p w14:paraId="1A328463">
      <w:pPr>
        <w:spacing w:line="5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本次评标采用综合评分法，总分为100分，其中价格分30分，技术、商务、资信及其他分70分；合格投标人的评标得分为各项目汇总得分，中标候选资格按评标综合得分由高到低顺序排列，得分相同的，按投标报价由低到高顺序排列；得分且投标报价相同的，按技术得分由高到低顺序排列。排名第一的投标人为中标候选人,排名第二的投标人为候补中标候选人(有效投标人为 3家时推荐2名中标候选人，有效标大于 3 家时，推荐 3 名中标候选人)……其他投标人中标候选资格依此类推。评分过程中采用四舍五入法，并保留小数2位。</w:t>
      </w:r>
    </w:p>
    <w:p w14:paraId="4E294110">
      <w:pPr>
        <w:spacing w:line="5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投标人评标综合得分=价格分+(技术分+商务分+资信及其他分)</w:t>
      </w:r>
    </w:p>
    <w:p w14:paraId="57D0A1A3">
      <w:pPr>
        <w:numPr>
          <w:ilvl w:val="0"/>
          <w:numId w:val="6"/>
        </w:numPr>
        <w:spacing w:line="540" w:lineRule="exact"/>
        <w:rPr>
          <w:rFonts w:ascii="宋体" w:hAnsi="宋体" w:cs="宋体"/>
          <w:b/>
          <w:color w:val="auto"/>
          <w:sz w:val="24"/>
          <w:highlight w:val="none"/>
        </w:rPr>
      </w:pPr>
      <w:bookmarkStart w:id="42" w:name="_Toc12387"/>
      <w:bookmarkStart w:id="43" w:name="_Toc452728220"/>
      <w:bookmarkStart w:id="44" w:name="_Toc6122"/>
      <w:bookmarkStart w:id="45" w:name="_Toc16785"/>
      <w:r>
        <w:rPr>
          <w:rFonts w:hint="eastAsia" w:ascii="宋体" w:hAnsi="宋体" w:cs="宋体"/>
          <w:b/>
          <w:color w:val="auto"/>
          <w:sz w:val="24"/>
          <w:highlight w:val="none"/>
        </w:rPr>
        <w:t>评标内容及标准</w:t>
      </w:r>
      <w:bookmarkEnd w:id="42"/>
      <w:bookmarkEnd w:id="43"/>
      <w:bookmarkEnd w:id="44"/>
      <w:bookmarkEnd w:id="45"/>
      <w:bookmarkStart w:id="46" w:name="_Toc502652282"/>
      <w:bookmarkStart w:id="47" w:name="_Hlt452359757"/>
      <w:bookmarkStart w:id="48" w:name="_Hlt452359758"/>
    </w:p>
    <w:p w14:paraId="6C1B7441">
      <w:pPr>
        <w:pStyle w:val="12"/>
        <w:spacing w:before="120" w:after="120" w:line="540" w:lineRule="exact"/>
        <w:rPr>
          <w:rFonts w:ascii="宋体" w:hAnsi="宋体" w:cs="宋体"/>
          <w:b/>
          <w:bCs/>
          <w:color w:val="auto"/>
          <w:szCs w:val="24"/>
          <w:highlight w:val="none"/>
        </w:rPr>
      </w:pPr>
      <w:r>
        <w:rPr>
          <w:rFonts w:hint="eastAsia" w:ascii="宋体" w:hAnsi="宋体" w:cs="宋体"/>
          <w:b/>
          <w:bCs/>
          <w:color w:val="auto"/>
          <w:szCs w:val="24"/>
          <w:highlight w:val="none"/>
        </w:rPr>
        <w:t>（一）技术、商务、资信及其他分（70分）</w:t>
      </w:r>
    </w:p>
    <w:p w14:paraId="405D1BAE">
      <w:pPr>
        <w:spacing w:line="5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技术、商务资信及其他分响应标书要求的投标单位全部进入商务报价评审。</w:t>
      </w:r>
    </w:p>
    <w:p w14:paraId="232B44A2">
      <w:pPr>
        <w:pStyle w:val="8"/>
        <w:spacing w:line="540" w:lineRule="exact"/>
        <w:ind w:left="0" w:leftChars="0"/>
        <w:rPr>
          <w:rFonts w:ascii="宋体" w:hAnsi="宋体" w:cs="宋体"/>
          <w:b/>
          <w:bCs/>
          <w:color w:val="auto"/>
          <w:sz w:val="24"/>
          <w:highlight w:val="none"/>
        </w:rPr>
      </w:pPr>
      <w:r>
        <w:rPr>
          <w:rFonts w:hint="eastAsia" w:ascii="宋体" w:hAnsi="宋体" w:cs="宋体"/>
          <w:b/>
          <w:color w:val="auto"/>
          <w:sz w:val="24"/>
          <w:highlight w:val="none"/>
        </w:rPr>
        <w:t>（二）</w:t>
      </w:r>
      <w:r>
        <w:rPr>
          <w:rFonts w:hint="eastAsia" w:ascii="宋体" w:hAnsi="宋体" w:cs="宋体"/>
          <w:b/>
          <w:bCs/>
          <w:color w:val="auto"/>
          <w:sz w:val="24"/>
          <w:highlight w:val="none"/>
        </w:rPr>
        <w:t xml:space="preserve">价格分（30分） </w:t>
      </w:r>
    </w:p>
    <w:p w14:paraId="3D12C09A">
      <w:pPr>
        <w:spacing w:before="120" w:beforeLines="50" w:after="120" w:afterLines="50" w:line="540" w:lineRule="exact"/>
        <w:ind w:firstLine="464" w:firstLineChars="200"/>
        <w:rPr>
          <w:rFonts w:ascii="宋体" w:hAnsi="宋体" w:cs="宋体"/>
          <w:bCs/>
          <w:color w:val="auto"/>
          <w:sz w:val="24"/>
          <w:highlight w:val="none"/>
        </w:rPr>
      </w:pPr>
      <w:r>
        <w:rPr>
          <w:rFonts w:hint="eastAsia" w:ascii="宋体" w:hAnsi="宋体" w:cs="宋体"/>
          <w:bCs/>
          <w:color w:val="auto"/>
          <w:spacing w:val="-4"/>
          <w:sz w:val="24"/>
          <w:szCs w:val="20"/>
          <w:highlight w:val="none"/>
        </w:rPr>
        <w:t>（1）</w:t>
      </w:r>
      <w:r>
        <w:rPr>
          <w:rFonts w:hint="eastAsia" w:ascii="宋体" w:hAnsi="宋体" w:cs="宋体"/>
          <w:bCs/>
          <w:color w:val="auto"/>
          <w:sz w:val="24"/>
          <w:highlight w:val="none"/>
        </w:rPr>
        <w:t>价格分采用低价优先法计算，取所有技术、资信商务得分入围投标人中，投标下浮率最高的投标报价为评标基准价，其他投标人的价格分按照下列公式计算：</w:t>
      </w:r>
    </w:p>
    <w:p w14:paraId="791659B6">
      <w:pPr>
        <w:spacing w:before="120" w:beforeLines="50" w:after="120" w:afterLines="50" w:line="5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价格分=（1-评标基准价）/（1-投标下浮率）×30</w:t>
      </w:r>
    </w:p>
    <w:p w14:paraId="380AB099">
      <w:pPr>
        <w:spacing w:line="540" w:lineRule="exact"/>
        <w:rPr>
          <w:rFonts w:ascii="宋体" w:hAnsi="宋体" w:cs="宋体"/>
          <w:b/>
          <w:bCs/>
          <w:color w:val="auto"/>
          <w:sz w:val="24"/>
          <w:highlight w:val="none"/>
        </w:rPr>
      </w:pPr>
      <w:r>
        <w:rPr>
          <w:rFonts w:hint="eastAsia" w:ascii="宋体" w:hAnsi="宋体" w:cs="宋体"/>
          <w:b/>
          <w:bCs/>
          <w:color w:val="auto"/>
          <w:sz w:val="24"/>
          <w:highlight w:val="none"/>
        </w:rPr>
        <w:t>（三）技术、商务、资信及其他分的计算</w:t>
      </w:r>
    </w:p>
    <w:p w14:paraId="15A9E986">
      <w:pPr>
        <w:spacing w:before="120" w:beforeLines="50" w:after="120" w:afterLines="50" w:line="5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技术、商务、资信及其他分按照评标委员会成员的独立评分结果的算术平均分计算，计算公式为：</w:t>
      </w:r>
    </w:p>
    <w:p w14:paraId="6BD3310C">
      <w:pPr>
        <w:spacing w:before="120" w:beforeLines="50" w:after="120" w:afterLines="50" w:line="540" w:lineRule="exact"/>
        <w:ind w:firstLine="480" w:firstLineChars="200"/>
        <w:rPr>
          <w:rFonts w:ascii="宋体" w:hAnsi="宋体" w:cs="宋体"/>
          <w:b/>
          <w:color w:val="auto"/>
          <w:sz w:val="24"/>
          <w:highlight w:val="none"/>
        </w:rPr>
      </w:pPr>
      <w:r>
        <w:rPr>
          <w:rFonts w:hint="eastAsia" w:ascii="宋体" w:hAnsi="宋体" w:cs="宋体"/>
          <w:color w:val="auto"/>
          <w:sz w:val="24"/>
          <w:highlight w:val="none"/>
        </w:rPr>
        <w:t>技术商务资信及其他分=评标委员会所有成员有效评分合计数/5</w:t>
      </w:r>
    </w:p>
    <w:p w14:paraId="2B9ED45F">
      <w:pPr>
        <w:pStyle w:val="12"/>
        <w:numPr>
          <w:ilvl w:val="0"/>
          <w:numId w:val="9"/>
        </w:numPr>
        <w:spacing w:before="120" w:after="120" w:line="540" w:lineRule="exact"/>
        <w:rPr>
          <w:rFonts w:ascii="宋体" w:hAnsi="宋体" w:cs="宋体"/>
          <w:b/>
          <w:bCs/>
          <w:color w:val="auto"/>
          <w:highlight w:val="none"/>
        </w:rPr>
      </w:pPr>
      <w:r>
        <w:rPr>
          <w:rFonts w:hint="eastAsia" w:ascii="宋体" w:hAnsi="宋体" w:cs="宋体"/>
          <w:b/>
          <w:bCs/>
          <w:color w:val="auto"/>
          <w:highlight w:val="none"/>
        </w:rPr>
        <w:t>技术资信评分标准，共70分</w:t>
      </w:r>
    </w:p>
    <w:tbl>
      <w:tblPr>
        <w:tblStyle w:val="23"/>
        <w:tblW w:w="9392"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29"/>
        <w:gridCol w:w="407"/>
        <w:gridCol w:w="1262"/>
        <w:gridCol w:w="6281"/>
        <w:gridCol w:w="713"/>
      </w:tblGrid>
      <w:tr w14:paraId="038404C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6" w:hRule="atLeast"/>
          <w:jc w:val="center"/>
        </w:trPr>
        <w:tc>
          <w:tcPr>
            <w:tcW w:w="729" w:type="dxa"/>
            <w:tcBorders>
              <w:top w:val="single" w:color="auto" w:sz="4" w:space="0"/>
              <w:left w:val="single" w:color="auto" w:sz="4" w:space="0"/>
              <w:bottom w:val="single" w:color="auto" w:sz="4" w:space="0"/>
              <w:right w:val="single" w:color="auto" w:sz="4" w:space="0"/>
            </w:tcBorders>
            <w:vAlign w:val="center"/>
          </w:tcPr>
          <w:p w14:paraId="1C63E884">
            <w:pPr>
              <w:rPr>
                <w:rFonts w:ascii="宋体"/>
                <w:b/>
                <w:bCs/>
                <w:color w:val="auto"/>
                <w:sz w:val="24"/>
                <w:highlight w:val="none"/>
              </w:rPr>
            </w:pPr>
            <w:bookmarkStart w:id="49" w:name="_Toc13505"/>
            <w:r>
              <w:rPr>
                <w:rFonts w:hint="eastAsia" w:ascii="宋体"/>
                <w:b/>
                <w:bCs/>
                <w:color w:val="auto"/>
                <w:sz w:val="24"/>
                <w:highlight w:val="none"/>
              </w:rPr>
              <w:t>序号</w:t>
            </w:r>
          </w:p>
        </w:tc>
        <w:tc>
          <w:tcPr>
            <w:tcW w:w="1669" w:type="dxa"/>
            <w:gridSpan w:val="2"/>
            <w:tcBorders>
              <w:top w:val="single" w:color="auto" w:sz="4" w:space="0"/>
              <w:left w:val="single" w:color="auto" w:sz="4" w:space="0"/>
              <w:bottom w:val="single" w:color="auto" w:sz="4" w:space="0"/>
              <w:right w:val="single" w:color="auto" w:sz="4" w:space="0"/>
            </w:tcBorders>
            <w:vAlign w:val="center"/>
          </w:tcPr>
          <w:p w14:paraId="6DD345CF">
            <w:pPr>
              <w:jc w:val="center"/>
              <w:rPr>
                <w:rFonts w:ascii="宋体"/>
                <w:b/>
                <w:bCs/>
                <w:color w:val="auto"/>
                <w:sz w:val="24"/>
                <w:highlight w:val="none"/>
              </w:rPr>
            </w:pPr>
            <w:r>
              <w:rPr>
                <w:rFonts w:hint="eastAsia" w:ascii="宋体"/>
                <w:b/>
                <w:bCs/>
                <w:color w:val="auto"/>
                <w:sz w:val="24"/>
                <w:highlight w:val="none"/>
              </w:rPr>
              <w:t>评审内容</w:t>
            </w:r>
          </w:p>
        </w:tc>
        <w:tc>
          <w:tcPr>
            <w:tcW w:w="6281" w:type="dxa"/>
            <w:tcBorders>
              <w:top w:val="single" w:color="auto" w:sz="4" w:space="0"/>
              <w:left w:val="single" w:color="auto" w:sz="4" w:space="0"/>
              <w:bottom w:val="single" w:color="auto" w:sz="4" w:space="0"/>
              <w:right w:val="single" w:color="auto" w:sz="4" w:space="0"/>
            </w:tcBorders>
            <w:vAlign w:val="center"/>
          </w:tcPr>
          <w:p w14:paraId="6D3ECF89">
            <w:pPr>
              <w:jc w:val="center"/>
              <w:rPr>
                <w:rFonts w:ascii="宋体"/>
                <w:b/>
                <w:bCs/>
                <w:color w:val="auto"/>
                <w:sz w:val="24"/>
                <w:highlight w:val="none"/>
              </w:rPr>
            </w:pPr>
            <w:r>
              <w:rPr>
                <w:rFonts w:hint="eastAsia" w:ascii="宋体"/>
                <w:b/>
                <w:bCs/>
                <w:color w:val="auto"/>
                <w:sz w:val="24"/>
                <w:highlight w:val="none"/>
              </w:rPr>
              <w:t>评分标准</w:t>
            </w:r>
          </w:p>
        </w:tc>
        <w:tc>
          <w:tcPr>
            <w:tcW w:w="713" w:type="dxa"/>
            <w:tcBorders>
              <w:top w:val="single" w:color="auto" w:sz="4" w:space="0"/>
              <w:left w:val="single" w:color="auto" w:sz="4" w:space="0"/>
              <w:bottom w:val="single" w:color="auto" w:sz="4" w:space="0"/>
              <w:right w:val="single" w:color="auto" w:sz="4" w:space="0"/>
            </w:tcBorders>
            <w:vAlign w:val="center"/>
          </w:tcPr>
          <w:p w14:paraId="0730126C">
            <w:pPr>
              <w:jc w:val="center"/>
              <w:rPr>
                <w:rFonts w:ascii="宋体"/>
                <w:b/>
                <w:bCs/>
                <w:color w:val="auto"/>
                <w:sz w:val="24"/>
                <w:highlight w:val="none"/>
              </w:rPr>
            </w:pPr>
            <w:r>
              <w:rPr>
                <w:rFonts w:hint="eastAsia" w:ascii="宋体"/>
                <w:b/>
                <w:bCs/>
                <w:color w:val="auto"/>
                <w:sz w:val="24"/>
                <w:highlight w:val="none"/>
              </w:rPr>
              <w:t>分值</w:t>
            </w:r>
          </w:p>
        </w:tc>
      </w:tr>
      <w:tr w14:paraId="5219D34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55" w:hRule="atLeast"/>
          <w:jc w:val="center"/>
        </w:trPr>
        <w:tc>
          <w:tcPr>
            <w:tcW w:w="729" w:type="dxa"/>
            <w:tcBorders>
              <w:top w:val="single" w:color="auto" w:sz="4" w:space="0"/>
              <w:left w:val="single" w:color="auto" w:sz="4" w:space="0"/>
              <w:bottom w:val="single" w:color="auto" w:sz="4" w:space="0"/>
              <w:right w:val="single" w:color="auto" w:sz="4" w:space="0"/>
            </w:tcBorders>
            <w:vAlign w:val="center"/>
          </w:tcPr>
          <w:p w14:paraId="3709A657">
            <w:pPr>
              <w:jc w:val="center"/>
              <w:rPr>
                <w:rFonts w:ascii="宋体"/>
                <w:b/>
                <w:bCs/>
                <w:color w:val="auto"/>
                <w:sz w:val="24"/>
                <w:highlight w:val="none"/>
              </w:rPr>
            </w:pPr>
            <w:r>
              <w:rPr>
                <w:rFonts w:hint="eastAsia" w:ascii="宋体"/>
                <w:b/>
                <w:bCs/>
                <w:color w:val="auto"/>
                <w:sz w:val="24"/>
                <w:highlight w:val="none"/>
              </w:rPr>
              <w:t>一</w:t>
            </w:r>
          </w:p>
        </w:tc>
        <w:tc>
          <w:tcPr>
            <w:tcW w:w="7950" w:type="dxa"/>
            <w:gridSpan w:val="3"/>
            <w:tcBorders>
              <w:top w:val="single" w:color="auto" w:sz="4" w:space="0"/>
              <w:left w:val="single" w:color="auto" w:sz="4" w:space="0"/>
              <w:bottom w:val="single" w:color="auto" w:sz="4" w:space="0"/>
              <w:right w:val="single" w:color="auto" w:sz="4" w:space="0"/>
            </w:tcBorders>
            <w:vAlign w:val="center"/>
          </w:tcPr>
          <w:p w14:paraId="2BC6ABC1">
            <w:pPr>
              <w:jc w:val="center"/>
              <w:rPr>
                <w:rFonts w:ascii="宋体"/>
                <w:b/>
                <w:bCs/>
                <w:color w:val="auto"/>
                <w:sz w:val="24"/>
                <w:highlight w:val="none"/>
              </w:rPr>
            </w:pPr>
            <w:r>
              <w:rPr>
                <w:rFonts w:hint="eastAsia" w:ascii="宋体"/>
                <w:b/>
                <w:bCs/>
                <w:color w:val="auto"/>
                <w:sz w:val="24"/>
                <w:highlight w:val="none"/>
              </w:rPr>
              <w:t>技术分</w:t>
            </w:r>
          </w:p>
        </w:tc>
        <w:tc>
          <w:tcPr>
            <w:tcW w:w="713" w:type="dxa"/>
            <w:tcBorders>
              <w:top w:val="single" w:color="auto" w:sz="4" w:space="0"/>
              <w:left w:val="single" w:color="auto" w:sz="4" w:space="0"/>
              <w:bottom w:val="single" w:color="auto" w:sz="4" w:space="0"/>
              <w:right w:val="single" w:color="auto" w:sz="4" w:space="0"/>
            </w:tcBorders>
            <w:vAlign w:val="center"/>
          </w:tcPr>
          <w:p w14:paraId="7A420F19">
            <w:pPr>
              <w:jc w:val="center"/>
              <w:rPr>
                <w:rFonts w:hint="default" w:ascii="宋体" w:eastAsia="宋体"/>
                <w:b/>
                <w:bCs/>
                <w:color w:val="auto"/>
                <w:sz w:val="24"/>
                <w:highlight w:val="none"/>
                <w:lang w:val="en-US" w:eastAsia="zh-CN"/>
              </w:rPr>
            </w:pPr>
            <w:r>
              <w:rPr>
                <w:rFonts w:hint="eastAsia" w:ascii="宋体"/>
                <w:b/>
                <w:bCs/>
                <w:color w:val="auto"/>
                <w:sz w:val="24"/>
                <w:highlight w:val="none"/>
                <w:lang w:val="en-US" w:eastAsia="zh-CN"/>
              </w:rPr>
              <w:t>60</w:t>
            </w:r>
          </w:p>
        </w:tc>
      </w:tr>
      <w:tr w14:paraId="44365CC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783" w:hRule="atLeast"/>
          <w:jc w:val="center"/>
        </w:trPr>
        <w:tc>
          <w:tcPr>
            <w:tcW w:w="729" w:type="dxa"/>
            <w:tcBorders>
              <w:top w:val="single" w:color="auto" w:sz="4" w:space="0"/>
              <w:left w:val="single" w:color="auto" w:sz="4" w:space="0"/>
              <w:bottom w:val="single" w:color="auto" w:sz="4" w:space="0"/>
              <w:right w:val="single" w:color="auto" w:sz="4" w:space="0"/>
            </w:tcBorders>
            <w:vAlign w:val="center"/>
          </w:tcPr>
          <w:p w14:paraId="34ADFE25">
            <w:pPr>
              <w:spacing w:line="360" w:lineRule="auto"/>
              <w:jc w:val="center"/>
              <w:rPr>
                <w:rFonts w:ascii="宋体" w:cs="宋体"/>
                <w:color w:val="auto"/>
                <w:sz w:val="24"/>
                <w:highlight w:val="none"/>
              </w:rPr>
            </w:pPr>
            <w:r>
              <w:rPr>
                <w:rFonts w:hint="eastAsia" w:ascii="宋体" w:cs="宋体"/>
                <w:color w:val="auto"/>
                <w:sz w:val="24"/>
                <w:highlight w:val="none"/>
              </w:rPr>
              <w:t>1</w:t>
            </w:r>
          </w:p>
        </w:tc>
        <w:tc>
          <w:tcPr>
            <w:tcW w:w="407" w:type="dxa"/>
            <w:vMerge w:val="restart"/>
            <w:tcBorders>
              <w:top w:val="single" w:color="auto" w:sz="4" w:space="0"/>
              <w:left w:val="single" w:color="auto" w:sz="4" w:space="0"/>
              <w:right w:val="single" w:color="auto" w:sz="4" w:space="0"/>
            </w:tcBorders>
            <w:vAlign w:val="center"/>
          </w:tcPr>
          <w:p w14:paraId="77424328">
            <w:pPr>
              <w:spacing w:line="360" w:lineRule="auto"/>
              <w:jc w:val="center"/>
              <w:rPr>
                <w:rFonts w:hAnsi="宋体" w:cs="宋体"/>
                <w:color w:val="auto"/>
                <w:sz w:val="24"/>
                <w:highlight w:val="none"/>
              </w:rPr>
            </w:pPr>
            <w:bookmarkStart w:id="50" w:name="_Toc514425200"/>
            <w:bookmarkStart w:id="51" w:name="_Toc515025833"/>
            <w:bookmarkStart w:id="52" w:name="_Toc20582"/>
            <w:bookmarkStart w:id="53" w:name="_Toc514424281"/>
            <w:bookmarkStart w:id="54" w:name="_Toc514424758"/>
            <w:r>
              <w:rPr>
                <w:rFonts w:hint="eastAsia" w:hAnsi="宋体" w:cs="宋体"/>
                <w:color w:val="auto"/>
                <w:sz w:val="24"/>
                <w:highlight w:val="none"/>
              </w:rPr>
              <w:t>技术服务水平</w:t>
            </w:r>
            <w:bookmarkEnd w:id="50"/>
            <w:bookmarkEnd w:id="51"/>
            <w:bookmarkEnd w:id="52"/>
            <w:bookmarkEnd w:id="53"/>
            <w:bookmarkEnd w:id="54"/>
          </w:p>
        </w:tc>
        <w:tc>
          <w:tcPr>
            <w:tcW w:w="1262" w:type="dxa"/>
            <w:tcBorders>
              <w:top w:val="single" w:color="auto" w:sz="4" w:space="0"/>
              <w:left w:val="single" w:color="auto" w:sz="4" w:space="0"/>
              <w:bottom w:val="single" w:color="auto" w:sz="4" w:space="0"/>
              <w:right w:val="single" w:color="auto" w:sz="4" w:space="0"/>
            </w:tcBorders>
            <w:vAlign w:val="center"/>
          </w:tcPr>
          <w:p w14:paraId="227BCCEC">
            <w:pPr>
              <w:spacing w:line="360" w:lineRule="auto"/>
              <w:jc w:val="center"/>
              <w:rPr>
                <w:rFonts w:hAnsi="宋体" w:cs="宋体"/>
                <w:color w:val="auto"/>
                <w:sz w:val="24"/>
                <w:highlight w:val="none"/>
              </w:rPr>
            </w:pPr>
            <w:r>
              <w:rPr>
                <w:rFonts w:hint="eastAsia" w:hAnsi="宋体" w:cs="宋体"/>
                <w:color w:val="auto"/>
                <w:sz w:val="24"/>
                <w:highlight w:val="none"/>
              </w:rPr>
              <w:t>项目的认识与了解</w:t>
            </w:r>
          </w:p>
        </w:tc>
        <w:tc>
          <w:tcPr>
            <w:tcW w:w="6281" w:type="dxa"/>
            <w:tcBorders>
              <w:top w:val="single" w:color="auto" w:sz="4" w:space="0"/>
              <w:left w:val="single" w:color="auto" w:sz="4" w:space="0"/>
              <w:right w:val="single" w:color="auto" w:sz="4" w:space="0"/>
            </w:tcBorders>
            <w:vAlign w:val="center"/>
          </w:tcPr>
          <w:p w14:paraId="48697B65">
            <w:pPr>
              <w:keepNext w:val="0"/>
              <w:keepLines w:val="0"/>
              <w:pageBreakBefore w:val="0"/>
              <w:widowControl w:val="0"/>
              <w:kinsoku/>
              <w:wordWrap/>
              <w:overflowPunct/>
              <w:topLinePunct w:val="0"/>
              <w:autoSpaceDE/>
              <w:autoSpaceDN/>
              <w:bidi w:val="0"/>
              <w:adjustRightInd/>
              <w:spacing w:line="440" w:lineRule="exact"/>
              <w:jc w:val="left"/>
              <w:rPr>
                <w:rFonts w:ascii="宋体" w:cs="宋体"/>
                <w:color w:val="auto"/>
                <w:sz w:val="24"/>
                <w:highlight w:val="none"/>
              </w:rPr>
            </w:pPr>
            <w:r>
              <w:rPr>
                <w:rFonts w:hint="eastAsia" w:ascii="宋体" w:cs="宋体"/>
                <w:color w:val="auto"/>
                <w:sz w:val="24"/>
                <w:highlight w:val="none"/>
              </w:rPr>
              <w:t>投标人对项目的认识和了解情况，包括对工作目的（0-1分）、工作内容（0-1分）、工作任务（0-1分）进行打分。</w:t>
            </w:r>
          </w:p>
        </w:tc>
        <w:tc>
          <w:tcPr>
            <w:tcW w:w="713" w:type="dxa"/>
            <w:tcBorders>
              <w:top w:val="single" w:color="auto" w:sz="4" w:space="0"/>
              <w:left w:val="single" w:color="auto" w:sz="4" w:space="0"/>
              <w:bottom w:val="single" w:color="auto" w:sz="4" w:space="0"/>
              <w:right w:val="single" w:color="auto" w:sz="4" w:space="0"/>
            </w:tcBorders>
            <w:vAlign w:val="center"/>
          </w:tcPr>
          <w:p w14:paraId="04D6C05D">
            <w:pPr>
              <w:spacing w:line="360" w:lineRule="auto"/>
              <w:jc w:val="center"/>
              <w:rPr>
                <w:rFonts w:ascii="宋体" w:cs="宋体"/>
                <w:color w:val="auto"/>
                <w:sz w:val="24"/>
                <w:highlight w:val="none"/>
              </w:rPr>
            </w:pPr>
            <w:r>
              <w:rPr>
                <w:rFonts w:hint="eastAsia" w:ascii="宋体" w:cs="宋体"/>
                <w:color w:val="auto"/>
                <w:sz w:val="24"/>
                <w:highlight w:val="none"/>
              </w:rPr>
              <w:t>3</w:t>
            </w:r>
          </w:p>
        </w:tc>
      </w:tr>
      <w:tr w14:paraId="04AB5DA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920" w:hRule="atLeast"/>
          <w:jc w:val="center"/>
        </w:trPr>
        <w:tc>
          <w:tcPr>
            <w:tcW w:w="729" w:type="dxa"/>
            <w:tcBorders>
              <w:top w:val="single" w:color="auto" w:sz="4" w:space="0"/>
              <w:left w:val="single" w:color="auto" w:sz="4" w:space="0"/>
              <w:bottom w:val="single" w:color="auto" w:sz="4" w:space="0"/>
              <w:right w:val="single" w:color="auto" w:sz="4" w:space="0"/>
            </w:tcBorders>
            <w:vAlign w:val="center"/>
          </w:tcPr>
          <w:p w14:paraId="1C57730C">
            <w:pPr>
              <w:spacing w:line="360" w:lineRule="auto"/>
              <w:jc w:val="center"/>
              <w:rPr>
                <w:rFonts w:ascii="宋体" w:cs="宋体"/>
                <w:color w:val="auto"/>
                <w:sz w:val="24"/>
                <w:highlight w:val="none"/>
              </w:rPr>
            </w:pPr>
            <w:r>
              <w:rPr>
                <w:rFonts w:hint="eastAsia" w:ascii="宋体" w:cs="宋体"/>
                <w:color w:val="auto"/>
                <w:sz w:val="24"/>
                <w:highlight w:val="none"/>
              </w:rPr>
              <w:t>2</w:t>
            </w:r>
          </w:p>
        </w:tc>
        <w:tc>
          <w:tcPr>
            <w:tcW w:w="407" w:type="dxa"/>
            <w:vMerge w:val="continue"/>
            <w:tcBorders>
              <w:left w:val="single" w:color="auto" w:sz="4" w:space="0"/>
              <w:right w:val="single" w:color="auto" w:sz="4" w:space="0"/>
            </w:tcBorders>
            <w:vAlign w:val="center"/>
          </w:tcPr>
          <w:p w14:paraId="330BE97B">
            <w:pPr>
              <w:spacing w:line="360" w:lineRule="auto"/>
              <w:jc w:val="center"/>
              <w:rPr>
                <w:rFonts w:hAnsi="宋体" w:cs="宋体"/>
                <w:color w:val="auto"/>
                <w:sz w:val="24"/>
                <w:highlight w:val="none"/>
              </w:rPr>
            </w:pPr>
          </w:p>
        </w:tc>
        <w:tc>
          <w:tcPr>
            <w:tcW w:w="1262" w:type="dxa"/>
            <w:vMerge w:val="restart"/>
            <w:tcBorders>
              <w:left w:val="single" w:color="auto" w:sz="4" w:space="0"/>
              <w:right w:val="single" w:color="auto" w:sz="4" w:space="0"/>
            </w:tcBorders>
            <w:vAlign w:val="center"/>
          </w:tcPr>
          <w:p w14:paraId="25467B41">
            <w:pPr>
              <w:spacing w:line="360" w:lineRule="auto"/>
              <w:jc w:val="center"/>
              <w:rPr>
                <w:rFonts w:hAnsi="宋体" w:cs="宋体"/>
                <w:color w:val="auto"/>
                <w:sz w:val="24"/>
                <w:highlight w:val="none"/>
              </w:rPr>
            </w:pPr>
            <w:r>
              <w:rPr>
                <w:rFonts w:hint="eastAsia" w:hAnsi="宋体" w:cs="宋体"/>
                <w:color w:val="auto"/>
                <w:sz w:val="24"/>
                <w:highlight w:val="none"/>
              </w:rPr>
              <w:t>实施方案</w:t>
            </w:r>
          </w:p>
        </w:tc>
        <w:tc>
          <w:tcPr>
            <w:tcW w:w="6281" w:type="dxa"/>
            <w:tcBorders>
              <w:top w:val="single" w:color="auto" w:sz="4" w:space="0"/>
              <w:left w:val="single" w:color="auto" w:sz="4" w:space="0"/>
              <w:right w:val="single" w:color="auto" w:sz="4" w:space="0"/>
            </w:tcBorders>
            <w:vAlign w:val="center"/>
          </w:tcPr>
          <w:p w14:paraId="7E765F43">
            <w:pPr>
              <w:keepNext w:val="0"/>
              <w:keepLines w:val="0"/>
              <w:pageBreakBefore w:val="0"/>
              <w:widowControl w:val="0"/>
              <w:kinsoku/>
              <w:wordWrap/>
              <w:overflowPunct/>
              <w:topLinePunct w:val="0"/>
              <w:autoSpaceDE/>
              <w:autoSpaceDN/>
              <w:bidi w:val="0"/>
              <w:adjustRightInd/>
              <w:spacing w:line="440" w:lineRule="exact"/>
              <w:jc w:val="left"/>
              <w:rPr>
                <w:rFonts w:ascii="宋体" w:cs="宋体"/>
                <w:color w:val="auto"/>
                <w:sz w:val="24"/>
                <w:highlight w:val="none"/>
              </w:rPr>
            </w:pPr>
            <w:r>
              <w:rPr>
                <w:rFonts w:hint="eastAsia" w:ascii="宋体" w:cs="宋体"/>
                <w:color w:val="auto"/>
                <w:sz w:val="24"/>
                <w:highlight w:val="none"/>
              </w:rPr>
              <w:t>根据投标人提供的该项目归集回收（0-3分）、运输（0-3分）、储存实施方案（0-3分），进行打分。</w:t>
            </w:r>
          </w:p>
        </w:tc>
        <w:tc>
          <w:tcPr>
            <w:tcW w:w="713" w:type="dxa"/>
            <w:tcBorders>
              <w:top w:val="single" w:color="auto" w:sz="4" w:space="0"/>
              <w:left w:val="single" w:color="auto" w:sz="4" w:space="0"/>
              <w:bottom w:val="single" w:color="auto" w:sz="4" w:space="0"/>
              <w:right w:val="single" w:color="auto" w:sz="4" w:space="0"/>
            </w:tcBorders>
            <w:vAlign w:val="center"/>
          </w:tcPr>
          <w:p w14:paraId="076EBEEF">
            <w:pPr>
              <w:widowControl/>
              <w:jc w:val="center"/>
              <w:textAlignment w:val="center"/>
              <w:rPr>
                <w:rFonts w:ascii="宋体" w:cs="宋体"/>
                <w:color w:val="auto"/>
                <w:sz w:val="24"/>
                <w:highlight w:val="none"/>
              </w:rPr>
            </w:pPr>
            <w:r>
              <w:rPr>
                <w:rFonts w:hint="eastAsia" w:ascii="宋体" w:cs="宋体"/>
                <w:color w:val="auto"/>
                <w:sz w:val="24"/>
                <w:highlight w:val="none"/>
              </w:rPr>
              <w:t>9</w:t>
            </w:r>
          </w:p>
        </w:tc>
      </w:tr>
      <w:tr w14:paraId="48FCB9F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920" w:hRule="atLeast"/>
          <w:jc w:val="center"/>
        </w:trPr>
        <w:tc>
          <w:tcPr>
            <w:tcW w:w="729" w:type="dxa"/>
            <w:tcBorders>
              <w:top w:val="single" w:color="auto" w:sz="4" w:space="0"/>
              <w:left w:val="single" w:color="auto" w:sz="4" w:space="0"/>
              <w:bottom w:val="single" w:color="auto" w:sz="4" w:space="0"/>
              <w:right w:val="single" w:color="auto" w:sz="4" w:space="0"/>
            </w:tcBorders>
            <w:vAlign w:val="center"/>
          </w:tcPr>
          <w:p w14:paraId="40518D7A">
            <w:pPr>
              <w:spacing w:line="360" w:lineRule="auto"/>
              <w:jc w:val="center"/>
              <w:rPr>
                <w:rFonts w:ascii="宋体" w:cs="宋体"/>
                <w:color w:val="auto"/>
                <w:sz w:val="24"/>
                <w:highlight w:val="none"/>
              </w:rPr>
            </w:pPr>
            <w:r>
              <w:rPr>
                <w:rFonts w:hint="eastAsia" w:ascii="宋体" w:cs="宋体"/>
                <w:color w:val="auto"/>
                <w:sz w:val="24"/>
                <w:highlight w:val="none"/>
              </w:rPr>
              <w:t>3</w:t>
            </w:r>
          </w:p>
        </w:tc>
        <w:tc>
          <w:tcPr>
            <w:tcW w:w="407" w:type="dxa"/>
            <w:vMerge w:val="continue"/>
            <w:tcBorders>
              <w:left w:val="single" w:color="auto" w:sz="4" w:space="0"/>
              <w:right w:val="single" w:color="auto" w:sz="4" w:space="0"/>
            </w:tcBorders>
            <w:vAlign w:val="center"/>
          </w:tcPr>
          <w:p w14:paraId="5B6D08CA">
            <w:pPr>
              <w:spacing w:line="360" w:lineRule="auto"/>
              <w:jc w:val="center"/>
              <w:rPr>
                <w:rFonts w:hAnsi="宋体" w:cs="宋体"/>
                <w:color w:val="auto"/>
                <w:sz w:val="24"/>
                <w:highlight w:val="none"/>
              </w:rPr>
            </w:pPr>
          </w:p>
        </w:tc>
        <w:tc>
          <w:tcPr>
            <w:tcW w:w="1262" w:type="dxa"/>
            <w:vMerge w:val="continue"/>
            <w:tcBorders>
              <w:left w:val="single" w:color="auto" w:sz="4" w:space="0"/>
              <w:right w:val="single" w:color="auto" w:sz="4" w:space="0"/>
            </w:tcBorders>
            <w:vAlign w:val="center"/>
          </w:tcPr>
          <w:p w14:paraId="1967390F">
            <w:pPr>
              <w:spacing w:line="360" w:lineRule="auto"/>
              <w:jc w:val="center"/>
              <w:rPr>
                <w:rFonts w:hAnsi="宋体" w:cs="宋体"/>
                <w:color w:val="auto"/>
                <w:sz w:val="24"/>
                <w:highlight w:val="none"/>
              </w:rPr>
            </w:pPr>
          </w:p>
        </w:tc>
        <w:tc>
          <w:tcPr>
            <w:tcW w:w="6281" w:type="dxa"/>
            <w:tcBorders>
              <w:top w:val="single" w:color="auto" w:sz="4" w:space="0"/>
              <w:left w:val="single" w:color="auto" w:sz="4" w:space="0"/>
              <w:right w:val="single" w:color="auto" w:sz="4" w:space="0"/>
            </w:tcBorders>
            <w:vAlign w:val="center"/>
          </w:tcPr>
          <w:p w14:paraId="7916E270">
            <w:pPr>
              <w:keepNext w:val="0"/>
              <w:keepLines w:val="0"/>
              <w:pageBreakBefore w:val="0"/>
              <w:widowControl w:val="0"/>
              <w:kinsoku/>
              <w:wordWrap/>
              <w:overflowPunct/>
              <w:topLinePunct w:val="0"/>
              <w:autoSpaceDE/>
              <w:autoSpaceDN/>
              <w:bidi w:val="0"/>
              <w:adjustRightInd/>
              <w:spacing w:line="440" w:lineRule="exact"/>
              <w:jc w:val="left"/>
              <w:rPr>
                <w:rFonts w:ascii="宋体" w:cs="宋体"/>
                <w:color w:val="auto"/>
                <w:sz w:val="24"/>
                <w:highlight w:val="none"/>
              </w:rPr>
            </w:pPr>
            <w:r>
              <w:rPr>
                <w:rFonts w:hint="eastAsia" w:ascii="宋体" w:cs="宋体"/>
                <w:color w:val="auto"/>
                <w:sz w:val="24"/>
                <w:highlight w:val="none"/>
              </w:rPr>
              <w:t>根据投标对废弃包装物的处置周期（0-3分）、处置完成后废液留存率及相关承诺情况（0-3分）进行打分。</w:t>
            </w:r>
          </w:p>
        </w:tc>
        <w:tc>
          <w:tcPr>
            <w:tcW w:w="713" w:type="dxa"/>
            <w:tcBorders>
              <w:top w:val="single" w:color="auto" w:sz="4" w:space="0"/>
              <w:left w:val="single" w:color="auto" w:sz="4" w:space="0"/>
              <w:bottom w:val="single" w:color="auto" w:sz="4" w:space="0"/>
              <w:right w:val="single" w:color="auto" w:sz="4" w:space="0"/>
            </w:tcBorders>
            <w:vAlign w:val="center"/>
          </w:tcPr>
          <w:p w14:paraId="03744210">
            <w:pPr>
              <w:widowControl/>
              <w:jc w:val="center"/>
              <w:textAlignment w:val="center"/>
              <w:rPr>
                <w:rFonts w:ascii="宋体" w:cs="宋体"/>
                <w:color w:val="auto"/>
                <w:sz w:val="24"/>
                <w:highlight w:val="none"/>
              </w:rPr>
            </w:pPr>
            <w:r>
              <w:rPr>
                <w:rFonts w:hint="eastAsia" w:ascii="宋体" w:cs="宋体"/>
                <w:color w:val="auto"/>
                <w:sz w:val="24"/>
                <w:highlight w:val="none"/>
              </w:rPr>
              <w:t>6</w:t>
            </w:r>
          </w:p>
        </w:tc>
      </w:tr>
      <w:tr w14:paraId="2407F82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23" w:hRule="atLeast"/>
          <w:jc w:val="center"/>
        </w:trPr>
        <w:tc>
          <w:tcPr>
            <w:tcW w:w="729" w:type="dxa"/>
            <w:tcBorders>
              <w:top w:val="single" w:color="auto" w:sz="4" w:space="0"/>
              <w:left w:val="single" w:color="auto" w:sz="4" w:space="0"/>
              <w:bottom w:val="single" w:color="auto" w:sz="4" w:space="0"/>
              <w:right w:val="single" w:color="auto" w:sz="4" w:space="0"/>
            </w:tcBorders>
            <w:vAlign w:val="center"/>
          </w:tcPr>
          <w:p w14:paraId="33A4A73A">
            <w:pPr>
              <w:spacing w:line="360" w:lineRule="auto"/>
              <w:jc w:val="center"/>
              <w:rPr>
                <w:rFonts w:ascii="宋体" w:cs="宋体"/>
                <w:color w:val="auto"/>
                <w:sz w:val="24"/>
                <w:highlight w:val="none"/>
              </w:rPr>
            </w:pPr>
            <w:r>
              <w:rPr>
                <w:rFonts w:hint="eastAsia" w:ascii="宋体" w:cs="宋体"/>
                <w:color w:val="auto"/>
                <w:sz w:val="24"/>
                <w:highlight w:val="none"/>
              </w:rPr>
              <w:t>4</w:t>
            </w:r>
          </w:p>
        </w:tc>
        <w:tc>
          <w:tcPr>
            <w:tcW w:w="407" w:type="dxa"/>
            <w:vMerge w:val="continue"/>
            <w:tcBorders>
              <w:left w:val="single" w:color="auto" w:sz="4" w:space="0"/>
              <w:right w:val="single" w:color="auto" w:sz="4" w:space="0"/>
            </w:tcBorders>
            <w:vAlign w:val="center"/>
          </w:tcPr>
          <w:p w14:paraId="68355E73">
            <w:pPr>
              <w:spacing w:line="360" w:lineRule="auto"/>
              <w:jc w:val="center"/>
              <w:rPr>
                <w:rFonts w:hAnsi="宋体" w:cs="宋体"/>
                <w:color w:val="auto"/>
                <w:sz w:val="24"/>
                <w:highlight w:val="none"/>
              </w:rPr>
            </w:pPr>
          </w:p>
        </w:tc>
        <w:tc>
          <w:tcPr>
            <w:tcW w:w="1262" w:type="dxa"/>
            <w:vMerge w:val="continue"/>
            <w:tcBorders>
              <w:left w:val="single" w:color="auto" w:sz="4" w:space="0"/>
              <w:bottom w:val="single" w:color="auto" w:sz="4" w:space="0"/>
              <w:right w:val="single" w:color="auto" w:sz="4" w:space="0"/>
            </w:tcBorders>
            <w:vAlign w:val="center"/>
          </w:tcPr>
          <w:p w14:paraId="2D2B3037">
            <w:pPr>
              <w:spacing w:line="360" w:lineRule="auto"/>
              <w:jc w:val="center"/>
              <w:rPr>
                <w:rFonts w:hAnsi="宋体" w:cs="宋体"/>
                <w:color w:val="auto"/>
                <w:sz w:val="24"/>
                <w:highlight w:val="none"/>
              </w:rPr>
            </w:pPr>
          </w:p>
        </w:tc>
        <w:tc>
          <w:tcPr>
            <w:tcW w:w="6281" w:type="dxa"/>
            <w:tcBorders>
              <w:top w:val="single" w:color="auto" w:sz="4" w:space="0"/>
              <w:left w:val="single" w:color="auto" w:sz="4" w:space="0"/>
              <w:right w:val="single" w:color="auto" w:sz="4" w:space="0"/>
            </w:tcBorders>
            <w:vAlign w:val="center"/>
          </w:tcPr>
          <w:p w14:paraId="33CBB889">
            <w:pPr>
              <w:keepNext w:val="0"/>
              <w:keepLines w:val="0"/>
              <w:pageBreakBefore w:val="0"/>
              <w:widowControl w:val="0"/>
              <w:kinsoku/>
              <w:wordWrap/>
              <w:overflowPunct/>
              <w:topLinePunct w:val="0"/>
              <w:autoSpaceDE/>
              <w:autoSpaceDN/>
              <w:bidi w:val="0"/>
              <w:adjustRightInd/>
              <w:spacing w:line="440" w:lineRule="exact"/>
              <w:jc w:val="left"/>
              <w:rPr>
                <w:rFonts w:ascii="宋体" w:cs="宋体"/>
                <w:color w:val="auto"/>
                <w:sz w:val="24"/>
                <w:highlight w:val="none"/>
              </w:rPr>
            </w:pPr>
            <w:r>
              <w:rPr>
                <w:rFonts w:hint="eastAsia" w:ascii="宋体" w:cs="宋体"/>
                <w:color w:val="auto"/>
                <w:sz w:val="24"/>
                <w:highlight w:val="none"/>
              </w:rPr>
              <w:t>投标人根据项目需要回收网点设置情况及回收网点的便捷性，由</w:t>
            </w:r>
            <w:r>
              <w:rPr>
                <w:rFonts w:hint="eastAsia" w:ascii="宋体" w:cs="宋体"/>
                <w:color w:val="auto"/>
                <w:sz w:val="24"/>
                <w:highlight w:val="none"/>
                <w:lang w:val="en-US" w:eastAsia="zh-CN"/>
              </w:rPr>
              <w:t>评委</w:t>
            </w:r>
            <w:r>
              <w:rPr>
                <w:rFonts w:hint="eastAsia" w:ascii="宋体" w:cs="宋体"/>
                <w:color w:val="auto"/>
                <w:sz w:val="24"/>
                <w:highlight w:val="none"/>
              </w:rPr>
              <w:t>进行打分。</w:t>
            </w:r>
          </w:p>
        </w:tc>
        <w:tc>
          <w:tcPr>
            <w:tcW w:w="713" w:type="dxa"/>
            <w:tcBorders>
              <w:top w:val="single" w:color="auto" w:sz="4" w:space="0"/>
              <w:left w:val="single" w:color="auto" w:sz="4" w:space="0"/>
              <w:bottom w:val="single" w:color="auto" w:sz="4" w:space="0"/>
              <w:right w:val="single" w:color="auto" w:sz="4" w:space="0"/>
            </w:tcBorders>
            <w:vAlign w:val="center"/>
          </w:tcPr>
          <w:p w14:paraId="39574A8F">
            <w:pPr>
              <w:widowControl/>
              <w:jc w:val="center"/>
              <w:textAlignment w:val="center"/>
              <w:rPr>
                <w:rFonts w:hint="eastAsia" w:ascii="宋体" w:eastAsia="宋体" w:cs="宋体"/>
                <w:color w:val="auto"/>
                <w:sz w:val="24"/>
                <w:highlight w:val="none"/>
                <w:lang w:eastAsia="zh-CN"/>
              </w:rPr>
            </w:pPr>
            <w:r>
              <w:rPr>
                <w:rFonts w:hint="eastAsia" w:ascii="宋体" w:cs="宋体"/>
                <w:color w:val="auto"/>
                <w:sz w:val="24"/>
                <w:highlight w:val="none"/>
                <w:lang w:val="en-US" w:eastAsia="zh-CN"/>
              </w:rPr>
              <w:t>4</w:t>
            </w:r>
          </w:p>
        </w:tc>
      </w:tr>
      <w:tr w14:paraId="3737D02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25" w:hRule="atLeast"/>
          <w:jc w:val="center"/>
        </w:trPr>
        <w:tc>
          <w:tcPr>
            <w:tcW w:w="729" w:type="dxa"/>
            <w:tcBorders>
              <w:top w:val="single" w:color="auto" w:sz="4" w:space="0"/>
              <w:left w:val="single" w:color="auto" w:sz="4" w:space="0"/>
              <w:bottom w:val="single" w:color="auto" w:sz="4" w:space="0"/>
              <w:right w:val="single" w:color="auto" w:sz="4" w:space="0"/>
            </w:tcBorders>
            <w:vAlign w:val="center"/>
          </w:tcPr>
          <w:p w14:paraId="6244FAE8">
            <w:pPr>
              <w:spacing w:line="360" w:lineRule="auto"/>
              <w:jc w:val="center"/>
              <w:rPr>
                <w:rFonts w:ascii="宋体" w:cs="宋体"/>
                <w:color w:val="auto"/>
                <w:sz w:val="24"/>
                <w:highlight w:val="none"/>
              </w:rPr>
            </w:pPr>
            <w:r>
              <w:rPr>
                <w:rFonts w:hint="eastAsia" w:ascii="宋体" w:cs="宋体"/>
                <w:color w:val="auto"/>
                <w:sz w:val="24"/>
                <w:highlight w:val="none"/>
              </w:rPr>
              <w:t>5</w:t>
            </w:r>
          </w:p>
        </w:tc>
        <w:tc>
          <w:tcPr>
            <w:tcW w:w="407" w:type="dxa"/>
            <w:vMerge w:val="continue"/>
            <w:tcBorders>
              <w:left w:val="single" w:color="auto" w:sz="4" w:space="0"/>
              <w:right w:val="single" w:color="auto" w:sz="4" w:space="0"/>
            </w:tcBorders>
            <w:vAlign w:val="center"/>
          </w:tcPr>
          <w:p w14:paraId="674072E5">
            <w:pPr>
              <w:spacing w:line="360" w:lineRule="auto"/>
              <w:jc w:val="center"/>
              <w:rPr>
                <w:rFonts w:hAnsi="宋体" w:cs="宋体"/>
                <w:color w:val="auto"/>
                <w:sz w:val="24"/>
                <w:highlight w:val="none"/>
              </w:rPr>
            </w:pPr>
          </w:p>
        </w:tc>
        <w:tc>
          <w:tcPr>
            <w:tcW w:w="1262" w:type="dxa"/>
            <w:tcBorders>
              <w:top w:val="single" w:color="auto" w:sz="4" w:space="0"/>
              <w:left w:val="single" w:color="auto" w:sz="4" w:space="0"/>
              <w:bottom w:val="single" w:color="auto" w:sz="4" w:space="0"/>
              <w:right w:val="single" w:color="auto" w:sz="4" w:space="0"/>
            </w:tcBorders>
            <w:vAlign w:val="center"/>
          </w:tcPr>
          <w:p w14:paraId="7B7CB771">
            <w:pPr>
              <w:spacing w:line="360" w:lineRule="auto"/>
              <w:jc w:val="center"/>
              <w:rPr>
                <w:rFonts w:hAnsi="宋体" w:cs="宋体"/>
                <w:color w:val="auto"/>
                <w:sz w:val="24"/>
                <w:highlight w:val="none"/>
              </w:rPr>
            </w:pPr>
            <w:r>
              <w:rPr>
                <w:rFonts w:hint="eastAsia" w:hAnsi="宋体" w:cs="宋体"/>
                <w:color w:val="auto"/>
                <w:sz w:val="24"/>
                <w:highlight w:val="none"/>
              </w:rPr>
              <w:t>质量保障措施</w:t>
            </w:r>
          </w:p>
        </w:tc>
        <w:tc>
          <w:tcPr>
            <w:tcW w:w="6281" w:type="dxa"/>
            <w:tcBorders>
              <w:top w:val="single" w:color="auto" w:sz="4" w:space="0"/>
              <w:left w:val="single" w:color="auto" w:sz="4" w:space="0"/>
              <w:right w:val="single" w:color="auto" w:sz="4" w:space="0"/>
            </w:tcBorders>
            <w:vAlign w:val="center"/>
          </w:tcPr>
          <w:p w14:paraId="13B13FA5">
            <w:pPr>
              <w:keepNext w:val="0"/>
              <w:keepLines w:val="0"/>
              <w:pageBreakBefore w:val="0"/>
              <w:widowControl w:val="0"/>
              <w:kinsoku/>
              <w:wordWrap/>
              <w:overflowPunct/>
              <w:topLinePunct w:val="0"/>
              <w:autoSpaceDE/>
              <w:autoSpaceDN/>
              <w:bidi w:val="0"/>
              <w:adjustRightInd/>
              <w:spacing w:line="440" w:lineRule="exact"/>
              <w:jc w:val="left"/>
              <w:rPr>
                <w:rFonts w:ascii="宋体" w:cs="宋体"/>
                <w:color w:val="auto"/>
                <w:sz w:val="24"/>
                <w:highlight w:val="none"/>
              </w:rPr>
            </w:pPr>
            <w:r>
              <w:rPr>
                <w:rFonts w:hint="eastAsia" w:ascii="宋体" w:cs="宋体"/>
                <w:color w:val="auto"/>
                <w:sz w:val="24"/>
                <w:highlight w:val="none"/>
              </w:rPr>
              <w:t>根据投标人对本项目的管理制度（0-3分）、台账制度及质量保证制度制定情况（0-3分）进行打分。</w:t>
            </w:r>
          </w:p>
        </w:tc>
        <w:tc>
          <w:tcPr>
            <w:tcW w:w="713" w:type="dxa"/>
            <w:tcBorders>
              <w:top w:val="single" w:color="auto" w:sz="4" w:space="0"/>
              <w:left w:val="single" w:color="auto" w:sz="4" w:space="0"/>
              <w:bottom w:val="single" w:color="auto" w:sz="4" w:space="0"/>
              <w:right w:val="single" w:color="auto" w:sz="4" w:space="0"/>
            </w:tcBorders>
            <w:vAlign w:val="center"/>
          </w:tcPr>
          <w:p w14:paraId="5F492439">
            <w:pPr>
              <w:spacing w:line="360" w:lineRule="auto"/>
              <w:jc w:val="center"/>
              <w:rPr>
                <w:rFonts w:ascii="宋体" w:cs="宋体"/>
                <w:color w:val="auto"/>
                <w:sz w:val="24"/>
                <w:highlight w:val="none"/>
              </w:rPr>
            </w:pPr>
            <w:r>
              <w:rPr>
                <w:rFonts w:hint="eastAsia" w:ascii="宋体" w:cs="宋体"/>
                <w:color w:val="auto"/>
                <w:sz w:val="24"/>
                <w:highlight w:val="none"/>
              </w:rPr>
              <w:t>6</w:t>
            </w:r>
          </w:p>
        </w:tc>
      </w:tr>
      <w:tr w14:paraId="24CB505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778" w:hRule="atLeast"/>
          <w:jc w:val="center"/>
        </w:trPr>
        <w:tc>
          <w:tcPr>
            <w:tcW w:w="729" w:type="dxa"/>
            <w:tcBorders>
              <w:top w:val="single" w:color="auto" w:sz="4" w:space="0"/>
              <w:left w:val="single" w:color="auto" w:sz="4" w:space="0"/>
              <w:bottom w:val="single" w:color="auto" w:sz="4" w:space="0"/>
              <w:right w:val="single" w:color="auto" w:sz="4" w:space="0"/>
            </w:tcBorders>
            <w:vAlign w:val="center"/>
          </w:tcPr>
          <w:p w14:paraId="3990ED38">
            <w:pPr>
              <w:spacing w:line="360" w:lineRule="auto"/>
              <w:jc w:val="center"/>
              <w:rPr>
                <w:rFonts w:ascii="宋体" w:cs="宋体"/>
                <w:color w:val="auto"/>
                <w:sz w:val="24"/>
                <w:highlight w:val="none"/>
              </w:rPr>
            </w:pPr>
            <w:r>
              <w:rPr>
                <w:rFonts w:hint="eastAsia" w:ascii="宋体" w:cs="宋体"/>
                <w:color w:val="auto"/>
                <w:sz w:val="24"/>
                <w:highlight w:val="none"/>
              </w:rPr>
              <w:t>6</w:t>
            </w:r>
          </w:p>
        </w:tc>
        <w:tc>
          <w:tcPr>
            <w:tcW w:w="407" w:type="dxa"/>
            <w:vMerge w:val="continue"/>
            <w:tcBorders>
              <w:left w:val="single" w:color="auto" w:sz="4" w:space="0"/>
              <w:right w:val="single" w:color="auto" w:sz="4" w:space="0"/>
            </w:tcBorders>
            <w:vAlign w:val="center"/>
          </w:tcPr>
          <w:p w14:paraId="077673C0">
            <w:pPr>
              <w:spacing w:line="360" w:lineRule="auto"/>
              <w:jc w:val="center"/>
              <w:rPr>
                <w:rFonts w:hAnsi="宋体" w:cs="宋体"/>
                <w:color w:val="auto"/>
                <w:sz w:val="24"/>
                <w:highlight w:val="none"/>
              </w:rPr>
            </w:pPr>
          </w:p>
        </w:tc>
        <w:tc>
          <w:tcPr>
            <w:tcW w:w="1262" w:type="dxa"/>
            <w:tcBorders>
              <w:top w:val="single" w:color="auto" w:sz="4" w:space="0"/>
              <w:left w:val="single" w:color="auto" w:sz="4" w:space="0"/>
              <w:bottom w:val="single" w:color="auto" w:sz="4" w:space="0"/>
              <w:right w:val="single" w:color="auto" w:sz="4" w:space="0"/>
            </w:tcBorders>
            <w:vAlign w:val="center"/>
          </w:tcPr>
          <w:p w14:paraId="5CB83A77">
            <w:pPr>
              <w:spacing w:line="360" w:lineRule="auto"/>
              <w:jc w:val="center"/>
              <w:rPr>
                <w:rFonts w:hAnsi="宋体" w:cs="宋体"/>
                <w:color w:val="auto"/>
                <w:sz w:val="24"/>
                <w:highlight w:val="none"/>
              </w:rPr>
            </w:pPr>
            <w:r>
              <w:rPr>
                <w:rFonts w:hint="eastAsia" w:hAnsi="宋体" w:cs="宋体"/>
                <w:color w:val="auto"/>
                <w:sz w:val="24"/>
                <w:highlight w:val="none"/>
              </w:rPr>
              <w:t>巡查方案及措施</w:t>
            </w:r>
          </w:p>
        </w:tc>
        <w:tc>
          <w:tcPr>
            <w:tcW w:w="6281" w:type="dxa"/>
            <w:tcBorders>
              <w:top w:val="single" w:color="auto" w:sz="4" w:space="0"/>
              <w:left w:val="single" w:color="auto" w:sz="4" w:space="0"/>
              <w:right w:val="single" w:color="auto" w:sz="4" w:space="0"/>
            </w:tcBorders>
            <w:vAlign w:val="center"/>
          </w:tcPr>
          <w:p w14:paraId="35B759C1">
            <w:pPr>
              <w:keepNext w:val="0"/>
              <w:keepLines w:val="0"/>
              <w:pageBreakBefore w:val="0"/>
              <w:widowControl w:val="0"/>
              <w:kinsoku/>
              <w:wordWrap/>
              <w:overflowPunct/>
              <w:topLinePunct w:val="0"/>
              <w:autoSpaceDE/>
              <w:autoSpaceDN/>
              <w:bidi w:val="0"/>
              <w:adjustRightInd/>
              <w:spacing w:line="440" w:lineRule="exact"/>
              <w:jc w:val="left"/>
              <w:rPr>
                <w:rFonts w:ascii="宋体" w:cs="宋体"/>
                <w:color w:val="auto"/>
                <w:sz w:val="24"/>
                <w:highlight w:val="none"/>
              </w:rPr>
            </w:pPr>
            <w:r>
              <w:rPr>
                <w:rFonts w:hint="eastAsia" w:ascii="宋体" w:cs="宋体"/>
                <w:color w:val="auto"/>
                <w:sz w:val="24"/>
                <w:highlight w:val="none"/>
              </w:rPr>
              <w:t>投标人根据项目的特点，是否制定有田间日常及重点季节和重点地域的巡查方案（0-2分）进行打分。</w:t>
            </w:r>
          </w:p>
        </w:tc>
        <w:tc>
          <w:tcPr>
            <w:tcW w:w="713" w:type="dxa"/>
            <w:tcBorders>
              <w:top w:val="single" w:color="auto" w:sz="4" w:space="0"/>
              <w:left w:val="single" w:color="auto" w:sz="4" w:space="0"/>
              <w:bottom w:val="single" w:color="auto" w:sz="4" w:space="0"/>
              <w:right w:val="single" w:color="auto" w:sz="4" w:space="0"/>
            </w:tcBorders>
            <w:vAlign w:val="center"/>
          </w:tcPr>
          <w:p w14:paraId="17F1C036">
            <w:pPr>
              <w:spacing w:line="360" w:lineRule="auto"/>
              <w:jc w:val="center"/>
              <w:rPr>
                <w:rFonts w:ascii="宋体" w:cs="宋体"/>
                <w:color w:val="auto"/>
                <w:sz w:val="24"/>
                <w:highlight w:val="none"/>
              </w:rPr>
            </w:pPr>
            <w:r>
              <w:rPr>
                <w:rFonts w:hint="eastAsia" w:ascii="宋体" w:cs="宋体"/>
                <w:color w:val="auto"/>
                <w:sz w:val="24"/>
                <w:highlight w:val="none"/>
              </w:rPr>
              <w:t>2</w:t>
            </w:r>
          </w:p>
        </w:tc>
      </w:tr>
      <w:tr w14:paraId="7415978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073" w:hRule="atLeast"/>
          <w:jc w:val="center"/>
        </w:trPr>
        <w:tc>
          <w:tcPr>
            <w:tcW w:w="729" w:type="dxa"/>
            <w:tcBorders>
              <w:top w:val="single" w:color="auto" w:sz="4" w:space="0"/>
              <w:left w:val="single" w:color="auto" w:sz="4" w:space="0"/>
              <w:bottom w:val="single" w:color="auto" w:sz="4" w:space="0"/>
              <w:right w:val="single" w:color="auto" w:sz="4" w:space="0"/>
            </w:tcBorders>
            <w:vAlign w:val="center"/>
          </w:tcPr>
          <w:p w14:paraId="7244AC33">
            <w:pPr>
              <w:spacing w:line="360" w:lineRule="auto"/>
              <w:jc w:val="center"/>
              <w:rPr>
                <w:rFonts w:ascii="宋体" w:cs="宋体"/>
                <w:color w:val="auto"/>
                <w:sz w:val="24"/>
                <w:highlight w:val="none"/>
              </w:rPr>
            </w:pPr>
            <w:r>
              <w:rPr>
                <w:rFonts w:hint="eastAsia" w:ascii="宋体" w:cs="宋体"/>
                <w:color w:val="auto"/>
                <w:sz w:val="24"/>
                <w:highlight w:val="none"/>
              </w:rPr>
              <w:t>7</w:t>
            </w:r>
          </w:p>
        </w:tc>
        <w:tc>
          <w:tcPr>
            <w:tcW w:w="407" w:type="dxa"/>
            <w:vMerge w:val="continue"/>
            <w:tcBorders>
              <w:left w:val="single" w:color="auto" w:sz="4" w:space="0"/>
              <w:right w:val="single" w:color="auto" w:sz="4" w:space="0"/>
            </w:tcBorders>
            <w:vAlign w:val="center"/>
          </w:tcPr>
          <w:p w14:paraId="54BED21D">
            <w:pPr>
              <w:spacing w:line="360" w:lineRule="auto"/>
              <w:jc w:val="center"/>
              <w:rPr>
                <w:rFonts w:hAnsi="宋体" w:cs="宋体"/>
                <w:color w:val="auto"/>
                <w:sz w:val="24"/>
                <w:highlight w:val="none"/>
              </w:rPr>
            </w:pPr>
          </w:p>
        </w:tc>
        <w:tc>
          <w:tcPr>
            <w:tcW w:w="1262" w:type="dxa"/>
            <w:tcBorders>
              <w:left w:val="single" w:color="auto" w:sz="4" w:space="0"/>
              <w:bottom w:val="single" w:color="auto" w:sz="4" w:space="0"/>
              <w:right w:val="single" w:color="auto" w:sz="4" w:space="0"/>
            </w:tcBorders>
            <w:vAlign w:val="center"/>
          </w:tcPr>
          <w:p w14:paraId="1B5FAAB2">
            <w:pPr>
              <w:snapToGrid w:val="0"/>
              <w:spacing w:line="312" w:lineRule="auto"/>
              <w:jc w:val="center"/>
              <w:textAlignment w:val="baseline"/>
              <w:rPr>
                <w:rFonts w:hAnsi="宋体" w:cs="宋体"/>
                <w:color w:val="auto"/>
                <w:sz w:val="24"/>
                <w:highlight w:val="none"/>
              </w:rPr>
            </w:pPr>
            <w:r>
              <w:rPr>
                <w:rFonts w:ascii="宋体" w:hAnsi="宋体" w:cs="AdobeFangsongStd-Regular"/>
                <w:color w:val="auto"/>
                <w:position w:val="-2"/>
                <w:sz w:val="24"/>
                <w:highlight w:val="none"/>
                <w:lang w:bidi="ar"/>
              </w:rPr>
              <w:t>重难点分析及解决方案</w:t>
            </w:r>
          </w:p>
        </w:tc>
        <w:tc>
          <w:tcPr>
            <w:tcW w:w="6281" w:type="dxa"/>
            <w:tcBorders>
              <w:top w:val="single" w:color="auto" w:sz="4" w:space="0"/>
              <w:left w:val="single" w:color="auto" w:sz="4" w:space="0"/>
              <w:right w:val="single" w:color="auto" w:sz="4" w:space="0"/>
            </w:tcBorders>
            <w:vAlign w:val="center"/>
          </w:tcPr>
          <w:p w14:paraId="01CE63BD">
            <w:pPr>
              <w:keepNext w:val="0"/>
              <w:keepLines w:val="0"/>
              <w:pageBreakBefore w:val="0"/>
              <w:widowControl w:val="0"/>
              <w:kinsoku/>
              <w:wordWrap/>
              <w:overflowPunct/>
              <w:topLinePunct w:val="0"/>
              <w:autoSpaceDE/>
              <w:autoSpaceDN/>
              <w:bidi w:val="0"/>
              <w:adjustRightInd/>
              <w:snapToGrid w:val="0"/>
              <w:spacing w:line="440" w:lineRule="exact"/>
              <w:jc w:val="left"/>
              <w:textAlignment w:val="baseline"/>
              <w:rPr>
                <w:rFonts w:ascii="宋体" w:cs="宋体"/>
                <w:color w:val="auto"/>
                <w:sz w:val="24"/>
                <w:highlight w:val="none"/>
              </w:rPr>
            </w:pPr>
            <w:r>
              <w:rPr>
                <w:rFonts w:ascii="宋体" w:hAnsi="宋体" w:cs="AdobeFangsongStd-Regular"/>
                <w:color w:val="auto"/>
                <w:position w:val="-2"/>
                <w:sz w:val="24"/>
                <w:highlight w:val="none"/>
                <w:lang w:bidi="ar"/>
              </w:rPr>
              <w:t>根据投标人针对本项目的重点难点问题进行分析(0-</w:t>
            </w:r>
            <w:r>
              <w:rPr>
                <w:rFonts w:hint="eastAsia" w:ascii="宋体" w:hAnsi="宋体" w:cs="AdobeFangsongStd-Regular"/>
                <w:color w:val="auto"/>
                <w:position w:val="-2"/>
                <w:sz w:val="24"/>
                <w:highlight w:val="none"/>
                <w:lang w:bidi="ar"/>
              </w:rPr>
              <w:t>3</w:t>
            </w:r>
            <w:r>
              <w:rPr>
                <w:rFonts w:ascii="宋体" w:hAnsi="宋体" w:cs="AdobeFangsongStd-Regular"/>
                <w:color w:val="auto"/>
                <w:position w:val="-2"/>
                <w:sz w:val="24"/>
                <w:highlight w:val="none"/>
                <w:lang w:bidi="ar"/>
              </w:rPr>
              <w:t>分)，并提出相应合理的解决方式(0-</w:t>
            </w:r>
            <w:r>
              <w:rPr>
                <w:rFonts w:hint="eastAsia" w:ascii="宋体" w:hAnsi="宋体" w:cs="AdobeFangsongStd-Regular"/>
                <w:color w:val="auto"/>
                <w:position w:val="-2"/>
                <w:sz w:val="24"/>
                <w:highlight w:val="none"/>
                <w:lang w:bidi="ar"/>
              </w:rPr>
              <w:t>3</w:t>
            </w:r>
            <w:r>
              <w:rPr>
                <w:rFonts w:ascii="宋体" w:hAnsi="宋体" w:cs="AdobeFangsongStd-Regular"/>
                <w:color w:val="auto"/>
                <w:position w:val="-2"/>
                <w:sz w:val="24"/>
                <w:highlight w:val="none"/>
                <w:lang w:bidi="ar"/>
              </w:rPr>
              <w:t>分)，由评委</w:t>
            </w:r>
            <w:r>
              <w:rPr>
                <w:rFonts w:hint="eastAsia" w:ascii="宋体" w:hAnsi="宋体" w:cs="AdobeFangsongStd-Regular"/>
                <w:color w:val="auto"/>
                <w:position w:val="-2"/>
                <w:sz w:val="24"/>
                <w:highlight w:val="none"/>
                <w:lang w:bidi="ar"/>
              </w:rPr>
              <w:t>进行</w:t>
            </w:r>
            <w:r>
              <w:rPr>
                <w:rFonts w:ascii="宋体" w:hAnsi="宋体" w:cs="AdobeFangsongStd-Regular"/>
                <w:color w:val="auto"/>
                <w:position w:val="-2"/>
                <w:sz w:val="24"/>
                <w:highlight w:val="none"/>
                <w:lang w:bidi="ar"/>
              </w:rPr>
              <w:t>打分。</w:t>
            </w:r>
          </w:p>
        </w:tc>
        <w:tc>
          <w:tcPr>
            <w:tcW w:w="713" w:type="dxa"/>
            <w:tcBorders>
              <w:top w:val="single" w:color="auto" w:sz="4" w:space="0"/>
              <w:left w:val="single" w:color="auto" w:sz="4" w:space="0"/>
              <w:bottom w:val="single" w:color="auto" w:sz="4" w:space="0"/>
              <w:right w:val="single" w:color="auto" w:sz="4" w:space="0"/>
            </w:tcBorders>
            <w:vAlign w:val="center"/>
          </w:tcPr>
          <w:p w14:paraId="61E4149D">
            <w:pPr>
              <w:snapToGrid w:val="0"/>
              <w:spacing w:line="312" w:lineRule="auto"/>
              <w:jc w:val="center"/>
              <w:textAlignment w:val="baseline"/>
              <w:rPr>
                <w:rFonts w:ascii="宋体" w:cs="宋体"/>
                <w:color w:val="auto"/>
                <w:sz w:val="24"/>
                <w:highlight w:val="none"/>
              </w:rPr>
            </w:pPr>
            <w:r>
              <w:rPr>
                <w:rFonts w:hint="eastAsia" w:ascii="宋体" w:cs="宋体"/>
                <w:color w:val="auto"/>
                <w:sz w:val="24"/>
                <w:highlight w:val="none"/>
              </w:rPr>
              <w:t>6</w:t>
            </w:r>
          </w:p>
        </w:tc>
      </w:tr>
      <w:tr w14:paraId="0D21521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996" w:hRule="atLeast"/>
          <w:jc w:val="center"/>
        </w:trPr>
        <w:tc>
          <w:tcPr>
            <w:tcW w:w="729" w:type="dxa"/>
            <w:tcBorders>
              <w:top w:val="single" w:color="auto" w:sz="4" w:space="0"/>
              <w:left w:val="single" w:color="auto" w:sz="4" w:space="0"/>
              <w:bottom w:val="single" w:color="auto" w:sz="4" w:space="0"/>
              <w:right w:val="single" w:color="auto" w:sz="4" w:space="0"/>
            </w:tcBorders>
            <w:vAlign w:val="center"/>
          </w:tcPr>
          <w:p w14:paraId="4CD4369D">
            <w:pPr>
              <w:spacing w:line="360" w:lineRule="auto"/>
              <w:jc w:val="center"/>
              <w:rPr>
                <w:rFonts w:ascii="宋体" w:cs="宋体"/>
                <w:color w:val="auto"/>
                <w:sz w:val="24"/>
                <w:highlight w:val="none"/>
              </w:rPr>
            </w:pPr>
            <w:r>
              <w:rPr>
                <w:rFonts w:hint="eastAsia" w:ascii="宋体" w:cs="宋体"/>
                <w:color w:val="auto"/>
                <w:sz w:val="24"/>
                <w:highlight w:val="none"/>
              </w:rPr>
              <w:t>8</w:t>
            </w:r>
          </w:p>
        </w:tc>
        <w:tc>
          <w:tcPr>
            <w:tcW w:w="407" w:type="dxa"/>
            <w:vMerge w:val="continue"/>
            <w:tcBorders>
              <w:left w:val="single" w:color="auto" w:sz="4" w:space="0"/>
              <w:right w:val="single" w:color="auto" w:sz="4" w:space="0"/>
            </w:tcBorders>
            <w:vAlign w:val="center"/>
          </w:tcPr>
          <w:p w14:paraId="02A581F4">
            <w:pPr>
              <w:spacing w:line="360" w:lineRule="auto"/>
              <w:rPr>
                <w:rFonts w:hAnsi="宋体" w:cs="宋体"/>
                <w:color w:val="auto"/>
                <w:sz w:val="24"/>
                <w:highlight w:val="none"/>
              </w:rPr>
            </w:pPr>
          </w:p>
        </w:tc>
        <w:tc>
          <w:tcPr>
            <w:tcW w:w="1262" w:type="dxa"/>
            <w:tcBorders>
              <w:top w:val="single" w:color="auto" w:sz="4" w:space="0"/>
              <w:left w:val="single" w:color="auto" w:sz="4" w:space="0"/>
              <w:bottom w:val="single" w:color="auto" w:sz="4" w:space="0"/>
              <w:right w:val="single" w:color="auto" w:sz="4" w:space="0"/>
            </w:tcBorders>
            <w:vAlign w:val="center"/>
          </w:tcPr>
          <w:p w14:paraId="591A530F">
            <w:pPr>
              <w:spacing w:line="360" w:lineRule="auto"/>
              <w:jc w:val="center"/>
              <w:rPr>
                <w:rFonts w:hAnsi="宋体" w:cs="宋体"/>
                <w:color w:val="auto"/>
                <w:sz w:val="24"/>
                <w:highlight w:val="none"/>
              </w:rPr>
            </w:pPr>
            <w:r>
              <w:rPr>
                <w:rFonts w:hint="eastAsia" w:hAnsi="宋体" w:cs="宋体"/>
                <w:color w:val="auto"/>
                <w:sz w:val="24"/>
                <w:highlight w:val="none"/>
              </w:rPr>
              <w:t>污染防治</w:t>
            </w:r>
          </w:p>
        </w:tc>
        <w:tc>
          <w:tcPr>
            <w:tcW w:w="6281" w:type="dxa"/>
            <w:tcBorders>
              <w:top w:val="single" w:color="auto" w:sz="4" w:space="0"/>
              <w:left w:val="single" w:color="auto" w:sz="4" w:space="0"/>
              <w:bottom w:val="single" w:color="auto" w:sz="4" w:space="0"/>
              <w:right w:val="single" w:color="auto" w:sz="4" w:space="0"/>
            </w:tcBorders>
            <w:vAlign w:val="center"/>
          </w:tcPr>
          <w:p w14:paraId="29FF78DD">
            <w:pPr>
              <w:keepNext w:val="0"/>
              <w:keepLines w:val="0"/>
              <w:pageBreakBefore w:val="0"/>
              <w:widowControl w:val="0"/>
              <w:kinsoku/>
              <w:wordWrap/>
              <w:overflowPunct/>
              <w:topLinePunct w:val="0"/>
              <w:autoSpaceDE/>
              <w:autoSpaceDN/>
              <w:bidi w:val="0"/>
              <w:adjustRightInd/>
              <w:spacing w:line="440" w:lineRule="exact"/>
              <w:jc w:val="left"/>
              <w:rPr>
                <w:rFonts w:ascii="宋体" w:cs="宋体"/>
                <w:color w:val="auto"/>
                <w:sz w:val="24"/>
                <w:highlight w:val="none"/>
              </w:rPr>
            </w:pPr>
            <w:r>
              <w:rPr>
                <w:rFonts w:hint="eastAsia" w:ascii="宋体" w:cs="宋体"/>
                <w:color w:val="auto"/>
                <w:sz w:val="24"/>
                <w:highlight w:val="none"/>
              </w:rPr>
              <w:t>根据投标人对本顶目废弃包装物收集、运输可能导致的污染，从污染的防治、污染的解决措施等情况进行打分。</w:t>
            </w:r>
          </w:p>
        </w:tc>
        <w:tc>
          <w:tcPr>
            <w:tcW w:w="713" w:type="dxa"/>
            <w:tcBorders>
              <w:top w:val="single" w:color="auto" w:sz="4" w:space="0"/>
              <w:left w:val="single" w:color="auto" w:sz="4" w:space="0"/>
              <w:bottom w:val="single" w:color="auto" w:sz="4" w:space="0"/>
              <w:right w:val="single" w:color="auto" w:sz="4" w:space="0"/>
            </w:tcBorders>
            <w:vAlign w:val="center"/>
          </w:tcPr>
          <w:p w14:paraId="020E1329">
            <w:pPr>
              <w:spacing w:line="360" w:lineRule="auto"/>
              <w:jc w:val="center"/>
              <w:rPr>
                <w:rFonts w:ascii="宋体" w:cs="宋体"/>
                <w:color w:val="auto"/>
                <w:sz w:val="24"/>
                <w:highlight w:val="none"/>
              </w:rPr>
            </w:pPr>
            <w:r>
              <w:rPr>
                <w:rFonts w:hint="eastAsia" w:ascii="宋体" w:cs="宋体"/>
                <w:color w:val="auto"/>
                <w:sz w:val="24"/>
                <w:highlight w:val="none"/>
              </w:rPr>
              <w:t>3</w:t>
            </w:r>
          </w:p>
        </w:tc>
      </w:tr>
      <w:tr w14:paraId="11B7D91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682" w:hRule="atLeast"/>
          <w:jc w:val="center"/>
        </w:trPr>
        <w:tc>
          <w:tcPr>
            <w:tcW w:w="729" w:type="dxa"/>
            <w:tcBorders>
              <w:top w:val="single" w:color="auto" w:sz="4" w:space="0"/>
              <w:left w:val="single" w:color="auto" w:sz="4" w:space="0"/>
              <w:bottom w:val="single" w:color="auto" w:sz="4" w:space="0"/>
              <w:right w:val="single" w:color="auto" w:sz="4" w:space="0"/>
            </w:tcBorders>
            <w:vAlign w:val="center"/>
          </w:tcPr>
          <w:p w14:paraId="28D31873">
            <w:pPr>
              <w:spacing w:line="360" w:lineRule="auto"/>
              <w:jc w:val="center"/>
              <w:rPr>
                <w:rFonts w:ascii="宋体" w:cs="宋体"/>
                <w:color w:val="auto"/>
                <w:sz w:val="24"/>
                <w:highlight w:val="none"/>
              </w:rPr>
            </w:pPr>
            <w:r>
              <w:rPr>
                <w:rFonts w:hint="eastAsia" w:ascii="宋体" w:cs="宋体"/>
                <w:color w:val="auto"/>
                <w:sz w:val="24"/>
                <w:highlight w:val="none"/>
              </w:rPr>
              <w:t>9</w:t>
            </w:r>
          </w:p>
        </w:tc>
        <w:tc>
          <w:tcPr>
            <w:tcW w:w="407" w:type="dxa"/>
            <w:vMerge w:val="continue"/>
            <w:tcBorders>
              <w:left w:val="single" w:color="auto" w:sz="4" w:space="0"/>
              <w:right w:val="single" w:color="auto" w:sz="4" w:space="0"/>
            </w:tcBorders>
            <w:vAlign w:val="center"/>
          </w:tcPr>
          <w:p w14:paraId="22D1EFA4">
            <w:pPr>
              <w:spacing w:line="360" w:lineRule="auto"/>
              <w:rPr>
                <w:rFonts w:hAnsi="宋体" w:cs="宋体"/>
                <w:color w:val="auto"/>
                <w:sz w:val="24"/>
                <w:highlight w:val="none"/>
              </w:rPr>
            </w:pPr>
          </w:p>
        </w:tc>
        <w:tc>
          <w:tcPr>
            <w:tcW w:w="1262" w:type="dxa"/>
            <w:tcBorders>
              <w:top w:val="single" w:color="auto" w:sz="4" w:space="0"/>
              <w:left w:val="single" w:color="auto" w:sz="4" w:space="0"/>
              <w:bottom w:val="single" w:color="auto" w:sz="4" w:space="0"/>
              <w:right w:val="single" w:color="auto" w:sz="4" w:space="0"/>
            </w:tcBorders>
            <w:vAlign w:val="center"/>
          </w:tcPr>
          <w:p w14:paraId="1AE5E247">
            <w:pPr>
              <w:spacing w:line="360" w:lineRule="auto"/>
              <w:jc w:val="center"/>
              <w:rPr>
                <w:rFonts w:hAnsi="宋体" w:cs="宋体"/>
                <w:color w:val="auto"/>
                <w:sz w:val="24"/>
                <w:highlight w:val="none"/>
              </w:rPr>
            </w:pPr>
            <w:r>
              <w:rPr>
                <w:rFonts w:hint="eastAsia" w:hAnsi="宋体" w:cs="宋体"/>
                <w:color w:val="auto"/>
                <w:sz w:val="24"/>
                <w:highlight w:val="none"/>
              </w:rPr>
              <w:t>项目组</w:t>
            </w:r>
          </w:p>
          <w:p w14:paraId="1145B52F">
            <w:pPr>
              <w:spacing w:line="360" w:lineRule="auto"/>
              <w:jc w:val="center"/>
              <w:rPr>
                <w:rFonts w:hAnsi="宋体" w:cs="宋体"/>
                <w:color w:val="auto"/>
                <w:sz w:val="24"/>
                <w:highlight w:val="none"/>
              </w:rPr>
            </w:pPr>
            <w:r>
              <w:rPr>
                <w:rFonts w:hint="eastAsia" w:hAnsi="宋体" w:cs="宋体"/>
                <w:color w:val="auto"/>
                <w:sz w:val="24"/>
                <w:highlight w:val="none"/>
              </w:rPr>
              <w:t>成员</w:t>
            </w:r>
          </w:p>
        </w:tc>
        <w:tc>
          <w:tcPr>
            <w:tcW w:w="6281" w:type="dxa"/>
            <w:tcBorders>
              <w:top w:val="single" w:color="auto" w:sz="4" w:space="0"/>
              <w:left w:val="single" w:color="auto" w:sz="4" w:space="0"/>
              <w:bottom w:val="single" w:color="auto" w:sz="4" w:space="0"/>
              <w:right w:val="single" w:color="auto" w:sz="4" w:space="0"/>
            </w:tcBorders>
            <w:vAlign w:val="center"/>
          </w:tcPr>
          <w:p w14:paraId="556FF521">
            <w:pPr>
              <w:keepNext w:val="0"/>
              <w:keepLines w:val="0"/>
              <w:pageBreakBefore w:val="0"/>
              <w:widowControl w:val="0"/>
              <w:kinsoku/>
              <w:wordWrap/>
              <w:overflowPunct/>
              <w:topLinePunct w:val="0"/>
              <w:autoSpaceDE/>
              <w:autoSpaceDN/>
              <w:bidi w:val="0"/>
              <w:adjustRightInd/>
              <w:spacing w:line="440" w:lineRule="exact"/>
              <w:jc w:val="left"/>
              <w:rPr>
                <w:rFonts w:hint="eastAsia" w:ascii="宋体" w:cs="宋体"/>
                <w:color w:val="auto"/>
                <w:sz w:val="24"/>
                <w:highlight w:val="none"/>
                <w:lang w:eastAsia="zh-CN"/>
              </w:rPr>
            </w:pPr>
            <w:r>
              <w:rPr>
                <w:rFonts w:hint="eastAsia" w:ascii="宋体" w:cs="宋体"/>
                <w:color w:val="auto"/>
                <w:sz w:val="24"/>
                <w:highlight w:val="none"/>
              </w:rPr>
              <w:t>根据拟派项目组成员的素质、技术能力、工作经验、安全教育、培训等情况</w:t>
            </w:r>
            <w:r>
              <w:rPr>
                <w:rFonts w:hint="eastAsia" w:ascii="宋体" w:cs="宋体"/>
                <w:color w:val="auto"/>
                <w:sz w:val="24"/>
                <w:highlight w:val="none"/>
                <w:lang w:val="en-US" w:eastAsia="zh-CN"/>
              </w:rPr>
              <w:t>进行</w:t>
            </w:r>
            <w:r>
              <w:rPr>
                <w:rFonts w:hint="eastAsia" w:ascii="宋体" w:cs="宋体"/>
                <w:color w:val="auto"/>
                <w:sz w:val="24"/>
                <w:highlight w:val="none"/>
              </w:rPr>
              <w:t>打分</w:t>
            </w:r>
            <w:r>
              <w:rPr>
                <w:rFonts w:hint="eastAsia" w:ascii="宋体" w:cs="宋体"/>
                <w:color w:val="auto"/>
                <w:sz w:val="24"/>
                <w:highlight w:val="none"/>
                <w:lang w:eastAsia="zh-CN"/>
              </w:rPr>
              <w:t>。</w:t>
            </w:r>
          </w:p>
          <w:p w14:paraId="57810E49">
            <w:pPr>
              <w:keepNext w:val="0"/>
              <w:keepLines w:val="0"/>
              <w:pageBreakBefore w:val="0"/>
              <w:widowControl w:val="0"/>
              <w:kinsoku/>
              <w:wordWrap/>
              <w:overflowPunct/>
              <w:topLinePunct w:val="0"/>
              <w:autoSpaceDE/>
              <w:autoSpaceDN/>
              <w:bidi w:val="0"/>
              <w:adjustRightInd/>
              <w:spacing w:line="440" w:lineRule="exact"/>
              <w:jc w:val="left"/>
              <w:rPr>
                <w:rFonts w:ascii="宋体" w:cs="宋体"/>
                <w:color w:val="auto"/>
                <w:sz w:val="24"/>
                <w:highlight w:val="none"/>
              </w:rPr>
            </w:pPr>
            <w:r>
              <w:rPr>
                <w:rFonts w:hint="eastAsia" w:ascii="宋体" w:cs="宋体"/>
                <w:color w:val="auto"/>
                <w:sz w:val="24"/>
                <w:highlight w:val="none"/>
                <w:lang w:val="en-US" w:eastAsia="zh-CN"/>
              </w:rPr>
              <w:t>注：</w:t>
            </w:r>
            <w:r>
              <w:rPr>
                <w:rFonts w:hint="eastAsia" w:ascii="宋体" w:cs="宋体"/>
                <w:color w:val="auto"/>
                <w:sz w:val="24"/>
                <w:highlight w:val="none"/>
              </w:rPr>
              <w:t>须提供相关证明材料复印件，以及已在本单位缴纳社保的承诺书并加盖投标人公章，否则不得分。）</w:t>
            </w:r>
          </w:p>
        </w:tc>
        <w:tc>
          <w:tcPr>
            <w:tcW w:w="713" w:type="dxa"/>
            <w:tcBorders>
              <w:top w:val="single" w:color="auto" w:sz="4" w:space="0"/>
              <w:left w:val="single" w:color="auto" w:sz="4" w:space="0"/>
              <w:bottom w:val="single" w:color="auto" w:sz="4" w:space="0"/>
              <w:right w:val="single" w:color="auto" w:sz="4" w:space="0"/>
            </w:tcBorders>
            <w:vAlign w:val="center"/>
          </w:tcPr>
          <w:p w14:paraId="3CD69B93">
            <w:pPr>
              <w:spacing w:line="360" w:lineRule="auto"/>
              <w:jc w:val="center"/>
              <w:rPr>
                <w:rFonts w:hint="eastAsia" w:ascii="宋体" w:eastAsia="宋体" w:cs="宋体"/>
                <w:color w:val="auto"/>
                <w:sz w:val="24"/>
                <w:highlight w:val="none"/>
                <w:lang w:eastAsia="zh-CN"/>
              </w:rPr>
            </w:pPr>
            <w:r>
              <w:rPr>
                <w:rFonts w:hint="eastAsia" w:ascii="宋体" w:cs="宋体"/>
                <w:color w:val="auto"/>
                <w:sz w:val="24"/>
                <w:highlight w:val="none"/>
                <w:lang w:val="en-US" w:eastAsia="zh-CN"/>
              </w:rPr>
              <w:t>4</w:t>
            </w:r>
          </w:p>
        </w:tc>
      </w:tr>
      <w:tr w14:paraId="0A73BD2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115" w:hRule="atLeast"/>
          <w:jc w:val="center"/>
        </w:trPr>
        <w:tc>
          <w:tcPr>
            <w:tcW w:w="729" w:type="dxa"/>
            <w:tcBorders>
              <w:left w:val="single" w:color="auto" w:sz="4" w:space="0"/>
              <w:bottom w:val="single" w:color="auto" w:sz="4" w:space="0"/>
              <w:right w:val="single" w:color="auto" w:sz="4" w:space="0"/>
            </w:tcBorders>
            <w:vAlign w:val="center"/>
          </w:tcPr>
          <w:p w14:paraId="36FAEA4A">
            <w:pPr>
              <w:spacing w:line="360" w:lineRule="auto"/>
              <w:jc w:val="center"/>
              <w:rPr>
                <w:rFonts w:hint="default" w:ascii="宋体" w:eastAsia="宋体" w:cs="宋体"/>
                <w:color w:val="auto"/>
                <w:sz w:val="24"/>
                <w:highlight w:val="none"/>
                <w:lang w:val="en-US" w:eastAsia="zh-CN"/>
              </w:rPr>
            </w:pPr>
            <w:r>
              <w:rPr>
                <w:rFonts w:hint="eastAsia" w:ascii="宋体" w:cs="宋体"/>
                <w:color w:val="auto"/>
                <w:sz w:val="24"/>
                <w:highlight w:val="none"/>
                <w:lang w:val="en-US" w:eastAsia="zh-CN"/>
              </w:rPr>
              <w:t>10</w:t>
            </w:r>
          </w:p>
        </w:tc>
        <w:tc>
          <w:tcPr>
            <w:tcW w:w="407" w:type="dxa"/>
            <w:vMerge w:val="continue"/>
            <w:tcBorders>
              <w:left w:val="single" w:color="auto" w:sz="4" w:space="0"/>
              <w:right w:val="single" w:color="auto" w:sz="4" w:space="0"/>
            </w:tcBorders>
            <w:vAlign w:val="center"/>
          </w:tcPr>
          <w:p w14:paraId="30B22BB0">
            <w:pPr>
              <w:spacing w:line="360" w:lineRule="auto"/>
              <w:rPr>
                <w:rFonts w:hAnsi="宋体" w:cs="宋体"/>
                <w:color w:val="auto"/>
                <w:sz w:val="24"/>
                <w:highlight w:val="none"/>
              </w:rPr>
            </w:pPr>
          </w:p>
        </w:tc>
        <w:tc>
          <w:tcPr>
            <w:tcW w:w="1262" w:type="dxa"/>
            <w:vMerge w:val="restart"/>
            <w:tcBorders>
              <w:left w:val="single" w:color="auto" w:sz="4" w:space="0"/>
              <w:right w:val="single" w:color="auto" w:sz="4" w:space="0"/>
            </w:tcBorders>
            <w:vAlign w:val="center"/>
          </w:tcPr>
          <w:p w14:paraId="62585D90">
            <w:pPr>
              <w:spacing w:line="360" w:lineRule="auto"/>
              <w:jc w:val="center"/>
              <w:rPr>
                <w:rFonts w:hint="default" w:hAnsi="宋体" w:eastAsia="宋体" w:cs="宋体"/>
                <w:color w:val="auto"/>
                <w:sz w:val="24"/>
                <w:highlight w:val="none"/>
                <w:lang w:val="en-US" w:eastAsia="zh-CN"/>
              </w:rPr>
            </w:pPr>
            <w:r>
              <w:rPr>
                <w:rFonts w:hint="eastAsia" w:hAnsi="宋体" w:cs="宋体"/>
                <w:color w:val="auto"/>
                <w:sz w:val="24"/>
                <w:highlight w:val="none"/>
                <w:lang w:val="en-US" w:eastAsia="zh-CN"/>
              </w:rPr>
              <w:t>仓储能力</w:t>
            </w:r>
          </w:p>
        </w:tc>
        <w:tc>
          <w:tcPr>
            <w:tcW w:w="6281" w:type="dxa"/>
            <w:tcBorders>
              <w:top w:val="single" w:color="auto" w:sz="4" w:space="0"/>
              <w:left w:val="single" w:color="auto" w:sz="4" w:space="0"/>
              <w:bottom w:val="single" w:color="auto" w:sz="4" w:space="0"/>
              <w:right w:val="single" w:color="auto" w:sz="4" w:space="0"/>
            </w:tcBorders>
            <w:vAlign w:val="center"/>
          </w:tcPr>
          <w:p w14:paraId="393F4D1B">
            <w:pPr>
              <w:keepNext w:val="0"/>
              <w:keepLines w:val="0"/>
              <w:pageBreakBefore w:val="0"/>
              <w:widowControl w:val="0"/>
              <w:kinsoku/>
              <w:wordWrap/>
              <w:overflowPunct/>
              <w:topLinePunct w:val="0"/>
              <w:autoSpaceDE/>
              <w:autoSpaceDN/>
              <w:bidi w:val="0"/>
              <w:adjustRightInd/>
              <w:spacing w:line="440" w:lineRule="exact"/>
              <w:jc w:val="left"/>
              <w:rPr>
                <w:rFonts w:hint="eastAsia" w:ascii="宋体" w:cs="宋体"/>
                <w:color w:val="auto"/>
                <w:sz w:val="24"/>
                <w:lang w:val="en-US" w:eastAsia="zh-CN"/>
              </w:rPr>
            </w:pPr>
            <w:r>
              <w:rPr>
                <w:rFonts w:hint="eastAsia" w:ascii="宋体" w:cs="宋体"/>
                <w:color w:val="auto"/>
                <w:sz w:val="24"/>
              </w:rPr>
              <w:t>投标人</w:t>
            </w:r>
            <w:r>
              <w:rPr>
                <w:rFonts w:hint="eastAsia" w:ascii="宋体" w:cs="宋体"/>
                <w:color w:val="auto"/>
                <w:sz w:val="24"/>
                <w:lang w:val="en-US" w:eastAsia="zh-CN"/>
              </w:rPr>
              <w:t>自有或租赁农药废弃包装物仓库</w:t>
            </w:r>
            <w:r>
              <w:rPr>
                <w:rFonts w:hint="eastAsia" w:ascii="宋体" w:cs="宋体"/>
                <w:color w:val="auto"/>
                <w:sz w:val="24"/>
                <w:lang w:eastAsia="zh-CN"/>
              </w:rPr>
              <w:t>的</w:t>
            </w:r>
            <w:r>
              <w:rPr>
                <w:rFonts w:hint="eastAsia" w:ascii="宋体" w:cs="宋体"/>
                <w:color w:val="auto"/>
                <w:sz w:val="24"/>
                <w:lang w:val="en-US" w:eastAsia="zh-CN"/>
              </w:rPr>
              <w:t>得2分，本项最高得2分。</w:t>
            </w:r>
          </w:p>
          <w:p w14:paraId="727F0D30">
            <w:pPr>
              <w:keepNext w:val="0"/>
              <w:keepLines w:val="0"/>
              <w:pageBreakBefore w:val="0"/>
              <w:widowControl w:val="0"/>
              <w:kinsoku/>
              <w:wordWrap/>
              <w:overflowPunct/>
              <w:topLinePunct w:val="0"/>
              <w:autoSpaceDE/>
              <w:autoSpaceDN/>
              <w:bidi w:val="0"/>
              <w:adjustRightInd/>
              <w:spacing w:line="440" w:lineRule="exact"/>
              <w:jc w:val="left"/>
              <w:rPr>
                <w:rFonts w:hint="eastAsia" w:ascii="宋体" w:cs="宋体"/>
                <w:color w:val="auto"/>
                <w:sz w:val="24"/>
                <w:highlight w:val="none"/>
              </w:rPr>
            </w:pPr>
            <w:r>
              <w:rPr>
                <w:rFonts w:hint="eastAsia" w:ascii="宋体" w:cs="宋体"/>
                <w:color w:val="auto"/>
                <w:sz w:val="24"/>
                <w:lang w:val="en-US" w:eastAsia="zh-CN"/>
              </w:rPr>
              <w:t>注：提供相应的租赁协议或房产证明、产权证书等有效证明为农药废弃包装物仓库的材料</w:t>
            </w:r>
            <w:r>
              <w:rPr>
                <w:rFonts w:hint="eastAsia" w:ascii="宋体" w:cs="宋体"/>
                <w:color w:val="auto"/>
                <w:sz w:val="24"/>
              </w:rPr>
              <w:t>。</w:t>
            </w:r>
          </w:p>
        </w:tc>
        <w:tc>
          <w:tcPr>
            <w:tcW w:w="713" w:type="dxa"/>
            <w:tcBorders>
              <w:top w:val="single" w:color="auto" w:sz="4" w:space="0"/>
              <w:left w:val="single" w:color="auto" w:sz="4" w:space="0"/>
              <w:bottom w:val="single" w:color="auto" w:sz="4" w:space="0"/>
              <w:right w:val="single" w:color="auto" w:sz="4" w:space="0"/>
            </w:tcBorders>
            <w:vAlign w:val="center"/>
          </w:tcPr>
          <w:p w14:paraId="5C1B369B">
            <w:pPr>
              <w:spacing w:line="360" w:lineRule="auto"/>
              <w:jc w:val="center"/>
              <w:rPr>
                <w:rFonts w:hint="default" w:ascii="宋体" w:cs="宋体"/>
                <w:color w:val="auto"/>
                <w:sz w:val="24"/>
                <w:highlight w:val="none"/>
                <w:lang w:val="en-US" w:eastAsia="zh-CN"/>
              </w:rPr>
            </w:pPr>
            <w:r>
              <w:rPr>
                <w:rFonts w:hint="eastAsia" w:ascii="宋体" w:cs="宋体"/>
                <w:color w:val="auto"/>
                <w:sz w:val="24"/>
                <w:highlight w:val="none"/>
                <w:lang w:val="en-US" w:eastAsia="zh-CN"/>
              </w:rPr>
              <w:t>2</w:t>
            </w:r>
          </w:p>
        </w:tc>
      </w:tr>
      <w:tr w14:paraId="715BF03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115" w:hRule="atLeast"/>
          <w:jc w:val="center"/>
        </w:trPr>
        <w:tc>
          <w:tcPr>
            <w:tcW w:w="729" w:type="dxa"/>
            <w:tcBorders>
              <w:left w:val="single" w:color="auto" w:sz="4" w:space="0"/>
              <w:bottom w:val="single" w:color="auto" w:sz="4" w:space="0"/>
              <w:right w:val="single" w:color="auto" w:sz="4" w:space="0"/>
            </w:tcBorders>
            <w:vAlign w:val="center"/>
          </w:tcPr>
          <w:p w14:paraId="4A915AAB">
            <w:pPr>
              <w:spacing w:line="360" w:lineRule="auto"/>
              <w:jc w:val="center"/>
              <w:rPr>
                <w:rFonts w:hint="eastAsia" w:ascii="宋体" w:cs="宋体"/>
                <w:color w:val="auto"/>
                <w:sz w:val="24"/>
                <w:highlight w:val="none"/>
              </w:rPr>
            </w:pPr>
          </w:p>
        </w:tc>
        <w:tc>
          <w:tcPr>
            <w:tcW w:w="407" w:type="dxa"/>
            <w:vMerge w:val="continue"/>
            <w:tcBorders>
              <w:left w:val="single" w:color="auto" w:sz="4" w:space="0"/>
              <w:right w:val="single" w:color="auto" w:sz="4" w:space="0"/>
            </w:tcBorders>
            <w:vAlign w:val="center"/>
          </w:tcPr>
          <w:p w14:paraId="36A87DF3">
            <w:pPr>
              <w:spacing w:line="360" w:lineRule="auto"/>
              <w:rPr>
                <w:rFonts w:hAnsi="宋体" w:cs="宋体"/>
                <w:color w:val="auto"/>
                <w:sz w:val="24"/>
                <w:highlight w:val="none"/>
              </w:rPr>
            </w:pPr>
          </w:p>
        </w:tc>
        <w:tc>
          <w:tcPr>
            <w:tcW w:w="1262" w:type="dxa"/>
            <w:vMerge w:val="continue"/>
            <w:tcBorders>
              <w:left w:val="single" w:color="auto" w:sz="4" w:space="0"/>
              <w:bottom w:val="single" w:color="auto" w:sz="4" w:space="0"/>
              <w:right w:val="single" w:color="auto" w:sz="4" w:space="0"/>
            </w:tcBorders>
            <w:vAlign w:val="center"/>
          </w:tcPr>
          <w:p w14:paraId="2616336F">
            <w:pPr>
              <w:spacing w:line="360" w:lineRule="auto"/>
              <w:jc w:val="center"/>
              <w:rPr>
                <w:rFonts w:hint="eastAsia" w:hAnsi="宋体" w:cs="宋体"/>
                <w:color w:val="auto"/>
                <w:sz w:val="24"/>
                <w:highlight w:val="none"/>
                <w:lang w:val="en-US" w:eastAsia="zh-CN"/>
              </w:rPr>
            </w:pPr>
          </w:p>
        </w:tc>
        <w:tc>
          <w:tcPr>
            <w:tcW w:w="6281" w:type="dxa"/>
            <w:tcBorders>
              <w:top w:val="single" w:color="auto" w:sz="4" w:space="0"/>
              <w:left w:val="single" w:color="auto" w:sz="4" w:space="0"/>
              <w:bottom w:val="single" w:color="auto" w:sz="4" w:space="0"/>
              <w:right w:val="single" w:color="auto" w:sz="4" w:space="0"/>
            </w:tcBorders>
            <w:vAlign w:val="center"/>
          </w:tcPr>
          <w:p w14:paraId="29046B5A">
            <w:pPr>
              <w:keepNext w:val="0"/>
              <w:keepLines w:val="0"/>
              <w:pageBreakBefore w:val="0"/>
              <w:widowControl w:val="0"/>
              <w:kinsoku/>
              <w:wordWrap/>
              <w:overflowPunct/>
              <w:topLinePunct w:val="0"/>
              <w:autoSpaceDE/>
              <w:autoSpaceDN/>
              <w:bidi w:val="0"/>
              <w:adjustRightInd/>
              <w:spacing w:line="360" w:lineRule="auto"/>
              <w:jc w:val="left"/>
              <w:rPr>
                <w:rFonts w:hint="default" w:eastAsia="宋体"/>
                <w:color w:val="auto"/>
                <w:lang w:val="en-US" w:eastAsia="zh-CN"/>
              </w:rPr>
            </w:pPr>
            <w:r>
              <w:rPr>
                <w:rFonts w:hint="eastAsia" w:ascii="宋体" w:cs="宋体"/>
                <w:color w:val="auto"/>
                <w:sz w:val="24"/>
                <w:lang w:val="en-US" w:eastAsia="zh-CN"/>
              </w:rPr>
              <w:t>投标人承诺设立具备危险废物贮存能力且符合环保条件的仓库。仓库面积</w:t>
            </w:r>
            <w:r>
              <w:rPr>
                <w:rFonts w:hint="eastAsia" w:ascii="宋体" w:cs="宋体"/>
                <w:color w:val="auto"/>
                <w:sz w:val="24"/>
              </w:rPr>
              <w:t>100㎡（不含）-300㎡（不含）的得1分，300㎡（含）-500㎡（不含）的得2分，500㎡（含）</w:t>
            </w:r>
            <w:r>
              <w:rPr>
                <w:rFonts w:hint="eastAsia" w:ascii="宋体" w:cs="宋体"/>
                <w:color w:val="auto"/>
                <w:sz w:val="24"/>
                <w:szCs w:val="24"/>
              </w:rPr>
              <w:t>以上的得3分。</w:t>
            </w:r>
            <w:r>
              <w:rPr>
                <w:rFonts w:hint="eastAsia" w:ascii="宋体" w:cs="宋体"/>
                <w:color w:val="auto"/>
                <w:sz w:val="24"/>
                <w:szCs w:val="24"/>
                <w:lang w:val="en-US" w:eastAsia="zh-CN"/>
              </w:rPr>
              <w:t>仓储场地承诺书详见附件。</w:t>
            </w:r>
          </w:p>
        </w:tc>
        <w:tc>
          <w:tcPr>
            <w:tcW w:w="713" w:type="dxa"/>
            <w:tcBorders>
              <w:top w:val="single" w:color="auto" w:sz="4" w:space="0"/>
              <w:left w:val="single" w:color="auto" w:sz="4" w:space="0"/>
              <w:bottom w:val="single" w:color="auto" w:sz="4" w:space="0"/>
              <w:right w:val="single" w:color="auto" w:sz="4" w:space="0"/>
            </w:tcBorders>
            <w:vAlign w:val="center"/>
          </w:tcPr>
          <w:p w14:paraId="55FF98A4">
            <w:pPr>
              <w:spacing w:line="360" w:lineRule="auto"/>
              <w:jc w:val="center"/>
              <w:rPr>
                <w:rFonts w:hint="default" w:ascii="宋体" w:cs="宋体"/>
                <w:color w:val="auto"/>
                <w:sz w:val="24"/>
                <w:highlight w:val="none"/>
                <w:lang w:val="en-US" w:eastAsia="zh-CN"/>
              </w:rPr>
            </w:pPr>
            <w:r>
              <w:rPr>
                <w:rFonts w:hint="eastAsia" w:ascii="宋体" w:cs="宋体"/>
                <w:color w:val="auto"/>
                <w:sz w:val="24"/>
                <w:highlight w:val="none"/>
                <w:lang w:val="en-US" w:eastAsia="zh-CN"/>
              </w:rPr>
              <w:t>3</w:t>
            </w:r>
          </w:p>
        </w:tc>
      </w:tr>
      <w:tr w14:paraId="7319FA2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20" w:hRule="atLeast"/>
          <w:jc w:val="center"/>
        </w:trPr>
        <w:tc>
          <w:tcPr>
            <w:tcW w:w="729" w:type="dxa"/>
            <w:tcBorders>
              <w:top w:val="single" w:color="auto" w:sz="4" w:space="0"/>
              <w:left w:val="single" w:color="auto" w:sz="4" w:space="0"/>
              <w:bottom w:val="single" w:color="auto" w:sz="4" w:space="0"/>
              <w:right w:val="single" w:color="auto" w:sz="4" w:space="0"/>
            </w:tcBorders>
            <w:vAlign w:val="center"/>
          </w:tcPr>
          <w:p w14:paraId="01CFCD67">
            <w:pPr>
              <w:spacing w:line="360" w:lineRule="auto"/>
              <w:jc w:val="center"/>
              <w:rPr>
                <w:rFonts w:ascii="宋体" w:cs="宋体"/>
                <w:color w:val="auto"/>
                <w:sz w:val="24"/>
                <w:highlight w:val="none"/>
              </w:rPr>
            </w:pPr>
            <w:r>
              <w:rPr>
                <w:rFonts w:hint="eastAsia" w:ascii="宋体" w:cs="宋体"/>
                <w:color w:val="auto"/>
                <w:sz w:val="24"/>
                <w:highlight w:val="none"/>
              </w:rPr>
              <w:t>11</w:t>
            </w:r>
          </w:p>
        </w:tc>
        <w:tc>
          <w:tcPr>
            <w:tcW w:w="407" w:type="dxa"/>
            <w:vMerge w:val="continue"/>
            <w:tcBorders>
              <w:left w:val="single" w:color="auto" w:sz="4" w:space="0"/>
              <w:right w:val="single" w:color="auto" w:sz="4" w:space="0"/>
            </w:tcBorders>
            <w:vAlign w:val="center"/>
          </w:tcPr>
          <w:p w14:paraId="3CD218D8">
            <w:pPr>
              <w:spacing w:line="360" w:lineRule="auto"/>
              <w:rPr>
                <w:rFonts w:hAnsi="宋体" w:cs="宋体"/>
                <w:color w:val="auto"/>
                <w:sz w:val="24"/>
                <w:highlight w:val="none"/>
              </w:rPr>
            </w:pPr>
          </w:p>
        </w:tc>
        <w:tc>
          <w:tcPr>
            <w:tcW w:w="1262" w:type="dxa"/>
            <w:tcBorders>
              <w:top w:val="single" w:color="auto" w:sz="4" w:space="0"/>
              <w:left w:val="single" w:color="auto" w:sz="4" w:space="0"/>
              <w:bottom w:val="single" w:color="auto" w:sz="4" w:space="0"/>
              <w:right w:val="single" w:color="auto" w:sz="4" w:space="0"/>
            </w:tcBorders>
            <w:vAlign w:val="center"/>
          </w:tcPr>
          <w:p w14:paraId="54F03A3B">
            <w:pPr>
              <w:spacing w:line="360" w:lineRule="auto"/>
              <w:jc w:val="center"/>
              <w:rPr>
                <w:rFonts w:hAnsi="宋体" w:cs="宋体"/>
                <w:color w:val="auto"/>
                <w:sz w:val="24"/>
                <w:highlight w:val="none"/>
              </w:rPr>
            </w:pPr>
            <w:r>
              <w:rPr>
                <w:rFonts w:hint="eastAsia" w:hAnsi="宋体" w:cs="宋体"/>
                <w:color w:val="auto"/>
                <w:sz w:val="24"/>
                <w:highlight w:val="none"/>
              </w:rPr>
              <w:t>运输车辆</w:t>
            </w:r>
          </w:p>
        </w:tc>
        <w:tc>
          <w:tcPr>
            <w:tcW w:w="6281" w:type="dxa"/>
            <w:tcBorders>
              <w:top w:val="single" w:color="auto" w:sz="4" w:space="0"/>
              <w:left w:val="single" w:color="auto" w:sz="4" w:space="0"/>
              <w:bottom w:val="single" w:color="auto" w:sz="4" w:space="0"/>
              <w:right w:val="single" w:color="auto" w:sz="4" w:space="0"/>
            </w:tcBorders>
            <w:vAlign w:val="center"/>
          </w:tcPr>
          <w:p w14:paraId="281CF390">
            <w:pPr>
              <w:spacing w:line="360" w:lineRule="auto"/>
              <w:jc w:val="left"/>
              <w:rPr>
                <w:rFonts w:hint="eastAsia" w:ascii="宋体" w:cs="宋体"/>
                <w:color w:val="auto"/>
                <w:sz w:val="24"/>
                <w:highlight w:val="none"/>
              </w:rPr>
            </w:pPr>
            <w:r>
              <w:rPr>
                <w:rFonts w:hint="eastAsia" w:ascii="宋体" w:cs="宋体"/>
                <w:color w:val="auto"/>
                <w:sz w:val="24"/>
                <w:highlight w:val="none"/>
              </w:rPr>
              <w:t>根据投标人提供所使用的农药废弃包装物运输</w:t>
            </w:r>
            <w:r>
              <w:rPr>
                <w:rFonts w:hint="eastAsia" w:ascii="宋体" w:cs="宋体"/>
                <w:color w:val="auto"/>
                <w:sz w:val="24"/>
                <w:highlight w:val="none"/>
                <w:lang w:val="en-US" w:eastAsia="zh-CN"/>
              </w:rPr>
              <w:t>厢</w:t>
            </w:r>
            <w:r>
              <w:rPr>
                <w:rFonts w:hint="eastAsia" w:ascii="宋体" w:cs="宋体"/>
                <w:color w:val="auto"/>
                <w:sz w:val="24"/>
                <w:highlight w:val="none"/>
              </w:rPr>
              <w:t>式车辆数量（0-2分）、车质车况（0-2分）进行打分。</w:t>
            </w:r>
          </w:p>
          <w:p w14:paraId="4067F391">
            <w:pPr>
              <w:spacing w:line="360" w:lineRule="auto"/>
              <w:jc w:val="left"/>
              <w:rPr>
                <w:rFonts w:hint="eastAsia" w:ascii="宋体" w:eastAsia="宋体" w:cs="宋体"/>
                <w:color w:val="auto"/>
                <w:sz w:val="24"/>
                <w:highlight w:val="none"/>
                <w:lang w:eastAsia="zh-CN"/>
              </w:rPr>
            </w:pPr>
            <w:r>
              <w:rPr>
                <w:rFonts w:hint="eastAsia" w:ascii="宋体" w:cs="宋体"/>
                <w:color w:val="auto"/>
                <w:sz w:val="24"/>
                <w:highlight w:val="none"/>
                <w:lang w:val="en-US" w:eastAsia="zh-CN"/>
              </w:rPr>
              <w:t>注：车辆自有或租赁均可，须提供车辆行驶证复印件及体现车质车况的证明材料</w:t>
            </w:r>
            <w:r>
              <w:rPr>
                <w:rFonts w:hint="eastAsia" w:ascii="宋体" w:cs="宋体"/>
                <w:color w:val="auto"/>
                <w:sz w:val="24"/>
                <w:highlight w:val="none"/>
                <w:lang w:eastAsia="zh-CN"/>
              </w:rPr>
              <w:t>。</w:t>
            </w:r>
          </w:p>
        </w:tc>
        <w:tc>
          <w:tcPr>
            <w:tcW w:w="713" w:type="dxa"/>
            <w:tcBorders>
              <w:top w:val="single" w:color="auto" w:sz="4" w:space="0"/>
              <w:left w:val="single" w:color="auto" w:sz="4" w:space="0"/>
              <w:bottom w:val="single" w:color="auto" w:sz="4" w:space="0"/>
              <w:right w:val="single" w:color="auto" w:sz="4" w:space="0"/>
            </w:tcBorders>
            <w:vAlign w:val="center"/>
          </w:tcPr>
          <w:p w14:paraId="43340CB1">
            <w:pPr>
              <w:spacing w:line="360" w:lineRule="auto"/>
              <w:jc w:val="center"/>
              <w:rPr>
                <w:rFonts w:ascii="宋体" w:cs="宋体"/>
                <w:color w:val="auto"/>
                <w:sz w:val="24"/>
                <w:highlight w:val="none"/>
              </w:rPr>
            </w:pPr>
            <w:r>
              <w:rPr>
                <w:rFonts w:hint="eastAsia" w:ascii="宋体" w:cs="宋体"/>
                <w:color w:val="auto"/>
                <w:sz w:val="24"/>
                <w:highlight w:val="none"/>
              </w:rPr>
              <w:t>4</w:t>
            </w:r>
          </w:p>
        </w:tc>
      </w:tr>
      <w:tr w14:paraId="3CC6232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91" w:hRule="atLeast"/>
          <w:jc w:val="center"/>
        </w:trPr>
        <w:tc>
          <w:tcPr>
            <w:tcW w:w="729" w:type="dxa"/>
            <w:tcBorders>
              <w:top w:val="single" w:color="auto" w:sz="4" w:space="0"/>
              <w:left w:val="single" w:color="auto" w:sz="4" w:space="0"/>
              <w:bottom w:val="single" w:color="auto" w:sz="4" w:space="0"/>
              <w:right w:val="single" w:color="auto" w:sz="4" w:space="0"/>
            </w:tcBorders>
            <w:vAlign w:val="center"/>
          </w:tcPr>
          <w:p w14:paraId="1804E2E1">
            <w:pPr>
              <w:spacing w:line="360" w:lineRule="auto"/>
              <w:jc w:val="center"/>
              <w:rPr>
                <w:rFonts w:ascii="宋体" w:cs="宋体"/>
                <w:color w:val="auto"/>
                <w:sz w:val="24"/>
                <w:highlight w:val="none"/>
              </w:rPr>
            </w:pPr>
            <w:r>
              <w:rPr>
                <w:rFonts w:hint="eastAsia" w:ascii="宋体" w:cs="宋体"/>
                <w:color w:val="auto"/>
                <w:sz w:val="24"/>
                <w:highlight w:val="none"/>
              </w:rPr>
              <w:t>12</w:t>
            </w:r>
          </w:p>
        </w:tc>
        <w:tc>
          <w:tcPr>
            <w:tcW w:w="407" w:type="dxa"/>
            <w:vMerge w:val="continue"/>
            <w:tcBorders>
              <w:left w:val="single" w:color="auto" w:sz="4" w:space="0"/>
              <w:right w:val="single" w:color="auto" w:sz="4" w:space="0"/>
            </w:tcBorders>
            <w:vAlign w:val="center"/>
          </w:tcPr>
          <w:p w14:paraId="356BCA4C">
            <w:pPr>
              <w:spacing w:line="360" w:lineRule="auto"/>
              <w:rPr>
                <w:rFonts w:hAnsi="宋体" w:cs="宋体"/>
                <w:color w:val="auto"/>
                <w:sz w:val="24"/>
                <w:highlight w:val="none"/>
              </w:rPr>
            </w:pPr>
          </w:p>
        </w:tc>
        <w:tc>
          <w:tcPr>
            <w:tcW w:w="1262" w:type="dxa"/>
            <w:tcBorders>
              <w:top w:val="single" w:color="auto" w:sz="4" w:space="0"/>
              <w:left w:val="single" w:color="auto" w:sz="4" w:space="0"/>
              <w:bottom w:val="single" w:color="auto" w:sz="4" w:space="0"/>
              <w:right w:val="single" w:color="auto" w:sz="4" w:space="0"/>
            </w:tcBorders>
            <w:vAlign w:val="center"/>
          </w:tcPr>
          <w:p w14:paraId="0CF38162">
            <w:pPr>
              <w:spacing w:line="360" w:lineRule="auto"/>
              <w:jc w:val="center"/>
              <w:rPr>
                <w:rFonts w:hAnsi="宋体" w:cs="宋体"/>
                <w:color w:val="auto"/>
                <w:sz w:val="24"/>
                <w:highlight w:val="none"/>
              </w:rPr>
            </w:pPr>
            <w:r>
              <w:rPr>
                <w:rFonts w:hint="eastAsia" w:hAnsi="宋体" w:cs="宋体"/>
                <w:color w:val="auto"/>
                <w:sz w:val="24"/>
                <w:highlight w:val="none"/>
              </w:rPr>
              <w:t>安全文明作业方案</w:t>
            </w:r>
          </w:p>
        </w:tc>
        <w:tc>
          <w:tcPr>
            <w:tcW w:w="6281" w:type="dxa"/>
            <w:tcBorders>
              <w:top w:val="single" w:color="auto" w:sz="4" w:space="0"/>
              <w:left w:val="single" w:color="auto" w:sz="4" w:space="0"/>
              <w:bottom w:val="single" w:color="auto" w:sz="4" w:space="0"/>
              <w:right w:val="single" w:color="auto" w:sz="4" w:space="0"/>
            </w:tcBorders>
            <w:vAlign w:val="center"/>
          </w:tcPr>
          <w:p w14:paraId="0D6B840F">
            <w:pPr>
              <w:spacing w:line="360" w:lineRule="auto"/>
              <w:jc w:val="left"/>
              <w:rPr>
                <w:rFonts w:ascii="宋体" w:cs="宋体"/>
                <w:color w:val="auto"/>
                <w:sz w:val="24"/>
                <w:highlight w:val="none"/>
              </w:rPr>
            </w:pPr>
            <w:r>
              <w:rPr>
                <w:rFonts w:hint="eastAsia" w:ascii="宋体" w:cs="宋体"/>
                <w:color w:val="auto"/>
                <w:sz w:val="24"/>
                <w:highlight w:val="none"/>
              </w:rPr>
              <w:t>根据安全文明作业做好相应安全措施：</w:t>
            </w:r>
          </w:p>
          <w:p w14:paraId="08B36616">
            <w:pPr>
              <w:spacing w:line="360" w:lineRule="auto"/>
              <w:jc w:val="left"/>
              <w:rPr>
                <w:rFonts w:ascii="宋体" w:cs="宋体"/>
                <w:color w:val="auto"/>
                <w:sz w:val="24"/>
                <w:highlight w:val="none"/>
              </w:rPr>
            </w:pPr>
            <w:r>
              <w:rPr>
                <w:rFonts w:hint="eastAsia" w:ascii="宋体" w:cs="宋体"/>
                <w:color w:val="auto"/>
                <w:sz w:val="24"/>
                <w:highlight w:val="none"/>
              </w:rPr>
              <w:t>1.打包环节，因压力易导致残留农药飞溅伤人、污染环境，有对应的措施及设备的得0-2分。</w:t>
            </w:r>
          </w:p>
          <w:p w14:paraId="27477690">
            <w:pPr>
              <w:spacing w:line="360" w:lineRule="auto"/>
              <w:jc w:val="left"/>
              <w:rPr>
                <w:rFonts w:ascii="宋体" w:cs="宋体"/>
                <w:color w:val="auto"/>
                <w:sz w:val="24"/>
                <w:highlight w:val="none"/>
              </w:rPr>
            </w:pPr>
            <w:r>
              <w:rPr>
                <w:rFonts w:hint="eastAsia" w:ascii="宋体" w:cs="宋体"/>
                <w:color w:val="auto"/>
                <w:sz w:val="24"/>
                <w:highlight w:val="none"/>
              </w:rPr>
              <w:t>2.处置装车环节，对于高处作业人员有相应的保护措施及设备的得0-2分。</w:t>
            </w:r>
          </w:p>
          <w:p w14:paraId="5BB0BB46">
            <w:pPr>
              <w:spacing w:line="360" w:lineRule="auto"/>
              <w:jc w:val="left"/>
              <w:rPr>
                <w:rFonts w:ascii="宋体" w:cs="宋体"/>
                <w:color w:val="auto"/>
                <w:sz w:val="24"/>
                <w:highlight w:val="none"/>
              </w:rPr>
            </w:pPr>
            <w:r>
              <w:rPr>
                <w:rFonts w:hint="eastAsia" w:ascii="宋体" w:cs="宋体"/>
                <w:color w:val="auto"/>
                <w:sz w:val="24"/>
                <w:highlight w:val="none"/>
              </w:rPr>
              <w:t>注：须提供相关证明材料及设备图片，不提供不得分。</w:t>
            </w:r>
          </w:p>
        </w:tc>
        <w:tc>
          <w:tcPr>
            <w:tcW w:w="713" w:type="dxa"/>
            <w:tcBorders>
              <w:top w:val="single" w:color="auto" w:sz="4" w:space="0"/>
              <w:left w:val="single" w:color="auto" w:sz="4" w:space="0"/>
              <w:bottom w:val="single" w:color="auto" w:sz="4" w:space="0"/>
              <w:right w:val="single" w:color="auto" w:sz="4" w:space="0"/>
            </w:tcBorders>
            <w:vAlign w:val="center"/>
          </w:tcPr>
          <w:p w14:paraId="4D51B7F3">
            <w:pPr>
              <w:spacing w:line="360" w:lineRule="auto"/>
              <w:jc w:val="center"/>
              <w:rPr>
                <w:rFonts w:ascii="宋体" w:cs="宋体"/>
                <w:color w:val="auto"/>
                <w:sz w:val="24"/>
                <w:highlight w:val="none"/>
              </w:rPr>
            </w:pPr>
            <w:r>
              <w:rPr>
                <w:rFonts w:hint="eastAsia" w:ascii="宋体" w:cs="宋体"/>
                <w:color w:val="auto"/>
                <w:sz w:val="24"/>
                <w:highlight w:val="none"/>
              </w:rPr>
              <w:t>4</w:t>
            </w:r>
          </w:p>
        </w:tc>
      </w:tr>
      <w:tr w14:paraId="0D13D14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133" w:hRule="atLeast"/>
          <w:jc w:val="center"/>
        </w:trPr>
        <w:tc>
          <w:tcPr>
            <w:tcW w:w="729" w:type="dxa"/>
            <w:tcBorders>
              <w:top w:val="single" w:color="auto" w:sz="4" w:space="0"/>
              <w:left w:val="single" w:color="auto" w:sz="4" w:space="0"/>
              <w:bottom w:val="single" w:color="auto" w:sz="4" w:space="0"/>
              <w:right w:val="single" w:color="auto" w:sz="4" w:space="0"/>
            </w:tcBorders>
            <w:vAlign w:val="center"/>
          </w:tcPr>
          <w:p w14:paraId="203B8716">
            <w:pPr>
              <w:spacing w:line="360" w:lineRule="auto"/>
              <w:jc w:val="center"/>
              <w:rPr>
                <w:rFonts w:ascii="宋体" w:cs="宋体"/>
                <w:color w:val="auto"/>
                <w:sz w:val="24"/>
                <w:highlight w:val="none"/>
              </w:rPr>
            </w:pPr>
            <w:r>
              <w:rPr>
                <w:rFonts w:hint="eastAsia" w:ascii="宋体" w:cs="宋体"/>
                <w:color w:val="auto"/>
                <w:sz w:val="24"/>
                <w:highlight w:val="none"/>
              </w:rPr>
              <w:t>13</w:t>
            </w:r>
          </w:p>
        </w:tc>
        <w:tc>
          <w:tcPr>
            <w:tcW w:w="407" w:type="dxa"/>
            <w:vMerge w:val="continue"/>
            <w:tcBorders>
              <w:left w:val="single" w:color="auto" w:sz="4" w:space="0"/>
              <w:right w:val="single" w:color="auto" w:sz="4" w:space="0"/>
            </w:tcBorders>
            <w:vAlign w:val="center"/>
          </w:tcPr>
          <w:p w14:paraId="13B1104D">
            <w:pPr>
              <w:spacing w:line="360" w:lineRule="auto"/>
              <w:rPr>
                <w:rFonts w:hAnsi="宋体" w:cs="宋体"/>
                <w:color w:val="auto"/>
                <w:sz w:val="24"/>
                <w:highlight w:val="none"/>
              </w:rPr>
            </w:pPr>
          </w:p>
        </w:tc>
        <w:tc>
          <w:tcPr>
            <w:tcW w:w="1262" w:type="dxa"/>
            <w:tcBorders>
              <w:top w:val="single" w:color="auto" w:sz="4" w:space="0"/>
              <w:left w:val="single" w:color="auto" w:sz="4" w:space="0"/>
              <w:bottom w:val="single" w:color="auto" w:sz="4" w:space="0"/>
              <w:right w:val="single" w:color="auto" w:sz="4" w:space="0"/>
            </w:tcBorders>
            <w:vAlign w:val="center"/>
          </w:tcPr>
          <w:p w14:paraId="386B773B">
            <w:pPr>
              <w:widowControl/>
              <w:spacing w:line="360" w:lineRule="auto"/>
              <w:jc w:val="center"/>
              <w:textAlignment w:val="center"/>
              <w:rPr>
                <w:rFonts w:ascii="宋体" w:hAnsi="宋体"/>
                <w:color w:val="auto"/>
                <w:sz w:val="24"/>
                <w:highlight w:val="none"/>
              </w:rPr>
            </w:pPr>
            <w:r>
              <w:rPr>
                <w:rFonts w:hint="eastAsia" w:ascii="宋体" w:hAnsi="宋体" w:cs="宋体"/>
                <w:color w:val="auto"/>
                <w:sz w:val="24"/>
                <w:highlight w:val="none"/>
              </w:rPr>
              <w:t>培训方案</w:t>
            </w:r>
          </w:p>
        </w:tc>
        <w:tc>
          <w:tcPr>
            <w:tcW w:w="6281" w:type="dxa"/>
            <w:tcBorders>
              <w:top w:val="single" w:color="auto" w:sz="4" w:space="0"/>
              <w:left w:val="single" w:color="auto" w:sz="4" w:space="0"/>
              <w:bottom w:val="single" w:color="auto" w:sz="4" w:space="0"/>
              <w:right w:val="single" w:color="auto" w:sz="4" w:space="0"/>
            </w:tcBorders>
            <w:vAlign w:val="center"/>
          </w:tcPr>
          <w:p w14:paraId="4157203F">
            <w:pPr>
              <w:widowControl/>
              <w:spacing w:line="360" w:lineRule="auto"/>
              <w:jc w:val="left"/>
              <w:textAlignment w:val="center"/>
              <w:rPr>
                <w:rFonts w:ascii="宋体" w:cs="宋体"/>
                <w:color w:val="auto"/>
                <w:sz w:val="24"/>
                <w:highlight w:val="none"/>
              </w:rPr>
            </w:pPr>
            <w:r>
              <w:rPr>
                <w:rFonts w:hint="eastAsia" w:ascii="宋体" w:hAnsi="宋体" w:cs="宋体"/>
                <w:color w:val="auto"/>
                <w:sz w:val="24"/>
                <w:highlight w:val="none"/>
              </w:rPr>
              <w:t>根据投标人对操作人员培训方案编制情况有针对性，培训方式、培训内容、时间安排等予以评分，方案全面、可操作强的得</w:t>
            </w:r>
            <w:r>
              <w:rPr>
                <w:rFonts w:hint="eastAsia" w:ascii="宋体" w:hAnsi="宋体" w:cs="宋体"/>
                <w:color w:val="auto"/>
                <w:sz w:val="24"/>
                <w:highlight w:val="none"/>
                <w:lang w:val="en-US" w:eastAsia="zh-CN"/>
              </w:rPr>
              <w:t>2</w:t>
            </w:r>
            <w:r>
              <w:rPr>
                <w:rFonts w:hint="eastAsia" w:ascii="宋体" w:hAnsi="宋体" w:cs="宋体"/>
                <w:color w:val="auto"/>
                <w:sz w:val="24"/>
                <w:highlight w:val="none"/>
              </w:rPr>
              <w:t>分；上述方案有缺项，每项扣0.5分，方案不合理，操作性不强，每项扣0.5分，扣完为止。</w:t>
            </w:r>
          </w:p>
        </w:tc>
        <w:tc>
          <w:tcPr>
            <w:tcW w:w="713" w:type="dxa"/>
            <w:tcBorders>
              <w:top w:val="single" w:color="auto" w:sz="4" w:space="0"/>
              <w:left w:val="single" w:color="auto" w:sz="4" w:space="0"/>
              <w:bottom w:val="single" w:color="auto" w:sz="4" w:space="0"/>
              <w:right w:val="single" w:color="auto" w:sz="4" w:space="0"/>
            </w:tcBorders>
            <w:vAlign w:val="center"/>
          </w:tcPr>
          <w:p w14:paraId="7345AD89">
            <w:pPr>
              <w:spacing w:line="360" w:lineRule="auto"/>
              <w:jc w:val="center"/>
              <w:rPr>
                <w:rFonts w:hint="eastAsia" w:ascii="宋体" w:eastAsia="宋体" w:cs="宋体"/>
                <w:color w:val="auto"/>
                <w:sz w:val="24"/>
                <w:highlight w:val="none"/>
                <w:lang w:eastAsia="zh-CN"/>
              </w:rPr>
            </w:pPr>
            <w:r>
              <w:rPr>
                <w:rFonts w:hint="eastAsia" w:ascii="宋体" w:hAnsi="宋体" w:cs="宋体"/>
                <w:color w:val="auto"/>
                <w:sz w:val="24"/>
                <w:highlight w:val="none"/>
                <w:lang w:val="en-US" w:eastAsia="zh-CN"/>
              </w:rPr>
              <w:t>2</w:t>
            </w:r>
          </w:p>
        </w:tc>
      </w:tr>
      <w:tr w14:paraId="0C25959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133" w:hRule="atLeast"/>
          <w:jc w:val="center"/>
        </w:trPr>
        <w:tc>
          <w:tcPr>
            <w:tcW w:w="729" w:type="dxa"/>
            <w:tcBorders>
              <w:top w:val="single" w:color="auto" w:sz="4" w:space="0"/>
              <w:left w:val="single" w:color="auto" w:sz="4" w:space="0"/>
              <w:bottom w:val="single" w:color="auto" w:sz="4" w:space="0"/>
              <w:right w:val="single" w:color="auto" w:sz="4" w:space="0"/>
            </w:tcBorders>
            <w:vAlign w:val="center"/>
          </w:tcPr>
          <w:p w14:paraId="5A4DC795">
            <w:pPr>
              <w:spacing w:line="360" w:lineRule="auto"/>
              <w:jc w:val="center"/>
              <w:rPr>
                <w:rFonts w:ascii="宋体" w:cs="宋体"/>
                <w:color w:val="auto"/>
                <w:sz w:val="24"/>
                <w:highlight w:val="none"/>
              </w:rPr>
            </w:pPr>
            <w:r>
              <w:rPr>
                <w:rFonts w:hint="eastAsia" w:ascii="宋体" w:cs="宋体"/>
                <w:color w:val="auto"/>
                <w:sz w:val="24"/>
                <w:highlight w:val="none"/>
              </w:rPr>
              <w:t>14</w:t>
            </w:r>
          </w:p>
        </w:tc>
        <w:tc>
          <w:tcPr>
            <w:tcW w:w="407" w:type="dxa"/>
            <w:vMerge w:val="continue"/>
            <w:tcBorders>
              <w:left w:val="single" w:color="auto" w:sz="4" w:space="0"/>
              <w:right w:val="single" w:color="auto" w:sz="4" w:space="0"/>
            </w:tcBorders>
            <w:vAlign w:val="center"/>
          </w:tcPr>
          <w:p w14:paraId="665C23FA">
            <w:pPr>
              <w:spacing w:line="360" w:lineRule="auto"/>
              <w:rPr>
                <w:rFonts w:hAnsi="宋体" w:cs="宋体"/>
                <w:color w:val="auto"/>
                <w:sz w:val="24"/>
                <w:highlight w:val="none"/>
              </w:rPr>
            </w:pPr>
          </w:p>
        </w:tc>
        <w:tc>
          <w:tcPr>
            <w:tcW w:w="1262" w:type="dxa"/>
            <w:tcBorders>
              <w:top w:val="single" w:color="auto" w:sz="4" w:space="0"/>
              <w:left w:val="single" w:color="auto" w:sz="4" w:space="0"/>
              <w:bottom w:val="single" w:color="auto" w:sz="4" w:space="0"/>
              <w:right w:val="single" w:color="auto" w:sz="4" w:space="0"/>
            </w:tcBorders>
            <w:vAlign w:val="center"/>
          </w:tcPr>
          <w:p w14:paraId="0F0D6BC8">
            <w:pPr>
              <w:widowControl/>
              <w:jc w:val="center"/>
              <w:textAlignment w:val="center"/>
              <w:rPr>
                <w:rFonts w:hAnsi="宋体" w:cs="宋体"/>
                <w:color w:val="auto"/>
                <w:sz w:val="24"/>
                <w:highlight w:val="none"/>
              </w:rPr>
            </w:pPr>
            <w:r>
              <w:rPr>
                <w:rFonts w:hint="eastAsia" w:ascii="宋体" w:hAnsi="宋体"/>
                <w:color w:val="auto"/>
                <w:sz w:val="24"/>
                <w:highlight w:val="none"/>
              </w:rPr>
              <w:t>应急预案</w:t>
            </w:r>
          </w:p>
        </w:tc>
        <w:tc>
          <w:tcPr>
            <w:tcW w:w="6281" w:type="dxa"/>
            <w:tcBorders>
              <w:top w:val="single" w:color="auto" w:sz="4" w:space="0"/>
              <w:left w:val="single" w:color="auto" w:sz="4" w:space="0"/>
              <w:bottom w:val="single" w:color="auto" w:sz="4" w:space="0"/>
              <w:right w:val="single" w:color="auto" w:sz="4" w:space="0"/>
            </w:tcBorders>
            <w:vAlign w:val="center"/>
          </w:tcPr>
          <w:p w14:paraId="56341B24">
            <w:pPr>
              <w:spacing w:line="360" w:lineRule="auto"/>
              <w:jc w:val="left"/>
              <w:rPr>
                <w:rFonts w:hint="eastAsia" w:ascii="宋体" w:eastAsia="宋体" w:cs="宋体"/>
                <w:color w:val="auto"/>
                <w:sz w:val="24"/>
                <w:highlight w:val="none"/>
                <w:lang w:eastAsia="zh-CN"/>
              </w:rPr>
            </w:pPr>
            <w:r>
              <w:rPr>
                <w:rFonts w:hint="eastAsia" w:ascii="宋体" w:cs="宋体"/>
                <w:color w:val="auto"/>
                <w:sz w:val="24"/>
                <w:highlight w:val="none"/>
              </w:rPr>
              <w:t>根据投标人提供的服务工作应急预案，可能发生的应急事件处理方案（0-1分）</w:t>
            </w:r>
            <w:r>
              <w:rPr>
                <w:rFonts w:hint="eastAsia" w:ascii="宋体" w:cs="宋体"/>
                <w:color w:val="auto"/>
                <w:sz w:val="24"/>
                <w:highlight w:val="none"/>
                <w:lang w:eastAsia="zh-CN"/>
              </w:rPr>
              <w:t>，</w:t>
            </w:r>
            <w:r>
              <w:rPr>
                <w:rFonts w:hint="eastAsia" w:ascii="宋体" w:cs="宋体"/>
                <w:color w:val="auto"/>
                <w:sz w:val="24"/>
                <w:highlight w:val="none"/>
              </w:rPr>
              <w:t>防忧民方案（0-1分）</w:t>
            </w:r>
            <w:r>
              <w:rPr>
                <w:rFonts w:hint="eastAsia" w:ascii="宋体" w:cs="宋体"/>
                <w:color w:val="auto"/>
                <w:sz w:val="24"/>
                <w:highlight w:val="none"/>
                <w:lang w:eastAsia="zh-CN"/>
              </w:rPr>
              <w:t>。</w:t>
            </w:r>
          </w:p>
        </w:tc>
        <w:tc>
          <w:tcPr>
            <w:tcW w:w="713" w:type="dxa"/>
            <w:tcBorders>
              <w:top w:val="single" w:color="auto" w:sz="4" w:space="0"/>
              <w:left w:val="single" w:color="auto" w:sz="4" w:space="0"/>
              <w:bottom w:val="single" w:color="auto" w:sz="4" w:space="0"/>
              <w:right w:val="single" w:color="auto" w:sz="4" w:space="0"/>
            </w:tcBorders>
            <w:vAlign w:val="center"/>
          </w:tcPr>
          <w:p w14:paraId="0A0A6361">
            <w:pPr>
              <w:spacing w:line="360" w:lineRule="auto"/>
              <w:jc w:val="center"/>
              <w:rPr>
                <w:rFonts w:ascii="宋体" w:cs="宋体"/>
                <w:color w:val="auto"/>
                <w:sz w:val="24"/>
                <w:highlight w:val="none"/>
              </w:rPr>
            </w:pPr>
            <w:r>
              <w:rPr>
                <w:rFonts w:hint="eastAsia" w:ascii="宋体" w:cs="宋体"/>
                <w:color w:val="auto"/>
                <w:sz w:val="24"/>
                <w:highlight w:val="none"/>
              </w:rPr>
              <w:t>2</w:t>
            </w:r>
          </w:p>
        </w:tc>
      </w:tr>
      <w:tr w14:paraId="113C7E0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07" w:hRule="atLeast"/>
          <w:jc w:val="center"/>
        </w:trPr>
        <w:tc>
          <w:tcPr>
            <w:tcW w:w="729" w:type="dxa"/>
            <w:tcBorders>
              <w:top w:val="single" w:color="auto" w:sz="4" w:space="0"/>
              <w:left w:val="single" w:color="auto" w:sz="4" w:space="0"/>
              <w:bottom w:val="single" w:color="auto" w:sz="4" w:space="0"/>
              <w:right w:val="single" w:color="auto" w:sz="4" w:space="0"/>
            </w:tcBorders>
            <w:vAlign w:val="center"/>
          </w:tcPr>
          <w:p w14:paraId="07382A6C">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二</w:t>
            </w:r>
          </w:p>
        </w:tc>
        <w:tc>
          <w:tcPr>
            <w:tcW w:w="7950" w:type="dxa"/>
            <w:gridSpan w:val="3"/>
            <w:tcBorders>
              <w:top w:val="single" w:color="auto" w:sz="4" w:space="0"/>
              <w:left w:val="single" w:color="auto" w:sz="4" w:space="0"/>
              <w:bottom w:val="single" w:color="auto" w:sz="4" w:space="0"/>
              <w:right w:val="single" w:color="auto" w:sz="4" w:space="0"/>
            </w:tcBorders>
            <w:vAlign w:val="center"/>
          </w:tcPr>
          <w:p w14:paraId="0C1CEC95">
            <w:pPr>
              <w:spacing w:line="360" w:lineRule="auto"/>
              <w:jc w:val="center"/>
              <w:rPr>
                <w:rFonts w:ascii="宋体" w:cs="宋体"/>
                <w:b/>
                <w:color w:val="auto"/>
                <w:sz w:val="24"/>
                <w:highlight w:val="none"/>
              </w:rPr>
            </w:pPr>
            <w:r>
              <w:rPr>
                <w:rFonts w:hint="eastAsia" w:ascii="宋体" w:cs="宋体"/>
                <w:b/>
                <w:color w:val="auto"/>
                <w:sz w:val="24"/>
                <w:highlight w:val="none"/>
              </w:rPr>
              <w:t>商务、资信及其他分</w:t>
            </w:r>
          </w:p>
        </w:tc>
        <w:tc>
          <w:tcPr>
            <w:tcW w:w="713" w:type="dxa"/>
            <w:tcBorders>
              <w:top w:val="single" w:color="auto" w:sz="4" w:space="0"/>
              <w:left w:val="single" w:color="auto" w:sz="4" w:space="0"/>
              <w:bottom w:val="single" w:color="auto" w:sz="4" w:space="0"/>
              <w:right w:val="single" w:color="auto" w:sz="4" w:space="0"/>
            </w:tcBorders>
            <w:vAlign w:val="center"/>
          </w:tcPr>
          <w:p w14:paraId="48677B68">
            <w:pPr>
              <w:spacing w:line="360" w:lineRule="auto"/>
              <w:jc w:val="center"/>
              <w:rPr>
                <w:rFonts w:hint="default" w:ascii="宋体" w:eastAsia="宋体" w:cs="宋体"/>
                <w:b/>
                <w:color w:val="auto"/>
                <w:sz w:val="24"/>
                <w:highlight w:val="none"/>
                <w:lang w:val="en-US" w:eastAsia="zh-CN"/>
              </w:rPr>
            </w:pPr>
            <w:r>
              <w:rPr>
                <w:rFonts w:hint="eastAsia" w:ascii="宋体" w:cs="宋体"/>
                <w:b/>
                <w:color w:val="auto"/>
                <w:sz w:val="24"/>
                <w:highlight w:val="none"/>
                <w:lang w:val="en-US" w:eastAsia="zh-CN"/>
              </w:rPr>
              <w:t>10</w:t>
            </w:r>
          </w:p>
        </w:tc>
      </w:tr>
      <w:tr w14:paraId="2192802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784" w:hRule="atLeast"/>
          <w:jc w:val="center"/>
        </w:trPr>
        <w:tc>
          <w:tcPr>
            <w:tcW w:w="729" w:type="dxa"/>
            <w:tcBorders>
              <w:top w:val="single" w:color="auto" w:sz="4" w:space="0"/>
              <w:left w:val="single" w:color="auto" w:sz="4" w:space="0"/>
              <w:bottom w:val="single" w:color="auto" w:sz="4" w:space="0"/>
              <w:right w:val="single" w:color="auto" w:sz="4" w:space="0"/>
            </w:tcBorders>
            <w:vAlign w:val="center"/>
          </w:tcPr>
          <w:p w14:paraId="7DA195EC">
            <w:pPr>
              <w:spacing w:line="360" w:lineRule="auto"/>
              <w:jc w:val="center"/>
              <w:rPr>
                <w:rFonts w:hint="default"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15</w:t>
            </w:r>
          </w:p>
        </w:tc>
        <w:tc>
          <w:tcPr>
            <w:tcW w:w="407" w:type="dxa"/>
            <w:vMerge w:val="restart"/>
            <w:tcBorders>
              <w:left w:val="single" w:color="auto" w:sz="4" w:space="0"/>
              <w:right w:val="single" w:color="auto" w:sz="4" w:space="0"/>
            </w:tcBorders>
            <w:vAlign w:val="center"/>
          </w:tcPr>
          <w:p w14:paraId="60ECB834">
            <w:pPr>
              <w:spacing w:line="360" w:lineRule="auto"/>
              <w:jc w:val="center"/>
              <w:rPr>
                <w:rFonts w:ascii="宋体" w:cs="宋体"/>
                <w:b/>
                <w:color w:val="auto"/>
                <w:sz w:val="28"/>
                <w:szCs w:val="28"/>
                <w:highlight w:val="none"/>
              </w:rPr>
            </w:pPr>
            <w:r>
              <w:rPr>
                <w:rFonts w:hint="eastAsia" w:ascii="宋体" w:cs="宋体"/>
                <w:color w:val="auto"/>
                <w:sz w:val="24"/>
                <w:highlight w:val="none"/>
              </w:rPr>
              <w:t>履约及售后服务能力</w:t>
            </w:r>
          </w:p>
        </w:tc>
        <w:tc>
          <w:tcPr>
            <w:tcW w:w="1262" w:type="dxa"/>
            <w:tcBorders>
              <w:top w:val="single" w:color="auto" w:sz="4" w:space="0"/>
              <w:left w:val="single" w:color="auto" w:sz="4" w:space="0"/>
              <w:bottom w:val="single" w:color="auto" w:sz="4" w:space="0"/>
              <w:right w:val="single" w:color="auto" w:sz="4" w:space="0"/>
            </w:tcBorders>
            <w:vAlign w:val="center"/>
          </w:tcPr>
          <w:p w14:paraId="77C8708E">
            <w:pPr>
              <w:spacing w:line="360" w:lineRule="auto"/>
              <w:jc w:val="center"/>
              <w:rPr>
                <w:rFonts w:ascii="宋体" w:cs="宋体"/>
                <w:color w:val="auto"/>
                <w:sz w:val="24"/>
                <w:highlight w:val="none"/>
              </w:rPr>
            </w:pPr>
            <w:r>
              <w:rPr>
                <w:rFonts w:hint="eastAsia" w:ascii="宋体" w:cs="宋体"/>
                <w:color w:val="auto"/>
                <w:sz w:val="24"/>
                <w:highlight w:val="none"/>
              </w:rPr>
              <w:t>同类项目业绩</w:t>
            </w:r>
          </w:p>
        </w:tc>
        <w:tc>
          <w:tcPr>
            <w:tcW w:w="6281" w:type="dxa"/>
            <w:tcBorders>
              <w:top w:val="single" w:color="auto" w:sz="4" w:space="0"/>
              <w:left w:val="single" w:color="auto" w:sz="4" w:space="0"/>
              <w:bottom w:val="single" w:color="auto" w:sz="4" w:space="0"/>
              <w:right w:val="single" w:color="auto" w:sz="4" w:space="0"/>
            </w:tcBorders>
            <w:vAlign w:val="center"/>
          </w:tcPr>
          <w:p w14:paraId="2991A074">
            <w:pPr>
              <w:spacing w:line="360" w:lineRule="auto"/>
              <w:jc w:val="left"/>
              <w:rPr>
                <w:rFonts w:hint="eastAsia" w:ascii="宋体" w:cs="宋体"/>
                <w:color w:val="auto"/>
                <w:sz w:val="24"/>
                <w:highlight w:val="none"/>
              </w:rPr>
            </w:pPr>
            <w:r>
              <w:rPr>
                <w:rFonts w:hint="eastAsia" w:ascii="宋体" w:cs="宋体"/>
                <w:color w:val="auto"/>
                <w:sz w:val="24"/>
                <w:highlight w:val="none"/>
              </w:rPr>
              <w:t>202</w:t>
            </w:r>
            <w:r>
              <w:rPr>
                <w:rFonts w:hint="eastAsia" w:ascii="宋体" w:cs="宋体"/>
                <w:color w:val="auto"/>
                <w:sz w:val="24"/>
                <w:highlight w:val="none"/>
                <w:lang w:val="en-US" w:eastAsia="zh-CN"/>
              </w:rPr>
              <w:t>2</w:t>
            </w:r>
            <w:r>
              <w:rPr>
                <w:rFonts w:hint="eastAsia" w:ascii="宋体" w:cs="宋体"/>
                <w:color w:val="auto"/>
                <w:sz w:val="24"/>
                <w:highlight w:val="none"/>
              </w:rPr>
              <w:t>年1月1日以来，投标人具有同类项目业绩的，每个业绩得</w:t>
            </w:r>
            <w:r>
              <w:rPr>
                <w:rFonts w:hint="eastAsia" w:ascii="宋体" w:cs="宋体"/>
                <w:color w:val="auto"/>
                <w:sz w:val="24"/>
                <w:highlight w:val="none"/>
                <w:lang w:val="en-US" w:eastAsia="zh-CN"/>
              </w:rPr>
              <w:t>1</w:t>
            </w:r>
            <w:r>
              <w:rPr>
                <w:rFonts w:hint="eastAsia" w:ascii="宋体" w:cs="宋体"/>
                <w:color w:val="auto"/>
                <w:sz w:val="24"/>
                <w:highlight w:val="none"/>
              </w:rPr>
              <w:t>分，本项最高得</w:t>
            </w:r>
            <w:r>
              <w:rPr>
                <w:rFonts w:hint="eastAsia" w:ascii="宋体" w:cs="宋体"/>
                <w:color w:val="auto"/>
                <w:sz w:val="24"/>
                <w:highlight w:val="none"/>
                <w:lang w:val="en-US" w:eastAsia="zh-CN"/>
              </w:rPr>
              <w:t>2</w:t>
            </w:r>
            <w:r>
              <w:rPr>
                <w:rFonts w:hint="eastAsia" w:ascii="宋体" w:cs="宋体"/>
                <w:color w:val="auto"/>
                <w:sz w:val="24"/>
                <w:highlight w:val="none"/>
              </w:rPr>
              <w:t>分。</w:t>
            </w:r>
          </w:p>
          <w:p w14:paraId="61890CC5">
            <w:pPr>
              <w:spacing w:line="360" w:lineRule="auto"/>
              <w:jc w:val="left"/>
              <w:rPr>
                <w:rFonts w:hint="eastAsia" w:ascii="宋体" w:eastAsia="宋体" w:cs="宋体"/>
                <w:color w:val="auto"/>
                <w:sz w:val="24"/>
                <w:highlight w:val="none"/>
                <w:lang w:eastAsia="zh-CN"/>
              </w:rPr>
            </w:pPr>
            <w:r>
              <w:rPr>
                <w:rFonts w:hint="eastAsia" w:ascii="宋体" w:cs="宋体"/>
                <w:color w:val="auto"/>
                <w:sz w:val="24"/>
                <w:highlight w:val="none"/>
                <w:lang w:val="en-US" w:eastAsia="zh-CN"/>
              </w:rPr>
              <w:t>注：须</w:t>
            </w:r>
            <w:r>
              <w:rPr>
                <w:rFonts w:hint="eastAsia" w:ascii="宋体" w:cs="宋体"/>
                <w:color w:val="auto"/>
                <w:sz w:val="24"/>
                <w:highlight w:val="none"/>
              </w:rPr>
              <w:t>提供合同</w:t>
            </w:r>
            <w:r>
              <w:rPr>
                <w:rFonts w:hint="eastAsia" w:ascii="宋体" w:cs="宋体"/>
                <w:b w:val="0"/>
                <w:bCs w:val="0"/>
                <w:color w:val="auto"/>
                <w:sz w:val="24"/>
                <w:highlight w:val="none"/>
              </w:rPr>
              <w:t>或</w:t>
            </w:r>
            <w:r>
              <w:rPr>
                <w:rFonts w:hint="eastAsia" w:ascii="宋体" w:cs="宋体"/>
                <w:color w:val="auto"/>
                <w:sz w:val="24"/>
                <w:highlight w:val="none"/>
              </w:rPr>
              <w:t>中标通知书复印件，未提供不得分</w:t>
            </w:r>
            <w:r>
              <w:rPr>
                <w:rFonts w:hint="eastAsia" w:ascii="宋体" w:cs="宋体"/>
                <w:color w:val="auto"/>
                <w:sz w:val="24"/>
                <w:highlight w:val="none"/>
                <w:lang w:eastAsia="zh-CN"/>
              </w:rPr>
              <w:t>。</w:t>
            </w:r>
          </w:p>
        </w:tc>
        <w:tc>
          <w:tcPr>
            <w:tcW w:w="713" w:type="dxa"/>
            <w:tcBorders>
              <w:top w:val="single" w:color="auto" w:sz="4" w:space="0"/>
              <w:left w:val="single" w:color="auto" w:sz="4" w:space="0"/>
              <w:bottom w:val="single" w:color="auto" w:sz="4" w:space="0"/>
              <w:right w:val="single" w:color="auto" w:sz="4" w:space="0"/>
            </w:tcBorders>
            <w:vAlign w:val="center"/>
          </w:tcPr>
          <w:p w14:paraId="0A12D024">
            <w:pPr>
              <w:spacing w:line="360" w:lineRule="auto"/>
              <w:jc w:val="center"/>
              <w:rPr>
                <w:rFonts w:hint="eastAsia" w:ascii="宋体" w:eastAsia="宋体" w:cs="宋体"/>
                <w:color w:val="auto"/>
                <w:sz w:val="24"/>
                <w:highlight w:val="none"/>
                <w:lang w:eastAsia="zh-CN"/>
              </w:rPr>
            </w:pPr>
            <w:r>
              <w:rPr>
                <w:rFonts w:hint="eastAsia" w:ascii="宋体" w:cs="宋体"/>
                <w:color w:val="auto"/>
                <w:sz w:val="24"/>
                <w:highlight w:val="none"/>
                <w:lang w:val="en-US" w:eastAsia="zh-CN"/>
              </w:rPr>
              <w:t>2</w:t>
            </w:r>
          </w:p>
        </w:tc>
      </w:tr>
      <w:tr w14:paraId="2EED0BD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784" w:hRule="atLeast"/>
          <w:jc w:val="center"/>
        </w:trPr>
        <w:tc>
          <w:tcPr>
            <w:tcW w:w="729" w:type="dxa"/>
            <w:tcBorders>
              <w:top w:val="single" w:color="auto" w:sz="4" w:space="0"/>
              <w:left w:val="single" w:color="auto" w:sz="4" w:space="0"/>
              <w:bottom w:val="single" w:color="auto" w:sz="4" w:space="0"/>
              <w:right w:val="single" w:color="auto" w:sz="4" w:space="0"/>
            </w:tcBorders>
            <w:vAlign w:val="center"/>
          </w:tcPr>
          <w:p w14:paraId="03587E34">
            <w:pPr>
              <w:spacing w:line="360" w:lineRule="auto"/>
              <w:jc w:val="center"/>
              <w:rPr>
                <w:rFonts w:hint="default"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16</w:t>
            </w:r>
          </w:p>
        </w:tc>
        <w:tc>
          <w:tcPr>
            <w:tcW w:w="407" w:type="dxa"/>
            <w:vMerge w:val="continue"/>
            <w:tcBorders>
              <w:left w:val="single" w:color="auto" w:sz="4" w:space="0"/>
              <w:right w:val="single" w:color="auto" w:sz="4" w:space="0"/>
            </w:tcBorders>
            <w:vAlign w:val="center"/>
          </w:tcPr>
          <w:p w14:paraId="67B9863B">
            <w:pPr>
              <w:spacing w:line="360" w:lineRule="auto"/>
              <w:jc w:val="center"/>
              <w:rPr>
                <w:rFonts w:ascii="宋体" w:cs="宋体"/>
                <w:b/>
                <w:color w:val="auto"/>
                <w:sz w:val="28"/>
                <w:szCs w:val="28"/>
                <w:highlight w:val="none"/>
              </w:rPr>
            </w:pPr>
          </w:p>
        </w:tc>
        <w:tc>
          <w:tcPr>
            <w:tcW w:w="1262" w:type="dxa"/>
            <w:vMerge w:val="restart"/>
            <w:tcBorders>
              <w:top w:val="single" w:color="auto" w:sz="4" w:space="0"/>
              <w:left w:val="single" w:color="auto" w:sz="4" w:space="0"/>
              <w:right w:val="single" w:color="auto" w:sz="4" w:space="0"/>
            </w:tcBorders>
            <w:vAlign w:val="center"/>
          </w:tcPr>
          <w:p w14:paraId="30B188D8">
            <w:pPr>
              <w:spacing w:line="360" w:lineRule="auto"/>
              <w:jc w:val="center"/>
              <w:rPr>
                <w:rFonts w:ascii="宋体" w:cs="宋体"/>
                <w:color w:val="auto"/>
                <w:sz w:val="24"/>
                <w:highlight w:val="none"/>
              </w:rPr>
            </w:pPr>
            <w:r>
              <w:rPr>
                <w:rFonts w:hint="eastAsia" w:ascii="宋体" w:cs="宋体"/>
                <w:color w:val="auto"/>
                <w:sz w:val="24"/>
                <w:highlight w:val="none"/>
              </w:rPr>
              <w:t>售后服务保障</w:t>
            </w:r>
          </w:p>
        </w:tc>
        <w:tc>
          <w:tcPr>
            <w:tcW w:w="6281" w:type="dxa"/>
            <w:tcBorders>
              <w:top w:val="single" w:color="auto" w:sz="4" w:space="0"/>
              <w:left w:val="single" w:color="auto" w:sz="4" w:space="0"/>
              <w:bottom w:val="single" w:color="auto" w:sz="4" w:space="0"/>
              <w:right w:val="single" w:color="auto" w:sz="4" w:space="0"/>
            </w:tcBorders>
          </w:tcPr>
          <w:p w14:paraId="740D292A">
            <w:pPr>
              <w:spacing w:line="360" w:lineRule="auto"/>
              <w:jc w:val="left"/>
              <w:rPr>
                <w:rFonts w:ascii="宋体" w:cs="宋体"/>
                <w:color w:val="auto"/>
                <w:sz w:val="24"/>
                <w:highlight w:val="none"/>
              </w:rPr>
            </w:pPr>
            <w:r>
              <w:rPr>
                <w:rFonts w:hint="eastAsia" w:ascii="宋体" w:hAnsi="宋体" w:cs="宋体"/>
                <w:color w:val="auto"/>
                <w:sz w:val="24"/>
                <w:highlight w:val="none"/>
                <w:lang w:val="en-US" w:eastAsia="zh-CN"/>
              </w:rPr>
              <w:t>根据投标人的售后</w:t>
            </w:r>
            <w:r>
              <w:rPr>
                <w:rFonts w:hint="eastAsia" w:ascii="宋体" w:hAnsi="宋体" w:cs="宋体"/>
                <w:color w:val="auto"/>
                <w:sz w:val="24"/>
                <w:highlight w:val="none"/>
              </w:rPr>
              <w:t>服务能力，技术支持机构</w:t>
            </w:r>
            <w:r>
              <w:rPr>
                <w:rFonts w:hint="eastAsia" w:ascii="宋体" w:hAnsi="宋体" w:cs="宋体"/>
                <w:color w:val="auto"/>
                <w:sz w:val="24"/>
                <w:highlight w:val="none"/>
                <w:lang w:val="en-US" w:eastAsia="zh-CN"/>
              </w:rPr>
              <w:t>与</w:t>
            </w:r>
            <w:r>
              <w:rPr>
                <w:rFonts w:hint="eastAsia" w:ascii="宋体" w:hAnsi="宋体" w:cs="宋体"/>
                <w:color w:val="auto"/>
                <w:sz w:val="24"/>
                <w:highlight w:val="none"/>
                <w:lang w:eastAsia="zh-CN"/>
              </w:rPr>
              <w:t>服务支持情况</w:t>
            </w:r>
            <w:r>
              <w:rPr>
                <w:rFonts w:hint="eastAsia" w:ascii="宋体" w:hAnsi="宋体" w:cs="宋体"/>
                <w:color w:val="auto"/>
                <w:sz w:val="24"/>
                <w:highlight w:val="none"/>
                <w:lang w:val="en-US" w:eastAsia="zh-CN"/>
              </w:rPr>
              <w:t>（0-2分）</w:t>
            </w:r>
            <w:r>
              <w:rPr>
                <w:rFonts w:hint="eastAsia" w:ascii="宋体" w:hAnsi="宋体" w:cs="宋体"/>
                <w:color w:val="auto"/>
                <w:sz w:val="24"/>
                <w:highlight w:val="none"/>
              </w:rPr>
              <w:t>，</w:t>
            </w:r>
            <w:r>
              <w:rPr>
                <w:rFonts w:hint="eastAsia" w:ascii="宋体" w:hAnsi="宋体" w:cs="宋体"/>
                <w:color w:val="auto"/>
                <w:sz w:val="24"/>
                <w:highlight w:val="none"/>
                <w:lang w:eastAsia="zh-CN"/>
              </w:rPr>
              <w:t>服务保障能够及时</w:t>
            </w:r>
            <w:r>
              <w:rPr>
                <w:rFonts w:hint="eastAsia" w:ascii="宋体" w:hAnsi="宋体" w:cs="宋体"/>
                <w:color w:val="auto"/>
                <w:sz w:val="24"/>
                <w:highlight w:val="none"/>
              </w:rPr>
              <w:t>响应</w:t>
            </w:r>
            <w:r>
              <w:rPr>
                <w:rFonts w:hint="eastAsia" w:ascii="宋体" w:hAnsi="宋体" w:cs="宋体"/>
                <w:color w:val="auto"/>
                <w:sz w:val="24"/>
                <w:highlight w:val="none"/>
                <w:lang w:eastAsia="zh-CN"/>
              </w:rPr>
              <w:t>或满足采购人各种需求（</w:t>
            </w:r>
            <w:r>
              <w:rPr>
                <w:rFonts w:hint="eastAsia" w:ascii="宋体" w:hAnsi="宋体" w:cs="宋体"/>
                <w:color w:val="auto"/>
                <w:sz w:val="24"/>
                <w:highlight w:val="none"/>
                <w:lang w:val="en-US" w:eastAsia="zh-CN"/>
              </w:rPr>
              <w:t>0-2分</w:t>
            </w:r>
            <w:r>
              <w:rPr>
                <w:rFonts w:hint="eastAsia" w:ascii="宋体" w:hAnsi="宋体" w:cs="宋体"/>
                <w:color w:val="auto"/>
                <w:sz w:val="24"/>
                <w:highlight w:val="none"/>
                <w:lang w:eastAsia="zh-CN"/>
              </w:rPr>
              <w:t>）</w:t>
            </w:r>
            <w:r>
              <w:rPr>
                <w:rFonts w:hint="eastAsia" w:ascii="宋体" w:hAnsi="宋体" w:cs="宋体"/>
                <w:color w:val="auto"/>
                <w:sz w:val="24"/>
                <w:highlight w:val="none"/>
              </w:rPr>
              <w:t>等，由评委进行打分，</w:t>
            </w:r>
            <w:r>
              <w:rPr>
                <w:rFonts w:hint="eastAsia" w:ascii="宋体" w:hAnsi="宋体" w:cs="宋体"/>
                <w:color w:val="auto"/>
                <w:sz w:val="24"/>
                <w:highlight w:val="none"/>
                <w:lang w:val="en-US" w:eastAsia="zh-CN"/>
              </w:rPr>
              <w:t>本项</w:t>
            </w:r>
            <w:r>
              <w:rPr>
                <w:rFonts w:hint="eastAsia" w:ascii="宋体" w:hAnsi="宋体" w:cs="宋体"/>
                <w:color w:val="auto"/>
                <w:sz w:val="24"/>
                <w:highlight w:val="none"/>
              </w:rPr>
              <w:t>最高得</w:t>
            </w:r>
            <w:r>
              <w:rPr>
                <w:rFonts w:hint="eastAsia" w:ascii="宋体" w:hAnsi="宋体" w:cs="宋体"/>
                <w:color w:val="auto"/>
                <w:sz w:val="24"/>
                <w:highlight w:val="none"/>
                <w:lang w:val="en-US" w:eastAsia="zh-CN"/>
              </w:rPr>
              <w:t>4</w:t>
            </w:r>
            <w:r>
              <w:rPr>
                <w:rFonts w:hint="eastAsia" w:ascii="宋体" w:hAnsi="宋体" w:cs="宋体"/>
                <w:color w:val="auto"/>
                <w:sz w:val="24"/>
                <w:highlight w:val="none"/>
              </w:rPr>
              <w:t>分。</w:t>
            </w:r>
          </w:p>
        </w:tc>
        <w:tc>
          <w:tcPr>
            <w:tcW w:w="713" w:type="dxa"/>
            <w:tcBorders>
              <w:top w:val="single" w:color="auto" w:sz="4" w:space="0"/>
              <w:left w:val="single" w:color="auto" w:sz="4" w:space="0"/>
              <w:bottom w:val="single" w:color="auto" w:sz="4" w:space="0"/>
              <w:right w:val="single" w:color="auto" w:sz="4" w:space="0"/>
            </w:tcBorders>
            <w:vAlign w:val="center"/>
          </w:tcPr>
          <w:p w14:paraId="27A9CCF5">
            <w:pPr>
              <w:spacing w:line="360" w:lineRule="auto"/>
              <w:jc w:val="center"/>
              <w:rPr>
                <w:rFonts w:hint="eastAsia" w:ascii="宋体" w:eastAsia="宋体" w:cs="宋体"/>
                <w:color w:val="auto"/>
                <w:sz w:val="24"/>
                <w:highlight w:val="none"/>
                <w:lang w:eastAsia="zh-CN"/>
              </w:rPr>
            </w:pPr>
            <w:r>
              <w:rPr>
                <w:rFonts w:hint="eastAsia" w:ascii="宋体" w:cs="宋体"/>
                <w:color w:val="auto"/>
                <w:sz w:val="24"/>
                <w:highlight w:val="none"/>
                <w:lang w:val="en-US" w:eastAsia="zh-CN"/>
              </w:rPr>
              <w:t>4</w:t>
            </w:r>
          </w:p>
        </w:tc>
      </w:tr>
      <w:tr w14:paraId="442DF62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784" w:hRule="atLeast"/>
          <w:jc w:val="center"/>
        </w:trPr>
        <w:tc>
          <w:tcPr>
            <w:tcW w:w="729" w:type="dxa"/>
            <w:tcBorders>
              <w:top w:val="single" w:color="auto" w:sz="4" w:space="0"/>
              <w:left w:val="single" w:color="auto" w:sz="4" w:space="0"/>
              <w:bottom w:val="single" w:color="auto" w:sz="4" w:space="0"/>
              <w:right w:val="single" w:color="auto" w:sz="4" w:space="0"/>
            </w:tcBorders>
            <w:vAlign w:val="center"/>
          </w:tcPr>
          <w:p w14:paraId="73F68589">
            <w:pPr>
              <w:spacing w:line="360" w:lineRule="auto"/>
              <w:jc w:val="center"/>
              <w:rPr>
                <w:rFonts w:hint="default"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17</w:t>
            </w:r>
          </w:p>
        </w:tc>
        <w:tc>
          <w:tcPr>
            <w:tcW w:w="407" w:type="dxa"/>
            <w:vMerge w:val="continue"/>
            <w:tcBorders>
              <w:left w:val="single" w:color="auto" w:sz="4" w:space="0"/>
              <w:right w:val="single" w:color="auto" w:sz="4" w:space="0"/>
            </w:tcBorders>
            <w:vAlign w:val="center"/>
          </w:tcPr>
          <w:p w14:paraId="479A702B">
            <w:pPr>
              <w:spacing w:line="360" w:lineRule="auto"/>
              <w:jc w:val="center"/>
              <w:rPr>
                <w:rFonts w:ascii="宋体" w:cs="宋体"/>
                <w:b/>
                <w:color w:val="auto"/>
                <w:sz w:val="28"/>
                <w:szCs w:val="28"/>
                <w:highlight w:val="none"/>
              </w:rPr>
            </w:pPr>
          </w:p>
        </w:tc>
        <w:tc>
          <w:tcPr>
            <w:tcW w:w="1262" w:type="dxa"/>
            <w:vMerge w:val="continue"/>
            <w:tcBorders>
              <w:left w:val="single" w:color="auto" w:sz="4" w:space="0"/>
              <w:bottom w:val="single" w:color="auto" w:sz="4" w:space="0"/>
              <w:right w:val="single" w:color="auto" w:sz="4" w:space="0"/>
            </w:tcBorders>
            <w:vAlign w:val="center"/>
          </w:tcPr>
          <w:p w14:paraId="539519F8">
            <w:pPr>
              <w:spacing w:line="360" w:lineRule="auto"/>
              <w:jc w:val="center"/>
              <w:rPr>
                <w:rFonts w:ascii="宋体" w:cs="宋体"/>
                <w:color w:val="auto"/>
                <w:sz w:val="24"/>
                <w:highlight w:val="none"/>
              </w:rPr>
            </w:pPr>
          </w:p>
        </w:tc>
        <w:tc>
          <w:tcPr>
            <w:tcW w:w="6281" w:type="dxa"/>
            <w:tcBorders>
              <w:top w:val="single" w:color="auto" w:sz="4" w:space="0"/>
              <w:left w:val="single" w:color="auto" w:sz="4" w:space="0"/>
              <w:bottom w:val="single" w:color="auto" w:sz="4" w:space="0"/>
              <w:right w:val="single" w:color="auto" w:sz="4" w:space="0"/>
            </w:tcBorders>
            <w:vAlign w:val="center"/>
          </w:tcPr>
          <w:p w14:paraId="03E64D6B">
            <w:pPr>
              <w:spacing w:line="360" w:lineRule="auto"/>
              <w:jc w:val="left"/>
              <w:rPr>
                <w:rFonts w:ascii="宋体" w:cs="宋体"/>
                <w:color w:val="auto"/>
                <w:sz w:val="24"/>
                <w:highlight w:val="none"/>
              </w:rPr>
            </w:pPr>
            <w:r>
              <w:rPr>
                <w:rFonts w:hint="eastAsia" w:ascii="宋体" w:cs="宋体"/>
                <w:color w:val="auto"/>
                <w:sz w:val="24"/>
                <w:highlight w:val="none"/>
              </w:rPr>
              <w:t>根据服务机构情况及服务承诺，包括服务体系和服务内容（0-1分）和专业技术人员保障（0-1分）等进行打分。</w:t>
            </w:r>
          </w:p>
        </w:tc>
        <w:tc>
          <w:tcPr>
            <w:tcW w:w="713" w:type="dxa"/>
            <w:tcBorders>
              <w:top w:val="single" w:color="auto" w:sz="4" w:space="0"/>
              <w:left w:val="single" w:color="auto" w:sz="4" w:space="0"/>
              <w:bottom w:val="single" w:color="auto" w:sz="4" w:space="0"/>
              <w:right w:val="single" w:color="auto" w:sz="4" w:space="0"/>
            </w:tcBorders>
            <w:vAlign w:val="center"/>
          </w:tcPr>
          <w:p w14:paraId="2A449EC6">
            <w:pPr>
              <w:spacing w:line="360" w:lineRule="auto"/>
              <w:jc w:val="center"/>
              <w:rPr>
                <w:rFonts w:ascii="宋体" w:cs="宋体"/>
                <w:color w:val="auto"/>
                <w:sz w:val="24"/>
                <w:highlight w:val="none"/>
              </w:rPr>
            </w:pPr>
            <w:r>
              <w:rPr>
                <w:rFonts w:hint="eastAsia" w:ascii="宋体" w:cs="宋体"/>
                <w:color w:val="auto"/>
                <w:sz w:val="24"/>
                <w:highlight w:val="none"/>
              </w:rPr>
              <w:t>2</w:t>
            </w:r>
          </w:p>
        </w:tc>
      </w:tr>
      <w:tr w14:paraId="1035539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784" w:hRule="atLeast"/>
          <w:jc w:val="center"/>
        </w:trPr>
        <w:tc>
          <w:tcPr>
            <w:tcW w:w="729" w:type="dxa"/>
            <w:tcBorders>
              <w:top w:val="single" w:color="auto" w:sz="4" w:space="0"/>
              <w:left w:val="single" w:color="auto" w:sz="4" w:space="0"/>
              <w:bottom w:val="single" w:color="auto" w:sz="4" w:space="0"/>
              <w:right w:val="single" w:color="auto" w:sz="4" w:space="0"/>
            </w:tcBorders>
            <w:vAlign w:val="center"/>
          </w:tcPr>
          <w:p w14:paraId="3BED856D">
            <w:pPr>
              <w:spacing w:line="360" w:lineRule="auto"/>
              <w:jc w:val="center"/>
              <w:rPr>
                <w:rFonts w:hint="default"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18</w:t>
            </w:r>
          </w:p>
        </w:tc>
        <w:tc>
          <w:tcPr>
            <w:tcW w:w="407" w:type="dxa"/>
            <w:vMerge w:val="continue"/>
            <w:tcBorders>
              <w:left w:val="single" w:color="auto" w:sz="4" w:space="0"/>
              <w:right w:val="single" w:color="auto" w:sz="4" w:space="0"/>
            </w:tcBorders>
            <w:vAlign w:val="center"/>
          </w:tcPr>
          <w:p w14:paraId="7DC68542">
            <w:pPr>
              <w:spacing w:line="360" w:lineRule="auto"/>
              <w:jc w:val="center"/>
              <w:rPr>
                <w:rFonts w:ascii="宋体" w:cs="宋体"/>
                <w:b/>
                <w:color w:val="auto"/>
                <w:sz w:val="28"/>
                <w:szCs w:val="28"/>
                <w:highlight w:val="none"/>
              </w:rPr>
            </w:pPr>
          </w:p>
        </w:tc>
        <w:tc>
          <w:tcPr>
            <w:tcW w:w="1262" w:type="dxa"/>
            <w:tcBorders>
              <w:top w:val="single" w:color="auto" w:sz="4" w:space="0"/>
              <w:left w:val="single" w:color="auto" w:sz="4" w:space="0"/>
              <w:bottom w:val="single" w:color="auto" w:sz="4" w:space="0"/>
              <w:right w:val="single" w:color="auto" w:sz="4" w:space="0"/>
            </w:tcBorders>
            <w:vAlign w:val="center"/>
          </w:tcPr>
          <w:p w14:paraId="36DB7C14">
            <w:pPr>
              <w:spacing w:line="360" w:lineRule="auto"/>
              <w:jc w:val="center"/>
              <w:rPr>
                <w:rFonts w:ascii="宋体" w:cs="宋体"/>
                <w:color w:val="auto"/>
                <w:sz w:val="24"/>
                <w:highlight w:val="none"/>
              </w:rPr>
            </w:pPr>
            <w:r>
              <w:rPr>
                <w:rFonts w:hint="eastAsia" w:ascii="宋体" w:cs="宋体"/>
                <w:color w:val="auto"/>
                <w:sz w:val="24"/>
                <w:highlight w:val="none"/>
              </w:rPr>
              <w:t>合理化建议</w:t>
            </w:r>
          </w:p>
        </w:tc>
        <w:tc>
          <w:tcPr>
            <w:tcW w:w="6281" w:type="dxa"/>
            <w:tcBorders>
              <w:top w:val="single" w:color="auto" w:sz="4" w:space="0"/>
              <w:left w:val="single" w:color="auto" w:sz="4" w:space="0"/>
              <w:bottom w:val="single" w:color="auto" w:sz="4" w:space="0"/>
              <w:right w:val="single" w:color="auto" w:sz="4" w:space="0"/>
            </w:tcBorders>
            <w:vAlign w:val="center"/>
          </w:tcPr>
          <w:p w14:paraId="2C361E1D">
            <w:pPr>
              <w:spacing w:line="360" w:lineRule="auto"/>
              <w:jc w:val="left"/>
              <w:rPr>
                <w:rFonts w:ascii="宋体" w:cs="宋体"/>
                <w:color w:val="auto"/>
                <w:sz w:val="24"/>
                <w:highlight w:val="none"/>
              </w:rPr>
            </w:pPr>
            <w:r>
              <w:rPr>
                <w:rFonts w:hint="eastAsia" w:ascii="宋体" w:cs="宋体"/>
                <w:color w:val="auto"/>
                <w:sz w:val="24"/>
                <w:highlight w:val="none"/>
              </w:rPr>
              <w:t>根据投标人针对本项目的合理化建议（0-1分）和改进措施（0-1分）是否准确、深刻进行打分。</w:t>
            </w:r>
          </w:p>
        </w:tc>
        <w:tc>
          <w:tcPr>
            <w:tcW w:w="713" w:type="dxa"/>
            <w:tcBorders>
              <w:top w:val="single" w:color="auto" w:sz="4" w:space="0"/>
              <w:left w:val="single" w:color="auto" w:sz="4" w:space="0"/>
              <w:bottom w:val="single" w:color="auto" w:sz="4" w:space="0"/>
              <w:right w:val="single" w:color="auto" w:sz="4" w:space="0"/>
            </w:tcBorders>
            <w:vAlign w:val="center"/>
          </w:tcPr>
          <w:p w14:paraId="55DAE10C">
            <w:pPr>
              <w:spacing w:line="320" w:lineRule="exact"/>
              <w:jc w:val="center"/>
              <w:rPr>
                <w:rFonts w:ascii="宋体" w:cs="宋体"/>
                <w:color w:val="auto"/>
                <w:sz w:val="24"/>
                <w:highlight w:val="none"/>
              </w:rPr>
            </w:pPr>
            <w:r>
              <w:rPr>
                <w:rFonts w:hint="eastAsia" w:ascii="宋体" w:hAnsi="宋体" w:cs="宋体"/>
                <w:color w:val="auto"/>
                <w:sz w:val="24"/>
                <w:highlight w:val="none"/>
              </w:rPr>
              <w:t>2</w:t>
            </w:r>
          </w:p>
        </w:tc>
      </w:tr>
    </w:tbl>
    <w:p w14:paraId="6BA854DB">
      <w:pPr>
        <w:pStyle w:val="4"/>
        <w:keepNext w:val="0"/>
        <w:keepLines w:val="0"/>
        <w:pageBreakBefore/>
        <w:numPr>
          <w:ilvl w:val="0"/>
          <w:numId w:val="10"/>
        </w:numPr>
        <w:spacing w:line="240" w:lineRule="auto"/>
        <w:jc w:val="center"/>
        <w:rPr>
          <w:rFonts w:ascii="宋体" w:hAnsi="宋体" w:cs="宋体"/>
          <w:bCs w:val="0"/>
          <w:color w:val="auto"/>
          <w:sz w:val="32"/>
          <w:szCs w:val="32"/>
          <w:highlight w:val="none"/>
        </w:rPr>
      </w:pPr>
      <w:r>
        <w:rPr>
          <w:rFonts w:hint="eastAsia" w:ascii="宋体" w:hAnsi="宋体" w:cs="宋体"/>
          <w:bCs w:val="0"/>
          <w:color w:val="auto"/>
          <w:sz w:val="32"/>
          <w:szCs w:val="32"/>
          <w:highlight w:val="none"/>
        </w:rPr>
        <w:t>合同主要条款</w:t>
      </w:r>
      <w:bookmarkEnd w:id="46"/>
      <w:bookmarkEnd w:id="49"/>
    </w:p>
    <w:p w14:paraId="5A9B6E63">
      <w:pPr>
        <w:spacing w:line="480" w:lineRule="auto"/>
        <w:jc w:val="center"/>
        <w:outlineLvl w:val="1"/>
        <w:rPr>
          <w:rFonts w:ascii="宋体" w:hAnsi="宋体"/>
          <w:b/>
          <w:color w:val="auto"/>
          <w:sz w:val="36"/>
          <w:szCs w:val="32"/>
          <w:highlight w:val="none"/>
        </w:rPr>
      </w:pPr>
      <w:bookmarkStart w:id="55" w:name="_Toc6142"/>
      <w:bookmarkStart w:id="56" w:name="_Toc9779"/>
      <w:bookmarkStart w:id="57" w:name="_Toc11843"/>
      <w:r>
        <w:rPr>
          <w:rFonts w:hint="eastAsia" w:ascii="宋体" w:hAnsi="宋体"/>
          <w:b/>
          <w:color w:val="auto"/>
          <w:sz w:val="36"/>
          <w:szCs w:val="32"/>
          <w:highlight w:val="none"/>
        </w:rPr>
        <w:t>东阳市政府采购合同（样本）</w:t>
      </w:r>
      <w:bookmarkEnd w:id="55"/>
      <w:bookmarkEnd w:id="56"/>
      <w:bookmarkEnd w:id="57"/>
    </w:p>
    <w:p w14:paraId="0892FD1A">
      <w:pPr>
        <w:snapToGrid w:val="0"/>
        <w:spacing w:before="120" w:after="120" w:line="400" w:lineRule="exact"/>
        <w:rPr>
          <w:rFonts w:ascii="宋体" w:hAnsi="宋体"/>
          <w:color w:val="auto"/>
          <w:sz w:val="24"/>
          <w:highlight w:val="none"/>
        </w:rPr>
      </w:pPr>
      <w:r>
        <w:rPr>
          <w:rFonts w:ascii="宋体" w:hAnsi="宋体"/>
          <w:color w:val="auto"/>
          <w:sz w:val="24"/>
          <w:highlight w:val="none"/>
        </w:rPr>
        <w:t>项目名称：                   项目编号：</w:t>
      </w:r>
      <w:r>
        <w:rPr>
          <w:rFonts w:hint="eastAsia" w:ascii="宋体" w:hAnsi="宋体"/>
          <w:color w:val="auto"/>
          <w:sz w:val="24"/>
          <w:highlight w:val="none"/>
        </w:rPr>
        <w:t xml:space="preserve">               合同号：</w:t>
      </w:r>
    </w:p>
    <w:p w14:paraId="16CC8583">
      <w:pPr>
        <w:snapToGrid w:val="0"/>
        <w:spacing w:before="120" w:after="120" w:line="400" w:lineRule="exact"/>
        <w:rPr>
          <w:rFonts w:ascii="宋体" w:hAnsi="宋体"/>
          <w:color w:val="auto"/>
          <w:sz w:val="24"/>
          <w:highlight w:val="none"/>
        </w:rPr>
      </w:pPr>
      <w:r>
        <w:rPr>
          <w:rFonts w:ascii="宋体" w:hAnsi="宋体"/>
          <w:color w:val="auto"/>
          <w:sz w:val="24"/>
          <w:highlight w:val="none"/>
        </w:rPr>
        <w:t>甲方（买方）</w:t>
      </w:r>
      <w:r>
        <w:rPr>
          <w:rFonts w:hint="eastAsia" w:ascii="宋体" w:hAnsi="宋体"/>
          <w:color w:val="auto"/>
          <w:sz w:val="24"/>
          <w:highlight w:val="none"/>
        </w:rPr>
        <w:t>：</w:t>
      </w:r>
    </w:p>
    <w:p w14:paraId="68331753">
      <w:pPr>
        <w:snapToGrid w:val="0"/>
        <w:spacing w:before="120" w:after="120" w:line="400" w:lineRule="exact"/>
        <w:rPr>
          <w:rFonts w:ascii="宋体" w:hAnsi="宋体"/>
          <w:color w:val="auto"/>
          <w:sz w:val="24"/>
          <w:highlight w:val="none"/>
        </w:rPr>
      </w:pPr>
      <w:r>
        <w:rPr>
          <w:rFonts w:ascii="宋体" w:hAnsi="宋体"/>
          <w:color w:val="auto"/>
          <w:sz w:val="24"/>
          <w:highlight w:val="none"/>
        </w:rPr>
        <w:t>乙方（卖方）</w:t>
      </w:r>
      <w:r>
        <w:rPr>
          <w:rFonts w:hint="eastAsia" w:ascii="宋体" w:hAnsi="宋体"/>
          <w:color w:val="auto"/>
          <w:sz w:val="24"/>
          <w:highlight w:val="none"/>
        </w:rPr>
        <w:t>：</w:t>
      </w:r>
    </w:p>
    <w:p w14:paraId="1AC3DCA6">
      <w:pPr>
        <w:snapToGrid w:val="0"/>
        <w:spacing w:before="120" w:after="120" w:line="400" w:lineRule="exact"/>
        <w:rPr>
          <w:rFonts w:ascii="宋体" w:hAnsi="宋体"/>
          <w:color w:val="auto"/>
          <w:sz w:val="24"/>
          <w:highlight w:val="none"/>
        </w:rPr>
      </w:pPr>
      <w:r>
        <w:rPr>
          <w:rFonts w:hint="eastAsia" w:ascii="宋体" w:hAnsi="宋体"/>
          <w:color w:val="auto"/>
          <w:sz w:val="24"/>
          <w:highlight w:val="none"/>
        </w:rPr>
        <w:t>鉴证方（招标方）：</w:t>
      </w:r>
    </w:p>
    <w:p w14:paraId="40F649F5">
      <w:pPr>
        <w:snapToGrid w:val="0"/>
        <w:spacing w:before="120" w:after="120" w:line="400" w:lineRule="exact"/>
        <w:ind w:firstLine="495"/>
        <w:rPr>
          <w:rFonts w:ascii="宋体" w:hAnsi="宋体"/>
          <w:color w:val="auto"/>
          <w:sz w:val="24"/>
          <w:highlight w:val="none"/>
          <w:u w:val="single"/>
        </w:rPr>
      </w:pPr>
      <w:r>
        <w:rPr>
          <w:rFonts w:hint="eastAsia" w:ascii="宋体" w:hAnsi="宋体"/>
          <w:color w:val="auto"/>
          <w:sz w:val="24"/>
          <w:highlight w:val="none"/>
        </w:rPr>
        <w:t>甲、乙双方根据</w:t>
      </w:r>
      <w:r>
        <w:rPr>
          <w:rFonts w:hint="eastAsia" w:ascii="宋体" w:hAnsi="宋体"/>
          <w:color w:val="auto"/>
          <w:sz w:val="24"/>
          <w:highlight w:val="none"/>
          <w:u w:val="single"/>
        </w:rPr>
        <w:t xml:space="preserve">     </w:t>
      </w:r>
      <w:r>
        <w:rPr>
          <w:rFonts w:hint="eastAsia" w:ascii="宋体" w:hAnsi="宋体"/>
          <w:color w:val="auto"/>
          <w:sz w:val="24"/>
          <w:highlight w:val="none"/>
        </w:rPr>
        <w:t>年</w:t>
      </w:r>
      <w:r>
        <w:rPr>
          <w:rFonts w:hint="eastAsia" w:ascii="宋体" w:hAnsi="宋体"/>
          <w:color w:val="auto"/>
          <w:sz w:val="24"/>
          <w:highlight w:val="none"/>
          <w:u w:val="single"/>
        </w:rPr>
        <w:t xml:space="preserve">  </w:t>
      </w:r>
      <w:r>
        <w:rPr>
          <w:rFonts w:hint="eastAsia" w:ascii="宋体" w:hAnsi="宋体"/>
          <w:color w:val="auto"/>
          <w:sz w:val="24"/>
          <w:highlight w:val="none"/>
        </w:rPr>
        <w:t>月</w:t>
      </w:r>
      <w:r>
        <w:rPr>
          <w:rFonts w:hint="eastAsia" w:ascii="宋体" w:hAnsi="宋体"/>
          <w:color w:val="auto"/>
          <w:sz w:val="24"/>
          <w:highlight w:val="none"/>
          <w:u w:val="single"/>
        </w:rPr>
        <w:t xml:space="preserve">  </w:t>
      </w:r>
      <w:r>
        <w:rPr>
          <w:rFonts w:hint="eastAsia" w:ascii="宋体" w:hAnsi="宋体"/>
          <w:color w:val="auto"/>
          <w:sz w:val="24"/>
          <w:highlight w:val="none"/>
        </w:rPr>
        <w:t>日金华正达工程造价咨询有限公司关于</w:t>
      </w:r>
      <w:r>
        <w:rPr>
          <w:rFonts w:hint="eastAsia" w:ascii="宋体" w:hAnsi="宋体"/>
          <w:color w:val="auto"/>
          <w:sz w:val="24"/>
          <w:highlight w:val="none"/>
          <w:u w:val="single"/>
        </w:rPr>
        <w:t xml:space="preserve">              </w:t>
      </w:r>
      <w:r>
        <w:rPr>
          <w:rFonts w:hint="eastAsia" w:ascii="宋体" w:hAnsi="宋体"/>
          <w:color w:val="auto"/>
          <w:sz w:val="24"/>
          <w:highlight w:val="none"/>
        </w:rPr>
        <w:t>项目公开招标的结果，签署本合同。</w:t>
      </w:r>
    </w:p>
    <w:p w14:paraId="5D28B131">
      <w:pPr>
        <w:snapToGrid w:val="0"/>
        <w:spacing w:before="120" w:after="120" w:line="400" w:lineRule="exact"/>
        <w:rPr>
          <w:rFonts w:ascii="宋体" w:hAnsi="宋体"/>
          <w:b/>
          <w:color w:val="auto"/>
          <w:sz w:val="24"/>
          <w:highlight w:val="none"/>
        </w:rPr>
      </w:pPr>
      <w:r>
        <w:rPr>
          <w:rFonts w:ascii="宋体" w:hAnsi="宋体"/>
          <w:b/>
          <w:color w:val="auto"/>
          <w:sz w:val="24"/>
          <w:highlight w:val="none"/>
        </w:rPr>
        <w:t>一、服务内容</w:t>
      </w:r>
      <w:r>
        <w:rPr>
          <w:rFonts w:hint="eastAsia" w:ascii="宋体" w:hAnsi="宋体"/>
          <w:b/>
          <w:color w:val="auto"/>
          <w:sz w:val="24"/>
          <w:highlight w:val="none"/>
        </w:rPr>
        <w:t>：</w:t>
      </w:r>
    </w:p>
    <w:p w14:paraId="35FF8C9E">
      <w:pPr>
        <w:snapToGrid w:val="0"/>
        <w:spacing w:before="120" w:after="120" w:line="400" w:lineRule="exact"/>
        <w:rPr>
          <w:rFonts w:ascii="宋体" w:hAnsi="宋体"/>
          <w:b/>
          <w:color w:val="auto"/>
          <w:sz w:val="24"/>
          <w:highlight w:val="none"/>
        </w:rPr>
      </w:pPr>
      <w:r>
        <w:rPr>
          <w:rFonts w:ascii="宋体" w:hAnsi="宋体"/>
          <w:b/>
          <w:color w:val="auto"/>
          <w:sz w:val="24"/>
          <w:highlight w:val="none"/>
        </w:rPr>
        <w:t>二、</w:t>
      </w:r>
      <w:r>
        <w:rPr>
          <w:rFonts w:hint="eastAsia" w:ascii="宋体" w:hAnsi="宋体"/>
          <w:b/>
          <w:color w:val="auto"/>
          <w:sz w:val="24"/>
          <w:highlight w:val="none"/>
        </w:rPr>
        <w:t>合同金额：</w:t>
      </w:r>
    </w:p>
    <w:p w14:paraId="02B02987">
      <w:pPr>
        <w:snapToGrid w:val="0"/>
        <w:spacing w:before="120" w:after="120" w:line="400" w:lineRule="exact"/>
        <w:rPr>
          <w:rFonts w:ascii="宋体" w:hAnsi="宋体"/>
          <w:b/>
          <w:color w:val="auto"/>
          <w:sz w:val="24"/>
          <w:highlight w:val="none"/>
        </w:rPr>
      </w:pPr>
      <w:r>
        <w:rPr>
          <w:rFonts w:ascii="宋体" w:hAnsi="宋体"/>
          <w:b/>
          <w:color w:val="auto"/>
          <w:sz w:val="24"/>
          <w:highlight w:val="none"/>
        </w:rPr>
        <w:t>三、技术资料</w:t>
      </w:r>
    </w:p>
    <w:p w14:paraId="34C546BA">
      <w:pPr>
        <w:snapToGrid w:val="0"/>
        <w:spacing w:before="120" w:after="120" w:line="400" w:lineRule="exact"/>
        <w:ind w:left="410" w:hanging="410"/>
        <w:rPr>
          <w:rFonts w:ascii="宋体" w:hAnsi="宋体"/>
          <w:color w:val="auto"/>
          <w:sz w:val="24"/>
          <w:highlight w:val="none"/>
        </w:rPr>
      </w:pPr>
      <w:r>
        <w:rPr>
          <w:rFonts w:ascii="宋体" w:hAnsi="宋体"/>
          <w:color w:val="auto"/>
          <w:sz w:val="24"/>
          <w:highlight w:val="none"/>
        </w:rPr>
        <w:t>1</w:t>
      </w:r>
      <w:r>
        <w:rPr>
          <w:rFonts w:hint="eastAsia" w:ascii="宋体" w:hAnsi="宋体"/>
          <w:color w:val="auto"/>
          <w:sz w:val="24"/>
          <w:highlight w:val="none"/>
        </w:rPr>
        <w:t xml:space="preserve">. </w:t>
      </w:r>
      <w:r>
        <w:rPr>
          <w:rFonts w:ascii="宋体" w:hAnsi="宋体"/>
          <w:color w:val="auto"/>
          <w:sz w:val="24"/>
          <w:highlight w:val="none"/>
        </w:rPr>
        <w:t>乙方应按招标文件规定的时间向甲方提供有关技术资料。</w:t>
      </w:r>
    </w:p>
    <w:p w14:paraId="42FF783A">
      <w:pPr>
        <w:snapToGrid w:val="0"/>
        <w:spacing w:before="120" w:after="120" w:line="400" w:lineRule="exact"/>
        <w:ind w:left="410" w:hanging="410"/>
        <w:rPr>
          <w:rFonts w:ascii="宋体" w:hAnsi="宋体"/>
          <w:color w:val="auto"/>
          <w:sz w:val="24"/>
          <w:highlight w:val="none"/>
        </w:rPr>
      </w:pPr>
      <w:r>
        <w:rPr>
          <w:rFonts w:ascii="宋体" w:hAnsi="宋体"/>
          <w:color w:val="auto"/>
          <w:sz w:val="24"/>
          <w:highlight w:val="none"/>
        </w:rPr>
        <w:t>2</w:t>
      </w:r>
      <w:r>
        <w:rPr>
          <w:rFonts w:hint="eastAsia" w:ascii="宋体" w:hAnsi="宋体"/>
          <w:color w:val="auto"/>
          <w:sz w:val="24"/>
          <w:highlight w:val="none"/>
        </w:rPr>
        <w:t xml:space="preserve">. </w:t>
      </w:r>
      <w:r>
        <w:rPr>
          <w:rFonts w:ascii="宋体" w:hAnsi="宋体"/>
          <w:color w:val="auto"/>
          <w:sz w:val="24"/>
          <w:highlight w:val="none"/>
        </w:rPr>
        <w:t>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14:paraId="4F52A1C3">
      <w:pPr>
        <w:snapToGrid w:val="0"/>
        <w:spacing w:before="120" w:after="120" w:line="400" w:lineRule="exact"/>
        <w:ind w:left="410" w:hanging="410"/>
        <w:rPr>
          <w:rFonts w:ascii="宋体" w:hAnsi="宋体"/>
          <w:b/>
          <w:color w:val="auto"/>
          <w:sz w:val="24"/>
          <w:highlight w:val="none"/>
        </w:rPr>
      </w:pPr>
      <w:r>
        <w:rPr>
          <w:rFonts w:ascii="宋体" w:hAnsi="宋体"/>
          <w:b/>
          <w:color w:val="auto"/>
          <w:sz w:val="24"/>
          <w:highlight w:val="none"/>
        </w:rPr>
        <w:t>四、知识产权</w:t>
      </w:r>
    </w:p>
    <w:p w14:paraId="45F319CF">
      <w:pPr>
        <w:snapToGrid w:val="0"/>
        <w:spacing w:before="120" w:after="120" w:line="400" w:lineRule="exact"/>
        <w:ind w:left="410" w:hanging="410"/>
        <w:rPr>
          <w:rFonts w:ascii="宋体" w:hAnsi="宋体"/>
          <w:color w:val="auto"/>
          <w:sz w:val="24"/>
          <w:highlight w:val="none"/>
        </w:rPr>
      </w:pPr>
      <w:r>
        <w:rPr>
          <w:rFonts w:ascii="宋体" w:hAnsi="宋体"/>
          <w:color w:val="auto"/>
          <w:sz w:val="24"/>
          <w:highlight w:val="none"/>
        </w:rPr>
        <w:t>乙方应保证提供服务过程中不会侵犯任何第三方的知识产权。</w:t>
      </w:r>
    </w:p>
    <w:p w14:paraId="03014D96">
      <w:pPr>
        <w:snapToGrid w:val="0"/>
        <w:spacing w:before="120" w:after="120" w:line="400" w:lineRule="exact"/>
        <w:ind w:left="410" w:hanging="410"/>
        <w:rPr>
          <w:rFonts w:ascii="宋体" w:hAnsi="宋体"/>
          <w:color w:val="auto"/>
          <w:sz w:val="24"/>
          <w:highlight w:val="none"/>
        </w:rPr>
      </w:pPr>
      <w:r>
        <w:rPr>
          <w:rFonts w:hint="eastAsia" w:ascii="宋体" w:hAnsi="宋体"/>
          <w:color w:val="auto"/>
          <w:sz w:val="24"/>
          <w:highlight w:val="none"/>
        </w:rPr>
        <w:t>若乙方提供的服务或资料侵犯他人知识产权的，则乙方承担相应赔偿责任。</w:t>
      </w:r>
    </w:p>
    <w:p w14:paraId="2685FA4D">
      <w:pPr>
        <w:snapToGrid w:val="0"/>
        <w:spacing w:before="120" w:after="120" w:line="400" w:lineRule="exact"/>
        <w:rPr>
          <w:rFonts w:ascii="宋体" w:hAnsi="宋体"/>
          <w:b/>
          <w:color w:val="auto"/>
          <w:sz w:val="24"/>
          <w:highlight w:val="none"/>
        </w:rPr>
      </w:pPr>
      <w:r>
        <w:rPr>
          <w:rFonts w:hint="eastAsia" w:ascii="宋体" w:hAnsi="宋体"/>
          <w:b/>
          <w:color w:val="auto"/>
          <w:sz w:val="24"/>
          <w:highlight w:val="none"/>
        </w:rPr>
        <w:t>五、转包</w:t>
      </w:r>
    </w:p>
    <w:p w14:paraId="371532A0">
      <w:pPr>
        <w:snapToGrid w:val="0"/>
        <w:spacing w:before="120" w:after="120" w:line="400" w:lineRule="exact"/>
        <w:rPr>
          <w:rFonts w:ascii="宋体" w:hAnsi="宋体"/>
          <w:color w:val="auto"/>
          <w:sz w:val="24"/>
          <w:highlight w:val="none"/>
        </w:rPr>
      </w:pPr>
      <w:r>
        <w:rPr>
          <w:rFonts w:hint="eastAsia" w:ascii="宋体" w:hAnsi="宋体"/>
          <w:color w:val="auto"/>
          <w:sz w:val="24"/>
          <w:highlight w:val="none"/>
        </w:rPr>
        <w:t>1.本合同范围的服务，应由乙方直接供应，不得转让他人供应；</w:t>
      </w:r>
    </w:p>
    <w:p w14:paraId="244EC7E6">
      <w:pPr>
        <w:snapToGrid w:val="0"/>
        <w:spacing w:before="120" w:after="120" w:line="400" w:lineRule="exact"/>
        <w:ind w:left="410" w:hanging="410"/>
        <w:rPr>
          <w:rFonts w:ascii="宋体" w:hAnsi="宋体"/>
          <w:color w:val="auto"/>
          <w:sz w:val="24"/>
          <w:highlight w:val="none"/>
        </w:rPr>
      </w:pPr>
      <w:r>
        <w:rPr>
          <w:rFonts w:hint="eastAsia" w:ascii="宋体" w:hAnsi="宋体"/>
          <w:color w:val="auto"/>
          <w:sz w:val="24"/>
          <w:highlight w:val="none"/>
        </w:rPr>
        <w:t>2. 如发现转包行为，甲方有权解除合同，并追究乙方的违约责任。</w:t>
      </w:r>
    </w:p>
    <w:p w14:paraId="2A7B3023">
      <w:pPr>
        <w:snapToGrid w:val="0"/>
        <w:spacing w:before="120" w:after="120" w:line="400" w:lineRule="exact"/>
        <w:rPr>
          <w:rFonts w:ascii="宋体" w:hAnsi="宋体"/>
          <w:b/>
          <w:color w:val="auto"/>
          <w:sz w:val="24"/>
          <w:highlight w:val="none"/>
        </w:rPr>
      </w:pPr>
      <w:r>
        <w:rPr>
          <w:rFonts w:hint="eastAsia" w:ascii="宋体" w:hAnsi="宋体"/>
          <w:b/>
          <w:color w:val="auto"/>
          <w:sz w:val="24"/>
          <w:highlight w:val="none"/>
        </w:rPr>
        <w:t>六</w:t>
      </w:r>
      <w:r>
        <w:rPr>
          <w:rFonts w:ascii="宋体" w:hAnsi="宋体"/>
          <w:b/>
          <w:color w:val="auto"/>
          <w:sz w:val="24"/>
          <w:highlight w:val="none"/>
        </w:rPr>
        <w:t>、合同履行时间、履行方式及履行地点</w:t>
      </w:r>
    </w:p>
    <w:p w14:paraId="53D428B6">
      <w:pPr>
        <w:snapToGrid w:val="0"/>
        <w:spacing w:before="120" w:after="120" w:line="400" w:lineRule="exact"/>
        <w:rPr>
          <w:rFonts w:ascii="宋体" w:hAnsi="宋体"/>
          <w:bCs/>
          <w:color w:val="auto"/>
          <w:sz w:val="24"/>
          <w:highlight w:val="none"/>
        </w:rPr>
      </w:pPr>
      <w:r>
        <w:rPr>
          <w:rFonts w:ascii="宋体" w:hAnsi="宋体"/>
          <w:bCs/>
          <w:color w:val="auto"/>
          <w:sz w:val="24"/>
          <w:highlight w:val="none"/>
        </w:rPr>
        <w:t>1</w:t>
      </w:r>
      <w:r>
        <w:rPr>
          <w:rFonts w:hint="eastAsia" w:ascii="宋体" w:hAnsi="宋体"/>
          <w:bCs/>
          <w:color w:val="auto"/>
          <w:sz w:val="24"/>
          <w:highlight w:val="none"/>
        </w:rPr>
        <w:t>.</w:t>
      </w:r>
      <w:r>
        <w:rPr>
          <w:rFonts w:ascii="宋体" w:hAnsi="宋体"/>
          <w:bCs/>
          <w:color w:val="auto"/>
          <w:sz w:val="24"/>
          <w:highlight w:val="none"/>
        </w:rPr>
        <w:t xml:space="preserve"> </w:t>
      </w:r>
      <w:r>
        <w:rPr>
          <w:rFonts w:ascii="宋体" w:hAnsi="宋体"/>
          <w:color w:val="auto"/>
          <w:sz w:val="24"/>
          <w:highlight w:val="none"/>
        </w:rPr>
        <w:t>履行时间</w:t>
      </w:r>
      <w:r>
        <w:rPr>
          <w:rFonts w:ascii="宋体" w:hAnsi="宋体"/>
          <w:bCs/>
          <w:color w:val="auto"/>
          <w:sz w:val="24"/>
          <w:highlight w:val="none"/>
        </w:rPr>
        <w:t>：</w:t>
      </w:r>
    </w:p>
    <w:p w14:paraId="46EFAC1E">
      <w:pPr>
        <w:snapToGrid w:val="0"/>
        <w:spacing w:before="120" w:after="120" w:line="400" w:lineRule="exact"/>
        <w:rPr>
          <w:rFonts w:ascii="宋体" w:hAnsi="宋体"/>
          <w:bCs/>
          <w:color w:val="auto"/>
          <w:sz w:val="24"/>
          <w:highlight w:val="none"/>
        </w:rPr>
      </w:pPr>
      <w:r>
        <w:rPr>
          <w:rFonts w:ascii="宋体" w:hAnsi="宋体"/>
          <w:bCs/>
          <w:color w:val="auto"/>
          <w:sz w:val="24"/>
          <w:highlight w:val="none"/>
        </w:rPr>
        <w:t>2</w:t>
      </w:r>
      <w:r>
        <w:rPr>
          <w:rFonts w:hint="eastAsia" w:ascii="宋体" w:hAnsi="宋体"/>
          <w:bCs/>
          <w:color w:val="auto"/>
          <w:sz w:val="24"/>
          <w:highlight w:val="none"/>
        </w:rPr>
        <w:t>.</w:t>
      </w:r>
      <w:r>
        <w:rPr>
          <w:rFonts w:ascii="宋体" w:hAnsi="宋体"/>
          <w:bCs/>
          <w:color w:val="auto"/>
          <w:sz w:val="24"/>
          <w:highlight w:val="none"/>
        </w:rPr>
        <w:t xml:space="preserve"> </w:t>
      </w:r>
      <w:r>
        <w:rPr>
          <w:rFonts w:ascii="宋体" w:hAnsi="宋体"/>
          <w:color w:val="auto"/>
          <w:sz w:val="24"/>
          <w:highlight w:val="none"/>
        </w:rPr>
        <w:t>履行方式</w:t>
      </w:r>
      <w:r>
        <w:rPr>
          <w:rFonts w:ascii="宋体" w:hAnsi="宋体"/>
          <w:bCs/>
          <w:color w:val="auto"/>
          <w:sz w:val="24"/>
          <w:highlight w:val="none"/>
        </w:rPr>
        <w:t>：</w:t>
      </w:r>
    </w:p>
    <w:p w14:paraId="7129F9C8">
      <w:pPr>
        <w:snapToGrid w:val="0"/>
        <w:spacing w:before="120" w:after="120" w:line="400" w:lineRule="exact"/>
        <w:rPr>
          <w:rFonts w:ascii="宋体" w:hAnsi="宋体"/>
          <w:color w:val="auto"/>
          <w:sz w:val="24"/>
          <w:highlight w:val="none"/>
        </w:rPr>
      </w:pPr>
      <w:r>
        <w:rPr>
          <w:rFonts w:ascii="宋体" w:hAnsi="宋体"/>
          <w:bCs/>
          <w:color w:val="auto"/>
          <w:sz w:val="24"/>
          <w:highlight w:val="none"/>
        </w:rPr>
        <w:t>3</w:t>
      </w:r>
      <w:r>
        <w:rPr>
          <w:rFonts w:hint="eastAsia" w:ascii="宋体" w:hAnsi="宋体"/>
          <w:bCs/>
          <w:color w:val="auto"/>
          <w:sz w:val="24"/>
          <w:highlight w:val="none"/>
        </w:rPr>
        <w:t>.</w:t>
      </w:r>
      <w:r>
        <w:rPr>
          <w:rFonts w:ascii="宋体" w:hAnsi="宋体"/>
          <w:bCs/>
          <w:color w:val="auto"/>
          <w:sz w:val="24"/>
          <w:highlight w:val="none"/>
        </w:rPr>
        <w:t xml:space="preserve"> </w:t>
      </w:r>
      <w:r>
        <w:rPr>
          <w:rFonts w:ascii="宋体" w:hAnsi="宋体"/>
          <w:color w:val="auto"/>
          <w:sz w:val="24"/>
          <w:highlight w:val="none"/>
        </w:rPr>
        <w:t>履行地点</w:t>
      </w:r>
      <w:r>
        <w:rPr>
          <w:rFonts w:ascii="宋体" w:hAnsi="宋体"/>
          <w:bCs/>
          <w:color w:val="auto"/>
          <w:sz w:val="24"/>
          <w:highlight w:val="none"/>
        </w:rPr>
        <w:t>：</w:t>
      </w:r>
    </w:p>
    <w:p w14:paraId="3FE4D16C">
      <w:pPr>
        <w:snapToGrid w:val="0"/>
        <w:spacing w:before="120" w:after="120" w:line="400" w:lineRule="exact"/>
        <w:rPr>
          <w:rFonts w:ascii="宋体" w:hAnsi="宋体"/>
          <w:b/>
          <w:color w:val="auto"/>
          <w:sz w:val="24"/>
          <w:highlight w:val="none"/>
        </w:rPr>
      </w:pPr>
      <w:r>
        <w:rPr>
          <w:rFonts w:hint="eastAsia" w:ascii="宋体" w:hAnsi="宋体"/>
          <w:b/>
          <w:color w:val="auto"/>
          <w:sz w:val="24"/>
          <w:highlight w:val="none"/>
        </w:rPr>
        <w:t>七</w:t>
      </w:r>
      <w:r>
        <w:rPr>
          <w:rFonts w:ascii="宋体" w:hAnsi="宋体"/>
          <w:b/>
          <w:color w:val="auto"/>
          <w:sz w:val="24"/>
          <w:highlight w:val="none"/>
        </w:rPr>
        <w:t>、付款方式</w:t>
      </w:r>
      <w:r>
        <w:rPr>
          <w:rFonts w:hint="eastAsia" w:ascii="宋体" w:hAnsi="宋体"/>
          <w:b/>
          <w:color w:val="auto"/>
          <w:sz w:val="24"/>
          <w:highlight w:val="none"/>
        </w:rPr>
        <w:t>：</w:t>
      </w:r>
    </w:p>
    <w:p w14:paraId="52FC3526">
      <w:pPr>
        <w:snapToGrid w:val="0"/>
        <w:spacing w:before="120" w:after="120" w:line="400" w:lineRule="exact"/>
        <w:rPr>
          <w:rFonts w:ascii="宋体" w:hAnsi="宋体"/>
          <w:b/>
          <w:color w:val="auto"/>
          <w:sz w:val="24"/>
          <w:highlight w:val="none"/>
        </w:rPr>
      </w:pPr>
      <w:r>
        <w:rPr>
          <w:rFonts w:hint="eastAsia" w:ascii="宋体" w:hAnsi="宋体"/>
          <w:b/>
          <w:color w:val="auto"/>
          <w:sz w:val="24"/>
          <w:highlight w:val="none"/>
        </w:rPr>
        <w:t>八、税费</w:t>
      </w:r>
    </w:p>
    <w:p w14:paraId="44ED50B8">
      <w:pPr>
        <w:snapToGrid w:val="0"/>
        <w:spacing w:before="120" w:after="120" w:line="400" w:lineRule="exact"/>
        <w:rPr>
          <w:rFonts w:ascii="宋体" w:hAnsi="宋体"/>
          <w:color w:val="auto"/>
          <w:sz w:val="24"/>
          <w:highlight w:val="none"/>
        </w:rPr>
      </w:pPr>
      <w:r>
        <w:rPr>
          <w:rFonts w:hint="eastAsia" w:ascii="宋体" w:hAnsi="宋体"/>
          <w:color w:val="auto"/>
          <w:sz w:val="24"/>
          <w:highlight w:val="none"/>
        </w:rPr>
        <w:t>本合同执行中相关的一切税费均由</w:t>
      </w:r>
      <w:r>
        <w:rPr>
          <w:rFonts w:hAnsi="宋体"/>
          <w:color w:val="auto"/>
          <w:sz w:val="24"/>
          <w:highlight w:val="none"/>
        </w:rPr>
        <w:t>乙</w:t>
      </w:r>
      <w:r>
        <w:rPr>
          <w:rFonts w:hint="eastAsia" w:ascii="宋体" w:hAnsi="宋体"/>
          <w:color w:val="auto"/>
          <w:sz w:val="24"/>
          <w:highlight w:val="none"/>
        </w:rPr>
        <w:t>方负担。</w:t>
      </w:r>
    </w:p>
    <w:p w14:paraId="61FC4239">
      <w:pPr>
        <w:snapToGrid w:val="0"/>
        <w:spacing w:before="120" w:after="120" w:line="400" w:lineRule="exact"/>
        <w:ind w:left="410" w:hanging="410"/>
        <w:rPr>
          <w:rFonts w:ascii="宋体" w:hAnsi="宋体"/>
          <w:color w:val="auto"/>
          <w:sz w:val="24"/>
          <w:highlight w:val="none"/>
        </w:rPr>
      </w:pPr>
      <w:r>
        <w:rPr>
          <w:rFonts w:hint="eastAsia" w:ascii="宋体" w:hAnsi="宋体"/>
          <w:b/>
          <w:color w:val="auto"/>
          <w:sz w:val="24"/>
          <w:highlight w:val="none"/>
        </w:rPr>
        <w:t>九</w:t>
      </w:r>
      <w:r>
        <w:rPr>
          <w:rFonts w:ascii="宋体" w:hAnsi="宋体"/>
          <w:b/>
          <w:color w:val="auto"/>
          <w:sz w:val="24"/>
          <w:highlight w:val="none"/>
        </w:rPr>
        <w:t>、质量保证及后续服务</w:t>
      </w:r>
    </w:p>
    <w:p w14:paraId="0FAB606B">
      <w:pPr>
        <w:snapToGrid w:val="0"/>
        <w:spacing w:before="120" w:after="120" w:line="400" w:lineRule="exact"/>
        <w:ind w:left="410" w:hanging="410"/>
        <w:rPr>
          <w:rFonts w:ascii="宋体" w:hAnsi="宋体"/>
          <w:color w:val="auto"/>
          <w:sz w:val="24"/>
          <w:highlight w:val="none"/>
        </w:rPr>
      </w:pPr>
      <w:r>
        <w:rPr>
          <w:rFonts w:ascii="宋体" w:hAnsi="宋体"/>
          <w:color w:val="auto"/>
          <w:sz w:val="24"/>
          <w:highlight w:val="none"/>
        </w:rPr>
        <w:t>1</w:t>
      </w:r>
      <w:r>
        <w:rPr>
          <w:rFonts w:hint="eastAsia" w:ascii="宋体" w:hAnsi="宋体"/>
          <w:color w:val="auto"/>
          <w:sz w:val="24"/>
          <w:highlight w:val="none"/>
        </w:rPr>
        <w:t>．</w:t>
      </w:r>
      <w:r>
        <w:rPr>
          <w:rFonts w:ascii="宋体" w:hAnsi="宋体"/>
          <w:color w:val="auto"/>
          <w:sz w:val="24"/>
          <w:highlight w:val="none"/>
        </w:rPr>
        <w:t xml:space="preserve"> 乙方应按招标文件规定向甲方提供服务。</w:t>
      </w:r>
    </w:p>
    <w:p w14:paraId="487D0347">
      <w:pPr>
        <w:snapToGrid w:val="0"/>
        <w:spacing w:before="120" w:after="120" w:line="400" w:lineRule="exact"/>
        <w:ind w:left="480" w:hanging="480"/>
        <w:rPr>
          <w:rFonts w:ascii="宋体" w:hAnsi="宋体"/>
          <w:color w:val="auto"/>
          <w:sz w:val="24"/>
          <w:highlight w:val="none"/>
        </w:rPr>
      </w:pPr>
      <w:r>
        <w:rPr>
          <w:rFonts w:ascii="宋体" w:hAnsi="宋体"/>
          <w:color w:val="auto"/>
          <w:sz w:val="24"/>
          <w:highlight w:val="none"/>
        </w:rPr>
        <w:t>2</w:t>
      </w:r>
      <w:r>
        <w:rPr>
          <w:rFonts w:hint="eastAsia" w:ascii="宋体" w:hAnsi="宋体"/>
          <w:color w:val="auto"/>
          <w:sz w:val="24"/>
          <w:highlight w:val="none"/>
        </w:rPr>
        <w:t>．</w:t>
      </w:r>
      <w:r>
        <w:rPr>
          <w:rFonts w:ascii="宋体" w:hAnsi="宋体"/>
          <w:color w:val="auto"/>
          <w:sz w:val="24"/>
          <w:highlight w:val="none"/>
        </w:rPr>
        <w:t xml:space="preserve"> 乙方提供的服务成果在服务质量保证期内发生故障，乙方应负责免费提供后续服务。对达不到要求者，根据实际情况，经双方协商，可按以下办法处理：</w:t>
      </w:r>
    </w:p>
    <w:p w14:paraId="06714537">
      <w:pPr>
        <w:snapToGrid w:val="0"/>
        <w:spacing w:before="120" w:after="120" w:line="400" w:lineRule="exact"/>
        <w:ind w:firstLine="420"/>
        <w:rPr>
          <w:rFonts w:ascii="宋体" w:hAnsi="宋体"/>
          <w:color w:val="auto"/>
          <w:sz w:val="24"/>
          <w:highlight w:val="none"/>
        </w:rPr>
      </w:pPr>
      <w:r>
        <w:rPr>
          <w:rFonts w:ascii="宋体" w:hAnsi="宋体"/>
          <w:color w:val="auto"/>
          <w:sz w:val="24"/>
          <w:highlight w:val="none"/>
        </w:rPr>
        <w:t>⑴重做：由乙方承担所发生的全部费用。</w:t>
      </w:r>
    </w:p>
    <w:p w14:paraId="2224C70D">
      <w:pPr>
        <w:snapToGrid w:val="0"/>
        <w:spacing w:before="120" w:after="120" w:line="400" w:lineRule="exact"/>
        <w:ind w:firstLine="420"/>
        <w:rPr>
          <w:rFonts w:ascii="宋体" w:hAnsi="宋体"/>
          <w:color w:val="auto"/>
          <w:sz w:val="24"/>
          <w:highlight w:val="none"/>
        </w:rPr>
      </w:pPr>
      <w:r>
        <w:rPr>
          <w:rFonts w:ascii="宋体" w:hAnsi="宋体"/>
          <w:color w:val="auto"/>
          <w:sz w:val="24"/>
          <w:highlight w:val="none"/>
        </w:rPr>
        <w:t>⑵贬值处理：由甲乙双方合议定价。</w:t>
      </w:r>
    </w:p>
    <w:p w14:paraId="383BB1C5">
      <w:pPr>
        <w:snapToGrid w:val="0"/>
        <w:spacing w:before="120" w:after="120" w:line="400" w:lineRule="exact"/>
        <w:ind w:left="420" w:leftChars="200"/>
        <w:rPr>
          <w:rFonts w:ascii="宋体" w:hAnsi="宋体"/>
          <w:color w:val="auto"/>
          <w:sz w:val="24"/>
          <w:highlight w:val="none"/>
        </w:rPr>
      </w:pPr>
      <w:r>
        <w:rPr>
          <w:rFonts w:ascii="宋体" w:hAnsi="宋体"/>
          <w:color w:val="auto"/>
          <w:sz w:val="24"/>
          <w:highlight w:val="none"/>
        </w:rPr>
        <w:t>⑶解除合同。</w:t>
      </w:r>
    </w:p>
    <w:p w14:paraId="67109773">
      <w:pPr>
        <w:snapToGrid w:val="0"/>
        <w:spacing w:before="120" w:after="120" w:line="400" w:lineRule="exact"/>
        <w:rPr>
          <w:rFonts w:ascii="宋体" w:hAnsi="宋体"/>
          <w:color w:val="auto"/>
          <w:sz w:val="24"/>
          <w:highlight w:val="none"/>
        </w:rPr>
      </w:pPr>
      <w:r>
        <w:rPr>
          <w:rFonts w:ascii="宋体" w:hAnsi="宋体"/>
          <w:color w:val="auto"/>
          <w:sz w:val="24"/>
          <w:highlight w:val="none"/>
        </w:rPr>
        <w:t>3</w:t>
      </w:r>
      <w:r>
        <w:rPr>
          <w:rFonts w:hint="eastAsia" w:ascii="宋体" w:hAnsi="宋体"/>
          <w:color w:val="auto"/>
          <w:sz w:val="24"/>
          <w:highlight w:val="none"/>
        </w:rPr>
        <w:t>．</w:t>
      </w:r>
      <w:r>
        <w:rPr>
          <w:rFonts w:ascii="宋体" w:hAnsi="宋体"/>
          <w:color w:val="auto"/>
          <w:sz w:val="24"/>
          <w:highlight w:val="none"/>
        </w:rPr>
        <w:t>如在使用过程中发生问题，乙方在接到甲方通知后</w:t>
      </w:r>
      <w:r>
        <w:rPr>
          <w:rFonts w:hint="eastAsia" w:ascii="宋体" w:hAnsi="宋体"/>
          <w:color w:val="auto"/>
          <w:sz w:val="24"/>
          <w:highlight w:val="none"/>
          <w:u w:val="single"/>
        </w:rPr>
        <w:t>48</w:t>
      </w:r>
      <w:r>
        <w:rPr>
          <w:rFonts w:ascii="宋体" w:hAnsi="宋体"/>
          <w:color w:val="auto"/>
          <w:sz w:val="24"/>
          <w:highlight w:val="none"/>
        </w:rPr>
        <w:t>小时内到达甲方现场。</w:t>
      </w:r>
    </w:p>
    <w:p w14:paraId="5178A921">
      <w:pPr>
        <w:snapToGrid w:val="0"/>
        <w:spacing w:before="120" w:after="120" w:line="400" w:lineRule="exact"/>
        <w:rPr>
          <w:rFonts w:ascii="宋体" w:hAnsi="宋体"/>
          <w:color w:val="auto"/>
          <w:sz w:val="24"/>
          <w:highlight w:val="none"/>
        </w:rPr>
      </w:pPr>
      <w:r>
        <w:rPr>
          <w:rFonts w:ascii="宋体" w:hAnsi="宋体"/>
          <w:color w:val="auto"/>
          <w:sz w:val="24"/>
          <w:highlight w:val="none"/>
        </w:rPr>
        <w:t>4</w:t>
      </w:r>
      <w:r>
        <w:rPr>
          <w:rFonts w:hint="eastAsia" w:ascii="宋体" w:hAnsi="宋体"/>
          <w:color w:val="auto"/>
          <w:sz w:val="24"/>
          <w:highlight w:val="none"/>
        </w:rPr>
        <w:t>．</w:t>
      </w:r>
      <w:r>
        <w:rPr>
          <w:rFonts w:ascii="宋体" w:hAnsi="宋体"/>
          <w:color w:val="auto"/>
          <w:sz w:val="24"/>
          <w:highlight w:val="none"/>
        </w:rPr>
        <w:t>在服务质量保证期内，乙方应对出现的质量及安全问题负责处理解决并承担一切费用。</w:t>
      </w:r>
    </w:p>
    <w:p w14:paraId="4CDD8671">
      <w:pPr>
        <w:snapToGrid w:val="0"/>
        <w:spacing w:before="120" w:after="120" w:line="400" w:lineRule="exact"/>
        <w:rPr>
          <w:rFonts w:ascii="宋体" w:hAnsi="宋体"/>
          <w:b/>
          <w:color w:val="auto"/>
          <w:sz w:val="24"/>
          <w:highlight w:val="none"/>
        </w:rPr>
      </w:pPr>
      <w:r>
        <w:rPr>
          <w:rFonts w:ascii="宋体" w:hAnsi="宋体"/>
          <w:b/>
          <w:color w:val="auto"/>
          <w:sz w:val="24"/>
          <w:highlight w:val="none"/>
        </w:rPr>
        <w:t>十、违约责任</w:t>
      </w:r>
    </w:p>
    <w:p w14:paraId="1B9B96B4">
      <w:pPr>
        <w:snapToGrid w:val="0"/>
        <w:spacing w:before="120" w:after="120" w:line="400" w:lineRule="exact"/>
        <w:ind w:left="410" w:hanging="410"/>
        <w:rPr>
          <w:rFonts w:ascii="宋体" w:hAnsi="宋体"/>
          <w:color w:val="auto"/>
          <w:sz w:val="24"/>
          <w:highlight w:val="none"/>
        </w:rPr>
      </w:pPr>
      <w:r>
        <w:rPr>
          <w:rFonts w:ascii="宋体" w:hAnsi="宋体"/>
          <w:color w:val="auto"/>
          <w:sz w:val="24"/>
          <w:highlight w:val="none"/>
        </w:rPr>
        <w:t>1</w:t>
      </w:r>
      <w:r>
        <w:rPr>
          <w:rFonts w:hint="eastAsia" w:ascii="宋体" w:hAnsi="宋体"/>
          <w:color w:val="auto"/>
          <w:sz w:val="24"/>
          <w:highlight w:val="none"/>
        </w:rPr>
        <w:t>．</w:t>
      </w:r>
      <w:r>
        <w:rPr>
          <w:rFonts w:ascii="宋体" w:hAnsi="宋体"/>
          <w:color w:val="auto"/>
          <w:sz w:val="24"/>
          <w:highlight w:val="none"/>
        </w:rPr>
        <w:t>甲方无正当理由拒收接受服务的，甲方向乙方偿付合同款项百分之五作为违约金。</w:t>
      </w:r>
    </w:p>
    <w:p w14:paraId="6BC433B1">
      <w:pPr>
        <w:snapToGrid w:val="0"/>
        <w:spacing w:before="120" w:after="120" w:line="400" w:lineRule="exact"/>
        <w:ind w:left="410" w:hanging="410"/>
        <w:rPr>
          <w:rFonts w:ascii="宋体" w:hAnsi="宋体"/>
          <w:color w:val="auto"/>
          <w:sz w:val="24"/>
          <w:highlight w:val="none"/>
        </w:rPr>
      </w:pPr>
      <w:r>
        <w:rPr>
          <w:rFonts w:ascii="宋体" w:hAnsi="宋体"/>
          <w:color w:val="auto"/>
          <w:sz w:val="24"/>
          <w:highlight w:val="none"/>
        </w:rPr>
        <w:t>2</w:t>
      </w:r>
      <w:r>
        <w:rPr>
          <w:rFonts w:hint="eastAsia" w:ascii="宋体" w:hAnsi="宋体"/>
          <w:color w:val="auto"/>
          <w:sz w:val="24"/>
          <w:highlight w:val="none"/>
        </w:rPr>
        <w:t>．</w:t>
      </w:r>
      <w:r>
        <w:rPr>
          <w:rFonts w:ascii="宋体" w:hAnsi="宋体"/>
          <w:color w:val="auto"/>
          <w:sz w:val="24"/>
          <w:highlight w:val="none"/>
        </w:rPr>
        <w:t>甲方无故逾期验收和办理款项支付手续的,甲方应按逾期付款总额每日万分之五向乙方支付违约金。</w:t>
      </w:r>
    </w:p>
    <w:p w14:paraId="692FC84A">
      <w:pPr>
        <w:snapToGrid w:val="0"/>
        <w:spacing w:before="120" w:after="120" w:line="400" w:lineRule="exact"/>
        <w:ind w:left="410" w:hanging="410"/>
        <w:rPr>
          <w:rFonts w:ascii="宋体" w:hAnsi="宋体"/>
          <w:color w:val="auto"/>
          <w:sz w:val="24"/>
          <w:highlight w:val="none"/>
        </w:rPr>
      </w:pPr>
      <w:r>
        <w:rPr>
          <w:rFonts w:ascii="宋体" w:hAnsi="宋体"/>
          <w:color w:val="auto"/>
          <w:sz w:val="24"/>
          <w:highlight w:val="none"/>
        </w:rPr>
        <w:t>3</w:t>
      </w:r>
      <w:r>
        <w:rPr>
          <w:rFonts w:hint="eastAsia" w:ascii="宋体" w:hAnsi="宋体"/>
          <w:color w:val="auto"/>
          <w:sz w:val="24"/>
          <w:highlight w:val="none"/>
        </w:rPr>
        <w:t>．</w:t>
      </w:r>
      <w:r>
        <w:rPr>
          <w:rFonts w:ascii="宋体" w:hAnsi="宋体"/>
          <w:color w:val="auto"/>
          <w:sz w:val="24"/>
          <w:highlight w:val="none"/>
        </w:rPr>
        <w:t xml:space="preserve"> 乙方</w:t>
      </w:r>
      <w:r>
        <w:rPr>
          <w:rFonts w:hint="eastAsia" w:ascii="宋体" w:hAnsi="宋体"/>
          <w:color w:val="auto"/>
          <w:sz w:val="24"/>
          <w:highlight w:val="none"/>
        </w:rPr>
        <w:t>未能如</w:t>
      </w:r>
      <w:r>
        <w:rPr>
          <w:rFonts w:ascii="宋体" w:hAnsi="宋体"/>
          <w:color w:val="auto"/>
          <w:sz w:val="24"/>
          <w:highlight w:val="none"/>
        </w:rPr>
        <w:t>期提供服务的，每日向甲方支付</w:t>
      </w:r>
      <w:r>
        <w:rPr>
          <w:rFonts w:hint="eastAsia" w:ascii="宋体" w:hAnsi="宋体"/>
          <w:color w:val="auto"/>
          <w:sz w:val="24"/>
          <w:highlight w:val="none"/>
        </w:rPr>
        <w:t>合同款项的</w:t>
      </w:r>
      <w:r>
        <w:rPr>
          <w:rFonts w:ascii="宋体" w:hAnsi="宋体"/>
          <w:color w:val="auto"/>
          <w:sz w:val="24"/>
          <w:highlight w:val="none"/>
        </w:rPr>
        <w:t>千分之六</w:t>
      </w:r>
      <w:r>
        <w:rPr>
          <w:rFonts w:hint="eastAsia" w:ascii="宋体" w:hAnsi="宋体"/>
          <w:color w:val="auto"/>
          <w:sz w:val="24"/>
          <w:highlight w:val="none"/>
        </w:rPr>
        <w:t>作为</w:t>
      </w:r>
      <w:r>
        <w:rPr>
          <w:rFonts w:ascii="宋体" w:hAnsi="宋体"/>
          <w:color w:val="auto"/>
          <w:sz w:val="24"/>
          <w:highlight w:val="none"/>
        </w:rPr>
        <w:t>违约金。乙方超过约定日期10个工作日</w:t>
      </w:r>
      <w:r>
        <w:rPr>
          <w:rFonts w:hint="eastAsia" w:ascii="宋体" w:hAnsi="宋体"/>
          <w:color w:val="auto"/>
          <w:sz w:val="24"/>
          <w:highlight w:val="none"/>
        </w:rPr>
        <w:t>仍</w:t>
      </w:r>
      <w:r>
        <w:rPr>
          <w:rFonts w:ascii="宋体" w:hAnsi="宋体"/>
          <w:color w:val="auto"/>
          <w:sz w:val="24"/>
          <w:highlight w:val="none"/>
        </w:rPr>
        <w:t>不能</w:t>
      </w:r>
      <w:r>
        <w:rPr>
          <w:rFonts w:hint="eastAsia" w:ascii="宋体" w:hAnsi="宋体"/>
          <w:color w:val="auto"/>
          <w:sz w:val="24"/>
          <w:highlight w:val="none"/>
        </w:rPr>
        <w:t>提供服务</w:t>
      </w:r>
      <w:r>
        <w:rPr>
          <w:rFonts w:ascii="宋体" w:hAnsi="宋体"/>
          <w:color w:val="auto"/>
          <w:sz w:val="24"/>
          <w:highlight w:val="none"/>
        </w:rPr>
        <w:t>的，甲方可解除本合同。乙方因</w:t>
      </w:r>
      <w:r>
        <w:rPr>
          <w:rFonts w:hint="eastAsia" w:ascii="宋体" w:hAnsi="宋体"/>
          <w:color w:val="auto"/>
          <w:sz w:val="24"/>
          <w:highlight w:val="none"/>
        </w:rPr>
        <w:t>未能如</w:t>
      </w:r>
      <w:r>
        <w:rPr>
          <w:rFonts w:ascii="宋体" w:hAnsi="宋体"/>
          <w:color w:val="auto"/>
          <w:sz w:val="24"/>
          <w:highlight w:val="none"/>
        </w:rPr>
        <w:t xml:space="preserve">期提供服务或因其他违约行为导致甲方解除合同的，乙方应向甲方支付合同总值5%的违约金，如造成甲方损失超过违约金的，超出部分由乙方继续承担赔偿责任。 </w:t>
      </w:r>
    </w:p>
    <w:p w14:paraId="0011BE1C">
      <w:pPr>
        <w:snapToGrid w:val="0"/>
        <w:spacing w:before="120" w:after="120" w:line="400" w:lineRule="exact"/>
        <w:rPr>
          <w:rFonts w:ascii="宋体" w:hAnsi="宋体"/>
          <w:b/>
          <w:color w:val="auto"/>
          <w:sz w:val="24"/>
          <w:highlight w:val="none"/>
        </w:rPr>
      </w:pPr>
      <w:r>
        <w:rPr>
          <w:rFonts w:ascii="宋体" w:hAnsi="宋体"/>
          <w:b/>
          <w:color w:val="auto"/>
          <w:sz w:val="24"/>
          <w:highlight w:val="none"/>
        </w:rPr>
        <w:t>十</w:t>
      </w:r>
      <w:r>
        <w:rPr>
          <w:rFonts w:hint="eastAsia" w:ascii="宋体" w:hAnsi="宋体"/>
          <w:b/>
          <w:color w:val="auto"/>
          <w:sz w:val="24"/>
          <w:highlight w:val="none"/>
        </w:rPr>
        <w:t>一</w:t>
      </w:r>
      <w:r>
        <w:rPr>
          <w:rFonts w:ascii="宋体" w:hAnsi="宋体"/>
          <w:b/>
          <w:color w:val="auto"/>
          <w:sz w:val="24"/>
          <w:highlight w:val="none"/>
        </w:rPr>
        <w:t>、不可抗力事件处理</w:t>
      </w:r>
    </w:p>
    <w:p w14:paraId="4973E79F">
      <w:pPr>
        <w:snapToGrid w:val="0"/>
        <w:spacing w:before="120" w:after="120" w:line="400" w:lineRule="exact"/>
        <w:ind w:left="480" w:hanging="480"/>
        <w:rPr>
          <w:rFonts w:ascii="宋体" w:hAnsi="宋体"/>
          <w:color w:val="auto"/>
          <w:sz w:val="24"/>
          <w:highlight w:val="none"/>
        </w:rPr>
      </w:pPr>
      <w:r>
        <w:rPr>
          <w:rFonts w:ascii="宋体" w:hAnsi="宋体"/>
          <w:color w:val="auto"/>
          <w:sz w:val="24"/>
          <w:highlight w:val="none"/>
        </w:rPr>
        <w:t>1</w:t>
      </w:r>
      <w:r>
        <w:rPr>
          <w:rFonts w:hint="eastAsia" w:ascii="宋体" w:hAnsi="宋体"/>
          <w:color w:val="auto"/>
          <w:sz w:val="24"/>
          <w:highlight w:val="none"/>
        </w:rPr>
        <w:t>．</w:t>
      </w:r>
      <w:r>
        <w:rPr>
          <w:rFonts w:ascii="宋体" w:hAnsi="宋体"/>
          <w:color w:val="auto"/>
          <w:sz w:val="24"/>
          <w:highlight w:val="none"/>
        </w:rPr>
        <w:t>在合同有效期内，任何一方因不可抗力事件导致不能履行合同，则合同履行期可延长，其延长期与不可抗力影响期相同。</w:t>
      </w:r>
    </w:p>
    <w:p w14:paraId="7EF88E16">
      <w:pPr>
        <w:snapToGrid w:val="0"/>
        <w:spacing w:before="120" w:after="120" w:line="400" w:lineRule="exact"/>
        <w:rPr>
          <w:rFonts w:ascii="宋体" w:hAnsi="宋体"/>
          <w:color w:val="auto"/>
          <w:sz w:val="24"/>
          <w:highlight w:val="none"/>
        </w:rPr>
      </w:pPr>
      <w:r>
        <w:rPr>
          <w:rFonts w:ascii="宋体" w:hAnsi="宋体"/>
          <w:color w:val="auto"/>
          <w:sz w:val="24"/>
          <w:highlight w:val="none"/>
        </w:rPr>
        <w:t>2</w:t>
      </w:r>
      <w:r>
        <w:rPr>
          <w:rFonts w:hint="eastAsia" w:ascii="宋体" w:hAnsi="宋体"/>
          <w:color w:val="auto"/>
          <w:sz w:val="24"/>
          <w:highlight w:val="none"/>
        </w:rPr>
        <w:t>．</w:t>
      </w:r>
      <w:r>
        <w:rPr>
          <w:rFonts w:ascii="宋体" w:hAnsi="宋体"/>
          <w:color w:val="auto"/>
          <w:sz w:val="24"/>
          <w:highlight w:val="none"/>
        </w:rPr>
        <w:t>不可抗力事件发生后，应立即通知对方，并寄送有关权威机构出具的证明。</w:t>
      </w:r>
    </w:p>
    <w:p w14:paraId="4325EA8A">
      <w:pPr>
        <w:snapToGrid w:val="0"/>
        <w:spacing w:before="120" w:after="120" w:line="400" w:lineRule="exact"/>
        <w:rPr>
          <w:rFonts w:ascii="宋体" w:hAnsi="宋体"/>
          <w:color w:val="auto"/>
          <w:sz w:val="24"/>
          <w:highlight w:val="none"/>
        </w:rPr>
      </w:pPr>
      <w:r>
        <w:rPr>
          <w:rFonts w:ascii="宋体" w:hAnsi="宋体"/>
          <w:color w:val="auto"/>
          <w:sz w:val="24"/>
          <w:highlight w:val="none"/>
        </w:rPr>
        <w:t>3</w:t>
      </w:r>
      <w:r>
        <w:rPr>
          <w:rFonts w:hint="eastAsia" w:ascii="宋体" w:hAnsi="宋体"/>
          <w:color w:val="auto"/>
          <w:sz w:val="24"/>
          <w:highlight w:val="none"/>
        </w:rPr>
        <w:t>．</w:t>
      </w:r>
      <w:r>
        <w:rPr>
          <w:rFonts w:ascii="宋体" w:hAnsi="宋体"/>
          <w:color w:val="auto"/>
          <w:sz w:val="24"/>
          <w:highlight w:val="none"/>
        </w:rPr>
        <w:t>不可抗力事件延续120天以上，双方应通过友好协商，确定是否继续履行合同。</w:t>
      </w:r>
    </w:p>
    <w:p w14:paraId="7248BC8C">
      <w:pPr>
        <w:snapToGrid w:val="0"/>
        <w:spacing w:before="120" w:after="120" w:line="400" w:lineRule="exact"/>
        <w:rPr>
          <w:rFonts w:ascii="宋体" w:hAnsi="宋体"/>
          <w:b/>
          <w:color w:val="auto"/>
          <w:sz w:val="24"/>
          <w:highlight w:val="none"/>
        </w:rPr>
      </w:pPr>
      <w:r>
        <w:rPr>
          <w:rFonts w:ascii="宋体" w:hAnsi="宋体"/>
          <w:b/>
          <w:color w:val="auto"/>
          <w:sz w:val="24"/>
          <w:highlight w:val="none"/>
        </w:rPr>
        <w:t>十</w:t>
      </w:r>
      <w:r>
        <w:rPr>
          <w:rFonts w:hint="eastAsia" w:ascii="宋体" w:hAnsi="宋体"/>
          <w:b/>
          <w:color w:val="auto"/>
          <w:sz w:val="24"/>
          <w:highlight w:val="none"/>
        </w:rPr>
        <w:t>二</w:t>
      </w:r>
      <w:r>
        <w:rPr>
          <w:rFonts w:ascii="宋体" w:hAnsi="宋体"/>
          <w:b/>
          <w:color w:val="auto"/>
          <w:sz w:val="24"/>
          <w:highlight w:val="none"/>
        </w:rPr>
        <w:t>、诉讼</w:t>
      </w:r>
    </w:p>
    <w:p w14:paraId="122D6593">
      <w:pPr>
        <w:snapToGrid w:val="0"/>
        <w:spacing w:before="120" w:after="120" w:line="400" w:lineRule="exact"/>
        <w:ind w:firstLine="120"/>
        <w:jc w:val="left"/>
        <w:rPr>
          <w:rFonts w:ascii="宋体" w:hAnsi="宋体"/>
          <w:color w:val="auto"/>
          <w:sz w:val="24"/>
          <w:highlight w:val="none"/>
        </w:rPr>
      </w:pPr>
      <w:r>
        <w:rPr>
          <w:rFonts w:ascii="宋体" w:hAnsi="宋体"/>
          <w:color w:val="auto"/>
          <w:sz w:val="24"/>
          <w:highlight w:val="none"/>
        </w:rPr>
        <w:t>双方在执行合同中所发生的一切争议，应通过协商解决。如协商不成，可向</w:t>
      </w:r>
      <w:r>
        <w:rPr>
          <w:rFonts w:hint="eastAsia" w:ascii="宋体" w:hAnsi="宋体"/>
          <w:color w:val="auto"/>
          <w:sz w:val="24"/>
          <w:highlight w:val="none"/>
        </w:rPr>
        <w:t>甲方所在</w:t>
      </w:r>
      <w:r>
        <w:rPr>
          <w:rFonts w:ascii="宋体" w:hAnsi="宋体"/>
          <w:color w:val="auto"/>
          <w:sz w:val="24"/>
          <w:highlight w:val="none"/>
        </w:rPr>
        <w:t>地法院起诉。</w:t>
      </w:r>
    </w:p>
    <w:p w14:paraId="0AA3B1B7">
      <w:pPr>
        <w:snapToGrid w:val="0"/>
        <w:spacing w:before="120" w:after="120" w:line="400" w:lineRule="exact"/>
        <w:rPr>
          <w:rFonts w:ascii="宋体" w:hAnsi="宋体"/>
          <w:b/>
          <w:color w:val="auto"/>
          <w:sz w:val="24"/>
          <w:highlight w:val="none"/>
        </w:rPr>
      </w:pPr>
      <w:r>
        <w:rPr>
          <w:rFonts w:ascii="宋体" w:hAnsi="宋体"/>
          <w:b/>
          <w:color w:val="auto"/>
          <w:sz w:val="24"/>
          <w:highlight w:val="none"/>
        </w:rPr>
        <w:t>十</w:t>
      </w:r>
      <w:r>
        <w:rPr>
          <w:rFonts w:hint="eastAsia" w:ascii="宋体" w:hAnsi="宋体"/>
          <w:b/>
          <w:color w:val="auto"/>
          <w:sz w:val="24"/>
          <w:highlight w:val="none"/>
        </w:rPr>
        <w:t>三</w:t>
      </w:r>
      <w:r>
        <w:rPr>
          <w:rFonts w:ascii="宋体" w:hAnsi="宋体"/>
          <w:b/>
          <w:color w:val="auto"/>
          <w:sz w:val="24"/>
          <w:highlight w:val="none"/>
        </w:rPr>
        <w:t>、合同生效及其它</w:t>
      </w:r>
    </w:p>
    <w:p w14:paraId="0C5D06A8">
      <w:pPr>
        <w:snapToGrid w:val="0"/>
        <w:spacing w:before="120" w:after="120" w:line="400" w:lineRule="exact"/>
        <w:rPr>
          <w:rFonts w:ascii="宋体" w:hAnsi="宋体"/>
          <w:color w:val="auto"/>
          <w:sz w:val="24"/>
          <w:highlight w:val="none"/>
        </w:rPr>
      </w:pPr>
      <w:r>
        <w:rPr>
          <w:rFonts w:ascii="宋体" w:hAnsi="宋体"/>
          <w:color w:val="auto"/>
          <w:sz w:val="24"/>
          <w:highlight w:val="none"/>
        </w:rPr>
        <w:t>1</w:t>
      </w:r>
      <w:r>
        <w:rPr>
          <w:rFonts w:hint="eastAsia" w:ascii="宋体" w:hAnsi="宋体"/>
          <w:color w:val="auto"/>
          <w:sz w:val="24"/>
          <w:highlight w:val="none"/>
        </w:rPr>
        <w:t>.</w:t>
      </w:r>
      <w:r>
        <w:rPr>
          <w:rFonts w:ascii="宋体" w:hAnsi="宋体"/>
          <w:color w:val="auto"/>
          <w:sz w:val="24"/>
          <w:highlight w:val="none"/>
        </w:rPr>
        <w:t xml:space="preserve"> 合同经</w:t>
      </w:r>
      <w:r>
        <w:rPr>
          <w:rFonts w:hint="eastAsia" w:ascii="宋体" w:hAnsi="宋体"/>
          <w:color w:val="auto"/>
          <w:sz w:val="24"/>
          <w:highlight w:val="none"/>
        </w:rPr>
        <w:t>三</w:t>
      </w:r>
      <w:r>
        <w:rPr>
          <w:rFonts w:ascii="宋体" w:hAnsi="宋体"/>
          <w:color w:val="auto"/>
          <w:sz w:val="24"/>
          <w:highlight w:val="none"/>
        </w:rPr>
        <w:t>方法定代表人或授权代表签字并加盖单位公章后</w:t>
      </w:r>
      <w:r>
        <w:rPr>
          <w:rFonts w:hint="eastAsia" w:ascii="宋体" w:hAnsi="宋体"/>
          <w:color w:val="auto"/>
          <w:sz w:val="24"/>
          <w:highlight w:val="none"/>
        </w:rPr>
        <w:t>，报东阳市财政局采监科备案后</w:t>
      </w:r>
      <w:r>
        <w:rPr>
          <w:rFonts w:ascii="宋体" w:hAnsi="宋体"/>
          <w:color w:val="auto"/>
          <w:sz w:val="24"/>
          <w:highlight w:val="none"/>
        </w:rPr>
        <w:t>生效。</w:t>
      </w:r>
    </w:p>
    <w:p w14:paraId="5BA8855F">
      <w:pPr>
        <w:snapToGrid w:val="0"/>
        <w:spacing w:before="120" w:after="120" w:line="400" w:lineRule="exact"/>
        <w:rPr>
          <w:rFonts w:ascii="宋体" w:hAnsi="宋体"/>
          <w:color w:val="auto"/>
          <w:sz w:val="24"/>
          <w:highlight w:val="none"/>
        </w:rPr>
      </w:pPr>
      <w:r>
        <w:rPr>
          <w:rFonts w:ascii="宋体" w:hAnsi="宋体"/>
          <w:color w:val="auto"/>
          <w:sz w:val="24"/>
          <w:highlight w:val="none"/>
        </w:rPr>
        <w:t>2</w:t>
      </w:r>
      <w:r>
        <w:rPr>
          <w:rFonts w:hint="eastAsia" w:ascii="宋体" w:hAnsi="宋体"/>
          <w:color w:val="auto"/>
          <w:sz w:val="24"/>
          <w:highlight w:val="none"/>
        </w:rPr>
        <w:t>.</w:t>
      </w:r>
      <w:r>
        <w:rPr>
          <w:rFonts w:ascii="宋体" w:hAnsi="宋体"/>
          <w:color w:val="auto"/>
          <w:sz w:val="24"/>
          <w:highlight w:val="none"/>
        </w:rPr>
        <w:t>合同执行中涉及采购资金和采购内容修改或补充的，须经财政部门审批，并签书面补充协议报政府采购监督管理部门备案，方可作为主合同不可分割的一部分。</w:t>
      </w:r>
    </w:p>
    <w:p w14:paraId="4C1B3299">
      <w:pPr>
        <w:snapToGrid w:val="0"/>
        <w:spacing w:before="120" w:after="120" w:line="400" w:lineRule="exact"/>
        <w:rPr>
          <w:rFonts w:ascii="宋体" w:hAnsi="宋体"/>
          <w:color w:val="auto"/>
          <w:sz w:val="24"/>
          <w:highlight w:val="none"/>
        </w:rPr>
      </w:pPr>
      <w:r>
        <w:rPr>
          <w:rFonts w:ascii="宋体" w:hAnsi="宋体"/>
          <w:color w:val="auto"/>
          <w:sz w:val="24"/>
          <w:highlight w:val="none"/>
        </w:rPr>
        <w:t>3</w:t>
      </w:r>
      <w:r>
        <w:rPr>
          <w:rFonts w:hint="eastAsia" w:ascii="宋体" w:hAnsi="宋体"/>
          <w:color w:val="auto"/>
          <w:sz w:val="24"/>
          <w:highlight w:val="none"/>
        </w:rPr>
        <w:t>.</w:t>
      </w:r>
      <w:r>
        <w:rPr>
          <w:rFonts w:ascii="宋体" w:hAnsi="宋体"/>
          <w:color w:val="auto"/>
          <w:sz w:val="24"/>
          <w:highlight w:val="none"/>
        </w:rPr>
        <w:t>本合同未尽事宜，遵照</w:t>
      </w:r>
      <w:r>
        <w:rPr>
          <w:rFonts w:hint="eastAsia" w:ascii="宋体" w:hAnsi="宋体"/>
          <w:color w:val="auto"/>
          <w:sz w:val="24"/>
          <w:highlight w:val="none"/>
        </w:rPr>
        <w:t>《中华人民共和国民法典》</w:t>
      </w:r>
      <w:r>
        <w:rPr>
          <w:rFonts w:ascii="宋体" w:hAnsi="宋体"/>
          <w:color w:val="auto"/>
          <w:sz w:val="24"/>
          <w:highlight w:val="none"/>
        </w:rPr>
        <w:t>有关条文执行。</w:t>
      </w:r>
    </w:p>
    <w:p w14:paraId="144DC3EA">
      <w:pPr>
        <w:spacing w:line="400" w:lineRule="exact"/>
        <w:rPr>
          <w:rFonts w:ascii="宋体" w:hAnsi="宋体"/>
          <w:color w:val="auto"/>
          <w:sz w:val="24"/>
          <w:highlight w:val="none"/>
        </w:rPr>
      </w:pPr>
      <w:r>
        <w:rPr>
          <w:rFonts w:hint="eastAsia" w:ascii="宋体" w:hAnsi="宋体"/>
          <w:color w:val="auto"/>
          <w:sz w:val="24"/>
          <w:highlight w:val="none"/>
        </w:rPr>
        <w:t>4.本合同一式六份，东阳市财政局采监科、招标代理机构各执一份，甲、乙双方各执二份，其都具有同等法律效力。</w:t>
      </w:r>
    </w:p>
    <w:p w14:paraId="22133D6D">
      <w:pPr>
        <w:spacing w:line="400" w:lineRule="exact"/>
        <w:rPr>
          <w:rFonts w:ascii="宋体" w:hAnsi="宋体"/>
          <w:color w:val="auto"/>
          <w:sz w:val="24"/>
          <w:highlight w:val="none"/>
        </w:rPr>
      </w:pPr>
      <w:r>
        <w:rPr>
          <w:rFonts w:hint="eastAsia" w:ascii="宋体" w:hAnsi="宋体"/>
          <w:b/>
          <w:color w:val="auto"/>
          <w:sz w:val="24"/>
          <w:highlight w:val="none"/>
        </w:rPr>
        <w:t>5.后附政府采购廉洁承诺书。</w:t>
      </w:r>
    </w:p>
    <w:p w14:paraId="1DB5E6F1">
      <w:pPr>
        <w:spacing w:before="120" w:after="120" w:line="400" w:lineRule="exact"/>
        <w:rPr>
          <w:rFonts w:ascii="宋体" w:hAnsi="宋体"/>
          <w:b/>
          <w:bCs/>
          <w:color w:val="auto"/>
          <w:sz w:val="24"/>
          <w:highlight w:val="none"/>
        </w:rPr>
      </w:pPr>
    </w:p>
    <w:p w14:paraId="712F92DC">
      <w:pPr>
        <w:spacing w:before="120" w:after="120" w:line="400" w:lineRule="exact"/>
        <w:rPr>
          <w:rFonts w:ascii="宋体" w:hAnsi="宋体"/>
          <w:color w:val="auto"/>
          <w:sz w:val="24"/>
          <w:highlight w:val="none"/>
        </w:rPr>
      </w:pPr>
      <w:r>
        <w:rPr>
          <w:rFonts w:hint="eastAsia" w:ascii="宋体" w:hAnsi="宋体"/>
          <w:b/>
          <w:bCs/>
          <w:color w:val="auto"/>
          <w:sz w:val="24"/>
          <w:highlight w:val="none"/>
        </w:rPr>
        <w:t>甲方（盖公章）：                       乙方（盖公章）：</w:t>
      </w:r>
    </w:p>
    <w:p w14:paraId="1142F070">
      <w:pPr>
        <w:snapToGrid w:val="0"/>
        <w:spacing w:before="120" w:after="120" w:line="400" w:lineRule="exact"/>
        <w:ind w:leftChars="-1" w:hanging="2"/>
        <w:rPr>
          <w:rFonts w:ascii="宋体" w:hAnsi="宋体"/>
          <w:color w:val="auto"/>
          <w:sz w:val="24"/>
          <w:highlight w:val="none"/>
        </w:rPr>
      </w:pPr>
      <w:r>
        <w:rPr>
          <w:rFonts w:hint="eastAsia" w:ascii="宋体" w:hAnsi="宋体"/>
          <w:color w:val="auto"/>
          <w:sz w:val="24"/>
          <w:highlight w:val="none"/>
        </w:rPr>
        <w:t>法定代表人或受委托人                 法定代表人或受委托人</w:t>
      </w:r>
    </w:p>
    <w:p w14:paraId="11F036DF">
      <w:pPr>
        <w:snapToGrid w:val="0"/>
        <w:spacing w:before="120" w:after="120" w:line="400" w:lineRule="exact"/>
        <w:ind w:left="1" w:leftChars="-28" w:hanging="60"/>
        <w:rPr>
          <w:rFonts w:ascii="宋体" w:hAnsi="宋体"/>
          <w:color w:val="auto"/>
          <w:sz w:val="24"/>
          <w:highlight w:val="none"/>
        </w:rPr>
      </w:pPr>
      <w:r>
        <w:rPr>
          <w:rFonts w:hint="eastAsia" w:ascii="宋体" w:hAnsi="宋体"/>
          <w:color w:val="auto"/>
          <w:sz w:val="24"/>
          <w:highlight w:val="none"/>
        </w:rPr>
        <w:t>（签字）                             （签字）</w:t>
      </w:r>
    </w:p>
    <w:p w14:paraId="125E4D66">
      <w:pPr>
        <w:snapToGrid w:val="0"/>
        <w:spacing w:before="120" w:after="120" w:line="400" w:lineRule="exact"/>
        <w:ind w:leftChars="-1" w:hanging="2"/>
        <w:rPr>
          <w:rFonts w:ascii="宋体" w:hAnsi="宋体"/>
          <w:color w:val="auto"/>
          <w:sz w:val="24"/>
          <w:highlight w:val="none"/>
        </w:rPr>
      </w:pPr>
      <w:r>
        <w:rPr>
          <w:rFonts w:hint="eastAsia" w:ascii="宋体" w:hAnsi="宋体"/>
          <w:color w:val="auto"/>
          <w:sz w:val="24"/>
          <w:highlight w:val="none"/>
        </w:rPr>
        <w:t xml:space="preserve">地址：                               地址： </w:t>
      </w:r>
    </w:p>
    <w:p w14:paraId="05895F84">
      <w:pPr>
        <w:snapToGrid w:val="0"/>
        <w:spacing w:before="120" w:after="120" w:line="400" w:lineRule="exact"/>
        <w:ind w:leftChars="-1" w:hanging="2"/>
        <w:rPr>
          <w:rFonts w:ascii="宋体" w:hAnsi="宋体"/>
          <w:color w:val="auto"/>
          <w:sz w:val="24"/>
          <w:highlight w:val="none"/>
        </w:rPr>
      </w:pPr>
      <w:r>
        <w:rPr>
          <w:rFonts w:hint="eastAsia" w:ascii="宋体" w:hAnsi="宋体"/>
          <w:color w:val="auto"/>
          <w:sz w:val="24"/>
          <w:highlight w:val="none"/>
        </w:rPr>
        <w:t>邮编：                               邮编：</w:t>
      </w:r>
    </w:p>
    <w:p w14:paraId="6B400465">
      <w:pPr>
        <w:snapToGrid w:val="0"/>
        <w:spacing w:before="120" w:after="120" w:line="400" w:lineRule="exact"/>
        <w:ind w:leftChars="-1" w:hanging="2"/>
        <w:rPr>
          <w:rFonts w:ascii="宋体" w:hAnsi="宋体"/>
          <w:color w:val="auto"/>
          <w:sz w:val="24"/>
          <w:highlight w:val="none"/>
        </w:rPr>
      </w:pPr>
      <w:r>
        <w:rPr>
          <w:rFonts w:hint="eastAsia" w:ascii="宋体" w:hAnsi="宋体"/>
          <w:color w:val="auto"/>
          <w:sz w:val="24"/>
          <w:highlight w:val="none"/>
        </w:rPr>
        <w:t>电话：                               电话：</w:t>
      </w:r>
    </w:p>
    <w:p w14:paraId="5B27D8D4">
      <w:pPr>
        <w:snapToGrid w:val="0"/>
        <w:spacing w:before="120" w:after="120" w:line="400" w:lineRule="exact"/>
        <w:ind w:leftChars="-1" w:hanging="2"/>
        <w:rPr>
          <w:rFonts w:ascii="宋体" w:hAnsi="宋体"/>
          <w:color w:val="auto"/>
          <w:sz w:val="24"/>
          <w:highlight w:val="none"/>
        </w:rPr>
      </w:pPr>
      <w:r>
        <w:rPr>
          <w:rFonts w:hint="eastAsia" w:ascii="宋体" w:hAnsi="宋体"/>
          <w:color w:val="auto"/>
          <w:sz w:val="24"/>
          <w:highlight w:val="none"/>
        </w:rPr>
        <w:t>传真：                               传真：</w:t>
      </w:r>
    </w:p>
    <w:p w14:paraId="70956995">
      <w:pPr>
        <w:snapToGrid w:val="0"/>
        <w:spacing w:before="120" w:after="120" w:line="400" w:lineRule="exact"/>
        <w:ind w:leftChars="-1" w:hanging="2"/>
        <w:rPr>
          <w:rFonts w:ascii="宋体" w:hAnsi="宋体"/>
          <w:color w:val="auto"/>
          <w:sz w:val="24"/>
          <w:highlight w:val="none"/>
        </w:rPr>
      </w:pPr>
      <w:r>
        <w:rPr>
          <w:rFonts w:hint="eastAsia" w:ascii="宋体" w:hAnsi="宋体"/>
          <w:color w:val="auto"/>
          <w:sz w:val="24"/>
          <w:highlight w:val="none"/>
        </w:rPr>
        <w:t>开户银行：                           开户银行：</w:t>
      </w:r>
    </w:p>
    <w:p w14:paraId="5C48E74F">
      <w:pPr>
        <w:snapToGrid w:val="0"/>
        <w:spacing w:before="120" w:after="120" w:line="400" w:lineRule="exact"/>
        <w:ind w:leftChars="-1" w:hanging="2"/>
        <w:rPr>
          <w:rFonts w:ascii="宋体" w:hAnsi="宋体"/>
          <w:color w:val="auto"/>
          <w:sz w:val="24"/>
          <w:highlight w:val="none"/>
        </w:rPr>
      </w:pPr>
      <w:r>
        <w:rPr>
          <w:rFonts w:hint="eastAsia" w:ascii="宋体" w:hAnsi="宋体"/>
          <w:color w:val="auto"/>
          <w:sz w:val="24"/>
          <w:highlight w:val="none"/>
        </w:rPr>
        <w:t>账号：                               账号：</w:t>
      </w:r>
    </w:p>
    <w:p w14:paraId="34FCBF97">
      <w:pPr>
        <w:snapToGrid w:val="0"/>
        <w:spacing w:before="156" w:after="156" w:line="400" w:lineRule="exact"/>
        <w:rPr>
          <w:rFonts w:ascii="宋体" w:hAnsi="宋体"/>
          <w:color w:val="auto"/>
          <w:sz w:val="24"/>
          <w:highlight w:val="none"/>
        </w:rPr>
      </w:pPr>
    </w:p>
    <w:p w14:paraId="47A55F95">
      <w:pPr>
        <w:snapToGrid w:val="0"/>
        <w:spacing w:before="156" w:after="156" w:line="400" w:lineRule="exact"/>
        <w:rPr>
          <w:rFonts w:ascii="宋体" w:hAnsi="宋体"/>
          <w:color w:val="auto"/>
          <w:sz w:val="24"/>
          <w:highlight w:val="none"/>
        </w:rPr>
      </w:pPr>
      <w:r>
        <w:rPr>
          <w:rFonts w:hint="eastAsia" w:ascii="宋体" w:hAnsi="宋体"/>
          <w:color w:val="auto"/>
          <w:sz w:val="24"/>
          <w:highlight w:val="none"/>
        </w:rPr>
        <w:t>鉴证方:</w:t>
      </w:r>
    </w:p>
    <w:p w14:paraId="4A1100E8">
      <w:pPr>
        <w:snapToGrid w:val="0"/>
        <w:spacing w:before="156" w:after="156" w:line="400" w:lineRule="exact"/>
        <w:rPr>
          <w:rFonts w:ascii="宋体" w:hAnsi="宋体"/>
          <w:color w:val="auto"/>
          <w:sz w:val="24"/>
          <w:highlight w:val="none"/>
        </w:rPr>
      </w:pPr>
      <w:r>
        <w:rPr>
          <w:rFonts w:hint="eastAsia" w:ascii="宋体" w:hAnsi="宋体"/>
          <w:color w:val="auto"/>
          <w:sz w:val="24"/>
          <w:highlight w:val="none"/>
        </w:rPr>
        <w:t>法定代表人或主要负责人:</w:t>
      </w:r>
    </w:p>
    <w:p w14:paraId="3442DC83">
      <w:pPr>
        <w:spacing w:line="400" w:lineRule="exact"/>
        <w:rPr>
          <w:rFonts w:ascii="宋体" w:hAnsi="宋体"/>
          <w:b/>
          <w:color w:val="auto"/>
          <w:sz w:val="24"/>
          <w:highlight w:val="none"/>
        </w:rPr>
      </w:pPr>
      <w:r>
        <w:rPr>
          <w:rFonts w:hint="eastAsia" w:ascii="宋体" w:hAnsi="宋体"/>
          <w:color w:val="auto"/>
          <w:sz w:val="24"/>
          <w:highlight w:val="none"/>
        </w:rPr>
        <w:t>签约地点：                            签约时间：</w:t>
      </w:r>
    </w:p>
    <w:p w14:paraId="4B2A9218">
      <w:pPr>
        <w:spacing w:line="400" w:lineRule="exact"/>
        <w:rPr>
          <w:color w:val="auto"/>
          <w:sz w:val="24"/>
          <w:highlight w:val="none"/>
        </w:rPr>
      </w:pPr>
    </w:p>
    <w:p w14:paraId="5E4DC1DD">
      <w:pPr>
        <w:rPr>
          <w:rFonts w:ascii="宋体" w:hAnsi="宋体" w:cs="宋体"/>
          <w:color w:val="auto"/>
          <w:sz w:val="24"/>
          <w:highlight w:val="none"/>
        </w:rPr>
      </w:pPr>
    </w:p>
    <w:p w14:paraId="1621CA73">
      <w:pPr>
        <w:pStyle w:val="35"/>
        <w:rPr>
          <w:rFonts w:ascii="宋体" w:hAnsi="宋体" w:cs="宋体"/>
          <w:color w:val="auto"/>
          <w:szCs w:val="24"/>
          <w:highlight w:val="none"/>
        </w:rPr>
      </w:pPr>
    </w:p>
    <w:p w14:paraId="0554415B">
      <w:pPr>
        <w:spacing w:line="420" w:lineRule="exact"/>
        <w:jc w:val="center"/>
        <w:rPr>
          <w:rFonts w:ascii="宋体" w:hAnsi="宋体"/>
          <w:color w:val="auto"/>
          <w:sz w:val="24"/>
          <w:highlight w:val="none"/>
        </w:rPr>
      </w:pPr>
      <w:r>
        <w:rPr>
          <w:rFonts w:hint="eastAsia" w:ascii="宋体" w:hAnsi="宋体" w:cs="宋体"/>
          <w:b/>
          <w:color w:val="auto"/>
          <w:sz w:val="24"/>
          <w:highlight w:val="none"/>
        </w:rPr>
        <w:t>注：签订合同时，可以使用项目相关国家标准合同文本。</w:t>
      </w:r>
    </w:p>
    <w:p w14:paraId="5B9978F2">
      <w:pPr>
        <w:pageBreakBefore/>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政府采购廉洁承诺书</w:t>
      </w:r>
    </w:p>
    <w:p w14:paraId="7DF06359">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（中标人须将此表附在合同后）</w:t>
      </w:r>
    </w:p>
    <w:p w14:paraId="51370DD7">
      <w:pPr>
        <w:spacing w:line="360" w:lineRule="auto"/>
        <w:jc w:val="center"/>
        <w:rPr>
          <w:rFonts w:ascii="宋体" w:hAnsi="宋体" w:cs="宋体"/>
          <w:b/>
          <w:color w:val="auto"/>
          <w:sz w:val="24"/>
          <w:highlight w:val="none"/>
        </w:rPr>
      </w:pPr>
    </w:p>
    <w:p w14:paraId="38DD1DC3">
      <w:pPr>
        <w:spacing w:line="360" w:lineRule="auto"/>
        <w:rPr>
          <w:rFonts w:ascii="宋体" w:hAnsi="宋体" w:cs="宋体"/>
          <w:color w:val="auto"/>
          <w:sz w:val="24"/>
          <w:highlight w:val="none"/>
        </w:rPr>
      </w:pPr>
      <w:r>
        <w:rPr>
          <w:rFonts w:hint="eastAsia" w:ascii="宋体" w:hAnsi="宋体" w:cs="宋体"/>
          <w:color w:val="auto"/>
          <w:sz w:val="24"/>
          <w:highlight w:val="none"/>
        </w:rPr>
        <w:t>项目名称：                                     项目编号：</w:t>
      </w:r>
    </w:p>
    <w:p w14:paraId="7831EE7E">
      <w:pPr>
        <w:spacing w:line="360" w:lineRule="auto"/>
        <w:rPr>
          <w:rFonts w:ascii="宋体" w:hAnsi="宋体" w:cs="宋体"/>
          <w:color w:val="auto"/>
          <w:sz w:val="24"/>
          <w:highlight w:val="none"/>
        </w:rPr>
      </w:pPr>
      <w:r>
        <w:rPr>
          <w:rFonts w:hint="eastAsia" w:ascii="宋体" w:hAnsi="宋体" w:cs="宋体"/>
          <w:color w:val="auto"/>
          <w:sz w:val="24"/>
          <w:highlight w:val="none"/>
        </w:rPr>
        <w:t>中标人：</w:t>
      </w:r>
    </w:p>
    <w:p w14:paraId="4FEDC27F">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为加强政府采购活动中的廉政建设，防止发生商业贿赂等违法违纪行为，保护国家、集体和当事人的合法权益，根据《中华人民共和国政府采购法》和党风廉政建设及反腐败工作有关规定，我方自愿签订本承诺书，并严格执行。</w:t>
      </w:r>
    </w:p>
    <w:p w14:paraId="5BE85031">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第一条参与政府采购活动时，除具备采购文件规定的资格、资质要求外，我方还将严格遵守有关法律、法规、政策以及国家、地方关于廉政建设的各项规定。</w:t>
      </w:r>
    </w:p>
    <w:p w14:paraId="5A2E502A">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第二条遵循公开、公平、公正、诚实信用原则，不发生损害上述原则及各方当事人合法权益得不正当竞争行为。</w:t>
      </w:r>
    </w:p>
    <w:p w14:paraId="3B36D247">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第三条与政府采购各方当事人保持正常的业务交往，不向采购人、采购代理机构、监督机构、评审专家、工作人员及其他参与采购活动的人员提供不正当利益。主要有：</w:t>
      </w:r>
    </w:p>
    <w:p w14:paraId="4B0C1279">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（一）向上述人员赠送礼金、有价证券、贵重物品及回扣、好处费、感谢费等。</w:t>
      </w:r>
    </w:p>
    <w:p w14:paraId="042CF8FC">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（二）为上述人员或单位报销应由对方支付的费用。</w:t>
      </w:r>
    </w:p>
    <w:p w14:paraId="288ACC63">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（三）暗示为上述人员装修住房、婚丧嫁娶、配偶子女的工作安排以及出国（境）、旅游等提供方便。</w:t>
      </w:r>
    </w:p>
    <w:p w14:paraId="71918FD4">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（四）为上述人员或单位提供可能影响采购活动开展的宴请、健身、娱乐等活动。</w:t>
      </w:r>
    </w:p>
    <w:p w14:paraId="6F11EFB7">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 xml:space="preserve">第四条严格执行采购合同，自觉按合同办事；在合同执行过程中，不发生本承诺书第三条中所列不良行为。    </w:t>
      </w:r>
    </w:p>
    <w:p w14:paraId="595B3BF1">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第五条 发现采购活动各方当事人有违规、违纪、违法行为的，及时提醒对方，情节严重的，主动向其主管部门或纪检监察、司法等机关举报。</w:t>
      </w:r>
    </w:p>
    <w:p w14:paraId="341EDC86">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第六条 自觉接受政府采购管理部门的监管。在采购活动中出现违反本承诺书规定行为的，自觉接受政府采购管理部门的处罚，因违法违规行为给其他当事人造成经济损失的，按规定予以赔偿。</w:t>
      </w:r>
    </w:p>
    <w:p w14:paraId="356AEC5B">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第七条 本承诺书自签署之日起生效。</w:t>
      </w:r>
    </w:p>
    <w:p w14:paraId="16546DBA">
      <w:pPr>
        <w:spacing w:line="360" w:lineRule="auto"/>
        <w:ind w:left="840" w:hanging="840" w:hangingChars="350"/>
        <w:jc w:val="center"/>
        <w:rPr>
          <w:rFonts w:ascii="宋体" w:hAnsi="宋体" w:cs="宋体"/>
          <w:color w:val="auto"/>
          <w:sz w:val="24"/>
          <w:highlight w:val="none"/>
        </w:rPr>
      </w:pPr>
    </w:p>
    <w:p w14:paraId="4A941E4E">
      <w:pPr>
        <w:spacing w:line="360" w:lineRule="auto"/>
        <w:ind w:left="840" w:hanging="840" w:hangingChars="350"/>
        <w:jc w:val="center"/>
        <w:rPr>
          <w:rFonts w:ascii="宋体" w:hAnsi="宋体" w:cs="宋体"/>
          <w:color w:val="auto"/>
          <w:sz w:val="24"/>
          <w:highlight w:val="none"/>
        </w:rPr>
      </w:pPr>
      <w:r>
        <w:rPr>
          <w:rFonts w:hint="eastAsia" w:ascii="宋体" w:hAnsi="宋体" w:cs="宋体"/>
          <w:color w:val="auto"/>
          <w:sz w:val="24"/>
          <w:highlight w:val="none"/>
        </w:rPr>
        <w:t xml:space="preserve"> 投标人（盖章）：</w:t>
      </w:r>
    </w:p>
    <w:p w14:paraId="41A5C08E">
      <w:pPr>
        <w:spacing w:line="360" w:lineRule="auto"/>
        <w:ind w:left="840" w:hanging="840" w:hangingChars="350"/>
        <w:rPr>
          <w:rFonts w:ascii="宋体" w:hAnsi="宋体" w:cs="宋体"/>
          <w:color w:val="auto"/>
          <w:sz w:val="24"/>
          <w:highlight w:val="none"/>
        </w:rPr>
      </w:pPr>
      <w:r>
        <w:rPr>
          <w:rFonts w:hint="eastAsia" w:ascii="宋体" w:hAnsi="宋体" w:cs="宋体"/>
          <w:color w:val="auto"/>
          <w:sz w:val="24"/>
          <w:highlight w:val="none"/>
        </w:rPr>
        <w:t xml:space="preserve">                                法定代表人：</w:t>
      </w:r>
    </w:p>
    <w:p w14:paraId="03FE4A20">
      <w:pPr>
        <w:spacing w:line="360" w:lineRule="auto"/>
        <w:ind w:left="840" w:hanging="840" w:hangingChars="350"/>
        <w:rPr>
          <w:rFonts w:ascii="宋体" w:hAnsi="宋体" w:cs="宋体"/>
          <w:color w:val="auto"/>
          <w:sz w:val="24"/>
          <w:highlight w:val="none"/>
        </w:rPr>
      </w:pPr>
      <w:r>
        <w:rPr>
          <w:rFonts w:hint="eastAsia" w:ascii="宋体" w:hAnsi="宋体" w:cs="宋体"/>
          <w:color w:val="auto"/>
          <w:sz w:val="24"/>
          <w:highlight w:val="none"/>
        </w:rPr>
        <w:t xml:space="preserve">                                                    年    月   日</w:t>
      </w:r>
    </w:p>
    <w:p w14:paraId="132B4D94">
      <w:pPr>
        <w:spacing w:line="360" w:lineRule="auto"/>
        <w:ind w:left="840" w:hanging="840" w:hangingChars="350"/>
        <w:rPr>
          <w:rFonts w:ascii="宋体" w:hAnsi="宋体" w:cs="宋体"/>
          <w:color w:val="auto"/>
          <w:sz w:val="24"/>
          <w:highlight w:val="none"/>
        </w:rPr>
      </w:pPr>
    </w:p>
    <w:p w14:paraId="13CF4B97">
      <w:pPr>
        <w:pStyle w:val="4"/>
        <w:jc w:val="center"/>
        <w:rPr>
          <w:rFonts w:ascii="宋体" w:hAnsi="宋体" w:cs="宋体"/>
          <w:color w:val="auto"/>
          <w:sz w:val="24"/>
          <w:szCs w:val="24"/>
          <w:highlight w:val="none"/>
        </w:rPr>
      </w:pPr>
      <w:bookmarkStart w:id="58" w:name="_Toc18653"/>
      <w:r>
        <w:rPr>
          <w:rFonts w:hint="eastAsia" w:ascii="宋体" w:hAnsi="宋体" w:cs="宋体"/>
          <w:color w:val="auto"/>
          <w:sz w:val="24"/>
          <w:szCs w:val="24"/>
          <w:highlight w:val="none"/>
        </w:rPr>
        <w:t>第六章　投标文件组成内容及格式</w:t>
      </w:r>
      <w:bookmarkEnd w:id="58"/>
    </w:p>
    <w:bookmarkEnd w:id="47"/>
    <w:bookmarkEnd w:id="48"/>
    <w:p w14:paraId="39BA423D">
      <w:pPr>
        <w:pStyle w:val="12"/>
        <w:spacing w:before="120" w:after="120" w:line="360" w:lineRule="auto"/>
        <w:rPr>
          <w:rFonts w:ascii="宋体" w:hAnsi="宋体" w:cs="宋体"/>
          <w:color w:val="auto"/>
          <w:szCs w:val="24"/>
          <w:highlight w:val="none"/>
          <w:u w:val="single"/>
        </w:rPr>
      </w:pPr>
    </w:p>
    <w:p w14:paraId="140F2DA3">
      <w:pPr>
        <w:jc w:val="center"/>
        <w:rPr>
          <w:color w:val="auto"/>
          <w:sz w:val="24"/>
          <w:highlight w:val="none"/>
        </w:rPr>
      </w:pPr>
      <w:bookmarkStart w:id="59" w:name="_Toc405368940"/>
      <w:r>
        <w:rPr>
          <w:rFonts w:hint="eastAsia"/>
          <w:color w:val="auto"/>
          <w:sz w:val="24"/>
          <w:highlight w:val="none"/>
        </w:rPr>
        <w:t>一、投标文件封面格式</w:t>
      </w:r>
      <w:bookmarkEnd w:id="59"/>
    </w:p>
    <w:p w14:paraId="138CC907">
      <w:pPr>
        <w:rPr>
          <w:rFonts w:ascii="宋体" w:hAnsi="宋体" w:cs="宋体"/>
          <w:color w:val="auto"/>
          <w:sz w:val="24"/>
          <w:highlight w:val="none"/>
        </w:rPr>
      </w:pPr>
    </w:p>
    <w:p w14:paraId="7AD57564">
      <w:pPr>
        <w:rPr>
          <w:rFonts w:ascii="宋体" w:hAnsi="宋体" w:cs="宋体"/>
          <w:color w:val="auto"/>
          <w:sz w:val="24"/>
          <w:highlight w:val="none"/>
        </w:rPr>
      </w:pPr>
    </w:p>
    <w:p w14:paraId="04891620">
      <w:pPr>
        <w:rPr>
          <w:rFonts w:ascii="宋体" w:hAnsi="宋体" w:cs="宋体"/>
          <w:b/>
          <w:bCs/>
          <w:color w:val="auto"/>
          <w:sz w:val="24"/>
          <w:highlight w:val="none"/>
        </w:rPr>
      </w:pPr>
    </w:p>
    <w:p w14:paraId="03E0A446">
      <w:pPr>
        <w:spacing w:line="360" w:lineRule="auto"/>
        <w:rPr>
          <w:rFonts w:ascii="宋体" w:hAnsi="宋体" w:cs="宋体"/>
          <w:b/>
          <w:bCs/>
          <w:color w:val="auto"/>
          <w:sz w:val="24"/>
          <w:highlight w:val="none"/>
        </w:rPr>
      </w:pPr>
      <w:r>
        <w:rPr>
          <w:rFonts w:hint="eastAsia" w:ascii="宋体" w:hAnsi="宋体" w:cs="宋体"/>
          <w:b/>
          <w:bCs/>
          <w:color w:val="auto"/>
          <w:sz w:val="24"/>
          <w:highlight w:val="none"/>
        </w:rPr>
        <w:t xml:space="preserve">1.投标文件封面格式： </w:t>
      </w:r>
    </w:p>
    <w:p w14:paraId="1F7F4B92">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正本/或副本</w:t>
      </w:r>
    </w:p>
    <w:p w14:paraId="2AC9FEA7">
      <w:pPr>
        <w:spacing w:line="360" w:lineRule="auto"/>
        <w:rPr>
          <w:rFonts w:ascii="宋体" w:hAnsi="宋体" w:cs="宋体"/>
          <w:color w:val="auto"/>
          <w:sz w:val="24"/>
          <w:highlight w:val="none"/>
        </w:rPr>
      </w:pPr>
    </w:p>
    <w:p w14:paraId="751A9198">
      <w:pPr>
        <w:spacing w:line="360" w:lineRule="auto"/>
        <w:rPr>
          <w:rFonts w:ascii="宋体" w:hAnsi="宋体" w:cs="宋体"/>
          <w:color w:val="auto"/>
          <w:sz w:val="24"/>
          <w:highlight w:val="none"/>
        </w:rPr>
      </w:pPr>
    </w:p>
    <w:p w14:paraId="4103EE1C">
      <w:pPr>
        <w:spacing w:line="360" w:lineRule="auto"/>
        <w:rPr>
          <w:rFonts w:ascii="宋体" w:hAnsi="宋体" w:cs="宋体"/>
          <w:color w:val="auto"/>
          <w:sz w:val="24"/>
          <w:highlight w:val="none"/>
        </w:rPr>
      </w:pPr>
    </w:p>
    <w:p w14:paraId="6D71D01F">
      <w:pPr>
        <w:spacing w:line="360" w:lineRule="auto"/>
        <w:rPr>
          <w:rFonts w:ascii="宋体" w:hAnsi="宋体" w:cs="宋体"/>
          <w:color w:val="auto"/>
          <w:sz w:val="24"/>
          <w:highlight w:val="none"/>
        </w:rPr>
      </w:pPr>
    </w:p>
    <w:p w14:paraId="1566E2D4">
      <w:pPr>
        <w:spacing w:line="360" w:lineRule="auto"/>
        <w:rPr>
          <w:rFonts w:ascii="宋体" w:hAnsi="宋体" w:cs="宋体"/>
          <w:color w:val="auto"/>
          <w:sz w:val="24"/>
          <w:highlight w:val="none"/>
        </w:rPr>
      </w:pPr>
    </w:p>
    <w:p w14:paraId="32A65FBE">
      <w:pPr>
        <w:spacing w:line="480" w:lineRule="auto"/>
        <w:rPr>
          <w:rFonts w:ascii="宋体" w:hAnsi="宋体" w:cs="宋体"/>
          <w:color w:val="auto"/>
          <w:sz w:val="24"/>
          <w:highlight w:val="none"/>
        </w:rPr>
      </w:pPr>
      <w:r>
        <w:rPr>
          <w:rFonts w:hint="eastAsia" w:ascii="宋体" w:hAnsi="宋体" w:cs="宋体"/>
          <w:color w:val="auto"/>
          <w:sz w:val="24"/>
          <w:highlight w:val="none"/>
        </w:rPr>
        <w:t>资格审查文件、商务技术文件、报价文件（相应选择一个投标文件封面外包装名称）</w:t>
      </w:r>
    </w:p>
    <w:p w14:paraId="420AFB4D">
      <w:pPr>
        <w:spacing w:line="480" w:lineRule="auto"/>
        <w:rPr>
          <w:rFonts w:hint="eastAsia" w:ascii="宋体" w:hAnsi="宋体" w:eastAsia="宋体" w:cs="宋体"/>
          <w:color w:val="auto"/>
          <w:sz w:val="24"/>
          <w:highlight w:val="none"/>
          <w:lang w:eastAsia="zh-CN"/>
        </w:rPr>
      </w:pPr>
      <w:r>
        <w:rPr>
          <w:rFonts w:hint="eastAsia" w:ascii="宋体" w:hAnsi="宋体" w:cs="宋体"/>
          <w:color w:val="auto"/>
          <w:sz w:val="24"/>
          <w:highlight w:val="none"/>
        </w:rPr>
        <w:t>项目名称：</w:t>
      </w:r>
      <w:r>
        <w:rPr>
          <w:rFonts w:hint="eastAsia" w:ascii="宋体" w:hAnsi="宋体" w:cs="宋体"/>
          <w:color w:val="auto"/>
          <w:sz w:val="24"/>
          <w:highlight w:val="none"/>
          <w:lang w:eastAsia="zh-CN"/>
        </w:rPr>
        <w:t>东阳市农药废弃包装物回收和集中处置采购项目（第二次）</w:t>
      </w:r>
    </w:p>
    <w:p w14:paraId="2E4D0C57">
      <w:pPr>
        <w:spacing w:line="480" w:lineRule="auto"/>
        <w:rPr>
          <w:rFonts w:hint="eastAsia" w:ascii="宋体" w:hAnsi="宋体" w:eastAsia="宋体" w:cs="宋体"/>
          <w:color w:val="auto"/>
          <w:sz w:val="24"/>
          <w:highlight w:val="none"/>
          <w:lang w:eastAsia="zh-CN"/>
        </w:rPr>
      </w:pPr>
      <w:r>
        <w:rPr>
          <w:rFonts w:hint="eastAsia" w:ascii="宋体" w:hAnsi="宋体" w:cs="宋体"/>
          <w:color w:val="auto"/>
          <w:sz w:val="24"/>
          <w:highlight w:val="none"/>
        </w:rPr>
        <w:t>项目编号：</w:t>
      </w:r>
      <w:r>
        <w:rPr>
          <w:rFonts w:hint="eastAsia" w:ascii="宋体" w:hAnsi="宋体" w:cs="宋体"/>
          <w:color w:val="auto"/>
          <w:sz w:val="24"/>
          <w:highlight w:val="none"/>
          <w:lang w:eastAsia="zh-CN"/>
        </w:rPr>
        <w:t>JHZD2025-002-1</w:t>
      </w:r>
    </w:p>
    <w:p w14:paraId="02AF7714">
      <w:pPr>
        <w:spacing w:line="480" w:lineRule="auto"/>
        <w:rPr>
          <w:rFonts w:ascii="宋体" w:hAnsi="宋体" w:cs="宋体"/>
          <w:color w:val="auto"/>
          <w:sz w:val="24"/>
          <w:highlight w:val="none"/>
        </w:rPr>
      </w:pPr>
      <w:r>
        <w:rPr>
          <w:rFonts w:hint="eastAsia" w:ascii="宋体" w:hAnsi="宋体" w:cs="宋体"/>
          <w:color w:val="auto"/>
          <w:sz w:val="24"/>
          <w:highlight w:val="none"/>
        </w:rPr>
        <w:t>标项：</w:t>
      </w:r>
    </w:p>
    <w:p w14:paraId="3E96D387">
      <w:pPr>
        <w:spacing w:line="480" w:lineRule="auto"/>
        <w:rPr>
          <w:rFonts w:ascii="宋体" w:hAnsi="宋体" w:cs="宋体"/>
          <w:color w:val="auto"/>
          <w:sz w:val="24"/>
          <w:highlight w:val="none"/>
        </w:rPr>
      </w:pPr>
      <w:r>
        <w:rPr>
          <w:rFonts w:hint="eastAsia" w:ascii="宋体" w:hAnsi="宋体" w:cs="宋体"/>
          <w:color w:val="auto"/>
          <w:sz w:val="24"/>
          <w:highlight w:val="none"/>
        </w:rPr>
        <w:t>投标人名称：</w:t>
      </w:r>
    </w:p>
    <w:p w14:paraId="22681038">
      <w:pPr>
        <w:spacing w:line="480" w:lineRule="auto"/>
        <w:rPr>
          <w:rFonts w:ascii="宋体" w:hAnsi="宋体" w:cs="宋体"/>
          <w:color w:val="auto"/>
          <w:sz w:val="24"/>
          <w:highlight w:val="none"/>
        </w:rPr>
      </w:pPr>
      <w:r>
        <w:rPr>
          <w:rFonts w:hint="eastAsia" w:ascii="宋体" w:hAnsi="宋体" w:cs="宋体"/>
          <w:color w:val="auto"/>
          <w:sz w:val="24"/>
          <w:highlight w:val="none"/>
        </w:rPr>
        <w:t>投标人地址：</w:t>
      </w:r>
    </w:p>
    <w:p w14:paraId="0630CFBA">
      <w:pPr>
        <w:spacing w:line="480" w:lineRule="auto"/>
        <w:rPr>
          <w:rFonts w:ascii="宋体" w:hAnsi="宋体" w:cs="宋体"/>
          <w:color w:val="auto"/>
          <w:sz w:val="24"/>
          <w:highlight w:val="none"/>
        </w:rPr>
      </w:pPr>
      <w:r>
        <w:rPr>
          <w:rFonts w:hint="eastAsia" w:ascii="宋体" w:hAnsi="宋体" w:cs="宋体"/>
          <w:color w:val="auto"/>
          <w:sz w:val="24"/>
          <w:highlight w:val="none"/>
        </w:rPr>
        <w:t xml:space="preserve">       </w:t>
      </w:r>
    </w:p>
    <w:p w14:paraId="5B556BFD">
      <w:pPr>
        <w:spacing w:line="480" w:lineRule="auto"/>
        <w:rPr>
          <w:rFonts w:ascii="宋体" w:hAnsi="宋体" w:cs="宋体"/>
          <w:color w:val="auto"/>
          <w:sz w:val="24"/>
          <w:highlight w:val="none"/>
        </w:rPr>
      </w:pPr>
      <w:r>
        <w:rPr>
          <w:rFonts w:hint="eastAsia" w:ascii="宋体" w:hAnsi="宋体" w:cs="宋体"/>
          <w:color w:val="auto"/>
          <w:sz w:val="24"/>
          <w:highlight w:val="none"/>
        </w:rPr>
        <w:t xml:space="preserve">                                                   年   月   日</w:t>
      </w:r>
    </w:p>
    <w:p w14:paraId="7B2A1653">
      <w:pPr>
        <w:spacing w:line="360" w:lineRule="auto"/>
        <w:rPr>
          <w:rFonts w:ascii="宋体" w:hAnsi="宋体" w:cs="宋体"/>
          <w:color w:val="auto"/>
          <w:sz w:val="24"/>
          <w:highlight w:val="none"/>
        </w:rPr>
      </w:pPr>
    </w:p>
    <w:p w14:paraId="400DBF1D">
      <w:pPr>
        <w:rPr>
          <w:rFonts w:ascii="宋体" w:hAnsi="宋体" w:cs="宋体"/>
          <w:color w:val="auto"/>
          <w:sz w:val="24"/>
          <w:highlight w:val="none"/>
        </w:rPr>
      </w:pPr>
    </w:p>
    <w:p w14:paraId="07D58F86">
      <w:pPr>
        <w:rPr>
          <w:color w:val="auto"/>
          <w:highlight w:val="none"/>
        </w:rPr>
      </w:pPr>
    </w:p>
    <w:p w14:paraId="7C10C075">
      <w:pPr>
        <w:spacing w:line="360" w:lineRule="auto"/>
        <w:rPr>
          <w:rFonts w:ascii="宋体" w:hAnsi="宋体" w:cs="宋体"/>
          <w:b/>
          <w:color w:val="auto"/>
          <w:sz w:val="24"/>
          <w:highlight w:val="none"/>
        </w:rPr>
      </w:pPr>
    </w:p>
    <w:p w14:paraId="22F293DE">
      <w:pPr>
        <w:rPr>
          <w:rFonts w:hint="eastAsia" w:ascii="宋体" w:hAnsi="宋体" w:cs="宋体"/>
          <w:b/>
          <w:color w:val="auto"/>
          <w:sz w:val="24"/>
          <w:highlight w:val="none"/>
        </w:rPr>
      </w:pPr>
      <w:r>
        <w:rPr>
          <w:rFonts w:hint="eastAsia" w:ascii="宋体" w:hAnsi="宋体" w:cs="宋体"/>
          <w:b/>
          <w:color w:val="auto"/>
          <w:sz w:val="24"/>
          <w:highlight w:val="none"/>
        </w:rPr>
        <w:br w:type="page"/>
      </w:r>
    </w:p>
    <w:p w14:paraId="01D7A85D">
      <w:pPr>
        <w:spacing w:line="360" w:lineRule="auto"/>
        <w:rPr>
          <w:rFonts w:ascii="宋体" w:hAnsi="宋体" w:cs="宋体"/>
          <w:b/>
          <w:color w:val="auto"/>
          <w:sz w:val="24"/>
          <w:highlight w:val="none"/>
        </w:rPr>
      </w:pPr>
      <w:r>
        <w:rPr>
          <w:rFonts w:hint="eastAsia" w:ascii="宋体" w:hAnsi="宋体" w:cs="宋体"/>
          <w:b/>
          <w:color w:val="auto"/>
          <w:sz w:val="24"/>
          <w:highlight w:val="none"/>
        </w:rPr>
        <w:t>2.资格审查文件：</w:t>
      </w:r>
    </w:p>
    <w:p w14:paraId="01B0B714">
      <w:pPr>
        <w:spacing w:line="360" w:lineRule="auto"/>
        <w:rPr>
          <w:rFonts w:ascii="宋体" w:hAnsi="宋体" w:cs="宋体"/>
          <w:color w:val="auto"/>
          <w:sz w:val="24"/>
          <w:highlight w:val="none"/>
        </w:rPr>
      </w:pPr>
      <w:bookmarkStart w:id="60" w:name="_Toc9500"/>
      <w:r>
        <w:rPr>
          <w:rFonts w:hint="eastAsia" w:ascii="宋体" w:hAnsi="宋体" w:cs="宋体"/>
          <w:color w:val="auto"/>
          <w:sz w:val="24"/>
          <w:highlight w:val="none"/>
        </w:rPr>
        <w:t>（1）具有独立承担民事责任的能力：投标人须在投标文件中出具符合以下情况的证明材料复印件（五选一）：</w:t>
      </w:r>
    </w:p>
    <w:p w14:paraId="2F589A40">
      <w:pPr>
        <w:spacing w:line="360" w:lineRule="auto"/>
        <w:rPr>
          <w:rFonts w:ascii="宋体" w:hAnsi="宋体" w:cs="宋体"/>
          <w:color w:val="auto"/>
          <w:sz w:val="24"/>
          <w:highlight w:val="none"/>
        </w:rPr>
      </w:pPr>
      <w:r>
        <w:rPr>
          <w:rFonts w:hint="eastAsia" w:ascii="宋体" w:hAnsi="宋体" w:cs="宋体"/>
          <w:color w:val="auto"/>
          <w:sz w:val="24"/>
          <w:highlight w:val="none"/>
        </w:rPr>
        <w:t>①如投标人是企业（包括合伙企业），提供在工商部门注册的有效“企业法人营业执照”或“营业执照”；</w:t>
      </w:r>
    </w:p>
    <w:p w14:paraId="56227E43">
      <w:pPr>
        <w:spacing w:line="360" w:lineRule="auto"/>
        <w:rPr>
          <w:rFonts w:ascii="宋体" w:hAnsi="宋体" w:cs="宋体"/>
          <w:color w:val="auto"/>
          <w:sz w:val="24"/>
          <w:highlight w:val="none"/>
        </w:rPr>
      </w:pPr>
      <w:r>
        <w:rPr>
          <w:rFonts w:hint="eastAsia" w:ascii="宋体" w:hAnsi="宋体" w:cs="宋体"/>
          <w:color w:val="auto"/>
          <w:sz w:val="24"/>
          <w:highlight w:val="none"/>
        </w:rPr>
        <w:t>②如投标人是事业单位，提供有效的“事业单位法人证书”；</w:t>
      </w:r>
    </w:p>
    <w:p w14:paraId="06EF1275">
      <w:pPr>
        <w:spacing w:line="360" w:lineRule="auto"/>
        <w:rPr>
          <w:rFonts w:ascii="宋体" w:hAnsi="宋体" w:cs="宋体"/>
          <w:color w:val="auto"/>
          <w:sz w:val="24"/>
          <w:highlight w:val="none"/>
        </w:rPr>
      </w:pPr>
      <w:r>
        <w:rPr>
          <w:rFonts w:hint="eastAsia" w:ascii="宋体" w:hAnsi="宋体" w:cs="宋体"/>
          <w:color w:val="auto"/>
          <w:sz w:val="24"/>
          <w:highlight w:val="none"/>
        </w:rPr>
        <w:t>③如投标人是非企业专业服务机构的，提供执业许可证等证明文件；</w:t>
      </w:r>
    </w:p>
    <w:p w14:paraId="6F15B064">
      <w:pPr>
        <w:spacing w:line="360" w:lineRule="auto"/>
        <w:rPr>
          <w:rFonts w:ascii="宋体" w:hAnsi="宋体" w:cs="宋体"/>
          <w:color w:val="auto"/>
          <w:sz w:val="24"/>
          <w:highlight w:val="none"/>
        </w:rPr>
      </w:pPr>
      <w:r>
        <w:rPr>
          <w:rFonts w:hint="eastAsia" w:ascii="宋体" w:hAnsi="宋体" w:cs="宋体"/>
          <w:color w:val="auto"/>
          <w:sz w:val="24"/>
          <w:highlight w:val="none"/>
        </w:rPr>
        <w:t>④如投标人是个体工商户，提供有效的“个体工商户营业执照”；</w:t>
      </w:r>
    </w:p>
    <w:p w14:paraId="1E9CF7D3">
      <w:pPr>
        <w:spacing w:line="360" w:lineRule="auto"/>
        <w:rPr>
          <w:rFonts w:ascii="宋体" w:hAnsi="宋体" w:cs="宋体"/>
          <w:color w:val="auto"/>
          <w:sz w:val="24"/>
          <w:highlight w:val="none"/>
        </w:rPr>
      </w:pPr>
      <w:r>
        <w:rPr>
          <w:rFonts w:hint="eastAsia" w:ascii="宋体" w:hAnsi="宋体" w:cs="宋体"/>
          <w:color w:val="auto"/>
          <w:sz w:val="24"/>
          <w:highlight w:val="none"/>
        </w:rPr>
        <w:t>⑤如投标人是自然人，提供有效的自然人身份证明（居民身份证正反面或公安机关出具的临时居民身份证正反面或港澳台胞证或护照）。</w:t>
      </w:r>
    </w:p>
    <w:p w14:paraId="29C835D7">
      <w:pPr>
        <w:spacing w:line="360" w:lineRule="auto"/>
        <w:rPr>
          <w:rFonts w:ascii="宋体" w:hAnsi="宋体" w:cs="宋体"/>
          <w:color w:val="auto"/>
          <w:sz w:val="24"/>
          <w:highlight w:val="none"/>
        </w:rPr>
      </w:pPr>
      <w:r>
        <w:rPr>
          <w:rFonts w:hint="eastAsia" w:ascii="宋体" w:hAnsi="宋体" w:cs="宋体"/>
          <w:color w:val="auto"/>
          <w:sz w:val="24"/>
          <w:highlight w:val="none"/>
        </w:rPr>
        <w:t>（2）法定代表人身份证复印件或法定代表人授权委托书(格式见附件)；</w:t>
      </w:r>
    </w:p>
    <w:p w14:paraId="65FE9CAB">
      <w:pPr>
        <w:spacing w:line="360" w:lineRule="auto"/>
        <w:rPr>
          <w:rFonts w:ascii="宋体" w:hAnsi="宋体" w:cs="宋体"/>
          <w:color w:val="auto"/>
          <w:sz w:val="24"/>
          <w:highlight w:val="none"/>
        </w:rPr>
      </w:pPr>
      <w:r>
        <w:rPr>
          <w:rFonts w:hint="eastAsia" w:ascii="宋体" w:hAnsi="宋体" w:cs="宋体"/>
          <w:color w:val="auto"/>
          <w:sz w:val="24"/>
          <w:highlight w:val="none"/>
        </w:rPr>
        <w:t>（3）符合参加政府采购活动应当具备的一般条件的承诺函（格式见附件）；</w:t>
      </w:r>
    </w:p>
    <w:p w14:paraId="4804A461">
      <w:pPr>
        <w:spacing w:line="360" w:lineRule="auto"/>
        <w:rPr>
          <w:rFonts w:ascii="宋体" w:hAnsi="宋体" w:cs="宋体"/>
          <w:color w:val="auto"/>
          <w:sz w:val="24"/>
          <w:highlight w:val="none"/>
        </w:rPr>
      </w:pPr>
      <w:r>
        <w:rPr>
          <w:rFonts w:hint="eastAsia" w:ascii="宋体" w:hAnsi="宋体" w:cs="宋体"/>
          <w:color w:val="auto"/>
          <w:sz w:val="24"/>
          <w:highlight w:val="none"/>
        </w:rPr>
        <w:t>（4）信用记录网络查询页面截图（信用中国与中国政府采购网）；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479EE05B">
      <w:pPr>
        <w:spacing w:line="360" w:lineRule="auto"/>
        <w:rPr>
          <w:rFonts w:ascii="宋体" w:hAnsi="宋体" w:cs="宋体"/>
          <w:color w:val="auto"/>
          <w:sz w:val="24"/>
          <w:highlight w:val="none"/>
        </w:rPr>
      </w:pPr>
      <w:r>
        <w:rPr>
          <w:rFonts w:hint="eastAsia" w:ascii="宋体" w:hAnsi="宋体" w:cs="宋体"/>
          <w:color w:val="auto"/>
          <w:sz w:val="24"/>
          <w:highlight w:val="none"/>
        </w:rPr>
        <w:t>（5）浙江政府采购网注册正式供应商的网络截图或承诺中标后30天内注册为浙江政府采购网正式供应商（须提供承诺书）；</w:t>
      </w:r>
    </w:p>
    <w:p w14:paraId="1C5E70A5">
      <w:pPr>
        <w:spacing w:line="360" w:lineRule="auto"/>
        <w:rPr>
          <w:rFonts w:ascii="宋体" w:hAnsi="宋体" w:cs="宋体"/>
          <w:color w:val="auto"/>
          <w:sz w:val="24"/>
          <w:highlight w:val="none"/>
        </w:rPr>
      </w:pPr>
      <w:r>
        <w:rPr>
          <w:rFonts w:hint="eastAsia" w:ascii="宋体" w:hAnsi="宋体" w:cs="宋体"/>
          <w:color w:val="auto"/>
          <w:sz w:val="24"/>
          <w:highlight w:val="none"/>
        </w:rPr>
        <w:t>（6）东阳市政府采购代理机构社会评价表（格式见附件）；</w:t>
      </w:r>
    </w:p>
    <w:p w14:paraId="041D6C1A">
      <w:pPr>
        <w:spacing w:line="360" w:lineRule="auto"/>
        <w:rPr>
          <w:rFonts w:ascii="宋体" w:hAnsi="宋体" w:cs="宋体"/>
          <w:color w:val="auto"/>
          <w:sz w:val="24"/>
          <w:highlight w:val="none"/>
        </w:rPr>
      </w:pPr>
      <w:r>
        <w:rPr>
          <w:rFonts w:hint="eastAsia" w:ascii="宋体" w:hAnsi="宋体" w:cs="宋体"/>
          <w:color w:val="auto"/>
          <w:sz w:val="24"/>
          <w:highlight w:val="none"/>
        </w:rPr>
        <w:t>（7）投标声明书 (格式见附件) ；</w:t>
      </w:r>
    </w:p>
    <w:p w14:paraId="2ABE4A0B">
      <w:pPr>
        <w:spacing w:line="360" w:lineRule="auto"/>
        <w:rPr>
          <w:rFonts w:ascii="宋体" w:hAnsi="宋体" w:cs="宋体"/>
          <w:color w:val="auto"/>
          <w:sz w:val="24"/>
          <w:highlight w:val="none"/>
        </w:rPr>
      </w:pPr>
      <w:r>
        <w:rPr>
          <w:rFonts w:hint="eastAsia" w:ascii="宋体" w:hAnsi="宋体" w:cs="宋体"/>
          <w:color w:val="auto"/>
          <w:sz w:val="24"/>
          <w:highlight w:val="none"/>
        </w:rPr>
        <w:t>（8）政府采购活动现场确认声明书 (格式见附件) ；</w:t>
      </w:r>
    </w:p>
    <w:p w14:paraId="66B8FCE9">
      <w:pPr>
        <w:spacing w:line="360" w:lineRule="auto"/>
        <w:rPr>
          <w:rFonts w:ascii="宋体" w:hAnsi="宋体" w:cs="宋体"/>
          <w:color w:val="auto"/>
          <w:sz w:val="24"/>
          <w:highlight w:val="none"/>
        </w:rPr>
      </w:pPr>
      <w:r>
        <w:rPr>
          <w:rFonts w:hint="eastAsia" w:ascii="宋体" w:hAnsi="宋体" w:cs="宋体"/>
          <w:color w:val="auto"/>
          <w:sz w:val="24"/>
          <w:highlight w:val="none"/>
        </w:rPr>
        <w:t>（9）联合体协议书（联合体投标时提供）（格式见附件）；</w:t>
      </w:r>
    </w:p>
    <w:p w14:paraId="765FFD01">
      <w:pPr>
        <w:spacing w:line="360" w:lineRule="auto"/>
        <w:rPr>
          <w:rFonts w:ascii="宋体" w:hAnsi="宋体" w:cs="宋体"/>
          <w:b/>
          <w:bCs/>
          <w:color w:val="auto"/>
          <w:sz w:val="24"/>
          <w:highlight w:val="none"/>
        </w:rPr>
      </w:pPr>
      <w:r>
        <w:rPr>
          <w:rFonts w:hint="eastAsia" w:ascii="宋体" w:hAnsi="宋体" w:cs="宋体"/>
          <w:color w:val="auto"/>
          <w:sz w:val="24"/>
          <w:highlight w:val="none"/>
        </w:rPr>
        <w:t>（10）</w:t>
      </w:r>
      <w:r>
        <w:rPr>
          <w:rFonts w:hint="eastAsia" w:ascii="宋体" w:hAnsi="宋体" w:cs="宋体"/>
          <w:b/>
          <w:color w:val="auto"/>
          <w:sz w:val="24"/>
          <w:highlight w:val="none"/>
        </w:rPr>
        <w:t>落实</w:t>
      </w:r>
      <w:r>
        <w:rPr>
          <w:rFonts w:hint="eastAsia" w:ascii="宋体" w:hAnsi="宋体" w:cs="宋体"/>
          <w:b/>
          <w:bCs/>
          <w:color w:val="auto"/>
          <w:sz w:val="24"/>
          <w:highlight w:val="none"/>
        </w:rPr>
        <w:t>政府采购政策需满足的资格：供应商为中小企业/小微企业，提供《中小企业声明函》（格式见附件）；</w:t>
      </w:r>
    </w:p>
    <w:p w14:paraId="2EFD148C">
      <w:pPr>
        <w:spacing w:line="360" w:lineRule="auto"/>
        <w:rPr>
          <w:rFonts w:ascii="宋体" w:hAnsi="宋体" w:cs="宋体"/>
          <w:color w:val="auto"/>
          <w:sz w:val="24"/>
          <w:highlight w:val="none"/>
        </w:rPr>
      </w:pPr>
      <w:r>
        <w:rPr>
          <w:rFonts w:hint="eastAsia" w:ascii="宋体" w:hAnsi="宋体" w:cs="宋体"/>
          <w:color w:val="auto"/>
          <w:sz w:val="24"/>
          <w:highlight w:val="none"/>
        </w:rPr>
        <w:t>（11）投标人情况介绍；</w:t>
      </w:r>
    </w:p>
    <w:p w14:paraId="7EF99CC2">
      <w:pPr>
        <w:spacing w:line="360" w:lineRule="auto"/>
        <w:rPr>
          <w:rFonts w:hint="eastAsia" w:ascii="宋体" w:hAnsi="宋体" w:cs="宋体"/>
          <w:color w:val="auto"/>
          <w:sz w:val="24"/>
          <w:highlight w:val="none"/>
          <w:lang w:eastAsia="zh-CN"/>
        </w:rPr>
      </w:pPr>
      <w:r>
        <w:rPr>
          <w:rFonts w:hint="eastAsia" w:ascii="宋体" w:hAnsi="宋体" w:cs="宋体"/>
          <w:color w:val="auto"/>
          <w:sz w:val="24"/>
          <w:highlight w:val="none"/>
        </w:rPr>
        <w:t>（12）农药经营许可证</w:t>
      </w:r>
      <w:r>
        <w:rPr>
          <w:rFonts w:hint="eastAsia" w:ascii="宋体" w:hAnsi="宋体" w:cs="宋体"/>
          <w:color w:val="auto"/>
          <w:sz w:val="24"/>
          <w:highlight w:val="none"/>
          <w:lang w:eastAsia="zh-CN"/>
        </w:rPr>
        <w:t>；</w:t>
      </w:r>
    </w:p>
    <w:p w14:paraId="6D9351BF">
      <w:pPr>
        <w:spacing w:line="360" w:lineRule="auto"/>
        <w:rPr>
          <w:rFonts w:ascii="宋体" w:hAnsi="宋体" w:cs="宋体"/>
          <w:color w:val="auto"/>
          <w:sz w:val="24"/>
          <w:highlight w:val="none"/>
        </w:rPr>
      </w:pPr>
      <w:r>
        <w:rPr>
          <w:rFonts w:hint="eastAsia" w:ascii="宋体" w:hAnsi="宋体" w:cs="宋体"/>
          <w:color w:val="auto"/>
          <w:sz w:val="24"/>
          <w:highlight w:val="none"/>
          <w:lang w:eastAsia="zh-CN"/>
        </w:rPr>
        <w:t>（</w:t>
      </w:r>
      <w:r>
        <w:rPr>
          <w:rFonts w:hint="eastAsia" w:ascii="宋体" w:hAnsi="宋体" w:cs="宋体"/>
          <w:color w:val="auto"/>
          <w:sz w:val="24"/>
          <w:highlight w:val="none"/>
          <w:lang w:val="en-US" w:eastAsia="zh-CN"/>
        </w:rPr>
        <w:t>13</w:t>
      </w:r>
      <w:r>
        <w:rPr>
          <w:rFonts w:hint="eastAsia" w:ascii="宋体" w:hAnsi="宋体" w:cs="宋体"/>
          <w:color w:val="auto"/>
          <w:sz w:val="24"/>
          <w:highlight w:val="none"/>
          <w:lang w:eastAsia="zh-CN"/>
        </w:rPr>
        <w:t>）</w:t>
      </w:r>
      <w:r>
        <w:rPr>
          <w:rFonts w:hint="eastAsia" w:ascii="宋体" w:hAnsi="宋体" w:cs="宋体"/>
          <w:color w:val="auto"/>
          <w:sz w:val="24"/>
          <w:highlight w:val="none"/>
        </w:rPr>
        <w:t>投标人认为有必要提供的其它文件。</w:t>
      </w:r>
    </w:p>
    <w:p w14:paraId="74CA29E2">
      <w:pPr>
        <w:spacing w:line="360" w:lineRule="auto"/>
        <w:rPr>
          <w:rFonts w:ascii="宋体" w:hAnsi="宋体" w:cs="宋体"/>
          <w:b/>
          <w:bCs/>
          <w:color w:val="auto"/>
          <w:sz w:val="24"/>
          <w:highlight w:val="none"/>
        </w:rPr>
      </w:pPr>
      <w:r>
        <w:rPr>
          <w:rFonts w:hint="eastAsia" w:ascii="宋体" w:hAnsi="宋体" w:cs="宋体"/>
          <w:b/>
          <w:bCs/>
          <w:color w:val="auto"/>
          <w:sz w:val="24"/>
          <w:highlight w:val="none"/>
        </w:rPr>
        <w:t>3.商务技术文件</w:t>
      </w:r>
    </w:p>
    <w:p w14:paraId="22B8C35C">
      <w:pPr>
        <w:spacing w:line="360" w:lineRule="auto"/>
        <w:rPr>
          <w:rFonts w:ascii="宋体" w:hAnsi="宋体" w:cs="宋体"/>
          <w:color w:val="auto"/>
          <w:sz w:val="24"/>
          <w:highlight w:val="none"/>
        </w:rPr>
      </w:pPr>
      <w:r>
        <w:rPr>
          <w:rFonts w:hint="eastAsia" w:ascii="宋体" w:hAnsi="宋体" w:cs="宋体"/>
          <w:color w:val="auto"/>
          <w:sz w:val="24"/>
          <w:highlight w:val="none"/>
        </w:rPr>
        <w:t>（1）投标人资信商务、技术自评得分表（格式见附件）；</w:t>
      </w:r>
    </w:p>
    <w:p w14:paraId="78CFF85F">
      <w:pPr>
        <w:spacing w:line="360" w:lineRule="auto"/>
        <w:rPr>
          <w:rFonts w:ascii="宋体" w:hAnsi="宋体" w:cs="宋体"/>
          <w:color w:val="auto"/>
          <w:sz w:val="24"/>
          <w:highlight w:val="none"/>
        </w:rPr>
      </w:pPr>
      <w:r>
        <w:rPr>
          <w:rFonts w:hint="eastAsia" w:ascii="宋体" w:hAnsi="宋体" w:cs="宋体"/>
          <w:color w:val="auto"/>
          <w:sz w:val="24"/>
          <w:highlight w:val="none"/>
        </w:rPr>
        <w:t>（2）商务响应表（格式见附件）；</w:t>
      </w:r>
    </w:p>
    <w:p w14:paraId="500AC21A">
      <w:pPr>
        <w:spacing w:line="360" w:lineRule="auto"/>
        <w:rPr>
          <w:rFonts w:ascii="宋体" w:hAnsi="宋体" w:cs="宋体"/>
          <w:color w:val="auto"/>
          <w:sz w:val="24"/>
          <w:highlight w:val="none"/>
        </w:rPr>
      </w:pPr>
      <w:r>
        <w:rPr>
          <w:rFonts w:hint="eastAsia" w:ascii="宋体" w:hAnsi="宋体" w:cs="宋体"/>
          <w:color w:val="auto"/>
          <w:sz w:val="24"/>
          <w:highlight w:val="none"/>
        </w:rPr>
        <w:t>（3）技术响应表（格式见附件）；</w:t>
      </w:r>
    </w:p>
    <w:p w14:paraId="74F31372">
      <w:pPr>
        <w:snapToGrid w:val="0"/>
        <w:spacing w:line="360" w:lineRule="auto"/>
        <w:jc w:val="left"/>
        <w:rPr>
          <w:rFonts w:ascii="宋体" w:hAnsi="宋体"/>
          <w:color w:val="auto"/>
          <w:sz w:val="24"/>
          <w:highlight w:val="none"/>
        </w:rPr>
      </w:pPr>
      <w:r>
        <w:rPr>
          <w:rFonts w:hint="eastAsia" w:ascii="宋体" w:hAnsi="宋体"/>
          <w:color w:val="auto"/>
          <w:sz w:val="24"/>
          <w:highlight w:val="none"/>
        </w:rPr>
        <w:t>（4）项目的认识与了解；</w:t>
      </w:r>
    </w:p>
    <w:p w14:paraId="05461BD3">
      <w:pPr>
        <w:snapToGrid w:val="0"/>
        <w:spacing w:line="360" w:lineRule="auto"/>
        <w:jc w:val="left"/>
        <w:rPr>
          <w:rFonts w:ascii="宋体" w:hAnsi="宋体"/>
          <w:color w:val="auto"/>
          <w:sz w:val="24"/>
          <w:highlight w:val="none"/>
        </w:rPr>
      </w:pPr>
      <w:r>
        <w:rPr>
          <w:rFonts w:hint="eastAsia" w:ascii="宋体" w:hAnsi="宋体"/>
          <w:color w:val="auto"/>
          <w:sz w:val="24"/>
          <w:highlight w:val="none"/>
        </w:rPr>
        <w:t>（5）项目实施方案；</w:t>
      </w:r>
    </w:p>
    <w:p w14:paraId="2838DDE9">
      <w:pPr>
        <w:snapToGrid w:val="0"/>
        <w:spacing w:line="360" w:lineRule="auto"/>
        <w:jc w:val="left"/>
        <w:rPr>
          <w:rFonts w:ascii="宋体" w:hAnsi="宋体"/>
          <w:color w:val="auto"/>
          <w:sz w:val="24"/>
          <w:highlight w:val="none"/>
        </w:rPr>
      </w:pPr>
      <w:r>
        <w:rPr>
          <w:rFonts w:hint="eastAsia" w:ascii="宋体" w:hAnsi="宋体"/>
          <w:color w:val="auto"/>
          <w:sz w:val="24"/>
          <w:highlight w:val="none"/>
        </w:rPr>
        <w:t>（6）质量保障措施；</w:t>
      </w:r>
    </w:p>
    <w:p w14:paraId="25154C96">
      <w:pPr>
        <w:snapToGrid w:val="0"/>
        <w:spacing w:line="360" w:lineRule="auto"/>
        <w:jc w:val="left"/>
        <w:rPr>
          <w:rFonts w:ascii="宋体" w:hAnsi="宋体"/>
          <w:color w:val="auto"/>
          <w:sz w:val="24"/>
          <w:highlight w:val="none"/>
        </w:rPr>
      </w:pPr>
      <w:r>
        <w:rPr>
          <w:rFonts w:hint="eastAsia" w:ascii="宋体" w:hAnsi="宋体"/>
          <w:color w:val="auto"/>
          <w:sz w:val="24"/>
          <w:highlight w:val="none"/>
        </w:rPr>
        <w:t>（7）巡查方案及措施；</w:t>
      </w:r>
    </w:p>
    <w:p w14:paraId="30F263F0">
      <w:pPr>
        <w:snapToGrid w:val="0"/>
        <w:spacing w:line="360" w:lineRule="auto"/>
        <w:jc w:val="left"/>
        <w:rPr>
          <w:rFonts w:ascii="宋体" w:hAnsi="宋体"/>
          <w:color w:val="auto"/>
          <w:sz w:val="24"/>
          <w:highlight w:val="none"/>
        </w:rPr>
      </w:pPr>
      <w:r>
        <w:rPr>
          <w:rFonts w:hint="eastAsia" w:ascii="宋体" w:hAnsi="宋体"/>
          <w:color w:val="auto"/>
          <w:sz w:val="24"/>
          <w:highlight w:val="none"/>
        </w:rPr>
        <w:t>（8）重难点分析及解决方案；</w:t>
      </w:r>
    </w:p>
    <w:p w14:paraId="570CBBB8">
      <w:pPr>
        <w:snapToGrid w:val="0"/>
        <w:spacing w:line="360" w:lineRule="auto"/>
        <w:jc w:val="left"/>
        <w:rPr>
          <w:rFonts w:ascii="宋体" w:hAnsi="宋体"/>
          <w:color w:val="auto"/>
          <w:sz w:val="24"/>
          <w:highlight w:val="none"/>
        </w:rPr>
      </w:pPr>
      <w:r>
        <w:rPr>
          <w:rFonts w:hint="eastAsia" w:ascii="宋体" w:hAnsi="宋体"/>
          <w:color w:val="auto"/>
          <w:sz w:val="24"/>
          <w:highlight w:val="none"/>
        </w:rPr>
        <w:t>（9）污染防治；</w:t>
      </w:r>
    </w:p>
    <w:p w14:paraId="54AAB133">
      <w:pPr>
        <w:snapToGrid w:val="0"/>
        <w:spacing w:line="360" w:lineRule="auto"/>
        <w:jc w:val="left"/>
        <w:rPr>
          <w:rFonts w:ascii="宋体" w:hAnsi="宋体"/>
          <w:color w:val="auto"/>
          <w:sz w:val="24"/>
          <w:highlight w:val="none"/>
        </w:rPr>
      </w:pPr>
      <w:r>
        <w:rPr>
          <w:rFonts w:hint="eastAsia" w:ascii="宋体" w:hAnsi="宋体"/>
          <w:color w:val="auto"/>
          <w:sz w:val="24"/>
          <w:highlight w:val="none"/>
        </w:rPr>
        <w:t>（10）项目组成员；</w:t>
      </w:r>
    </w:p>
    <w:p w14:paraId="23817470">
      <w:pPr>
        <w:snapToGrid w:val="0"/>
        <w:spacing w:line="360" w:lineRule="auto"/>
        <w:jc w:val="left"/>
        <w:rPr>
          <w:rFonts w:ascii="宋体" w:hAnsi="宋体"/>
          <w:color w:val="auto"/>
          <w:sz w:val="24"/>
          <w:highlight w:val="none"/>
        </w:rPr>
      </w:pPr>
      <w:r>
        <w:rPr>
          <w:rFonts w:hint="eastAsia" w:ascii="宋体" w:hAnsi="宋体"/>
          <w:color w:val="auto"/>
          <w:sz w:val="24"/>
          <w:highlight w:val="none"/>
        </w:rPr>
        <w:t>（11）仓储能力；</w:t>
      </w:r>
    </w:p>
    <w:p w14:paraId="356FF506">
      <w:pPr>
        <w:snapToGrid w:val="0"/>
        <w:spacing w:line="360" w:lineRule="auto"/>
        <w:jc w:val="left"/>
        <w:rPr>
          <w:rFonts w:ascii="宋体" w:hAnsi="宋体"/>
          <w:color w:val="auto"/>
          <w:sz w:val="24"/>
          <w:highlight w:val="none"/>
        </w:rPr>
      </w:pPr>
      <w:r>
        <w:rPr>
          <w:rFonts w:hint="eastAsia" w:ascii="宋体" w:hAnsi="宋体"/>
          <w:color w:val="auto"/>
          <w:sz w:val="24"/>
          <w:highlight w:val="none"/>
        </w:rPr>
        <w:t>（12）运输车辆；</w:t>
      </w:r>
    </w:p>
    <w:p w14:paraId="4E766CAC">
      <w:pPr>
        <w:snapToGrid w:val="0"/>
        <w:spacing w:line="360" w:lineRule="auto"/>
        <w:jc w:val="left"/>
        <w:rPr>
          <w:rFonts w:ascii="宋体" w:hAnsi="宋体"/>
          <w:color w:val="auto"/>
          <w:sz w:val="24"/>
          <w:highlight w:val="none"/>
        </w:rPr>
      </w:pPr>
      <w:r>
        <w:rPr>
          <w:rFonts w:hint="eastAsia" w:ascii="宋体" w:hAnsi="宋体"/>
          <w:color w:val="auto"/>
          <w:sz w:val="24"/>
          <w:highlight w:val="none"/>
        </w:rPr>
        <w:t>（13）安全文明作业方案；</w:t>
      </w:r>
    </w:p>
    <w:p w14:paraId="7E9EB658">
      <w:pPr>
        <w:snapToGrid w:val="0"/>
        <w:spacing w:line="360" w:lineRule="auto"/>
        <w:jc w:val="left"/>
        <w:rPr>
          <w:rFonts w:ascii="宋体" w:hAnsi="宋体"/>
          <w:color w:val="auto"/>
          <w:sz w:val="24"/>
          <w:highlight w:val="none"/>
        </w:rPr>
      </w:pPr>
      <w:r>
        <w:rPr>
          <w:rFonts w:hint="eastAsia" w:ascii="宋体" w:hAnsi="宋体"/>
          <w:color w:val="auto"/>
          <w:sz w:val="24"/>
          <w:highlight w:val="none"/>
        </w:rPr>
        <w:t>（14）培训方案；</w:t>
      </w:r>
    </w:p>
    <w:p w14:paraId="41E4403B">
      <w:pPr>
        <w:snapToGrid w:val="0"/>
        <w:spacing w:line="360" w:lineRule="auto"/>
        <w:jc w:val="left"/>
        <w:rPr>
          <w:rFonts w:ascii="宋体" w:hAnsi="宋体"/>
          <w:color w:val="auto"/>
          <w:sz w:val="24"/>
          <w:highlight w:val="none"/>
        </w:rPr>
      </w:pPr>
      <w:r>
        <w:rPr>
          <w:rFonts w:hint="eastAsia" w:ascii="宋体" w:hAnsi="宋体"/>
          <w:color w:val="auto"/>
          <w:sz w:val="24"/>
          <w:highlight w:val="none"/>
        </w:rPr>
        <w:t>（15）应急预案；</w:t>
      </w:r>
    </w:p>
    <w:p w14:paraId="75B55B4D">
      <w:pPr>
        <w:snapToGrid w:val="0"/>
        <w:spacing w:line="360" w:lineRule="auto"/>
        <w:jc w:val="left"/>
        <w:rPr>
          <w:rFonts w:ascii="宋体" w:hAnsi="宋体"/>
          <w:color w:val="auto"/>
          <w:sz w:val="24"/>
          <w:highlight w:val="none"/>
        </w:rPr>
      </w:pPr>
      <w:r>
        <w:rPr>
          <w:rFonts w:hint="eastAsia" w:ascii="宋体" w:hAnsi="宋体"/>
          <w:color w:val="auto"/>
          <w:sz w:val="24"/>
          <w:highlight w:val="none"/>
        </w:rPr>
        <w:t>（16）同类项目业绩；</w:t>
      </w:r>
    </w:p>
    <w:p w14:paraId="4CD3B4F5">
      <w:pPr>
        <w:snapToGrid w:val="0"/>
        <w:spacing w:line="360" w:lineRule="auto"/>
        <w:jc w:val="left"/>
        <w:rPr>
          <w:rFonts w:hint="eastAsia" w:ascii="宋体" w:hAnsi="宋体"/>
          <w:color w:val="auto"/>
          <w:sz w:val="24"/>
          <w:highlight w:val="none"/>
        </w:rPr>
      </w:pPr>
      <w:r>
        <w:rPr>
          <w:rFonts w:hint="eastAsia" w:ascii="宋体" w:hAnsi="宋体"/>
          <w:color w:val="auto"/>
          <w:sz w:val="24"/>
          <w:highlight w:val="none"/>
        </w:rPr>
        <w:t>（17）售后服务保障；</w:t>
      </w:r>
    </w:p>
    <w:p w14:paraId="647690C0">
      <w:pPr>
        <w:snapToGrid w:val="0"/>
        <w:spacing w:line="360" w:lineRule="auto"/>
        <w:jc w:val="left"/>
        <w:rPr>
          <w:rFonts w:ascii="宋体" w:hAnsi="宋体"/>
          <w:color w:val="auto"/>
          <w:sz w:val="24"/>
          <w:highlight w:val="none"/>
        </w:rPr>
      </w:pPr>
      <w:r>
        <w:rPr>
          <w:rFonts w:hint="eastAsia" w:ascii="宋体" w:hAnsi="宋体"/>
          <w:color w:val="auto"/>
          <w:sz w:val="24"/>
          <w:highlight w:val="none"/>
        </w:rPr>
        <w:t>（18）合理化建议；</w:t>
      </w:r>
    </w:p>
    <w:p w14:paraId="1813EA08">
      <w:pPr>
        <w:snapToGrid w:val="0"/>
        <w:spacing w:line="360" w:lineRule="auto"/>
        <w:jc w:val="left"/>
        <w:rPr>
          <w:rFonts w:hint="eastAsia" w:ascii="宋体" w:hAnsi="宋体"/>
          <w:color w:val="auto"/>
          <w:sz w:val="24"/>
          <w:highlight w:val="none"/>
        </w:rPr>
      </w:pPr>
      <w:r>
        <w:rPr>
          <w:rFonts w:hint="eastAsia" w:ascii="宋体" w:hAnsi="宋体"/>
          <w:color w:val="auto"/>
          <w:sz w:val="24"/>
          <w:highlight w:val="none"/>
        </w:rPr>
        <w:t>（19）服务费承诺书（格式见附件）；</w:t>
      </w:r>
    </w:p>
    <w:p w14:paraId="4F0BA5C5">
      <w:pPr>
        <w:snapToGrid w:val="0"/>
        <w:spacing w:line="360" w:lineRule="auto"/>
        <w:jc w:val="left"/>
        <w:rPr>
          <w:rFonts w:ascii="宋体" w:hAnsi="宋体"/>
          <w:color w:val="auto"/>
          <w:sz w:val="24"/>
          <w:highlight w:val="none"/>
        </w:rPr>
      </w:pPr>
      <w:r>
        <w:rPr>
          <w:rFonts w:hint="eastAsia" w:ascii="宋体" w:hAnsi="宋体"/>
          <w:color w:val="auto"/>
          <w:sz w:val="24"/>
          <w:highlight w:val="none"/>
        </w:rPr>
        <w:t>（20）安全承诺函</w:t>
      </w:r>
      <w:r>
        <w:rPr>
          <w:rFonts w:hint="eastAsia" w:ascii="宋体" w:hAnsi="宋体"/>
          <w:color w:val="auto"/>
          <w:sz w:val="24"/>
          <w:highlight w:val="none"/>
          <w:lang w:eastAsia="zh-CN"/>
        </w:rPr>
        <w:t>、</w:t>
      </w:r>
      <w:r>
        <w:rPr>
          <w:rFonts w:hint="eastAsia" w:ascii="宋体" w:hAnsi="宋体"/>
          <w:color w:val="auto"/>
          <w:sz w:val="24"/>
          <w:highlight w:val="none"/>
          <w:lang w:val="en-US" w:eastAsia="zh-CN"/>
        </w:rPr>
        <w:t>仓储场地承诺书</w:t>
      </w:r>
      <w:r>
        <w:rPr>
          <w:rFonts w:hint="eastAsia" w:ascii="宋体" w:hAnsi="宋体"/>
          <w:color w:val="auto"/>
          <w:sz w:val="24"/>
          <w:highlight w:val="none"/>
        </w:rPr>
        <w:t>（格式见附件）；</w:t>
      </w:r>
    </w:p>
    <w:p w14:paraId="560D20D5">
      <w:pPr>
        <w:snapToGrid w:val="0"/>
        <w:spacing w:line="360" w:lineRule="auto"/>
        <w:jc w:val="left"/>
        <w:rPr>
          <w:rFonts w:ascii="宋体" w:hAnsi="宋体"/>
          <w:color w:val="auto"/>
          <w:sz w:val="24"/>
          <w:highlight w:val="none"/>
        </w:rPr>
      </w:pPr>
      <w:r>
        <w:rPr>
          <w:rFonts w:hint="eastAsia" w:ascii="宋体" w:hAnsi="宋体"/>
          <w:color w:val="auto"/>
          <w:sz w:val="24"/>
          <w:highlight w:val="none"/>
        </w:rPr>
        <w:t>（21）投标人需要说明的其他文件和说明。</w:t>
      </w:r>
    </w:p>
    <w:p w14:paraId="42783CED">
      <w:pPr>
        <w:numPr>
          <w:ilvl w:val="0"/>
          <w:numId w:val="7"/>
        </w:numPr>
        <w:spacing w:line="360" w:lineRule="auto"/>
        <w:rPr>
          <w:rFonts w:ascii="宋体" w:hAnsi="宋体" w:cs="宋体"/>
          <w:b/>
          <w:bCs/>
          <w:color w:val="auto"/>
          <w:sz w:val="24"/>
          <w:highlight w:val="none"/>
        </w:rPr>
      </w:pPr>
      <w:r>
        <w:rPr>
          <w:rFonts w:hint="eastAsia" w:ascii="宋体" w:hAnsi="宋体" w:cs="宋体"/>
          <w:b/>
          <w:bCs/>
          <w:color w:val="auto"/>
          <w:sz w:val="24"/>
          <w:highlight w:val="none"/>
        </w:rPr>
        <w:t>报价文件</w:t>
      </w:r>
    </w:p>
    <w:p w14:paraId="33B5F4A1">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（1）投标函（格式见附件）； </w:t>
      </w:r>
    </w:p>
    <w:p w14:paraId="271A9B13">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（2）开标一览表（格式见附件）； </w:t>
      </w:r>
    </w:p>
    <w:p w14:paraId="20ACCEFF">
      <w:pPr>
        <w:spacing w:line="360" w:lineRule="auto"/>
        <w:rPr>
          <w:rFonts w:ascii="宋体" w:hAnsi="宋体" w:cs="宋体"/>
          <w:b/>
          <w:bCs/>
          <w:color w:val="auto"/>
          <w:sz w:val="24"/>
          <w:highlight w:val="none"/>
        </w:rPr>
      </w:pPr>
      <w:r>
        <w:rPr>
          <w:rFonts w:hint="eastAsia" w:ascii="宋体" w:hAnsi="宋体" w:cs="宋体"/>
          <w:color w:val="auto"/>
          <w:sz w:val="24"/>
          <w:highlight w:val="none"/>
        </w:rPr>
        <w:t>（3）投标人针对报价需要说明的其他文件和说明（格式自拟）。</w:t>
      </w:r>
    </w:p>
    <w:p w14:paraId="3AC19861">
      <w:pPr>
        <w:pStyle w:val="5"/>
        <w:keepNext w:val="0"/>
        <w:keepLines w:val="0"/>
        <w:pageBreakBefore/>
        <w:spacing w:line="360" w:lineRule="auto"/>
        <w:rPr>
          <w:rFonts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附件一：投标声明书</w:t>
      </w:r>
      <w:bookmarkEnd w:id="60"/>
    </w:p>
    <w:p w14:paraId="3045F33D">
      <w:pPr>
        <w:snapToGrid w:val="0"/>
        <w:spacing w:line="360" w:lineRule="auto"/>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投标声明书</w:t>
      </w:r>
    </w:p>
    <w:p w14:paraId="2C62CCF4">
      <w:pPr>
        <w:snapToGrid w:val="0"/>
        <w:spacing w:before="120" w:beforeLines="50" w:after="50" w:line="276" w:lineRule="auto"/>
        <w:rPr>
          <w:rFonts w:ascii="宋体" w:hAnsi="宋体" w:cs="宋体"/>
          <w:color w:val="auto"/>
          <w:sz w:val="24"/>
          <w:highlight w:val="none"/>
        </w:rPr>
      </w:pPr>
      <w:r>
        <w:rPr>
          <w:rFonts w:hint="eastAsia" w:ascii="宋体" w:hAnsi="宋体" w:cs="宋体"/>
          <w:color w:val="auto"/>
          <w:sz w:val="24"/>
          <w:highlight w:val="none"/>
        </w:rPr>
        <w:t>致：</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（招标采购单位名称）：</w:t>
      </w:r>
    </w:p>
    <w:p w14:paraId="79DC7E41">
      <w:pPr>
        <w:snapToGrid w:val="0"/>
        <w:spacing w:before="120" w:beforeLines="50" w:after="50" w:line="276" w:lineRule="auto"/>
        <w:ind w:firstLine="720" w:firstLineChars="300"/>
        <w:rPr>
          <w:rFonts w:ascii="宋体" w:hAnsi="宋体" w:cs="宋体"/>
          <w:color w:val="auto"/>
          <w:sz w:val="24"/>
          <w:highlight w:val="none"/>
        </w:rPr>
      </w:pP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（投标人名称）系中华人民共和国合法企业，经营地址</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p w14:paraId="73BB5F3B">
      <w:pPr>
        <w:snapToGrid w:val="0"/>
        <w:spacing w:before="120" w:beforeLines="50" w:after="50" w:line="276" w:lineRule="auto"/>
        <w:ind w:firstLine="645"/>
        <w:rPr>
          <w:rFonts w:ascii="宋体" w:hAnsi="宋体" w:cs="宋体"/>
          <w:color w:val="auto"/>
          <w:sz w:val="24"/>
          <w:highlight w:val="none"/>
        </w:rPr>
      </w:pPr>
      <w:r>
        <w:rPr>
          <w:rFonts w:hint="eastAsia" w:ascii="宋体" w:hAnsi="宋体" w:cs="宋体"/>
          <w:color w:val="auto"/>
          <w:sz w:val="24"/>
          <w:highlight w:val="none"/>
        </w:rPr>
        <w:t>我</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（姓名）系</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（投标人名称）的法定代表人，我方愿意参加贵方组织的 </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 项目的投标，为便于贵方公正、择优地确定中标人及其投标服务，我方就本次投标有关事项郑重声明如下：</w:t>
      </w:r>
    </w:p>
    <w:p w14:paraId="5EE2C590">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1.我方向贵方提交的所有投标文件、资料都是准确的和真实的。若有违背，我公司愿为由此而产生的一切后果负责。</w:t>
      </w:r>
    </w:p>
    <w:p w14:paraId="31915B55">
      <w:pPr>
        <w:snapToGrid w:val="0"/>
        <w:spacing w:before="120" w:beforeLines="50" w:line="276" w:lineRule="auto"/>
        <w:ind w:firstLine="480" w:firstLineChars="200"/>
        <w:rPr>
          <w:rFonts w:ascii="宋体" w:hAnsi="宋体" w:cs="宋体"/>
          <w:color w:val="auto"/>
          <w:sz w:val="24"/>
          <w:highlight w:val="none"/>
          <w:u w:val="single"/>
        </w:rPr>
      </w:pPr>
      <w:r>
        <w:rPr>
          <w:rFonts w:hint="eastAsia" w:ascii="宋体" w:hAnsi="宋体" w:cs="宋体"/>
          <w:color w:val="auto"/>
          <w:sz w:val="24"/>
          <w:highlight w:val="none"/>
        </w:rPr>
        <w:t>2.我方不是采购人的附属机构；在获知本项目采购信息后，与采购人聘请的为此项目提供咨询服务的公司及其附属机构没有任何联系。</w:t>
      </w:r>
    </w:p>
    <w:p w14:paraId="32B49C2A">
      <w:pPr>
        <w:snapToGrid w:val="0"/>
        <w:spacing w:before="120" w:beforeLines="50" w:line="276"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 我方诚意提请贵方关注：近期有</w:t>
      </w:r>
      <w:r>
        <w:rPr>
          <w:rFonts w:hint="eastAsia" w:ascii="宋体" w:hAnsi="宋体" w:cs="宋体"/>
          <w:color w:val="auto"/>
          <w:sz w:val="24"/>
          <w:highlight w:val="none"/>
          <w:u w:val="single"/>
        </w:rPr>
        <w:t xml:space="preserve">                   （采购内容）</w:t>
      </w:r>
      <w:r>
        <w:rPr>
          <w:rFonts w:hint="eastAsia" w:ascii="宋体" w:hAnsi="宋体" w:cs="宋体"/>
          <w:color w:val="auto"/>
          <w:sz w:val="24"/>
          <w:highlight w:val="none"/>
        </w:rPr>
        <w:t>等方面的重大决策和事项有：</w:t>
      </w:r>
    </w:p>
    <w:p w14:paraId="47A9B2B0">
      <w:pPr>
        <w:snapToGrid w:val="0"/>
        <w:spacing w:before="120" w:beforeLines="50" w:line="276" w:lineRule="auto"/>
        <w:ind w:firstLine="480" w:firstLineChars="200"/>
        <w:rPr>
          <w:rFonts w:ascii="宋体" w:hAnsi="宋体" w:cs="宋体"/>
          <w:color w:val="auto"/>
          <w:sz w:val="24"/>
          <w:highlight w:val="none"/>
          <w:u w:val="single"/>
        </w:rPr>
      </w:pPr>
      <w:r>
        <w:rPr>
          <w:rFonts w:hint="eastAsia" w:ascii="宋体" w:hAnsi="宋体" w:cs="宋体"/>
          <w:color w:val="auto"/>
          <w:sz w:val="24"/>
          <w:highlight w:val="none"/>
          <w:u w:val="single"/>
        </w:rPr>
        <w:t>　　　　　　　　　　　　　　　　　　　　　　　　　　　</w:t>
      </w:r>
    </w:p>
    <w:p w14:paraId="4AB68DE6">
      <w:pPr>
        <w:snapToGrid w:val="0"/>
        <w:spacing w:before="120" w:beforeLines="50" w:line="276" w:lineRule="auto"/>
        <w:ind w:firstLine="480" w:firstLineChars="200"/>
        <w:rPr>
          <w:rFonts w:ascii="宋体" w:hAnsi="宋体" w:cs="宋体"/>
          <w:color w:val="auto"/>
          <w:sz w:val="24"/>
          <w:highlight w:val="none"/>
        </w:rPr>
      </w:pPr>
      <w:r>
        <w:rPr>
          <w:rFonts w:hint="eastAsia" w:ascii="宋体" w:hAnsi="宋体" w:cs="宋体"/>
          <w:color w:val="auto"/>
          <w:sz w:val="24"/>
          <w:highlight w:val="none"/>
          <w:u w:val="single"/>
        </w:rPr>
        <w:t>　　　　　　　　　　　　　　　　　　　　　　　　　　　</w:t>
      </w:r>
    </w:p>
    <w:p w14:paraId="669C5B28">
      <w:pPr>
        <w:pStyle w:val="8"/>
        <w:snapToGrid w:val="0"/>
        <w:spacing w:line="276" w:lineRule="auto"/>
        <w:rPr>
          <w:rFonts w:ascii="宋体" w:hAnsi="宋体" w:cs="宋体"/>
          <w:color w:val="auto"/>
          <w:sz w:val="24"/>
          <w:highlight w:val="none"/>
        </w:rPr>
      </w:pPr>
      <w:r>
        <w:rPr>
          <w:rFonts w:hint="eastAsia" w:ascii="宋体" w:hAnsi="宋体" w:cs="宋体"/>
          <w:color w:val="auto"/>
          <w:sz w:val="24"/>
          <w:highlight w:val="none"/>
        </w:rPr>
        <w:t>4.我方及由本人担任法定代表人的其他机构最近三年内被通报或者被处罚的违法行为有：</w:t>
      </w:r>
    </w:p>
    <w:p w14:paraId="3784948D">
      <w:pPr>
        <w:snapToGrid w:val="0"/>
        <w:spacing w:before="120" w:beforeLines="50" w:line="276" w:lineRule="auto"/>
        <w:ind w:firstLine="480" w:firstLineChars="200"/>
        <w:rPr>
          <w:rFonts w:ascii="宋体" w:hAnsi="宋体" w:cs="宋体"/>
          <w:color w:val="auto"/>
          <w:sz w:val="24"/>
          <w:highlight w:val="none"/>
          <w:u w:val="single"/>
        </w:rPr>
      </w:pPr>
      <w:r>
        <w:rPr>
          <w:rFonts w:hint="eastAsia" w:ascii="宋体" w:hAnsi="宋体" w:cs="宋体"/>
          <w:color w:val="auto"/>
          <w:sz w:val="24"/>
          <w:highlight w:val="none"/>
          <w:u w:val="single"/>
        </w:rPr>
        <w:t>　　　　　　　　　　　　　　　　　　　　　　　　　　　</w:t>
      </w:r>
    </w:p>
    <w:p w14:paraId="4112E46F">
      <w:pPr>
        <w:snapToGrid w:val="0"/>
        <w:spacing w:before="120" w:beforeLines="50" w:line="276" w:lineRule="auto"/>
        <w:ind w:firstLine="480" w:firstLineChars="200"/>
        <w:rPr>
          <w:rFonts w:ascii="宋体" w:hAnsi="宋体" w:cs="宋体"/>
          <w:color w:val="auto"/>
          <w:sz w:val="24"/>
          <w:highlight w:val="none"/>
          <w:u w:val="single"/>
        </w:rPr>
      </w:pPr>
      <w:r>
        <w:rPr>
          <w:rFonts w:hint="eastAsia" w:ascii="宋体" w:hAnsi="宋体" w:cs="宋体"/>
          <w:color w:val="auto"/>
          <w:sz w:val="24"/>
          <w:highlight w:val="none"/>
          <w:u w:val="single"/>
        </w:rPr>
        <w:t>　　　　　　　　　　　　　　　　　　　　　　　　　　　</w:t>
      </w:r>
    </w:p>
    <w:p w14:paraId="13DECBC2">
      <w:pPr>
        <w:snapToGrid w:val="0"/>
        <w:spacing w:line="276" w:lineRule="auto"/>
        <w:ind w:firstLine="480" w:firstLineChars="200"/>
        <w:rPr>
          <w:rFonts w:ascii="宋体" w:hAnsi="宋体" w:cs="宋体"/>
          <w:color w:val="auto"/>
          <w:sz w:val="24"/>
          <w:highlight w:val="none"/>
        </w:rPr>
      </w:pPr>
      <w:r>
        <w:rPr>
          <w:rFonts w:hint="eastAsia" w:ascii="宋体" w:hAnsi="宋体" w:cs="宋体"/>
          <w:color w:val="auto"/>
          <w:sz w:val="24"/>
          <w:highlight w:val="none"/>
        </w:rPr>
        <w:t>5.以上事项如有虚假或隐瞒，我方愿意承担一切后果，并不再寻求任何旨在减轻或免除法律责任的辩解。</w:t>
      </w:r>
    </w:p>
    <w:p w14:paraId="6039518C">
      <w:pPr>
        <w:pStyle w:val="11"/>
        <w:tabs>
          <w:tab w:val="left" w:pos="939"/>
        </w:tabs>
        <w:snapToGrid w:val="0"/>
        <w:spacing w:line="276" w:lineRule="auto"/>
        <w:ind w:left="773" w:leftChars="150" w:hanging="458" w:hangingChars="191"/>
        <w:rPr>
          <w:rFonts w:ascii="宋体" w:hAnsi="宋体" w:cs="宋体"/>
          <w:color w:val="auto"/>
          <w:sz w:val="24"/>
          <w:highlight w:val="none"/>
        </w:rPr>
      </w:pPr>
    </w:p>
    <w:p w14:paraId="32625E60">
      <w:pPr>
        <w:pStyle w:val="37"/>
        <w:snapToGrid w:val="0"/>
        <w:spacing w:before="120" w:beforeLines="50" w:line="276" w:lineRule="auto"/>
        <w:ind w:firstLine="200"/>
        <w:rPr>
          <w:rFonts w:ascii="宋体" w:hAnsi="宋体" w:cs="宋体"/>
          <w:color w:val="auto"/>
          <w:szCs w:val="24"/>
          <w:highlight w:val="none"/>
        </w:rPr>
      </w:pPr>
    </w:p>
    <w:p w14:paraId="5E98CC48">
      <w:pPr>
        <w:snapToGrid w:val="0"/>
        <w:spacing w:before="120" w:beforeLines="50" w:line="276" w:lineRule="auto"/>
        <w:ind w:firstLine="319" w:firstLineChars="133"/>
        <w:rPr>
          <w:rFonts w:ascii="宋体" w:hAnsi="宋体" w:cs="宋体"/>
          <w:color w:val="auto"/>
          <w:sz w:val="24"/>
          <w:highlight w:val="none"/>
          <w:u w:val="single"/>
        </w:rPr>
      </w:pPr>
      <w:r>
        <w:rPr>
          <w:rFonts w:hint="eastAsia" w:ascii="宋体" w:hAnsi="宋体" w:cs="宋体"/>
          <w:color w:val="auto"/>
          <w:sz w:val="24"/>
          <w:highlight w:val="none"/>
        </w:rPr>
        <w:t>法定代表人或委托代理人签字：</w:t>
      </w:r>
      <w:r>
        <w:rPr>
          <w:rFonts w:hint="eastAsia" w:ascii="宋体" w:hAnsi="宋体" w:cs="宋体"/>
          <w:color w:val="auto"/>
          <w:sz w:val="24"/>
          <w:highlight w:val="none"/>
          <w:u w:val="single"/>
        </w:rPr>
        <w:t xml:space="preserve">             </w:t>
      </w:r>
    </w:p>
    <w:p w14:paraId="113AF020">
      <w:pPr>
        <w:snapToGrid w:val="0"/>
        <w:spacing w:before="120" w:beforeLines="50" w:after="50" w:line="276" w:lineRule="auto"/>
        <w:ind w:firstLine="360" w:firstLineChars="150"/>
        <w:rPr>
          <w:rFonts w:ascii="宋体" w:hAnsi="宋体" w:cs="宋体"/>
          <w:color w:val="auto"/>
          <w:sz w:val="24"/>
          <w:highlight w:val="none"/>
        </w:rPr>
      </w:pPr>
      <w:r>
        <w:rPr>
          <w:rFonts w:hint="eastAsia" w:ascii="宋体" w:hAnsi="宋体" w:cs="宋体"/>
          <w:color w:val="auto"/>
          <w:sz w:val="24"/>
          <w:highlight w:val="none"/>
        </w:rPr>
        <w:t>投标人公章：</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                      </w:t>
      </w:r>
    </w:p>
    <w:p w14:paraId="5A1D2497">
      <w:pPr>
        <w:snapToGrid w:val="0"/>
        <w:spacing w:before="120" w:beforeLines="50" w:after="50" w:line="276" w:lineRule="auto"/>
        <w:ind w:firstLine="6240" w:firstLineChars="2600"/>
        <w:rPr>
          <w:rFonts w:ascii="宋体" w:hAnsi="宋体" w:cs="宋体"/>
          <w:color w:val="auto"/>
          <w:sz w:val="24"/>
          <w:highlight w:val="none"/>
        </w:rPr>
      </w:pPr>
      <w:r>
        <w:rPr>
          <w:rFonts w:hint="eastAsia" w:ascii="宋体" w:hAnsi="宋体" w:cs="宋体"/>
          <w:color w:val="auto"/>
          <w:sz w:val="24"/>
          <w:highlight w:val="none"/>
        </w:rPr>
        <w:t>年    月    日</w:t>
      </w:r>
    </w:p>
    <w:p w14:paraId="052347BC">
      <w:pPr>
        <w:snapToGrid w:val="0"/>
        <w:spacing w:before="120" w:beforeLines="50" w:after="50" w:line="276" w:lineRule="auto"/>
        <w:ind w:firstLine="6240" w:firstLineChars="2600"/>
        <w:rPr>
          <w:rFonts w:ascii="宋体" w:hAnsi="宋体" w:cs="宋体"/>
          <w:color w:val="auto"/>
          <w:sz w:val="24"/>
          <w:highlight w:val="none"/>
        </w:rPr>
      </w:pPr>
    </w:p>
    <w:p w14:paraId="1E8BAE75">
      <w:pPr>
        <w:snapToGrid w:val="0"/>
        <w:spacing w:before="120" w:beforeLines="50" w:after="50" w:line="276" w:lineRule="auto"/>
        <w:ind w:firstLine="6240" w:firstLineChars="2600"/>
        <w:rPr>
          <w:rFonts w:ascii="宋体" w:hAnsi="宋体" w:cs="宋体"/>
          <w:color w:val="auto"/>
          <w:sz w:val="24"/>
          <w:highlight w:val="none"/>
        </w:rPr>
      </w:pPr>
    </w:p>
    <w:p w14:paraId="4178B2D4">
      <w:pPr>
        <w:snapToGrid w:val="0"/>
        <w:spacing w:before="120" w:beforeLines="50" w:after="50" w:line="276" w:lineRule="auto"/>
        <w:rPr>
          <w:rFonts w:ascii="宋体" w:hAnsi="宋体" w:cs="宋体"/>
          <w:color w:val="auto"/>
          <w:sz w:val="24"/>
          <w:highlight w:val="none"/>
        </w:rPr>
      </w:pPr>
    </w:p>
    <w:p w14:paraId="531DFA8C">
      <w:pPr>
        <w:pStyle w:val="5"/>
        <w:keepNext w:val="0"/>
        <w:keepLines w:val="0"/>
        <w:pageBreakBefore/>
        <w:spacing w:line="360" w:lineRule="auto"/>
        <w:rPr>
          <w:rFonts w:ascii="宋体" w:hAnsi="宋体" w:eastAsia="宋体" w:cs="宋体"/>
          <w:b w:val="0"/>
          <w:bCs w:val="0"/>
          <w:color w:val="auto"/>
          <w:sz w:val="24"/>
          <w:szCs w:val="24"/>
          <w:highlight w:val="none"/>
        </w:rPr>
      </w:pPr>
      <w:bookmarkStart w:id="61" w:name="_Toc30843"/>
      <w:bookmarkStart w:id="62" w:name="_Toc24340"/>
      <w:bookmarkStart w:id="63" w:name="_Toc2029"/>
      <w:bookmarkStart w:id="64" w:name="_Toc23315"/>
      <w:bookmarkStart w:id="65" w:name="_Toc10320"/>
      <w:r>
        <w:rPr>
          <w:rFonts w:hint="eastAsia" w:ascii="宋体" w:hAnsi="宋体" w:eastAsia="宋体" w:cs="宋体"/>
          <w:b w:val="0"/>
          <w:bCs w:val="0"/>
          <w:color w:val="auto"/>
          <w:sz w:val="24"/>
          <w:szCs w:val="24"/>
          <w:highlight w:val="none"/>
        </w:rPr>
        <w:t>附件二：</w:t>
      </w:r>
      <w:bookmarkEnd w:id="61"/>
      <w:bookmarkEnd w:id="62"/>
      <w:r>
        <w:rPr>
          <w:rFonts w:hint="eastAsia" w:ascii="宋体" w:hAnsi="宋体" w:eastAsia="宋体" w:cs="宋体"/>
          <w:b w:val="0"/>
          <w:bCs w:val="0"/>
          <w:color w:val="auto"/>
          <w:sz w:val="24"/>
          <w:szCs w:val="24"/>
          <w:highlight w:val="none"/>
        </w:rPr>
        <w:t>符合参加政府采购活动应当具备的一般条件的承诺函</w:t>
      </w:r>
      <w:bookmarkEnd w:id="63"/>
      <w:bookmarkEnd w:id="64"/>
    </w:p>
    <w:p w14:paraId="4C75292C">
      <w:pPr>
        <w:pStyle w:val="21"/>
        <w:spacing w:before="100" w:after="100" w:line="360" w:lineRule="auto"/>
        <w:jc w:val="center"/>
        <w:rPr>
          <w:color w:val="auto"/>
          <w:highlight w:val="none"/>
        </w:rPr>
      </w:pPr>
      <w:r>
        <w:rPr>
          <w:rFonts w:hint="eastAsia"/>
          <w:b/>
          <w:bCs/>
          <w:color w:val="auto"/>
          <w:sz w:val="27"/>
          <w:szCs w:val="27"/>
          <w:highlight w:val="none"/>
        </w:rPr>
        <w:t>符合参加政府采购活动应当具备的一般条件的承诺函</w:t>
      </w:r>
    </w:p>
    <w:p w14:paraId="47C77FDE">
      <w:pPr>
        <w:snapToGrid w:val="0"/>
        <w:spacing w:before="120" w:beforeLines="50" w:after="50" w:line="276" w:lineRule="auto"/>
        <w:rPr>
          <w:rFonts w:ascii="宋体" w:hAnsi="宋体" w:cs="宋体"/>
          <w:color w:val="auto"/>
          <w:sz w:val="24"/>
          <w:highlight w:val="none"/>
        </w:rPr>
      </w:pPr>
      <w:r>
        <w:rPr>
          <w:rFonts w:hint="eastAsia" w:ascii="宋体" w:hAnsi="宋体" w:cs="宋体"/>
          <w:color w:val="auto"/>
          <w:sz w:val="24"/>
          <w:highlight w:val="none"/>
        </w:rPr>
        <w:t>致：</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（招标采购单位名称）：</w:t>
      </w:r>
    </w:p>
    <w:p w14:paraId="3FB89DB9">
      <w:pPr>
        <w:pStyle w:val="21"/>
        <w:spacing w:before="0" w:after="0" w:line="360" w:lineRule="auto"/>
        <w:ind w:left="480"/>
        <w:jc w:val="both"/>
        <w:rPr>
          <w:color w:val="auto"/>
          <w:kern w:val="2"/>
          <w:highlight w:val="none"/>
        </w:rPr>
      </w:pPr>
      <w:r>
        <w:rPr>
          <w:rFonts w:hint="eastAsia"/>
          <w:color w:val="auto"/>
          <w:kern w:val="2"/>
          <w:highlight w:val="none"/>
        </w:rPr>
        <w:t>我方参与</w:t>
      </w:r>
      <w:r>
        <w:rPr>
          <w:rFonts w:hint="eastAsia"/>
          <w:color w:val="auto"/>
          <w:highlight w:val="none"/>
          <w:u w:val="single"/>
        </w:rPr>
        <w:t xml:space="preserve">              </w:t>
      </w:r>
      <w:r>
        <w:rPr>
          <w:rFonts w:hint="eastAsia"/>
          <w:color w:val="auto"/>
          <w:kern w:val="2"/>
          <w:highlight w:val="none"/>
        </w:rPr>
        <w:t>项目【项目编号：</w:t>
      </w:r>
      <w:r>
        <w:rPr>
          <w:rFonts w:hint="eastAsia"/>
          <w:color w:val="auto"/>
          <w:highlight w:val="none"/>
          <w:u w:val="single"/>
        </w:rPr>
        <w:t xml:space="preserve">             </w:t>
      </w:r>
      <w:r>
        <w:rPr>
          <w:rFonts w:hint="eastAsia"/>
          <w:color w:val="auto"/>
          <w:kern w:val="2"/>
          <w:highlight w:val="none"/>
        </w:rPr>
        <w:t>】政府采购活动，郑重承诺：</w:t>
      </w:r>
    </w:p>
    <w:p w14:paraId="10ECEBE3">
      <w:pPr>
        <w:pStyle w:val="21"/>
        <w:spacing w:before="0" w:after="0" w:line="360" w:lineRule="auto"/>
        <w:ind w:left="480"/>
        <w:jc w:val="both"/>
        <w:rPr>
          <w:color w:val="auto"/>
          <w:kern w:val="2"/>
          <w:highlight w:val="none"/>
        </w:rPr>
      </w:pPr>
      <w:r>
        <w:rPr>
          <w:rFonts w:hint="eastAsia"/>
          <w:color w:val="auto"/>
          <w:kern w:val="2"/>
          <w:highlight w:val="none"/>
        </w:rPr>
        <w:t>（一）具备《中华人民共和国政府采购法》第二十二条第一款规定的条件：</w:t>
      </w:r>
    </w:p>
    <w:p w14:paraId="05A4300D">
      <w:pPr>
        <w:pStyle w:val="21"/>
        <w:spacing w:before="0" w:after="0" w:line="360" w:lineRule="auto"/>
        <w:ind w:left="480"/>
        <w:jc w:val="both"/>
        <w:rPr>
          <w:color w:val="auto"/>
          <w:kern w:val="2"/>
          <w:highlight w:val="none"/>
        </w:rPr>
      </w:pPr>
      <w:r>
        <w:rPr>
          <w:rFonts w:hint="eastAsia"/>
          <w:color w:val="auto"/>
          <w:kern w:val="2"/>
          <w:highlight w:val="none"/>
        </w:rPr>
        <w:t>1、具有独立承担民事责任的能力；</w:t>
      </w:r>
    </w:p>
    <w:p w14:paraId="45073AC9">
      <w:pPr>
        <w:pStyle w:val="21"/>
        <w:spacing w:before="0" w:after="0" w:line="360" w:lineRule="auto"/>
        <w:ind w:left="480"/>
        <w:jc w:val="both"/>
        <w:rPr>
          <w:color w:val="auto"/>
          <w:kern w:val="2"/>
          <w:highlight w:val="none"/>
        </w:rPr>
      </w:pPr>
      <w:r>
        <w:rPr>
          <w:rFonts w:hint="eastAsia"/>
          <w:color w:val="auto"/>
          <w:kern w:val="2"/>
          <w:highlight w:val="none"/>
        </w:rPr>
        <w:t xml:space="preserve">2、具有良好的商业信誉和健全的财务会计制度； </w:t>
      </w:r>
    </w:p>
    <w:p w14:paraId="71B9FDF7">
      <w:pPr>
        <w:pStyle w:val="21"/>
        <w:spacing w:before="0" w:after="0" w:line="360" w:lineRule="auto"/>
        <w:ind w:left="480"/>
        <w:jc w:val="both"/>
        <w:rPr>
          <w:color w:val="auto"/>
          <w:kern w:val="2"/>
          <w:highlight w:val="none"/>
        </w:rPr>
      </w:pPr>
      <w:r>
        <w:rPr>
          <w:rFonts w:hint="eastAsia"/>
          <w:color w:val="auto"/>
          <w:kern w:val="2"/>
          <w:highlight w:val="none"/>
        </w:rPr>
        <w:t>3、具有履行合同所必需的设备和专业技术能力；</w:t>
      </w:r>
    </w:p>
    <w:p w14:paraId="10D5BA34">
      <w:pPr>
        <w:pStyle w:val="21"/>
        <w:spacing w:before="0" w:after="0" w:line="360" w:lineRule="auto"/>
        <w:ind w:left="480"/>
        <w:jc w:val="both"/>
        <w:rPr>
          <w:color w:val="auto"/>
          <w:kern w:val="2"/>
          <w:highlight w:val="none"/>
        </w:rPr>
      </w:pPr>
      <w:r>
        <w:rPr>
          <w:rFonts w:hint="eastAsia"/>
          <w:color w:val="auto"/>
          <w:kern w:val="2"/>
          <w:highlight w:val="none"/>
        </w:rPr>
        <w:t>4、有依法缴纳税收和社会保障资金的良好记录；</w:t>
      </w:r>
    </w:p>
    <w:p w14:paraId="5A727DD4">
      <w:pPr>
        <w:pStyle w:val="21"/>
        <w:spacing w:before="0" w:after="0" w:line="360" w:lineRule="auto"/>
        <w:ind w:left="480"/>
        <w:jc w:val="both"/>
        <w:rPr>
          <w:color w:val="auto"/>
          <w:kern w:val="2"/>
          <w:highlight w:val="none"/>
        </w:rPr>
      </w:pPr>
      <w:r>
        <w:rPr>
          <w:rFonts w:hint="eastAsia"/>
          <w:color w:val="auto"/>
          <w:kern w:val="2"/>
          <w:highlight w:val="none"/>
        </w:rPr>
        <w:t>5、参加政府采购活动前三年内，在经营活动中没有重大违法记录；</w:t>
      </w:r>
    </w:p>
    <w:p w14:paraId="7023086E">
      <w:pPr>
        <w:pStyle w:val="21"/>
        <w:spacing w:before="0" w:after="0" w:line="360" w:lineRule="auto"/>
        <w:ind w:left="480"/>
        <w:jc w:val="both"/>
        <w:rPr>
          <w:color w:val="auto"/>
          <w:kern w:val="2"/>
          <w:highlight w:val="none"/>
        </w:rPr>
      </w:pPr>
      <w:r>
        <w:rPr>
          <w:rFonts w:hint="eastAsia"/>
          <w:color w:val="auto"/>
          <w:kern w:val="2"/>
          <w:highlight w:val="none"/>
        </w:rPr>
        <w:t>6、具有法律、行政法规规定的其他条件。</w:t>
      </w:r>
    </w:p>
    <w:p w14:paraId="5580E18D">
      <w:pPr>
        <w:pStyle w:val="21"/>
        <w:spacing w:before="0" w:after="0" w:line="360" w:lineRule="auto"/>
        <w:ind w:left="480"/>
        <w:jc w:val="both"/>
        <w:rPr>
          <w:color w:val="auto"/>
          <w:kern w:val="2"/>
          <w:highlight w:val="none"/>
        </w:rPr>
      </w:pPr>
      <w:r>
        <w:rPr>
          <w:rFonts w:hint="eastAsia"/>
          <w:color w:val="auto"/>
          <w:kern w:val="2"/>
          <w:highlight w:val="none"/>
        </w:rPr>
        <w:t>（二）未被信用中国（www.creditchina.gov.cn)、中国政府采购网（www.ccgp.gov.cn）列入失信被执行人、重大税收违法案件当事人名单、政府采购严重违法失信行为记录名单。</w:t>
      </w:r>
    </w:p>
    <w:p w14:paraId="429CA6D0">
      <w:pPr>
        <w:pStyle w:val="21"/>
        <w:spacing w:before="0" w:after="0" w:line="360" w:lineRule="auto"/>
        <w:ind w:left="480"/>
        <w:jc w:val="both"/>
        <w:rPr>
          <w:color w:val="auto"/>
          <w:kern w:val="2"/>
          <w:highlight w:val="none"/>
        </w:rPr>
      </w:pPr>
      <w:r>
        <w:rPr>
          <w:rFonts w:hint="eastAsia"/>
          <w:color w:val="auto"/>
          <w:kern w:val="2"/>
          <w:highlight w:val="none"/>
        </w:rPr>
        <w:t>（三）不存在以下情况：</w:t>
      </w:r>
    </w:p>
    <w:p w14:paraId="4936F8D5">
      <w:pPr>
        <w:pStyle w:val="21"/>
        <w:spacing w:before="0" w:after="0" w:line="360" w:lineRule="auto"/>
        <w:ind w:left="480"/>
        <w:jc w:val="both"/>
        <w:rPr>
          <w:color w:val="auto"/>
          <w:kern w:val="2"/>
          <w:highlight w:val="none"/>
        </w:rPr>
      </w:pPr>
      <w:r>
        <w:rPr>
          <w:rFonts w:hint="eastAsia"/>
          <w:color w:val="auto"/>
          <w:kern w:val="2"/>
          <w:highlight w:val="none"/>
        </w:rPr>
        <w:t>1、单位负责人为同一人或者存在直接控股、管理关系的不同供应商参加同一合同项下的政府采购活动的；</w:t>
      </w:r>
    </w:p>
    <w:p w14:paraId="25B59358">
      <w:pPr>
        <w:pStyle w:val="21"/>
        <w:spacing w:before="0" w:after="0" w:line="360" w:lineRule="auto"/>
        <w:ind w:left="480"/>
        <w:jc w:val="both"/>
        <w:rPr>
          <w:color w:val="auto"/>
          <w:kern w:val="2"/>
          <w:highlight w:val="none"/>
        </w:rPr>
      </w:pPr>
      <w:r>
        <w:rPr>
          <w:rFonts w:hint="eastAsia"/>
          <w:color w:val="auto"/>
          <w:kern w:val="2"/>
          <w:highlight w:val="none"/>
        </w:rPr>
        <w:t>2、为采购项目提供整体设计、规范编制或者项目管理、监理、检测等服务后再参加该采购项目的其他采购活动的。</w:t>
      </w:r>
    </w:p>
    <w:p w14:paraId="3077AC47">
      <w:pPr>
        <w:pStyle w:val="21"/>
        <w:spacing w:before="0" w:after="0" w:line="360" w:lineRule="auto"/>
        <w:ind w:left="480"/>
        <w:jc w:val="both"/>
        <w:rPr>
          <w:color w:val="auto"/>
          <w:kern w:val="2"/>
          <w:highlight w:val="none"/>
        </w:rPr>
      </w:pPr>
    </w:p>
    <w:p w14:paraId="2769B712">
      <w:pPr>
        <w:pStyle w:val="21"/>
        <w:spacing w:before="0" w:after="0" w:line="360" w:lineRule="auto"/>
        <w:ind w:left="480"/>
        <w:jc w:val="both"/>
        <w:rPr>
          <w:color w:val="auto"/>
          <w:kern w:val="2"/>
          <w:highlight w:val="none"/>
        </w:rPr>
      </w:pPr>
    </w:p>
    <w:p w14:paraId="7AEF305B">
      <w:pPr>
        <w:pStyle w:val="21"/>
        <w:spacing w:before="0" w:after="0" w:line="360" w:lineRule="auto"/>
        <w:ind w:left="480"/>
        <w:jc w:val="both"/>
        <w:rPr>
          <w:color w:val="auto"/>
          <w:kern w:val="2"/>
          <w:highlight w:val="none"/>
        </w:rPr>
      </w:pPr>
    </w:p>
    <w:p w14:paraId="1D9CF389">
      <w:pPr>
        <w:snapToGrid w:val="0"/>
        <w:spacing w:before="50" w:after="50"/>
        <w:rPr>
          <w:rFonts w:ascii="宋体" w:hAnsi="宋体" w:cs="宋体"/>
          <w:color w:val="auto"/>
          <w:spacing w:val="20"/>
          <w:sz w:val="24"/>
          <w:highlight w:val="none"/>
          <w:u w:val="single"/>
        </w:rPr>
      </w:pPr>
      <w:r>
        <w:rPr>
          <w:rFonts w:hint="eastAsia" w:ascii="宋体" w:hAnsi="宋体" w:cs="宋体"/>
          <w:color w:val="auto"/>
          <w:sz w:val="24"/>
          <w:highlight w:val="none"/>
        </w:rPr>
        <w:t>法定代表人或委托代理人签字</w:t>
      </w:r>
      <w:r>
        <w:rPr>
          <w:rFonts w:hint="eastAsia" w:ascii="宋体" w:hAnsi="宋体" w:cs="宋体"/>
          <w:color w:val="auto"/>
          <w:spacing w:val="20"/>
          <w:sz w:val="24"/>
          <w:highlight w:val="none"/>
        </w:rPr>
        <w:t>：</w:t>
      </w:r>
      <w:r>
        <w:rPr>
          <w:rFonts w:hint="eastAsia" w:ascii="宋体" w:hAnsi="宋体" w:cs="宋体"/>
          <w:color w:val="auto"/>
          <w:spacing w:val="20"/>
          <w:sz w:val="24"/>
          <w:highlight w:val="none"/>
          <w:u w:val="single"/>
        </w:rPr>
        <w:t xml:space="preserve">        </w:t>
      </w:r>
    </w:p>
    <w:p w14:paraId="41A362E0">
      <w:pPr>
        <w:snapToGrid w:val="0"/>
        <w:spacing w:before="120" w:beforeLines="50"/>
        <w:rPr>
          <w:rFonts w:ascii="宋体" w:hAnsi="宋体" w:cs="宋体"/>
          <w:color w:val="auto"/>
          <w:sz w:val="24"/>
          <w:highlight w:val="none"/>
        </w:rPr>
      </w:pPr>
      <w:r>
        <w:rPr>
          <w:rFonts w:hint="eastAsia" w:ascii="宋体" w:hAnsi="宋体" w:cs="宋体"/>
          <w:color w:val="auto"/>
          <w:spacing w:val="20"/>
          <w:sz w:val="24"/>
          <w:highlight w:val="none"/>
        </w:rPr>
        <w:t>投标人盖章：</w:t>
      </w:r>
      <w:r>
        <w:rPr>
          <w:rFonts w:hint="eastAsia" w:ascii="宋体" w:hAnsi="宋体" w:cs="宋体"/>
          <w:color w:val="auto"/>
          <w:spacing w:val="20"/>
          <w:sz w:val="24"/>
          <w:highlight w:val="none"/>
          <w:u w:val="single"/>
        </w:rPr>
        <w:t xml:space="preserve">            </w:t>
      </w:r>
      <w:r>
        <w:rPr>
          <w:rFonts w:hint="eastAsia" w:ascii="宋体" w:hAnsi="宋体" w:cs="宋体"/>
          <w:color w:val="auto"/>
          <w:spacing w:val="20"/>
          <w:sz w:val="24"/>
          <w:highlight w:val="none"/>
        </w:rPr>
        <w:t xml:space="preserve">              日 期：</w:t>
      </w:r>
      <w:r>
        <w:rPr>
          <w:rFonts w:hint="eastAsia" w:ascii="宋体" w:hAnsi="宋体" w:cs="宋体"/>
          <w:color w:val="auto"/>
          <w:spacing w:val="20"/>
          <w:sz w:val="24"/>
          <w:highlight w:val="none"/>
          <w:u w:val="single"/>
        </w:rPr>
        <w:t xml:space="preserve">            </w:t>
      </w:r>
    </w:p>
    <w:p w14:paraId="33D69EC3">
      <w:pPr>
        <w:rPr>
          <w:rFonts w:ascii="宋体" w:hAnsi="宋体" w:cs="宋体"/>
          <w:color w:val="auto"/>
          <w:sz w:val="24"/>
          <w:highlight w:val="none"/>
        </w:rPr>
      </w:pPr>
    </w:p>
    <w:p w14:paraId="65AB438E">
      <w:pPr>
        <w:pStyle w:val="5"/>
        <w:keepNext w:val="0"/>
        <w:keepLines w:val="0"/>
        <w:pageBreakBefore/>
        <w:spacing w:line="360" w:lineRule="auto"/>
        <w:rPr>
          <w:rFonts w:ascii="宋体" w:hAnsi="宋体" w:eastAsia="宋体" w:cs="宋体"/>
          <w:b w:val="0"/>
          <w:bCs w:val="0"/>
          <w:color w:val="auto"/>
          <w:sz w:val="24"/>
          <w:szCs w:val="24"/>
          <w:highlight w:val="none"/>
        </w:rPr>
      </w:pPr>
      <w:bookmarkStart w:id="66" w:name="_Toc17855"/>
      <w:r>
        <w:rPr>
          <w:rFonts w:hint="eastAsia" w:ascii="宋体" w:hAnsi="宋体" w:eastAsia="宋体" w:cs="宋体"/>
          <w:b w:val="0"/>
          <w:bCs w:val="0"/>
          <w:color w:val="auto"/>
          <w:sz w:val="24"/>
          <w:szCs w:val="24"/>
          <w:highlight w:val="none"/>
        </w:rPr>
        <w:t>附件三：政府采购活动现场确认声明书</w:t>
      </w:r>
      <w:bookmarkEnd w:id="65"/>
      <w:bookmarkEnd w:id="66"/>
    </w:p>
    <w:p w14:paraId="4B8BB5F3">
      <w:pPr>
        <w:snapToGrid w:val="0"/>
        <w:spacing w:line="360" w:lineRule="auto"/>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政府采购活动现场确认声明书</w:t>
      </w:r>
    </w:p>
    <w:p w14:paraId="1843FA6E">
      <w:pPr>
        <w:snapToGrid w:val="0"/>
        <w:spacing w:before="120" w:beforeLines="50" w:after="50" w:line="276" w:lineRule="auto"/>
        <w:rPr>
          <w:rFonts w:ascii="宋体" w:hAnsi="宋体" w:cs="宋体"/>
          <w:color w:val="auto"/>
          <w:sz w:val="24"/>
          <w:highlight w:val="none"/>
        </w:rPr>
      </w:pPr>
      <w:r>
        <w:rPr>
          <w:rFonts w:hint="eastAsia" w:ascii="宋体" w:hAnsi="宋体" w:cs="宋体"/>
          <w:color w:val="auto"/>
          <w:sz w:val="24"/>
          <w:highlight w:val="none"/>
        </w:rPr>
        <w:t>金华正达工程造价咨询有限公司 :</w:t>
      </w:r>
    </w:p>
    <w:p w14:paraId="0CC9B3E0">
      <w:pPr>
        <w:snapToGrid w:val="0"/>
        <w:spacing w:before="120" w:beforeLines="50" w:after="50" w:line="276" w:lineRule="auto"/>
        <w:ind w:firstLine="720" w:firstLineChars="300"/>
        <w:rPr>
          <w:rFonts w:ascii="宋体" w:hAnsi="宋体" w:cs="宋体"/>
          <w:color w:val="auto"/>
          <w:sz w:val="24"/>
          <w:highlight w:val="none"/>
        </w:rPr>
      </w:pPr>
      <w:r>
        <w:rPr>
          <w:rFonts w:hint="eastAsia" w:ascii="宋体" w:hAnsi="宋体" w:cs="宋体"/>
          <w:color w:val="auto"/>
          <w:sz w:val="24"/>
          <w:highlight w:val="none"/>
        </w:rPr>
        <w:t>本人</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rPr>
        <w:tab/>
      </w:r>
      <w:r>
        <w:rPr>
          <w:rFonts w:hint="eastAsia" w:ascii="宋体" w:hAnsi="宋体" w:cs="宋体"/>
          <w:color w:val="auto"/>
          <w:sz w:val="24"/>
          <w:highlight w:val="none"/>
        </w:rPr>
        <w:t>（授权代表姓名），经由</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（单位）</w:t>
      </w:r>
    </w:p>
    <w:p w14:paraId="0F43B0D7">
      <w:pPr>
        <w:snapToGrid w:val="0"/>
        <w:spacing w:before="120" w:beforeLines="50" w:after="50" w:line="276" w:lineRule="auto"/>
        <w:rPr>
          <w:rFonts w:ascii="宋体" w:hAnsi="宋体" w:cs="宋体"/>
          <w:color w:val="auto"/>
          <w:sz w:val="24"/>
          <w:highlight w:val="none"/>
        </w:rPr>
      </w:pP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rPr>
        <w:tab/>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（法定代表人姓名）合法授权参加</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项目（编号：</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）政府采购活动．经与本单位法人代表（负责人）联系确认，现就有关公平竞争事项郑重声明如下:</w:t>
      </w:r>
    </w:p>
    <w:p w14:paraId="445ECD7A">
      <w:pPr>
        <w:snapToGrid w:val="0"/>
        <w:spacing w:before="120" w:beforeLines="50" w:after="50" w:line="276" w:lineRule="auto"/>
        <w:rPr>
          <w:rFonts w:ascii="宋体" w:hAnsi="宋体" w:cs="宋体"/>
          <w:color w:val="auto"/>
          <w:sz w:val="24"/>
          <w:highlight w:val="none"/>
        </w:rPr>
      </w:pPr>
      <w:r>
        <w:rPr>
          <w:rFonts w:hint="eastAsia" w:ascii="宋体" w:hAnsi="宋体" w:cs="宋体"/>
          <w:color w:val="auto"/>
          <w:sz w:val="24"/>
          <w:highlight w:val="none"/>
        </w:rPr>
        <w:t>一、本单位与采购人之间口不存在利害关系口存在下列利害关系:</w:t>
      </w:r>
    </w:p>
    <w:p w14:paraId="510DCF9E">
      <w:pPr>
        <w:snapToGrid w:val="0"/>
        <w:spacing w:before="120" w:beforeLines="50" w:after="50" w:line="276" w:lineRule="auto"/>
        <w:rPr>
          <w:rFonts w:ascii="宋体" w:hAnsi="宋体" w:cs="宋体"/>
          <w:color w:val="auto"/>
          <w:sz w:val="24"/>
          <w:highlight w:val="none"/>
        </w:rPr>
      </w:pPr>
      <w:r>
        <w:rPr>
          <w:rFonts w:hint="eastAsia" w:ascii="宋体" w:hAnsi="宋体" w:cs="宋体"/>
          <w:color w:val="auto"/>
          <w:sz w:val="24"/>
          <w:highlight w:val="none"/>
        </w:rPr>
        <w:t>A．投资关系</w:t>
      </w:r>
      <w:r>
        <w:rPr>
          <w:rFonts w:hint="eastAsia" w:ascii="宋体" w:hAnsi="宋体" w:cs="宋体"/>
          <w:color w:val="auto"/>
          <w:sz w:val="24"/>
          <w:highlight w:val="none"/>
        </w:rPr>
        <w:tab/>
      </w:r>
      <w:r>
        <w:rPr>
          <w:rFonts w:hint="eastAsia" w:ascii="宋体" w:hAnsi="宋体" w:cs="宋体"/>
          <w:color w:val="auto"/>
          <w:sz w:val="24"/>
          <w:highlight w:val="none"/>
        </w:rPr>
        <w:t>B．行政隶属关系</w:t>
      </w:r>
      <w:r>
        <w:rPr>
          <w:rFonts w:hint="eastAsia" w:ascii="宋体" w:hAnsi="宋体" w:cs="宋体"/>
          <w:color w:val="auto"/>
          <w:sz w:val="24"/>
          <w:highlight w:val="none"/>
        </w:rPr>
        <w:tab/>
      </w:r>
      <w:r>
        <w:rPr>
          <w:rFonts w:hint="eastAsia" w:ascii="宋体" w:hAnsi="宋体" w:cs="宋体"/>
          <w:color w:val="auto"/>
          <w:sz w:val="24"/>
          <w:highlight w:val="none"/>
        </w:rPr>
        <w:t>C．业务指导关系  D．其他可能影响采购公正的利害关系（如有，请如实说明）。</w:t>
      </w:r>
    </w:p>
    <w:p w14:paraId="5163F95E">
      <w:pPr>
        <w:snapToGrid w:val="0"/>
        <w:spacing w:before="120" w:beforeLines="50" w:after="50" w:line="276" w:lineRule="auto"/>
        <w:rPr>
          <w:rFonts w:ascii="宋体" w:hAnsi="宋体" w:cs="宋体"/>
          <w:color w:val="auto"/>
          <w:sz w:val="24"/>
          <w:highlight w:val="none"/>
        </w:rPr>
      </w:pPr>
      <w:r>
        <w:rPr>
          <w:rFonts w:hint="eastAsia" w:ascii="宋体" w:hAnsi="宋体" w:cs="宋体"/>
          <w:color w:val="auto"/>
          <w:sz w:val="24"/>
          <w:highlight w:val="none"/>
        </w:rPr>
        <w:t xml:space="preserve">二、现己清楚知道参加本项目采购活动的其他所有供应商名称，本单位 口与其他所有供应商之间均不存在利害关系 口与 </w:t>
      </w:r>
      <w:r>
        <w:rPr>
          <w:rFonts w:hint="eastAsia" w:ascii="宋体" w:hAnsi="宋体" w:cs="宋体"/>
          <w:color w:val="auto"/>
          <w:sz w:val="24"/>
          <w:highlight w:val="none"/>
          <w:u w:val="single"/>
        </w:rPr>
        <w:tab/>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（供应商名称）之间存在下列利害关系:</w:t>
      </w:r>
    </w:p>
    <w:p w14:paraId="449C21CD">
      <w:pPr>
        <w:snapToGrid w:val="0"/>
        <w:spacing w:before="120" w:beforeLines="50" w:after="50" w:line="276" w:lineRule="auto"/>
        <w:rPr>
          <w:rFonts w:ascii="宋体" w:hAnsi="宋体" w:cs="宋体"/>
          <w:color w:val="auto"/>
          <w:sz w:val="24"/>
          <w:highlight w:val="none"/>
        </w:rPr>
      </w:pPr>
      <w:r>
        <w:rPr>
          <w:rFonts w:hint="eastAsia" w:ascii="宋体" w:hAnsi="宋体" w:cs="宋体"/>
          <w:color w:val="auto"/>
          <w:sz w:val="24"/>
          <w:highlight w:val="none"/>
        </w:rPr>
        <w:t>A．法定代表人或负责人或实际控制人是同一人B．法定代表人或负责人或实际控制人是夫妻关系</w:t>
      </w:r>
    </w:p>
    <w:p w14:paraId="5B2E2F8F">
      <w:pPr>
        <w:snapToGrid w:val="0"/>
        <w:spacing w:before="120" w:beforeLines="50" w:after="50" w:line="276" w:lineRule="auto"/>
        <w:rPr>
          <w:rFonts w:ascii="宋体" w:hAnsi="宋体" w:cs="宋体"/>
          <w:color w:val="auto"/>
          <w:sz w:val="24"/>
          <w:highlight w:val="none"/>
        </w:rPr>
      </w:pPr>
      <w:r>
        <w:rPr>
          <w:rFonts w:hint="eastAsia" w:ascii="宋体" w:hAnsi="宋体" w:cs="宋体"/>
          <w:color w:val="auto"/>
          <w:sz w:val="24"/>
          <w:highlight w:val="none"/>
        </w:rPr>
        <w:t>C.法定代表人或负责人或实际控制人是直系血亲关系</w:t>
      </w:r>
    </w:p>
    <w:p w14:paraId="66FC351A">
      <w:pPr>
        <w:snapToGrid w:val="0"/>
        <w:spacing w:before="120" w:beforeLines="50" w:after="50" w:line="276" w:lineRule="auto"/>
        <w:rPr>
          <w:rFonts w:ascii="宋体" w:hAnsi="宋体" w:cs="宋体"/>
          <w:color w:val="auto"/>
          <w:sz w:val="24"/>
          <w:highlight w:val="none"/>
        </w:rPr>
      </w:pPr>
      <w:r>
        <w:rPr>
          <w:rFonts w:hint="eastAsia" w:ascii="宋体" w:hAnsi="宋体" w:cs="宋体"/>
          <w:color w:val="auto"/>
          <w:sz w:val="24"/>
          <w:highlight w:val="none"/>
        </w:rPr>
        <w:t>D.法定代表人或负责人或实际控制人存在三代以内旁系血亲关系</w:t>
      </w:r>
    </w:p>
    <w:p w14:paraId="4A4E87B1">
      <w:pPr>
        <w:snapToGrid w:val="0"/>
        <w:spacing w:before="120" w:beforeLines="50" w:after="50" w:line="276" w:lineRule="auto"/>
        <w:rPr>
          <w:rFonts w:ascii="宋体" w:hAnsi="宋体" w:cs="宋体"/>
          <w:color w:val="auto"/>
          <w:sz w:val="24"/>
          <w:highlight w:val="none"/>
        </w:rPr>
      </w:pPr>
      <w:r>
        <w:rPr>
          <w:rFonts w:hint="eastAsia" w:ascii="宋体" w:hAnsi="宋体" w:cs="宋体"/>
          <w:color w:val="auto"/>
          <w:sz w:val="24"/>
          <w:highlight w:val="none"/>
        </w:rPr>
        <w:t>E．法定代表人或负责人或实际控制人存在近姻亲关系</w:t>
      </w:r>
    </w:p>
    <w:p w14:paraId="2398C354">
      <w:pPr>
        <w:snapToGrid w:val="0"/>
        <w:spacing w:before="120" w:beforeLines="50" w:after="50" w:line="276" w:lineRule="auto"/>
        <w:rPr>
          <w:rFonts w:ascii="宋体" w:hAnsi="宋体" w:cs="宋体"/>
          <w:color w:val="auto"/>
          <w:sz w:val="24"/>
          <w:highlight w:val="none"/>
        </w:rPr>
      </w:pPr>
      <w:r>
        <w:rPr>
          <w:rFonts w:hint="eastAsia" w:ascii="宋体" w:hAnsi="宋体" w:cs="宋体"/>
          <w:color w:val="auto"/>
          <w:sz w:val="24"/>
          <w:highlight w:val="none"/>
        </w:rPr>
        <w:t>F．法定代表人或负责人或实际控制人存在股份控制或实际控制关系</w:t>
      </w:r>
    </w:p>
    <w:p w14:paraId="69A1FED6">
      <w:pPr>
        <w:snapToGrid w:val="0"/>
        <w:spacing w:before="120" w:beforeLines="50" w:after="50" w:line="276" w:lineRule="auto"/>
        <w:rPr>
          <w:rFonts w:ascii="宋体" w:hAnsi="宋体" w:cs="宋体"/>
          <w:color w:val="auto"/>
          <w:sz w:val="24"/>
          <w:highlight w:val="none"/>
        </w:rPr>
      </w:pPr>
      <w:r>
        <w:rPr>
          <w:rFonts w:hint="eastAsia" w:ascii="宋体" w:hAnsi="宋体" w:cs="宋体"/>
          <w:color w:val="auto"/>
          <w:sz w:val="24"/>
          <w:highlight w:val="none"/>
        </w:rPr>
        <w:t>G．存在共同直接或间接投资设立子公司、联营企业和合营企业情况</w:t>
      </w:r>
    </w:p>
    <w:p w14:paraId="5434B630">
      <w:pPr>
        <w:snapToGrid w:val="0"/>
        <w:spacing w:before="120" w:beforeLines="50" w:after="50" w:line="276" w:lineRule="auto"/>
        <w:rPr>
          <w:rFonts w:ascii="宋体" w:hAnsi="宋体" w:cs="宋体"/>
          <w:color w:val="auto"/>
          <w:sz w:val="24"/>
          <w:highlight w:val="none"/>
        </w:rPr>
      </w:pPr>
      <w:r>
        <w:rPr>
          <w:rFonts w:hint="eastAsia" w:ascii="宋体" w:hAnsi="宋体" w:cs="宋体"/>
          <w:color w:val="auto"/>
          <w:sz w:val="24"/>
          <w:highlight w:val="none"/>
        </w:rPr>
        <w:t>H.存在分级代理或代销关系、同一生产制造商关系、管理关系、重要业务（占主昔业务收入 50 ％以上）或重要财务往来关系（如融资）等其他实质性控制关系</w:t>
      </w:r>
    </w:p>
    <w:p w14:paraId="29F08CFE">
      <w:pPr>
        <w:snapToGrid w:val="0"/>
        <w:spacing w:before="120" w:beforeLines="50" w:after="50" w:line="276" w:lineRule="auto"/>
        <w:rPr>
          <w:rFonts w:ascii="宋体" w:hAnsi="宋体" w:cs="宋体"/>
          <w:color w:val="auto"/>
          <w:sz w:val="24"/>
          <w:highlight w:val="none"/>
        </w:rPr>
      </w:pPr>
      <w:r>
        <w:rPr>
          <w:rFonts w:hint="eastAsia" w:ascii="宋体" w:hAnsi="宋体" w:cs="宋体"/>
          <w:color w:val="auto"/>
          <w:sz w:val="24"/>
          <w:highlight w:val="none"/>
        </w:rPr>
        <w:t>I.其他利害关系情况</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rPr>
        <w:tab/>
      </w:r>
      <w:r>
        <w:rPr>
          <w:rFonts w:hint="eastAsia" w:ascii="宋体" w:hAnsi="宋体" w:cs="宋体"/>
          <w:color w:val="auto"/>
          <w:sz w:val="24"/>
          <w:highlight w:val="none"/>
        </w:rPr>
        <w:t>。</w:t>
      </w:r>
    </w:p>
    <w:p w14:paraId="3D677E73">
      <w:pPr>
        <w:snapToGrid w:val="0"/>
        <w:spacing w:before="120" w:beforeLines="50" w:after="50" w:line="276" w:lineRule="auto"/>
        <w:rPr>
          <w:rFonts w:ascii="宋体" w:hAnsi="宋体" w:cs="宋体"/>
          <w:color w:val="auto"/>
          <w:sz w:val="24"/>
          <w:highlight w:val="none"/>
        </w:rPr>
      </w:pPr>
      <w:r>
        <w:rPr>
          <w:rFonts w:hint="eastAsia" w:ascii="宋体" w:hAnsi="宋体" w:cs="宋体"/>
          <w:color w:val="auto"/>
          <w:sz w:val="24"/>
          <w:highlight w:val="none"/>
        </w:rPr>
        <w:t>三、现己清楚知道并严格遵守政府采购法律法规和现场纪律。</w:t>
      </w:r>
    </w:p>
    <w:p w14:paraId="475BB92E">
      <w:pPr>
        <w:snapToGrid w:val="0"/>
        <w:spacing w:before="120" w:beforeLines="50" w:after="50" w:line="276" w:lineRule="auto"/>
        <w:rPr>
          <w:rFonts w:ascii="宋体" w:hAnsi="宋体" w:cs="宋体"/>
          <w:color w:val="auto"/>
          <w:sz w:val="24"/>
          <w:highlight w:val="none"/>
        </w:rPr>
      </w:pPr>
      <w:r>
        <w:rPr>
          <w:rFonts w:hint="eastAsia" w:ascii="宋体" w:hAnsi="宋体" w:cs="宋体"/>
          <w:color w:val="auto"/>
          <w:sz w:val="24"/>
          <w:highlight w:val="none"/>
        </w:rPr>
        <w:t>四、我发现</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rPr>
        <w:tab/>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供应商之间存在或可能存在上述第二条第</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项利害关系。</w:t>
      </w:r>
    </w:p>
    <w:p w14:paraId="7D39C050">
      <w:pPr>
        <w:snapToGrid w:val="0"/>
        <w:spacing w:before="120" w:beforeLines="50" w:after="50" w:line="276" w:lineRule="auto"/>
        <w:rPr>
          <w:rFonts w:ascii="宋体" w:hAnsi="宋体" w:cs="宋体"/>
          <w:color w:val="auto"/>
          <w:sz w:val="24"/>
          <w:highlight w:val="none"/>
        </w:rPr>
      </w:pPr>
    </w:p>
    <w:p w14:paraId="72670047">
      <w:pPr>
        <w:snapToGrid w:val="0"/>
        <w:spacing w:before="120" w:beforeLines="50" w:after="50" w:line="276" w:lineRule="auto"/>
        <w:jc w:val="center"/>
        <w:rPr>
          <w:rFonts w:ascii="宋体" w:hAnsi="宋体" w:cs="宋体"/>
          <w:color w:val="auto"/>
          <w:sz w:val="24"/>
          <w:highlight w:val="none"/>
        </w:rPr>
      </w:pPr>
      <w:r>
        <w:rPr>
          <w:rFonts w:hint="eastAsia" w:ascii="宋体" w:hAnsi="宋体" w:cs="宋体"/>
          <w:color w:val="auto"/>
          <w:sz w:val="24"/>
          <w:highlight w:val="none"/>
        </w:rPr>
        <w:t xml:space="preserve">（供应商代表签名）: </w:t>
      </w:r>
    </w:p>
    <w:p w14:paraId="45F186ED">
      <w:pPr>
        <w:snapToGrid w:val="0"/>
        <w:spacing w:before="120" w:beforeLines="50" w:after="50" w:line="276" w:lineRule="auto"/>
        <w:jc w:val="center"/>
        <w:rPr>
          <w:rFonts w:ascii="宋体" w:hAnsi="宋体" w:cs="宋体"/>
          <w:b/>
          <w:color w:val="auto"/>
          <w:sz w:val="24"/>
          <w:highlight w:val="none"/>
        </w:rPr>
      </w:pPr>
      <w:r>
        <w:rPr>
          <w:rFonts w:hint="eastAsia" w:ascii="宋体" w:hAnsi="宋体" w:cs="宋体"/>
          <w:color w:val="auto"/>
          <w:sz w:val="24"/>
          <w:highlight w:val="none"/>
        </w:rPr>
        <w:t xml:space="preserve">                                                     年   月   日</w:t>
      </w:r>
    </w:p>
    <w:p w14:paraId="6DF1697E">
      <w:pPr>
        <w:pStyle w:val="5"/>
        <w:keepNext w:val="0"/>
        <w:keepLines w:val="0"/>
        <w:pageBreakBefore/>
        <w:spacing w:line="276" w:lineRule="auto"/>
        <w:rPr>
          <w:rFonts w:ascii="宋体" w:hAnsi="宋体" w:eastAsia="宋体" w:cs="宋体"/>
          <w:b w:val="0"/>
          <w:color w:val="auto"/>
          <w:sz w:val="24"/>
          <w:szCs w:val="24"/>
          <w:highlight w:val="none"/>
        </w:rPr>
      </w:pPr>
      <w:bookmarkStart w:id="67" w:name="_Toc12971"/>
      <w:r>
        <w:rPr>
          <w:rFonts w:hint="eastAsia" w:ascii="宋体" w:hAnsi="宋体" w:eastAsia="宋体" w:cs="宋体"/>
          <w:b w:val="0"/>
          <w:color w:val="auto"/>
          <w:sz w:val="24"/>
          <w:szCs w:val="24"/>
          <w:highlight w:val="none"/>
        </w:rPr>
        <w:t>附件四：法定代表人授权委托书</w:t>
      </w:r>
      <w:bookmarkEnd w:id="67"/>
    </w:p>
    <w:p w14:paraId="70F20A54">
      <w:pPr>
        <w:snapToGrid w:val="0"/>
        <w:spacing w:line="360" w:lineRule="auto"/>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法定代表人授权委托书</w:t>
      </w:r>
    </w:p>
    <w:p w14:paraId="38C7C200">
      <w:pPr>
        <w:snapToGrid w:val="0"/>
        <w:spacing w:before="120" w:beforeLines="50" w:after="50" w:line="276" w:lineRule="auto"/>
        <w:rPr>
          <w:rFonts w:ascii="宋体" w:hAnsi="宋体" w:cs="宋体"/>
          <w:b/>
          <w:bCs/>
          <w:color w:val="auto"/>
          <w:sz w:val="24"/>
          <w:highlight w:val="none"/>
        </w:rPr>
      </w:pPr>
      <w:r>
        <w:rPr>
          <w:rFonts w:hint="eastAsia" w:ascii="宋体" w:hAnsi="宋体" w:cs="宋体"/>
          <w:bCs/>
          <w:color w:val="auto"/>
          <w:sz w:val="24"/>
          <w:highlight w:val="none"/>
        </w:rPr>
        <w:t>致：</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（招标采购单位名称）：</w:t>
      </w:r>
    </w:p>
    <w:p w14:paraId="08F9DC29">
      <w:pPr>
        <w:snapToGrid w:val="0"/>
        <w:spacing w:before="120" w:beforeLines="50" w:after="50" w:line="276" w:lineRule="auto"/>
        <w:ind w:firstLine="720" w:firstLineChars="300"/>
        <w:rPr>
          <w:rFonts w:ascii="宋体" w:hAnsi="宋体" w:cs="宋体"/>
          <w:color w:val="auto"/>
          <w:sz w:val="24"/>
          <w:highlight w:val="none"/>
        </w:rPr>
      </w:pPr>
      <w:r>
        <w:rPr>
          <w:rFonts w:hint="eastAsia" w:ascii="宋体" w:hAnsi="宋体" w:cs="宋体"/>
          <w:color w:val="auto"/>
          <w:sz w:val="24"/>
          <w:highlight w:val="none"/>
        </w:rPr>
        <w:t>我</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（姓名）系</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（投标人名称）的法定代表人，现授权委托本单位在职职工 </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（姓名）以我方的名义参加</w:t>
      </w:r>
      <w:r>
        <w:rPr>
          <w:rFonts w:hint="eastAsia" w:ascii="宋体" w:hAnsi="宋体" w:cs="宋体"/>
          <w:color w:val="auto"/>
          <w:sz w:val="24"/>
          <w:highlight w:val="none"/>
          <w:u w:val="single"/>
          <w:lang w:eastAsia="zh-CN"/>
        </w:rPr>
        <w:t>东阳市农药废弃包装物回收和集中处置采购项目（第二次）</w:t>
      </w:r>
      <w:r>
        <w:rPr>
          <w:rFonts w:hint="eastAsia" w:ascii="宋体" w:hAnsi="宋体" w:cs="宋体"/>
          <w:color w:val="auto"/>
          <w:sz w:val="24"/>
          <w:highlight w:val="none"/>
        </w:rPr>
        <w:t>的投标活动，并代表我方全权办理针对上述项目的投标、开标、评标、签约等具体事务和签署相关文件。</w:t>
      </w:r>
    </w:p>
    <w:p w14:paraId="32231197">
      <w:pPr>
        <w:snapToGrid w:val="0"/>
        <w:spacing w:before="120" w:beforeLines="50" w:after="50" w:line="276" w:lineRule="auto"/>
        <w:rPr>
          <w:rFonts w:ascii="宋体" w:hAnsi="宋体" w:cs="宋体"/>
          <w:color w:val="auto"/>
          <w:sz w:val="24"/>
          <w:highlight w:val="none"/>
        </w:rPr>
      </w:pPr>
      <w:r>
        <w:rPr>
          <w:rFonts w:hint="eastAsia" w:ascii="宋体" w:hAnsi="宋体" w:cs="宋体"/>
          <w:color w:val="auto"/>
          <w:sz w:val="24"/>
          <w:highlight w:val="none"/>
        </w:rPr>
        <w:t xml:space="preserve">    我方对委托代理人的签名事项负全部责任。</w:t>
      </w:r>
    </w:p>
    <w:p w14:paraId="29C2A55D">
      <w:pPr>
        <w:snapToGrid w:val="0"/>
        <w:spacing w:before="120" w:beforeLines="50" w:after="50" w:line="276" w:lineRule="auto"/>
        <w:ind w:firstLine="480"/>
        <w:rPr>
          <w:rFonts w:ascii="宋体" w:hAnsi="宋体" w:cs="宋体"/>
          <w:color w:val="auto"/>
          <w:sz w:val="24"/>
          <w:highlight w:val="none"/>
        </w:rPr>
      </w:pPr>
      <w:r>
        <w:rPr>
          <w:rFonts w:hint="eastAsia" w:ascii="宋体" w:hAnsi="宋体" w:cs="宋体"/>
          <w:color w:val="auto"/>
          <w:sz w:val="24"/>
          <w:highlight w:val="none"/>
          <w:u w:val="single"/>
        </w:rPr>
        <w:t>在撤销授权的书面通知以前，本授权书一直有效。</w:t>
      </w:r>
      <w:r>
        <w:rPr>
          <w:rFonts w:hint="eastAsia" w:ascii="宋体" w:hAnsi="宋体" w:cs="宋体"/>
          <w:color w:val="auto"/>
          <w:sz w:val="24"/>
          <w:highlight w:val="none"/>
        </w:rPr>
        <w:t>委托代理人在授权书有效期内签署的所有文件不因授权的撤销而失效。</w:t>
      </w:r>
    </w:p>
    <w:p w14:paraId="7A5496B4">
      <w:pPr>
        <w:snapToGrid w:val="0"/>
        <w:spacing w:before="120" w:beforeLines="50" w:after="50" w:line="276" w:lineRule="auto"/>
        <w:ind w:firstLine="480"/>
        <w:rPr>
          <w:rFonts w:ascii="宋体" w:hAnsi="宋体" w:cs="宋体"/>
          <w:color w:val="auto"/>
          <w:sz w:val="24"/>
          <w:highlight w:val="none"/>
        </w:rPr>
      </w:pPr>
      <w:r>
        <w:rPr>
          <w:rFonts w:hint="eastAsia" w:ascii="宋体" w:hAnsi="宋体" w:cs="宋体"/>
          <w:color w:val="auto"/>
          <w:sz w:val="24"/>
          <w:highlight w:val="none"/>
        </w:rPr>
        <w:t>委托代理人无转委托权，特此委托。</w:t>
      </w:r>
    </w:p>
    <w:p w14:paraId="7DF7DC19">
      <w:pPr>
        <w:snapToGrid w:val="0"/>
        <w:spacing w:before="120" w:beforeLines="50" w:after="50" w:line="276" w:lineRule="auto"/>
        <w:rPr>
          <w:rFonts w:ascii="宋体" w:hAnsi="宋体" w:cs="宋体"/>
          <w:color w:val="auto"/>
          <w:sz w:val="24"/>
          <w:highlight w:val="none"/>
          <w:u w:val="single"/>
        </w:rPr>
      </w:pPr>
      <w:r>
        <w:rPr>
          <w:rFonts w:hint="eastAsia" w:ascii="宋体" w:hAnsi="宋体" w:cs="宋体"/>
          <w:color w:val="auto"/>
          <w:sz w:val="24"/>
          <w:highlight w:val="none"/>
        </w:rPr>
        <w:t>委托代理人签名：</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                 法定代表人签名：</w:t>
      </w:r>
      <w:r>
        <w:rPr>
          <w:rFonts w:hint="eastAsia" w:ascii="宋体" w:hAnsi="宋体" w:cs="宋体"/>
          <w:color w:val="auto"/>
          <w:sz w:val="24"/>
          <w:highlight w:val="none"/>
          <w:u w:val="single"/>
        </w:rPr>
        <w:t xml:space="preserve">          </w:t>
      </w:r>
    </w:p>
    <w:p w14:paraId="5900F60D">
      <w:pPr>
        <w:snapToGrid w:val="0"/>
        <w:spacing w:before="120" w:beforeLines="50" w:after="50" w:line="276" w:lineRule="auto"/>
        <w:ind w:firstLine="960" w:firstLineChars="400"/>
        <w:rPr>
          <w:rFonts w:ascii="宋体" w:hAnsi="宋体" w:cs="宋体"/>
          <w:color w:val="auto"/>
          <w:sz w:val="24"/>
          <w:highlight w:val="none"/>
        </w:rPr>
      </w:pPr>
      <w:r>
        <w:rPr>
          <w:rFonts w:hint="eastAsia" w:ascii="宋体" w:hAnsi="宋体" w:cs="宋体"/>
          <w:color w:val="auto"/>
          <w:sz w:val="24"/>
          <w:highlight w:val="none"/>
        </w:rPr>
        <w:t>职务：</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                          职务：</w:t>
      </w:r>
      <w:r>
        <w:rPr>
          <w:rFonts w:hint="eastAsia" w:ascii="宋体" w:hAnsi="宋体" w:cs="宋体"/>
          <w:color w:val="auto"/>
          <w:sz w:val="24"/>
          <w:highlight w:val="none"/>
          <w:u w:val="single"/>
        </w:rPr>
        <w:t xml:space="preserve">          </w:t>
      </w:r>
    </w:p>
    <w:p w14:paraId="06B2E20A">
      <w:pPr>
        <w:snapToGrid w:val="0"/>
        <w:spacing w:before="120" w:beforeLines="50" w:after="50" w:line="276" w:lineRule="auto"/>
        <w:rPr>
          <w:rFonts w:ascii="宋体" w:hAnsi="宋体" w:cs="宋体"/>
          <w:color w:val="auto"/>
          <w:sz w:val="24"/>
          <w:highlight w:val="none"/>
        </w:rPr>
      </w:pPr>
      <w:r>
        <w:rPr>
          <w:rFonts w:hint="eastAsia" w:ascii="宋体" w:hAnsi="宋体" w:cs="宋体"/>
          <w:color w:val="auto"/>
          <w:sz w:val="24"/>
          <w:highlight w:val="none"/>
        </w:rPr>
        <w:t>委托代理人身份证复印件（正反双面）：</w:t>
      </w:r>
    </w:p>
    <w:tbl>
      <w:tblPr>
        <w:tblStyle w:val="23"/>
        <w:tblpPr w:leftFromText="180" w:rightFromText="180" w:vertAnchor="text" w:tblpX="109" w:tblpY="151"/>
        <w:tblW w:w="0" w:type="auto"/>
        <w:tblInd w:w="0"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328"/>
      </w:tblGrid>
      <w:tr w14:paraId="22FBBC8D">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6232" w:hRule="atLeast"/>
        </w:trPr>
        <w:tc>
          <w:tcPr>
            <w:tcW w:w="5328" w:type="dxa"/>
          </w:tcPr>
          <w:p w14:paraId="67F639B1">
            <w:pPr>
              <w:snapToGrid w:val="0"/>
              <w:spacing w:before="120" w:beforeLines="50" w:after="50" w:line="276" w:lineRule="auto"/>
              <w:rPr>
                <w:rFonts w:ascii="宋体" w:hAnsi="宋体" w:cs="宋体"/>
                <w:color w:val="auto"/>
                <w:sz w:val="24"/>
                <w:highlight w:val="none"/>
              </w:rPr>
            </w:pPr>
          </w:p>
          <w:p w14:paraId="6C38B5B5">
            <w:pPr>
              <w:snapToGrid w:val="0"/>
              <w:spacing w:before="120" w:beforeLines="50" w:after="50" w:line="276" w:lineRule="auto"/>
              <w:rPr>
                <w:rFonts w:ascii="宋体" w:hAnsi="宋体" w:cs="宋体"/>
                <w:color w:val="auto"/>
                <w:sz w:val="24"/>
                <w:highlight w:val="none"/>
              </w:rPr>
            </w:pPr>
          </w:p>
          <w:p w14:paraId="53442A45">
            <w:pPr>
              <w:snapToGrid w:val="0"/>
              <w:spacing w:before="120" w:beforeLines="50" w:after="50" w:line="276" w:lineRule="auto"/>
              <w:rPr>
                <w:rFonts w:ascii="宋体" w:hAnsi="宋体" w:cs="宋体"/>
                <w:color w:val="auto"/>
                <w:sz w:val="24"/>
                <w:highlight w:val="none"/>
              </w:rPr>
            </w:pPr>
          </w:p>
          <w:p w14:paraId="22B2A01A">
            <w:pPr>
              <w:snapToGrid w:val="0"/>
              <w:spacing w:before="120" w:beforeLines="50" w:after="50" w:line="276" w:lineRule="auto"/>
              <w:jc w:val="center"/>
              <w:rPr>
                <w:rFonts w:ascii="宋体" w:hAnsi="宋体" w:cs="宋体"/>
                <w:color w:val="auto"/>
                <w:sz w:val="24"/>
                <w:highlight w:val="none"/>
              </w:rPr>
            </w:pPr>
            <w:r>
              <w:rPr>
                <w:rFonts w:hint="eastAsia" w:ascii="宋体" w:hAnsi="宋体" w:cs="宋体"/>
                <w:color w:val="auto"/>
                <w:sz w:val="24"/>
                <w:highlight w:val="none"/>
              </w:rPr>
              <w:t>粘</w:t>
            </w:r>
          </w:p>
          <w:p w14:paraId="2C104008">
            <w:pPr>
              <w:snapToGrid w:val="0"/>
              <w:spacing w:before="120" w:beforeLines="50" w:after="50" w:line="276" w:lineRule="auto"/>
              <w:jc w:val="center"/>
              <w:rPr>
                <w:rFonts w:ascii="宋体" w:hAnsi="宋体" w:cs="宋体"/>
                <w:color w:val="auto"/>
                <w:sz w:val="24"/>
                <w:highlight w:val="none"/>
              </w:rPr>
            </w:pPr>
          </w:p>
          <w:p w14:paraId="39673799">
            <w:pPr>
              <w:snapToGrid w:val="0"/>
              <w:spacing w:before="120" w:beforeLines="50" w:after="50" w:line="276" w:lineRule="auto"/>
              <w:jc w:val="center"/>
              <w:rPr>
                <w:rFonts w:ascii="宋体" w:hAnsi="宋体" w:cs="宋体"/>
                <w:color w:val="auto"/>
                <w:sz w:val="24"/>
                <w:highlight w:val="none"/>
              </w:rPr>
            </w:pPr>
            <w:r>
              <w:rPr>
                <w:rFonts w:hint="eastAsia" w:ascii="宋体" w:hAnsi="宋体" w:cs="宋体"/>
                <w:color w:val="auto"/>
                <w:sz w:val="24"/>
                <w:highlight w:val="none"/>
              </w:rPr>
              <w:t>贴</w:t>
            </w:r>
          </w:p>
          <w:p w14:paraId="24A60B93">
            <w:pPr>
              <w:snapToGrid w:val="0"/>
              <w:spacing w:before="120" w:beforeLines="50" w:after="50" w:line="276" w:lineRule="auto"/>
              <w:jc w:val="center"/>
              <w:rPr>
                <w:rFonts w:ascii="宋体" w:hAnsi="宋体" w:cs="宋体"/>
                <w:color w:val="auto"/>
                <w:sz w:val="24"/>
                <w:highlight w:val="none"/>
              </w:rPr>
            </w:pPr>
          </w:p>
          <w:p w14:paraId="128CF813">
            <w:pPr>
              <w:snapToGrid w:val="0"/>
              <w:spacing w:before="120" w:beforeLines="50" w:after="50" w:line="276" w:lineRule="auto"/>
              <w:jc w:val="center"/>
              <w:rPr>
                <w:rFonts w:ascii="宋体" w:hAnsi="宋体" w:cs="宋体"/>
                <w:color w:val="auto"/>
                <w:sz w:val="24"/>
                <w:highlight w:val="none"/>
              </w:rPr>
            </w:pPr>
            <w:r>
              <w:rPr>
                <w:rFonts w:hint="eastAsia" w:ascii="宋体" w:hAnsi="宋体" w:cs="宋体"/>
                <w:color w:val="auto"/>
                <w:sz w:val="24"/>
                <w:highlight w:val="none"/>
              </w:rPr>
              <w:t>处</w:t>
            </w:r>
          </w:p>
        </w:tc>
      </w:tr>
    </w:tbl>
    <w:p w14:paraId="2FA69F90">
      <w:pPr>
        <w:snapToGrid w:val="0"/>
        <w:spacing w:before="120" w:beforeLines="50" w:after="50" w:line="276" w:lineRule="auto"/>
        <w:rPr>
          <w:rFonts w:ascii="宋体" w:hAnsi="宋体" w:cs="宋体"/>
          <w:color w:val="auto"/>
          <w:sz w:val="24"/>
          <w:highlight w:val="none"/>
        </w:rPr>
      </w:pPr>
    </w:p>
    <w:p w14:paraId="300BA097">
      <w:pPr>
        <w:snapToGrid w:val="0"/>
        <w:spacing w:before="120" w:beforeLines="50" w:after="50" w:line="276" w:lineRule="auto"/>
        <w:rPr>
          <w:rFonts w:ascii="宋体" w:hAnsi="宋体" w:cs="宋体"/>
          <w:color w:val="auto"/>
          <w:sz w:val="24"/>
          <w:highlight w:val="none"/>
        </w:rPr>
      </w:pPr>
    </w:p>
    <w:p w14:paraId="26ECCEFD">
      <w:pPr>
        <w:snapToGrid w:val="0"/>
        <w:spacing w:before="120" w:beforeLines="50" w:after="50" w:line="276" w:lineRule="auto"/>
        <w:rPr>
          <w:rFonts w:ascii="宋体" w:hAnsi="宋体" w:cs="宋体"/>
          <w:color w:val="auto"/>
          <w:sz w:val="24"/>
          <w:highlight w:val="none"/>
        </w:rPr>
      </w:pPr>
    </w:p>
    <w:p w14:paraId="61B4386C">
      <w:pPr>
        <w:snapToGrid w:val="0"/>
        <w:spacing w:before="120" w:beforeLines="50" w:after="50" w:line="276" w:lineRule="auto"/>
        <w:rPr>
          <w:rFonts w:ascii="宋体" w:hAnsi="宋体" w:cs="宋体"/>
          <w:color w:val="auto"/>
          <w:sz w:val="24"/>
          <w:highlight w:val="none"/>
        </w:rPr>
      </w:pPr>
    </w:p>
    <w:p w14:paraId="5FCC7B8B">
      <w:pPr>
        <w:snapToGrid w:val="0"/>
        <w:spacing w:before="120" w:beforeLines="50" w:after="50" w:line="276" w:lineRule="auto"/>
        <w:rPr>
          <w:rFonts w:ascii="宋体" w:hAnsi="宋体" w:cs="宋体"/>
          <w:color w:val="auto"/>
          <w:sz w:val="24"/>
          <w:highlight w:val="none"/>
        </w:rPr>
      </w:pPr>
    </w:p>
    <w:p w14:paraId="7B66186F">
      <w:pPr>
        <w:snapToGrid w:val="0"/>
        <w:spacing w:before="120" w:beforeLines="50" w:after="50" w:line="276" w:lineRule="auto"/>
        <w:rPr>
          <w:rFonts w:ascii="宋体" w:hAnsi="宋体" w:cs="宋体"/>
          <w:color w:val="auto"/>
          <w:sz w:val="24"/>
          <w:highlight w:val="none"/>
        </w:rPr>
      </w:pPr>
    </w:p>
    <w:p w14:paraId="1C1B26A3">
      <w:pPr>
        <w:snapToGrid w:val="0"/>
        <w:spacing w:before="120" w:beforeLines="50" w:after="50" w:line="276" w:lineRule="auto"/>
        <w:rPr>
          <w:rFonts w:ascii="宋体" w:hAnsi="宋体" w:cs="宋体"/>
          <w:color w:val="auto"/>
          <w:sz w:val="24"/>
          <w:highlight w:val="none"/>
        </w:rPr>
      </w:pPr>
    </w:p>
    <w:p w14:paraId="5F36416D">
      <w:pPr>
        <w:snapToGrid w:val="0"/>
        <w:spacing w:before="120" w:beforeLines="50" w:after="50" w:line="276" w:lineRule="auto"/>
        <w:rPr>
          <w:rFonts w:ascii="宋体" w:hAnsi="宋体" w:cs="宋体"/>
          <w:color w:val="auto"/>
          <w:sz w:val="24"/>
          <w:highlight w:val="none"/>
        </w:rPr>
      </w:pPr>
    </w:p>
    <w:p w14:paraId="02A7DD24">
      <w:pPr>
        <w:snapToGrid w:val="0"/>
        <w:spacing w:before="120" w:beforeLines="50" w:after="50" w:line="276" w:lineRule="auto"/>
        <w:rPr>
          <w:rFonts w:ascii="宋体" w:hAnsi="宋体" w:cs="宋体"/>
          <w:color w:val="auto"/>
          <w:sz w:val="24"/>
          <w:highlight w:val="none"/>
        </w:rPr>
      </w:pPr>
      <w:r>
        <w:rPr>
          <w:rFonts w:hint="eastAsia" w:ascii="宋体" w:hAnsi="宋体" w:cs="宋体"/>
          <w:color w:val="auto"/>
          <w:sz w:val="24"/>
          <w:highlight w:val="none"/>
        </w:rPr>
        <w:t xml:space="preserve"> </w:t>
      </w:r>
    </w:p>
    <w:p w14:paraId="4EA9E733">
      <w:pPr>
        <w:snapToGrid w:val="0"/>
        <w:spacing w:before="120" w:beforeLines="50" w:after="50" w:line="276" w:lineRule="auto"/>
        <w:rPr>
          <w:rFonts w:ascii="宋体" w:hAnsi="宋体" w:cs="宋体"/>
          <w:color w:val="auto"/>
          <w:sz w:val="24"/>
          <w:highlight w:val="none"/>
        </w:rPr>
      </w:pPr>
    </w:p>
    <w:p w14:paraId="04AA4679">
      <w:pPr>
        <w:snapToGrid w:val="0"/>
        <w:spacing w:before="120" w:beforeLines="50" w:after="50" w:line="276" w:lineRule="auto"/>
        <w:rPr>
          <w:rFonts w:ascii="宋体" w:hAnsi="宋体" w:cs="宋体"/>
          <w:color w:val="auto"/>
          <w:sz w:val="24"/>
          <w:highlight w:val="none"/>
        </w:rPr>
      </w:pPr>
      <w:r>
        <w:rPr>
          <w:rFonts w:hint="eastAsia" w:ascii="宋体" w:hAnsi="宋体" w:cs="宋体"/>
          <w:color w:val="auto"/>
          <w:sz w:val="24"/>
          <w:highlight w:val="none"/>
        </w:rPr>
        <w:t xml:space="preserve">                                             投标人公章：</w:t>
      </w:r>
    </w:p>
    <w:p w14:paraId="2A4151A6">
      <w:pPr>
        <w:snapToGrid w:val="0"/>
        <w:spacing w:before="120" w:beforeLines="50" w:after="50" w:line="276" w:lineRule="auto"/>
        <w:jc w:val="center"/>
        <w:rPr>
          <w:rFonts w:ascii="宋体" w:hAnsi="宋体" w:cs="宋体"/>
          <w:color w:val="auto"/>
          <w:sz w:val="24"/>
          <w:highlight w:val="none"/>
        </w:rPr>
      </w:pPr>
      <w:r>
        <w:rPr>
          <w:rFonts w:hint="eastAsia" w:ascii="宋体" w:hAnsi="宋体" w:cs="宋体"/>
          <w:color w:val="auto"/>
          <w:sz w:val="24"/>
          <w:highlight w:val="none"/>
        </w:rPr>
        <w:t xml:space="preserve">                                          年    月    日</w:t>
      </w:r>
    </w:p>
    <w:p w14:paraId="071563D5">
      <w:pPr>
        <w:snapToGrid w:val="0"/>
        <w:spacing w:before="120" w:beforeLines="50" w:after="50" w:line="276" w:lineRule="auto"/>
        <w:jc w:val="left"/>
        <w:rPr>
          <w:rFonts w:ascii="宋体" w:hAnsi="宋体" w:cs="宋体"/>
          <w:color w:val="auto"/>
          <w:sz w:val="24"/>
          <w:highlight w:val="none"/>
        </w:rPr>
      </w:pPr>
      <w:r>
        <w:rPr>
          <w:rFonts w:hint="eastAsia" w:ascii="宋体" w:hAnsi="宋体" w:cs="宋体"/>
          <w:color w:val="auto"/>
          <w:sz w:val="24"/>
          <w:highlight w:val="none"/>
        </w:rPr>
        <w:t>▲注；此表格格式不得修改。</w:t>
      </w:r>
      <w:r>
        <w:rPr>
          <w:rFonts w:hint="eastAsia" w:ascii="宋体" w:hAnsi="宋体" w:cs="宋体"/>
          <w:color w:val="auto"/>
          <w:sz w:val="24"/>
          <w:highlight w:val="none"/>
        </w:rPr>
        <w:br w:type="textWrapping"/>
      </w:r>
      <w:r>
        <w:rPr>
          <w:rFonts w:hint="eastAsia" w:ascii="宋体" w:hAnsi="宋体" w:cs="宋体"/>
          <w:color w:val="auto"/>
          <w:sz w:val="24"/>
          <w:highlight w:val="none"/>
        </w:rPr>
        <w:br w:type="page"/>
      </w:r>
    </w:p>
    <w:p w14:paraId="5357A28E">
      <w:pPr>
        <w:pStyle w:val="5"/>
        <w:keepNext w:val="0"/>
        <w:keepLines w:val="0"/>
        <w:pageBreakBefore/>
        <w:spacing w:line="276" w:lineRule="auto"/>
        <w:rPr>
          <w:rFonts w:ascii="宋体" w:hAnsi="宋体" w:eastAsia="宋体" w:cs="宋体"/>
          <w:b w:val="0"/>
          <w:color w:val="auto"/>
          <w:sz w:val="24"/>
          <w:szCs w:val="24"/>
          <w:highlight w:val="none"/>
        </w:rPr>
      </w:pPr>
      <w:bookmarkStart w:id="68" w:name="_Toc25167"/>
      <w:bookmarkStart w:id="69" w:name="_Toc11568"/>
      <w:r>
        <w:rPr>
          <w:rFonts w:hint="eastAsia" w:ascii="宋体" w:hAnsi="宋体" w:eastAsia="宋体" w:cs="宋体"/>
          <w:b w:val="0"/>
          <w:color w:val="auto"/>
          <w:sz w:val="24"/>
          <w:szCs w:val="24"/>
          <w:highlight w:val="none"/>
        </w:rPr>
        <w:t>附件五：联合体协议</w:t>
      </w:r>
      <w:bookmarkEnd w:id="68"/>
      <w:bookmarkEnd w:id="69"/>
    </w:p>
    <w:p w14:paraId="10D8A020">
      <w:pPr>
        <w:jc w:val="center"/>
        <w:rPr>
          <w:b/>
          <w:bCs/>
          <w:color w:val="auto"/>
          <w:sz w:val="32"/>
          <w:szCs w:val="32"/>
          <w:highlight w:val="none"/>
        </w:rPr>
      </w:pPr>
      <w:r>
        <w:rPr>
          <w:rFonts w:hint="eastAsia" w:ascii="宋体" w:hAnsi="宋体" w:cs="宋体"/>
          <w:b/>
          <w:bCs/>
          <w:color w:val="auto"/>
          <w:sz w:val="32"/>
          <w:szCs w:val="32"/>
          <w:highlight w:val="none"/>
        </w:rPr>
        <w:t>联合体协议</w:t>
      </w:r>
    </w:p>
    <w:p w14:paraId="4A6813FA">
      <w:pPr>
        <w:snapToGrid w:val="0"/>
        <w:spacing w:line="360" w:lineRule="auto"/>
        <w:ind w:firstLine="576"/>
        <w:rPr>
          <w:rFonts w:ascii="仿宋_GB2312" w:hAnsi="仿宋" w:eastAsia="仿宋_GB2312" w:cs="仿宋_GB2312"/>
          <w:b/>
          <w:bCs/>
          <w:color w:val="auto"/>
          <w:kern w:val="0"/>
          <w:sz w:val="24"/>
          <w:highlight w:val="none"/>
          <w:u w:val="single"/>
        </w:rPr>
      </w:pPr>
      <w:r>
        <w:rPr>
          <w:rFonts w:hint="eastAsia" w:ascii="仿宋_GB2312" w:hAnsi="仿宋" w:eastAsia="仿宋_GB2312" w:cs="仿宋_GB2312"/>
          <w:b/>
          <w:bCs/>
          <w:color w:val="auto"/>
          <w:kern w:val="0"/>
          <w:sz w:val="24"/>
          <w:highlight w:val="none"/>
          <w:u w:val="single"/>
        </w:rPr>
        <w:t>（以联合体形式投标的，提供联合协议；本项目不接受联合体投标或者投标人不以联合体形式投标的，则不需要提供）</w:t>
      </w:r>
    </w:p>
    <w:p w14:paraId="2B51E5A9">
      <w:pPr>
        <w:snapToGrid w:val="0"/>
        <w:spacing w:line="360" w:lineRule="auto"/>
        <w:ind w:firstLine="576"/>
        <w:rPr>
          <w:rFonts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u w:val="single"/>
        </w:rPr>
        <w:t>（联合体所有成员名称）</w:t>
      </w:r>
      <w:r>
        <w:rPr>
          <w:rFonts w:hint="eastAsia" w:asciiTheme="minorEastAsia" w:hAnsiTheme="minorEastAsia" w:eastAsiaTheme="minorEastAsia" w:cstheme="minorEastAsia"/>
          <w:color w:val="auto"/>
          <w:kern w:val="0"/>
          <w:sz w:val="24"/>
          <w:highlight w:val="none"/>
        </w:rPr>
        <w:t>自愿</w:t>
      </w:r>
      <w:r>
        <w:rPr>
          <w:rFonts w:hint="eastAsia" w:asciiTheme="minorEastAsia" w:hAnsiTheme="minorEastAsia" w:eastAsiaTheme="minorEastAsia" w:cstheme="minorEastAsia"/>
          <w:color w:val="auto"/>
          <w:kern w:val="0"/>
          <w:sz w:val="24"/>
          <w:highlight w:val="none"/>
          <w:lang w:val="zh-CN"/>
        </w:rPr>
        <w:t>组成一个联合体，以一个投标人的身份</w:t>
      </w:r>
      <w:r>
        <w:rPr>
          <w:rFonts w:hint="eastAsia" w:asciiTheme="minorEastAsia" w:hAnsiTheme="minorEastAsia" w:eastAsiaTheme="minorEastAsia" w:cstheme="minorEastAsia"/>
          <w:color w:val="auto"/>
          <w:kern w:val="0"/>
          <w:sz w:val="24"/>
          <w:highlight w:val="none"/>
        </w:rPr>
        <w:t>参加</w:t>
      </w:r>
      <w:r>
        <w:rPr>
          <w:rFonts w:hint="eastAsia" w:asciiTheme="minorEastAsia" w:hAnsiTheme="minorEastAsia" w:eastAsiaTheme="minorEastAsia" w:cstheme="minorEastAsia"/>
          <w:color w:val="auto"/>
          <w:sz w:val="24"/>
          <w:highlight w:val="none"/>
        </w:rPr>
        <w:t>（项目名称）【招标编号：（采购编号）】</w:t>
      </w:r>
      <w:r>
        <w:rPr>
          <w:rFonts w:hint="eastAsia" w:asciiTheme="minorEastAsia" w:hAnsiTheme="minorEastAsia" w:eastAsiaTheme="minorEastAsia" w:cstheme="minorEastAsia"/>
          <w:color w:val="auto"/>
          <w:kern w:val="0"/>
          <w:sz w:val="24"/>
          <w:highlight w:val="none"/>
          <w:lang w:val="zh-CN"/>
        </w:rPr>
        <w:t xml:space="preserve">投标。 </w:t>
      </w:r>
    </w:p>
    <w:p w14:paraId="1E1E2702">
      <w:pPr>
        <w:snapToGrid w:val="0"/>
        <w:spacing w:line="360" w:lineRule="auto"/>
        <w:ind w:firstLine="576"/>
        <w:rPr>
          <w:rFonts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一、各方一致决定，</w:t>
      </w:r>
      <w:r>
        <w:rPr>
          <w:rFonts w:hint="eastAsia" w:asciiTheme="minorEastAsia" w:hAnsiTheme="minorEastAsia" w:eastAsiaTheme="minorEastAsia" w:cstheme="minorEastAsia"/>
          <w:color w:val="auto"/>
          <w:kern w:val="0"/>
          <w:sz w:val="24"/>
          <w:highlight w:val="none"/>
          <w:u w:val="single"/>
        </w:rPr>
        <w:t>（某联合体成员名称）</w:t>
      </w:r>
      <w:r>
        <w:rPr>
          <w:rFonts w:hint="eastAsia" w:asciiTheme="minorEastAsia" w:hAnsiTheme="minorEastAsia" w:eastAsiaTheme="minorEastAsia" w:cstheme="minorEastAsia"/>
          <w:color w:val="auto"/>
          <w:kern w:val="0"/>
          <w:sz w:val="24"/>
          <w:highlight w:val="none"/>
        </w:rPr>
        <w:t>为联合体</w:t>
      </w:r>
      <w:r>
        <w:rPr>
          <w:rFonts w:hint="eastAsia" w:asciiTheme="minorEastAsia" w:hAnsiTheme="minorEastAsia" w:eastAsiaTheme="minorEastAsia" w:cstheme="minorEastAsia"/>
          <w:color w:val="auto"/>
          <w:kern w:val="0"/>
          <w:sz w:val="24"/>
          <w:highlight w:val="none"/>
          <w:lang w:val="zh-CN"/>
        </w:rPr>
        <w:t>牵头人</w:t>
      </w:r>
      <w:r>
        <w:rPr>
          <w:rFonts w:hint="eastAsia" w:asciiTheme="minorEastAsia" w:hAnsiTheme="minorEastAsia" w:eastAsiaTheme="minorEastAsia" w:cstheme="minorEastAsia"/>
          <w:color w:val="auto"/>
          <w:sz w:val="24"/>
          <w:highlight w:val="none"/>
        </w:rPr>
        <w:t>，代表所有联合体成员负责投标和合同实施阶段的主办、协调工作</w:t>
      </w:r>
      <w:r>
        <w:rPr>
          <w:rFonts w:hint="eastAsia" w:asciiTheme="minorEastAsia" w:hAnsiTheme="minorEastAsia" w:eastAsiaTheme="minorEastAsia" w:cstheme="minorEastAsia"/>
          <w:color w:val="auto"/>
          <w:kern w:val="0"/>
          <w:sz w:val="24"/>
          <w:highlight w:val="none"/>
          <w:lang w:val="zh-CN"/>
        </w:rPr>
        <w:t>。</w:t>
      </w:r>
    </w:p>
    <w:p w14:paraId="32FA33E8">
      <w:pPr>
        <w:snapToGrid w:val="0"/>
        <w:spacing w:line="360" w:lineRule="auto"/>
        <w:ind w:firstLine="576"/>
        <w:rPr>
          <w:rFonts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二、</w:t>
      </w:r>
      <w:r>
        <w:rPr>
          <w:rFonts w:hint="eastAsia" w:asciiTheme="minorEastAsia" w:hAnsiTheme="minorEastAsia" w:eastAsiaTheme="minorEastAsia" w:cstheme="minorEastAsia"/>
          <w:color w:val="auto"/>
          <w:sz w:val="24"/>
          <w:highlight w:val="none"/>
        </w:rPr>
        <w:t>所有联合体成员各方签署授权书，授权书载明的</w:t>
      </w:r>
      <w:r>
        <w:rPr>
          <w:rFonts w:hint="eastAsia" w:asciiTheme="minorEastAsia" w:hAnsiTheme="minorEastAsia" w:eastAsiaTheme="minorEastAsia" w:cstheme="minorEastAsia"/>
          <w:color w:val="auto"/>
          <w:kern w:val="0"/>
          <w:sz w:val="24"/>
          <w:highlight w:val="none"/>
          <w:lang w:val="zh-CN"/>
        </w:rPr>
        <w:t>授权代表根据招标文件规定及投标内容而对采购人、采购机构所作的任何合法承诺，包括书面澄清及相应等均对联合投标各方产生约束力。</w:t>
      </w:r>
    </w:p>
    <w:p w14:paraId="4B57A2BE">
      <w:pPr>
        <w:snapToGrid w:val="0"/>
        <w:spacing w:line="360" w:lineRule="auto"/>
        <w:ind w:firstLine="576"/>
        <w:rPr>
          <w:rFonts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三、本次联合投标中，分工如下：</w:t>
      </w:r>
      <w:r>
        <w:rPr>
          <w:rFonts w:hint="eastAsia" w:asciiTheme="minorEastAsia" w:hAnsiTheme="minorEastAsia" w:eastAsiaTheme="minorEastAsia" w:cstheme="minorEastAsia"/>
          <w:color w:val="auto"/>
          <w:kern w:val="0"/>
          <w:sz w:val="24"/>
          <w:highlight w:val="none"/>
          <w:u w:val="single"/>
        </w:rPr>
        <w:t>（联合体其中一方成员名称）</w:t>
      </w:r>
      <w:r>
        <w:rPr>
          <w:rFonts w:hint="eastAsia" w:asciiTheme="minorEastAsia" w:hAnsiTheme="minorEastAsia" w:eastAsiaTheme="minorEastAsia" w:cstheme="minorEastAsia"/>
          <w:color w:val="auto"/>
          <w:kern w:val="0"/>
          <w:sz w:val="24"/>
          <w:highlight w:val="none"/>
          <w:lang w:val="zh-CN"/>
        </w:rPr>
        <w:t>承担的工作和义务为：</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kern w:val="0"/>
          <w:sz w:val="24"/>
          <w:highlight w:val="none"/>
          <w:lang w:val="zh-CN"/>
        </w:rPr>
        <w:t>；……。</w:t>
      </w:r>
    </w:p>
    <w:p w14:paraId="06911D2A">
      <w:pPr>
        <w:snapToGrid w:val="0"/>
        <w:spacing w:line="360" w:lineRule="auto"/>
        <w:ind w:firstLine="576"/>
        <w:rPr>
          <w:rFonts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四、</w:t>
      </w:r>
      <w:r>
        <w:rPr>
          <w:rFonts w:hint="eastAsia" w:asciiTheme="minorEastAsia" w:hAnsiTheme="minorEastAsia" w:eastAsiaTheme="minorEastAsia" w:cstheme="minorEastAsia"/>
          <w:color w:val="auto"/>
          <w:kern w:val="0"/>
          <w:sz w:val="24"/>
          <w:highlight w:val="none"/>
          <w:u w:val="single"/>
        </w:rPr>
        <w:t>（联合体其中一方成员名称）</w:t>
      </w:r>
      <w:r>
        <w:rPr>
          <w:rFonts w:hint="eastAsia" w:asciiTheme="minorEastAsia" w:hAnsiTheme="minorEastAsia" w:eastAsiaTheme="minorEastAsia" w:cstheme="minorEastAsia"/>
          <w:color w:val="auto"/>
          <w:kern w:val="0"/>
          <w:sz w:val="24"/>
          <w:highlight w:val="none"/>
        </w:rPr>
        <w:t>提供的全部货物/服务由小微企业制造/服务，其合同份额占到合同总金额</w:t>
      </w:r>
      <w:r>
        <w:rPr>
          <w:rFonts w:hint="eastAsia" w:asciiTheme="minorEastAsia" w:hAnsiTheme="minorEastAsia" w:eastAsiaTheme="minorEastAsia" w:cstheme="minorEastAsia"/>
          <w:color w:val="auto"/>
          <w:kern w:val="0"/>
          <w:sz w:val="24"/>
          <w:highlight w:val="none"/>
          <w:u w:val="single"/>
        </w:rPr>
        <w:t xml:space="preserve">     </w:t>
      </w:r>
      <w:r>
        <w:rPr>
          <w:rFonts w:hint="eastAsia" w:asciiTheme="minorEastAsia" w:hAnsiTheme="minorEastAsia" w:eastAsiaTheme="minorEastAsia" w:cstheme="minorEastAsia"/>
          <w:color w:val="auto"/>
          <w:kern w:val="0"/>
          <w:sz w:val="24"/>
          <w:highlight w:val="none"/>
        </w:rPr>
        <w:t>%以上；</w:t>
      </w:r>
      <w:r>
        <w:rPr>
          <w:rFonts w:hint="eastAsia" w:asciiTheme="minorEastAsia" w:hAnsiTheme="minorEastAsia" w:eastAsiaTheme="minorEastAsia" w:cstheme="minorEastAsia"/>
          <w:color w:val="auto"/>
          <w:kern w:val="0"/>
          <w:sz w:val="24"/>
          <w:highlight w:val="none"/>
          <w:lang w:val="zh-CN"/>
        </w:rPr>
        <w:t>……。</w:t>
      </w:r>
    </w:p>
    <w:p w14:paraId="7C70C979">
      <w:pPr>
        <w:snapToGrid w:val="0"/>
        <w:spacing w:line="360" w:lineRule="auto"/>
        <w:ind w:firstLine="576"/>
        <w:rPr>
          <w:rFonts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五、如果中标，</w:t>
      </w:r>
      <w:r>
        <w:rPr>
          <w:rFonts w:hint="eastAsia" w:asciiTheme="minorEastAsia" w:hAnsiTheme="minorEastAsia" w:eastAsiaTheme="minorEastAsia" w:cstheme="minorEastAsia"/>
          <w:color w:val="auto"/>
          <w:sz w:val="24"/>
          <w:highlight w:val="none"/>
        </w:rPr>
        <w:t>联合体各成员方共同与采购人签订合同，并就采购合同约定的事项对采购人承担连带责任。</w:t>
      </w:r>
    </w:p>
    <w:p w14:paraId="52CBC5C4">
      <w:pPr>
        <w:snapToGrid w:val="0"/>
        <w:spacing w:line="360" w:lineRule="auto"/>
        <w:ind w:firstLine="576"/>
        <w:rPr>
          <w:rFonts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六、有关本次联合投标的其他事宜：</w:t>
      </w:r>
    </w:p>
    <w:p w14:paraId="586F5200">
      <w:pPr>
        <w:snapToGrid w:val="0"/>
        <w:spacing w:line="360" w:lineRule="auto"/>
        <w:ind w:firstLine="576"/>
        <w:rPr>
          <w:rFonts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1、联合体各方不再单独参加或者与其他供应商另外组成联合体参加同一合同项下的政府采购活动。</w:t>
      </w:r>
    </w:p>
    <w:p w14:paraId="702D2C16">
      <w:pPr>
        <w:snapToGrid w:val="0"/>
        <w:spacing w:line="360" w:lineRule="auto"/>
        <w:ind w:firstLine="576"/>
        <w:rPr>
          <w:rFonts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2、联合体中有同类资质的各方按照联合体分工承担相同工作的，按照资质等级较低的供应商确定资质等级。</w:t>
      </w:r>
    </w:p>
    <w:p w14:paraId="4B3E380E">
      <w:pPr>
        <w:snapToGrid w:val="0"/>
        <w:spacing w:line="360" w:lineRule="auto"/>
        <w:ind w:firstLine="576"/>
        <w:rPr>
          <w:rFonts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3、本协议提交采购人、采购机构后，联合体各方不得以任何形式对上述内容进行修改或撤销。</w:t>
      </w:r>
    </w:p>
    <w:p w14:paraId="71D39CDE">
      <w:pPr>
        <w:snapToGrid w:val="0"/>
        <w:spacing w:line="360" w:lineRule="auto"/>
        <w:ind w:firstLine="5040" w:firstLineChars="2100"/>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kern w:val="0"/>
          <w:sz w:val="24"/>
          <w:highlight w:val="none"/>
          <w:lang w:val="zh-CN"/>
        </w:rPr>
        <w:t>联合体成员名称(公章)：</w:t>
      </w:r>
    </w:p>
    <w:p w14:paraId="1918A248">
      <w:pPr>
        <w:snapToGrid w:val="0"/>
        <w:spacing w:line="360" w:lineRule="auto"/>
        <w:rPr>
          <w:rFonts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 xml:space="preserve">                                               日期：  年  月   日</w:t>
      </w:r>
    </w:p>
    <w:p w14:paraId="1A3B5797">
      <w:pPr>
        <w:snapToGrid w:val="0"/>
        <w:spacing w:line="360" w:lineRule="auto"/>
        <w:ind w:right="480"/>
        <w:rPr>
          <w:rFonts w:asciiTheme="minorEastAsia" w:hAnsiTheme="minorEastAsia" w:eastAsiaTheme="minorEastAsia" w:cstheme="minorEastAsia"/>
          <w:b/>
          <w:color w:val="auto"/>
          <w:kern w:val="0"/>
          <w:sz w:val="32"/>
          <w:szCs w:val="32"/>
          <w:highlight w:val="none"/>
          <w:lang w:val="zh-CN"/>
        </w:rPr>
        <w:sectPr>
          <w:headerReference r:id="rId12" w:type="first"/>
          <w:footerReference r:id="rId14" w:type="first"/>
          <w:headerReference r:id="rId11" w:type="default"/>
          <w:footerReference r:id="rId13" w:type="default"/>
          <w:pgSz w:w="11906" w:h="16838"/>
          <w:pgMar w:top="1276" w:right="1361" w:bottom="1247" w:left="1418" w:header="851" w:footer="992" w:gutter="0"/>
          <w:cols w:space="720" w:num="1"/>
          <w:docGrid w:linePitch="312" w:charSpace="0"/>
        </w:sectPr>
      </w:pPr>
    </w:p>
    <w:p w14:paraId="3E56C6B2">
      <w:pPr>
        <w:pStyle w:val="5"/>
        <w:keepNext w:val="0"/>
        <w:keepLines w:val="0"/>
        <w:pageBreakBefore/>
        <w:spacing w:line="276" w:lineRule="auto"/>
        <w:rPr>
          <w:rFonts w:ascii="宋体" w:hAnsi="宋体" w:eastAsia="宋体" w:cs="宋体"/>
          <w:b w:val="0"/>
          <w:color w:val="auto"/>
          <w:sz w:val="24"/>
          <w:szCs w:val="24"/>
          <w:highlight w:val="none"/>
        </w:rPr>
      </w:pPr>
      <w:bookmarkStart w:id="70" w:name="_Toc7286"/>
      <w:bookmarkStart w:id="71" w:name="_Toc2319"/>
      <w:r>
        <w:rPr>
          <w:rFonts w:hint="eastAsia" w:ascii="宋体" w:hAnsi="宋体" w:eastAsia="宋体" w:cs="宋体"/>
          <w:b w:val="0"/>
          <w:color w:val="auto"/>
          <w:sz w:val="24"/>
          <w:szCs w:val="24"/>
          <w:highlight w:val="none"/>
        </w:rPr>
        <w:t>附件六：分包意向协议</w:t>
      </w:r>
      <w:bookmarkEnd w:id="70"/>
      <w:bookmarkEnd w:id="71"/>
    </w:p>
    <w:p w14:paraId="76A09499">
      <w:pPr>
        <w:snapToGrid w:val="0"/>
        <w:spacing w:line="360" w:lineRule="auto"/>
        <w:ind w:firstLine="3534" w:firstLineChars="1100"/>
        <w:rPr>
          <w:rFonts w:asciiTheme="minorEastAsia" w:hAnsiTheme="minorEastAsia" w:eastAsiaTheme="minorEastAsia" w:cstheme="minorEastAsia"/>
          <w:b/>
          <w:color w:val="auto"/>
          <w:kern w:val="0"/>
          <w:sz w:val="32"/>
          <w:szCs w:val="32"/>
          <w:highlight w:val="none"/>
        </w:rPr>
      </w:pPr>
      <w:r>
        <w:rPr>
          <w:rFonts w:hint="eastAsia" w:asciiTheme="minorEastAsia" w:hAnsiTheme="minorEastAsia" w:eastAsiaTheme="minorEastAsia" w:cstheme="minorEastAsia"/>
          <w:b/>
          <w:color w:val="auto"/>
          <w:kern w:val="0"/>
          <w:sz w:val="32"/>
          <w:szCs w:val="32"/>
          <w:highlight w:val="none"/>
        </w:rPr>
        <w:t>分包意向协议</w:t>
      </w:r>
    </w:p>
    <w:p w14:paraId="538622C2">
      <w:pPr>
        <w:widowControl/>
        <w:spacing w:line="360" w:lineRule="auto"/>
        <w:ind w:firstLine="120" w:firstLineChars="50"/>
        <w:jc w:val="left"/>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w:t>
      </w:r>
      <w:r>
        <w:rPr>
          <w:rFonts w:hint="eastAsia" w:asciiTheme="minorEastAsia" w:hAnsiTheme="minorEastAsia" w:eastAsiaTheme="minorEastAsia" w:cstheme="minorEastAsia"/>
          <w:b/>
          <w:color w:val="auto"/>
          <w:sz w:val="24"/>
          <w:highlight w:val="none"/>
        </w:rPr>
        <w:t>中标后以分包方式履行合同的，提供分包意向协议；采购人不同意分包或者投标人中标后不以分包方式履行合同的，则不需要提供。</w:t>
      </w:r>
      <w:r>
        <w:rPr>
          <w:rFonts w:hint="eastAsia" w:asciiTheme="minorEastAsia" w:hAnsiTheme="minorEastAsia" w:eastAsiaTheme="minorEastAsia" w:cstheme="minorEastAsia"/>
          <w:color w:val="auto"/>
          <w:sz w:val="24"/>
          <w:highlight w:val="none"/>
        </w:rPr>
        <w:t>）</w:t>
      </w:r>
    </w:p>
    <w:p w14:paraId="230D1AE8">
      <w:pPr>
        <w:snapToGrid w:val="0"/>
        <w:spacing w:line="360" w:lineRule="auto"/>
        <w:ind w:firstLine="576"/>
        <w:rPr>
          <w:rFonts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u w:val="single"/>
        </w:rPr>
        <w:t>（投标人名称）</w:t>
      </w:r>
      <w:r>
        <w:rPr>
          <w:rFonts w:hint="eastAsia" w:asciiTheme="minorEastAsia" w:hAnsiTheme="minorEastAsia" w:eastAsiaTheme="minorEastAsia" w:cstheme="minorEastAsia"/>
          <w:color w:val="auto"/>
          <w:kern w:val="0"/>
          <w:sz w:val="24"/>
          <w:highlight w:val="none"/>
          <w:lang w:val="zh-CN"/>
        </w:rPr>
        <w:t>若成为</w:t>
      </w:r>
      <w:r>
        <w:rPr>
          <w:rFonts w:hint="eastAsia" w:asciiTheme="minorEastAsia" w:hAnsiTheme="minorEastAsia" w:eastAsiaTheme="minorEastAsia" w:cstheme="minorEastAsia"/>
          <w:color w:val="auto"/>
          <w:sz w:val="24"/>
          <w:highlight w:val="none"/>
        </w:rPr>
        <w:t>（项目名称）【招标编号：（采购编号）】</w:t>
      </w:r>
      <w:r>
        <w:rPr>
          <w:rFonts w:hint="eastAsia" w:asciiTheme="minorEastAsia" w:hAnsiTheme="minorEastAsia" w:eastAsiaTheme="minorEastAsia" w:cstheme="minorEastAsia"/>
          <w:color w:val="auto"/>
          <w:kern w:val="0"/>
          <w:sz w:val="24"/>
          <w:highlight w:val="none"/>
          <w:lang w:val="zh-CN"/>
        </w:rPr>
        <w:t>的中标供应商，将依法采取分包方式履行合同。</w:t>
      </w:r>
      <w:r>
        <w:rPr>
          <w:rFonts w:hint="eastAsia" w:asciiTheme="minorEastAsia" w:hAnsiTheme="minorEastAsia" w:eastAsiaTheme="minorEastAsia" w:cstheme="minorEastAsia"/>
          <w:color w:val="auto"/>
          <w:kern w:val="0"/>
          <w:sz w:val="24"/>
          <w:highlight w:val="none"/>
          <w:u w:val="single"/>
        </w:rPr>
        <w:t>（投标人名称）</w:t>
      </w:r>
      <w:r>
        <w:rPr>
          <w:rFonts w:hint="eastAsia" w:asciiTheme="minorEastAsia" w:hAnsiTheme="minorEastAsia" w:eastAsiaTheme="minorEastAsia" w:cstheme="minorEastAsia"/>
          <w:color w:val="auto"/>
          <w:kern w:val="0"/>
          <w:sz w:val="24"/>
          <w:highlight w:val="none"/>
        </w:rPr>
        <w:t>与</w:t>
      </w:r>
      <w:r>
        <w:rPr>
          <w:rFonts w:hint="eastAsia" w:asciiTheme="minorEastAsia" w:hAnsiTheme="minorEastAsia" w:eastAsiaTheme="minorEastAsia" w:cstheme="minorEastAsia"/>
          <w:color w:val="auto"/>
          <w:kern w:val="0"/>
          <w:sz w:val="24"/>
          <w:highlight w:val="none"/>
          <w:u w:val="single"/>
        </w:rPr>
        <w:t>（所有分包供应商名称）</w:t>
      </w:r>
      <w:r>
        <w:rPr>
          <w:rFonts w:hint="eastAsia" w:asciiTheme="minorEastAsia" w:hAnsiTheme="minorEastAsia" w:eastAsiaTheme="minorEastAsia" w:cstheme="minorEastAsia"/>
          <w:color w:val="auto"/>
          <w:kern w:val="0"/>
          <w:sz w:val="24"/>
          <w:highlight w:val="none"/>
        </w:rPr>
        <w:t>达成分包意向协议</w:t>
      </w:r>
      <w:r>
        <w:rPr>
          <w:rFonts w:hint="eastAsia" w:asciiTheme="minorEastAsia" w:hAnsiTheme="minorEastAsia" w:eastAsiaTheme="minorEastAsia" w:cstheme="minorEastAsia"/>
          <w:color w:val="auto"/>
          <w:kern w:val="0"/>
          <w:sz w:val="24"/>
          <w:highlight w:val="none"/>
          <w:lang w:val="zh-CN"/>
        </w:rPr>
        <w:t xml:space="preserve">。 </w:t>
      </w:r>
    </w:p>
    <w:p w14:paraId="68809C22">
      <w:pPr>
        <w:snapToGrid w:val="0"/>
        <w:spacing w:line="360" w:lineRule="auto"/>
        <w:ind w:firstLine="576"/>
        <w:rPr>
          <w:rFonts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一、分包标的及数量</w:t>
      </w:r>
    </w:p>
    <w:p w14:paraId="1E61C1E6">
      <w:pPr>
        <w:snapToGrid w:val="0"/>
        <w:spacing w:line="360" w:lineRule="auto"/>
        <w:ind w:firstLine="576"/>
        <w:rPr>
          <w:rFonts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u w:val="single"/>
        </w:rPr>
        <w:t>（投标人名称）</w:t>
      </w:r>
      <w:r>
        <w:rPr>
          <w:rFonts w:hint="eastAsia" w:asciiTheme="minorEastAsia" w:hAnsiTheme="minorEastAsia" w:eastAsiaTheme="minorEastAsia" w:cstheme="minorEastAsia"/>
          <w:color w:val="auto"/>
          <w:kern w:val="0"/>
          <w:sz w:val="24"/>
          <w:highlight w:val="none"/>
          <w:lang w:val="zh-CN"/>
        </w:rPr>
        <w:t>将</w:t>
      </w:r>
      <w:r>
        <w:rPr>
          <w:rFonts w:hint="eastAsia" w:asciiTheme="minorEastAsia" w:hAnsiTheme="minorEastAsia" w:eastAsiaTheme="minorEastAsia" w:cstheme="minorEastAsia"/>
          <w:color w:val="auto"/>
          <w:sz w:val="24"/>
          <w:highlight w:val="none"/>
          <w:u w:val="single"/>
        </w:rPr>
        <w:t xml:space="preserve">   XX工作内容   </w:t>
      </w:r>
      <w:r>
        <w:rPr>
          <w:rFonts w:hint="eastAsia" w:asciiTheme="minorEastAsia" w:hAnsiTheme="minorEastAsia" w:eastAsiaTheme="minorEastAsia" w:cstheme="minorEastAsia"/>
          <w:color w:val="auto"/>
          <w:sz w:val="24"/>
          <w:highlight w:val="none"/>
        </w:rPr>
        <w:t>分包给</w:t>
      </w:r>
      <w:r>
        <w:rPr>
          <w:rFonts w:hint="eastAsia" w:asciiTheme="minorEastAsia" w:hAnsiTheme="minorEastAsia" w:eastAsiaTheme="minorEastAsia" w:cstheme="minorEastAsia"/>
          <w:color w:val="auto"/>
          <w:kern w:val="0"/>
          <w:sz w:val="24"/>
          <w:highlight w:val="none"/>
          <w:u w:val="single"/>
        </w:rPr>
        <w:t>（某分包供应商名称）</w:t>
      </w:r>
      <w:r>
        <w:rPr>
          <w:rFonts w:hint="eastAsia" w:asciiTheme="minorEastAsia" w:hAnsiTheme="minorEastAsia" w:eastAsiaTheme="minorEastAsia" w:cstheme="minorEastAsia"/>
          <w:color w:val="auto"/>
          <w:kern w:val="0"/>
          <w:sz w:val="24"/>
          <w:highlight w:val="none"/>
          <w:lang w:val="zh-CN"/>
        </w:rPr>
        <w:t>，</w:t>
      </w:r>
      <w:r>
        <w:rPr>
          <w:rFonts w:hint="eastAsia" w:asciiTheme="minorEastAsia" w:hAnsiTheme="minorEastAsia" w:eastAsiaTheme="minorEastAsia" w:cstheme="minorEastAsia"/>
          <w:color w:val="auto"/>
          <w:kern w:val="0"/>
          <w:sz w:val="24"/>
          <w:highlight w:val="none"/>
          <w:u w:val="single"/>
        </w:rPr>
        <w:t>（某分包供应商名称），</w:t>
      </w:r>
      <w:r>
        <w:rPr>
          <w:rFonts w:hint="eastAsia" w:asciiTheme="minorEastAsia" w:hAnsiTheme="minorEastAsia" w:eastAsiaTheme="minorEastAsia" w:cstheme="minorEastAsia"/>
          <w:color w:val="auto"/>
          <w:kern w:val="0"/>
          <w:sz w:val="24"/>
          <w:highlight w:val="none"/>
          <w:lang w:val="zh-CN"/>
        </w:rPr>
        <w:t>具备承</w:t>
      </w:r>
      <w:r>
        <w:rPr>
          <w:rFonts w:hint="eastAsia" w:asciiTheme="minorEastAsia" w:hAnsiTheme="minorEastAsia" w:eastAsiaTheme="minorEastAsia" w:cstheme="minorEastAsia"/>
          <w:color w:val="auto"/>
          <w:kern w:val="0"/>
          <w:sz w:val="24"/>
          <w:highlight w:val="none"/>
        </w:rPr>
        <w:t>担</w:t>
      </w:r>
      <w:r>
        <w:rPr>
          <w:rFonts w:hint="eastAsia" w:asciiTheme="minorEastAsia" w:hAnsiTheme="minorEastAsia" w:eastAsiaTheme="minorEastAsia" w:cstheme="minorEastAsia"/>
          <w:color w:val="auto"/>
          <w:kern w:val="0"/>
          <w:sz w:val="24"/>
          <w:highlight w:val="none"/>
          <w:u w:val="single"/>
          <w:lang w:val="zh-CN"/>
        </w:rPr>
        <w:t>XX工作内容</w:t>
      </w:r>
      <w:r>
        <w:rPr>
          <w:rFonts w:hint="eastAsia" w:asciiTheme="minorEastAsia" w:hAnsiTheme="minorEastAsia" w:eastAsiaTheme="minorEastAsia" w:cstheme="minorEastAsia"/>
          <w:color w:val="auto"/>
          <w:kern w:val="0"/>
          <w:sz w:val="24"/>
          <w:highlight w:val="none"/>
          <w:lang w:val="zh-CN"/>
        </w:rPr>
        <w:t>相应资质条件且不得再次分包；</w:t>
      </w:r>
    </w:p>
    <w:p w14:paraId="371944DF">
      <w:pPr>
        <w:snapToGrid w:val="0"/>
        <w:spacing w:line="360" w:lineRule="auto"/>
        <w:ind w:firstLine="576"/>
        <w:rPr>
          <w:rFonts w:asciiTheme="minorEastAsia" w:hAnsiTheme="minorEastAsia" w:eastAsiaTheme="minorEastAsia" w:cstheme="minorEastAsia"/>
          <w:color w:val="auto"/>
          <w:kern w:val="0"/>
          <w:sz w:val="24"/>
          <w:highlight w:val="none"/>
          <w:u w:val="single"/>
        </w:rPr>
      </w:pPr>
      <w:r>
        <w:rPr>
          <w:rFonts w:hint="eastAsia" w:asciiTheme="minorEastAsia" w:hAnsiTheme="minorEastAsia" w:eastAsiaTheme="minorEastAsia" w:cstheme="minorEastAsia"/>
          <w:color w:val="auto"/>
          <w:kern w:val="0"/>
          <w:sz w:val="24"/>
          <w:highlight w:val="none"/>
          <w:u w:val="single"/>
        </w:rPr>
        <w:t>……</w:t>
      </w:r>
    </w:p>
    <w:p w14:paraId="0965686B">
      <w:pPr>
        <w:snapToGrid w:val="0"/>
        <w:spacing w:line="360" w:lineRule="auto"/>
        <w:ind w:firstLine="576"/>
        <w:rPr>
          <w:rFonts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二、分包工作履行期限、地点、方式</w:t>
      </w:r>
    </w:p>
    <w:p w14:paraId="7C0B39A2">
      <w:pPr>
        <w:snapToGrid w:val="0"/>
        <w:spacing w:line="360" w:lineRule="auto"/>
        <w:ind w:firstLine="576"/>
        <w:rPr>
          <w:rFonts w:asciiTheme="minorEastAsia" w:hAnsiTheme="minorEastAsia" w:eastAsiaTheme="minorEastAsia" w:cstheme="minorEastAsia"/>
          <w:color w:val="auto"/>
          <w:sz w:val="24"/>
          <w:highlight w:val="none"/>
          <w:u w:val="single"/>
        </w:rPr>
      </w:pPr>
      <w:r>
        <w:rPr>
          <w:rFonts w:hint="eastAsia" w:asciiTheme="minorEastAsia" w:hAnsiTheme="minorEastAsia" w:eastAsiaTheme="minorEastAsia" w:cstheme="minorEastAsia"/>
          <w:color w:val="auto"/>
          <w:sz w:val="24"/>
          <w:highlight w:val="none"/>
          <w:u w:val="single"/>
        </w:rPr>
        <w:t xml:space="preserve">                                                                                  </w:t>
      </w:r>
    </w:p>
    <w:p w14:paraId="566CBF73">
      <w:pPr>
        <w:snapToGrid w:val="0"/>
        <w:spacing w:line="360" w:lineRule="auto"/>
        <w:ind w:firstLine="576"/>
        <w:rPr>
          <w:rFonts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三、质量</w:t>
      </w:r>
    </w:p>
    <w:p w14:paraId="1741BFBC">
      <w:pPr>
        <w:snapToGrid w:val="0"/>
        <w:spacing w:line="360" w:lineRule="auto"/>
        <w:ind w:firstLine="576"/>
        <w:rPr>
          <w:rFonts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sz w:val="24"/>
          <w:highlight w:val="none"/>
          <w:u w:val="single"/>
        </w:rPr>
        <w:t xml:space="preserve">                                                                                       </w:t>
      </w:r>
    </w:p>
    <w:p w14:paraId="2AEE4BE7">
      <w:pPr>
        <w:snapToGrid w:val="0"/>
        <w:spacing w:line="360" w:lineRule="auto"/>
        <w:ind w:firstLine="576"/>
        <w:rPr>
          <w:rFonts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四、价款或者报酬</w:t>
      </w:r>
    </w:p>
    <w:p w14:paraId="31324F35">
      <w:pPr>
        <w:snapToGrid w:val="0"/>
        <w:spacing w:line="360" w:lineRule="auto"/>
        <w:ind w:left="573" w:leftChars="273"/>
        <w:rPr>
          <w:rFonts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sz w:val="24"/>
          <w:highlight w:val="none"/>
          <w:u w:val="single"/>
        </w:rPr>
        <w:t xml:space="preserve">                                                                                     </w:t>
      </w:r>
    </w:p>
    <w:p w14:paraId="48580B1A">
      <w:pPr>
        <w:snapToGrid w:val="0"/>
        <w:spacing w:line="360" w:lineRule="auto"/>
        <w:ind w:left="573" w:leftChars="273"/>
        <w:rPr>
          <w:rFonts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五、违约责任</w:t>
      </w:r>
    </w:p>
    <w:p w14:paraId="1E11AFA5">
      <w:pPr>
        <w:snapToGrid w:val="0"/>
        <w:spacing w:line="360" w:lineRule="auto"/>
        <w:ind w:firstLine="576"/>
        <w:rPr>
          <w:rFonts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sz w:val="24"/>
          <w:highlight w:val="none"/>
          <w:u w:val="single"/>
        </w:rPr>
        <w:t xml:space="preserve">                                                                                     </w:t>
      </w:r>
    </w:p>
    <w:p w14:paraId="608C1796">
      <w:pPr>
        <w:snapToGrid w:val="0"/>
        <w:spacing w:line="360" w:lineRule="auto"/>
        <w:ind w:firstLine="576"/>
        <w:rPr>
          <w:rFonts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六、争议解决的办法</w:t>
      </w:r>
    </w:p>
    <w:p w14:paraId="6984A3DE">
      <w:pPr>
        <w:snapToGrid w:val="0"/>
        <w:spacing w:line="360" w:lineRule="auto"/>
        <w:ind w:firstLine="576"/>
        <w:rPr>
          <w:rFonts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sz w:val="24"/>
          <w:highlight w:val="none"/>
          <w:u w:val="single"/>
        </w:rPr>
        <w:t xml:space="preserve">                                                                                  </w:t>
      </w:r>
    </w:p>
    <w:p w14:paraId="007D6890">
      <w:pPr>
        <w:snapToGrid w:val="0"/>
        <w:spacing w:line="360" w:lineRule="auto"/>
        <w:ind w:firstLine="576"/>
        <w:rPr>
          <w:rFonts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七、其他</w:t>
      </w:r>
    </w:p>
    <w:p w14:paraId="6C0FBD95">
      <w:pPr>
        <w:snapToGrid w:val="0"/>
        <w:spacing w:line="360" w:lineRule="auto"/>
        <w:ind w:firstLine="576"/>
        <w:rPr>
          <w:rFonts w:asciiTheme="minorEastAsia" w:hAnsiTheme="minorEastAsia" w:eastAsiaTheme="minorEastAsia" w:cstheme="minorEastAsia"/>
          <w:b/>
          <w:color w:val="auto"/>
          <w:kern w:val="0"/>
          <w:sz w:val="24"/>
          <w:highlight w:val="none"/>
          <w:lang w:val="zh-CN"/>
        </w:rPr>
      </w:pPr>
      <w:r>
        <w:rPr>
          <w:rFonts w:hint="eastAsia" w:asciiTheme="minorEastAsia" w:hAnsiTheme="minorEastAsia" w:eastAsiaTheme="minorEastAsia" w:cstheme="minorEastAsia"/>
          <w:color w:val="auto"/>
          <w:kern w:val="0"/>
          <w:sz w:val="24"/>
          <w:highlight w:val="none"/>
          <w:u w:val="single"/>
        </w:rPr>
        <w:t>（分包供应商名称）提供的货物/服务全部由小微企业制造/服务，</w:t>
      </w:r>
      <w:r>
        <w:rPr>
          <w:rFonts w:hint="eastAsia" w:asciiTheme="minorEastAsia" w:hAnsiTheme="minorEastAsia" w:eastAsiaTheme="minorEastAsia" w:cstheme="minorEastAsia"/>
          <w:color w:val="auto"/>
          <w:kern w:val="0"/>
          <w:sz w:val="24"/>
          <w:highlight w:val="none"/>
        </w:rPr>
        <w:t>其合同份额占到合同总金额</w:t>
      </w:r>
      <w:r>
        <w:rPr>
          <w:rFonts w:hint="eastAsia" w:asciiTheme="minorEastAsia" w:hAnsiTheme="minorEastAsia" w:eastAsiaTheme="minorEastAsia" w:cstheme="minorEastAsia"/>
          <w:color w:val="auto"/>
          <w:kern w:val="0"/>
          <w:sz w:val="24"/>
          <w:highlight w:val="none"/>
          <w:u w:val="single"/>
        </w:rPr>
        <w:t xml:space="preserve">     </w:t>
      </w:r>
      <w:r>
        <w:rPr>
          <w:rFonts w:hint="eastAsia" w:asciiTheme="minorEastAsia" w:hAnsiTheme="minorEastAsia" w:eastAsiaTheme="minorEastAsia" w:cstheme="minorEastAsia"/>
          <w:color w:val="auto"/>
          <w:kern w:val="0"/>
          <w:sz w:val="24"/>
          <w:highlight w:val="none"/>
        </w:rPr>
        <w:t>%以上</w:t>
      </w:r>
      <w:r>
        <w:rPr>
          <w:rFonts w:hint="eastAsia" w:asciiTheme="minorEastAsia" w:hAnsiTheme="minorEastAsia" w:eastAsiaTheme="minorEastAsia" w:cstheme="minorEastAsia"/>
          <w:color w:val="auto"/>
          <w:sz w:val="24"/>
          <w:highlight w:val="none"/>
        </w:rPr>
        <w:t>。</w:t>
      </w:r>
    </w:p>
    <w:p w14:paraId="04568297">
      <w:pPr>
        <w:snapToGrid w:val="0"/>
        <w:spacing w:line="360" w:lineRule="auto"/>
        <w:rPr>
          <w:rFonts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 xml:space="preserve">                                               投标人名称(盖章)：</w:t>
      </w:r>
    </w:p>
    <w:p w14:paraId="0C61F489">
      <w:pPr>
        <w:snapToGrid w:val="0"/>
        <w:spacing w:line="360" w:lineRule="auto"/>
        <w:ind w:firstLine="5640" w:firstLineChars="2350"/>
        <w:rPr>
          <w:rFonts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分包供应商名称：</w:t>
      </w:r>
    </w:p>
    <w:p w14:paraId="1F351ED5">
      <w:pPr>
        <w:snapToGrid w:val="0"/>
        <w:spacing w:line="360" w:lineRule="auto"/>
        <w:ind w:firstLine="5760" w:firstLineChars="24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kern w:val="0"/>
          <w:sz w:val="24"/>
          <w:highlight w:val="none"/>
          <w:lang w:val="zh-CN"/>
        </w:rPr>
        <w:t>……</w:t>
      </w:r>
    </w:p>
    <w:p w14:paraId="6F8F9915">
      <w:pPr>
        <w:snapToGrid w:val="0"/>
        <w:spacing w:line="360" w:lineRule="auto"/>
        <w:rPr>
          <w:rFonts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 xml:space="preserve">                                               日期：  年  月   日</w:t>
      </w:r>
    </w:p>
    <w:p w14:paraId="38E358FE">
      <w:pPr>
        <w:snapToGrid w:val="0"/>
        <w:spacing w:before="120" w:beforeLines="50" w:after="50" w:line="276" w:lineRule="auto"/>
        <w:jc w:val="left"/>
        <w:rPr>
          <w:rFonts w:ascii="宋体" w:hAnsi="宋体" w:cs="宋体"/>
          <w:color w:val="auto"/>
          <w:sz w:val="24"/>
          <w:highlight w:val="none"/>
        </w:rPr>
      </w:pPr>
      <w:r>
        <w:rPr>
          <w:rFonts w:hint="eastAsia" w:ascii="宋体" w:hAnsi="宋体" w:cs="宋体"/>
          <w:color w:val="auto"/>
          <w:sz w:val="24"/>
          <w:highlight w:val="none"/>
        </w:rPr>
        <w:br w:type="page"/>
      </w:r>
    </w:p>
    <w:p w14:paraId="1E216C38">
      <w:pPr>
        <w:pStyle w:val="5"/>
        <w:pageBreakBefore/>
        <w:rPr>
          <w:rFonts w:ascii="宋体" w:hAnsi="宋体" w:eastAsia="宋体" w:cs="宋体"/>
          <w:b w:val="0"/>
          <w:color w:val="auto"/>
          <w:sz w:val="24"/>
          <w:szCs w:val="24"/>
          <w:highlight w:val="none"/>
        </w:rPr>
      </w:pPr>
      <w:bookmarkStart w:id="72" w:name="_Toc2579"/>
      <w:r>
        <w:rPr>
          <w:rFonts w:hint="eastAsia" w:ascii="宋体" w:hAnsi="宋体" w:eastAsia="宋体" w:cs="宋体"/>
          <w:b w:val="0"/>
          <w:color w:val="auto"/>
          <w:sz w:val="24"/>
          <w:szCs w:val="24"/>
          <w:highlight w:val="none"/>
        </w:rPr>
        <w:t>附件七：投标人资信商务、技术自评得分表</w:t>
      </w:r>
      <w:bookmarkEnd w:id="72"/>
    </w:p>
    <w:p w14:paraId="1A672BF4">
      <w:pPr>
        <w:snapToGrid w:val="0"/>
        <w:spacing w:line="360" w:lineRule="auto"/>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投标人资信商务、技术自评得分表</w:t>
      </w: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3550"/>
        <w:gridCol w:w="3200"/>
        <w:gridCol w:w="916"/>
        <w:gridCol w:w="1219"/>
      </w:tblGrid>
      <w:tr w14:paraId="0FAA9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5" w:hRule="atLeast"/>
        </w:trPr>
        <w:tc>
          <w:tcPr>
            <w:tcW w:w="834" w:type="dxa"/>
            <w:vAlign w:val="center"/>
          </w:tcPr>
          <w:p w14:paraId="3D4A453F">
            <w:pPr>
              <w:jc w:val="center"/>
              <w:rPr>
                <w:rFonts w:ascii="宋体" w:hAnsi="宋体" w:cs="宋体"/>
                <w:color w:val="auto"/>
                <w:sz w:val="24"/>
                <w:highlight w:val="none"/>
              </w:rPr>
            </w:pPr>
            <w:r>
              <w:rPr>
                <w:rFonts w:hint="eastAsia" w:ascii="宋体" w:hAnsi="宋体" w:cs="宋体"/>
                <w:color w:val="auto"/>
                <w:sz w:val="24"/>
                <w:highlight w:val="none"/>
              </w:rPr>
              <w:t>序号</w:t>
            </w:r>
          </w:p>
        </w:tc>
        <w:tc>
          <w:tcPr>
            <w:tcW w:w="3550" w:type="dxa"/>
            <w:vAlign w:val="center"/>
          </w:tcPr>
          <w:p w14:paraId="544AE89E">
            <w:pPr>
              <w:jc w:val="center"/>
              <w:rPr>
                <w:rFonts w:ascii="宋体" w:hAnsi="宋体" w:cs="宋体"/>
                <w:color w:val="auto"/>
                <w:sz w:val="24"/>
                <w:highlight w:val="none"/>
              </w:rPr>
            </w:pPr>
            <w:r>
              <w:rPr>
                <w:rFonts w:hint="eastAsia" w:ascii="宋体" w:hAnsi="宋体" w:cs="宋体"/>
                <w:color w:val="auto"/>
                <w:sz w:val="24"/>
                <w:highlight w:val="none"/>
              </w:rPr>
              <w:t>评分标准</w:t>
            </w:r>
          </w:p>
        </w:tc>
        <w:tc>
          <w:tcPr>
            <w:tcW w:w="3200" w:type="dxa"/>
            <w:vAlign w:val="center"/>
          </w:tcPr>
          <w:p w14:paraId="25EA942D">
            <w:pPr>
              <w:jc w:val="center"/>
              <w:rPr>
                <w:rFonts w:ascii="宋体" w:hAnsi="宋体" w:cs="宋体"/>
                <w:color w:val="auto"/>
                <w:sz w:val="24"/>
                <w:highlight w:val="none"/>
              </w:rPr>
            </w:pPr>
            <w:r>
              <w:rPr>
                <w:rFonts w:hint="eastAsia" w:ascii="宋体" w:hAnsi="宋体" w:cs="宋体"/>
                <w:color w:val="auto"/>
                <w:sz w:val="24"/>
                <w:highlight w:val="none"/>
              </w:rPr>
              <w:t>得分内容</w:t>
            </w:r>
          </w:p>
        </w:tc>
        <w:tc>
          <w:tcPr>
            <w:tcW w:w="916" w:type="dxa"/>
            <w:vAlign w:val="center"/>
          </w:tcPr>
          <w:p w14:paraId="7DFA100A">
            <w:pPr>
              <w:jc w:val="center"/>
              <w:rPr>
                <w:rFonts w:ascii="宋体" w:hAnsi="宋体" w:cs="宋体"/>
                <w:color w:val="auto"/>
                <w:sz w:val="24"/>
                <w:highlight w:val="none"/>
              </w:rPr>
            </w:pPr>
            <w:r>
              <w:rPr>
                <w:rFonts w:hint="eastAsia" w:ascii="宋体" w:hAnsi="宋体" w:cs="宋体"/>
                <w:color w:val="auto"/>
                <w:sz w:val="24"/>
                <w:highlight w:val="none"/>
              </w:rPr>
              <w:t>自评</w:t>
            </w:r>
          </w:p>
          <w:p w14:paraId="54CA90C2">
            <w:pPr>
              <w:jc w:val="center"/>
              <w:rPr>
                <w:rFonts w:ascii="宋体" w:hAnsi="宋体" w:cs="宋体"/>
                <w:color w:val="auto"/>
                <w:sz w:val="24"/>
                <w:highlight w:val="none"/>
              </w:rPr>
            </w:pPr>
            <w:r>
              <w:rPr>
                <w:rFonts w:hint="eastAsia" w:ascii="宋体" w:hAnsi="宋体" w:cs="宋体"/>
                <w:color w:val="auto"/>
                <w:sz w:val="24"/>
                <w:highlight w:val="none"/>
              </w:rPr>
              <w:t>得分</w:t>
            </w:r>
          </w:p>
        </w:tc>
        <w:tc>
          <w:tcPr>
            <w:tcW w:w="1219" w:type="dxa"/>
            <w:vAlign w:val="center"/>
          </w:tcPr>
          <w:p w14:paraId="2218B014">
            <w:pPr>
              <w:jc w:val="center"/>
              <w:rPr>
                <w:rFonts w:ascii="宋体" w:hAnsi="宋体" w:cs="宋体"/>
                <w:color w:val="auto"/>
                <w:sz w:val="24"/>
                <w:highlight w:val="none"/>
              </w:rPr>
            </w:pPr>
            <w:r>
              <w:rPr>
                <w:rFonts w:hint="eastAsia" w:ascii="宋体" w:hAnsi="宋体" w:cs="宋体"/>
                <w:color w:val="auto"/>
                <w:sz w:val="24"/>
                <w:highlight w:val="none"/>
              </w:rPr>
              <w:t>页码</w:t>
            </w:r>
          </w:p>
        </w:tc>
      </w:tr>
      <w:tr w14:paraId="7B4CE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trPr>
        <w:tc>
          <w:tcPr>
            <w:tcW w:w="834" w:type="dxa"/>
            <w:vAlign w:val="center"/>
          </w:tcPr>
          <w:p w14:paraId="2D3E113B">
            <w:pPr>
              <w:jc w:val="center"/>
              <w:rPr>
                <w:rFonts w:ascii="宋体" w:hAnsi="宋体" w:cs="宋体"/>
                <w:color w:val="auto"/>
                <w:sz w:val="24"/>
                <w:highlight w:val="none"/>
              </w:rPr>
            </w:pPr>
            <w:r>
              <w:rPr>
                <w:rFonts w:hint="eastAsia" w:ascii="宋体" w:hAnsi="宋体" w:cs="宋体"/>
                <w:color w:val="auto"/>
                <w:sz w:val="24"/>
                <w:highlight w:val="none"/>
              </w:rPr>
              <w:t>1</w:t>
            </w:r>
          </w:p>
        </w:tc>
        <w:tc>
          <w:tcPr>
            <w:tcW w:w="3550" w:type="dxa"/>
            <w:vAlign w:val="center"/>
          </w:tcPr>
          <w:p w14:paraId="3B48100E">
            <w:pPr>
              <w:jc w:val="center"/>
              <w:rPr>
                <w:rFonts w:ascii="宋体" w:hAnsi="宋体" w:cs="宋体"/>
                <w:color w:val="auto"/>
                <w:sz w:val="24"/>
                <w:highlight w:val="none"/>
              </w:rPr>
            </w:pPr>
          </w:p>
        </w:tc>
        <w:tc>
          <w:tcPr>
            <w:tcW w:w="3200" w:type="dxa"/>
            <w:vAlign w:val="center"/>
          </w:tcPr>
          <w:p w14:paraId="7E157E59">
            <w:pPr>
              <w:jc w:val="center"/>
              <w:rPr>
                <w:rFonts w:ascii="宋体" w:hAnsi="宋体" w:cs="宋体"/>
                <w:color w:val="auto"/>
                <w:sz w:val="24"/>
                <w:highlight w:val="none"/>
              </w:rPr>
            </w:pPr>
          </w:p>
        </w:tc>
        <w:tc>
          <w:tcPr>
            <w:tcW w:w="916" w:type="dxa"/>
            <w:vAlign w:val="center"/>
          </w:tcPr>
          <w:p w14:paraId="7701ADAA">
            <w:pPr>
              <w:jc w:val="center"/>
              <w:rPr>
                <w:rFonts w:ascii="宋体" w:hAnsi="宋体" w:cs="宋体"/>
                <w:color w:val="auto"/>
                <w:sz w:val="24"/>
                <w:highlight w:val="none"/>
              </w:rPr>
            </w:pPr>
          </w:p>
        </w:tc>
        <w:tc>
          <w:tcPr>
            <w:tcW w:w="1219" w:type="dxa"/>
            <w:vAlign w:val="center"/>
          </w:tcPr>
          <w:p w14:paraId="005B8178">
            <w:pPr>
              <w:jc w:val="center"/>
              <w:rPr>
                <w:rFonts w:ascii="宋体" w:hAnsi="宋体" w:cs="宋体"/>
                <w:color w:val="auto"/>
                <w:sz w:val="24"/>
                <w:highlight w:val="none"/>
              </w:rPr>
            </w:pPr>
          </w:p>
        </w:tc>
      </w:tr>
      <w:tr w14:paraId="5EB38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trPr>
        <w:tc>
          <w:tcPr>
            <w:tcW w:w="834" w:type="dxa"/>
            <w:vAlign w:val="center"/>
          </w:tcPr>
          <w:p w14:paraId="309AA3C8">
            <w:pPr>
              <w:jc w:val="center"/>
              <w:rPr>
                <w:rFonts w:ascii="宋体" w:hAnsi="宋体" w:cs="宋体"/>
                <w:color w:val="auto"/>
                <w:sz w:val="24"/>
                <w:highlight w:val="none"/>
              </w:rPr>
            </w:pPr>
            <w:r>
              <w:rPr>
                <w:rFonts w:hint="eastAsia" w:ascii="宋体" w:hAnsi="宋体" w:cs="宋体"/>
                <w:color w:val="auto"/>
                <w:sz w:val="24"/>
                <w:highlight w:val="none"/>
              </w:rPr>
              <w:t>2</w:t>
            </w:r>
          </w:p>
        </w:tc>
        <w:tc>
          <w:tcPr>
            <w:tcW w:w="3550" w:type="dxa"/>
            <w:vAlign w:val="center"/>
          </w:tcPr>
          <w:p w14:paraId="110857BD">
            <w:pPr>
              <w:jc w:val="center"/>
              <w:rPr>
                <w:rFonts w:ascii="宋体" w:hAnsi="宋体" w:cs="宋体"/>
                <w:color w:val="auto"/>
                <w:sz w:val="24"/>
                <w:highlight w:val="none"/>
              </w:rPr>
            </w:pPr>
          </w:p>
        </w:tc>
        <w:tc>
          <w:tcPr>
            <w:tcW w:w="3200" w:type="dxa"/>
            <w:vAlign w:val="center"/>
          </w:tcPr>
          <w:p w14:paraId="65A55F5B">
            <w:pPr>
              <w:jc w:val="center"/>
              <w:rPr>
                <w:rFonts w:ascii="宋体" w:hAnsi="宋体" w:cs="宋体"/>
                <w:color w:val="auto"/>
                <w:sz w:val="24"/>
                <w:highlight w:val="none"/>
              </w:rPr>
            </w:pPr>
          </w:p>
        </w:tc>
        <w:tc>
          <w:tcPr>
            <w:tcW w:w="916" w:type="dxa"/>
            <w:vAlign w:val="center"/>
          </w:tcPr>
          <w:p w14:paraId="6549D3D4">
            <w:pPr>
              <w:jc w:val="center"/>
              <w:rPr>
                <w:rFonts w:ascii="宋体" w:hAnsi="宋体" w:cs="宋体"/>
                <w:color w:val="auto"/>
                <w:sz w:val="24"/>
                <w:highlight w:val="none"/>
              </w:rPr>
            </w:pPr>
          </w:p>
        </w:tc>
        <w:tc>
          <w:tcPr>
            <w:tcW w:w="1219" w:type="dxa"/>
            <w:vAlign w:val="center"/>
          </w:tcPr>
          <w:p w14:paraId="75553292">
            <w:pPr>
              <w:jc w:val="center"/>
              <w:rPr>
                <w:rFonts w:ascii="宋体" w:hAnsi="宋体" w:cs="宋体"/>
                <w:color w:val="auto"/>
                <w:sz w:val="24"/>
                <w:highlight w:val="none"/>
              </w:rPr>
            </w:pPr>
          </w:p>
        </w:tc>
      </w:tr>
      <w:tr w14:paraId="4B249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trPr>
        <w:tc>
          <w:tcPr>
            <w:tcW w:w="834" w:type="dxa"/>
            <w:vAlign w:val="center"/>
          </w:tcPr>
          <w:p w14:paraId="04AB1390">
            <w:pPr>
              <w:jc w:val="center"/>
              <w:rPr>
                <w:rFonts w:ascii="宋体" w:hAnsi="宋体" w:cs="宋体"/>
                <w:color w:val="auto"/>
                <w:sz w:val="24"/>
                <w:highlight w:val="none"/>
              </w:rPr>
            </w:pPr>
            <w:r>
              <w:rPr>
                <w:rFonts w:hint="eastAsia" w:ascii="宋体" w:hAnsi="宋体" w:cs="宋体"/>
                <w:color w:val="auto"/>
                <w:sz w:val="24"/>
                <w:highlight w:val="none"/>
              </w:rPr>
              <w:t>3</w:t>
            </w:r>
          </w:p>
        </w:tc>
        <w:tc>
          <w:tcPr>
            <w:tcW w:w="3550" w:type="dxa"/>
            <w:vAlign w:val="center"/>
          </w:tcPr>
          <w:p w14:paraId="3A5F400B">
            <w:pPr>
              <w:jc w:val="center"/>
              <w:rPr>
                <w:rFonts w:ascii="宋体" w:hAnsi="宋体" w:cs="宋体"/>
                <w:color w:val="auto"/>
                <w:sz w:val="24"/>
                <w:highlight w:val="none"/>
              </w:rPr>
            </w:pPr>
          </w:p>
        </w:tc>
        <w:tc>
          <w:tcPr>
            <w:tcW w:w="3200" w:type="dxa"/>
            <w:vAlign w:val="center"/>
          </w:tcPr>
          <w:p w14:paraId="286B83CD">
            <w:pPr>
              <w:jc w:val="center"/>
              <w:rPr>
                <w:rFonts w:ascii="宋体" w:hAnsi="宋体" w:cs="宋体"/>
                <w:color w:val="auto"/>
                <w:sz w:val="24"/>
                <w:highlight w:val="none"/>
              </w:rPr>
            </w:pPr>
          </w:p>
        </w:tc>
        <w:tc>
          <w:tcPr>
            <w:tcW w:w="916" w:type="dxa"/>
            <w:vAlign w:val="center"/>
          </w:tcPr>
          <w:p w14:paraId="68DD2E18">
            <w:pPr>
              <w:jc w:val="center"/>
              <w:rPr>
                <w:rFonts w:ascii="宋体" w:hAnsi="宋体" w:cs="宋体"/>
                <w:color w:val="auto"/>
                <w:sz w:val="24"/>
                <w:highlight w:val="none"/>
              </w:rPr>
            </w:pPr>
          </w:p>
        </w:tc>
        <w:tc>
          <w:tcPr>
            <w:tcW w:w="1219" w:type="dxa"/>
            <w:vAlign w:val="center"/>
          </w:tcPr>
          <w:p w14:paraId="34F72985">
            <w:pPr>
              <w:jc w:val="center"/>
              <w:rPr>
                <w:rFonts w:ascii="宋体" w:hAnsi="宋体" w:cs="宋体"/>
                <w:color w:val="auto"/>
                <w:sz w:val="24"/>
                <w:highlight w:val="none"/>
              </w:rPr>
            </w:pPr>
          </w:p>
        </w:tc>
      </w:tr>
      <w:tr w14:paraId="2F882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trPr>
        <w:tc>
          <w:tcPr>
            <w:tcW w:w="834" w:type="dxa"/>
            <w:vAlign w:val="center"/>
          </w:tcPr>
          <w:p w14:paraId="130032A8">
            <w:pPr>
              <w:jc w:val="center"/>
              <w:rPr>
                <w:rFonts w:ascii="宋体" w:hAnsi="宋体" w:cs="宋体"/>
                <w:color w:val="auto"/>
                <w:sz w:val="24"/>
                <w:highlight w:val="none"/>
              </w:rPr>
            </w:pPr>
            <w:r>
              <w:rPr>
                <w:rFonts w:hint="eastAsia" w:ascii="宋体" w:hAnsi="宋体" w:cs="宋体"/>
                <w:color w:val="auto"/>
                <w:sz w:val="24"/>
                <w:highlight w:val="none"/>
              </w:rPr>
              <w:t>4</w:t>
            </w:r>
          </w:p>
        </w:tc>
        <w:tc>
          <w:tcPr>
            <w:tcW w:w="3550" w:type="dxa"/>
            <w:vAlign w:val="center"/>
          </w:tcPr>
          <w:p w14:paraId="4F6A4540">
            <w:pPr>
              <w:jc w:val="center"/>
              <w:rPr>
                <w:rFonts w:ascii="宋体" w:hAnsi="宋体" w:cs="宋体"/>
                <w:color w:val="auto"/>
                <w:sz w:val="24"/>
                <w:highlight w:val="none"/>
              </w:rPr>
            </w:pPr>
          </w:p>
        </w:tc>
        <w:tc>
          <w:tcPr>
            <w:tcW w:w="3200" w:type="dxa"/>
            <w:vAlign w:val="center"/>
          </w:tcPr>
          <w:p w14:paraId="414EC8FD">
            <w:pPr>
              <w:jc w:val="center"/>
              <w:rPr>
                <w:rFonts w:ascii="宋体" w:hAnsi="宋体" w:cs="宋体"/>
                <w:color w:val="auto"/>
                <w:sz w:val="24"/>
                <w:highlight w:val="none"/>
              </w:rPr>
            </w:pPr>
          </w:p>
        </w:tc>
        <w:tc>
          <w:tcPr>
            <w:tcW w:w="916" w:type="dxa"/>
            <w:vAlign w:val="center"/>
          </w:tcPr>
          <w:p w14:paraId="7E915EE9">
            <w:pPr>
              <w:jc w:val="center"/>
              <w:rPr>
                <w:rFonts w:ascii="宋体" w:hAnsi="宋体" w:cs="宋体"/>
                <w:color w:val="auto"/>
                <w:sz w:val="24"/>
                <w:highlight w:val="none"/>
              </w:rPr>
            </w:pPr>
          </w:p>
        </w:tc>
        <w:tc>
          <w:tcPr>
            <w:tcW w:w="1219" w:type="dxa"/>
            <w:vAlign w:val="center"/>
          </w:tcPr>
          <w:p w14:paraId="0F6C60BB">
            <w:pPr>
              <w:jc w:val="center"/>
              <w:rPr>
                <w:rFonts w:ascii="宋体" w:hAnsi="宋体" w:cs="宋体"/>
                <w:color w:val="auto"/>
                <w:sz w:val="24"/>
                <w:highlight w:val="none"/>
              </w:rPr>
            </w:pPr>
          </w:p>
        </w:tc>
      </w:tr>
      <w:tr w14:paraId="50EE1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trPr>
        <w:tc>
          <w:tcPr>
            <w:tcW w:w="834" w:type="dxa"/>
            <w:vAlign w:val="center"/>
          </w:tcPr>
          <w:p w14:paraId="14408BAA">
            <w:pPr>
              <w:jc w:val="center"/>
              <w:rPr>
                <w:rFonts w:ascii="宋体" w:hAnsi="宋体" w:cs="宋体"/>
                <w:color w:val="auto"/>
                <w:sz w:val="24"/>
                <w:highlight w:val="none"/>
              </w:rPr>
            </w:pPr>
            <w:r>
              <w:rPr>
                <w:rFonts w:hint="eastAsia" w:ascii="宋体" w:hAnsi="宋体" w:cs="宋体"/>
                <w:color w:val="auto"/>
                <w:sz w:val="24"/>
                <w:highlight w:val="none"/>
              </w:rPr>
              <w:t>5</w:t>
            </w:r>
          </w:p>
        </w:tc>
        <w:tc>
          <w:tcPr>
            <w:tcW w:w="3550" w:type="dxa"/>
            <w:vAlign w:val="center"/>
          </w:tcPr>
          <w:p w14:paraId="1E1BB6CA">
            <w:pPr>
              <w:jc w:val="center"/>
              <w:rPr>
                <w:rFonts w:ascii="宋体" w:hAnsi="宋体" w:cs="宋体"/>
                <w:color w:val="auto"/>
                <w:sz w:val="24"/>
                <w:highlight w:val="none"/>
              </w:rPr>
            </w:pPr>
          </w:p>
        </w:tc>
        <w:tc>
          <w:tcPr>
            <w:tcW w:w="3200" w:type="dxa"/>
            <w:vAlign w:val="center"/>
          </w:tcPr>
          <w:p w14:paraId="4725A858">
            <w:pPr>
              <w:jc w:val="center"/>
              <w:rPr>
                <w:rFonts w:ascii="宋体" w:hAnsi="宋体" w:cs="宋体"/>
                <w:color w:val="auto"/>
                <w:sz w:val="24"/>
                <w:highlight w:val="none"/>
              </w:rPr>
            </w:pPr>
          </w:p>
        </w:tc>
        <w:tc>
          <w:tcPr>
            <w:tcW w:w="916" w:type="dxa"/>
            <w:vAlign w:val="center"/>
          </w:tcPr>
          <w:p w14:paraId="1B2BC1E2">
            <w:pPr>
              <w:jc w:val="center"/>
              <w:rPr>
                <w:rFonts w:ascii="宋体" w:hAnsi="宋体" w:cs="宋体"/>
                <w:color w:val="auto"/>
                <w:sz w:val="24"/>
                <w:highlight w:val="none"/>
              </w:rPr>
            </w:pPr>
          </w:p>
        </w:tc>
        <w:tc>
          <w:tcPr>
            <w:tcW w:w="1219" w:type="dxa"/>
            <w:vAlign w:val="center"/>
          </w:tcPr>
          <w:p w14:paraId="0C489882">
            <w:pPr>
              <w:jc w:val="center"/>
              <w:rPr>
                <w:rFonts w:ascii="宋体" w:hAnsi="宋体" w:cs="宋体"/>
                <w:color w:val="auto"/>
                <w:sz w:val="24"/>
                <w:highlight w:val="none"/>
              </w:rPr>
            </w:pPr>
          </w:p>
        </w:tc>
      </w:tr>
      <w:tr w14:paraId="5029C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trPr>
        <w:tc>
          <w:tcPr>
            <w:tcW w:w="834" w:type="dxa"/>
            <w:vAlign w:val="center"/>
          </w:tcPr>
          <w:p w14:paraId="17852996">
            <w:pPr>
              <w:jc w:val="center"/>
              <w:rPr>
                <w:rFonts w:ascii="宋体" w:hAnsi="宋体" w:cs="宋体"/>
                <w:color w:val="auto"/>
                <w:sz w:val="24"/>
                <w:highlight w:val="none"/>
              </w:rPr>
            </w:pPr>
            <w:r>
              <w:rPr>
                <w:rFonts w:hint="eastAsia" w:ascii="宋体" w:hAnsi="宋体" w:cs="宋体"/>
                <w:color w:val="auto"/>
                <w:sz w:val="24"/>
                <w:highlight w:val="none"/>
              </w:rPr>
              <w:t>6</w:t>
            </w:r>
          </w:p>
        </w:tc>
        <w:tc>
          <w:tcPr>
            <w:tcW w:w="3550" w:type="dxa"/>
            <w:vAlign w:val="center"/>
          </w:tcPr>
          <w:p w14:paraId="20572B85">
            <w:pPr>
              <w:jc w:val="center"/>
              <w:rPr>
                <w:rFonts w:ascii="宋体" w:hAnsi="宋体" w:cs="宋体"/>
                <w:color w:val="auto"/>
                <w:sz w:val="24"/>
                <w:highlight w:val="none"/>
              </w:rPr>
            </w:pPr>
          </w:p>
        </w:tc>
        <w:tc>
          <w:tcPr>
            <w:tcW w:w="3200" w:type="dxa"/>
            <w:vAlign w:val="center"/>
          </w:tcPr>
          <w:p w14:paraId="6E6CF99D">
            <w:pPr>
              <w:jc w:val="center"/>
              <w:rPr>
                <w:rFonts w:ascii="宋体" w:hAnsi="宋体" w:cs="宋体"/>
                <w:color w:val="auto"/>
                <w:sz w:val="24"/>
                <w:highlight w:val="none"/>
              </w:rPr>
            </w:pPr>
          </w:p>
        </w:tc>
        <w:tc>
          <w:tcPr>
            <w:tcW w:w="916" w:type="dxa"/>
            <w:vAlign w:val="center"/>
          </w:tcPr>
          <w:p w14:paraId="24CF04EE">
            <w:pPr>
              <w:jc w:val="center"/>
              <w:rPr>
                <w:rFonts w:ascii="宋体" w:hAnsi="宋体" w:cs="宋体"/>
                <w:color w:val="auto"/>
                <w:sz w:val="24"/>
                <w:highlight w:val="none"/>
              </w:rPr>
            </w:pPr>
          </w:p>
        </w:tc>
        <w:tc>
          <w:tcPr>
            <w:tcW w:w="1219" w:type="dxa"/>
            <w:vAlign w:val="center"/>
          </w:tcPr>
          <w:p w14:paraId="343661CB">
            <w:pPr>
              <w:jc w:val="center"/>
              <w:rPr>
                <w:rFonts w:ascii="宋体" w:hAnsi="宋体" w:cs="宋体"/>
                <w:color w:val="auto"/>
                <w:sz w:val="24"/>
                <w:highlight w:val="none"/>
              </w:rPr>
            </w:pPr>
          </w:p>
        </w:tc>
      </w:tr>
      <w:tr w14:paraId="18615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trPr>
        <w:tc>
          <w:tcPr>
            <w:tcW w:w="834" w:type="dxa"/>
            <w:vAlign w:val="center"/>
          </w:tcPr>
          <w:p w14:paraId="2D08EDE7">
            <w:pPr>
              <w:jc w:val="center"/>
              <w:rPr>
                <w:rFonts w:ascii="宋体" w:hAnsi="宋体" w:cs="宋体"/>
                <w:color w:val="auto"/>
                <w:sz w:val="24"/>
                <w:highlight w:val="none"/>
              </w:rPr>
            </w:pPr>
            <w:r>
              <w:rPr>
                <w:rFonts w:hint="eastAsia" w:ascii="宋体" w:hAnsi="宋体" w:cs="宋体"/>
                <w:color w:val="auto"/>
                <w:sz w:val="24"/>
                <w:highlight w:val="none"/>
              </w:rPr>
              <w:t>7</w:t>
            </w:r>
          </w:p>
        </w:tc>
        <w:tc>
          <w:tcPr>
            <w:tcW w:w="3550" w:type="dxa"/>
            <w:vAlign w:val="center"/>
          </w:tcPr>
          <w:p w14:paraId="0F2F9919">
            <w:pPr>
              <w:jc w:val="center"/>
              <w:rPr>
                <w:rFonts w:ascii="宋体" w:hAnsi="宋体" w:cs="宋体"/>
                <w:color w:val="auto"/>
                <w:sz w:val="24"/>
                <w:highlight w:val="none"/>
              </w:rPr>
            </w:pPr>
          </w:p>
        </w:tc>
        <w:tc>
          <w:tcPr>
            <w:tcW w:w="3200" w:type="dxa"/>
            <w:vAlign w:val="center"/>
          </w:tcPr>
          <w:p w14:paraId="158D7019">
            <w:pPr>
              <w:jc w:val="center"/>
              <w:rPr>
                <w:rFonts w:ascii="宋体" w:hAnsi="宋体" w:cs="宋体"/>
                <w:color w:val="auto"/>
                <w:sz w:val="24"/>
                <w:highlight w:val="none"/>
              </w:rPr>
            </w:pPr>
          </w:p>
        </w:tc>
        <w:tc>
          <w:tcPr>
            <w:tcW w:w="916" w:type="dxa"/>
            <w:vAlign w:val="center"/>
          </w:tcPr>
          <w:p w14:paraId="6E3B4075">
            <w:pPr>
              <w:jc w:val="center"/>
              <w:rPr>
                <w:rFonts w:ascii="宋体" w:hAnsi="宋体" w:cs="宋体"/>
                <w:color w:val="auto"/>
                <w:sz w:val="24"/>
                <w:highlight w:val="none"/>
              </w:rPr>
            </w:pPr>
          </w:p>
        </w:tc>
        <w:tc>
          <w:tcPr>
            <w:tcW w:w="1219" w:type="dxa"/>
            <w:vAlign w:val="center"/>
          </w:tcPr>
          <w:p w14:paraId="46A0AFE1">
            <w:pPr>
              <w:jc w:val="center"/>
              <w:rPr>
                <w:rFonts w:ascii="宋体" w:hAnsi="宋体" w:cs="宋体"/>
                <w:color w:val="auto"/>
                <w:sz w:val="24"/>
                <w:highlight w:val="none"/>
              </w:rPr>
            </w:pPr>
          </w:p>
        </w:tc>
      </w:tr>
      <w:tr w14:paraId="5FC89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trPr>
        <w:tc>
          <w:tcPr>
            <w:tcW w:w="834" w:type="dxa"/>
            <w:vAlign w:val="center"/>
          </w:tcPr>
          <w:p w14:paraId="06867A73">
            <w:pPr>
              <w:jc w:val="center"/>
              <w:rPr>
                <w:rFonts w:ascii="宋体" w:hAnsi="宋体" w:cs="宋体"/>
                <w:color w:val="auto"/>
                <w:sz w:val="24"/>
                <w:highlight w:val="none"/>
              </w:rPr>
            </w:pPr>
            <w:r>
              <w:rPr>
                <w:rFonts w:hint="eastAsia" w:ascii="宋体" w:hAnsi="宋体" w:cs="宋体"/>
                <w:color w:val="auto"/>
                <w:sz w:val="24"/>
                <w:highlight w:val="none"/>
              </w:rPr>
              <w:t>8</w:t>
            </w:r>
          </w:p>
        </w:tc>
        <w:tc>
          <w:tcPr>
            <w:tcW w:w="3550" w:type="dxa"/>
            <w:vAlign w:val="center"/>
          </w:tcPr>
          <w:p w14:paraId="16683F44">
            <w:pPr>
              <w:jc w:val="center"/>
              <w:rPr>
                <w:rFonts w:ascii="宋体" w:hAnsi="宋体" w:cs="宋体"/>
                <w:color w:val="auto"/>
                <w:sz w:val="24"/>
                <w:highlight w:val="none"/>
              </w:rPr>
            </w:pPr>
          </w:p>
        </w:tc>
        <w:tc>
          <w:tcPr>
            <w:tcW w:w="3200" w:type="dxa"/>
            <w:vAlign w:val="center"/>
          </w:tcPr>
          <w:p w14:paraId="7F459762">
            <w:pPr>
              <w:jc w:val="center"/>
              <w:rPr>
                <w:rFonts w:ascii="宋体" w:hAnsi="宋体" w:cs="宋体"/>
                <w:color w:val="auto"/>
                <w:sz w:val="24"/>
                <w:highlight w:val="none"/>
              </w:rPr>
            </w:pPr>
          </w:p>
        </w:tc>
        <w:tc>
          <w:tcPr>
            <w:tcW w:w="916" w:type="dxa"/>
            <w:vAlign w:val="center"/>
          </w:tcPr>
          <w:p w14:paraId="1F6191FC">
            <w:pPr>
              <w:jc w:val="center"/>
              <w:rPr>
                <w:rFonts w:ascii="宋体" w:hAnsi="宋体" w:cs="宋体"/>
                <w:color w:val="auto"/>
                <w:sz w:val="24"/>
                <w:highlight w:val="none"/>
              </w:rPr>
            </w:pPr>
          </w:p>
        </w:tc>
        <w:tc>
          <w:tcPr>
            <w:tcW w:w="1219" w:type="dxa"/>
            <w:vAlign w:val="center"/>
          </w:tcPr>
          <w:p w14:paraId="4146A632">
            <w:pPr>
              <w:jc w:val="center"/>
              <w:rPr>
                <w:rFonts w:ascii="宋体" w:hAnsi="宋体" w:cs="宋体"/>
                <w:color w:val="auto"/>
                <w:sz w:val="24"/>
                <w:highlight w:val="none"/>
              </w:rPr>
            </w:pPr>
          </w:p>
        </w:tc>
      </w:tr>
      <w:tr w14:paraId="46C1A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trPr>
        <w:tc>
          <w:tcPr>
            <w:tcW w:w="834" w:type="dxa"/>
            <w:vAlign w:val="center"/>
          </w:tcPr>
          <w:p w14:paraId="2258B5E1">
            <w:pPr>
              <w:jc w:val="center"/>
              <w:rPr>
                <w:rFonts w:ascii="宋体" w:hAnsi="宋体" w:cs="宋体"/>
                <w:color w:val="auto"/>
                <w:sz w:val="24"/>
                <w:highlight w:val="none"/>
              </w:rPr>
            </w:pPr>
            <w:r>
              <w:rPr>
                <w:rFonts w:hint="eastAsia" w:ascii="宋体" w:hAnsi="宋体" w:cs="宋体"/>
                <w:color w:val="auto"/>
                <w:sz w:val="24"/>
                <w:highlight w:val="none"/>
              </w:rPr>
              <w:t>9</w:t>
            </w:r>
          </w:p>
        </w:tc>
        <w:tc>
          <w:tcPr>
            <w:tcW w:w="3550" w:type="dxa"/>
            <w:vAlign w:val="center"/>
          </w:tcPr>
          <w:p w14:paraId="5DF75DD7">
            <w:pPr>
              <w:jc w:val="center"/>
              <w:rPr>
                <w:rFonts w:ascii="宋体" w:hAnsi="宋体" w:cs="宋体"/>
                <w:color w:val="auto"/>
                <w:sz w:val="24"/>
                <w:highlight w:val="none"/>
              </w:rPr>
            </w:pPr>
          </w:p>
        </w:tc>
        <w:tc>
          <w:tcPr>
            <w:tcW w:w="3200" w:type="dxa"/>
            <w:vAlign w:val="center"/>
          </w:tcPr>
          <w:p w14:paraId="78363178">
            <w:pPr>
              <w:jc w:val="center"/>
              <w:rPr>
                <w:rFonts w:ascii="宋体" w:hAnsi="宋体" w:cs="宋体"/>
                <w:color w:val="auto"/>
                <w:sz w:val="24"/>
                <w:highlight w:val="none"/>
              </w:rPr>
            </w:pPr>
          </w:p>
        </w:tc>
        <w:tc>
          <w:tcPr>
            <w:tcW w:w="916" w:type="dxa"/>
            <w:vAlign w:val="center"/>
          </w:tcPr>
          <w:p w14:paraId="33CEB6AB">
            <w:pPr>
              <w:jc w:val="center"/>
              <w:rPr>
                <w:rFonts w:ascii="宋体" w:hAnsi="宋体" w:cs="宋体"/>
                <w:color w:val="auto"/>
                <w:sz w:val="24"/>
                <w:highlight w:val="none"/>
              </w:rPr>
            </w:pPr>
          </w:p>
        </w:tc>
        <w:tc>
          <w:tcPr>
            <w:tcW w:w="1219" w:type="dxa"/>
            <w:vAlign w:val="center"/>
          </w:tcPr>
          <w:p w14:paraId="75DA0CE1">
            <w:pPr>
              <w:jc w:val="center"/>
              <w:rPr>
                <w:rFonts w:ascii="宋体" w:hAnsi="宋体" w:cs="宋体"/>
                <w:color w:val="auto"/>
                <w:sz w:val="24"/>
                <w:highlight w:val="none"/>
              </w:rPr>
            </w:pPr>
          </w:p>
        </w:tc>
      </w:tr>
      <w:tr w14:paraId="10128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trPr>
        <w:tc>
          <w:tcPr>
            <w:tcW w:w="834" w:type="dxa"/>
            <w:vAlign w:val="center"/>
          </w:tcPr>
          <w:p w14:paraId="7A0F1595">
            <w:pPr>
              <w:jc w:val="center"/>
              <w:rPr>
                <w:rFonts w:ascii="宋体" w:hAnsi="宋体" w:cs="宋体"/>
                <w:color w:val="auto"/>
                <w:sz w:val="24"/>
                <w:highlight w:val="none"/>
              </w:rPr>
            </w:pPr>
            <w:r>
              <w:rPr>
                <w:rFonts w:hint="eastAsia" w:ascii="宋体" w:hAnsi="宋体" w:cs="宋体"/>
                <w:color w:val="auto"/>
                <w:sz w:val="24"/>
                <w:highlight w:val="none"/>
              </w:rPr>
              <w:t>10</w:t>
            </w:r>
          </w:p>
        </w:tc>
        <w:tc>
          <w:tcPr>
            <w:tcW w:w="3550" w:type="dxa"/>
            <w:vAlign w:val="center"/>
          </w:tcPr>
          <w:p w14:paraId="27EE1133">
            <w:pPr>
              <w:jc w:val="center"/>
              <w:rPr>
                <w:rFonts w:ascii="宋体" w:hAnsi="宋体" w:cs="宋体"/>
                <w:color w:val="auto"/>
                <w:sz w:val="24"/>
                <w:highlight w:val="none"/>
              </w:rPr>
            </w:pPr>
          </w:p>
        </w:tc>
        <w:tc>
          <w:tcPr>
            <w:tcW w:w="3200" w:type="dxa"/>
            <w:vAlign w:val="center"/>
          </w:tcPr>
          <w:p w14:paraId="72CE0DFC">
            <w:pPr>
              <w:jc w:val="center"/>
              <w:rPr>
                <w:rFonts w:ascii="宋体" w:hAnsi="宋体" w:cs="宋体"/>
                <w:color w:val="auto"/>
                <w:sz w:val="24"/>
                <w:highlight w:val="none"/>
              </w:rPr>
            </w:pPr>
          </w:p>
        </w:tc>
        <w:tc>
          <w:tcPr>
            <w:tcW w:w="916" w:type="dxa"/>
            <w:vAlign w:val="center"/>
          </w:tcPr>
          <w:p w14:paraId="73B596DF">
            <w:pPr>
              <w:jc w:val="center"/>
              <w:rPr>
                <w:rFonts w:ascii="宋体" w:hAnsi="宋体" w:cs="宋体"/>
                <w:color w:val="auto"/>
                <w:sz w:val="24"/>
                <w:highlight w:val="none"/>
              </w:rPr>
            </w:pPr>
          </w:p>
        </w:tc>
        <w:tc>
          <w:tcPr>
            <w:tcW w:w="1219" w:type="dxa"/>
            <w:vAlign w:val="center"/>
          </w:tcPr>
          <w:p w14:paraId="29F20763">
            <w:pPr>
              <w:jc w:val="center"/>
              <w:rPr>
                <w:rFonts w:ascii="宋体" w:hAnsi="宋体" w:cs="宋体"/>
                <w:color w:val="auto"/>
                <w:sz w:val="24"/>
                <w:highlight w:val="none"/>
              </w:rPr>
            </w:pPr>
          </w:p>
        </w:tc>
      </w:tr>
      <w:tr w14:paraId="1CA7D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trPr>
        <w:tc>
          <w:tcPr>
            <w:tcW w:w="834" w:type="dxa"/>
            <w:vAlign w:val="center"/>
          </w:tcPr>
          <w:p w14:paraId="26B260A1">
            <w:pPr>
              <w:jc w:val="center"/>
              <w:rPr>
                <w:rFonts w:ascii="宋体" w:hAnsi="宋体" w:cs="宋体"/>
                <w:color w:val="auto"/>
                <w:sz w:val="24"/>
                <w:highlight w:val="none"/>
              </w:rPr>
            </w:pPr>
            <w:r>
              <w:rPr>
                <w:rFonts w:hint="eastAsia" w:ascii="宋体" w:hAnsi="宋体" w:cs="宋体"/>
                <w:color w:val="auto"/>
                <w:sz w:val="24"/>
                <w:highlight w:val="none"/>
              </w:rPr>
              <w:t>11</w:t>
            </w:r>
          </w:p>
        </w:tc>
        <w:tc>
          <w:tcPr>
            <w:tcW w:w="3550" w:type="dxa"/>
            <w:vAlign w:val="center"/>
          </w:tcPr>
          <w:p w14:paraId="2C02DED0">
            <w:pPr>
              <w:jc w:val="center"/>
              <w:rPr>
                <w:rFonts w:ascii="宋体" w:hAnsi="宋体" w:cs="宋体"/>
                <w:color w:val="auto"/>
                <w:sz w:val="24"/>
                <w:highlight w:val="none"/>
              </w:rPr>
            </w:pPr>
          </w:p>
        </w:tc>
        <w:tc>
          <w:tcPr>
            <w:tcW w:w="3200" w:type="dxa"/>
            <w:vAlign w:val="center"/>
          </w:tcPr>
          <w:p w14:paraId="1503F541">
            <w:pPr>
              <w:jc w:val="center"/>
              <w:rPr>
                <w:rFonts w:ascii="宋体" w:hAnsi="宋体" w:cs="宋体"/>
                <w:color w:val="auto"/>
                <w:sz w:val="24"/>
                <w:highlight w:val="none"/>
              </w:rPr>
            </w:pPr>
          </w:p>
        </w:tc>
        <w:tc>
          <w:tcPr>
            <w:tcW w:w="916" w:type="dxa"/>
            <w:vAlign w:val="center"/>
          </w:tcPr>
          <w:p w14:paraId="6B30E9D9">
            <w:pPr>
              <w:jc w:val="center"/>
              <w:rPr>
                <w:rFonts w:ascii="宋体" w:hAnsi="宋体" w:cs="宋体"/>
                <w:color w:val="auto"/>
                <w:sz w:val="24"/>
                <w:highlight w:val="none"/>
              </w:rPr>
            </w:pPr>
          </w:p>
        </w:tc>
        <w:tc>
          <w:tcPr>
            <w:tcW w:w="1219" w:type="dxa"/>
            <w:vAlign w:val="center"/>
          </w:tcPr>
          <w:p w14:paraId="14824FF5">
            <w:pPr>
              <w:jc w:val="center"/>
              <w:rPr>
                <w:rFonts w:ascii="宋体" w:hAnsi="宋体" w:cs="宋体"/>
                <w:color w:val="auto"/>
                <w:sz w:val="24"/>
                <w:highlight w:val="none"/>
              </w:rPr>
            </w:pPr>
          </w:p>
        </w:tc>
      </w:tr>
      <w:tr w14:paraId="75DFC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trPr>
        <w:tc>
          <w:tcPr>
            <w:tcW w:w="834" w:type="dxa"/>
            <w:vAlign w:val="center"/>
          </w:tcPr>
          <w:p w14:paraId="6DAC9FAA">
            <w:pPr>
              <w:jc w:val="center"/>
              <w:rPr>
                <w:rFonts w:ascii="宋体" w:hAnsi="宋体" w:cs="宋体"/>
                <w:color w:val="auto"/>
                <w:sz w:val="24"/>
                <w:highlight w:val="none"/>
              </w:rPr>
            </w:pPr>
            <w:r>
              <w:rPr>
                <w:rFonts w:hint="eastAsia" w:ascii="宋体" w:hAnsi="宋体" w:cs="宋体"/>
                <w:color w:val="auto"/>
                <w:sz w:val="24"/>
                <w:highlight w:val="none"/>
              </w:rPr>
              <w:t>12</w:t>
            </w:r>
          </w:p>
        </w:tc>
        <w:tc>
          <w:tcPr>
            <w:tcW w:w="3550" w:type="dxa"/>
            <w:vAlign w:val="center"/>
          </w:tcPr>
          <w:p w14:paraId="128973EE">
            <w:pPr>
              <w:jc w:val="center"/>
              <w:rPr>
                <w:rFonts w:ascii="宋体" w:hAnsi="宋体" w:cs="宋体"/>
                <w:color w:val="auto"/>
                <w:sz w:val="24"/>
                <w:highlight w:val="none"/>
              </w:rPr>
            </w:pPr>
          </w:p>
        </w:tc>
        <w:tc>
          <w:tcPr>
            <w:tcW w:w="3200" w:type="dxa"/>
            <w:vAlign w:val="center"/>
          </w:tcPr>
          <w:p w14:paraId="7B8C166C">
            <w:pPr>
              <w:jc w:val="center"/>
              <w:rPr>
                <w:rFonts w:ascii="宋体" w:hAnsi="宋体" w:cs="宋体"/>
                <w:color w:val="auto"/>
                <w:sz w:val="24"/>
                <w:highlight w:val="none"/>
              </w:rPr>
            </w:pPr>
          </w:p>
        </w:tc>
        <w:tc>
          <w:tcPr>
            <w:tcW w:w="916" w:type="dxa"/>
            <w:vAlign w:val="center"/>
          </w:tcPr>
          <w:p w14:paraId="0C066163">
            <w:pPr>
              <w:jc w:val="center"/>
              <w:rPr>
                <w:rFonts w:ascii="宋体" w:hAnsi="宋体" w:cs="宋体"/>
                <w:color w:val="auto"/>
                <w:sz w:val="24"/>
                <w:highlight w:val="none"/>
              </w:rPr>
            </w:pPr>
          </w:p>
        </w:tc>
        <w:tc>
          <w:tcPr>
            <w:tcW w:w="1219" w:type="dxa"/>
            <w:vAlign w:val="center"/>
          </w:tcPr>
          <w:p w14:paraId="3A8C5296">
            <w:pPr>
              <w:jc w:val="center"/>
              <w:rPr>
                <w:rFonts w:ascii="宋体" w:hAnsi="宋体" w:cs="宋体"/>
                <w:color w:val="auto"/>
                <w:sz w:val="24"/>
                <w:highlight w:val="none"/>
              </w:rPr>
            </w:pPr>
          </w:p>
        </w:tc>
      </w:tr>
      <w:tr w14:paraId="7600E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trPr>
        <w:tc>
          <w:tcPr>
            <w:tcW w:w="834" w:type="dxa"/>
            <w:vAlign w:val="center"/>
          </w:tcPr>
          <w:p w14:paraId="51B93902">
            <w:pPr>
              <w:jc w:val="center"/>
              <w:rPr>
                <w:rFonts w:ascii="宋体" w:hAnsi="宋体" w:cs="宋体"/>
                <w:color w:val="auto"/>
                <w:sz w:val="24"/>
                <w:highlight w:val="none"/>
              </w:rPr>
            </w:pPr>
            <w:r>
              <w:rPr>
                <w:rFonts w:hint="eastAsia" w:ascii="宋体" w:hAnsi="宋体" w:cs="宋体"/>
                <w:color w:val="auto"/>
                <w:sz w:val="24"/>
                <w:highlight w:val="none"/>
              </w:rPr>
              <w:t>13</w:t>
            </w:r>
          </w:p>
        </w:tc>
        <w:tc>
          <w:tcPr>
            <w:tcW w:w="3550" w:type="dxa"/>
            <w:vAlign w:val="center"/>
          </w:tcPr>
          <w:p w14:paraId="59B519A9">
            <w:pPr>
              <w:jc w:val="center"/>
              <w:rPr>
                <w:rFonts w:ascii="宋体" w:hAnsi="宋体" w:cs="宋体"/>
                <w:color w:val="auto"/>
                <w:sz w:val="24"/>
                <w:highlight w:val="none"/>
              </w:rPr>
            </w:pPr>
          </w:p>
        </w:tc>
        <w:tc>
          <w:tcPr>
            <w:tcW w:w="3200" w:type="dxa"/>
            <w:vAlign w:val="center"/>
          </w:tcPr>
          <w:p w14:paraId="21A903FF">
            <w:pPr>
              <w:jc w:val="center"/>
              <w:rPr>
                <w:rFonts w:ascii="宋体" w:hAnsi="宋体" w:cs="宋体"/>
                <w:color w:val="auto"/>
                <w:sz w:val="24"/>
                <w:highlight w:val="none"/>
              </w:rPr>
            </w:pPr>
          </w:p>
        </w:tc>
        <w:tc>
          <w:tcPr>
            <w:tcW w:w="916" w:type="dxa"/>
            <w:vAlign w:val="center"/>
          </w:tcPr>
          <w:p w14:paraId="503A5A27">
            <w:pPr>
              <w:jc w:val="center"/>
              <w:rPr>
                <w:rFonts w:ascii="宋体" w:hAnsi="宋体" w:cs="宋体"/>
                <w:color w:val="auto"/>
                <w:sz w:val="24"/>
                <w:highlight w:val="none"/>
              </w:rPr>
            </w:pPr>
          </w:p>
        </w:tc>
        <w:tc>
          <w:tcPr>
            <w:tcW w:w="1219" w:type="dxa"/>
            <w:vAlign w:val="center"/>
          </w:tcPr>
          <w:p w14:paraId="418611A7">
            <w:pPr>
              <w:jc w:val="center"/>
              <w:rPr>
                <w:rFonts w:ascii="宋体" w:hAnsi="宋体" w:cs="宋体"/>
                <w:color w:val="auto"/>
                <w:sz w:val="24"/>
                <w:highlight w:val="none"/>
              </w:rPr>
            </w:pPr>
          </w:p>
        </w:tc>
      </w:tr>
      <w:tr w14:paraId="38B56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834" w:type="dxa"/>
            <w:vAlign w:val="center"/>
          </w:tcPr>
          <w:p w14:paraId="3BDAD3B6">
            <w:pPr>
              <w:jc w:val="center"/>
              <w:rPr>
                <w:rFonts w:ascii="宋体" w:hAnsi="宋体" w:cs="宋体"/>
                <w:color w:val="auto"/>
                <w:sz w:val="24"/>
                <w:highlight w:val="none"/>
              </w:rPr>
            </w:pPr>
            <w:r>
              <w:rPr>
                <w:rFonts w:hint="eastAsia" w:ascii="宋体" w:hAnsi="宋体" w:cs="宋体"/>
                <w:color w:val="auto"/>
                <w:sz w:val="24"/>
                <w:highlight w:val="none"/>
              </w:rPr>
              <w:t>……</w:t>
            </w:r>
          </w:p>
        </w:tc>
        <w:tc>
          <w:tcPr>
            <w:tcW w:w="3550" w:type="dxa"/>
            <w:vAlign w:val="center"/>
          </w:tcPr>
          <w:p w14:paraId="754CAADA">
            <w:pPr>
              <w:jc w:val="center"/>
              <w:rPr>
                <w:rFonts w:ascii="宋体" w:hAnsi="宋体" w:cs="宋体"/>
                <w:color w:val="auto"/>
                <w:sz w:val="24"/>
                <w:highlight w:val="none"/>
              </w:rPr>
            </w:pPr>
          </w:p>
        </w:tc>
        <w:tc>
          <w:tcPr>
            <w:tcW w:w="3200" w:type="dxa"/>
            <w:vAlign w:val="center"/>
          </w:tcPr>
          <w:p w14:paraId="7552869D">
            <w:pPr>
              <w:jc w:val="center"/>
              <w:rPr>
                <w:rFonts w:ascii="宋体" w:hAnsi="宋体" w:cs="宋体"/>
                <w:color w:val="auto"/>
                <w:sz w:val="24"/>
                <w:highlight w:val="none"/>
              </w:rPr>
            </w:pPr>
          </w:p>
        </w:tc>
        <w:tc>
          <w:tcPr>
            <w:tcW w:w="916" w:type="dxa"/>
            <w:vAlign w:val="center"/>
          </w:tcPr>
          <w:p w14:paraId="012560CE">
            <w:pPr>
              <w:jc w:val="center"/>
              <w:rPr>
                <w:rFonts w:ascii="宋体" w:hAnsi="宋体" w:cs="宋体"/>
                <w:color w:val="auto"/>
                <w:sz w:val="24"/>
                <w:highlight w:val="none"/>
              </w:rPr>
            </w:pPr>
          </w:p>
        </w:tc>
        <w:tc>
          <w:tcPr>
            <w:tcW w:w="1219" w:type="dxa"/>
            <w:vAlign w:val="center"/>
          </w:tcPr>
          <w:p w14:paraId="1C309B9C">
            <w:pPr>
              <w:jc w:val="center"/>
              <w:rPr>
                <w:rFonts w:ascii="宋体" w:hAnsi="宋体" w:cs="宋体"/>
                <w:color w:val="auto"/>
                <w:sz w:val="24"/>
                <w:highlight w:val="none"/>
              </w:rPr>
            </w:pPr>
          </w:p>
        </w:tc>
      </w:tr>
    </w:tbl>
    <w:p w14:paraId="22FF274D">
      <w:pPr>
        <w:rPr>
          <w:rFonts w:ascii="宋体" w:hAnsi="宋体" w:cs="宋体"/>
          <w:color w:val="auto"/>
          <w:sz w:val="24"/>
          <w:highlight w:val="none"/>
        </w:rPr>
      </w:pPr>
    </w:p>
    <w:p w14:paraId="34733990">
      <w:pPr>
        <w:rPr>
          <w:rFonts w:ascii="宋体" w:hAnsi="宋体" w:cs="宋体"/>
          <w:color w:val="auto"/>
          <w:sz w:val="24"/>
          <w:highlight w:val="none"/>
        </w:rPr>
      </w:pPr>
    </w:p>
    <w:p w14:paraId="18EA88C9">
      <w:pPr>
        <w:rPr>
          <w:rFonts w:ascii="宋体" w:hAnsi="宋体" w:cs="宋体"/>
          <w:color w:val="auto"/>
          <w:sz w:val="24"/>
          <w:highlight w:val="none"/>
        </w:rPr>
      </w:pPr>
    </w:p>
    <w:p w14:paraId="45A92DD2">
      <w:pPr>
        <w:rPr>
          <w:rFonts w:ascii="宋体" w:hAnsi="宋体" w:cs="宋体"/>
          <w:color w:val="auto"/>
          <w:sz w:val="24"/>
          <w:highlight w:val="none"/>
        </w:rPr>
      </w:pPr>
      <w:r>
        <w:rPr>
          <w:rFonts w:hint="eastAsia" w:ascii="宋体" w:hAnsi="宋体" w:cs="宋体"/>
          <w:color w:val="auto"/>
          <w:sz w:val="24"/>
          <w:highlight w:val="none"/>
        </w:rPr>
        <w:t>投标人名称（盖章）：                         年   月    日</w:t>
      </w:r>
    </w:p>
    <w:p w14:paraId="25165776">
      <w:pPr>
        <w:pStyle w:val="5"/>
        <w:keepNext w:val="0"/>
        <w:keepLines w:val="0"/>
        <w:pageBreakBefore/>
        <w:rPr>
          <w:rFonts w:ascii="宋体" w:hAnsi="宋体" w:eastAsia="宋体" w:cs="宋体"/>
          <w:b w:val="0"/>
          <w:color w:val="auto"/>
          <w:sz w:val="24"/>
          <w:szCs w:val="24"/>
          <w:highlight w:val="none"/>
        </w:rPr>
      </w:pPr>
      <w:bookmarkStart w:id="73" w:name="_Toc18205"/>
      <w:r>
        <w:rPr>
          <w:rFonts w:hint="eastAsia" w:ascii="宋体" w:hAnsi="宋体" w:eastAsia="宋体" w:cs="宋体"/>
          <w:b w:val="0"/>
          <w:color w:val="auto"/>
          <w:sz w:val="24"/>
          <w:szCs w:val="24"/>
          <w:highlight w:val="none"/>
        </w:rPr>
        <w:t>附件八：商务响应表</w:t>
      </w:r>
      <w:bookmarkEnd w:id="73"/>
    </w:p>
    <w:p w14:paraId="6136C03C">
      <w:pPr>
        <w:snapToGrid w:val="0"/>
        <w:spacing w:line="360" w:lineRule="auto"/>
        <w:jc w:val="center"/>
        <w:rPr>
          <w:rFonts w:ascii="宋体" w:hAnsi="宋体" w:cs="宋体"/>
          <w:b/>
          <w:color w:val="auto"/>
          <w:kern w:val="0"/>
          <w:sz w:val="32"/>
          <w:szCs w:val="32"/>
          <w:highlight w:val="none"/>
        </w:rPr>
      </w:pPr>
      <w:bookmarkStart w:id="74" w:name="_Toc496598991"/>
      <w:r>
        <w:rPr>
          <w:rFonts w:hint="eastAsia" w:ascii="宋体" w:hAnsi="宋体" w:cs="宋体"/>
          <w:b/>
          <w:color w:val="auto"/>
          <w:kern w:val="0"/>
          <w:sz w:val="32"/>
          <w:szCs w:val="32"/>
          <w:highlight w:val="none"/>
        </w:rPr>
        <w:t>商务响应表</w:t>
      </w:r>
    </w:p>
    <w:p w14:paraId="34E751E7">
      <w:pPr>
        <w:snapToGrid w:val="0"/>
        <w:spacing w:before="50" w:after="120" w:afterLines="50"/>
        <w:jc w:val="left"/>
        <w:rPr>
          <w:rFonts w:ascii="宋体" w:hAnsi="宋体" w:cs="宋体"/>
          <w:color w:val="auto"/>
          <w:sz w:val="24"/>
          <w:highlight w:val="none"/>
          <w:u w:val="single"/>
        </w:rPr>
      </w:pPr>
    </w:p>
    <w:tbl>
      <w:tblPr>
        <w:tblStyle w:val="23"/>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703"/>
        <w:gridCol w:w="2969"/>
        <w:gridCol w:w="1386"/>
        <w:gridCol w:w="3321"/>
      </w:tblGrid>
      <w:tr w14:paraId="5834089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6" w:hRule="atLeast"/>
        </w:trPr>
        <w:tc>
          <w:tcPr>
            <w:tcW w:w="1703" w:type="dxa"/>
            <w:tcBorders>
              <w:top w:val="single" w:color="auto" w:sz="4" w:space="0"/>
              <w:left w:val="single" w:color="auto" w:sz="4" w:space="0"/>
              <w:bottom w:val="single" w:color="auto" w:sz="4" w:space="0"/>
              <w:right w:val="single" w:color="auto" w:sz="4" w:space="0"/>
            </w:tcBorders>
            <w:vAlign w:val="center"/>
          </w:tcPr>
          <w:p w14:paraId="68CDE81D">
            <w:pPr>
              <w:jc w:val="center"/>
              <w:rPr>
                <w:rFonts w:ascii="宋体" w:hAnsi="宋体" w:cs="宋体"/>
                <w:color w:val="auto"/>
                <w:sz w:val="24"/>
                <w:highlight w:val="none"/>
              </w:rPr>
            </w:pPr>
            <w:r>
              <w:rPr>
                <w:rFonts w:hint="eastAsia" w:ascii="宋体" w:hAnsi="宋体" w:cs="宋体"/>
                <w:color w:val="auto"/>
                <w:sz w:val="24"/>
                <w:highlight w:val="none"/>
              </w:rPr>
              <w:t>项目</w:t>
            </w:r>
          </w:p>
        </w:tc>
        <w:tc>
          <w:tcPr>
            <w:tcW w:w="2969" w:type="dxa"/>
            <w:tcBorders>
              <w:top w:val="single" w:color="auto" w:sz="4" w:space="0"/>
              <w:left w:val="single" w:color="auto" w:sz="4" w:space="0"/>
              <w:bottom w:val="single" w:color="auto" w:sz="4" w:space="0"/>
              <w:right w:val="single" w:color="auto" w:sz="4" w:space="0"/>
            </w:tcBorders>
            <w:vAlign w:val="center"/>
          </w:tcPr>
          <w:p w14:paraId="1F3DCF24">
            <w:pPr>
              <w:jc w:val="center"/>
              <w:rPr>
                <w:rFonts w:ascii="宋体" w:hAnsi="宋体" w:cs="宋体"/>
                <w:color w:val="auto"/>
                <w:sz w:val="24"/>
                <w:highlight w:val="none"/>
              </w:rPr>
            </w:pPr>
            <w:r>
              <w:rPr>
                <w:rFonts w:hint="eastAsia" w:ascii="宋体" w:hAnsi="宋体" w:cs="宋体"/>
                <w:color w:val="auto"/>
                <w:sz w:val="24"/>
                <w:highlight w:val="none"/>
              </w:rPr>
              <w:t>招标文件要求</w:t>
            </w:r>
          </w:p>
        </w:tc>
        <w:tc>
          <w:tcPr>
            <w:tcW w:w="1386" w:type="dxa"/>
            <w:tcBorders>
              <w:top w:val="single" w:color="auto" w:sz="4" w:space="0"/>
              <w:left w:val="single" w:color="auto" w:sz="4" w:space="0"/>
              <w:bottom w:val="single" w:color="auto" w:sz="4" w:space="0"/>
              <w:right w:val="single" w:color="auto" w:sz="4" w:space="0"/>
            </w:tcBorders>
            <w:vAlign w:val="center"/>
          </w:tcPr>
          <w:p w14:paraId="1066BB55">
            <w:pPr>
              <w:jc w:val="center"/>
              <w:rPr>
                <w:rFonts w:ascii="宋体" w:hAnsi="宋体" w:cs="宋体"/>
                <w:color w:val="auto"/>
                <w:sz w:val="24"/>
                <w:highlight w:val="none"/>
              </w:rPr>
            </w:pPr>
            <w:r>
              <w:rPr>
                <w:rFonts w:hint="eastAsia" w:ascii="宋体" w:hAnsi="宋体" w:cs="宋体"/>
                <w:color w:val="auto"/>
                <w:sz w:val="24"/>
                <w:highlight w:val="none"/>
              </w:rPr>
              <w:t>响应及偏离情况</w:t>
            </w:r>
          </w:p>
        </w:tc>
        <w:tc>
          <w:tcPr>
            <w:tcW w:w="3321" w:type="dxa"/>
            <w:tcBorders>
              <w:top w:val="single" w:color="auto" w:sz="4" w:space="0"/>
              <w:left w:val="single" w:color="auto" w:sz="4" w:space="0"/>
              <w:bottom w:val="single" w:color="auto" w:sz="4" w:space="0"/>
              <w:right w:val="single" w:color="auto" w:sz="4" w:space="0"/>
            </w:tcBorders>
            <w:vAlign w:val="center"/>
          </w:tcPr>
          <w:p w14:paraId="48AE6558">
            <w:pPr>
              <w:jc w:val="center"/>
              <w:rPr>
                <w:rFonts w:ascii="宋体" w:hAnsi="宋体" w:cs="宋体"/>
                <w:color w:val="auto"/>
                <w:sz w:val="24"/>
                <w:highlight w:val="none"/>
              </w:rPr>
            </w:pPr>
            <w:r>
              <w:rPr>
                <w:rFonts w:hint="eastAsia" w:ascii="宋体" w:hAnsi="宋体" w:cs="宋体"/>
                <w:color w:val="auto"/>
                <w:sz w:val="24"/>
                <w:highlight w:val="none"/>
              </w:rPr>
              <w:t>投标人的承诺或说明</w:t>
            </w:r>
          </w:p>
        </w:tc>
      </w:tr>
      <w:tr w14:paraId="1D1B3BC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6" w:hRule="atLeast"/>
        </w:trPr>
        <w:tc>
          <w:tcPr>
            <w:tcW w:w="1703" w:type="dxa"/>
            <w:tcBorders>
              <w:top w:val="single" w:color="auto" w:sz="4" w:space="0"/>
              <w:left w:val="single" w:color="auto" w:sz="4" w:space="0"/>
              <w:bottom w:val="single" w:color="auto" w:sz="4" w:space="0"/>
              <w:right w:val="single" w:color="auto" w:sz="4" w:space="0"/>
            </w:tcBorders>
            <w:vAlign w:val="center"/>
          </w:tcPr>
          <w:p w14:paraId="5BB560AB">
            <w:pPr>
              <w:rPr>
                <w:rFonts w:ascii="宋体" w:hAnsi="宋体" w:cs="宋体"/>
                <w:color w:val="auto"/>
                <w:sz w:val="24"/>
                <w:highlight w:val="none"/>
              </w:rPr>
            </w:pPr>
          </w:p>
        </w:tc>
        <w:tc>
          <w:tcPr>
            <w:tcW w:w="2969" w:type="dxa"/>
            <w:tcBorders>
              <w:top w:val="single" w:color="auto" w:sz="4" w:space="0"/>
              <w:left w:val="single" w:color="auto" w:sz="4" w:space="0"/>
              <w:bottom w:val="single" w:color="auto" w:sz="4" w:space="0"/>
              <w:right w:val="single" w:color="auto" w:sz="4" w:space="0"/>
            </w:tcBorders>
          </w:tcPr>
          <w:p w14:paraId="4C48C351">
            <w:pPr>
              <w:rPr>
                <w:rFonts w:ascii="宋体" w:hAnsi="宋体" w:cs="宋体"/>
                <w:color w:val="auto"/>
                <w:sz w:val="24"/>
                <w:highlight w:val="none"/>
              </w:rPr>
            </w:pPr>
          </w:p>
        </w:tc>
        <w:tc>
          <w:tcPr>
            <w:tcW w:w="1386" w:type="dxa"/>
            <w:tcBorders>
              <w:top w:val="single" w:color="auto" w:sz="4" w:space="0"/>
              <w:left w:val="single" w:color="auto" w:sz="4" w:space="0"/>
              <w:bottom w:val="single" w:color="auto" w:sz="4" w:space="0"/>
              <w:right w:val="single" w:color="auto" w:sz="4" w:space="0"/>
            </w:tcBorders>
          </w:tcPr>
          <w:p w14:paraId="5E616666">
            <w:pPr>
              <w:rPr>
                <w:rFonts w:ascii="宋体" w:hAnsi="宋体" w:cs="宋体"/>
                <w:color w:val="auto"/>
                <w:sz w:val="24"/>
                <w:highlight w:val="none"/>
              </w:rPr>
            </w:pPr>
          </w:p>
        </w:tc>
        <w:tc>
          <w:tcPr>
            <w:tcW w:w="3321" w:type="dxa"/>
            <w:tcBorders>
              <w:top w:val="single" w:color="auto" w:sz="4" w:space="0"/>
              <w:left w:val="single" w:color="auto" w:sz="4" w:space="0"/>
              <w:bottom w:val="single" w:color="auto" w:sz="4" w:space="0"/>
              <w:right w:val="single" w:color="auto" w:sz="4" w:space="0"/>
            </w:tcBorders>
          </w:tcPr>
          <w:p w14:paraId="4B07C18C">
            <w:pPr>
              <w:rPr>
                <w:rFonts w:ascii="宋体" w:hAnsi="宋体" w:cs="宋体"/>
                <w:color w:val="auto"/>
                <w:sz w:val="24"/>
                <w:highlight w:val="none"/>
              </w:rPr>
            </w:pPr>
          </w:p>
        </w:tc>
      </w:tr>
      <w:tr w14:paraId="5C16A15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6" w:hRule="atLeast"/>
        </w:trPr>
        <w:tc>
          <w:tcPr>
            <w:tcW w:w="1703" w:type="dxa"/>
            <w:tcBorders>
              <w:top w:val="single" w:color="auto" w:sz="4" w:space="0"/>
              <w:left w:val="single" w:color="auto" w:sz="4" w:space="0"/>
              <w:bottom w:val="single" w:color="auto" w:sz="4" w:space="0"/>
              <w:right w:val="single" w:color="auto" w:sz="4" w:space="0"/>
            </w:tcBorders>
            <w:vAlign w:val="center"/>
          </w:tcPr>
          <w:p w14:paraId="7B0C91E9">
            <w:pPr>
              <w:rPr>
                <w:rFonts w:ascii="宋体" w:hAnsi="宋体" w:cs="宋体"/>
                <w:color w:val="auto"/>
                <w:sz w:val="24"/>
                <w:highlight w:val="none"/>
              </w:rPr>
            </w:pPr>
          </w:p>
        </w:tc>
        <w:tc>
          <w:tcPr>
            <w:tcW w:w="2969" w:type="dxa"/>
            <w:tcBorders>
              <w:top w:val="single" w:color="auto" w:sz="4" w:space="0"/>
              <w:left w:val="single" w:color="auto" w:sz="4" w:space="0"/>
              <w:bottom w:val="single" w:color="auto" w:sz="4" w:space="0"/>
              <w:right w:val="single" w:color="auto" w:sz="4" w:space="0"/>
            </w:tcBorders>
          </w:tcPr>
          <w:p w14:paraId="3575656F">
            <w:pPr>
              <w:rPr>
                <w:rFonts w:ascii="宋体" w:hAnsi="宋体" w:cs="宋体"/>
                <w:color w:val="auto"/>
                <w:sz w:val="24"/>
                <w:highlight w:val="none"/>
              </w:rPr>
            </w:pPr>
          </w:p>
        </w:tc>
        <w:tc>
          <w:tcPr>
            <w:tcW w:w="1386" w:type="dxa"/>
            <w:tcBorders>
              <w:top w:val="single" w:color="auto" w:sz="4" w:space="0"/>
              <w:left w:val="single" w:color="auto" w:sz="4" w:space="0"/>
              <w:bottom w:val="single" w:color="auto" w:sz="4" w:space="0"/>
              <w:right w:val="single" w:color="auto" w:sz="4" w:space="0"/>
            </w:tcBorders>
          </w:tcPr>
          <w:p w14:paraId="1DB9EC67">
            <w:pPr>
              <w:rPr>
                <w:rFonts w:ascii="宋体" w:hAnsi="宋体" w:cs="宋体"/>
                <w:color w:val="auto"/>
                <w:sz w:val="24"/>
                <w:highlight w:val="none"/>
              </w:rPr>
            </w:pPr>
          </w:p>
        </w:tc>
        <w:tc>
          <w:tcPr>
            <w:tcW w:w="3321" w:type="dxa"/>
            <w:tcBorders>
              <w:top w:val="single" w:color="auto" w:sz="4" w:space="0"/>
              <w:left w:val="single" w:color="auto" w:sz="4" w:space="0"/>
              <w:bottom w:val="single" w:color="auto" w:sz="4" w:space="0"/>
              <w:right w:val="single" w:color="auto" w:sz="4" w:space="0"/>
            </w:tcBorders>
          </w:tcPr>
          <w:p w14:paraId="0820D57B">
            <w:pPr>
              <w:rPr>
                <w:rFonts w:ascii="宋体" w:hAnsi="宋体" w:cs="宋体"/>
                <w:color w:val="auto"/>
                <w:sz w:val="24"/>
                <w:highlight w:val="none"/>
              </w:rPr>
            </w:pPr>
          </w:p>
        </w:tc>
      </w:tr>
      <w:tr w14:paraId="5B246B5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6" w:hRule="atLeast"/>
        </w:trPr>
        <w:tc>
          <w:tcPr>
            <w:tcW w:w="1703" w:type="dxa"/>
            <w:tcBorders>
              <w:top w:val="single" w:color="auto" w:sz="4" w:space="0"/>
              <w:left w:val="single" w:color="auto" w:sz="4" w:space="0"/>
              <w:bottom w:val="single" w:color="auto" w:sz="4" w:space="0"/>
              <w:right w:val="single" w:color="auto" w:sz="4" w:space="0"/>
            </w:tcBorders>
            <w:vAlign w:val="center"/>
          </w:tcPr>
          <w:p w14:paraId="2D1F8454">
            <w:pPr>
              <w:rPr>
                <w:rFonts w:ascii="宋体" w:hAnsi="宋体" w:cs="宋体"/>
                <w:color w:val="auto"/>
                <w:sz w:val="24"/>
                <w:highlight w:val="none"/>
              </w:rPr>
            </w:pPr>
          </w:p>
        </w:tc>
        <w:tc>
          <w:tcPr>
            <w:tcW w:w="2969" w:type="dxa"/>
            <w:tcBorders>
              <w:top w:val="single" w:color="auto" w:sz="4" w:space="0"/>
              <w:left w:val="single" w:color="auto" w:sz="4" w:space="0"/>
              <w:bottom w:val="single" w:color="auto" w:sz="4" w:space="0"/>
              <w:right w:val="single" w:color="auto" w:sz="4" w:space="0"/>
            </w:tcBorders>
          </w:tcPr>
          <w:p w14:paraId="0D22A713">
            <w:pPr>
              <w:rPr>
                <w:rFonts w:ascii="宋体" w:hAnsi="宋体" w:cs="宋体"/>
                <w:color w:val="auto"/>
                <w:sz w:val="24"/>
                <w:highlight w:val="none"/>
              </w:rPr>
            </w:pPr>
          </w:p>
        </w:tc>
        <w:tc>
          <w:tcPr>
            <w:tcW w:w="1386" w:type="dxa"/>
            <w:tcBorders>
              <w:top w:val="single" w:color="auto" w:sz="4" w:space="0"/>
              <w:left w:val="single" w:color="auto" w:sz="4" w:space="0"/>
              <w:bottom w:val="single" w:color="auto" w:sz="4" w:space="0"/>
              <w:right w:val="single" w:color="auto" w:sz="4" w:space="0"/>
            </w:tcBorders>
          </w:tcPr>
          <w:p w14:paraId="11CB42C8">
            <w:pPr>
              <w:rPr>
                <w:rFonts w:ascii="宋体" w:hAnsi="宋体" w:cs="宋体"/>
                <w:color w:val="auto"/>
                <w:sz w:val="24"/>
                <w:highlight w:val="none"/>
              </w:rPr>
            </w:pPr>
          </w:p>
        </w:tc>
        <w:tc>
          <w:tcPr>
            <w:tcW w:w="3321" w:type="dxa"/>
            <w:tcBorders>
              <w:top w:val="single" w:color="auto" w:sz="4" w:space="0"/>
              <w:left w:val="single" w:color="auto" w:sz="4" w:space="0"/>
              <w:bottom w:val="single" w:color="auto" w:sz="4" w:space="0"/>
              <w:right w:val="single" w:color="auto" w:sz="4" w:space="0"/>
            </w:tcBorders>
          </w:tcPr>
          <w:p w14:paraId="071E17C9">
            <w:pPr>
              <w:rPr>
                <w:rFonts w:ascii="宋体" w:hAnsi="宋体" w:cs="宋体"/>
                <w:color w:val="auto"/>
                <w:sz w:val="24"/>
                <w:highlight w:val="none"/>
              </w:rPr>
            </w:pPr>
          </w:p>
        </w:tc>
      </w:tr>
      <w:tr w14:paraId="159333C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6" w:hRule="atLeast"/>
        </w:trPr>
        <w:tc>
          <w:tcPr>
            <w:tcW w:w="1703" w:type="dxa"/>
            <w:tcBorders>
              <w:top w:val="single" w:color="auto" w:sz="4" w:space="0"/>
              <w:left w:val="single" w:color="auto" w:sz="4" w:space="0"/>
              <w:bottom w:val="single" w:color="auto" w:sz="4" w:space="0"/>
              <w:right w:val="single" w:color="auto" w:sz="4" w:space="0"/>
            </w:tcBorders>
            <w:vAlign w:val="center"/>
          </w:tcPr>
          <w:p w14:paraId="53C8A9A2">
            <w:pPr>
              <w:rPr>
                <w:rFonts w:ascii="宋体" w:hAnsi="宋体" w:cs="宋体"/>
                <w:color w:val="auto"/>
                <w:sz w:val="24"/>
                <w:highlight w:val="none"/>
              </w:rPr>
            </w:pPr>
          </w:p>
        </w:tc>
        <w:tc>
          <w:tcPr>
            <w:tcW w:w="2969" w:type="dxa"/>
            <w:tcBorders>
              <w:top w:val="single" w:color="auto" w:sz="4" w:space="0"/>
              <w:left w:val="single" w:color="auto" w:sz="4" w:space="0"/>
              <w:bottom w:val="single" w:color="auto" w:sz="4" w:space="0"/>
              <w:right w:val="single" w:color="auto" w:sz="4" w:space="0"/>
            </w:tcBorders>
          </w:tcPr>
          <w:p w14:paraId="3C010A1C">
            <w:pPr>
              <w:rPr>
                <w:rFonts w:ascii="宋体" w:hAnsi="宋体" w:cs="宋体"/>
                <w:color w:val="auto"/>
                <w:sz w:val="24"/>
                <w:highlight w:val="none"/>
              </w:rPr>
            </w:pPr>
          </w:p>
        </w:tc>
        <w:tc>
          <w:tcPr>
            <w:tcW w:w="1386" w:type="dxa"/>
            <w:tcBorders>
              <w:top w:val="single" w:color="auto" w:sz="4" w:space="0"/>
              <w:left w:val="single" w:color="auto" w:sz="4" w:space="0"/>
              <w:bottom w:val="single" w:color="auto" w:sz="4" w:space="0"/>
              <w:right w:val="single" w:color="auto" w:sz="4" w:space="0"/>
            </w:tcBorders>
          </w:tcPr>
          <w:p w14:paraId="66118221">
            <w:pPr>
              <w:rPr>
                <w:rFonts w:ascii="宋体" w:hAnsi="宋体" w:cs="宋体"/>
                <w:color w:val="auto"/>
                <w:sz w:val="24"/>
                <w:highlight w:val="none"/>
              </w:rPr>
            </w:pPr>
          </w:p>
        </w:tc>
        <w:tc>
          <w:tcPr>
            <w:tcW w:w="3321" w:type="dxa"/>
            <w:tcBorders>
              <w:top w:val="single" w:color="auto" w:sz="4" w:space="0"/>
              <w:left w:val="single" w:color="auto" w:sz="4" w:space="0"/>
              <w:bottom w:val="single" w:color="auto" w:sz="4" w:space="0"/>
              <w:right w:val="single" w:color="auto" w:sz="4" w:space="0"/>
            </w:tcBorders>
          </w:tcPr>
          <w:p w14:paraId="3803B888">
            <w:pPr>
              <w:rPr>
                <w:rFonts w:ascii="宋体" w:hAnsi="宋体" w:cs="宋体"/>
                <w:color w:val="auto"/>
                <w:sz w:val="24"/>
                <w:highlight w:val="none"/>
              </w:rPr>
            </w:pPr>
          </w:p>
        </w:tc>
      </w:tr>
      <w:tr w14:paraId="00551C1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1" w:hRule="atLeast"/>
        </w:trPr>
        <w:tc>
          <w:tcPr>
            <w:tcW w:w="1703" w:type="dxa"/>
            <w:tcBorders>
              <w:top w:val="single" w:color="auto" w:sz="4" w:space="0"/>
              <w:left w:val="single" w:color="auto" w:sz="4" w:space="0"/>
              <w:bottom w:val="single" w:color="auto" w:sz="4" w:space="0"/>
              <w:right w:val="single" w:color="auto" w:sz="4" w:space="0"/>
            </w:tcBorders>
            <w:vAlign w:val="center"/>
          </w:tcPr>
          <w:p w14:paraId="387F1D50">
            <w:pPr>
              <w:rPr>
                <w:rFonts w:ascii="宋体" w:hAnsi="宋体" w:cs="宋体"/>
                <w:color w:val="auto"/>
                <w:sz w:val="24"/>
                <w:highlight w:val="none"/>
              </w:rPr>
            </w:pPr>
          </w:p>
        </w:tc>
        <w:tc>
          <w:tcPr>
            <w:tcW w:w="2969" w:type="dxa"/>
            <w:tcBorders>
              <w:top w:val="single" w:color="auto" w:sz="4" w:space="0"/>
              <w:left w:val="single" w:color="auto" w:sz="4" w:space="0"/>
              <w:bottom w:val="single" w:color="auto" w:sz="4" w:space="0"/>
              <w:right w:val="single" w:color="auto" w:sz="4" w:space="0"/>
            </w:tcBorders>
          </w:tcPr>
          <w:p w14:paraId="31D1D37F">
            <w:pPr>
              <w:rPr>
                <w:rFonts w:ascii="宋体" w:hAnsi="宋体" w:cs="宋体"/>
                <w:color w:val="auto"/>
                <w:sz w:val="24"/>
                <w:highlight w:val="none"/>
              </w:rPr>
            </w:pPr>
          </w:p>
        </w:tc>
        <w:tc>
          <w:tcPr>
            <w:tcW w:w="1386" w:type="dxa"/>
            <w:tcBorders>
              <w:top w:val="single" w:color="auto" w:sz="4" w:space="0"/>
              <w:left w:val="single" w:color="auto" w:sz="4" w:space="0"/>
              <w:bottom w:val="single" w:color="auto" w:sz="4" w:space="0"/>
              <w:right w:val="single" w:color="auto" w:sz="4" w:space="0"/>
            </w:tcBorders>
          </w:tcPr>
          <w:p w14:paraId="449CB862">
            <w:pPr>
              <w:rPr>
                <w:rFonts w:ascii="宋体" w:hAnsi="宋体" w:cs="宋体"/>
                <w:color w:val="auto"/>
                <w:sz w:val="24"/>
                <w:highlight w:val="none"/>
              </w:rPr>
            </w:pPr>
          </w:p>
        </w:tc>
        <w:tc>
          <w:tcPr>
            <w:tcW w:w="3321" w:type="dxa"/>
            <w:tcBorders>
              <w:top w:val="single" w:color="auto" w:sz="4" w:space="0"/>
              <w:left w:val="single" w:color="auto" w:sz="4" w:space="0"/>
              <w:bottom w:val="single" w:color="auto" w:sz="4" w:space="0"/>
              <w:right w:val="single" w:color="auto" w:sz="4" w:space="0"/>
            </w:tcBorders>
          </w:tcPr>
          <w:p w14:paraId="44354EBA">
            <w:pPr>
              <w:rPr>
                <w:rFonts w:ascii="宋体" w:hAnsi="宋体" w:cs="宋体"/>
                <w:color w:val="auto"/>
                <w:sz w:val="24"/>
                <w:highlight w:val="none"/>
              </w:rPr>
            </w:pPr>
          </w:p>
        </w:tc>
      </w:tr>
      <w:tr w14:paraId="7B3DE73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6" w:hRule="atLeast"/>
        </w:trPr>
        <w:tc>
          <w:tcPr>
            <w:tcW w:w="1703" w:type="dxa"/>
            <w:tcBorders>
              <w:top w:val="single" w:color="auto" w:sz="4" w:space="0"/>
              <w:left w:val="single" w:color="auto" w:sz="4" w:space="0"/>
              <w:bottom w:val="single" w:color="auto" w:sz="4" w:space="0"/>
              <w:right w:val="single" w:color="auto" w:sz="4" w:space="0"/>
            </w:tcBorders>
            <w:vAlign w:val="center"/>
          </w:tcPr>
          <w:p w14:paraId="10499DBF">
            <w:pPr>
              <w:rPr>
                <w:rFonts w:ascii="宋体" w:hAnsi="宋体" w:cs="宋体"/>
                <w:color w:val="auto"/>
                <w:sz w:val="24"/>
                <w:highlight w:val="none"/>
              </w:rPr>
            </w:pPr>
          </w:p>
        </w:tc>
        <w:tc>
          <w:tcPr>
            <w:tcW w:w="2969" w:type="dxa"/>
            <w:tcBorders>
              <w:top w:val="single" w:color="auto" w:sz="4" w:space="0"/>
              <w:left w:val="single" w:color="auto" w:sz="4" w:space="0"/>
              <w:bottom w:val="single" w:color="auto" w:sz="4" w:space="0"/>
              <w:right w:val="single" w:color="auto" w:sz="4" w:space="0"/>
            </w:tcBorders>
          </w:tcPr>
          <w:p w14:paraId="6120D10A">
            <w:pPr>
              <w:rPr>
                <w:rFonts w:ascii="宋体" w:hAnsi="宋体" w:cs="宋体"/>
                <w:color w:val="auto"/>
                <w:sz w:val="24"/>
                <w:highlight w:val="none"/>
              </w:rPr>
            </w:pPr>
          </w:p>
        </w:tc>
        <w:tc>
          <w:tcPr>
            <w:tcW w:w="1386" w:type="dxa"/>
            <w:tcBorders>
              <w:top w:val="single" w:color="auto" w:sz="4" w:space="0"/>
              <w:left w:val="single" w:color="auto" w:sz="4" w:space="0"/>
              <w:bottom w:val="single" w:color="auto" w:sz="4" w:space="0"/>
              <w:right w:val="single" w:color="auto" w:sz="4" w:space="0"/>
            </w:tcBorders>
          </w:tcPr>
          <w:p w14:paraId="3F8C1836">
            <w:pPr>
              <w:rPr>
                <w:rFonts w:ascii="宋体" w:hAnsi="宋体" w:cs="宋体"/>
                <w:color w:val="auto"/>
                <w:sz w:val="24"/>
                <w:highlight w:val="none"/>
              </w:rPr>
            </w:pPr>
          </w:p>
        </w:tc>
        <w:tc>
          <w:tcPr>
            <w:tcW w:w="3321" w:type="dxa"/>
            <w:tcBorders>
              <w:top w:val="single" w:color="auto" w:sz="4" w:space="0"/>
              <w:left w:val="single" w:color="auto" w:sz="4" w:space="0"/>
              <w:bottom w:val="single" w:color="auto" w:sz="4" w:space="0"/>
              <w:right w:val="single" w:color="auto" w:sz="4" w:space="0"/>
            </w:tcBorders>
          </w:tcPr>
          <w:p w14:paraId="216FE984">
            <w:pPr>
              <w:rPr>
                <w:rFonts w:ascii="宋体" w:hAnsi="宋体" w:cs="宋体"/>
                <w:color w:val="auto"/>
                <w:sz w:val="24"/>
                <w:highlight w:val="none"/>
              </w:rPr>
            </w:pPr>
          </w:p>
        </w:tc>
      </w:tr>
      <w:tr w14:paraId="233CD1D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6" w:hRule="atLeast"/>
        </w:trPr>
        <w:tc>
          <w:tcPr>
            <w:tcW w:w="1703" w:type="dxa"/>
            <w:tcBorders>
              <w:top w:val="single" w:color="auto" w:sz="4" w:space="0"/>
              <w:left w:val="single" w:color="auto" w:sz="4" w:space="0"/>
              <w:bottom w:val="single" w:color="auto" w:sz="4" w:space="0"/>
              <w:right w:val="single" w:color="auto" w:sz="4" w:space="0"/>
            </w:tcBorders>
            <w:vAlign w:val="center"/>
          </w:tcPr>
          <w:p w14:paraId="3BE8E5FC">
            <w:pPr>
              <w:rPr>
                <w:rFonts w:ascii="宋体" w:hAnsi="宋体" w:cs="宋体"/>
                <w:color w:val="auto"/>
                <w:sz w:val="24"/>
                <w:highlight w:val="none"/>
              </w:rPr>
            </w:pPr>
          </w:p>
        </w:tc>
        <w:tc>
          <w:tcPr>
            <w:tcW w:w="2969" w:type="dxa"/>
            <w:tcBorders>
              <w:top w:val="single" w:color="auto" w:sz="4" w:space="0"/>
              <w:left w:val="single" w:color="auto" w:sz="4" w:space="0"/>
              <w:bottom w:val="single" w:color="auto" w:sz="4" w:space="0"/>
              <w:right w:val="single" w:color="auto" w:sz="4" w:space="0"/>
            </w:tcBorders>
          </w:tcPr>
          <w:p w14:paraId="3D11442D">
            <w:pPr>
              <w:rPr>
                <w:rFonts w:ascii="宋体" w:hAnsi="宋体" w:cs="宋体"/>
                <w:color w:val="auto"/>
                <w:sz w:val="24"/>
                <w:highlight w:val="none"/>
              </w:rPr>
            </w:pPr>
          </w:p>
        </w:tc>
        <w:tc>
          <w:tcPr>
            <w:tcW w:w="1386" w:type="dxa"/>
            <w:tcBorders>
              <w:top w:val="single" w:color="auto" w:sz="4" w:space="0"/>
              <w:left w:val="single" w:color="auto" w:sz="4" w:space="0"/>
              <w:bottom w:val="single" w:color="auto" w:sz="4" w:space="0"/>
              <w:right w:val="single" w:color="auto" w:sz="4" w:space="0"/>
            </w:tcBorders>
          </w:tcPr>
          <w:p w14:paraId="0DAA158A">
            <w:pPr>
              <w:rPr>
                <w:rFonts w:ascii="宋体" w:hAnsi="宋体" w:cs="宋体"/>
                <w:color w:val="auto"/>
                <w:sz w:val="24"/>
                <w:highlight w:val="none"/>
              </w:rPr>
            </w:pPr>
          </w:p>
        </w:tc>
        <w:tc>
          <w:tcPr>
            <w:tcW w:w="3321" w:type="dxa"/>
            <w:tcBorders>
              <w:top w:val="single" w:color="auto" w:sz="4" w:space="0"/>
              <w:left w:val="single" w:color="auto" w:sz="4" w:space="0"/>
              <w:bottom w:val="single" w:color="auto" w:sz="4" w:space="0"/>
              <w:right w:val="single" w:color="auto" w:sz="4" w:space="0"/>
            </w:tcBorders>
          </w:tcPr>
          <w:p w14:paraId="2F803A56">
            <w:pPr>
              <w:rPr>
                <w:rFonts w:ascii="宋体" w:hAnsi="宋体" w:cs="宋体"/>
                <w:color w:val="auto"/>
                <w:sz w:val="24"/>
                <w:highlight w:val="none"/>
              </w:rPr>
            </w:pPr>
          </w:p>
        </w:tc>
      </w:tr>
      <w:tr w14:paraId="542BA6E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6" w:hRule="atLeast"/>
        </w:trPr>
        <w:tc>
          <w:tcPr>
            <w:tcW w:w="1703" w:type="dxa"/>
            <w:tcBorders>
              <w:top w:val="single" w:color="auto" w:sz="4" w:space="0"/>
              <w:left w:val="single" w:color="auto" w:sz="4" w:space="0"/>
              <w:bottom w:val="single" w:color="auto" w:sz="4" w:space="0"/>
              <w:right w:val="single" w:color="auto" w:sz="4" w:space="0"/>
            </w:tcBorders>
            <w:vAlign w:val="center"/>
          </w:tcPr>
          <w:p w14:paraId="1E827679">
            <w:pPr>
              <w:rPr>
                <w:rFonts w:ascii="宋体" w:hAnsi="宋体" w:cs="宋体"/>
                <w:color w:val="auto"/>
                <w:sz w:val="24"/>
                <w:highlight w:val="none"/>
              </w:rPr>
            </w:pPr>
          </w:p>
        </w:tc>
        <w:tc>
          <w:tcPr>
            <w:tcW w:w="2969" w:type="dxa"/>
            <w:tcBorders>
              <w:top w:val="single" w:color="auto" w:sz="4" w:space="0"/>
              <w:left w:val="single" w:color="auto" w:sz="4" w:space="0"/>
              <w:bottom w:val="single" w:color="auto" w:sz="4" w:space="0"/>
              <w:right w:val="single" w:color="auto" w:sz="4" w:space="0"/>
            </w:tcBorders>
          </w:tcPr>
          <w:p w14:paraId="28383B05">
            <w:pPr>
              <w:rPr>
                <w:rFonts w:ascii="宋体" w:hAnsi="宋体" w:cs="宋体"/>
                <w:color w:val="auto"/>
                <w:sz w:val="24"/>
                <w:highlight w:val="none"/>
              </w:rPr>
            </w:pPr>
          </w:p>
        </w:tc>
        <w:tc>
          <w:tcPr>
            <w:tcW w:w="1386" w:type="dxa"/>
            <w:tcBorders>
              <w:top w:val="single" w:color="auto" w:sz="4" w:space="0"/>
              <w:left w:val="single" w:color="auto" w:sz="4" w:space="0"/>
              <w:bottom w:val="single" w:color="auto" w:sz="4" w:space="0"/>
              <w:right w:val="single" w:color="auto" w:sz="4" w:space="0"/>
            </w:tcBorders>
          </w:tcPr>
          <w:p w14:paraId="5F13B9A3">
            <w:pPr>
              <w:rPr>
                <w:rFonts w:ascii="宋体" w:hAnsi="宋体" w:cs="宋体"/>
                <w:color w:val="auto"/>
                <w:sz w:val="24"/>
                <w:highlight w:val="none"/>
              </w:rPr>
            </w:pPr>
          </w:p>
        </w:tc>
        <w:tc>
          <w:tcPr>
            <w:tcW w:w="3321" w:type="dxa"/>
            <w:tcBorders>
              <w:top w:val="single" w:color="auto" w:sz="4" w:space="0"/>
              <w:left w:val="single" w:color="auto" w:sz="4" w:space="0"/>
              <w:bottom w:val="single" w:color="auto" w:sz="4" w:space="0"/>
              <w:right w:val="single" w:color="auto" w:sz="4" w:space="0"/>
            </w:tcBorders>
          </w:tcPr>
          <w:p w14:paraId="4E366A58">
            <w:pPr>
              <w:rPr>
                <w:rFonts w:ascii="宋体" w:hAnsi="宋体" w:cs="宋体"/>
                <w:color w:val="auto"/>
                <w:sz w:val="24"/>
                <w:highlight w:val="none"/>
              </w:rPr>
            </w:pPr>
          </w:p>
        </w:tc>
      </w:tr>
      <w:tr w14:paraId="666DE53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6" w:hRule="atLeast"/>
        </w:trPr>
        <w:tc>
          <w:tcPr>
            <w:tcW w:w="1703" w:type="dxa"/>
            <w:tcBorders>
              <w:top w:val="single" w:color="auto" w:sz="4" w:space="0"/>
              <w:left w:val="single" w:color="auto" w:sz="4" w:space="0"/>
              <w:bottom w:val="single" w:color="auto" w:sz="4" w:space="0"/>
              <w:right w:val="single" w:color="auto" w:sz="4" w:space="0"/>
            </w:tcBorders>
            <w:vAlign w:val="center"/>
          </w:tcPr>
          <w:p w14:paraId="725EFD5A">
            <w:pPr>
              <w:rPr>
                <w:rFonts w:ascii="宋体" w:hAnsi="宋体" w:cs="宋体"/>
                <w:color w:val="auto"/>
                <w:sz w:val="24"/>
                <w:highlight w:val="none"/>
              </w:rPr>
            </w:pPr>
          </w:p>
        </w:tc>
        <w:tc>
          <w:tcPr>
            <w:tcW w:w="2969" w:type="dxa"/>
            <w:tcBorders>
              <w:top w:val="single" w:color="auto" w:sz="4" w:space="0"/>
              <w:left w:val="single" w:color="auto" w:sz="4" w:space="0"/>
              <w:bottom w:val="single" w:color="auto" w:sz="4" w:space="0"/>
              <w:right w:val="single" w:color="auto" w:sz="4" w:space="0"/>
            </w:tcBorders>
          </w:tcPr>
          <w:p w14:paraId="2539C85D">
            <w:pPr>
              <w:rPr>
                <w:rFonts w:ascii="宋体" w:hAnsi="宋体" w:cs="宋体"/>
                <w:color w:val="auto"/>
                <w:sz w:val="24"/>
                <w:highlight w:val="none"/>
              </w:rPr>
            </w:pPr>
          </w:p>
        </w:tc>
        <w:tc>
          <w:tcPr>
            <w:tcW w:w="1386" w:type="dxa"/>
            <w:tcBorders>
              <w:top w:val="single" w:color="auto" w:sz="4" w:space="0"/>
              <w:left w:val="single" w:color="auto" w:sz="4" w:space="0"/>
              <w:bottom w:val="single" w:color="auto" w:sz="4" w:space="0"/>
              <w:right w:val="single" w:color="auto" w:sz="4" w:space="0"/>
            </w:tcBorders>
          </w:tcPr>
          <w:p w14:paraId="13B91FDD">
            <w:pPr>
              <w:rPr>
                <w:rFonts w:ascii="宋体" w:hAnsi="宋体" w:cs="宋体"/>
                <w:color w:val="auto"/>
                <w:sz w:val="24"/>
                <w:highlight w:val="none"/>
              </w:rPr>
            </w:pPr>
          </w:p>
        </w:tc>
        <w:tc>
          <w:tcPr>
            <w:tcW w:w="3321" w:type="dxa"/>
            <w:tcBorders>
              <w:top w:val="single" w:color="auto" w:sz="4" w:space="0"/>
              <w:left w:val="single" w:color="auto" w:sz="4" w:space="0"/>
              <w:bottom w:val="single" w:color="auto" w:sz="4" w:space="0"/>
              <w:right w:val="single" w:color="auto" w:sz="4" w:space="0"/>
            </w:tcBorders>
          </w:tcPr>
          <w:p w14:paraId="45E3D43F">
            <w:pPr>
              <w:rPr>
                <w:rFonts w:ascii="宋体" w:hAnsi="宋体" w:cs="宋体"/>
                <w:color w:val="auto"/>
                <w:sz w:val="24"/>
                <w:highlight w:val="none"/>
              </w:rPr>
            </w:pPr>
          </w:p>
        </w:tc>
      </w:tr>
      <w:tr w14:paraId="03D318C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6" w:hRule="atLeast"/>
        </w:trPr>
        <w:tc>
          <w:tcPr>
            <w:tcW w:w="1703" w:type="dxa"/>
            <w:tcBorders>
              <w:top w:val="single" w:color="auto" w:sz="4" w:space="0"/>
              <w:left w:val="single" w:color="auto" w:sz="4" w:space="0"/>
              <w:bottom w:val="single" w:color="auto" w:sz="4" w:space="0"/>
              <w:right w:val="single" w:color="auto" w:sz="4" w:space="0"/>
            </w:tcBorders>
            <w:vAlign w:val="center"/>
          </w:tcPr>
          <w:p w14:paraId="2BD0712A">
            <w:pPr>
              <w:rPr>
                <w:rFonts w:ascii="宋体" w:hAnsi="宋体" w:cs="宋体"/>
                <w:color w:val="auto"/>
                <w:sz w:val="24"/>
                <w:highlight w:val="none"/>
              </w:rPr>
            </w:pPr>
          </w:p>
        </w:tc>
        <w:tc>
          <w:tcPr>
            <w:tcW w:w="2969" w:type="dxa"/>
            <w:tcBorders>
              <w:top w:val="single" w:color="auto" w:sz="4" w:space="0"/>
              <w:left w:val="single" w:color="auto" w:sz="4" w:space="0"/>
              <w:bottom w:val="single" w:color="auto" w:sz="4" w:space="0"/>
              <w:right w:val="single" w:color="auto" w:sz="4" w:space="0"/>
            </w:tcBorders>
          </w:tcPr>
          <w:p w14:paraId="00208497">
            <w:pPr>
              <w:rPr>
                <w:rFonts w:ascii="宋体" w:hAnsi="宋体" w:cs="宋体"/>
                <w:color w:val="auto"/>
                <w:sz w:val="24"/>
                <w:highlight w:val="none"/>
              </w:rPr>
            </w:pPr>
          </w:p>
        </w:tc>
        <w:tc>
          <w:tcPr>
            <w:tcW w:w="1386" w:type="dxa"/>
            <w:tcBorders>
              <w:top w:val="single" w:color="auto" w:sz="4" w:space="0"/>
              <w:left w:val="single" w:color="auto" w:sz="4" w:space="0"/>
              <w:bottom w:val="single" w:color="auto" w:sz="4" w:space="0"/>
              <w:right w:val="single" w:color="auto" w:sz="4" w:space="0"/>
            </w:tcBorders>
          </w:tcPr>
          <w:p w14:paraId="01E0639B">
            <w:pPr>
              <w:rPr>
                <w:rFonts w:ascii="宋体" w:hAnsi="宋体" w:cs="宋体"/>
                <w:color w:val="auto"/>
                <w:sz w:val="24"/>
                <w:highlight w:val="none"/>
              </w:rPr>
            </w:pPr>
          </w:p>
        </w:tc>
        <w:tc>
          <w:tcPr>
            <w:tcW w:w="3321" w:type="dxa"/>
            <w:tcBorders>
              <w:top w:val="single" w:color="auto" w:sz="4" w:space="0"/>
              <w:left w:val="single" w:color="auto" w:sz="4" w:space="0"/>
              <w:bottom w:val="single" w:color="auto" w:sz="4" w:space="0"/>
              <w:right w:val="single" w:color="auto" w:sz="4" w:space="0"/>
            </w:tcBorders>
          </w:tcPr>
          <w:p w14:paraId="48038591">
            <w:pPr>
              <w:rPr>
                <w:rFonts w:ascii="宋体" w:hAnsi="宋体" w:cs="宋体"/>
                <w:color w:val="auto"/>
                <w:sz w:val="24"/>
                <w:highlight w:val="none"/>
              </w:rPr>
            </w:pPr>
          </w:p>
        </w:tc>
      </w:tr>
    </w:tbl>
    <w:p w14:paraId="460A604B">
      <w:pPr>
        <w:snapToGrid w:val="0"/>
        <w:spacing w:before="120" w:beforeLines="50"/>
        <w:rPr>
          <w:rFonts w:ascii="宋体" w:hAnsi="宋体" w:cs="宋体"/>
          <w:color w:val="auto"/>
          <w:sz w:val="24"/>
          <w:highlight w:val="none"/>
        </w:rPr>
      </w:pPr>
    </w:p>
    <w:p w14:paraId="1E63DE65">
      <w:pPr>
        <w:snapToGrid w:val="0"/>
        <w:spacing w:before="50" w:after="50"/>
        <w:rPr>
          <w:rFonts w:ascii="宋体" w:hAnsi="宋体" w:cs="宋体"/>
          <w:color w:val="auto"/>
          <w:spacing w:val="20"/>
          <w:sz w:val="24"/>
          <w:highlight w:val="none"/>
          <w:u w:val="single"/>
        </w:rPr>
      </w:pPr>
      <w:r>
        <w:rPr>
          <w:rFonts w:hint="eastAsia" w:ascii="宋体" w:hAnsi="宋体" w:cs="宋体"/>
          <w:color w:val="auto"/>
          <w:sz w:val="24"/>
          <w:highlight w:val="none"/>
        </w:rPr>
        <w:t>法定代表人或委托代理人签字</w:t>
      </w:r>
      <w:r>
        <w:rPr>
          <w:rFonts w:hint="eastAsia" w:ascii="宋体" w:hAnsi="宋体" w:cs="宋体"/>
          <w:color w:val="auto"/>
          <w:spacing w:val="20"/>
          <w:sz w:val="24"/>
          <w:highlight w:val="none"/>
        </w:rPr>
        <w:t>：</w:t>
      </w:r>
      <w:r>
        <w:rPr>
          <w:rFonts w:hint="eastAsia" w:ascii="宋体" w:hAnsi="宋体" w:cs="宋体"/>
          <w:color w:val="auto"/>
          <w:spacing w:val="20"/>
          <w:sz w:val="24"/>
          <w:highlight w:val="none"/>
          <w:u w:val="single"/>
        </w:rPr>
        <w:t xml:space="preserve">        </w:t>
      </w:r>
    </w:p>
    <w:p w14:paraId="0DD2744E">
      <w:pPr>
        <w:snapToGrid w:val="0"/>
        <w:spacing w:before="120" w:beforeLines="50"/>
        <w:rPr>
          <w:rFonts w:ascii="宋体" w:hAnsi="宋体" w:cs="宋体"/>
          <w:color w:val="auto"/>
          <w:sz w:val="24"/>
          <w:highlight w:val="none"/>
        </w:rPr>
      </w:pPr>
      <w:r>
        <w:rPr>
          <w:rFonts w:hint="eastAsia" w:ascii="宋体" w:hAnsi="宋体" w:cs="宋体"/>
          <w:color w:val="auto"/>
          <w:spacing w:val="20"/>
          <w:sz w:val="24"/>
          <w:highlight w:val="none"/>
        </w:rPr>
        <w:t>投标人盖章：</w:t>
      </w:r>
      <w:r>
        <w:rPr>
          <w:rFonts w:hint="eastAsia" w:ascii="宋体" w:hAnsi="宋体" w:cs="宋体"/>
          <w:color w:val="auto"/>
          <w:spacing w:val="20"/>
          <w:sz w:val="24"/>
          <w:highlight w:val="none"/>
          <w:u w:val="single"/>
        </w:rPr>
        <w:t xml:space="preserve">            </w:t>
      </w:r>
      <w:r>
        <w:rPr>
          <w:rFonts w:hint="eastAsia" w:ascii="宋体" w:hAnsi="宋体" w:cs="宋体"/>
          <w:color w:val="auto"/>
          <w:spacing w:val="20"/>
          <w:sz w:val="24"/>
          <w:highlight w:val="none"/>
        </w:rPr>
        <w:t xml:space="preserve">              日 期：</w:t>
      </w:r>
      <w:r>
        <w:rPr>
          <w:rFonts w:hint="eastAsia" w:ascii="宋体" w:hAnsi="宋体" w:cs="宋体"/>
          <w:color w:val="auto"/>
          <w:spacing w:val="20"/>
          <w:sz w:val="24"/>
          <w:highlight w:val="none"/>
          <w:u w:val="single"/>
        </w:rPr>
        <w:t xml:space="preserve">            </w:t>
      </w:r>
    </w:p>
    <w:p w14:paraId="272FF467">
      <w:pPr>
        <w:rPr>
          <w:rFonts w:ascii="宋体" w:hAnsi="宋体" w:cs="宋体"/>
          <w:color w:val="auto"/>
          <w:sz w:val="24"/>
          <w:highlight w:val="none"/>
        </w:rPr>
      </w:pPr>
    </w:p>
    <w:p w14:paraId="201460E2">
      <w:pPr>
        <w:pStyle w:val="5"/>
        <w:keepNext w:val="0"/>
        <w:keepLines w:val="0"/>
        <w:pageBreakBefore/>
        <w:spacing w:line="415" w:lineRule="auto"/>
        <w:rPr>
          <w:rFonts w:ascii="宋体" w:hAnsi="宋体" w:eastAsia="宋体" w:cs="宋体"/>
          <w:b w:val="0"/>
          <w:bCs w:val="0"/>
          <w:color w:val="auto"/>
          <w:sz w:val="24"/>
          <w:szCs w:val="24"/>
          <w:highlight w:val="none"/>
        </w:rPr>
      </w:pPr>
      <w:bookmarkStart w:id="75" w:name="_Toc5585"/>
      <w:r>
        <w:rPr>
          <w:rFonts w:hint="eastAsia" w:ascii="宋体" w:hAnsi="宋体" w:eastAsia="宋体" w:cs="宋体"/>
          <w:b w:val="0"/>
          <w:bCs w:val="0"/>
          <w:color w:val="auto"/>
          <w:sz w:val="24"/>
          <w:szCs w:val="24"/>
          <w:highlight w:val="none"/>
        </w:rPr>
        <w:t>附件九：</w:t>
      </w:r>
      <w:bookmarkEnd w:id="74"/>
      <w:r>
        <w:rPr>
          <w:rFonts w:hint="eastAsia" w:ascii="宋体" w:hAnsi="宋体" w:eastAsia="宋体" w:cs="宋体"/>
          <w:b w:val="0"/>
          <w:bCs w:val="0"/>
          <w:color w:val="auto"/>
          <w:sz w:val="24"/>
          <w:szCs w:val="24"/>
          <w:highlight w:val="none"/>
        </w:rPr>
        <w:t>技术响应表</w:t>
      </w:r>
      <w:bookmarkEnd w:id="75"/>
    </w:p>
    <w:p w14:paraId="1609A58F">
      <w:pPr>
        <w:snapToGrid w:val="0"/>
        <w:spacing w:line="360" w:lineRule="auto"/>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技术响应表</w:t>
      </w:r>
    </w:p>
    <w:p w14:paraId="46F50AEF">
      <w:pPr>
        <w:snapToGrid w:val="0"/>
        <w:spacing w:before="50" w:after="120" w:afterLines="50"/>
        <w:jc w:val="left"/>
        <w:rPr>
          <w:rFonts w:ascii="宋体" w:hAnsi="宋体" w:cs="宋体"/>
          <w:color w:val="auto"/>
          <w:sz w:val="24"/>
          <w:highlight w:val="none"/>
        </w:rPr>
      </w:pPr>
      <w:r>
        <w:rPr>
          <w:rFonts w:hint="eastAsia" w:ascii="宋体" w:hAnsi="宋体" w:cs="宋体"/>
          <w:color w:val="auto"/>
          <w:sz w:val="24"/>
          <w:highlight w:val="none"/>
        </w:rPr>
        <w:t>招标编号：</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9"/>
        <w:gridCol w:w="2004"/>
        <w:gridCol w:w="2113"/>
        <w:gridCol w:w="1750"/>
        <w:gridCol w:w="2514"/>
      </w:tblGrid>
      <w:tr w14:paraId="553BD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69" w:hRule="atLeast"/>
          <w:jc w:val="center"/>
        </w:trPr>
        <w:tc>
          <w:tcPr>
            <w:tcW w:w="949" w:type="dxa"/>
            <w:tcBorders>
              <w:top w:val="single" w:color="auto" w:sz="4" w:space="0"/>
              <w:left w:val="single" w:color="auto" w:sz="4" w:space="0"/>
              <w:bottom w:val="single" w:color="auto" w:sz="4" w:space="0"/>
              <w:right w:val="single" w:color="auto" w:sz="4" w:space="0"/>
            </w:tcBorders>
            <w:vAlign w:val="center"/>
          </w:tcPr>
          <w:p w14:paraId="24B7428D">
            <w:pPr>
              <w:jc w:val="center"/>
              <w:rPr>
                <w:rFonts w:ascii="宋体" w:hAnsi="宋体" w:cs="宋体"/>
                <w:color w:val="auto"/>
                <w:sz w:val="24"/>
                <w:highlight w:val="none"/>
              </w:rPr>
            </w:pPr>
            <w:r>
              <w:rPr>
                <w:rFonts w:hint="eastAsia" w:ascii="宋体" w:hAnsi="宋体" w:cs="宋体"/>
                <w:color w:val="auto"/>
                <w:sz w:val="24"/>
                <w:highlight w:val="none"/>
              </w:rPr>
              <w:t>序号</w:t>
            </w:r>
          </w:p>
        </w:tc>
        <w:tc>
          <w:tcPr>
            <w:tcW w:w="2004" w:type="dxa"/>
            <w:tcBorders>
              <w:top w:val="single" w:color="auto" w:sz="4" w:space="0"/>
              <w:left w:val="single" w:color="auto" w:sz="4" w:space="0"/>
              <w:bottom w:val="single" w:color="auto" w:sz="4" w:space="0"/>
              <w:right w:val="single" w:color="auto" w:sz="4" w:space="0"/>
            </w:tcBorders>
            <w:vAlign w:val="center"/>
          </w:tcPr>
          <w:p w14:paraId="07C35704">
            <w:pPr>
              <w:jc w:val="center"/>
              <w:rPr>
                <w:rFonts w:ascii="宋体" w:hAnsi="宋体" w:cs="宋体"/>
                <w:color w:val="auto"/>
                <w:sz w:val="24"/>
                <w:highlight w:val="none"/>
              </w:rPr>
            </w:pPr>
            <w:r>
              <w:rPr>
                <w:rFonts w:hint="eastAsia" w:ascii="宋体" w:hAnsi="宋体" w:cs="宋体"/>
                <w:color w:val="auto"/>
                <w:sz w:val="24"/>
                <w:highlight w:val="none"/>
              </w:rPr>
              <w:t>内  容</w:t>
            </w:r>
          </w:p>
        </w:tc>
        <w:tc>
          <w:tcPr>
            <w:tcW w:w="2113" w:type="dxa"/>
            <w:tcBorders>
              <w:top w:val="single" w:color="auto" w:sz="4" w:space="0"/>
              <w:left w:val="single" w:color="auto" w:sz="4" w:space="0"/>
              <w:bottom w:val="single" w:color="auto" w:sz="4" w:space="0"/>
              <w:right w:val="single" w:color="auto" w:sz="4" w:space="0"/>
            </w:tcBorders>
            <w:vAlign w:val="center"/>
          </w:tcPr>
          <w:p w14:paraId="196B0FC9">
            <w:pPr>
              <w:jc w:val="center"/>
              <w:rPr>
                <w:rFonts w:ascii="宋体" w:hAnsi="宋体" w:cs="宋体"/>
                <w:color w:val="auto"/>
                <w:sz w:val="24"/>
                <w:highlight w:val="none"/>
              </w:rPr>
            </w:pPr>
            <w:r>
              <w:rPr>
                <w:rFonts w:hint="eastAsia" w:ascii="宋体" w:hAnsi="宋体" w:cs="宋体"/>
                <w:color w:val="auto"/>
                <w:sz w:val="24"/>
                <w:highlight w:val="none"/>
              </w:rPr>
              <w:t>招标文件</w:t>
            </w:r>
          </w:p>
          <w:p w14:paraId="6A69DA01">
            <w:pPr>
              <w:jc w:val="center"/>
              <w:rPr>
                <w:rFonts w:ascii="宋体" w:hAnsi="宋体" w:cs="宋体"/>
                <w:color w:val="auto"/>
                <w:sz w:val="24"/>
                <w:highlight w:val="none"/>
              </w:rPr>
            </w:pPr>
            <w:r>
              <w:rPr>
                <w:rFonts w:hint="eastAsia" w:ascii="宋体" w:hAnsi="宋体" w:cs="宋体"/>
                <w:color w:val="auto"/>
                <w:sz w:val="24"/>
                <w:highlight w:val="none"/>
              </w:rPr>
              <w:t>规范要求</w:t>
            </w:r>
          </w:p>
        </w:tc>
        <w:tc>
          <w:tcPr>
            <w:tcW w:w="1750" w:type="dxa"/>
            <w:tcBorders>
              <w:top w:val="single" w:color="auto" w:sz="4" w:space="0"/>
              <w:left w:val="single" w:color="auto" w:sz="4" w:space="0"/>
              <w:bottom w:val="single" w:color="auto" w:sz="4" w:space="0"/>
              <w:right w:val="single" w:color="auto" w:sz="4" w:space="0"/>
            </w:tcBorders>
            <w:vAlign w:val="center"/>
          </w:tcPr>
          <w:p w14:paraId="17DE6D96">
            <w:pPr>
              <w:jc w:val="center"/>
              <w:rPr>
                <w:rFonts w:ascii="宋体" w:hAnsi="宋体" w:cs="宋体"/>
                <w:color w:val="auto"/>
                <w:sz w:val="24"/>
                <w:highlight w:val="none"/>
              </w:rPr>
            </w:pPr>
            <w:r>
              <w:rPr>
                <w:rFonts w:hint="eastAsia" w:ascii="宋体" w:hAnsi="宋体" w:cs="宋体"/>
                <w:color w:val="auto"/>
                <w:sz w:val="24"/>
                <w:highlight w:val="none"/>
              </w:rPr>
              <w:t>投标文件</w:t>
            </w:r>
          </w:p>
          <w:p w14:paraId="22D719E0">
            <w:pPr>
              <w:jc w:val="center"/>
              <w:rPr>
                <w:rFonts w:ascii="宋体" w:hAnsi="宋体" w:cs="宋体"/>
                <w:color w:val="auto"/>
                <w:sz w:val="24"/>
                <w:highlight w:val="none"/>
              </w:rPr>
            </w:pPr>
            <w:r>
              <w:rPr>
                <w:rFonts w:hint="eastAsia" w:ascii="宋体" w:hAnsi="宋体" w:cs="宋体"/>
                <w:color w:val="auto"/>
                <w:sz w:val="24"/>
                <w:highlight w:val="none"/>
              </w:rPr>
              <w:t>对应规范</w:t>
            </w:r>
          </w:p>
        </w:tc>
        <w:tc>
          <w:tcPr>
            <w:tcW w:w="2514" w:type="dxa"/>
            <w:tcBorders>
              <w:top w:val="single" w:color="auto" w:sz="4" w:space="0"/>
              <w:left w:val="single" w:color="auto" w:sz="4" w:space="0"/>
              <w:bottom w:val="single" w:color="auto" w:sz="4" w:space="0"/>
              <w:right w:val="single" w:color="auto" w:sz="4" w:space="0"/>
            </w:tcBorders>
            <w:vAlign w:val="center"/>
          </w:tcPr>
          <w:p w14:paraId="69B4989D">
            <w:pPr>
              <w:jc w:val="center"/>
              <w:rPr>
                <w:rFonts w:ascii="宋体" w:hAnsi="宋体" w:cs="宋体"/>
                <w:color w:val="auto"/>
                <w:sz w:val="24"/>
                <w:highlight w:val="none"/>
              </w:rPr>
            </w:pPr>
            <w:r>
              <w:rPr>
                <w:rFonts w:hint="eastAsia" w:ascii="宋体" w:hAnsi="宋体" w:cs="宋体"/>
                <w:color w:val="auto"/>
                <w:sz w:val="24"/>
                <w:highlight w:val="none"/>
              </w:rPr>
              <w:t>偏离情况</w:t>
            </w:r>
          </w:p>
          <w:p w14:paraId="5917D1B7">
            <w:pPr>
              <w:jc w:val="center"/>
              <w:rPr>
                <w:rFonts w:ascii="宋体" w:hAnsi="宋体" w:cs="宋体"/>
                <w:color w:val="auto"/>
                <w:sz w:val="24"/>
                <w:highlight w:val="none"/>
              </w:rPr>
            </w:pPr>
            <w:r>
              <w:rPr>
                <w:rFonts w:hint="eastAsia" w:ascii="宋体" w:hAnsi="宋体" w:cs="宋体"/>
                <w:color w:val="auto"/>
                <w:sz w:val="24"/>
                <w:highlight w:val="none"/>
              </w:rPr>
              <w:t>（注明正偏离、负偏离或无偏离）</w:t>
            </w:r>
          </w:p>
        </w:tc>
      </w:tr>
      <w:tr w14:paraId="3F3BC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9" w:hRule="atLeast"/>
          <w:jc w:val="center"/>
        </w:trPr>
        <w:tc>
          <w:tcPr>
            <w:tcW w:w="949" w:type="dxa"/>
            <w:tcBorders>
              <w:top w:val="single" w:color="auto" w:sz="4" w:space="0"/>
              <w:left w:val="single" w:color="auto" w:sz="4" w:space="0"/>
              <w:bottom w:val="single" w:color="auto" w:sz="4" w:space="0"/>
              <w:right w:val="single" w:color="auto" w:sz="4" w:space="0"/>
            </w:tcBorders>
          </w:tcPr>
          <w:p w14:paraId="1D0C64E7">
            <w:pPr>
              <w:jc w:val="center"/>
              <w:rPr>
                <w:rFonts w:ascii="宋体" w:hAnsi="宋体" w:cs="宋体"/>
                <w:color w:val="auto"/>
                <w:sz w:val="24"/>
                <w:highlight w:val="none"/>
              </w:rPr>
            </w:pPr>
          </w:p>
        </w:tc>
        <w:tc>
          <w:tcPr>
            <w:tcW w:w="2004" w:type="dxa"/>
            <w:tcBorders>
              <w:top w:val="single" w:color="auto" w:sz="4" w:space="0"/>
              <w:left w:val="single" w:color="auto" w:sz="4" w:space="0"/>
              <w:bottom w:val="single" w:color="auto" w:sz="4" w:space="0"/>
              <w:right w:val="single" w:color="auto" w:sz="4" w:space="0"/>
            </w:tcBorders>
          </w:tcPr>
          <w:p w14:paraId="19A8E30C">
            <w:pPr>
              <w:rPr>
                <w:rFonts w:ascii="宋体" w:hAnsi="宋体" w:cs="宋体"/>
                <w:color w:val="auto"/>
                <w:sz w:val="24"/>
                <w:highlight w:val="none"/>
              </w:rPr>
            </w:pPr>
          </w:p>
        </w:tc>
        <w:tc>
          <w:tcPr>
            <w:tcW w:w="2113" w:type="dxa"/>
            <w:tcBorders>
              <w:top w:val="single" w:color="auto" w:sz="4" w:space="0"/>
              <w:left w:val="single" w:color="auto" w:sz="4" w:space="0"/>
              <w:bottom w:val="single" w:color="auto" w:sz="4" w:space="0"/>
              <w:right w:val="single" w:color="auto" w:sz="4" w:space="0"/>
            </w:tcBorders>
          </w:tcPr>
          <w:p w14:paraId="5DFD9AE8">
            <w:pPr>
              <w:rPr>
                <w:rFonts w:ascii="宋体" w:hAnsi="宋体" w:cs="宋体"/>
                <w:color w:val="auto"/>
                <w:sz w:val="24"/>
                <w:highlight w:val="none"/>
              </w:rPr>
            </w:pPr>
          </w:p>
        </w:tc>
        <w:tc>
          <w:tcPr>
            <w:tcW w:w="1750" w:type="dxa"/>
            <w:tcBorders>
              <w:top w:val="single" w:color="auto" w:sz="4" w:space="0"/>
              <w:left w:val="single" w:color="auto" w:sz="4" w:space="0"/>
              <w:bottom w:val="single" w:color="auto" w:sz="4" w:space="0"/>
              <w:right w:val="single" w:color="auto" w:sz="4" w:space="0"/>
            </w:tcBorders>
          </w:tcPr>
          <w:p w14:paraId="4D61A108">
            <w:pPr>
              <w:rPr>
                <w:rFonts w:ascii="宋体" w:hAnsi="宋体" w:cs="宋体"/>
                <w:color w:val="auto"/>
                <w:sz w:val="24"/>
                <w:highlight w:val="none"/>
              </w:rPr>
            </w:pPr>
          </w:p>
        </w:tc>
        <w:tc>
          <w:tcPr>
            <w:tcW w:w="2514" w:type="dxa"/>
            <w:tcBorders>
              <w:top w:val="single" w:color="auto" w:sz="4" w:space="0"/>
              <w:left w:val="single" w:color="auto" w:sz="4" w:space="0"/>
              <w:bottom w:val="single" w:color="auto" w:sz="4" w:space="0"/>
              <w:right w:val="single" w:color="auto" w:sz="4" w:space="0"/>
            </w:tcBorders>
          </w:tcPr>
          <w:p w14:paraId="621E3B04">
            <w:pPr>
              <w:rPr>
                <w:rFonts w:ascii="宋体" w:hAnsi="宋体" w:cs="宋体"/>
                <w:color w:val="auto"/>
                <w:sz w:val="24"/>
                <w:highlight w:val="none"/>
              </w:rPr>
            </w:pPr>
          </w:p>
        </w:tc>
      </w:tr>
      <w:tr w14:paraId="3E58A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9" w:hRule="atLeast"/>
          <w:jc w:val="center"/>
        </w:trPr>
        <w:tc>
          <w:tcPr>
            <w:tcW w:w="949" w:type="dxa"/>
            <w:tcBorders>
              <w:top w:val="single" w:color="auto" w:sz="4" w:space="0"/>
              <w:left w:val="single" w:color="auto" w:sz="4" w:space="0"/>
              <w:bottom w:val="single" w:color="auto" w:sz="4" w:space="0"/>
              <w:right w:val="single" w:color="auto" w:sz="4" w:space="0"/>
            </w:tcBorders>
          </w:tcPr>
          <w:p w14:paraId="64C8670C">
            <w:pPr>
              <w:rPr>
                <w:rFonts w:ascii="宋体" w:hAnsi="宋体" w:cs="宋体"/>
                <w:color w:val="auto"/>
                <w:sz w:val="24"/>
                <w:highlight w:val="none"/>
              </w:rPr>
            </w:pPr>
          </w:p>
        </w:tc>
        <w:tc>
          <w:tcPr>
            <w:tcW w:w="2004" w:type="dxa"/>
            <w:tcBorders>
              <w:top w:val="single" w:color="auto" w:sz="4" w:space="0"/>
              <w:left w:val="single" w:color="auto" w:sz="4" w:space="0"/>
              <w:bottom w:val="single" w:color="auto" w:sz="4" w:space="0"/>
              <w:right w:val="single" w:color="auto" w:sz="4" w:space="0"/>
            </w:tcBorders>
          </w:tcPr>
          <w:p w14:paraId="78C0E228">
            <w:pPr>
              <w:rPr>
                <w:rFonts w:ascii="宋体" w:hAnsi="宋体" w:cs="宋体"/>
                <w:color w:val="auto"/>
                <w:sz w:val="24"/>
                <w:highlight w:val="none"/>
              </w:rPr>
            </w:pPr>
          </w:p>
        </w:tc>
        <w:tc>
          <w:tcPr>
            <w:tcW w:w="2113" w:type="dxa"/>
            <w:tcBorders>
              <w:top w:val="single" w:color="auto" w:sz="4" w:space="0"/>
              <w:left w:val="single" w:color="auto" w:sz="4" w:space="0"/>
              <w:bottom w:val="single" w:color="auto" w:sz="4" w:space="0"/>
              <w:right w:val="single" w:color="auto" w:sz="4" w:space="0"/>
            </w:tcBorders>
          </w:tcPr>
          <w:p w14:paraId="58734D5C">
            <w:pPr>
              <w:rPr>
                <w:rFonts w:ascii="宋体" w:hAnsi="宋体" w:cs="宋体"/>
                <w:color w:val="auto"/>
                <w:sz w:val="24"/>
                <w:highlight w:val="none"/>
              </w:rPr>
            </w:pPr>
          </w:p>
        </w:tc>
        <w:tc>
          <w:tcPr>
            <w:tcW w:w="1750" w:type="dxa"/>
            <w:tcBorders>
              <w:top w:val="single" w:color="auto" w:sz="4" w:space="0"/>
              <w:left w:val="single" w:color="auto" w:sz="4" w:space="0"/>
              <w:bottom w:val="single" w:color="auto" w:sz="4" w:space="0"/>
              <w:right w:val="single" w:color="auto" w:sz="4" w:space="0"/>
            </w:tcBorders>
          </w:tcPr>
          <w:p w14:paraId="615FB5C6">
            <w:pPr>
              <w:rPr>
                <w:rFonts w:ascii="宋体" w:hAnsi="宋体" w:cs="宋体"/>
                <w:color w:val="auto"/>
                <w:sz w:val="24"/>
                <w:highlight w:val="none"/>
              </w:rPr>
            </w:pPr>
          </w:p>
        </w:tc>
        <w:tc>
          <w:tcPr>
            <w:tcW w:w="2514" w:type="dxa"/>
            <w:tcBorders>
              <w:top w:val="single" w:color="auto" w:sz="4" w:space="0"/>
              <w:left w:val="single" w:color="auto" w:sz="4" w:space="0"/>
              <w:bottom w:val="single" w:color="auto" w:sz="4" w:space="0"/>
              <w:right w:val="single" w:color="auto" w:sz="4" w:space="0"/>
            </w:tcBorders>
          </w:tcPr>
          <w:p w14:paraId="03B7E544">
            <w:pPr>
              <w:rPr>
                <w:rFonts w:ascii="宋体" w:hAnsi="宋体" w:cs="宋体"/>
                <w:color w:val="auto"/>
                <w:sz w:val="24"/>
                <w:highlight w:val="none"/>
              </w:rPr>
            </w:pPr>
          </w:p>
        </w:tc>
      </w:tr>
      <w:tr w14:paraId="02E31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9" w:hRule="atLeast"/>
          <w:jc w:val="center"/>
        </w:trPr>
        <w:tc>
          <w:tcPr>
            <w:tcW w:w="949" w:type="dxa"/>
            <w:tcBorders>
              <w:top w:val="single" w:color="auto" w:sz="4" w:space="0"/>
              <w:left w:val="single" w:color="auto" w:sz="4" w:space="0"/>
              <w:bottom w:val="single" w:color="auto" w:sz="4" w:space="0"/>
              <w:right w:val="single" w:color="auto" w:sz="4" w:space="0"/>
            </w:tcBorders>
          </w:tcPr>
          <w:p w14:paraId="1FBB36BA">
            <w:pPr>
              <w:rPr>
                <w:rFonts w:ascii="宋体" w:hAnsi="宋体" w:cs="宋体"/>
                <w:color w:val="auto"/>
                <w:sz w:val="24"/>
                <w:highlight w:val="none"/>
              </w:rPr>
            </w:pPr>
          </w:p>
        </w:tc>
        <w:tc>
          <w:tcPr>
            <w:tcW w:w="2004" w:type="dxa"/>
            <w:tcBorders>
              <w:top w:val="single" w:color="auto" w:sz="4" w:space="0"/>
              <w:left w:val="single" w:color="auto" w:sz="4" w:space="0"/>
              <w:bottom w:val="single" w:color="auto" w:sz="4" w:space="0"/>
              <w:right w:val="single" w:color="auto" w:sz="4" w:space="0"/>
            </w:tcBorders>
          </w:tcPr>
          <w:p w14:paraId="10250113">
            <w:pPr>
              <w:rPr>
                <w:rFonts w:ascii="宋体" w:hAnsi="宋体" w:cs="宋体"/>
                <w:color w:val="auto"/>
                <w:sz w:val="24"/>
                <w:highlight w:val="none"/>
              </w:rPr>
            </w:pPr>
          </w:p>
        </w:tc>
        <w:tc>
          <w:tcPr>
            <w:tcW w:w="2113" w:type="dxa"/>
            <w:tcBorders>
              <w:top w:val="single" w:color="auto" w:sz="4" w:space="0"/>
              <w:left w:val="single" w:color="auto" w:sz="4" w:space="0"/>
              <w:bottom w:val="single" w:color="auto" w:sz="4" w:space="0"/>
              <w:right w:val="single" w:color="auto" w:sz="4" w:space="0"/>
            </w:tcBorders>
          </w:tcPr>
          <w:p w14:paraId="3E2D91C4">
            <w:pPr>
              <w:rPr>
                <w:rFonts w:ascii="宋体" w:hAnsi="宋体" w:cs="宋体"/>
                <w:color w:val="auto"/>
                <w:sz w:val="24"/>
                <w:highlight w:val="none"/>
              </w:rPr>
            </w:pPr>
          </w:p>
        </w:tc>
        <w:tc>
          <w:tcPr>
            <w:tcW w:w="1750" w:type="dxa"/>
            <w:tcBorders>
              <w:top w:val="single" w:color="auto" w:sz="4" w:space="0"/>
              <w:left w:val="single" w:color="auto" w:sz="4" w:space="0"/>
              <w:bottom w:val="single" w:color="auto" w:sz="4" w:space="0"/>
              <w:right w:val="single" w:color="auto" w:sz="4" w:space="0"/>
            </w:tcBorders>
          </w:tcPr>
          <w:p w14:paraId="1BFF5717">
            <w:pPr>
              <w:rPr>
                <w:rFonts w:ascii="宋体" w:hAnsi="宋体" w:cs="宋体"/>
                <w:color w:val="auto"/>
                <w:sz w:val="24"/>
                <w:highlight w:val="none"/>
              </w:rPr>
            </w:pPr>
          </w:p>
        </w:tc>
        <w:tc>
          <w:tcPr>
            <w:tcW w:w="2514" w:type="dxa"/>
            <w:tcBorders>
              <w:top w:val="single" w:color="auto" w:sz="4" w:space="0"/>
              <w:left w:val="single" w:color="auto" w:sz="4" w:space="0"/>
              <w:bottom w:val="single" w:color="auto" w:sz="4" w:space="0"/>
              <w:right w:val="single" w:color="auto" w:sz="4" w:space="0"/>
            </w:tcBorders>
          </w:tcPr>
          <w:p w14:paraId="50FA1037">
            <w:pPr>
              <w:rPr>
                <w:rFonts w:ascii="宋体" w:hAnsi="宋体" w:cs="宋体"/>
                <w:color w:val="auto"/>
                <w:sz w:val="24"/>
                <w:highlight w:val="none"/>
              </w:rPr>
            </w:pPr>
          </w:p>
        </w:tc>
      </w:tr>
      <w:tr w14:paraId="5AE9F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8" w:hRule="atLeast"/>
          <w:jc w:val="center"/>
        </w:trPr>
        <w:tc>
          <w:tcPr>
            <w:tcW w:w="949" w:type="dxa"/>
            <w:tcBorders>
              <w:top w:val="single" w:color="auto" w:sz="4" w:space="0"/>
              <w:left w:val="single" w:color="auto" w:sz="4" w:space="0"/>
              <w:bottom w:val="single" w:color="auto" w:sz="4" w:space="0"/>
              <w:right w:val="single" w:color="auto" w:sz="4" w:space="0"/>
            </w:tcBorders>
          </w:tcPr>
          <w:p w14:paraId="02D2F40C">
            <w:pPr>
              <w:rPr>
                <w:rFonts w:ascii="宋体" w:hAnsi="宋体" w:cs="宋体"/>
                <w:color w:val="auto"/>
                <w:sz w:val="24"/>
                <w:highlight w:val="none"/>
              </w:rPr>
            </w:pPr>
          </w:p>
        </w:tc>
        <w:tc>
          <w:tcPr>
            <w:tcW w:w="2004" w:type="dxa"/>
            <w:tcBorders>
              <w:top w:val="single" w:color="auto" w:sz="4" w:space="0"/>
              <w:left w:val="single" w:color="auto" w:sz="4" w:space="0"/>
              <w:bottom w:val="single" w:color="auto" w:sz="4" w:space="0"/>
              <w:right w:val="single" w:color="auto" w:sz="4" w:space="0"/>
            </w:tcBorders>
          </w:tcPr>
          <w:p w14:paraId="6060D6C7">
            <w:pPr>
              <w:rPr>
                <w:rFonts w:ascii="宋体" w:hAnsi="宋体" w:cs="宋体"/>
                <w:color w:val="auto"/>
                <w:sz w:val="24"/>
                <w:highlight w:val="none"/>
              </w:rPr>
            </w:pPr>
          </w:p>
        </w:tc>
        <w:tc>
          <w:tcPr>
            <w:tcW w:w="2113" w:type="dxa"/>
            <w:tcBorders>
              <w:top w:val="single" w:color="auto" w:sz="4" w:space="0"/>
              <w:left w:val="single" w:color="auto" w:sz="4" w:space="0"/>
              <w:bottom w:val="single" w:color="auto" w:sz="4" w:space="0"/>
              <w:right w:val="single" w:color="auto" w:sz="4" w:space="0"/>
            </w:tcBorders>
          </w:tcPr>
          <w:p w14:paraId="1636F1E9">
            <w:pPr>
              <w:rPr>
                <w:rFonts w:ascii="宋体" w:hAnsi="宋体" w:cs="宋体"/>
                <w:color w:val="auto"/>
                <w:sz w:val="24"/>
                <w:highlight w:val="none"/>
              </w:rPr>
            </w:pPr>
          </w:p>
        </w:tc>
        <w:tc>
          <w:tcPr>
            <w:tcW w:w="1750" w:type="dxa"/>
            <w:tcBorders>
              <w:top w:val="single" w:color="auto" w:sz="4" w:space="0"/>
              <w:left w:val="single" w:color="auto" w:sz="4" w:space="0"/>
              <w:bottom w:val="single" w:color="auto" w:sz="4" w:space="0"/>
              <w:right w:val="single" w:color="auto" w:sz="4" w:space="0"/>
            </w:tcBorders>
          </w:tcPr>
          <w:p w14:paraId="63028E80">
            <w:pPr>
              <w:rPr>
                <w:rFonts w:ascii="宋体" w:hAnsi="宋体" w:cs="宋体"/>
                <w:color w:val="auto"/>
                <w:sz w:val="24"/>
                <w:highlight w:val="none"/>
              </w:rPr>
            </w:pPr>
          </w:p>
        </w:tc>
        <w:tc>
          <w:tcPr>
            <w:tcW w:w="2514" w:type="dxa"/>
            <w:tcBorders>
              <w:top w:val="single" w:color="auto" w:sz="4" w:space="0"/>
              <w:left w:val="single" w:color="auto" w:sz="4" w:space="0"/>
              <w:bottom w:val="single" w:color="auto" w:sz="4" w:space="0"/>
              <w:right w:val="single" w:color="auto" w:sz="4" w:space="0"/>
            </w:tcBorders>
          </w:tcPr>
          <w:p w14:paraId="35FFEC33">
            <w:pPr>
              <w:rPr>
                <w:rFonts w:ascii="宋体" w:hAnsi="宋体" w:cs="宋体"/>
                <w:color w:val="auto"/>
                <w:sz w:val="24"/>
                <w:highlight w:val="none"/>
              </w:rPr>
            </w:pPr>
          </w:p>
        </w:tc>
      </w:tr>
      <w:tr w14:paraId="5ED8B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9" w:hRule="atLeast"/>
          <w:jc w:val="center"/>
        </w:trPr>
        <w:tc>
          <w:tcPr>
            <w:tcW w:w="949" w:type="dxa"/>
            <w:tcBorders>
              <w:top w:val="single" w:color="auto" w:sz="4" w:space="0"/>
              <w:left w:val="single" w:color="auto" w:sz="4" w:space="0"/>
              <w:bottom w:val="single" w:color="auto" w:sz="4" w:space="0"/>
              <w:right w:val="single" w:color="auto" w:sz="4" w:space="0"/>
            </w:tcBorders>
          </w:tcPr>
          <w:p w14:paraId="50F7415C">
            <w:pPr>
              <w:rPr>
                <w:rFonts w:ascii="宋体" w:hAnsi="宋体" w:cs="宋体"/>
                <w:color w:val="auto"/>
                <w:sz w:val="24"/>
                <w:highlight w:val="none"/>
              </w:rPr>
            </w:pPr>
          </w:p>
        </w:tc>
        <w:tc>
          <w:tcPr>
            <w:tcW w:w="2004" w:type="dxa"/>
            <w:tcBorders>
              <w:top w:val="single" w:color="auto" w:sz="4" w:space="0"/>
              <w:left w:val="single" w:color="auto" w:sz="4" w:space="0"/>
              <w:bottom w:val="single" w:color="auto" w:sz="4" w:space="0"/>
              <w:right w:val="single" w:color="auto" w:sz="4" w:space="0"/>
            </w:tcBorders>
          </w:tcPr>
          <w:p w14:paraId="3BCDBBC5">
            <w:pPr>
              <w:rPr>
                <w:rFonts w:ascii="宋体" w:hAnsi="宋体" w:cs="宋体"/>
                <w:color w:val="auto"/>
                <w:sz w:val="24"/>
                <w:highlight w:val="none"/>
              </w:rPr>
            </w:pPr>
          </w:p>
        </w:tc>
        <w:tc>
          <w:tcPr>
            <w:tcW w:w="2113" w:type="dxa"/>
            <w:tcBorders>
              <w:top w:val="single" w:color="auto" w:sz="4" w:space="0"/>
              <w:left w:val="single" w:color="auto" w:sz="4" w:space="0"/>
              <w:bottom w:val="single" w:color="auto" w:sz="4" w:space="0"/>
              <w:right w:val="single" w:color="auto" w:sz="4" w:space="0"/>
            </w:tcBorders>
          </w:tcPr>
          <w:p w14:paraId="4C4D93A3">
            <w:pPr>
              <w:rPr>
                <w:rFonts w:ascii="宋体" w:hAnsi="宋体" w:cs="宋体"/>
                <w:color w:val="auto"/>
                <w:sz w:val="24"/>
                <w:highlight w:val="none"/>
              </w:rPr>
            </w:pPr>
          </w:p>
        </w:tc>
        <w:tc>
          <w:tcPr>
            <w:tcW w:w="1750" w:type="dxa"/>
            <w:tcBorders>
              <w:top w:val="single" w:color="auto" w:sz="4" w:space="0"/>
              <w:left w:val="single" w:color="auto" w:sz="4" w:space="0"/>
              <w:bottom w:val="single" w:color="auto" w:sz="4" w:space="0"/>
              <w:right w:val="single" w:color="auto" w:sz="4" w:space="0"/>
            </w:tcBorders>
          </w:tcPr>
          <w:p w14:paraId="2CF9113D">
            <w:pPr>
              <w:rPr>
                <w:rFonts w:ascii="宋体" w:hAnsi="宋体" w:cs="宋体"/>
                <w:color w:val="auto"/>
                <w:sz w:val="24"/>
                <w:highlight w:val="none"/>
              </w:rPr>
            </w:pPr>
          </w:p>
        </w:tc>
        <w:tc>
          <w:tcPr>
            <w:tcW w:w="2514" w:type="dxa"/>
            <w:tcBorders>
              <w:top w:val="single" w:color="auto" w:sz="4" w:space="0"/>
              <w:left w:val="single" w:color="auto" w:sz="4" w:space="0"/>
              <w:bottom w:val="single" w:color="auto" w:sz="4" w:space="0"/>
              <w:right w:val="single" w:color="auto" w:sz="4" w:space="0"/>
            </w:tcBorders>
          </w:tcPr>
          <w:p w14:paraId="662189FD">
            <w:pPr>
              <w:rPr>
                <w:rFonts w:ascii="宋体" w:hAnsi="宋体" w:cs="宋体"/>
                <w:color w:val="auto"/>
                <w:sz w:val="24"/>
                <w:highlight w:val="none"/>
              </w:rPr>
            </w:pPr>
          </w:p>
        </w:tc>
      </w:tr>
      <w:tr w14:paraId="4BC52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9" w:hRule="atLeast"/>
          <w:jc w:val="center"/>
        </w:trPr>
        <w:tc>
          <w:tcPr>
            <w:tcW w:w="949" w:type="dxa"/>
            <w:tcBorders>
              <w:top w:val="single" w:color="auto" w:sz="4" w:space="0"/>
              <w:left w:val="single" w:color="auto" w:sz="4" w:space="0"/>
              <w:bottom w:val="single" w:color="auto" w:sz="4" w:space="0"/>
              <w:right w:val="single" w:color="auto" w:sz="4" w:space="0"/>
            </w:tcBorders>
          </w:tcPr>
          <w:p w14:paraId="6FE08814">
            <w:pPr>
              <w:rPr>
                <w:rFonts w:ascii="宋体" w:hAnsi="宋体" w:cs="宋体"/>
                <w:color w:val="auto"/>
                <w:sz w:val="24"/>
                <w:highlight w:val="none"/>
              </w:rPr>
            </w:pPr>
          </w:p>
        </w:tc>
        <w:tc>
          <w:tcPr>
            <w:tcW w:w="2004" w:type="dxa"/>
            <w:tcBorders>
              <w:top w:val="single" w:color="auto" w:sz="4" w:space="0"/>
              <w:left w:val="single" w:color="auto" w:sz="4" w:space="0"/>
              <w:bottom w:val="single" w:color="auto" w:sz="4" w:space="0"/>
              <w:right w:val="single" w:color="auto" w:sz="4" w:space="0"/>
            </w:tcBorders>
          </w:tcPr>
          <w:p w14:paraId="55EEAD46">
            <w:pPr>
              <w:rPr>
                <w:rFonts w:ascii="宋体" w:hAnsi="宋体" w:cs="宋体"/>
                <w:color w:val="auto"/>
                <w:sz w:val="24"/>
                <w:highlight w:val="none"/>
              </w:rPr>
            </w:pPr>
          </w:p>
        </w:tc>
        <w:tc>
          <w:tcPr>
            <w:tcW w:w="2113" w:type="dxa"/>
            <w:tcBorders>
              <w:top w:val="single" w:color="auto" w:sz="4" w:space="0"/>
              <w:left w:val="single" w:color="auto" w:sz="4" w:space="0"/>
              <w:bottom w:val="single" w:color="auto" w:sz="4" w:space="0"/>
              <w:right w:val="single" w:color="auto" w:sz="4" w:space="0"/>
            </w:tcBorders>
          </w:tcPr>
          <w:p w14:paraId="5465B111">
            <w:pPr>
              <w:rPr>
                <w:rFonts w:ascii="宋体" w:hAnsi="宋体" w:cs="宋体"/>
                <w:color w:val="auto"/>
                <w:sz w:val="24"/>
                <w:highlight w:val="none"/>
              </w:rPr>
            </w:pPr>
          </w:p>
        </w:tc>
        <w:tc>
          <w:tcPr>
            <w:tcW w:w="1750" w:type="dxa"/>
            <w:tcBorders>
              <w:top w:val="single" w:color="auto" w:sz="4" w:space="0"/>
              <w:left w:val="single" w:color="auto" w:sz="4" w:space="0"/>
              <w:bottom w:val="single" w:color="auto" w:sz="4" w:space="0"/>
              <w:right w:val="single" w:color="auto" w:sz="4" w:space="0"/>
            </w:tcBorders>
          </w:tcPr>
          <w:p w14:paraId="6BFA86B5">
            <w:pPr>
              <w:rPr>
                <w:rFonts w:ascii="宋体" w:hAnsi="宋体" w:cs="宋体"/>
                <w:color w:val="auto"/>
                <w:sz w:val="24"/>
                <w:highlight w:val="none"/>
              </w:rPr>
            </w:pPr>
          </w:p>
        </w:tc>
        <w:tc>
          <w:tcPr>
            <w:tcW w:w="2514" w:type="dxa"/>
            <w:tcBorders>
              <w:top w:val="single" w:color="auto" w:sz="4" w:space="0"/>
              <w:left w:val="single" w:color="auto" w:sz="4" w:space="0"/>
              <w:bottom w:val="single" w:color="auto" w:sz="4" w:space="0"/>
              <w:right w:val="single" w:color="auto" w:sz="4" w:space="0"/>
            </w:tcBorders>
          </w:tcPr>
          <w:p w14:paraId="7F598054">
            <w:pPr>
              <w:rPr>
                <w:rFonts w:ascii="宋体" w:hAnsi="宋体" w:cs="宋体"/>
                <w:color w:val="auto"/>
                <w:sz w:val="24"/>
                <w:highlight w:val="none"/>
              </w:rPr>
            </w:pPr>
          </w:p>
        </w:tc>
      </w:tr>
      <w:tr w14:paraId="0A095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9" w:hRule="atLeast"/>
          <w:jc w:val="center"/>
        </w:trPr>
        <w:tc>
          <w:tcPr>
            <w:tcW w:w="949" w:type="dxa"/>
            <w:tcBorders>
              <w:top w:val="single" w:color="auto" w:sz="4" w:space="0"/>
              <w:left w:val="single" w:color="auto" w:sz="4" w:space="0"/>
              <w:bottom w:val="single" w:color="auto" w:sz="4" w:space="0"/>
              <w:right w:val="single" w:color="auto" w:sz="4" w:space="0"/>
            </w:tcBorders>
          </w:tcPr>
          <w:p w14:paraId="7C61F97D">
            <w:pPr>
              <w:rPr>
                <w:rFonts w:ascii="宋体" w:hAnsi="宋体" w:cs="宋体"/>
                <w:color w:val="auto"/>
                <w:sz w:val="24"/>
                <w:highlight w:val="none"/>
              </w:rPr>
            </w:pPr>
          </w:p>
        </w:tc>
        <w:tc>
          <w:tcPr>
            <w:tcW w:w="2004" w:type="dxa"/>
            <w:tcBorders>
              <w:top w:val="single" w:color="auto" w:sz="4" w:space="0"/>
              <w:left w:val="single" w:color="auto" w:sz="4" w:space="0"/>
              <w:bottom w:val="single" w:color="auto" w:sz="4" w:space="0"/>
              <w:right w:val="single" w:color="auto" w:sz="4" w:space="0"/>
            </w:tcBorders>
          </w:tcPr>
          <w:p w14:paraId="139B9154">
            <w:pPr>
              <w:rPr>
                <w:rFonts w:ascii="宋体" w:hAnsi="宋体" w:cs="宋体"/>
                <w:color w:val="auto"/>
                <w:sz w:val="24"/>
                <w:highlight w:val="none"/>
              </w:rPr>
            </w:pPr>
          </w:p>
        </w:tc>
        <w:tc>
          <w:tcPr>
            <w:tcW w:w="2113" w:type="dxa"/>
            <w:tcBorders>
              <w:top w:val="single" w:color="auto" w:sz="4" w:space="0"/>
              <w:left w:val="single" w:color="auto" w:sz="4" w:space="0"/>
              <w:bottom w:val="single" w:color="auto" w:sz="4" w:space="0"/>
              <w:right w:val="single" w:color="auto" w:sz="4" w:space="0"/>
            </w:tcBorders>
          </w:tcPr>
          <w:p w14:paraId="5D75EF3D">
            <w:pPr>
              <w:rPr>
                <w:rFonts w:ascii="宋体" w:hAnsi="宋体" w:cs="宋体"/>
                <w:color w:val="auto"/>
                <w:sz w:val="24"/>
                <w:highlight w:val="none"/>
              </w:rPr>
            </w:pPr>
          </w:p>
        </w:tc>
        <w:tc>
          <w:tcPr>
            <w:tcW w:w="1750" w:type="dxa"/>
            <w:tcBorders>
              <w:top w:val="single" w:color="auto" w:sz="4" w:space="0"/>
              <w:left w:val="single" w:color="auto" w:sz="4" w:space="0"/>
              <w:bottom w:val="single" w:color="auto" w:sz="4" w:space="0"/>
              <w:right w:val="single" w:color="auto" w:sz="4" w:space="0"/>
            </w:tcBorders>
          </w:tcPr>
          <w:p w14:paraId="47FE5312">
            <w:pPr>
              <w:rPr>
                <w:rFonts w:ascii="宋体" w:hAnsi="宋体" w:cs="宋体"/>
                <w:color w:val="auto"/>
                <w:sz w:val="24"/>
                <w:highlight w:val="none"/>
              </w:rPr>
            </w:pPr>
          </w:p>
        </w:tc>
        <w:tc>
          <w:tcPr>
            <w:tcW w:w="2514" w:type="dxa"/>
            <w:tcBorders>
              <w:top w:val="single" w:color="auto" w:sz="4" w:space="0"/>
              <w:left w:val="single" w:color="auto" w:sz="4" w:space="0"/>
              <w:bottom w:val="single" w:color="auto" w:sz="4" w:space="0"/>
              <w:right w:val="single" w:color="auto" w:sz="4" w:space="0"/>
            </w:tcBorders>
          </w:tcPr>
          <w:p w14:paraId="6220ABBA">
            <w:pPr>
              <w:rPr>
                <w:rFonts w:ascii="宋体" w:hAnsi="宋体" w:cs="宋体"/>
                <w:color w:val="auto"/>
                <w:sz w:val="24"/>
                <w:highlight w:val="none"/>
              </w:rPr>
            </w:pPr>
          </w:p>
        </w:tc>
      </w:tr>
      <w:tr w14:paraId="649A1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9" w:hRule="atLeast"/>
          <w:jc w:val="center"/>
        </w:trPr>
        <w:tc>
          <w:tcPr>
            <w:tcW w:w="949" w:type="dxa"/>
            <w:tcBorders>
              <w:top w:val="single" w:color="auto" w:sz="4" w:space="0"/>
              <w:left w:val="single" w:color="auto" w:sz="4" w:space="0"/>
              <w:bottom w:val="single" w:color="auto" w:sz="4" w:space="0"/>
              <w:right w:val="single" w:color="auto" w:sz="4" w:space="0"/>
            </w:tcBorders>
          </w:tcPr>
          <w:p w14:paraId="1F3AA16A">
            <w:pPr>
              <w:rPr>
                <w:rFonts w:ascii="宋体" w:hAnsi="宋体" w:cs="宋体"/>
                <w:color w:val="auto"/>
                <w:sz w:val="24"/>
                <w:highlight w:val="none"/>
              </w:rPr>
            </w:pPr>
          </w:p>
        </w:tc>
        <w:tc>
          <w:tcPr>
            <w:tcW w:w="2004" w:type="dxa"/>
            <w:tcBorders>
              <w:top w:val="single" w:color="auto" w:sz="4" w:space="0"/>
              <w:left w:val="single" w:color="auto" w:sz="4" w:space="0"/>
              <w:bottom w:val="single" w:color="auto" w:sz="4" w:space="0"/>
              <w:right w:val="single" w:color="auto" w:sz="4" w:space="0"/>
            </w:tcBorders>
          </w:tcPr>
          <w:p w14:paraId="629D1787">
            <w:pPr>
              <w:rPr>
                <w:rFonts w:ascii="宋体" w:hAnsi="宋体" w:cs="宋体"/>
                <w:color w:val="auto"/>
                <w:sz w:val="24"/>
                <w:highlight w:val="none"/>
              </w:rPr>
            </w:pPr>
          </w:p>
        </w:tc>
        <w:tc>
          <w:tcPr>
            <w:tcW w:w="2113" w:type="dxa"/>
            <w:tcBorders>
              <w:top w:val="single" w:color="auto" w:sz="4" w:space="0"/>
              <w:left w:val="single" w:color="auto" w:sz="4" w:space="0"/>
              <w:bottom w:val="single" w:color="auto" w:sz="4" w:space="0"/>
              <w:right w:val="single" w:color="auto" w:sz="4" w:space="0"/>
            </w:tcBorders>
          </w:tcPr>
          <w:p w14:paraId="41B95B34">
            <w:pPr>
              <w:rPr>
                <w:rFonts w:ascii="宋体" w:hAnsi="宋体" w:cs="宋体"/>
                <w:color w:val="auto"/>
                <w:sz w:val="24"/>
                <w:highlight w:val="none"/>
              </w:rPr>
            </w:pPr>
          </w:p>
        </w:tc>
        <w:tc>
          <w:tcPr>
            <w:tcW w:w="1750" w:type="dxa"/>
            <w:tcBorders>
              <w:top w:val="single" w:color="auto" w:sz="4" w:space="0"/>
              <w:left w:val="single" w:color="auto" w:sz="4" w:space="0"/>
              <w:bottom w:val="single" w:color="auto" w:sz="4" w:space="0"/>
              <w:right w:val="single" w:color="auto" w:sz="4" w:space="0"/>
            </w:tcBorders>
          </w:tcPr>
          <w:p w14:paraId="4D91A37E">
            <w:pPr>
              <w:rPr>
                <w:rFonts w:ascii="宋体" w:hAnsi="宋体" w:cs="宋体"/>
                <w:color w:val="auto"/>
                <w:sz w:val="24"/>
                <w:highlight w:val="none"/>
              </w:rPr>
            </w:pPr>
          </w:p>
        </w:tc>
        <w:tc>
          <w:tcPr>
            <w:tcW w:w="2514" w:type="dxa"/>
            <w:tcBorders>
              <w:top w:val="single" w:color="auto" w:sz="4" w:space="0"/>
              <w:left w:val="single" w:color="auto" w:sz="4" w:space="0"/>
              <w:bottom w:val="single" w:color="auto" w:sz="4" w:space="0"/>
              <w:right w:val="single" w:color="auto" w:sz="4" w:space="0"/>
            </w:tcBorders>
          </w:tcPr>
          <w:p w14:paraId="376F54B9">
            <w:pPr>
              <w:rPr>
                <w:rFonts w:ascii="宋体" w:hAnsi="宋体" w:cs="宋体"/>
                <w:color w:val="auto"/>
                <w:sz w:val="24"/>
                <w:highlight w:val="none"/>
              </w:rPr>
            </w:pPr>
          </w:p>
        </w:tc>
      </w:tr>
      <w:tr w14:paraId="60A28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9" w:hRule="atLeast"/>
          <w:jc w:val="center"/>
        </w:trPr>
        <w:tc>
          <w:tcPr>
            <w:tcW w:w="949" w:type="dxa"/>
            <w:tcBorders>
              <w:top w:val="single" w:color="auto" w:sz="4" w:space="0"/>
              <w:left w:val="single" w:color="auto" w:sz="4" w:space="0"/>
              <w:bottom w:val="single" w:color="auto" w:sz="4" w:space="0"/>
              <w:right w:val="single" w:color="auto" w:sz="4" w:space="0"/>
            </w:tcBorders>
          </w:tcPr>
          <w:p w14:paraId="56C2FCA8">
            <w:pPr>
              <w:rPr>
                <w:rFonts w:ascii="宋体" w:hAnsi="宋体" w:cs="宋体"/>
                <w:color w:val="auto"/>
                <w:sz w:val="24"/>
                <w:highlight w:val="none"/>
              </w:rPr>
            </w:pPr>
          </w:p>
        </w:tc>
        <w:tc>
          <w:tcPr>
            <w:tcW w:w="2004" w:type="dxa"/>
            <w:tcBorders>
              <w:top w:val="single" w:color="auto" w:sz="4" w:space="0"/>
              <w:left w:val="single" w:color="auto" w:sz="4" w:space="0"/>
              <w:bottom w:val="single" w:color="auto" w:sz="4" w:space="0"/>
              <w:right w:val="single" w:color="auto" w:sz="4" w:space="0"/>
            </w:tcBorders>
          </w:tcPr>
          <w:p w14:paraId="0E6AA75F">
            <w:pPr>
              <w:rPr>
                <w:rFonts w:ascii="宋体" w:hAnsi="宋体" w:cs="宋体"/>
                <w:color w:val="auto"/>
                <w:sz w:val="24"/>
                <w:highlight w:val="none"/>
              </w:rPr>
            </w:pPr>
          </w:p>
        </w:tc>
        <w:tc>
          <w:tcPr>
            <w:tcW w:w="2113" w:type="dxa"/>
            <w:tcBorders>
              <w:top w:val="single" w:color="auto" w:sz="4" w:space="0"/>
              <w:left w:val="single" w:color="auto" w:sz="4" w:space="0"/>
              <w:bottom w:val="single" w:color="auto" w:sz="4" w:space="0"/>
              <w:right w:val="single" w:color="auto" w:sz="4" w:space="0"/>
            </w:tcBorders>
          </w:tcPr>
          <w:p w14:paraId="2429294A">
            <w:pPr>
              <w:rPr>
                <w:rFonts w:ascii="宋体" w:hAnsi="宋体" w:cs="宋体"/>
                <w:color w:val="auto"/>
                <w:sz w:val="24"/>
                <w:highlight w:val="none"/>
              </w:rPr>
            </w:pPr>
          </w:p>
        </w:tc>
        <w:tc>
          <w:tcPr>
            <w:tcW w:w="1750" w:type="dxa"/>
            <w:tcBorders>
              <w:top w:val="single" w:color="auto" w:sz="4" w:space="0"/>
              <w:left w:val="single" w:color="auto" w:sz="4" w:space="0"/>
              <w:bottom w:val="single" w:color="auto" w:sz="4" w:space="0"/>
              <w:right w:val="single" w:color="auto" w:sz="4" w:space="0"/>
            </w:tcBorders>
          </w:tcPr>
          <w:p w14:paraId="509C5E63">
            <w:pPr>
              <w:rPr>
                <w:rFonts w:ascii="宋体" w:hAnsi="宋体" w:cs="宋体"/>
                <w:color w:val="auto"/>
                <w:sz w:val="24"/>
                <w:highlight w:val="none"/>
              </w:rPr>
            </w:pPr>
          </w:p>
        </w:tc>
        <w:tc>
          <w:tcPr>
            <w:tcW w:w="2514" w:type="dxa"/>
            <w:tcBorders>
              <w:top w:val="single" w:color="auto" w:sz="4" w:space="0"/>
              <w:left w:val="single" w:color="auto" w:sz="4" w:space="0"/>
              <w:bottom w:val="single" w:color="auto" w:sz="4" w:space="0"/>
              <w:right w:val="single" w:color="auto" w:sz="4" w:space="0"/>
            </w:tcBorders>
          </w:tcPr>
          <w:p w14:paraId="0766DF13">
            <w:pPr>
              <w:rPr>
                <w:rFonts w:ascii="宋体" w:hAnsi="宋体" w:cs="宋体"/>
                <w:color w:val="auto"/>
                <w:sz w:val="24"/>
                <w:highlight w:val="none"/>
              </w:rPr>
            </w:pPr>
          </w:p>
        </w:tc>
      </w:tr>
      <w:tr w14:paraId="65AD6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9" w:hRule="atLeast"/>
          <w:jc w:val="center"/>
        </w:trPr>
        <w:tc>
          <w:tcPr>
            <w:tcW w:w="949" w:type="dxa"/>
            <w:tcBorders>
              <w:top w:val="single" w:color="auto" w:sz="4" w:space="0"/>
              <w:left w:val="single" w:color="auto" w:sz="4" w:space="0"/>
              <w:bottom w:val="single" w:color="auto" w:sz="4" w:space="0"/>
              <w:right w:val="single" w:color="auto" w:sz="4" w:space="0"/>
            </w:tcBorders>
          </w:tcPr>
          <w:p w14:paraId="2954BB08">
            <w:pPr>
              <w:rPr>
                <w:rFonts w:ascii="宋体" w:hAnsi="宋体" w:cs="宋体"/>
                <w:color w:val="auto"/>
                <w:sz w:val="24"/>
                <w:highlight w:val="none"/>
              </w:rPr>
            </w:pPr>
          </w:p>
        </w:tc>
        <w:tc>
          <w:tcPr>
            <w:tcW w:w="2004" w:type="dxa"/>
            <w:tcBorders>
              <w:top w:val="single" w:color="auto" w:sz="4" w:space="0"/>
              <w:left w:val="single" w:color="auto" w:sz="4" w:space="0"/>
              <w:bottom w:val="single" w:color="auto" w:sz="4" w:space="0"/>
              <w:right w:val="single" w:color="auto" w:sz="4" w:space="0"/>
            </w:tcBorders>
          </w:tcPr>
          <w:p w14:paraId="764BCF91">
            <w:pPr>
              <w:rPr>
                <w:rFonts w:ascii="宋体" w:hAnsi="宋体" w:cs="宋体"/>
                <w:color w:val="auto"/>
                <w:sz w:val="24"/>
                <w:highlight w:val="none"/>
              </w:rPr>
            </w:pPr>
          </w:p>
        </w:tc>
        <w:tc>
          <w:tcPr>
            <w:tcW w:w="2113" w:type="dxa"/>
            <w:tcBorders>
              <w:top w:val="single" w:color="auto" w:sz="4" w:space="0"/>
              <w:left w:val="single" w:color="auto" w:sz="4" w:space="0"/>
              <w:bottom w:val="single" w:color="auto" w:sz="4" w:space="0"/>
              <w:right w:val="single" w:color="auto" w:sz="4" w:space="0"/>
            </w:tcBorders>
          </w:tcPr>
          <w:p w14:paraId="743A752F">
            <w:pPr>
              <w:rPr>
                <w:rFonts w:ascii="宋体" w:hAnsi="宋体" w:cs="宋体"/>
                <w:color w:val="auto"/>
                <w:sz w:val="24"/>
                <w:highlight w:val="none"/>
              </w:rPr>
            </w:pPr>
          </w:p>
        </w:tc>
        <w:tc>
          <w:tcPr>
            <w:tcW w:w="1750" w:type="dxa"/>
            <w:tcBorders>
              <w:top w:val="single" w:color="auto" w:sz="4" w:space="0"/>
              <w:left w:val="single" w:color="auto" w:sz="4" w:space="0"/>
              <w:bottom w:val="single" w:color="auto" w:sz="4" w:space="0"/>
              <w:right w:val="single" w:color="auto" w:sz="4" w:space="0"/>
            </w:tcBorders>
          </w:tcPr>
          <w:p w14:paraId="0A375B40">
            <w:pPr>
              <w:rPr>
                <w:rFonts w:ascii="宋体" w:hAnsi="宋体" w:cs="宋体"/>
                <w:color w:val="auto"/>
                <w:sz w:val="24"/>
                <w:highlight w:val="none"/>
              </w:rPr>
            </w:pPr>
          </w:p>
        </w:tc>
        <w:tc>
          <w:tcPr>
            <w:tcW w:w="2514" w:type="dxa"/>
            <w:tcBorders>
              <w:top w:val="single" w:color="auto" w:sz="4" w:space="0"/>
              <w:left w:val="single" w:color="auto" w:sz="4" w:space="0"/>
              <w:bottom w:val="single" w:color="auto" w:sz="4" w:space="0"/>
              <w:right w:val="single" w:color="auto" w:sz="4" w:space="0"/>
            </w:tcBorders>
          </w:tcPr>
          <w:p w14:paraId="6EDF006C">
            <w:pPr>
              <w:rPr>
                <w:rFonts w:ascii="宋体" w:hAnsi="宋体" w:cs="宋体"/>
                <w:color w:val="auto"/>
                <w:sz w:val="24"/>
                <w:highlight w:val="none"/>
              </w:rPr>
            </w:pPr>
          </w:p>
        </w:tc>
      </w:tr>
      <w:tr w14:paraId="6B433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9" w:hRule="atLeast"/>
          <w:jc w:val="center"/>
        </w:trPr>
        <w:tc>
          <w:tcPr>
            <w:tcW w:w="949" w:type="dxa"/>
            <w:tcBorders>
              <w:top w:val="single" w:color="auto" w:sz="4" w:space="0"/>
              <w:left w:val="single" w:color="auto" w:sz="4" w:space="0"/>
              <w:bottom w:val="single" w:color="auto" w:sz="4" w:space="0"/>
              <w:right w:val="single" w:color="auto" w:sz="4" w:space="0"/>
            </w:tcBorders>
          </w:tcPr>
          <w:p w14:paraId="7B3C3C80">
            <w:pPr>
              <w:rPr>
                <w:rFonts w:ascii="宋体" w:hAnsi="宋体" w:cs="宋体"/>
                <w:color w:val="auto"/>
                <w:sz w:val="24"/>
                <w:highlight w:val="none"/>
              </w:rPr>
            </w:pPr>
          </w:p>
        </w:tc>
        <w:tc>
          <w:tcPr>
            <w:tcW w:w="2004" w:type="dxa"/>
            <w:tcBorders>
              <w:top w:val="single" w:color="auto" w:sz="4" w:space="0"/>
              <w:left w:val="single" w:color="auto" w:sz="4" w:space="0"/>
              <w:bottom w:val="single" w:color="auto" w:sz="4" w:space="0"/>
              <w:right w:val="single" w:color="auto" w:sz="4" w:space="0"/>
            </w:tcBorders>
          </w:tcPr>
          <w:p w14:paraId="2979CFED">
            <w:pPr>
              <w:rPr>
                <w:rFonts w:ascii="宋体" w:hAnsi="宋体" w:cs="宋体"/>
                <w:color w:val="auto"/>
                <w:sz w:val="24"/>
                <w:highlight w:val="none"/>
              </w:rPr>
            </w:pPr>
          </w:p>
        </w:tc>
        <w:tc>
          <w:tcPr>
            <w:tcW w:w="2113" w:type="dxa"/>
            <w:tcBorders>
              <w:top w:val="single" w:color="auto" w:sz="4" w:space="0"/>
              <w:left w:val="single" w:color="auto" w:sz="4" w:space="0"/>
              <w:bottom w:val="single" w:color="auto" w:sz="4" w:space="0"/>
              <w:right w:val="single" w:color="auto" w:sz="4" w:space="0"/>
            </w:tcBorders>
          </w:tcPr>
          <w:p w14:paraId="2FB02C51">
            <w:pPr>
              <w:rPr>
                <w:rFonts w:ascii="宋体" w:hAnsi="宋体" w:cs="宋体"/>
                <w:color w:val="auto"/>
                <w:sz w:val="24"/>
                <w:highlight w:val="none"/>
              </w:rPr>
            </w:pPr>
          </w:p>
        </w:tc>
        <w:tc>
          <w:tcPr>
            <w:tcW w:w="1750" w:type="dxa"/>
            <w:tcBorders>
              <w:top w:val="single" w:color="auto" w:sz="4" w:space="0"/>
              <w:left w:val="single" w:color="auto" w:sz="4" w:space="0"/>
              <w:bottom w:val="single" w:color="auto" w:sz="4" w:space="0"/>
              <w:right w:val="single" w:color="auto" w:sz="4" w:space="0"/>
            </w:tcBorders>
          </w:tcPr>
          <w:p w14:paraId="3ECF73EF">
            <w:pPr>
              <w:rPr>
                <w:rFonts w:ascii="宋体" w:hAnsi="宋体" w:cs="宋体"/>
                <w:color w:val="auto"/>
                <w:sz w:val="24"/>
                <w:highlight w:val="none"/>
              </w:rPr>
            </w:pPr>
          </w:p>
        </w:tc>
        <w:tc>
          <w:tcPr>
            <w:tcW w:w="2514" w:type="dxa"/>
            <w:tcBorders>
              <w:top w:val="single" w:color="auto" w:sz="4" w:space="0"/>
              <w:left w:val="single" w:color="auto" w:sz="4" w:space="0"/>
              <w:bottom w:val="single" w:color="auto" w:sz="4" w:space="0"/>
              <w:right w:val="single" w:color="auto" w:sz="4" w:space="0"/>
            </w:tcBorders>
          </w:tcPr>
          <w:p w14:paraId="7DCE1FE9">
            <w:pPr>
              <w:rPr>
                <w:rFonts w:ascii="宋体" w:hAnsi="宋体" w:cs="宋体"/>
                <w:color w:val="auto"/>
                <w:sz w:val="24"/>
                <w:highlight w:val="none"/>
              </w:rPr>
            </w:pPr>
          </w:p>
        </w:tc>
      </w:tr>
      <w:tr w14:paraId="3D8F9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9" w:hRule="atLeast"/>
          <w:jc w:val="center"/>
        </w:trPr>
        <w:tc>
          <w:tcPr>
            <w:tcW w:w="949" w:type="dxa"/>
            <w:tcBorders>
              <w:top w:val="single" w:color="auto" w:sz="4" w:space="0"/>
              <w:left w:val="single" w:color="auto" w:sz="4" w:space="0"/>
              <w:bottom w:val="single" w:color="auto" w:sz="4" w:space="0"/>
              <w:right w:val="single" w:color="auto" w:sz="4" w:space="0"/>
            </w:tcBorders>
          </w:tcPr>
          <w:p w14:paraId="0A95ED00">
            <w:pPr>
              <w:rPr>
                <w:rFonts w:ascii="宋体" w:hAnsi="宋体" w:cs="宋体"/>
                <w:color w:val="auto"/>
                <w:sz w:val="24"/>
                <w:highlight w:val="none"/>
              </w:rPr>
            </w:pPr>
          </w:p>
        </w:tc>
        <w:tc>
          <w:tcPr>
            <w:tcW w:w="2004" w:type="dxa"/>
            <w:tcBorders>
              <w:top w:val="single" w:color="auto" w:sz="4" w:space="0"/>
              <w:left w:val="single" w:color="auto" w:sz="4" w:space="0"/>
              <w:bottom w:val="single" w:color="auto" w:sz="4" w:space="0"/>
              <w:right w:val="single" w:color="auto" w:sz="4" w:space="0"/>
            </w:tcBorders>
          </w:tcPr>
          <w:p w14:paraId="3FFB338E">
            <w:pPr>
              <w:rPr>
                <w:rFonts w:ascii="宋体" w:hAnsi="宋体" w:cs="宋体"/>
                <w:color w:val="auto"/>
                <w:sz w:val="24"/>
                <w:highlight w:val="none"/>
              </w:rPr>
            </w:pPr>
          </w:p>
        </w:tc>
        <w:tc>
          <w:tcPr>
            <w:tcW w:w="2113" w:type="dxa"/>
            <w:tcBorders>
              <w:top w:val="single" w:color="auto" w:sz="4" w:space="0"/>
              <w:left w:val="single" w:color="auto" w:sz="4" w:space="0"/>
              <w:bottom w:val="single" w:color="auto" w:sz="4" w:space="0"/>
              <w:right w:val="single" w:color="auto" w:sz="4" w:space="0"/>
            </w:tcBorders>
          </w:tcPr>
          <w:p w14:paraId="50AF6078">
            <w:pPr>
              <w:rPr>
                <w:rFonts w:ascii="宋体" w:hAnsi="宋体" w:cs="宋体"/>
                <w:color w:val="auto"/>
                <w:sz w:val="24"/>
                <w:highlight w:val="none"/>
              </w:rPr>
            </w:pPr>
          </w:p>
        </w:tc>
        <w:tc>
          <w:tcPr>
            <w:tcW w:w="1750" w:type="dxa"/>
            <w:tcBorders>
              <w:top w:val="single" w:color="auto" w:sz="4" w:space="0"/>
              <w:left w:val="single" w:color="auto" w:sz="4" w:space="0"/>
              <w:bottom w:val="single" w:color="auto" w:sz="4" w:space="0"/>
              <w:right w:val="single" w:color="auto" w:sz="4" w:space="0"/>
            </w:tcBorders>
          </w:tcPr>
          <w:p w14:paraId="5E0C91E1">
            <w:pPr>
              <w:rPr>
                <w:rFonts w:ascii="宋体" w:hAnsi="宋体" w:cs="宋体"/>
                <w:color w:val="auto"/>
                <w:sz w:val="24"/>
                <w:highlight w:val="none"/>
              </w:rPr>
            </w:pPr>
          </w:p>
        </w:tc>
        <w:tc>
          <w:tcPr>
            <w:tcW w:w="2514" w:type="dxa"/>
            <w:tcBorders>
              <w:top w:val="single" w:color="auto" w:sz="4" w:space="0"/>
              <w:left w:val="single" w:color="auto" w:sz="4" w:space="0"/>
              <w:bottom w:val="single" w:color="auto" w:sz="4" w:space="0"/>
              <w:right w:val="single" w:color="auto" w:sz="4" w:space="0"/>
            </w:tcBorders>
          </w:tcPr>
          <w:p w14:paraId="28CCC66D">
            <w:pPr>
              <w:rPr>
                <w:rFonts w:ascii="宋体" w:hAnsi="宋体" w:cs="宋体"/>
                <w:color w:val="auto"/>
                <w:sz w:val="24"/>
                <w:highlight w:val="none"/>
              </w:rPr>
            </w:pPr>
          </w:p>
        </w:tc>
      </w:tr>
    </w:tbl>
    <w:p w14:paraId="302319CE">
      <w:pPr>
        <w:snapToGrid w:val="0"/>
        <w:spacing w:before="50" w:after="50"/>
        <w:rPr>
          <w:rFonts w:ascii="宋体" w:hAnsi="宋体" w:cs="宋体"/>
          <w:b/>
          <w:bCs/>
          <w:color w:val="auto"/>
          <w:sz w:val="24"/>
          <w:highlight w:val="none"/>
        </w:rPr>
      </w:pPr>
    </w:p>
    <w:p w14:paraId="0B89DAD4">
      <w:pPr>
        <w:snapToGrid w:val="0"/>
        <w:spacing w:before="50" w:after="50"/>
        <w:rPr>
          <w:rFonts w:ascii="宋体" w:hAnsi="宋体" w:cs="宋体"/>
          <w:b/>
          <w:bCs/>
          <w:color w:val="auto"/>
          <w:spacing w:val="20"/>
          <w:sz w:val="24"/>
          <w:highlight w:val="none"/>
        </w:rPr>
      </w:pPr>
      <w:r>
        <w:rPr>
          <w:rFonts w:hint="eastAsia" w:ascii="宋体" w:hAnsi="宋体" w:cs="宋体"/>
          <w:b/>
          <w:bCs/>
          <w:color w:val="auto"/>
          <w:sz w:val="24"/>
          <w:highlight w:val="none"/>
        </w:rPr>
        <w:t>注：投标人应根据投标货物的性能指标、对照招标文件要求在“偏离情况”栏注明“正偏离”、“负偏离”或“无偏离”。</w:t>
      </w:r>
    </w:p>
    <w:p w14:paraId="71A87D5E">
      <w:pPr>
        <w:snapToGrid w:val="0"/>
        <w:spacing w:before="50" w:after="50"/>
        <w:rPr>
          <w:rFonts w:ascii="宋体" w:hAnsi="宋体" w:cs="宋体"/>
          <w:color w:val="auto"/>
          <w:spacing w:val="20"/>
          <w:sz w:val="24"/>
          <w:highlight w:val="none"/>
        </w:rPr>
      </w:pPr>
    </w:p>
    <w:p w14:paraId="47D1D3E8">
      <w:pPr>
        <w:snapToGrid w:val="0"/>
        <w:spacing w:before="50" w:after="50"/>
        <w:rPr>
          <w:rFonts w:ascii="宋体" w:hAnsi="宋体" w:cs="宋体"/>
          <w:color w:val="auto"/>
          <w:spacing w:val="20"/>
          <w:sz w:val="24"/>
          <w:highlight w:val="none"/>
          <w:u w:val="single"/>
        </w:rPr>
      </w:pPr>
      <w:r>
        <w:rPr>
          <w:rFonts w:hint="eastAsia" w:ascii="宋体" w:hAnsi="宋体" w:cs="宋体"/>
          <w:color w:val="auto"/>
          <w:sz w:val="24"/>
          <w:highlight w:val="none"/>
        </w:rPr>
        <w:t>法定代表人或委托代理人签字</w:t>
      </w:r>
      <w:r>
        <w:rPr>
          <w:rFonts w:hint="eastAsia" w:ascii="宋体" w:hAnsi="宋体" w:cs="宋体"/>
          <w:color w:val="auto"/>
          <w:spacing w:val="20"/>
          <w:sz w:val="24"/>
          <w:highlight w:val="none"/>
        </w:rPr>
        <w:t>：</w:t>
      </w:r>
      <w:r>
        <w:rPr>
          <w:rFonts w:hint="eastAsia" w:ascii="宋体" w:hAnsi="宋体" w:cs="宋体"/>
          <w:color w:val="auto"/>
          <w:spacing w:val="20"/>
          <w:sz w:val="24"/>
          <w:highlight w:val="none"/>
          <w:u w:val="single"/>
        </w:rPr>
        <w:t xml:space="preserve">        </w:t>
      </w:r>
    </w:p>
    <w:p w14:paraId="4C2EF9D6">
      <w:pPr>
        <w:snapToGrid w:val="0"/>
        <w:spacing w:before="50" w:after="50"/>
        <w:rPr>
          <w:rFonts w:ascii="宋体" w:hAnsi="宋体" w:cs="宋体"/>
          <w:color w:val="auto"/>
          <w:sz w:val="24"/>
          <w:highlight w:val="none"/>
        </w:rPr>
      </w:pPr>
      <w:r>
        <w:rPr>
          <w:rFonts w:hint="eastAsia" w:ascii="宋体" w:hAnsi="宋体" w:cs="宋体"/>
          <w:color w:val="auto"/>
          <w:spacing w:val="20"/>
          <w:sz w:val="24"/>
          <w:highlight w:val="none"/>
        </w:rPr>
        <w:t>投标人盖章：</w:t>
      </w:r>
      <w:r>
        <w:rPr>
          <w:rFonts w:hint="eastAsia" w:ascii="宋体" w:hAnsi="宋体" w:cs="宋体"/>
          <w:color w:val="auto"/>
          <w:spacing w:val="20"/>
          <w:sz w:val="24"/>
          <w:highlight w:val="none"/>
          <w:u w:val="single"/>
        </w:rPr>
        <w:t xml:space="preserve">            </w:t>
      </w:r>
      <w:r>
        <w:rPr>
          <w:rFonts w:hint="eastAsia" w:ascii="宋体" w:hAnsi="宋体" w:cs="宋体"/>
          <w:color w:val="auto"/>
          <w:spacing w:val="20"/>
          <w:sz w:val="24"/>
          <w:highlight w:val="none"/>
        </w:rPr>
        <w:t xml:space="preserve">              日 期：</w:t>
      </w:r>
      <w:r>
        <w:rPr>
          <w:rFonts w:hint="eastAsia" w:ascii="宋体" w:hAnsi="宋体" w:cs="宋体"/>
          <w:color w:val="auto"/>
          <w:spacing w:val="20"/>
          <w:sz w:val="24"/>
          <w:highlight w:val="none"/>
          <w:u w:val="single"/>
        </w:rPr>
        <w:t xml:space="preserve">            </w:t>
      </w:r>
    </w:p>
    <w:p w14:paraId="5BD6853D">
      <w:pPr>
        <w:snapToGrid w:val="0"/>
        <w:spacing w:before="50" w:after="120" w:afterLines="50"/>
        <w:jc w:val="left"/>
        <w:rPr>
          <w:rFonts w:ascii="宋体" w:hAnsi="宋体" w:cs="宋体"/>
          <w:color w:val="auto"/>
          <w:sz w:val="24"/>
          <w:highlight w:val="none"/>
        </w:rPr>
      </w:pPr>
    </w:p>
    <w:p w14:paraId="00C676A7">
      <w:pPr>
        <w:spacing w:before="260" w:after="260" w:line="415" w:lineRule="auto"/>
        <w:rPr>
          <w:rFonts w:ascii="宋体" w:hAnsi="宋体" w:cs="宋体"/>
          <w:bCs/>
          <w:color w:val="auto"/>
          <w:sz w:val="24"/>
          <w:highlight w:val="none"/>
        </w:rPr>
      </w:pPr>
    </w:p>
    <w:p w14:paraId="6ADE3975">
      <w:pPr>
        <w:spacing w:before="260" w:after="260" w:line="415" w:lineRule="auto"/>
        <w:rPr>
          <w:rFonts w:ascii="宋体" w:hAnsi="宋体" w:cs="宋体"/>
          <w:bCs/>
          <w:color w:val="auto"/>
          <w:sz w:val="24"/>
          <w:highlight w:val="none"/>
        </w:rPr>
      </w:pPr>
    </w:p>
    <w:p w14:paraId="7B687FA8">
      <w:pPr>
        <w:spacing w:before="260" w:after="260" w:line="415" w:lineRule="auto"/>
        <w:rPr>
          <w:rFonts w:ascii="宋体" w:hAnsi="宋体" w:cs="宋体"/>
          <w:bCs/>
          <w:color w:val="auto"/>
          <w:sz w:val="24"/>
          <w:highlight w:val="none"/>
        </w:rPr>
      </w:pPr>
    </w:p>
    <w:p w14:paraId="5A640183">
      <w:pPr>
        <w:pStyle w:val="5"/>
        <w:keepNext w:val="0"/>
        <w:keepLines w:val="0"/>
        <w:pageBreakBefore/>
        <w:spacing w:line="415" w:lineRule="auto"/>
        <w:rPr>
          <w:rFonts w:ascii="宋体" w:hAnsi="宋体" w:eastAsia="宋体" w:cs="宋体"/>
          <w:b w:val="0"/>
          <w:bCs w:val="0"/>
          <w:color w:val="auto"/>
          <w:sz w:val="24"/>
          <w:szCs w:val="24"/>
          <w:highlight w:val="none"/>
        </w:rPr>
      </w:pPr>
      <w:bookmarkStart w:id="76" w:name="_Toc15716"/>
      <w:bookmarkStart w:id="77" w:name="_Toc14942615"/>
      <w:bookmarkStart w:id="78" w:name="_Toc13037828"/>
      <w:bookmarkStart w:id="79" w:name="_Toc14644"/>
      <w:bookmarkStart w:id="80" w:name="_Toc4588"/>
      <w:bookmarkStart w:id="81" w:name="_Toc14790"/>
      <w:bookmarkStart w:id="82" w:name="_Toc29497"/>
      <w:r>
        <w:rPr>
          <w:rFonts w:hint="eastAsia" w:ascii="宋体" w:hAnsi="宋体" w:eastAsia="宋体" w:cs="宋体"/>
          <w:b w:val="0"/>
          <w:bCs w:val="0"/>
          <w:color w:val="auto"/>
          <w:sz w:val="24"/>
          <w:szCs w:val="24"/>
          <w:highlight w:val="none"/>
        </w:rPr>
        <w:t>附件十：</w:t>
      </w:r>
      <w:bookmarkEnd w:id="76"/>
      <w:bookmarkEnd w:id="77"/>
      <w:bookmarkEnd w:id="78"/>
      <w:bookmarkEnd w:id="79"/>
      <w:r>
        <w:rPr>
          <w:rFonts w:hint="eastAsia" w:ascii="宋体" w:hAnsi="宋体" w:eastAsia="宋体" w:cs="宋体"/>
          <w:b w:val="0"/>
          <w:bCs w:val="0"/>
          <w:color w:val="auto"/>
          <w:sz w:val="24"/>
          <w:szCs w:val="24"/>
          <w:highlight w:val="none"/>
        </w:rPr>
        <w:t>服务项目组成员及简介</w:t>
      </w:r>
      <w:bookmarkEnd w:id="80"/>
      <w:bookmarkEnd w:id="81"/>
    </w:p>
    <w:p w14:paraId="2270DF14">
      <w:pPr>
        <w:jc w:val="center"/>
        <w:rPr>
          <w:rFonts w:ascii="宋体" w:hAnsi="宋体"/>
          <w:b/>
          <w:color w:val="auto"/>
          <w:sz w:val="28"/>
          <w:highlight w:val="none"/>
        </w:rPr>
      </w:pPr>
      <w:r>
        <w:rPr>
          <w:rFonts w:hint="eastAsia" w:ascii="宋体" w:hAnsi="宋体"/>
          <w:b/>
          <w:color w:val="auto"/>
          <w:sz w:val="28"/>
          <w:highlight w:val="none"/>
        </w:rPr>
        <w:t>服务项目组成员及简介</w:t>
      </w:r>
    </w:p>
    <w:p w14:paraId="4EF78DEF">
      <w:pPr>
        <w:rPr>
          <w:rFonts w:ascii="宋体" w:hAnsi="宋体"/>
          <w:b/>
          <w:color w:val="auto"/>
          <w:sz w:val="24"/>
          <w:highlight w:val="none"/>
        </w:rPr>
      </w:pPr>
      <w:r>
        <w:rPr>
          <w:rFonts w:hint="eastAsia" w:ascii="宋体" w:hAnsi="宋体"/>
          <w:b/>
          <w:color w:val="auto"/>
          <w:sz w:val="24"/>
          <w:highlight w:val="none"/>
        </w:rPr>
        <w:t>项目名称：</w:t>
      </w: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1"/>
        <w:gridCol w:w="1735"/>
        <w:gridCol w:w="608"/>
        <w:gridCol w:w="577"/>
        <w:gridCol w:w="965"/>
        <w:gridCol w:w="772"/>
        <w:gridCol w:w="1158"/>
        <w:gridCol w:w="1158"/>
        <w:gridCol w:w="1410"/>
      </w:tblGrid>
      <w:tr w14:paraId="4A577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1081" w:type="dxa"/>
            <w:tcBorders>
              <w:top w:val="single" w:color="auto" w:sz="12" w:space="0"/>
              <w:left w:val="single" w:color="auto" w:sz="12" w:space="0"/>
              <w:bottom w:val="single" w:color="auto" w:sz="12" w:space="0"/>
            </w:tcBorders>
            <w:vAlign w:val="center"/>
          </w:tcPr>
          <w:p w14:paraId="4923C4A7">
            <w:pPr>
              <w:rPr>
                <w:rFonts w:ascii="宋体" w:hAnsi="宋体"/>
                <w:color w:val="auto"/>
                <w:sz w:val="24"/>
                <w:highlight w:val="none"/>
              </w:rPr>
            </w:pPr>
            <w:r>
              <w:rPr>
                <w:rFonts w:hint="eastAsia" w:ascii="宋体" w:hAnsi="宋体"/>
                <w:color w:val="auto"/>
                <w:sz w:val="24"/>
                <w:highlight w:val="none"/>
              </w:rPr>
              <w:t>姓  名</w:t>
            </w:r>
          </w:p>
        </w:tc>
        <w:tc>
          <w:tcPr>
            <w:tcW w:w="1735" w:type="dxa"/>
            <w:tcBorders>
              <w:top w:val="single" w:color="auto" w:sz="12" w:space="0"/>
              <w:bottom w:val="single" w:color="auto" w:sz="12" w:space="0"/>
            </w:tcBorders>
            <w:vAlign w:val="center"/>
          </w:tcPr>
          <w:p w14:paraId="61DB00D0">
            <w:pPr>
              <w:rPr>
                <w:rFonts w:ascii="宋体" w:hAnsi="宋体"/>
                <w:color w:val="auto"/>
                <w:sz w:val="24"/>
                <w:highlight w:val="none"/>
              </w:rPr>
            </w:pPr>
            <w:r>
              <w:rPr>
                <w:rFonts w:hint="eastAsia" w:ascii="宋体" w:hAnsi="宋体"/>
                <w:color w:val="auto"/>
                <w:sz w:val="24"/>
                <w:highlight w:val="none"/>
              </w:rPr>
              <w:t>本项目拟</w:t>
            </w:r>
          </w:p>
          <w:p w14:paraId="79407D19">
            <w:pPr>
              <w:rPr>
                <w:rFonts w:ascii="宋体" w:hAnsi="宋体"/>
                <w:color w:val="auto"/>
                <w:sz w:val="24"/>
                <w:highlight w:val="none"/>
              </w:rPr>
            </w:pPr>
            <w:r>
              <w:rPr>
                <w:rFonts w:hint="eastAsia" w:ascii="宋体" w:hAnsi="宋体"/>
                <w:color w:val="auto"/>
                <w:sz w:val="24"/>
                <w:highlight w:val="none"/>
              </w:rPr>
              <w:t>任岗位</w:t>
            </w:r>
          </w:p>
        </w:tc>
        <w:tc>
          <w:tcPr>
            <w:tcW w:w="608" w:type="dxa"/>
            <w:tcBorders>
              <w:top w:val="single" w:color="auto" w:sz="12" w:space="0"/>
              <w:bottom w:val="single" w:color="auto" w:sz="12" w:space="0"/>
            </w:tcBorders>
            <w:vAlign w:val="center"/>
          </w:tcPr>
          <w:p w14:paraId="5A05557C">
            <w:pPr>
              <w:rPr>
                <w:rFonts w:ascii="宋体" w:hAnsi="宋体"/>
                <w:color w:val="auto"/>
                <w:sz w:val="24"/>
                <w:highlight w:val="none"/>
              </w:rPr>
            </w:pPr>
            <w:r>
              <w:rPr>
                <w:rFonts w:hint="eastAsia" w:ascii="宋体" w:hAnsi="宋体"/>
                <w:color w:val="auto"/>
                <w:sz w:val="24"/>
                <w:highlight w:val="none"/>
              </w:rPr>
              <w:t>年龄</w:t>
            </w:r>
          </w:p>
        </w:tc>
        <w:tc>
          <w:tcPr>
            <w:tcW w:w="577" w:type="dxa"/>
            <w:tcBorders>
              <w:top w:val="single" w:color="auto" w:sz="12" w:space="0"/>
              <w:bottom w:val="single" w:color="auto" w:sz="12" w:space="0"/>
            </w:tcBorders>
            <w:vAlign w:val="center"/>
          </w:tcPr>
          <w:p w14:paraId="720C1EE7">
            <w:pPr>
              <w:rPr>
                <w:rFonts w:ascii="宋体" w:hAnsi="宋体"/>
                <w:color w:val="auto"/>
                <w:sz w:val="24"/>
                <w:highlight w:val="none"/>
              </w:rPr>
            </w:pPr>
            <w:r>
              <w:rPr>
                <w:rFonts w:hint="eastAsia" w:ascii="宋体" w:hAnsi="宋体"/>
                <w:color w:val="auto"/>
                <w:sz w:val="24"/>
                <w:highlight w:val="none"/>
              </w:rPr>
              <w:t>性别</w:t>
            </w:r>
          </w:p>
        </w:tc>
        <w:tc>
          <w:tcPr>
            <w:tcW w:w="965" w:type="dxa"/>
            <w:tcBorders>
              <w:top w:val="single" w:color="auto" w:sz="12" w:space="0"/>
              <w:bottom w:val="single" w:color="auto" w:sz="12" w:space="0"/>
            </w:tcBorders>
            <w:vAlign w:val="center"/>
          </w:tcPr>
          <w:p w14:paraId="7E83B49D">
            <w:pPr>
              <w:rPr>
                <w:rFonts w:ascii="宋体" w:hAnsi="宋体"/>
                <w:color w:val="auto"/>
                <w:sz w:val="24"/>
                <w:highlight w:val="none"/>
              </w:rPr>
            </w:pPr>
            <w:r>
              <w:rPr>
                <w:rFonts w:hint="eastAsia" w:ascii="宋体" w:hAnsi="宋体"/>
                <w:color w:val="auto"/>
                <w:sz w:val="24"/>
                <w:highlight w:val="none"/>
              </w:rPr>
              <w:t>专 业</w:t>
            </w:r>
          </w:p>
        </w:tc>
        <w:tc>
          <w:tcPr>
            <w:tcW w:w="772" w:type="dxa"/>
            <w:tcBorders>
              <w:top w:val="single" w:color="auto" w:sz="12" w:space="0"/>
              <w:bottom w:val="single" w:color="auto" w:sz="12" w:space="0"/>
            </w:tcBorders>
            <w:vAlign w:val="center"/>
          </w:tcPr>
          <w:p w14:paraId="7292CBB6">
            <w:pPr>
              <w:rPr>
                <w:rFonts w:ascii="宋体" w:hAnsi="宋体"/>
                <w:color w:val="auto"/>
                <w:sz w:val="24"/>
                <w:highlight w:val="none"/>
              </w:rPr>
            </w:pPr>
            <w:r>
              <w:rPr>
                <w:rFonts w:hint="eastAsia" w:ascii="宋体" w:hAnsi="宋体"/>
                <w:color w:val="auto"/>
                <w:sz w:val="24"/>
                <w:highlight w:val="none"/>
              </w:rPr>
              <w:t>专业年限</w:t>
            </w:r>
          </w:p>
        </w:tc>
        <w:tc>
          <w:tcPr>
            <w:tcW w:w="1158" w:type="dxa"/>
            <w:tcBorders>
              <w:top w:val="single" w:color="auto" w:sz="12" w:space="0"/>
              <w:bottom w:val="single" w:color="auto" w:sz="12" w:space="0"/>
            </w:tcBorders>
            <w:vAlign w:val="center"/>
          </w:tcPr>
          <w:p w14:paraId="6CDBFA03">
            <w:pPr>
              <w:rPr>
                <w:rFonts w:ascii="宋体" w:hAnsi="宋体"/>
                <w:color w:val="auto"/>
                <w:sz w:val="24"/>
                <w:highlight w:val="none"/>
              </w:rPr>
            </w:pPr>
            <w:r>
              <w:rPr>
                <w:rFonts w:hint="eastAsia" w:ascii="宋体" w:hAnsi="宋体"/>
                <w:color w:val="auto"/>
                <w:sz w:val="24"/>
                <w:highlight w:val="none"/>
              </w:rPr>
              <w:t>职称</w:t>
            </w:r>
          </w:p>
        </w:tc>
        <w:tc>
          <w:tcPr>
            <w:tcW w:w="1158" w:type="dxa"/>
            <w:tcBorders>
              <w:top w:val="single" w:color="auto" w:sz="12" w:space="0"/>
              <w:bottom w:val="single" w:color="auto" w:sz="12" w:space="0"/>
              <w:right w:val="single" w:color="auto" w:sz="4" w:space="0"/>
            </w:tcBorders>
            <w:vAlign w:val="center"/>
          </w:tcPr>
          <w:p w14:paraId="489F14DC">
            <w:pPr>
              <w:rPr>
                <w:rFonts w:ascii="宋体" w:hAnsi="宋体"/>
                <w:color w:val="auto"/>
                <w:sz w:val="24"/>
                <w:highlight w:val="none"/>
              </w:rPr>
            </w:pPr>
            <w:r>
              <w:rPr>
                <w:rFonts w:hint="eastAsia" w:ascii="宋体" w:hAnsi="宋体"/>
                <w:color w:val="auto"/>
                <w:sz w:val="24"/>
                <w:highlight w:val="none"/>
              </w:rPr>
              <w:t>安排上岗起止时间</w:t>
            </w:r>
          </w:p>
        </w:tc>
        <w:tc>
          <w:tcPr>
            <w:tcW w:w="1410" w:type="dxa"/>
            <w:tcBorders>
              <w:top w:val="single" w:color="auto" w:sz="12" w:space="0"/>
              <w:left w:val="single" w:color="auto" w:sz="4" w:space="0"/>
              <w:bottom w:val="single" w:color="auto" w:sz="12" w:space="0"/>
              <w:right w:val="single" w:color="auto" w:sz="12" w:space="0"/>
            </w:tcBorders>
            <w:vAlign w:val="center"/>
          </w:tcPr>
          <w:p w14:paraId="63362596">
            <w:pPr>
              <w:rPr>
                <w:rFonts w:ascii="宋体" w:hAnsi="宋体"/>
                <w:color w:val="auto"/>
                <w:sz w:val="24"/>
                <w:highlight w:val="none"/>
              </w:rPr>
            </w:pPr>
            <w:r>
              <w:rPr>
                <w:rFonts w:hint="eastAsia" w:ascii="宋体" w:hAnsi="宋体"/>
                <w:color w:val="auto"/>
                <w:sz w:val="24"/>
                <w:highlight w:val="none"/>
              </w:rPr>
              <w:t>承诺到位率</w:t>
            </w:r>
          </w:p>
        </w:tc>
      </w:tr>
      <w:tr w14:paraId="7A136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1081" w:type="dxa"/>
            <w:tcBorders>
              <w:top w:val="single" w:color="auto" w:sz="12" w:space="0"/>
              <w:left w:val="single" w:color="auto" w:sz="12" w:space="0"/>
            </w:tcBorders>
            <w:vAlign w:val="center"/>
          </w:tcPr>
          <w:p w14:paraId="5B84D3AE">
            <w:pPr>
              <w:rPr>
                <w:rFonts w:ascii="宋体" w:hAnsi="宋体"/>
                <w:color w:val="auto"/>
                <w:sz w:val="24"/>
                <w:highlight w:val="none"/>
              </w:rPr>
            </w:pPr>
          </w:p>
        </w:tc>
        <w:tc>
          <w:tcPr>
            <w:tcW w:w="1735" w:type="dxa"/>
            <w:tcBorders>
              <w:top w:val="single" w:color="auto" w:sz="12" w:space="0"/>
            </w:tcBorders>
            <w:vAlign w:val="center"/>
          </w:tcPr>
          <w:p w14:paraId="2E20961C">
            <w:pPr>
              <w:rPr>
                <w:rFonts w:ascii="宋体" w:hAnsi="宋体"/>
                <w:color w:val="auto"/>
                <w:sz w:val="24"/>
                <w:highlight w:val="none"/>
              </w:rPr>
            </w:pPr>
          </w:p>
        </w:tc>
        <w:tc>
          <w:tcPr>
            <w:tcW w:w="608" w:type="dxa"/>
            <w:tcBorders>
              <w:top w:val="single" w:color="auto" w:sz="12" w:space="0"/>
            </w:tcBorders>
            <w:vAlign w:val="center"/>
          </w:tcPr>
          <w:p w14:paraId="6EB8F9CD">
            <w:pPr>
              <w:rPr>
                <w:rFonts w:ascii="宋体" w:hAnsi="宋体"/>
                <w:color w:val="auto"/>
                <w:sz w:val="24"/>
                <w:highlight w:val="none"/>
              </w:rPr>
            </w:pPr>
          </w:p>
        </w:tc>
        <w:tc>
          <w:tcPr>
            <w:tcW w:w="577" w:type="dxa"/>
            <w:tcBorders>
              <w:top w:val="single" w:color="auto" w:sz="12" w:space="0"/>
            </w:tcBorders>
            <w:vAlign w:val="center"/>
          </w:tcPr>
          <w:p w14:paraId="287798E2">
            <w:pPr>
              <w:rPr>
                <w:rFonts w:ascii="宋体" w:hAnsi="宋体"/>
                <w:color w:val="auto"/>
                <w:sz w:val="24"/>
                <w:highlight w:val="none"/>
              </w:rPr>
            </w:pPr>
          </w:p>
        </w:tc>
        <w:tc>
          <w:tcPr>
            <w:tcW w:w="965" w:type="dxa"/>
            <w:tcBorders>
              <w:top w:val="single" w:color="auto" w:sz="12" w:space="0"/>
            </w:tcBorders>
            <w:vAlign w:val="center"/>
          </w:tcPr>
          <w:p w14:paraId="348609F5">
            <w:pPr>
              <w:rPr>
                <w:rFonts w:ascii="宋体" w:hAnsi="宋体"/>
                <w:color w:val="auto"/>
                <w:sz w:val="24"/>
                <w:highlight w:val="none"/>
              </w:rPr>
            </w:pPr>
          </w:p>
        </w:tc>
        <w:tc>
          <w:tcPr>
            <w:tcW w:w="772" w:type="dxa"/>
            <w:tcBorders>
              <w:top w:val="single" w:color="auto" w:sz="12" w:space="0"/>
            </w:tcBorders>
            <w:vAlign w:val="center"/>
          </w:tcPr>
          <w:p w14:paraId="00BEA4F8">
            <w:pPr>
              <w:rPr>
                <w:rFonts w:ascii="宋体" w:hAnsi="宋体"/>
                <w:color w:val="auto"/>
                <w:sz w:val="24"/>
                <w:highlight w:val="none"/>
              </w:rPr>
            </w:pPr>
          </w:p>
        </w:tc>
        <w:tc>
          <w:tcPr>
            <w:tcW w:w="1158" w:type="dxa"/>
            <w:tcBorders>
              <w:top w:val="single" w:color="auto" w:sz="12" w:space="0"/>
            </w:tcBorders>
            <w:vAlign w:val="center"/>
          </w:tcPr>
          <w:p w14:paraId="7D13EE92">
            <w:pPr>
              <w:rPr>
                <w:rFonts w:ascii="宋体" w:hAnsi="宋体"/>
                <w:color w:val="auto"/>
                <w:sz w:val="24"/>
                <w:highlight w:val="none"/>
              </w:rPr>
            </w:pPr>
          </w:p>
        </w:tc>
        <w:tc>
          <w:tcPr>
            <w:tcW w:w="1158" w:type="dxa"/>
            <w:tcBorders>
              <w:top w:val="single" w:color="auto" w:sz="12" w:space="0"/>
              <w:right w:val="single" w:color="auto" w:sz="4" w:space="0"/>
            </w:tcBorders>
            <w:vAlign w:val="center"/>
          </w:tcPr>
          <w:p w14:paraId="5899EB25">
            <w:pPr>
              <w:rPr>
                <w:rFonts w:ascii="宋体" w:hAnsi="宋体"/>
                <w:color w:val="auto"/>
                <w:sz w:val="24"/>
                <w:highlight w:val="none"/>
              </w:rPr>
            </w:pPr>
          </w:p>
        </w:tc>
        <w:tc>
          <w:tcPr>
            <w:tcW w:w="1410" w:type="dxa"/>
            <w:tcBorders>
              <w:top w:val="single" w:color="auto" w:sz="12" w:space="0"/>
              <w:left w:val="single" w:color="auto" w:sz="4" w:space="0"/>
              <w:right w:val="single" w:color="auto" w:sz="12" w:space="0"/>
            </w:tcBorders>
            <w:vAlign w:val="center"/>
          </w:tcPr>
          <w:p w14:paraId="5B3FB1A5">
            <w:pPr>
              <w:rPr>
                <w:rFonts w:ascii="宋体" w:hAnsi="宋体"/>
                <w:color w:val="auto"/>
                <w:sz w:val="24"/>
                <w:highlight w:val="none"/>
              </w:rPr>
            </w:pPr>
          </w:p>
        </w:tc>
      </w:tr>
      <w:tr w14:paraId="7AC7D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1081" w:type="dxa"/>
            <w:tcBorders>
              <w:left w:val="single" w:color="auto" w:sz="12" w:space="0"/>
            </w:tcBorders>
            <w:vAlign w:val="center"/>
          </w:tcPr>
          <w:p w14:paraId="271B1DC5">
            <w:pPr>
              <w:rPr>
                <w:rFonts w:ascii="宋体" w:hAnsi="宋体"/>
                <w:color w:val="auto"/>
                <w:sz w:val="24"/>
                <w:highlight w:val="none"/>
              </w:rPr>
            </w:pPr>
          </w:p>
        </w:tc>
        <w:tc>
          <w:tcPr>
            <w:tcW w:w="1735" w:type="dxa"/>
            <w:vAlign w:val="center"/>
          </w:tcPr>
          <w:p w14:paraId="4B349890">
            <w:pPr>
              <w:rPr>
                <w:rFonts w:ascii="宋体" w:hAnsi="宋体"/>
                <w:color w:val="auto"/>
                <w:sz w:val="24"/>
                <w:highlight w:val="none"/>
              </w:rPr>
            </w:pPr>
          </w:p>
        </w:tc>
        <w:tc>
          <w:tcPr>
            <w:tcW w:w="608" w:type="dxa"/>
            <w:vAlign w:val="center"/>
          </w:tcPr>
          <w:p w14:paraId="41459060">
            <w:pPr>
              <w:rPr>
                <w:rFonts w:ascii="宋体" w:hAnsi="宋体"/>
                <w:color w:val="auto"/>
                <w:sz w:val="24"/>
                <w:highlight w:val="none"/>
              </w:rPr>
            </w:pPr>
          </w:p>
        </w:tc>
        <w:tc>
          <w:tcPr>
            <w:tcW w:w="577" w:type="dxa"/>
            <w:vAlign w:val="center"/>
          </w:tcPr>
          <w:p w14:paraId="56222AFA">
            <w:pPr>
              <w:rPr>
                <w:rFonts w:ascii="宋体" w:hAnsi="宋体"/>
                <w:color w:val="auto"/>
                <w:sz w:val="24"/>
                <w:highlight w:val="none"/>
              </w:rPr>
            </w:pPr>
          </w:p>
        </w:tc>
        <w:tc>
          <w:tcPr>
            <w:tcW w:w="965" w:type="dxa"/>
            <w:vAlign w:val="center"/>
          </w:tcPr>
          <w:p w14:paraId="219DE9E0">
            <w:pPr>
              <w:rPr>
                <w:rFonts w:ascii="宋体" w:hAnsi="宋体"/>
                <w:color w:val="auto"/>
                <w:sz w:val="24"/>
                <w:highlight w:val="none"/>
              </w:rPr>
            </w:pPr>
          </w:p>
        </w:tc>
        <w:tc>
          <w:tcPr>
            <w:tcW w:w="772" w:type="dxa"/>
            <w:vAlign w:val="center"/>
          </w:tcPr>
          <w:p w14:paraId="09694DCC">
            <w:pPr>
              <w:rPr>
                <w:rFonts w:ascii="宋体" w:hAnsi="宋体"/>
                <w:color w:val="auto"/>
                <w:sz w:val="24"/>
                <w:highlight w:val="none"/>
              </w:rPr>
            </w:pPr>
          </w:p>
        </w:tc>
        <w:tc>
          <w:tcPr>
            <w:tcW w:w="1158" w:type="dxa"/>
            <w:vAlign w:val="center"/>
          </w:tcPr>
          <w:p w14:paraId="0831FD8F">
            <w:pPr>
              <w:rPr>
                <w:rFonts w:ascii="宋体" w:hAnsi="宋体"/>
                <w:color w:val="auto"/>
                <w:sz w:val="24"/>
                <w:highlight w:val="none"/>
              </w:rPr>
            </w:pPr>
          </w:p>
        </w:tc>
        <w:tc>
          <w:tcPr>
            <w:tcW w:w="1158" w:type="dxa"/>
            <w:tcBorders>
              <w:right w:val="single" w:color="auto" w:sz="4" w:space="0"/>
            </w:tcBorders>
            <w:vAlign w:val="center"/>
          </w:tcPr>
          <w:p w14:paraId="4B357130">
            <w:pPr>
              <w:rPr>
                <w:rFonts w:ascii="宋体" w:hAnsi="宋体"/>
                <w:color w:val="auto"/>
                <w:sz w:val="24"/>
                <w:highlight w:val="none"/>
              </w:rPr>
            </w:pPr>
          </w:p>
        </w:tc>
        <w:tc>
          <w:tcPr>
            <w:tcW w:w="1410" w:type="dxa"/>
            <w:tcBorders>
              <w:left w:val="single" w:color="auto" w:sz="4" w:space="0"/>
              <w:right w:val="single" w:color="auto" w:sz="12" w:space="0"/>
            </w:tcBorders>
            <w:vAlign w:val="center"/>
          </w:tcPr>
          <w:p w14:paraId="0BCB61AF">
            <w:pPr>
              <w:rPr>
                <w:rFonts w:ascii="宋体" w:hAnsi="宋体"/>
                <w:color w:val="auto"/>
                <w:sz w:val="24"/>
                <w:highlight w:val="none"/>
              </w:rPr>
            </w:pPr>
          </w:p>
        </w:tc>
      </w:tr>
      <w:tr w14:paraId="26C62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1081" w:type="dxa"/>
            <w:tcBorders>
              <w:left w:val="single" w:color="auto" w:sz="12" w:space="0"/>
            </w:tcBorders>
            <w:vAlign w:val="center"/>
          </w:tcPr>
          <w:p w14:paraId="43A4B357">
            <w:pPr>
              <w:rPr>
                <w:rFonts w:ascii="宋体" w:hAnsi="宋体"/>
                <w:color w:val="auto"/>
                <w:sz w:val="24"/>
                <w:highlight w:val="none"/>
              </w:rPr>
            </w:pPr>
          </w:p>
        </w:tc>
        <w:tc>
          <w:tcPr>
            <w:tcW w:w="1735" w:type="dxa"/>
            <w:vAlign w:val="center"/>
          </w:tcPr>
          <w:p w14:paraId="0D1E0D20">
            <w:pPr>
              <w:rPr>
                <w:rFonts w:ascii="宋体" w:hAnsi="宋体"/>
                <w:color w:val="auto"/>
                <w:sz w:val="24"/>
                <w:highlight w:val="none"/>
              </w:rPr>
            </w:pPr>
          </w:p>
        </w:tc>
        <w:tc>
          <w:tcPr>
            <w:tcW w:w="608" w:type="dxa"/>
            <w:vAlign w:val="center"/>
          </w:tcPr>
          <w:p w14:paraId="195DE84D">
            <w:pPr>
              <w:rPr>
                <w:rFonts w:ascii="宋体" w:hAnsi="宋体"/>
                <w:color w:val="auto"/>
                <w:sz w:val="24"/>
                <w:highlight w:val="none"/>
              </w:rPr>
            </w:pPr>
          </w:p>
        </w:tc>
        <w:tc>
          <w:tcPr>
            <w:tcW w:w="577" w:type="dxa"/>
            <w:vAlign w:val="center"/>
          </w:tcPr>
          <w:p w14:paraId="7EDFDBC0">
            <w:pPr>
              <w:rPr>
                <w:rFonts w:ascii="宋体" w:hAnsi="宋体"/>
                <w:color w:val="auto"/>
                <w:sz w:val="24"/>
                <w:highlight w:val="none"/>
              </w:rPr>
            </w:pPr>
          </w:p>
        </w:tc>
        <w:tc>
          <w:tcPr>
            <w:tcW w:w="965" w:type="dxa"/>
            <w:vAlign w:val="center"/>
          </w:tcPr>
          <w:p w14:paraId="77E54C76">
            <w:pPr>
              <w:rPr>
                <w:rFonts w:ascii="宋体" w:hAnsi="宋体"/>
                <w:color w:val="auto"/>
                <w:sz w:val="24"/>
                <w:highlight w:val="none"/>
              </w:rPr>
            </w:pPr>
          </w:p>
        </w:tc>
        <w:tc>
          <w:tcPr>
            <w:tcW w:w="772" w:type="dxa"/>
            <w:vAlign w:val="center"/>
          </w:tcPr>
          <w:p w14:paraId="7A0AFCDC">
            <w:pPr>
              <w:rPr>
                <w:rFonts w:ascii="宋体" w:hAnsi="宋体"/>
                <w:color w:val="auto"/>
                <w:sz w:val="24"/>
                <w:highlight w:val="none"/>
              </w:rPr>
            </w:pPr>
          </w:p>
        </w:tc>
        <w:tc>
          <w:tcPr>
            <w:tcW w:w="1158" w:type="dxa"/>
            <w:vAlign w:val="center"/>
          </w:tcPr>
          <w:p w14:paraId="551628EF">
            <w:pPr>
              <w:rPr>
                <w:rFonts w:ascii="宋体" w:hAnsi="宋体"/>
                <w:color w:val="auto"/>
                <w:sz w:val="24"/>
                <w:highlight w:val="none"/>
              </w:rPr>
            </w:pPr>
          </w:p>
        </w:tc>
        <w:tc>
          <w:tcPr>
            <w:tcW w:w="1158" w:type="dxa"/>
            <w:tcBorders>
              <w:right w:val="single" w:color="auto" w:sz="4" w:space="0"/>
            </w:tcBorders>
            <w:vAlign w:val="center"/>
          </w:tcPr>
          <w:p w14:paraId="7164E055">
            <w:pPr>
              <w:rPr>
                <w:rFonts w:ascii="宋体" w:hAnsi="宋体"/>
                <w:color w:val="auto"/>
                <w:sz w:val="24"/>
                <w:highlight w:val="none"/>
              </w:rPr>
            </w:pPr>
          </w:p>
        </w:tc>
        <w:tc>
          <w:tcPr>
            <w:tcW w:w="1410" w:type="dxa"/>
            <w:tcBorders>
              <w:left w:val="single" w:color="auto" w:sz="4" w:space="0"/>
              <w:right w:val="single" w:color="auto" w:sz="12" w:space="0"/>
            </w:tcBorders>
            <w:vAlign w:val="center"/>
          </w:tcPr>
          <w:p w14:paraId="1F684186">
            <w:pPr>
              <w:rPr>
                <w:rFonts w:ascii="宋体" w:hAnsi="宋体"/>
                <w:color w:val="auto"/>
                <w:sz w:val="24"/>
                <w:highlight w:val="none"/>
              </w:rPr>
            </w:pPr>
          </w:p>
        </w:tc>
      </w:tr>
      <w:tr w14:paraId="33024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1081" w:type="dxa"/>
            <w:tcBorders>
              <w:left w:val="single" w:color="auto" w:sz="12" w:space="0"/>
            </w:tcBorders>
            <w:vAlign w:val="center"/>
          </w:tcPr>
          <w:p w14:paraId="52B60544">
            <w:pPr>
              <w:rPr>
                <w:rFonts w:ascii="宋体" w:hAnsi="宋体"/>
                <w:color w:val="auto"/>
                <w:sz w:val="24"/>
                <w:highlight w:val="none"/>
              </w:rPr>
            </w:pPr>
          </w:p>
        </w:tc>
        <w:tc>
          <w:tcPr>
            <w:tcW w:w="1735" w:type="dxa"/>
            <w:vAlign w:val="center"/>
          </w:tcPr>
          <w:p w14:paraId="49FBD958">
            <w:pPr>
              <w:rPr>
                <w:rFonts w:ascii="宋体" w:hAnsi="宋体"/>
                <w:color w:val="auto"/>
                <w:sz w:val="24"/>
                <w:highlight w:val="none"/>
              </w:rPr>
            </w:pPr>
          </w:p>
        </w:tc>
        <w:tc>
          <w:tcPr>
            <w:tcW w:w="608" w:type="dxa"/>
            <w:vAlign w:val="center"/>
          </w:tcPr>
          <w:p w14:paraId="6C2DE829">
            <w:pPr>
              <w:rPr>
                <w:rFonts w:ascii="宋体" w:hAnsi="宋体"/>
                <w:color w:val="auto"/>
                <w:sz w:val="24"/>
                <w:highlight w:val="none"/>
              </w:rPr>
            </w:pPr>
          </w:p>
        </w:tc>
        <w:tc>
          <w:tcPr>
            <w:tcW w:w="577" w:type="dxa"/>
            <w:vAlign w:val="center"/>
          </w:tcPr>
          <w:p w14:paraId="577F8C5E">
            <w:pPr>
              <w:rPr>
                <w:rFonts w:ascii="宋体" w:hAnsi="宋体"/>
                <w:color w:val="auto"/>
                <w:sz w:val="24"/>
                <w:highlight w:val="none"/>
              </w:rPr>
            </w:pPr>
          </w:p>
        </w:tc>
        <w:tc>
          <w:tcPr>
            <w:tcW w:w="965" w:type="dxa"/>
            <w:vAlign w:val="center"/>
          </w:tcPr>
          <w:p w14:paraId="0982643E">
            <w:pPr>
              <w:rPr>
                <w:rFonts w:ascii="宋体" w:hAnsi="宋体"/>
                <w:color w:val="auto"/>
                <w:sz w:val="24"/>
                <w:highlight w:val="none"/>
              </w:rPr>
            </w:pPr>
          </w:p>
        </w:tc>
        <w:tc>
          <w:tcPr>
            <w:tcW w:w="772" w:type="dxa"/>
            <w:vAlign w:val="center"/>
          </w:tcPr>
          <w:p w14:paraId="607CC6B7">
            <w:pPr>
              <w:rPr>
                <w:rFonts w:ascii="宋体" w:hAnsi="宋体"/>
                <w:color w:val="auto"/>
                <w:sz w:val="24"/>
                <w:highlight w:val="none"/>
              </w:rPr>
            </w:pPr>
          </w:p>
        </w:tc>
        <w:tc>
          <w:tcPr>
            <w:tcW w:w="1158" w:type="dxa"/>
            <w:vAlign w:val="center"/>
          </w:tcPr>
          <w:p w14:paraId="6F84B6D2">
            <w:pPr>
              <w:rPr>
                <w:rFonts w:ascii="宋体" w:hAnsi="宋体"/>
                <w:color w:val="auto"/>
                <w:sz w:val="24"/>
                <w:highlight w:val="none"/>
              </w:rPr>
            </w:pPr>
          </w:p>
        </w:tc>
        <w:tc>
          <w:tcPr>
            <w:tcW w:w="1158" w:type="dxa"/>
            <w:tcBorders>
              <w:right w:val="single" w:color="auto" w:sz="4" w:space="0"/>
            </w:tcBorders>
            <w:vAlign w:val="center"/>
          </w:tcPr>
          <w:p w14:paraId="23241787">
            <w:pPr>
              <w:rPr>
                <w:rFonts w:ascii="宋体" w:hAnsi="宋体"/>
                <w:color w:val="auto"/>
                <w:sz w:val="24"/>
                <w:highlight w:val="none"/>
              </w:rPr>
            </w:pPr>
          </w:p>
        </w:tc>
        <w:tc>
          <w:tcPr>
            <w:tcW w:w="1410" w:type="dxa"/>
            <w:tcBorders>
              <w:left w:val="single" w:color="auto" w:sz="4" w:space="0"/>
              <w:right w:val="single" w:color="auto" w:sz="12" w:space="0"/>
            </w:tcBorders>
            <w:vAlign w:val="center"/>
          </w:tcPr>
          <w:p w14:paraId="207FB4C7">
            <w:pPr>
              <w:rPr>
                <w:rFonts w:ascii="宋体" w:hAnsi="宋体"/>
                <w:color w:val="auto"/>
                <w:sz w:val="24"/>
                <w:highlight w:val="none"/>
              </w:rPr>
            </w:pPr>
          </w:p>
        </w:tc>
      </w:tr>
      <w:tr w14:paraId="718E2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1081" w:type="dxa"/>
            <w:tcBorders>
              <w:left w:val="single" w:color="auto" w:sz="12" w:space="0"/>
            </w:tcBorders>
            <w:vAlign w:val="center"/>
          </w:tcPr>
          <w:p w14:paraId="756205D9">
            <w:pPr>
              <w:rPr>
                <w:rFonts w:ascii="宋体" w:hAnsi="宋体"/>
                <w:color w:val="auto"/>
                <w:sz w:val="24"/>
                <w:highlight w:val="none"/>
              </w:rPr>
            </w:pPr>
          </w:p>
        </w:tc>
        <w:tc>
          <w:tcPr>
            <w:tcW w:w="1735" w:type="dxa"/>
            <w:vAlign w:val="center"/>
          </w:tcPr>
          <w:p w14:paraId="7A25B92D">
            <w:pPr>
              <w:rPr>
                <w:rFonts w:ascii="宋体" w:hAnsi="宋体"/>
                <w:color w:val="auto"/>
                <w:sz w:val="24"/>
                <w:highlight w:val="none"/>
              </w:rPr>
            </w:pPr>
          </w:p>
        </w:tc>
        <w:tc>
          <w:tcPr>
            <w:tcW w:w="608" w:type="dxa"/>
            <w:vAlign w:val="center"/>
          </w:tcPr>
          <w:p w14:paraId="4F5788C0">
            <w:pPr>
              <w:rPr>
                <w:rFonts w:ascii="宋体" w:hAnsi="宋体"/>
                <w:color w:val="auto"/>
                <w:sz w:val="24"/>
                <w:highlight w:val="none"/>
              </w:rPr>
            </w:pPr>
          </w:p>
        </w:tc>
        <w:tc>
          <w:tcPr>
            <w:tcW w:w="577" w:type="dxa"/>
            <w:vAlign w:val="center"/>
          </w:tcPr>
          <w:p w14:paraId="62089017">
            <w:pPr>
              <w:rPr>
                <w:rFonts w:ascii="宋体" w:hAnsi="宋体"/>
                <w:color w:val="auto"/>
                <w:sz w:val="24"/>
                <w:highlight w:val="none"/>
              </w:rPr>
            </w:pPr>
          </w:p>
        </w:tc>
        <w:tc>
          <w:tcPr>
            <w:tcW w:w="965" w:type="dxa"/>
            <w:vAlign w:val="center"/>
          </w:tcPr>
          <w:p w14:paraId="4D425450">
            <w:pPr>
              <w:rPr>
                <w:rFonts w:ascii="宋体" w:hAnsi="宋体"/>
                <w:color w:val="auto"/>
                <w:sz w:val="24"/>
                <w:highlight w:val="none"/>
              </w:rPr>
            </w:pPr>
          </w:p>
        </w:tc>
        <w:tc>
          <w:tcPr>
            <w:tcW w:w="772" w:type="dxa"/>
            <w:vAlign w:val="center"/>
          </w:tcPr>
          <w:p w14:paraId="299E75D8">
            <w:pPr>
              <w:rPr>
                <w:rFonts w:ascii="宋体" w:hAnsi="宋体"/>
                <w:color w:val="auto"/>
                <w:sz w:val="24"/>
                <w:highlight w:val="none"/>
              </w:rPr>
            </w:pPr>
          </w:p>
        </w:tc>
        <w:tc>
          <w:tcPr>
            <w:tcW w:w="1158" w:type="dxa"/>
            <w:vAlign w:val="center"/>
          </w:tcPr>
          <w:p w14:paraId="53A4340B">
            <w:pPr>
              <w:rPr>
                <w:rFonts w:ascii="宋体" w:hAnsi="宋体"/>
                <w:color w:val="auto"/>
                <w:sz w:val="24"/>
                <w:highlight w:val="none"/>
              </w:rPr>
            </w:pPr>
          </w:p>
        </w:tc>
        <w:tc>
          <w:tcPr>
            <w:tcW w:w="1158" w:type="dxa"/>
            <w:tcBorders>
              <w:right w:val="single" w:color="auto" w:sz="4" w:space="0"/>
            </w:tcBorders>
            <w:vAlign w:val="center"/>
          </w:tcPr>
          <w:p w14:paraId="44881847">
            <w:pPr>
              <w:rPr>
                <w:rFonts w:ascii="宋体" w:hAnsi="宋体"/>
                <w:color w:val="auto"/>
                <w:sz w:val="24"/>
                <w:highlight w:val="none"/>
              </w:rPr>
            </w:pPr>
          </w:p>
        </w:tc>
        <w:tc>
          <w:tcPr>
            <w:tcW w:w="1410" w:type="dxa"/>
            <w:tcBorders>
              <w:left w:val="single" w:color="auto" w:sz="4" w:space="0"/>
              <w:right w:val="single" w:color="auto" w:sz="12" w:space="0"/>
            </w:tcBorders>
            <w:vAlign w:val="center"/>
          </w:tcPr>
          <w:p w14:paraId="49DCFCBC">
            <w:pPr>
              <w:rPr>
                <w:rFonts w:ascii="宋体" w:hAnsi="宋体"/>
                <w:color w:val="auto"/>
                <w:sz w:val="24"/>
                <w:highlight w:val="none"/>
              </w:rPr>
            </w:pPr>
          </w:p>
        </w:tc>
      </w:tr>
      <w:tr w14:paraId="46B26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1081" w:type="dxa"/>
            <w:tcBorders>
              <w:left w:val="single" w:color="auto" w:sz="12" w:space="0"/>
            </w:tcBorders>
            <w:vAlign w:val="center"/>
          </w:tcPr>
          <w:p w14:paraId="31BE69C3">
            <w:pPr>
              <w:rPr>
                <w:rFonts w:ascii="宋体" w:hAnsi="宋体"/>
                <w:color w:val="auto"/>
                <w:sz w:val="24"/>
                <w:highlight w:val="none"/>
              </w:rPr>
            </w:pPr>
          </w:p>
        </w:tc>
        <w:tc>
          <w:tcPr>
            <w:tcW w:w="1735" w:type="dxa"/>
            <w:vAlign w:val="center"/>
          </w:tcPr>
          <w:p w14:paraId="5D085499">
            <w:pPr>
              <w:rPr>
                <w:rFonts w:ascii="宋体" w:hAnsi="宋体"/>
                <w:color w:val="auto"/>
                <w:sz w:val="24"/>
                <w:highlight w:val="none"/>
              </w:rPr>
            </w:pPr>
          </w:p>
        </w:tc>
        <w:tc>
          <w:tcPr>
            <w:tcW w:w="608" w:type="dxa"/>
            <w:vAlign w:val="center"/>
          </w:tcPr>
          <w:p w14:paraId="76FCAC8B">
            <w:pPr>
              <w:rPr>
                <w:rFonts w:ascii="宋体" w:hAnsi="宋体"/>
                <w:color w:val="auto"/>
                <w:sz w:val="24"/>
                <w:highlight w:val="none"/>
              </w:rPr>
            </w:pPr>
          </w:p>
        </w:tc>
        <w:tc>
          <w:tcPr>
            <w:tcW w:w="577" w:type="dxa"/>
            <w:vAlign w:val="center"/>
          </w:tcPr>
          <w:p w14:paraId="58C55547">
            <w:pPr>
              <w:rPr>
                <w:rFonts w:ascii="宋体" w:hAnsi="宋体"/>
                <w:color w:val="auto"/>
                <w:sz w:val="24"/>
                <w:highlight w:val="none"/>
              </w:rPr>
            </w:pPr>
          </w:p>
        </w:tc>
        <w:tc>
          <w:tcPr>
            <w:tcW w:w="965" w:type="dxa"/>
            <w:vAlign w:val="center"/>
          </w:tcPr>
          <w:p w14:paraId="5B92DDE1">
            <w:pPr>
              <w:rPr>
                <w:rFonts w:ascii="宋体" w:hAnsi="宋体"/>
                <w:color w:val="auto"/>
                <w:sz w:val="24"/>
                <w:highlight w:val="none"/>
              </w:rPr>
            </w:pPr>
          </w:p>
        </w:tc>
        <w:tc>
          <w:tcPr>
            <w:tcW w:w="772" w:type="dxa"/>
            <w:vAlign w:val="center"/>
          </w:tcPr>
          <w:p w14:paraId="17DE970A">
            <w:pPr>
              <w:rPr>
                <w:rFonts w:ascii="宋体" w:hAnsi="宋体"/>
                <w:color w:val="auto"/>
                <w:sz w:val="24"/>
                <w:highlight w:val="none"/>
              </w:rPr>
            </w:pPr>
          </w:p>
        </w:tc>
        <w:tc>
          <w:tcPr>
            <w:tcW w:w="1158" w:type="dxa"/>
            <w:vAlign w:val="center"/>
          </w:tcPr>
          <w:p w14:paraId="6AAF2236">
            <w:pPr>
              <w:rPr>
                <w:rFonts w:ascii="宋体" w:hAnsi="宋体"/>
                <w:color w:val="auto"/>
                <w:sz w:val="24"/>
                <w:highlight w:val="none"/>
              </w:rPr>
            </w:pPr>
          </w:p>
        </w:tc>
        <w:tc>
          <w:tcPr>
            <w:tcW w:w="1158" w:type="dxa"/>
            <w:tcBorders>
              <w:right w:val="single" w:color="auto" w:sz="4" w:space="0"/>
            </w:tcBorders>
            <w:vAlign w:val="center"/>
          </w:tcPr>
          <w:p w14:paraId="19DACA87">
            <w:pPr>
              <w:rPr>
                <w:rFonts w:ascii="宋体" w:hAnsi="宋体"/>
                <w:color w:val="auto"/>
                <w:sz w:val="24"/>
                <w:highlight w:val="none"/>
              </w:rPr>
            </w:pPr>
          </w:p>
        </w:tc>
        <w:tc>
          <w:tcPr>
            <w:tcW w:w="1410" w:type="dxa"/>
            <w:tcBorders>
              <w:left w:val="single" w:color="auto" w:sz="4" w:space="0"/>
              <w:right w:val="single" w:color="auto" w:sz="12" w:space="0"/>
            </w:tcBorders>
            <w:vAlign w:val="center"/>
          </w:tcPr>
          <w:p w14:paraId="6C504E8A">
            <w:pPr>
              <w:rPr>
                <w:rFonts w:ascii="宋体" w:hAnsi="宋体"/>
                <w:color w:val="auto"/>
                <w:sz w:val="24"/>
                <w:highlight w:val="none"/>
              </w:rPr>
            </w:pPr>
          </w:p>
        </w:tc>
      </w:tr>
      <w:tr w14:paraId="08238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1081" w:type="dxa"/>
            <w:tcBorders>
              <w:left w:val="single" w:color="auto" w:sz="12" w:space="0"/>
            </w:tcBorders>
            <w:vAlign w:val="center"/>
          </w:tcPr>
          <w:p w14:paraId="106BF388">
            <w:pPr>
              <w:rPr>
                <w:rFonts w:ascii="宋体" w:hAnsi="宋体"/>
                <w:color w:val="auto"/>
                <w:sz w:val="24"/>
                <w:highlight w:val="none"/>
              </w:rPr>
            </w:pPr>
          </w:p>
        </w:tc>
        <w:tc>
          <w:tcPr>
            <w:tcW w:w="1735" w:type="dxa"/>
            <w:vAlign w:val="center"/>
          </w:tcPr>
          <w:p w14:paraId="05C54A08">
            <w:pPr>
              <w:rPr>
                <w:rFonts w:ascii="宋体" w:hAnsi="宋体"/>
                <w:color w:val="auto"/>
                <w:sz w:val="24"/>
                <w:highlight w:val="none"/>
              </w:rPr>
            </w:pPr>
          </w:p>
        </w:tc>
        <w:tc>
          <w:tcPr>
            <w:tcW w:w="608" w:type="dxa"/>
            <w:vAlign w:val="center"/>
          </w:tcPr>
          <w:p w14:paraId="694A6BEA">
            <w:pPr>
              <w:rPr>
                <w:rFonts w:ascii="宋体" w:hAnsi="宋体"/>
                <w:color w:val="auto"/>
                <w:sz w:val="24"/>
                <w:highlight w:val="none"/>
              </w:rPr>
            </w:pPr>
          </w:p>
        </w:tc>
        <w:tc>
          <w:tcPr>
            <w:tcW w:w="577" w:type="dxa"/>
            <w:vAlign w:val="center"/>
          </w:tcPr>
          <w:p w14:paraId="196C1EC5">
            <w:pPr>
              <w:rPr>
                <w:rFonts w:ascii="宋体" w:hAnsi="宋体"/>
                <w:color w:val="auto"/>
                <w:sz w:val="24"/>
                <w:highlight w:val="none"/>
              </w:rPr>
            </w:pPr>
          </w:p>
        </w:tc>
        <w:tc>
          <w:tcPr>
            <w:tcW w:w="965" w:type="dxa"/>
            <w:vAlign w:val="center"/>
          </w:tcPr>
          <w:p w14:paraId="02704009">
            <w:pPr>
              <w:rPr>
                <w:rFonts w:ascii="宋体" w:hAnsi="宋体"/>
                <w:color w:val="auto"/>
                <w:sz w:val="24"/>
                <w:highlight w:val="none"/>
              </w:rPr>
            </w:pPr>
          </w:p>
        </w:tc>
        <w:tc>
          <w:tcPr>
            <w:tcW w:w="772" w:type="dxa"/>
            <w:vAlign w:val="center"/>
          </w:tcPr>
          <w:p w14:paraId="671E3F92">
            <w:pPr>
              <w:rPr>
                <w:rFonts w:ascii="宋体" w:hAnsi="宋体"/>
                <w:color w:val="auto"/>
                <w:sz w:val="24"/>
                <w:highlight w:val="none"/>
              </w:rPr>
            </w:pPr>
          </w:p>
        </w:tc>
        <w:tc>
          <w:tcPr>
            <w:tcW w:w="1158" w:type="dxa"/>
            <w:vAlign w:val="center"/>
          </w:tcPr>
          <w:p w14:paraId="1C5B49B7">
            <w:pPr>
              <w:rPr>
                <w:rFonts w:ascii="宋体" w:hAnsi="宋体"/>
                <w:color w:val="auto"/>
                <w:sz w:val="24"/>
                <w:highlight w:val="none"/>
              </w:rPr>
            </w:pPr>
          </w:p>
        </w:tc>
        <w:tc>
          <w:tcPr>
            <w:tcW w:w="1158" w:type="dxa"/>
            <w:tcBorders>
              <w:right w:val="single" w:color="auto" w:sz="4" w:space="0"/>
            </w:tcBorders>
            <w:vAlign w:val="center"/>
          </w:tcPr>
          <w:p w14:paraId="1F68728B">
            <w:pPr>
              <w:rPr>
                <w:rFonts w:ascii="宋体" w:hAnsi="宋体"/>
                <w:color w:val="auto"/>
                <w:sz w:val="24"/>
                <w:highlight w:val="none"/>
              </w:rPr>
            </w:pPr>
          </w:p>
        </w:tc>
        <w:tc>
          <w:tcPr>
            <w:tcW w:w="1410" w:type="dxa"/>
            <w:tcBorders>
              <w:left w:val="single" w:color="auto" w:sz="4" w:space="0"/>
              <w:right w:val="single" w:color="auto" w:sz="12" w:space="0"/>
            </w:tcBorders>
            <w:vAlign w:val="center"/>
          </w:tcPr>
          <w:p w14:paraId="22224FED">
            <w:pPr>
              <w:rPr>
                <w:rFonts w:ascii="宋体" w:hAnsi="宋体"/>
                <w:color w:val="auto"/>
                <w:sz w:val="24"/>
                <w:highlight w:val="none"/>
              </w:rPr>
            </w:pPr>
          </w:p>
        </w:tc>
      </w:tr>
      <w:tr w14:paraId="73E79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1081" w:type="dxa"/>
            <w:tcBorders>
              <w:left w:val="single" w:color="auto" w:sz="12" w:space="0"/>
            </w:tcBorders>
            <w:vAlign w:val="center"/>
          </w:tcPr>
          <w:p w14:paraId="4607B579">
            <w:pPr>
              <w:rPr>
                <w:rFonts w:ascii="宋体" w:hAnsi="宋体"/>
                <w:color w:val="auto"/>
                <w:sz w:val="24"/>
                <w:highlight w:val="none"/>
              </w:rPr>
            </w:pPr>
          </w:p>
        </w:tc>
        <w:tc>
          <w:tcPr>
            <w:tcW w:w="1735" w:type="dxa"/>
            <w:vAlign w:val="center"/>
          </w:tcPr>
          <w:p w14:paraId="5EFF4E50">
            <w:pPr>
              <w:rPr>
                <w:rFonts w:ascii="宋体" w:hAnsi="宋体"/>
                <w:color w:val="auto"/>
                <w:sz w:val="24"/>
                <w:highlight w:val="none"/>
              </w:rPr>
            </w:pPr>
          </w:p>
        </w:tc>
        <w:tc>
          <w:tcPr>
            <w:tcW w:w="608" w:type="dxa"/>
            <w:vAlign w:val="center"/>
          </w:tcPr>
          <w:p w14:paraId="26658EDE">
            <w:pPr>
              <w:rPr>
                <w:rFonts w:ascii="宋体" w:hAnsi="宋体"/>
                <w:color w:val="auto"/>
                <w:sz w:val="24"/>
                <w:highlight w:val="none"/>
              </w:rPr>
            </w:pPr>
          </w:p>
        </w:tc>
        <w:tc>
          <w:tcPr>
            <w:tcW w:w="577" w:type="dxa"/>
            <w:vAlign w:val="center"/>
          </w:tcPr>
          <w:p w14:paraId="23C322A6">
            <w:pPr>
              <w:rPr>
                <w:rFonts w:ascii="宋体" w:hAnsi="宋体"/>
                <w:color w:val="auto"/>
                <w:sz w:val="24"/>
                <w:highlight w:val="none"/>
              </w:rPr>
            </w:pPr>
          </w:p>
        </w:tc>
        <w:tc>
          <w:tcPr>
            <w:tcW w:w="965" w:type="dxa"/>
            <w:vAlign w:val="center"/>
          </w:tcPr>
          <w:p w14:paraId="509FE161">
            <w:pPr>
              <w:rPr>
                <w:rFonts w:ascii="宋体" w:hAnsi="宋体"/>
                <w:color w:val="auto"/>
                <w:sz w:val="24"/>
                <w:highlight w:val="none"/>
              </w:rPr>
            </w:pPr>
          </w:p>
        </w:tc>
        <w:tc>
          <w:tcPr>
            <w:tcW w:w="772" w:type="dxa"/>
            <w:vAlign w:val="center"/>
          </w:tcPr>
          <w:p w14:paraId="2F330327">
            <w:pPr>
              <w:rPr>
                <w:rFonts w:ascii="宋体" w:hAnsi="宋体"/>
                <w:color w:val="auto"/>
                <w:sz w:val="24"/>
                <w:highlight w:val="none"/>
              </w:rPr>
            </w:pPr>
          </w:p>
        </w:tc>
        <w:tc>
          <w:tcPr>
            <w:tcW w:w="1158" w:type="dxa"/>
            <w:vAlign w:val="center"/>
          </w:tcPr>
          <w:p w14:paraId="508BB1BA">
            <w:pPr>
              <w:rPr>
                <w:rFonts w:ascii="宋体" w:hAnsi="宋体"/>
                <w:color w:val="auto"/>
                <w:sz w:val="24"/>
                <w:highlight w:val="none"/>
              </w:rPr>
            </w:pPr>
          </w:p>
        </w:tc>
        <w:tc>
          <w:tcPr>
            <w:tcW w:w="1158" w:type="dxa"/>
            <w:tcBorders>
              <w:right w:val="single" w:color="auto" w:sz="4" w:space="0"/>
            </w:tcBorders>
            <w:vAlign w:val="center"/>
          </w:tcPr>
          <w:p w14:paraId="2EED10D4">
            <w:pPr>
              <w:rPr>
                <w:rFonts w:ascii="宋体" w:hAnsi="宋体"/>
                <w:color w:val="auto"/>
                <w:sz w:val="24"/>
                <w:highlight w:val="none"/>
              </w:rPr>
            </w:pPr>
          </w:p>
        </w:tc>
        <w:tc>
          <w:tcPr>
            <w:tcW w:w="1410" w:type="dxa"/>
            <w:tcBorders>
              <w:left w:val="single" w:color="auto" w:sz="4" w:space="0"/>
              <w:right w:val="single" w:color="auto" w:sz="12" w:space="0"/>
            </w:tcBorders>
            <w:vAlign w:val="center"/>
          </w:tcPr>
          <w:p w14:paraId="1F84214F">
            <w:pPr>
              <w:rPr>
                <w:rFonts w:ascii="宋体" w:hAnsi="宋体"/>
                <w:color w:val="auto"/>
                <w:sz w:val="24"/>
                <w:highlight w:val="none"/>
              </w:rPr>
            </w:pPr>
          </w:p>
        </w:tc>
      </w:tr>
      <w:tr w14:paraId="7786D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1081" w:type="dxa"/>
            <w:tcBorders>
              <w:left w:val="single" w:color="auto" w:sz="12" w:space="0"/>
            </w:tcBorders>
            <w:vAlign w:val="center"/>
          </w:tcPr>
          <w:p w14:paraId="72570E01">
            <w:pPr>
              <w:rPr>
                <w:rFonts w:ascii="宋体" w:hAnsi="宋体"/>
                <w:color w:val="auto"/>
                <w:sz w:val="24"/>
                <w:highlight w:val="none"/>
              </w:rPr>
            </w:pPr>
          </w:p>
        </w:tc>
        <w:tc>
          <w:tcPr>
            <w:tcW w:w="1735" w:type="dxa"/>
            <w:vAlign w:val="center"/>
          </w:tcPr>
          <w:p w14:paraId="53A3F389">
            <w:pPr>
              <w:rPr>
                <w:rFonts w:ascii="宋体" w:hAnsi="宋体"/>
                <w:color w:val="auto"/>
                <w:sz w:val="24"/>
                <w:highlight w:val="none"/>
              </w:rPr>
            </w:pPr>
          </w:p>
        </w:tc>
        <w:tc>
          <w:tcPr>
            <w:tcW w:w="608" w:type="dxa"/>
            <w:vAlign w:val="center"/>
          </w:tcPr>
          <w:p w14:paraId="187593D5">
            <w:pPr>
              <w:rPr>
                <w:rFonts w:ascii="宋体" w:hAnsi="宋体"/>
                <w:color w:val="auto"/>
                <w:sz w:val="24"/>
                <w:highlight w:val="none"/>
              </w:rPr>
            </w:pPr>
          </w:p>
        </w:tc>
        <w:tc>
          <w:tcPr>
            <w:tcW w:w="577" w:type="dxa"/>
            <w:vAlign w:val="center"/>
          </w:tcPr>
          <w:p w14:paraId="5A1C7180">
            <w:pPr>
              <w:rPr>
                <w:rFonts w:ascii="宋体" w:hAnsi="宋体"/>
                <w:color w:val="auto"/>
                <w:sz w:val="24"/>
                <w:highlight w:val="none"/>
              </w:rPr>
            </w:pPr>
          </w:p>
        </w:tc>
        <w:tc>
          <w:tcPr>
            <w:tcW w:w="965" w:type="dxa"/>
            <w:vAlign w:val="center"/>
          </w:tcPr>
          <w:p w14:paraId="39E93D24">
            <w:pPr>
              <w:rPr>
                <w:rFonts w:ascii="宋体" w:hAnsi="宋体"/>
                <w:color w:val="auto"/>
                <w:sz w:val="24"/>
                <w:highlight w:val="none"/>
              </w:rPr>
            </w:pPr>
          </w:p>
        </w:tc>
        <w:tc>
          <w:tcPr>
            <w:tcW w:w="772" w:type="dxa"/>
            <w:vAlign w:val="center"/>
          </w:tcPr>
          <w:p w14:paraId="5A20FCC7">
            <w:pPr>
              <w:rPr>
                <w:rFonts w:ascii="宋体" w:hAnsi="宋体"/>
                <w:color w:val="auto"/>
                <w:sz w:val="24"/>
                <w:highlight w:val="none"/>
              </w:rPr>
            </w:pPr>
          </w:p>
        </w:tc>
        <w:tc>
          <w:tcPr>
            <w:tcW w:w="1158" w:type="dxa"/>
            <w:vAlign w:val="center"/>
          </w:tcPr>
          <w:p w14:paraId="5C88815A">
            <w:pPr>
              <w:rPr>
                <w:rFonts w:ascii="宋体" w:hAnsi="宋体"/>
                <w:color w:val="auto"/>
                <w:sz w:val="24"/>
                <w:highlight w:val="none"/>
              </w:rPr>
            </w:pPr>
          </w:p>
        </w:tc>
        <w:tc>
          <w:tcPr>
            <w:tcW w:w="1158" w:type="dxa"/>
            <w:tcBorders>
              <w:right w:val="single" w:color="auto" w:sz="4" w:space="0"/>
            </w:tcBorders>
            <w:vAlign w:val="center"/>
          </w:tcPr>
          <w:p w14:paraId="2D0B6CCB">
            <w:pPr>
              <w:rPr>
                <w:rFonts w:ascii="宋体" w:hAnsi="宋体"/>
                <w:color w:val="auto"/>
                <w:sz w:val="24"/>
                <w:highlight w:val="none"/>
              </w:rPr>
            </w:pPr>
          </w:p>
        </w:tc>
        <w:tc>
          <w:tcPr>
            <w:tcW w:w="1410" w:type="dxa"/>
            <w:tcBorders>
              <w:left w:val="single" w:color="auto" w:sz="4" w:space="0"/>
              <w:right w:val="single" w:color="auto" w:sz="12" w:space="0"/>
            </w:tcBorders>
            <w:vAlign w:val="center"/>
          </w:tcPr>
          <w:p w14:paraId="037102C1">
            <w:pPr>
              <w:rPr>
                <w:rFonts w:ascii="宋体" w:hAnsi="宋体"/>
                <w:color w:val="auto"/>
                <w:sz w:val="24"/>
                <w:highlight w:val="none"/>
              </w:rPr>
            </w:pPr>
          </w:p>
        </w:tc>
      </w:tr>
      <w:tr w14:paraId="04B1D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1081" w:type="dxa"/>
            <w:tcBorders>
              <w:left w:val="single" w:color="auto" w:sz="12" w:space="0"/>
            </w:tcBorders>
            <w:vAlign w:val="center"/>
          </w:tcPr>
          <w:p w14:paraId="1EABBBC5">
            <w:pPr>
              <w:rPr>
                <w:rFonts w:ascii="宋体" w:hAnsi="宋体"/>
                <w:color w:val="auto"/>
                <w:sz w:val="24"/>
                <w:highlight w:val="none"/>
              </w:rPr>
            </w:pPr>
          </w:p>
        </w:tc>
        <w:tc>
          <w:tcPr>
            <w:tcW w:w="1735" w:type="dxa"/>
            <w:vAlign w:val="center"/>
          </w:tcPr>
          <w:p w14:paraId="6336D48B">
            <w:pPr>
              <w:rPr>
                <w:rFonts w:ascii="宋体" w:hAnsi="宋体"/>
                <w:color w:val="auto"/>
                <w:sz w:val="24"/>
                <w:highlight w:val="none"/>
              </w:rPr>
            </w:pPr>
          </w:p>
        </w:tc>
        <w:tc>
          <w:tcPr>
            <w:tcW w:w="608" w:type="dxa"/>
            <w:vAlign w:val="center"/>
          </w:tcPr>
          <w:p w14:paraId="7D3F3E5C">
            <w:pPr>
              <w:rPr>
                <w:rFonts w:ascii="宋体" w:hAnsi="宋体"/>
                <w:color w:val="auto"/>
                <w:sz w:val="24"/>
                <w:highlight w:val="none"/>
              </w:rPr>
            </w:pPr>
          </w:p>
        </w:tc>
        <w:tc>
          <w:tcPr>
            <w:tcW w:w="577" w:type="dxa"/>
            <w:vAlign w:val="center"/>
          </w:tcPr>
          <w:p w14:paraId="68A1ABDA">
            <w:pPr>
              <w:rPr>
                <w:rFonts w:ascii="宋体" w:hAnsi="宋体"/>
                <w:color w:val="auto"/>
                <w:sz w:val="24"/>
                <w:highlight w:val="none"/>
              </w:rPr>
            </w:pPr>
          </w:p>
        </w:tc>
        <w:tc>
          <w:tcPr>
            <w:tcW w:w="965" w:type="dxa"/>
            <w:vAlign w:val="center"/>
          </w:tcPr>
          <w:p w14:paraId="11D4F003">
            <w:pPr>
              <w:rPr>
                <w:rFonts w:ascii="宋体" w:hAnsi="宋体"/>
                <w:color w:val="auto"/>
                <w:sz w:val="24"/>
                <w:highlight w:val="none"/>
              </w:rPr>
            </w:pPr>
          </w:p>
        </w:tc>
        <w:tc>
          <w:tcPr>
            <w:tcW w:w="772" w:type="dxa"/>
            <w:vAlign w:val="center"/>
          </w:tcPr>
          <w:p w14:paraId="5857B0BF">
            <w:pPr>
              <w:rPr>
                <w:rFonts w:ascii="宋体" w:hAnsi="宋体"/>
                <w:color w:val="auto"/>
                <w:sz w:val="24"/>
                <w:highlight w:val="none"/>
              </w:rPr>
            </w:pPr>
          </w:p>
        </w:tc>
        <w:tc>
          <w:tcPr>
            <w:tcW w:w="1158" w:type="dxa"/>
            <w:vAlign w:val="center"/>
          </w:tcPr>
          <w:p w14:paraId="66B2B126">
            <w:pPr>
              <w:rPr>
                <w:rFonts w:ascii="宋体" w:hAnsi="宋体"/>
                <w:color w:val="auto"/>
                <w:sz w:val="24"/>
                <w:highlight w:val="none"/>
              </w:rPr>
            </w:pPr>
          </w:p>
        </w:tc>
        <w:tc>
          <w:tcPr>
            <w:tcW w:w="1158" w:type="dxa"/>
            <w:tcBorders>
              <w:right w:val="single" w:color="auto" w:sz="4" w:space="0"/>
            </w:tcBorders>
            <w:vAlign w:val="center"/>
          </w:tcPr>
          <w:p w14:paraId="22954FC8">
            <w:pPr>
              <w:rPr>
                <w:rFonts w:ascii="宋体" w:hAnsi="宋体"/>
                <w:color w:val="auto"/>
                <w:sz w:val="24"/>
                <w:highlight w:val="none"/>
              </w:rPr>
            </w:pPr>
          </w:p>
        </w:tc>
        <w:tc>
          <w:tcPr>
            <w:tcW w:w="1410" w:type="dxa"/>
            <w:tcBorders>
              <w:left w:val="single" w:color="auto" w:sz="4" w:space="0"/>
              <w:right w:val="single" w:color="auto" w:sz="12" w:space="0"/>
            </w:tcBorders>
            <w:vAlign w:val="center"/>
          </w:tcPr>
          <w:p w14:paraId="73D4CC18">
            <w:pPr>
              <w:rPr>
                <w:rFonts w:ascii="宋体" w:hAnsi="宋体"/>
                <w:color w:val="auto"/>
                <w:sz w:val="24"/>
                <w:highlight w:val="none"/>
              </w:rPr>
            </w:pPr>
          </w:p>
        </w:tc>
      </w:tr>
      <w:tr w14:paraId="3B94D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1081" w:type="dxa"/>
            <w:tcBorders>
              <w:left w:val="single" w:color="auto" w:sz="12" w:space="0"/>
            </w:tcBorders>
            <w:vAlign w:val="center"/>
          </w:tcPr>
          <w:p w14:paraId="5258B9B1">
            <w:pPr>
              <w:rPr>
                <w:rFonts w:ascii="宋体" w:hAnsi="宋体"/>
                <w:color w:val="auto"/>
                <w:sz w:val="24"/>
                <w:highlight w:val="none"/>
              </w:rPr>
            </w:pPr>
          </w:p>
        </w:tc>
        <w:tc>
          <w:tcPr>
            <w:tcW w:w="1735" w:type="dxa"/>
            <w:vAlign w:val="center"/>
          </w:tcPr>
          <w:p w14:paraId="6076A620">
            <w:pPr>
              <w:rPr>
                <w:rFonts w:ascii="宋体" w:hAnsi="宋体"/>
                <w:color w:val="auto"/>
                <w:sz w:val="24"/>
                <w:highlight w:val="none"/>
              </w:rPr>
            </w:pPr>
          </w:p>
        </w:tc>
        <w:tc>
          <w:tcPr>
            <w:tcW w:w="608" w:type="dxa"/>
            <w:vAlign w:val="center"/>
          </w:tcPr>
          <w:p w14:paraId="3609765E">
            <w:pPr>
              <w:rPr>
                <w:rFonts w:ascii="宋体" w:hAnsi="宋体"/>
                <w:color w:val="auto"/>
                <w:sz w:val="24"/>
                <w:highlight w:val="none"/>
              </w:rPr>
            </w:pPr>
          </w:p>
        </w:tc>
        <w:tc>
          <w:tcPr>
            <w:tcW w:w="577" w:type="dxa"/>
            <w:vAlign w:val="center"/>
          </w:tcPr>
          <w:p w14:paraId="79009C17">
            <w:pPr>
              <w:rPr>
                <w:rFonts w:ascii="宋体" w:hAnsi="宋体"/>
                <w:color w:val="auto"/>
                <w:sz w:val="24"/>
                <w:highlight w:val="none"/>
              </w:rPr>
            </w:pPr>
          </w:p>
        </w:tc>
        <w:tc>
          <w:tcPr>
            <w:tcW w:w="965" w:type="dxa"/>
            <w:vAlign w:val="center"/>
          </w:tcPr>
          <w:p w14:paraId="29A340A8">
            <w:pPr>
              <w:rPr>
                <w:rFonts w:ascii="宋体" w:hAnsi="宋体"/>
                <w:color w:val="auto"/>
                <w:sz w:val="24"/>
                <w:highlight w:val="none"/>
              </w:rPr>
            </w:pPr>
          </w:p>
        </w:tc>
        <w:tc>
          <w:tcPr>
            <w:tcW w:w="772" w:type="dxa"/>
            <w:vAlign w:val="center"/>
          </w:tcPr>
          <w:p w14:paraId="54025464">
            <w:pPr>
              <w:rPr>
                <w:rFonts w:ascii="宋体" w:hAnsi="宋体"/>
                <w:color w:val="auto"/>
                <w:sz w:val="24"/>
                <w:highlight w:val="none"/>
              </w:rPr>
            </w:pPr>
          </w:p>
        </w:tc>
        <w:tc>
          <w:tcPr>
            <w:tcW w:w="1158" w:type="dxa"/>
            <w:vAlign w:val="center"/>
          </w:tcPr>
          <w:p w14:paraId="17C33BE1">
            <w:pPr>
              <w:rPr>
                <w:rFonts w:ascii="宋体" w:hAnsi="宋体"/>
                <w:color w:val="auto"/>
                <w:sz w:val="24"/>
                <w:highlight w:val="none"/>
              </w:rPr>
            </w:pPr>
          </w:p>
        </w:tc>
        <w:tc>
          <w:tcPr>
            <w:tcW w:w="1158" w:type="dxa"/>
            <w:tcBorders>
              <w:right w:val="single" w:color="auto" w:sz="4" w:space="0"/>
            </w:tcBorders>
            <w:vAlign w:val="center"/>
          </w:tcPr>
          <w:p w14:paraId="27BEBE23">
            <w:pPr>
              <w:rPr>
                <w:rFonts w:ascii="宋体" w:hAnsi="宋体"/>
                <w:color w:val="auto"/>
                <w:sz w:val="24"/>
                <w:highlight w:val="none"/>
              </w:rPr>
            </w:pPr>
          </w:p>
        </w:tc>
        <w:tc>
          <w:tcPr>
            <w:tcW w:w="1410" w:type="dxa"/>
            <w:tcBorders>
              <w:left w:val="single" w:color="auto" w:sz="4" w:space="0"/>
              <w:right w:val="single" w:color="auto" w:sz="12" w:space="0"/>
            </w:tcBorders>
            <w:vAlign w:val="center"/>
          </w:tcPr>
          <w:p w14:paraId="7CC8DDA1">
            <w:pPr>
              <w:rPr>
                <w:rFonts w:ascii="宋体" w:hAnsi="宋体"/>
                <w:color w:val="auto"/>
                <w:sz w:val="24"/>
                <w:highlight w:val="none"/>
              </w:rPr>
            </w:pPr>
          </w:p>
        </w:tc>
      </w:tr>
    </w:tbl>
    <w:p w14:paraId="5B0CED55">
      <w:pPr>
        <w:spacing w:line="360" w:lineRule="auto"/>
        <w:rPr>
          <w:rFonts w:ascii="宋体" w:hAnsi="宋体"/>
          <w:color w:val="auto"/>
          <w:sz w:val="24"/>
          <w:highlight w:val="none"/>
        </w:rPr>
      </w:pPr>
      <w:r>
        <w:rPr>
          <w:rFonts w:hint="eastAsia" w:ascii="宋体" w:hAnsi="宋体"/>
          <w:color w:val="auto"/>
          <w:sz w:val="24"/>
          <w:highlight w:val="none"/>
        </w:rPr>
        <w:t>注：1、列入本表人员如要更换，需经招标人同意。擅自更换或不到位属违约行为。</w:t>
      </w:r>
    </w:p>
    <w:p w14:paraId="291E5CF9">
      <w:pPr>
        <w:spacing w:line="360" w:lineRule="auto"/>
        <w:rPr>
          <w:rFonts w:ascii="宋体" w:hAnsi="宋体"/>
          <w:color w:val="auto"/>
          <w:sz w:val="24"/>
          <w:highlight w:val="none"/>
        </w:rPr>
      </w:pPr>
      <w:r>
        <w:rPr>
          <w:rFonts w:hint="eastAsia" w:ascii="宋体" w:hAnsi="宋体"/>
          <w:color w:val="auto"/>
          <w:sz w:val="24"/>
          <w:highlight w:val="none"/>
        </w:rPr>
        <w:t>2、本表后附各人员社保证明及相关证书复印件。</w:t>
      </w:r>
    </w:p>
    <w:p w14:paraId="1A046D0A">
      <w:pPr>
        <w:spacing w:line="360" w:lineRule="auto"/>
        <w:rPr>
          <w:rFonts w:ascii="宋体" w:hAnsi="宋体"/>
          <w:color w:val="auto"/>
          <w:sz w:val="24"/>
          <w:highlight w:val="none"/>
        </w:rPr>
      </w:pPr>
    </w:p>
    <w:p w14:paraId="5784DC86">
      <w:pPr>
        <w:spacing w:line="360" w:lineRule="auto"/>
        <w:rPr>
          <w:rFonts w:ascii="宋体" w:hAnsi="宋体"/>
          <w:color w:val="auto"/>
          <w:sz w:val="24"/>
          <w:highlight w:val="none"/>
        </w:rPr>
      </w:pPr>
    </w:p>
    <w:p w14:paraId="5DDBBB81">
      <w:pPr>
        <w:spacing w:line="360" w:lineRule="auto"/>
        <w:rPr>
          <w:rFonts w:ascii="宋体" w:hAnsi="宋体" w:cs="宋体"/>
          <w:color w:val="auto"/>
          <w:kern w:val="0"/>
          <w:sz w:val="24"/>
          <w:highlight w:val="none"/>
        </w:rPr>
      </w:pPr>
      <w:r>
        <w:rPr>
          <w:rFonts w:hint="eastAsia" w:ascii="宋体" w:hAnsi="宋体"/>
          <w:color w:val="auto"/>
          <w:sz w:val="24"/>
          <w:highlight w:val="none"/>
        </w:rPr>
        <w:t xml:space="preserve">投标单位：（盖章）          </w:t>
      </w:r>
      <w:r>
        <w:rPr>
          <w:rFonts w:hint="eastAsia" w:ascii="宋体" w:hAnsi="宋体"/>
          <w:bCs/>
          <w:color w:val="auto"/>
          <w:sz w:val="24"/>
          <w:highlight w:val="none"/>
        </w:rPr>
        <w:t>法定代表人或委托代理人</w:t>
      </w:r>
      <w:r>
        <w:rPr>
          <w:rFonts w:hint="eastAsia" w:ascii="宋体" w:hAnsi="宋体"/>
          <w:color w:val="auto"/>
          <w:sz w:val="24"/>
          <w:highlight w:val="none"/>
        </w:rPr>
        <w:t>：（</w:t>
      </w:r>
      <w:r>
        <w:rPr>
          <w:rFonts w:hint="eastAsia" w:ascii="宋体" w:hAnsi="宋体"/>
          <w:b/>
          <w:strike w:val="0"/>
          <w:dstrike w:val="0"/>
          <w:color w:val="auto"/>
          <w:sz w:val="24"/>
          <w:highlight w:val="none"/>
          <w:u w:val="single"/>
          <w:em w:val="dot"/>
        </w:rPr>
        <w:t>签字或盖章</w:t>
      </w:r>
      <w:r>
        <w:rPr>
          <w:rFonts w:hint="eastAsia" w:ascii="宋体" w:hAnsi="宋体"/>
          <w:color w:val="auto"/>
          <w:sz w:val="24"/>
          <w:highlight w:val="none"/>
        </w:rPr>
        <w:t>）</w:t>
      </w:r>
    </w:p>
    <w:p w14:paraId="175D9BED">
      <w:pPr>
        <w:pStyle w:val="5"/>
        <w:keepNext w:val="0"/>
        <w:keepLines w:val="0"/>
        <w:pageBreakBefore/>
        <w:rPr>
          <w:rFonts w:ascii="宋体" w:hAnsi="宋体" w:eastAsia="宋体" w:cs="宋体"/>
          <w:b w:val="0"/>
          <w:color w:val="auto"/>
          <w:kern w:val="0"/>
          <w:sz w:val="24"/>
          <w:szCs w:val="24"/>
          <w:highlight w:val="none"/>
        </w:rPr>
      </w:pPr>
      <w:bookmarkStart w:id="83" w:name="_Toc14307"/>
      <w:r>
        <w:rPr>
          <w:rFonts w:hint="eastAsia" w:ascii="宋体" w:hAnsi="宋体" w:eastAsia="宋体" w:cs="宋体"/>
          <w:b w:val="0"/>
          <w:color w:val="auto"/>
          <w:kern w:val="0"/>
          <w:sz w:val="24"/>
          <w:szCs w:val="24"/>
          <w:highlight w:val="none"/>
        </w:rPr>
        <w:t>附件十一：同类项目业绩一览表</w:t>
      </w:r>
      <w:bookmarkEnd w:id="82"/>
      <w:bookmarkEnd w:id="83"/>
    </w:p>
    <w:p w14:paraId="2792EA4F">
      <w:pPr>
        <w:widowControl/>
        <w:jc w:val="left"/>
        <w:rPr>
          <w:rFonts w:ascii="宋体" w:hAnsi="宋体" w:cs="宋体"/>
          <w:color w:val="auto"/>
          <w:kern w:val="0"/>
          <w:sz w:val="24"/>
          <w:highlight w:val="none"/>
        </w:rPr>
      </w:pPr>
    </w:p>
    <w:p w14:paraId="4FDCB5EA">
      <w:pPr>
        <w:snapToGrid w:val="0"/>
        <w:spacing w:line="360" w:lineRule="auto"/>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同类项目业绩一览表</w:t>
      </w:r>
    </w:p>
    <w:p w14:paraId="7DE23738">
      <w:pPr>
        <w:widowControl/>
        <w:jc w:val="left"/>
        <w:rPr>
          <w:rFonts w:ascii="宋体" w:hAnsi="宋体" w:cs="宋体"/>
          <w:color w:val="auto"/>
          <w:kern w:val="0"/>
          <w:sz w:val="24"/>
          <w:highlight w:val="none"/>
        </w:rPr>
      </w:pP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2"/>
        <w:gridCol w:w="1312"/>
        <w:gridCol w:w="1312"/>
        <w:gridCol w:w="1312"/>
        <w:gridCol w:w="1312"/>
        <w:gridCol w:w="1312"/>
        <w:gridCol w:w="1313"/>
      </w:tblGrid>
      <w:tr w14:paraId="6E18E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6" w:hRule="atLeast"/>
          <w:jc w:val="center"/>
        </w:trPr>
        <w:tc>
          <w:tcPr>
            <w:tcW w:w="1312" w:type="dxa"/>
            <w:vAlign w:val="center"/>
          </w:tcPr>
          <w:p w14:paraId="3BEFD3CC">
            <w:pPr>
              <w:jc w:val="center"/>
              <w:rPr>
                <w:rFonts w:ascii="宋体" w:hAnsi="宋体" w:cs="宋体"/>
                <w:color w:val="auto"/>
                <w:sz w:val="24"/>
                <w:highlight w:val="none"/>
                <w:lang w:val="zh-CN"/>
              </w:rPr>
            </w:pPr>
            <w:r>
              <w:rPr>
                <w:rFonts w:hint="eastAsia" w:ascii="宋体" w:hAnsi="宋体" w:cs="宋体"/>
                <w:color w:val="auto"/>
                <w:sz w:val="24"/>
                <w:highlight w:val="none"/>
                <w:lang w:val="zh-CN"/>
              </w:rPr>
              <w:t>项目名称</w:t>
            </w:r>
          </w:p>
        </w:tc>
        <w:tc>
          <w:tcPr>
            <w:tcW w:w="1312" w:type="dxa"/>
            <w:vAlign w:val="center"/>
          </w:tcPr>
          <w:p w14:paraId="3A19EEC8">
            <w:pPr>
              <w:jc w:val="center"/>
              <w:rPr>
                <w:rFonts w:ascii="宋体" w:hAnsi="宋体" w:cs="宋体"/>
                <w:color w:val="auto"/>
                <w:sz w:val="24"/>
                <w:highlight w:val="none"/>
                <w:lang w:val="zh-CN"/>
              </w:rPr>
            </w:pPr>
            <w:r>
              <w:rPr>
                <w:rFonts w:hint="eastAsia" w:ascii="宋体" w:hAnsi="宋体" w:cs="宋体"/>
                <w:color w:val="auto"/>
                <w:sz w:val="24"/>
                <w:highlight w:val="none"/>
                <w:lang w:val="zh-CN"/>
              </w:rPr>
              <w:t>项目</w:t>
            </w:r>
          </w:p>
          <w:p w14:paraId="2082DA34">
            <w:pPr>
              <w:jc w:val="center"/>
              <w:rPr>
                <w:rFonts w:ascii="宋体" w:hAnsi="宋体" w:cs="宋体"/>
                <w:color w:val="auto"/>
                <w:sz w:val="24"/>
                <w:highlight w:val="none"/>
                <w:lang w:val="zh-CN"/>
              </w:rPr>
            </w:pPr>
            <w:r>
              <w:rPr>
                <w:rFonts w:hint="eastAsia" w:ascii="宋体" w:hAnsi="宋体" w:cs="宋体"/>
                <w:color w:val="auto"/>
                <w:sz w:val="24"/>
                <w:highlight w:val="none"/>
                <w:lang w:val="zh-CN"/>
              </w:rPr>
              <w:t>类型</w:t>
            </w:r>
          </w:p>
        </w:tc>
        <w:tc>
          <w:tcPr>
            <w:tcW w:w="1312" w:type="dxa"/>
            <w:vAlign w:val="center"/>
          </w:tcPr>
          <w:p w14:paraId="6C210FE1">
            <w:pPr>
              <w:jc w:val="center"/>
              <w:rPr>
                <w:rFonts w:ascii="宋体" w:hAnsi="宋体" w:cs="宋体"/>
                <w:color w:val="auto"/>
                <w:sz w:val="24"/>
                <w:highlight w:val="none"/>
                <w:lang w:val="zh-CN"/>
              </w:rPr>
            </w:pPr>
            <w:r>
              <w:rPr>
                <w:rFonts w:hint="eastAsia" w:ascii="宋体" w:hAnsi="宋体" w:cs="宋体"/>
                <w:color w:val="auto"/>
                <w:sz w:val="24"/>
                <w:highlight w:val="none"/>
                <w:lang w:val="zh-CN"/>
              </w:rPr>
              <w:t>简要描述</w:t>
            </w:r>
          </w:p>
        </w:tc>
        <w:tc>
          <w:tcPr>
            <w:tcW w:w="1312" w:type="dxa"/>
            <w:vAlign w:val="center"/>
          </w:tcPr>
          <w:p w14:paraId="4D16AB01">
            <w:pPr>
              <w:jc w:val="center"/>
              <w:rPr>
                <w:rFonts w:ascii="宋体" w:hAnsi="宋体" w:cs="宋体"/>
                <w:color w:val="auto"/>
                <w:sz w:val="24"/>
                <w:highlight w:val="none"/>
                <w:lang w:val="zh-CN"/>
              </w:rPr>
            </w:pPr>
            <w:r>
              <w:rPr>
                <w:rFonts w:hint="eastAsia" w:ascii="宋体" w:hAnsi="宋体" w:cs="宋体"/>
                <w:color w:val="auto"/>
                <w:sz w:val="24"/>
                <w:highlight w:val="none"/>
                <w:lang w:val="zh-CN"/>
              </w:rPr>
              <w:t>项目</w:t>
            </w:r>
          </w:p>
          <w:p w14:paraId="42F382EC">
            <w:pPr>
              <w:jc w:val="center"/>
              <w:rPr>
                <w:rFonts w:ascii="宋体" w:hAnsi="宋体" w:cs="宋体"/>
                <w:color w:val="auto"/>
                <w:sz w:val="24"/>
                <w:highlight w:val="none"/>
                <w:lang w:val="zh-CN"/>
              </w:rPr>
            </w:pPr>
            <w:r>
              <w:rPr>
                <w:rFonts w:hint="eastAsia" w:ascii="宋体" w:hAnsi="宋体" w:cs="宋体"/>
                <w:color w:val="auto"/>
                <w:sz w:val="24"/>
                <w:highlight w:val="none"/>
                <w:lang w:val="zh-CN"/>
              </w:rPr>
              <w:t>金额</w:t>
            </w:r>
          </w:p>
          <w:p w14:paraId="737E3C4D">
            <w:pPr>
              <w:jc w:val="center"/>
              <w:rPr>
                <w:rFonts w:ascii="宋体" w:hAnsi="宋体" w:cs="宋体"/>
                <w:color w:val="auto"/>
                <w:sz w:val="24"/>
                <w:highlight w:val="none"/>
                <w:lang w:val="zh-CN"/>
              </w:rPr>
            </w:pPr>
            <w:r>
              <w:rPr>
                <w:rFonts w:hint="eastAsia" w:ascii="宋体" w:hAnsi="宋体" w:cs="宋体"/>
                <w:color w:val="auto"/>
                <w:sz w:val="24"/>
                <w:highlight w:val="none"/>
                <w:lang w:val="zh-CN"/>
              </w:rPr>
              <w:t>（万元）</w:t>
            </w:r>
          </w:p>
        </w:tc>
        <w:tc>
          <w:tcPr>
            <w:tcW w:w="1312" w:type="dxa"/>
            <w:vAlign w:val="center"/>
          </w:tcPr>
          <w:p w14:paraId="2266CAB1">
            <w:pPr>
              <w:jc w:val="center"/>
              <w:rPr>
                <w:rFonts w:ascii="宋体" w:hAnsi="宋体" w:cs="宋体"/>
                <w:color w:val="auto"/>
                <w:sz w:val="24"/>
                <w:highlight w:val="none"/>
                <w:lang w:val="zh-CN"/>
              </w:rPr>
            </w:pPr>
            <w:r>
              <w:rPr>
                <w:rFonts w:hint="eastAsia" w:ascii="宋体" w:hAnsi="宋体" w:cs="宋体"/>
                <w:color w:val="auto"/>
                <w:sz w:val="24"/>
                <w:highlight w:val="none"/>
                <w:lang w:val="zh-CN"/>
              </w:rPr>
              <w:t>实施时间</w:t>
            </w:r>
          </w:p>
        </w:tc>
        <w:tc>
          <w:tcPr>
            <w:tcW w:w="1312" w:type="dxa"/>
            <w:vAlign w:val="center"/>
          </w:tcPr>
          <w:p w14:paraId="191F358C">
            <w:pPr>
              <w:jc w:val="center"/>
              <w:rPr>
                <w:rFonts w:ascii="宋体" w:hAnsi="宋体" w:cs="宋体"/>
                <w:color w:val="auto"/>
                <w:sz w:val="24"/>
                <w:highlight w:val="none"/>
                <w:lang w:val="zh-CN"/>
              </w:rPr>
            </w:pPr>
            <w:r>
              <w:rPr>
                <w:rFonts w:hint="eastAsia" w:ascii="宋体" w:hAnsi="宋体" w:cs="宋体"/>
                <w:color w:val="auto"/>
                <w:sz w:val="24"/>
                <w:highlight w:val="none"/>
                <w:lang w:val="zh-CN"/>
              </w:rPr>
              <w:t>项目单位、联系人及电话</w:t>
            </w:r>
          </w:p>
        </w:tc>
        <w:tc>
          <w:tcPr>
            <w:tcW w:w="1313" w:type="dxa"/>
            <w:vAlign w:val="center"/>
          </w:tcPr>
          <w:p w14:paraId="76AF779B">
            <w:pPr>
              <w:jc w:val="center"/>
              <w:rPr>
                <w:rFonts w:ascii="宋体" w:hAnsi="宋体" w:cs="宋体"/>
                <w:color w:val="auto"/>
                <w:sz w:val="24"/>
                <w:highlight w:val="none"/>
                <w:lang w:val="zh-CN"/>
              </w:rPr>
            </w:pPr>
            <w:r>
              <w:rPr>
                <w:rFonts w:hint="eastAsia" w:ascii="宋体" w:hAnsi="宋体" w:cs="宋体"/>
                <w:color w:val="auto"/>
                <w:sz w:val="24"/>
                <w:highlight w:val="none"/>
                <w:lang w:val="zh-CN"/>
              </w:rPr>
              <w:t>项目完成情况</w:t>
            </w:r>
          </w:p>
        </w:tc>
      </w:tr>
      <w:tr w14:paraId="4B28F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4" w:hRule="atLeast"/>
          <w:jc w:val="center"/>
        </w:trPr>
        <w:tc>
          <w:tcPr>
            <w:tcW w:w="1312" w:type="dxa"/>
            <w:vAlign w:val="center"/>
          </w:tcPr>
          <w:p w14:paraId="15D0D3C8">
            <w:pPr>
              <w:autoSpaceDE w:val="0"/>
              <w:autoSpaceDN w:val="0"/>
              <w:adjustRightInd w:val="0"/>
              <w:spacing w:line="360" w:lineRule="auto"/>
              <w:jc w:val="center"/>
              <w:rPr>
                <w:rFonts w:ascii="宋体" w:hAnsi="宋体" w:cs="宋体"/>
                <w:color w:val="auto"/>
                <w:sz w:val="24"/>
                <w:highlight w:val="none"/>
                <w:lang w:val="zh-CN"/>
              </w:rPr>
            </w:pPr>
          </w:p>
        </w:tc>
        <w:tc>
          <w:tcPr>
            <w:tcW w:w="1312" w:type="dxa"/>
            <w:vAlign w:val="center"/>
          </w:tcPr>
          <w:p w14:paraId="08FE5F59">
            <w:pPr>
              <w:autoSpaceDE w:val="0"/>
              <w:autoSpaceDN w:val="0"/>
              <w:adjustRightInd w:val="0"/>
              <w:spacing w:line="360" w:lineRule="auto"/>
              <w:jc w:val="center"/>
              <w:rPr>
                <w:rFonts w:ascii="宋体" w:hAnsi="宋体" w:cs="宋体"/>
                <w:color w:val="auto"/>
                <w:sz w:val="24"/>
                <w:highlight w:val="none"/>
                <w:lang w:val="zh-CN"/>
              </w:rPr>
            </w:pPr>
          </w:p>
        </w:tc>
        <w:tc>
          <w:tcPr>
            <w:tcW w:w="1312" w:type="dxa"/>
            <w:vAlign w:val="center"/>
          </w:tcPr>
          <w:p w14:paraId="2CD3C561">
            <w:pPr>
              <w:autoSpaceDE w:val="0"/>
              <w:autoSpaceDN w:val="0"/>
              <w:adjustRightInd w:val="0"/>
              <w:spacing w:line="360" w:lineRule="auto"/>
              <w:jc w:val="center"/>
              <w:rPr>
                <w:rFonts w:ascii="宋体" w:hAnsi="宋体" w:cs="宋体"/>
                <w:color w:val="auto"/>
                <w:sz w:val="24"/>
                <w:highlight w:val="none"/>
                <w:lang w:val="zh-CN"/>
              </w:rPr>
            </w:pPr>
          </w:p>
        </w:tc>
        <w:tc>
          <w:tcPr>
            <w:tcW w:w="1312" w:type="dxa"/>
            <w:vAlign w:val="center"/>
          </w:tcPr>
          <w:p w14:paraId="4EE2323E">
            <w:pPr>
              <w:autoSpaceDE w:val="0"/>
              <w:autoSpaceDN w:val="0"/>
              <w:adjustRightInd w:val="0"/>
              <w:spacing w:line="360" w:lineRule="auto"/>
              <w:jc w:val="center"/>
              <w:rPr>
                <w:rFonts w:ascii="宋体" w:hAnsi="宋体" w:cs="宋体"/>
                <w:color w:val="auto"/>
                <w:sz w:val="24"/>
                <w:highlight w:val="none"/>
                <w:lang w:val="zh-CN"/>
              </w:rPr>
            </w:pPr>
          </w:p>
        </w:tc>
        <w:tc>
          <w:tcPr>
            <w:tcW w:w="1312" w:type="dxa"/>
            <w:vAlign w:val="center"/>
          </w:tcPr>
          <w:p w14:paraId="00CE778E">
            <w:pPr>
              <w:autoSpaceDE w:val="0"/>
              <w:autoSpaceDN w:val="0"/>
              <w:adjustRightInd w:val="0"/>
              <w:spacing w:line="360" w:lineRule="auto"/>
              <w:jc w:val="center"/>
              <w:rPr>
                <w:rFonts w:ascii="宋体" w:hAnsi="宋体" w:cs="宋体"/>
                <w:color w:val="auto"/>
                <w:sz w:val="24"/>
                <w:highlight w:val="none"/>
                <w:lang w:val="zh-CN"/>
              </w:rPr>
            </w:pPr>
          </w:p>
        </w:tc>
        <w:tc>
          <w:tcPr>
            <w:tcW w:w="1312" w:type="dxa"/>
            <w:vAlign w:val="center"/>
          </w:tcPr>
          <w:p w14:paraId="31670880">
            <w:pPr>
              <w:autoSpaceDE w:val="0"/>
              <w:autoSpaceDN w:val="0"/>
              <w:adjustRightInd w:val="0"/>
              <w:spacing w:line="360" w:lineRule="auto"/>
              <w:jc w:val="center"/>
              <w:rPr>
                <w:rFonts w:ascii="宋体" w:hAnsi="宋体" w:cs="宋体"/>
                <w:color w:val="auto"/>
                <w:sz w:val="24"/>
                <w:highlight w:val="none"/>
                <w:lang w:val="zh-CN"/>
              </w:rPr>
            </w:pPr>
          </w:p>
        </w:tc>
        <w:tc>
          <w:tcPr>
            <w:tcW w:w="1313" w:type="dxa"/>
            <w:vAlign w:val="center"/>
          </w:tcPr>
          <w:p w14:paraId="7DDD7186">
            <w:pPr>
              <w:autoSpaceDE w:val="0"/>
              <w:autoSpaceDN w:val="0"/>
              <w:adjustRightInd w:val="0"/>
              <w:spacing w:line="360" w:lineRule="auto"/>
              <w:jc w:val="center"/>
              <w:rPr>
                <w:rFonts w:ascii="宋体" w:hAnsi="宋体" w:cs="宋体"/>
                <w:color w:val="auto"/>
                <w:sz w:val="24"/>
                <w:highlight w:val="none"/>
                <w:lang w:val="zh-CN"/>
              </w:rPr>
            </w:pPr>
          </w:p>
        </w:tc>
      </w:tr>
      <w:tr w14:paraId="265D5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0" w:hRule="atLeast"/>
          <w:jc w:val="center"/>
        </w:trPr>
        <w:tc>
          <w:tcPr>
            <w:tcW w:w="1312" w:type="dxa"/>
            <w:vAlign w:val="center"/>
          </w:tcPr>
          <w:p w14:paraId="13535F65">
            <w:pPr>
              <w:autoSpaceDE w:val="0"/>
              <w:autoSpaceDN w:val="0"/>
              <w:adjustRightInd w:val="0"/>
              <w:spacing w:line="360" w:lineRule="auto"/>
              <w:jc w:val="center"/>
              <w:rPr>
                <w:rFonts w:ascii="宋体" w:hAnsi="宋体" w:cs="宋体"/>
                <w:color w:val="auto"/>
                <w:sz w:val="24"/>
                <w:highlight w:val="none"/>
                <w:lang w:val="zh-CN"/>
              </w:rPr>
            </w:pPr>
          </w:p>
        </w:tc>
        <w:tc>
          <w:tcPr>
            <w:tcW w:w="1312" w:type="dxa"/>
            <w:vAlign w:val="center"/>
          </w:tcPr>
          <w:p w14:paraId="51F657F2">
            <w:pPr>
              <w:autoSpaceDE w:val="0"/>
              <w:autoSpaceDN w:val="0"/>
              <w:adjustRightInd w:val="0"/>
              <w:spacing w:line="360" w:lineRule="auto"/>
              <w:jc w:val="center"/>
              <w:rPr>
                <w:rFonts w:ascii="宋体" w:hAnsi="宋体" w:cs="宋体"/>
                <w:color w:val="auto"/>
                <w:sz w:val="24"/>
                <w:highlight w:val="none"/>
                <w:lang w:val="zh-CN"/>
              </w:rPr>
            </w:pPr>
          </w:p>
        </w:tc>
        <w:tc>
          <w:tcPr>
            <w:tcW w:w="1312" w:type="dxa"/>
            <w:vAlign w:val="center"/>
          </w:tcPr>
          <w:p w14:paraId="10F838FE">
            <w:pPr>
              <w:autoSpaceDE w:val="0"/>
              <w:autoSpaceDN w:val="0"/>
              <w:adjustRightInd w:val="0"/>
              <w:spacing w:line="360" w:lineRule="auto"/>
              <w:jc w:val="center"/>
              <w:rPr>
                <w:rFonts w:ascii="宋体" w:hAnsi="宋体" w:cs="宋体"/>
                <w:color w:val="auto"/>
                <w:sz w:val="24"/>
                <w:highlight w:val="none"/>
                <w:lang w:val="zh-CN"/>
              </w:rPr>
            </w:pPr>
          </w:p>
        </w:tc>
        <w:tc>
          <w:tcPr>
            <w:tcW w:w="1312" w:type="dxa"/>
            <w:vAlign w:val="center"/>
          </w:tcPr>
          <w:p w14:paraId="14F1057A">
            <w:pPr>
              <w:autoSpaceDE w:val="0"/>
              <w:autoSpaceDN w:val="0"/>
              <w:adjustRightInd w:val="0"/>
              <w:spacing w:line="360" w:lineRule="auto"/>
              <w:jc w:val="center"/>
              <w:rPr>
                <w:rFonts w:ascii="宋体" w:hAnsi="宋体" w:cs="宋体"/>
                <w:color w:val="auto"/>
                <w:sz w:val="24"/>
                <w:highlight w:val="none"/>
                <w:lang w:val="zh-CN"/>
              </w:rPr>
            </w:pPr>
          </w:p>
        </w:tc>
        <w:tc>
          <w:tcPr>
            <w:tcW w:w="1312" w:type="dxa"/>
            <w:vAlign w:val="center"/>
          </w:tcPr>
          <w:p w14:paraId="029F712B">
            <w:pPr>
              <w:autoSpaceDE w:val="0"/>
              <w:autoSpaceDN w:val="0"/>
              <w:adjustRightInd w:val="0"/>
              <w:spacing w:line="360" w:lineRule="auto"/>
              <w:jc w:val="center"/>
              <w:rPr>
                <w:rFonts w:ascii="宋体" w:hAnsi="宋体" w:cs="宋体"/>
                <w:color w:val="auto"/>
                <w:sz w:val="24"/>
                <w:highlight w:val="none"/>
                <w:lang w:val="zh-CN"/>
              </w:rPr>
            </w:pPr>
          </w:p>
        </w:tc>
        <w:tc>
          <w:tcPr>
            <w:tcW w:w="1312" w:type="dxa"/>
            <w:vAlign w:val="center"/>
          </w:tcPr>
          <w:p w14:paraId="163F35D4">
            <w:pPr>
              <w:autoSpaceDE w:val="0"/>
              <w:autoSpaceDN w:val="0"/>
              <w:adjustRightInd w:val="0"/>
              <w:spacing w:line="360" w:lineRule="auto"/>
              <w:jc w:val="center"/>
              <w:rPr>
                <w:rFonts w:ascii="宋体" w:hAnsi="宋体" w:cs="宋体"/>
                <w:color w:val="auto"/>
                <w:sz w:val="24"/>
                <w:highlight w:val="none"/>
                <w:lang w:val="zh-CN"/>
              </w:rPr>
            </w:pPr>
          </w:p>
        </w:tc>
        <w:tc>
          <w:tcPr>
            <w:tcW w:w="1313" w:type="dxa"/>
            <w:vAlign w:val="center"/>
          </w:tcPr>
          <w:p w14:paraId="64614A75">
            <w:pPr>
              <w:autoSpaceDE w:val="0"/>
              <w:autoSpaceDN w:val="0"/>
              <w:adjustRightInd w:val="0"/>
              <w:spacing w:line="360" w:lineRule="auto"/>
              <w:jc w:val="center"/>
              <w:rPr>
                <w:rFonts w:ascii="宋体" w:hAnsi="宋体" w:cs="宋体"/>
                <w:color w:val="auto"/>
                <w:sz w:val="24"/>
                <w:highlight w:val="none"/>
                <w:lang w:val="zh-CN"/>
              </w:rPr>
            </w:pPr>
          </w:p>
        </w:tc>
      </w:tr>
      <w:tr w14:paraId="5C64C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4" w:hRule="atLeast"/>
          <w:jc w:val="center"/>
        </w:trPr>
        <w:tc>
          <w:tcPr>
            <w:tcW w:w="1312" w:type="dxa"/>
            <w:vAlign w:val="center"/>
          </w:tcPr>
          <w:p w14:paraId="1503E5AE">
            <w:pPr>
              <w:autoSpaceDE w:val="0"/>
              <w:autoSpaceDN w:val="0"/>
              <w:adjustRightInd w:val="0"/>
              <w:spacing w:line="360" w:lineRule="auto"/>
              <w:jc w:val="center"/>
              <w:rPr>
                <w:rFonts w:ascii="宋体" w:hAnsi="宋体" w:cs="宋体"/>
                <w:color w:val="auto"/>
                <w:sz w:val="24"/>
                <w:highlight w:val="none"/>
                <w:lang w:val="zh-CN"/>
              </w:rPr>
            </w:pPr>
          </w:p>
        </w:tc>
        <w:tc>
          <w:tcPr>
            <w:tcW w:w="1312" w:type="dxa"/>
            <w:vAlign w:val="center"/>
          </w:tcPr>
          <w:p w14:paraId="3EA75696">
            <w:pPr>
              <w:autoSpaceDE w:val="0"/>
              <w:autoSpaceDN w:val="0"/>
              <w:adjustRightInd w:val="0"/>
              <w:spacing w:line="360" w:lineRule="auto"/>
              <w:jc w:val="center"/>
              <w:rPr>
                <w:rFonts w:ascii="宋体" w:hAnsi="宋体" w:cs="宋体"/>
                <w:color w:val="auto"/>
                <w:sz w:val="24"/>
                <w:highlight w:val="none"/>
                <w:lang w:val="zh-CN"/>
              </w:rPr>
            </w:pPr>
          </w:p>
        </w:tc>
        <w:tc>
          <w:tcPr>
            <w:tcW w:w="1312" w:type="dxa"/>
            <w:vAlign w:val="center"/>
          </w:tcPr>
          <w:p w14:paraId="41745AB4">
            <w:pPr>
              <w:autoSpaceDE w:val="0"/>
              <w:autoSpaceDN w:val="0"/>
              <w:adjustRightInd w:val="0"/>
              <w:spacing w:line="360" w:lineRule="auto"/>
              <w:jc w:val="center"/>
              <w:rPr>
                <w:rFonts w:ascii="宋体" w:hAnsi="宋体" w:cs="宋体"/>
                <w:color w:val="auto"/>
                <w:sz w:val="24"/>
                <w:highlight w:val="none"/>
                <w:lang w:val="zh-CN"/>
              </w:rPr>
            </w:pPr>
          </w:p>
        </w:tc>
        <w:tc>
          <w:tcPr>
            <w:tcW w:w="1312" w:type="dxa"/>
            <w:vAlign w:val="center"/>
          </w:tcPr>
          <w:p w14:paraId="1CFF3BD8">
            <w:pPr>
              <w:autoSpaceDE w:val="0"/>
              <w:autoSpaceDN w:val="0"/>
              <w:adjustRightInd w:val="0"/>
              <w:spacing w:line="360" w:lineRule="auto"/>
              <w:jc w:val="center"/>
              <w:rPr>
                <w:rFonts w:ascii="宋体" w:hAnsi="宋体" w:cs="宋体"/>
                <w:color w:val="auto"/>
                <w:sz w:val="24"/>
                <w:highlight w:val="none"/>
                <w:lang w:val="zh-CN"/>
              </w:rPr>
            </w:pPr>
          </w:p>
        </w:tc>
        <w:tc>
          <w:tcPr>
            <w:tcW w:w="1312" w:type="dxa"/>
            <w:vAlign w:val="center"/>
          </w:tcPr>
          <w:p w14:paraId="292361F2">
            <w:pPr>
              <w:autoSpaceDE w:val="0"/>
              <w:autoSpaceDN w:val="0"/>
              <w:adjustRightInd w:val="0"/>
              <w:spacing w:line="360" w:lineRule="auto"/>
              <w:jc w:val="center"/>
              <w:rPr>
                <w:rFonts w:ascii="宋体" w:hAnsi="宋体" w:cs="宋体"/>
                <w:color w:val="auto"/>
                <w:sz w:val="24"/>
                <w:highlight w:val="none"/>
                <w:lang w:val="zh-CN"/>
              </w:rPr>
            </w:pPr>
          </w:p>
        </w:tc>
        <w:tc>
          <w:tcPr>
            <w:tcW w:w="1312" w:type="dxa"/>
            <w:vAlign w:val="center"/>
          </w:tcPr>
          <w:p w14:paraId="05D47F8F">
            <w:pPr>
              <w:autoSpaceDE w:val="0"/>
              <w:autoSpaceDN w:val="0"/>
              <w:adjustRightInd w:val="0"/>
              <w:spacing w:line="360" w:lineRule="auto"/>
              <w:jc w:val="center"/>
              <w:rPr>
                <w:rFonts w:ascii="宋体" w:hAnsi="宋体" w:cs="宋体"/>
                <w:color w:val="auto"/>
                <w:sz w:val="24"/>
                <w:highlight w:val="none"/>
                <w:lang w:val="zh-CN"/>
              </w:rPr>
            </w:pPr>
          </w:p>
        </w:tc>
        <w:tc>
          <w:tcPr>
            <w:tcW w:w="1313" w:type="dxa"/>
            <w:vAlign w:val="center"/>
          </w:tcPr>
          <w:p w14:paraId="31B49B00">
            <w:pPr>
              <w:autoSpaceDE w:val="0"/>
              <w:autoSpaceDN w:val="0"/>
              <w:adjustRightInd w:val="0"/>
              <w:spacing w:line="360" w:lineRule="auto"/>
              <w:jc w:val="center"/>
              <w:rPr>
                <w:rFonts w:ascii="宋体" w:hAnsi="宋体" w:cs="宋体"/>
                <w:color w:val="auto"/>
                <w:sz w:val="24"/>
                <w:highlight w:val="none"/>
                <w:lang w:val="zh-CN"/>
              </w:rPr>
            </w:pPr>
          </w:p>
        </w:tc>
      </w:tr>
      <w:tr w14:paraId="5418F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0" w:hRule="atLeast"/>
          <w:jc w:val="center"/>
        </w:trPr>
        <w:tc>
          <w:tcPr>
            <w:tcW w:w="1312" w:type="dxa"/>
            <w:vAlign w:val="center"/>
          </w:tcPr>
          <w:p w14:paraId="752B2842">
            <w:pPr>
              <w:autoSpaceDE w:val="0"/>
              <w:autoSpaceDN w:val="0"/>
              <w:adjustRightInd w:val="0"/>
              <w:spacing w:line="360" w:lineRule="auto"/>
              <w:jc w:val="center"/>
              <w:rPr>
                <w:rFonts w:ascii="宋体" w:hAnsi="宋体" w:cs="宋体"/>
                <w:color w:val="auto"/>
                <w:sz w:val="24"/>
                <w:highlight w:val="none"/>
                <w:lang w:val="zh-CN"/>
              </w:rPr>
            </w:pPr>
          </w:p>
        </w:tc>
        <w:tc>
          <w:tcPr>
            <w:tcW w:w="1312" w:type="dxa"/>
            <w:vAlign w:val="center"/>
          </w:tcPr>
          <w:p w14:paraId="72A428BD">
            <w:pPr>
              <w:autoSpaceDE w:val="0"/>
              <w:autoSpaceDN w:val="0"/>
              <w:adjustRightInd w:val="0"/>
              <w:spacing w:line="360" w:lineRule="auto"/>
              <w:jc w:val="center"/>
              <w:rPr>
                <w:rFonts w:ascii="宋体" w:hAnsi="宋体" w:cs="宋体"/>
                <w:color w:val="auto"/>
                <w:sz w:val="24"/>
                <w:highlight w:val="none"/>
                <w:lang w:val="zh-CN"/>
              </w:rPr>
            </w:pPr>
          </w:p>
        </w:tc>
        <w:tc>
          <w:tcPr>
            <w:tcW w:w="1312" w:type="dxa"/>
            <w:vAlign w:val="center"/>
          </w:tcPr>
          <w:p w14:paraId="26664172">
            <w:pPr>
              <w:autoSpaceDE w:val="0"/>
              <w:autoSpaceDN w:val="0"/>
              <w:adjustRightInd w:val="0"/>
              <w:spacing w:line="360" w:lineRule="auto"/>
              <w:jc w:val="center"/>
              <w:rPr>
                <w:rFonts w:ascii="宋体" w:hAnsi="宋体" w:cs="宋体"/>
                <w:color w:val="auto"/>
                <w:sz w:val="24"/>
                <w:highlight w:val="none"/>
                <w:lang w:val="zh-CN"/>
              </w:rPr>
            </w:pPr>
          </w:p>
        </w:tc>
        <w:tc>
          <w:tcPr>
            <w:tcW w:w="1312" w:type="dxa"/>
            <w:vAlign w:val="center"/>
          </w:tcPr>
          <w:p w14:paraId="6FE953E4">
            <w:pPr>
              <w:autoSpaceDE w:val="0"/>
              <w:autoSpaceDN w:val="0"/>
              <w:adjustRightInd w:val="0"/>
              <w:spacing w:line="360" w:lineRule="auto"/>
              <w:jc w:val="center"/>
              <w:rPr>
                <w:rFonts w:ascii="宋体" w:hAnsi="宋体" w:cs="宋体"/>
                <w:color w:val="auto"/>
                <w:sz w:val="24"/>
                <w:highlight w:val="none"/>
                <w:lang w:val="zh-CN"/>
              </w:rPr>
            </w:pPr>
          </w:p>
        </w:tc>
        <w:tc>
          <w:tcPr>
            <w:tcW w:w="1312" w:type="dxa"/>
            <w:vAlign w:val="center"/>
          </w:tcPr>
          <w:p w14:paraId="18F0D1B8">
            <w:pPr>
              <w:autoSpaceDE w:val="0"/>
              <w:autoSpaceDN w:val="0"/>
              <w:adjustRightInd w:val="0"/>
              <w:spacing w:line="360" w:lineRule="auto"/>
              <w:jc w:val="center"/>
              <w:rPr>
                <w:rFonts w:ascii="宋体" w:hAnsi="宋体" w:cs="宋体"/>
                <w:color w:val="auto"/>
                <w:sz w:val="24"/>
                <w:highlight w:val="none"/>
                <w:lang w:val="zh-CN"/>
              </w:rPr>
            </w:pPr>
          </w:p>
        </w:tc>
        <w:tc>
          <w:tcPr>
            <w:tcW w:w="1312" w:type="dxa"/>
            <w:vAlign w:val="center"/>
          </w:tcPr>
          <w:p w14:paraId="2588AECB">
            <w:pPr>
              <w:autoSpaceDE w:val="0"/>
              <w:autoSpaceDN w:val="0"/>
              <w:adjustRightInd w:val="0"/>
              <w:spacing w:line="360" w:lineRule="auto"/>
              <w:jc w:val="center"/>
              <w:rPr>
                <w:rFonts w:ascii="宋体" w:hAnsi="宋体" w:cs="宋体"/>
                <w:color w:val="auto"/>
                <w:sz w:val="24"/>
                <w:highlight w:val="none"/>
                <w:lang w:val="zh-CN"/>
              </w:rPr>
            </w:pPr>
          </w:p>
        </w:tc>
        <w:tc>
          <w:tcPr>
            <w:tcW w:w="1313" w:type="dxa"/>
            <w:vAlign w:val="center"/>
          </w:tcPr>
          <w:p w14:paraId="65048716">
            <w:pPr>
              <w:autoSpaceDE w:val="0"/>
              <w:autoSpaceDN w:val="0"/>
              <w:adjustRightInd w:val="0"/>
              <w:spacing w:line="360" w:lineRule="auto"/>
              <w:jc w:val="center"/>
              <w:rPr>
                <w:rFonts w:ascii="宋体" w:hAnsi="宋体" w:cs="宋体"/>
                <w:color w:val="auto"/>
                <w:sz w:val="24"/>
                <w:highlight w:val="none"/>
                <w:lang w:val="zh-CN"/>
              </w:rPr>
            </w:pPr>
          </w:p>
        </w:tc>
      </w:tr>
      <w:tr w14:paraId="1D845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8" w:hRule="atLeast"/>
          <w:jc w:val="center"/>
        </w:trPr>
        <w:tc>
          <w:tcPr>
            <w:tcW w:w="1312" w:type="dxa"/>
            <w:vAlign w:val="center"/>
          </w:tcPr>
          <w:p w14:paraId="0C092378">
            <w:pPr>
              <w:autoSpaceDE w:val="0"/>
              <w:autoSpaceDN w:val="0"/>
              <w:adjustRightInd w:val="0"/>
              <w:spacing w:line="360" w:lineRule="auto"/>
              <w:jc w:val="center"/>
              <w:rPr>
                <w:rFonts w:ascii="宋体" w:hAnsi="宋体" w:cs="宋体"/>
                <w:color w:val="auto"/>
                <w:sz w:val="24"/>
                <w:highlight w:val="none"/>
                <w:lang w:val="zh-CN"/>
              </w:rPr>
            </w:pPr>
          </w:p>
        </w:tc>
        <w:tc>
          <w:tcPr>
            <w:tcW w:w="1312" w:type="dxa"/>
            <w:vAlign w:val="center"/>
          </w:tcPr>
          <w:p w14:paraId="210F12DE">
            <w:pPr>
              <w:autoSpaceDE w:val="0"/>
              <w:autoSpaceDN w:val="0"/>
              <w:adjustRightInd w:val="0"/>
              <w:spacing w:line="360" w:lineRule="auto"/>
              <w:jc w:val="center"/>
              <w:rPr>
                <w:rFonts w:ascii="宋体" w:hAnsi="宋体" w:cs="宋体"/>
                <w:color w:val="auto"/>
                <w:sz w:val="24"/>
                <w:highlight w:val="none"/>
                <w:lang w:val="zh-CN"/>
              </w:rPr>
            </w:pPr>
          </w:p>
        </w:tc>
        <w:tc>
          <w:tcPr>
            <w:tcW w:w="1312" w:type="dxa"/>
            <w:vAlign w:val="center"/>
          </w:tcPr>
          <w:p w14:paraId="5892A4DF">
            <w:pPr>
              <w:autoSpaceDE w:val="0"/>
              <w:autoSpaceDN w:val="0"/>
              <w:adjustRightInd w:val="0"/>
              <w:spacing w:line="360" w:lineRule="auto"/>
              <w:jc w:val="center"/>
              <w:rPr>
                <w:rFonts w:ascii="宋体" w:hAnsi="宋体" w:cs="宋体"/>
                <w:color w:val="auto"/>
                <w:sz w:val="24"/>
                <w:highlight w:val="none"/>
                <w:lang w:val="zh-CN"/>
              </w:rPr>
            </w:pPr>
          </w:p>
        </w:tc>
        <w:tc>
          <w:tcPr>
            <w:tcW w:w="1312" w:type="dxa"/>
            <w:vAlign w:val="center"/>
          </w:tcPr>
          <w:p w14:paraId="422AA085">
            <w:pPr>
              <w:autoSpaceDE w:val="0"/>
              <w:autoSpaceDN w:val="0"/>
              <w:adjustRightInd w:val="0"/>
              <w:spacing w:line="360" w:lineRule="auto"/>
              <w:jc w:val="center"/>
              <w:rPr>
                <w:rFonts w:ascii="宋体" w:hAnsi="宋体" w:cs="宋体"/>
                <w:color w:val="auto"/>
                <w:sz w:val="24"/>
                <w:highlight w:val="none"/>
                <w:lang w:val="zh-CN"/>
              </w:rPr>
            </w:pPr>
          </w:p>
        </w:tc>
        <w:tc>
          <w:tcPr>
            <w:tcW w:w="1312" w:type="dxa"/>
            <w:vAlign w:val="center"/>
          </w:tcPr>
          <w:p w14:paraId="2D64A8BE">
            <w:pPr>
              <w:autoSpaceDE w:val="0"/>
              <w:autoSpaceDN w:val="0"/>
              <w:adjustRightInd w:val="0"/>
              <w:spacing w:line="360" w:lineRule="auto"/>
              <w:jc w:val="center"/>
              <w:rPr>
                <w:rFonts w:ascii="宋体" w:hAnsi="宋体" w:cs="宋体"/>
                <w:color w:val="auto"/>
                <w:sz w:val="24"/>
                <w:highlight w:val="none"/>
                <w:lang w:val="zh-CN"/>
              </w:rPr>
            </w:pPr>
          </w:p>
        </w:tc>
        <w:tc>
          <w:tcPr>
            <w:tcW w:w="1312" w:type="dxa"/>
            <w:vAlign w:val="center"/>
          </w:tcPr>
          <w:p w14:paraId="6014F48E">
            <w:pPr>
              <w:autoSpaceDE w:val="0"/>
              <w:autoSpaceDN w:val="0"/>
              <w:adjustRightInd w:val="0"/>
              <w:spacing w:line="360" w:lineRule="auto"/>
              <w:jc w:val="center"/>
              <w:rPr>
                <w:rFonts w:ascii="宋体" w:hAnsi="宋体" w:cs="宋体"/>
                <w:color w:val="auto"/>
                <w:sz w:val="24"/>
                <w:highlight w:val="none"/>
                <w:lang w:val="zh-CN"/>
              </w:rPr>
            </w:pPr>
          </w:p>
        </w:tc>
        <w:tc>
          <w:tcPr>
            <w:tcW w:w="1313" w:type="dxa"/>
            <w:vAlign w:val="center"/>
          </w:tcPr>
          <w:p w14:paraId="46BF9916">
            <w:pPr>
              <w:autoSpaceDE w:val="0"/>
              <w:autoSpaceDN w:val="0"/>
              <w:adjustRightInd w:val="0"/>
              <w:spacing w:line="360" w:lineRule="auto"/>
              <w:jc w:val="center"/>
              <w:rPr>
                <w:rFonts w:ascii="宋体" w:hAnsi="宋体" w:cs="宋体"/>
                <w:color w:val="auto"/>
                <w:sz w:val="24"/>
                <w:highlight w:val="none"/>
                <w:lang w:val="zh-CN"/>
              </w:rPr>
            </w:pPr>
          </w:p>
        </w:tc>
      </w:tr>
      <w:tr w14:paraId="14C86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6" w:hRule="atLeast"/>
          <w:jc w:val="center"/>
        </w:trPr>
        <w:tc>
          <w:tcPr>
            <w:tcW w:w="1312" w:type="dxa"/>
            <w:vAlign w:val="center"/>
          </w:tcPr>
          <w:p w14:paraId="05719CE4">
            <w:pPr>
              <w:autoSpaceDE w:val="0"/>
              <w:autoSpaceDN w:val="0"/>
              <w:adjustRightInd w:val="0"/>
              <w:spacing w:line="360" w:lineRule="auto"/>
              <w:jc w:val="center"/>
              <w:rPr>
                <w:rFonts w:ascii="宋体" w:hAnsi="宋体" w:cs="宋体"/>
                <w:color w:val="auto"/>
                <w:sz w:val="24"/>
                <w:highlight w:val="none"/>
                <w:lang w:val="zh-CN"/>
              </w:rPr>
            </w:pPr>
          </w:p>
        </w:tc>
        <w:tc>
          <w:tcPr>
            <w:tcW w:w="1312" w:type="dxa"/>
            <w:vAlign w:val="center"/>
          </w:tcPr>
          <w:p w14:paraId="2463F6B0">
            <w:pPr>
              <w:autoSpaceDE w:val="0"/>
              <w:autoSpaceDN w:val="0"/>
              <w:adjustRightInd w:val="0"/>
              <w:spacing w:line="360" w:lineRule="auto"/>
              <w:jc w:val="center"/>
              <w:rPr>
                <w:rFonts w:ascii="宋体" w:hAnsi="宋体" w:cs="宋体"/>
                <w:color w:val="auto"/>
                <w:sz w:val="24"/>
                <w:highlight w:val="none"/>
                <w:lang w:val="zh-CN"/>
              </w:rPr>
            </w:pPr>
          </w:p>
        </w:tc>
        <w:tc>
          <w:tcPr>
            <w:tcW w:w="1312" w:type="dxa"/>
            <w:vAlign w:val="center"/>
          </w:tcPr>
          <w:p w14:paraId="7014CD8A">
            <w:pPr>
              <w:autoSpaceDE w:val="0"/>
              <w:autoSpaceDN w:val="0"/>
              <w:adjustRightInd w:val="0"/>
              <w:spacing w:line="360" w:lineRule="auto"/>
              <w:jc w:val="center"/>
              <w:rPr>
                <w:rFonts w:ascii="宋体" w:hAnsi="宋体" w:cs="宋体"/>
                <w:color w:val="auto"/>
                <w:sz w:val="24"/>
                <w:highlight w:val="none"/>
                <w:lang w:val="zh-CN"/>
              </w:rPr>
            </w:pPr>
          </w:p>
        </w:tc>
        <w:tc>
          <w:tcPr>
            <w:tcW w:w="1312" w:type="dxa"/>
            <w:vAlign w:val="center"/>
          </w:tcPr>
          <w:p w14:paraId="0B07E65E">
            <w:pPr>
              <w:autoSpaceDE w:val="0"/>
              <w:autoSpaceDN w:val="0"/>
              <w:adjustRightInd w:val="0"/>
              <w:spacing w:line="360" w:lineRule="auto"/>
              <w:jc w:val="center"/>
              <w:rPr>
                <w:rFonts w:ascii="宋体" w:hAnsi="宋体" w:cs="宋体"/>
                <w:color w:val="auto"/>
                <w:sz w:val="24"/>
                <w:highlight w:val="none"/>
                <w:lang w:val="zh-CN"/>
              </w:rPr>
            </w:pPr>
          </w:p>
        </w:tc>
        <w:tc>
          <w:tcPr>
            <w:tcW w:w="1312" w:type="dxa"/>
            <w:vAlign w:val="center"/>
          </w:tcPr>
          <w:p w14:paraId="11A4154C">
            <w:pPr>
              <w:autoSpaceDE w:val="0"/>
              <w:autoSpaceDN w:val="0"/>
              <w:adjustRightInd w:val="0"/>
              <w:spacing w:line="360" w:lineRule="auto"/>
              <w:jc w:val="center"/>
              <w:rPr>
                <w:rFonts w:ascii="宋体" w:hAnsi="宋体" w:cs="宋体"/>
                <w:color w:val="auto"/>
                <w:sz w:val="24"/>
                <w:highlight w:val="none"/>
                <w:lang w:val="zh-CN"/>
              </w:rPr>
            </w:pPr>
          </w:p>
        </w:tc>
        <w:tc>
          <w:tcPr>
            <w:tcW w:w="1312" w:type="dxa"/>
            <w:vAlign w:val="center"/>
          </w:tcPr>
          <w:p w14:paraId="72290AE1">
            <w:pPr>
              <w:autoSpaceDE w:val="0"/>
              <w:autoSpaceDN w:val="0"/>
              <w:adjustRightInd w:val="0"/>
              <w:spacing w:line="360" w:lineRule="auto"/>
              <w:jc w:val="center"/>
              <w:rPr>
                <w:rFonts w:ascii="宋体" w:hAnsi="宋体" w:cs="宋体"/>
                <w:color w:val="auto"/>
                <w:sz w:val="24"/>
                <w:highlight w:val="none"/>
                <w:lang w:val="zh-CN"/>
              </w:rPr>
            </w:pPr>
          </w:p>
        </w:tc>
        <w:tc>
          <w:tcPr>
            <w:tcW w:w="1313" w:type="dxa"/>
            <w:vAlign w:val="center"/>
          </w:tcPr>
          <w:p w14:paraId="1B780472">
            <w:pPr>
              <w:autoSpaceDE w:val="0"/>
              <w:autoSpaceDN w:val="0"/>
              <w:adjustRightInd w:val="0"/>
              <w:spacing w:line="360" w:lineRule="auto"/>
              <w:jc w:val="center"/>
              <w:rPr>
                <w:rFonts w:ascii="宋体" w:hAnsi="宋体" w:cs="宋体"/>
                <w:color w:val="auto"/>
                <w:sz w:val="24"/>
                <w:highlight w:val="none"/>
                <w:lang w:val="zh-CN"/>
              </w:rPr>
            </w:pPr>
          </w:p>
        </w:tc>
      </w:tr>
    </w:tbl>
    <w:p w14:paraId="7D655FBC">
      <w:pPr>
        <w:snapToGrid w:val="0"/>
        <w:spacing w:line="360" w:lineRule="auto"/>
        <w:rPr>
          <w:rFonts w:ascii="宋体" w:hAnsi="宋体" w:cs="宋体"/>
          <w:b/>
          <w:color w:val="auto"/>
          <w:sz w:val="24"/>
          <w:highlight w:val="none"/>
        </w:rPr>
      </w:pPr>
    </w:p>
    <w:p w14:paraId="702D3979">
      <w:pPr>
        <w:snapToGrid w:val="0"/>
        <w:spacing w:line="360" w:lineRule="auto"/>
        <w:jc w:val="left"/>
        <w:rPr>
          <w:rFonts w:ascii="宋体" w:hAnsi="宋体" w:cs="宋体"/>
          <w:color w:val="auto"/>
          <w:sz w:val="24"/>
          <w:highlight w:val="none"/>
        </w:rPr>
      </w:pPr>
      <w:r>
        <w:rPr>
          <w:rFonts w:hint="eastAsia" w:ascii="宋体" w:hAnsi="宋体" w:cs="宋体"/>
          <w:color w:val="auto"/>
          <w:sz w:val="24"/>
          <w:highlight w:val="none"/>
        </w:rPr>
        <w:t>注：1、各投标人可以根据各自业绩量准备充分的表格，此页后须附证明材料。</w:t>
      </w:r>
    </w:p>
    <w:p w14:paraId="0035911A">
      <w:pPr>
        <w:snapToGrid w:val="0"/>
        <w:spacing w:line="360" w:lineRule="auto"/>
        <w:jc w:val="left"/>
        <w:rPr>
          <w:rFonts w:ascii="宋体" w:hAnsi="宋体" w:cs="宋体"/>
          <w:color w:val="auto"/>
          <w:sz w:val="24"/>
          <w:highlight w:val="none"/>
        </w:rPr>
      </w:pPr>
      <w:r>
        <w:rPr>
          <w:rFonts w:hint="eastAsia" w:ascii="宋体" w:hAnsi="宋体" w:cs="宋体"/>
          <w:color w:val="auto"/>
          <w:sz w:val="24"/>
          <w:highlight w:val="none"/>
        </w:rPr>
        <w:t xml:space="preserve">    2、投标人须真实仔细地填写本表格。</w:t>
      </w:r>
    </w:p>
    <w:p w14:paraId="19899BDF">
      <w:pPr>
        <w:widowControl/>
        <w:jc w:val="left"/>
        <w:rPr>
          <w:rFonts w:ascii="宋体" w:hAnsi="宋体" w:cs="宋体"/>
          <w:color w:val="auto"/>
          <w:kern w:val="0"/>
          <w:sz w:val="24"/>
          <w:highlight w:val="none"/>
        </w:rPr>
      </w:pPr>
    </w:p>
    <w:p w14:paraId="35C70D74">
      <w:pPr>
        <w:widowControl/>
        <w:jc w:val="left"/>
        <w:rPr>
          <w:rFonts w:ascii="宋体" w:hAnsi="宋体" w:cs="宋体"/>
          <w:color w:val="auto"/>
          <w:kern w:val="0"/>
          <w:sz w:val="24"/>
          <w:highlight w:val="none"/>
        </w:rPr>
      </w:pPr>
    </w:p>
    <w:p w14:paraId="7D908263">
      <w:pPr>
        <w:widowControl/>
        <w:jc w:val="left"/>
        <w:rPr>
          <w:rFonts w:ascii="宋体" w:hAnsi="宋体" w:cs="宋体"/>
          <w:color w:val="auto"/>
          <w:kern w:val="0"/>
          <w:sz w:val="24"/>
          <w:highlight w:val="none"/>
        </w:rPr>
      </w:pPr>
    </w:p>
    <w:p w14:paraId="3A9E9263">
      <w:pPr>
        <w:pStyle w:val="7"/>
        <w:overflowPunct w:val="0"/>
        <w:spacing w:line="360" w:lineRule="auto"/>
        <w:ind w:right="420" w:firstLine="3300" w:firstLineChars="1375"/>
        <w:rPr>
          <w:rFonts w:ascii="宋体" w:hAnsi="宋体" w:cs="宋体"/>
          <w:color w:val="auto"/>
          <w:sz w:val="24"/>
          <w:szCs w:val="24"/>
          <w:highlight w:val="none"/>
        </w:rPr>
      </w:pPr>
      <w:r>
        <w:rPr>
          <w:rFonts w:hint="eastAsia" w:ascii="宋体" w:hAnsi="宋体" w:cs="宋体"/>
          <w:color w:val="auto"/>
          <w:sz w:val="24"/>
          <w:szCs w:val="24"/>
          <w:highlight w:val="none"/>
        </w:rPr>
        <w:t>投标人（单位盖章）：</w:t>
      </w:r>
    </w:p>
    <w:p w14:paraId="5A0E8B65">
      <w:pPr>
        <w:pStyle w:val="7"/>
        <w:overflowPunct w:val="0"/>
        <w:spacing w:line="360" w:lineRule="auto"/>
        <w:ind w:right="420" w:firstLine="3360" w:firstLineChars="1400"/>
        <w:rPr>
          <w:rFonts w:ascii="宋体" w:hAnsi="宋体" w:cs="宋体"/>
          <w:color w:val="auto"/>
          <w:sz w:val="24"/>
          <w:szCs w:val="24"/>
          <w:highlight w:val="none"/>
        </w:rPr>
      </w:pPr>
      <w:r>
        <w:rPr>
          <w:rFonts w:hint="eastAsia" w:ascii="宋体" w:hAnsi="宋体" w:cs="宋体"/>
          <w:color w:val="auto"/>
          <w:sz w:val="24"/>
          <w:szCs w:val="24"/>
          <w:highlight w:val="none"/>
        </w:rPr>
        <w:t xml:space="preserve">法定代表人或委托代理人（签字或盖章）：                         </w:t>
      </w:r>
    </w:p>
    <w:p w14:paraId="703114E1">
      <w:pPr>
        <w:spacing w:before="120" w:beforeLines="50" w:line="360" w:lineRule="auto"/>
        <w:ind w:right="-21" w:rightChars="-10" w:firstLine="470" w:firstLineChars="196"/>
        <w:jc w:val="right"/>
        <w:rPr>
          <w:rFonts w:ascii="宋体" w:hAnsi="宋体" w:cs="宋体"/>
          <w:color w:val="auto"/>
          <w:sz w:val="24"/>
          <w:highlight w:val="none"/>
        </w:rPr>
      </w:pPr>
      <w:r>
        <w:rPr>
          <w:rFonts w:hint="eastAsia" w:ascii="宋体" w:hAnsi="宋体" w:cs="宋体"/>
          <w:color w:val="auto"/>
          <w:sz w:val="24"/>
          <w:highlight w:val="none"/>
        </w:rPr>
        <w:t>年  月  日</w:t>
      </w:r>
    </w:p>
    <w:p w14:paraId="6639654B">
      <w:pPr>
        <w:rPr>
          <w:rFonts w:ascii="宋体" w:hAnsi="宋体" w:cs="宋体"/>
          <w:bCs/>
          <w:color w:val="auto"/>
          <w:sz w:val="24"/>
          <w:highlight w:val="none"/>
        </w:rPr>
      </w:pPr>
    </w:p>
    <w:p w14:paraId="264394C2">
      <w:pPr>
        <w:rPr>
          <w:rFonts w:ascii="宋体" w:hAnsi="宋体" w:cs="宋体"/>
          <w:bCs/>
          <w:color w:val="auto"/>
          <w:sz w:val="24"/>
          <w:highlight w:val="none"/>
        </w:rPr>
      </w:pPr>
    </w:p>
    <w:p w14:paraId="6F6EDE79">
      <w:pPr>
        <w:rPr>
          <w:rFonts w:ascii="宋体" w:hAnsi="宋体" w:cs="宋体"/>
          <w:color w:val="auto"/>
          <w:sz w:val="24"/>
          <w:highlight w:val="none"/>
        </w:rPr>
      </w:pPr>
    </w:p>
    <w:p w14:paraId="0E284330">
      <w:pPr>
        <w:pageBreakBefore/>
        <w:spacing w:before="260" w:after="260" w:line="415" w:lineRule="auto"/>
        <w:outlineLvl w:val="1"/>
        <w:rPr>
          <w:rFonts w:ascii="宋体" w:hAnsi="宋体" w:cs="宋体"/>
          <w:bCs/>
          <w:color w:val="auto"/>
          <w:sz w:val="24"/>
          <w:highlight w:val="none"/>
        </w:rPr>
      </w:pPr>
      <w:bookmarkStart w:id="84" w:name="_Toc15958"/>
      <w:r>
        <w:rPr>
          <w:rFonts w:hint="eastAsia" w:ascii="宋体" w:hAnsi="宋体" w:cs="宋体"/>
          <w:bCs/>
          <w:color w:val="auto"/>
          <w:sz w:val="24"/>
          <w:highlight w:val="none"/>
        </w:rPr>
        <w:t>附件十二：服务费承诺书</w:t>
      </w:r>
      <w:bookmarkEnd w:id="84"/>
    </w:p>
    <w:p w14:paraId="7DBE31DC">
      <w:pPr>
        <w:snapToGrid w:val="0"/>
        <w:spacing w:line="360" w:lineRule="auto"/>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承 诺 书</w:t>
      </w:r>
    </w:p>
    <w:p w14:paraId="3C0A31F4">
      <w:pPr>
        <w:snapToGrid w:val="0"/>
        <w:spacing w:before="50" w:after="120" w:afterLines="50"/>
        <w:jc w:val="left"/>
        <w:rPr>
          <w:rFonts w:ascii="宋体" w:hAnsi="宋体" w:cs="宋体"/>
          <w:b/>
          <w:color w:val="auto"/>
          <w:sz w:val="24"/>
          <w:highlight w:val="none"/>
        </w:rPr>
      </w:pPr>
    </w:p>
    <w:p w14:paraId="34B083EA">
      <w:pPr>
        <w:snapToGrid w:val="0"/>
        <w:spacing w:before="50" w:after="120" w:afterLines="50" w:line="360" w:lineRule="auto"/>
        <w:jc w:val="left"/>
        <w:rPr>
          <w:rFonts w:ascii="宋体" w:hAnsi="宋体" w:cs="宋体"/>
          <w:b/>
          <w:bCs/>
          <w:color w:val="auto"/>
          <w:sz w:val="24"/>
          <w:highlight w:val="none"/>
        </w:rPr>
      </w:pPr>
      <w:r>
        <w:rPr>
          <w:rFonts w:hint="eastAsia" w:ascii="宋体" w:hAnsi="宋体" w:cs="宋体"/>
          <w:b/>
          <w:color w:val="auto"/>
          <w:sz w:val="24"/>
          <w:highlight w:val="none"/>
        </w:rPr>
        <w:t>金华正达工程造价咨询有限公司</w:t>
      </w:r>
      <w:r>
        <w:rPr>
          <w:rFonts w:hint="eastAsia" w:ascii="宋体" w:hAnsi="宋体" w:cs="宋体"/>
          <w:b/>
          <w:bCs/>
          <w:color w:val="auto"/>
          <w:sz w:val="24"/>
          <w:highlight w:val="none"/>
        </w:rPr>
        <w:t>：</w:t>
      </w:r>
    </w:p>
    <w:p w14:paraId="3F632F60">
      <w:pPr>
        <w:snapToGrid w:val="0"/>
        <w:spacing w:before="50" w:after="120" w:afterLines="50" w:line="360" w:lineRule="auto"/>
        <w:ind w:firstLine="472" w:firstLineChars="196"/>
        <w:jc w:val="left"/>
        <w:rPr>
          <w:rFonts w:ascii="宋体" w:hAnsi="宋体" w:cs="宋体"/>
          <w:b/>
          <w:color w:val="auto"/>
          <w:sz w:val="24"/>
          <w:highlight w:val="none"/>
        </w:rPr>
      </w:pPr>
      <w:r>
        <w:rPr>
          <w:rFonts w:hint="eastAsia" w:ascii="宋体" w:hAnsi="宋体" w:cs="宋体"/>
          <w:b/>
          <w:color w:val="auto"/>
          <w:sz w:val="24"/>
          <w:highlight w:val="none"/>
        </w:rPr>
        <w:t xml:space="preserve">若我公司中标时，在中标结果公示结束之日起3天内，愿按本招标文件总则第（五）条规定向金华正达工程造价咨询有限公司支付中标服务费。    </w:t>
      </w:r>
    </w:p>
    <w:p w14:paraId="407FCBA2">
      <w:pPr>
        <w:snapToGrid w:val="0"/>
        <w:spacing w:before="50" w:after="120" w:afterLines="50" w:line="360" w:lineRule="auto"/>
        <w:ind w:firstLine="482" w:firstLineChars="200"/>
        <w:jc w:val="left"/>
        <w:rPr>
          <w:rFonts w:ascii="宋体" w:hAnsi="宋体" w:cs="宋体"/>
          <w:b/>
          <w:color w:val="auto"/>
          <w:sz w:val="24"/>
          <w:highlight w:val="none"/>
        </w:rPr>
      </w:pPr>
      <w:r>
        <w:rPr>
          <w:rFonts w:hint="eastAsia" w:ascii="宋体" w:hAnsi="宋体" w:cs="宋体"/>
          <w:b/>
          <w:color w:val="auto"/>
          <w:sz w:val="24"/>
          <w:highlight w:val="none"/>
        </w:rPr>
        <w:t>特此承诺！</w:t>
      </w:r>
    </w:p>
    <w:p w14:paraId="1D20B359">
      <w:pPr>
        <w:snapToGrid w:val="0"/>
        <w:spacing w:before="50" w:after="120" w:afterLines="50" w:line="360" w:lineRule="auto"/>
        <w:jc w:val="left"/>
        <w:rPr>
          <w:rFonts w:ascii="宋体" w:hAnsi="宋体" w:cs="宋体"/>
          <w:b/>
          <w:color w:val="auto"/>
          <w:sz w:val="24"/>
          <w:highlight w:val="none"/>
        </w:rPr>
      </w:pPr>
    </w:p>
    <w:p w14:paraId="51016E6A">
      <w:pPr>
        <w:snapToGrid w:val="0"/>
        <w:spacing w:before="50" w:after="120" w:afterLines="50"/>
        <w:jc w:val="left"/>
        <w:rPr>
          <w:rFonts w:ascii="宋体" w:hAnsi="宋体" w:cs="宋体"/>
          <w:b/>
          <w:color w:val="auto"/>
          <w:sz w:val="24"/>
          <w:highlight w:val="none"/>
        </w:rPr>
      </w:pPr>
    </w:p>
    <w:p w14:paraId="28978F87">
      <w:pPr>
        <w:snapToGrid w:val="0"/>
        <w:spacing w:before="50" w:after="120" w:afterLines="50"/>
        <w:jc w:val="left"/>
        <w:rPr>
          <w:rFonts w:ascii="宋体" w:hAnsi="宋体" w:cs="宋体"/>
          <w:b/>
          <w:color w:val="auto"/>
          <w:sz w:val="24"/>
          <w:highlight w:val="none"/>
        </w:rPr>
      </w:pPr>
    </w:p>
    <w:p w14:paraId="2713C472">
      <w:pPr>
        <w:snapToGrid w:val="0"/>
        <w:spacing w:before="50" w:after="120" w:afterLines="50"/>
        <w:jc w:val="left"/>
        <w:rPr>
          <w:rFonts w:ascii="宋体" w:hAnsi="宋体" w:cs="宋体"/>
          <w:b/>
          <w:color w:val="auto"/>
          <w:sz w:val="24"/>
          <w:highlight w:val="none"/>
        </w:rPr>
      </w:pPr>
    </w:p>
    <w:p w14:paraId="2DF7D09E">
      <w:pPr>
        <w:snapToGrid w:val="0"/>
        <w:spacing w:before="50" w:after="120" w:afterLines="50"/>
        <w:jc w:val="left"/>
        <w:rPr>
          <w:rFonts w:ascii="宋体" w:hAnsi="宋体" w:cs="宋体"/>
          <w:b/>
          <w:color w:val="auto"/>
          <w:sz w:val="24"/>
          <w:highlight w:val="none"/>
        </w:rPr>
      </w:pPr>
    </w:p>
    <w:p w14:paraId="419EDAAD">
      <w:pPr>
        <w:snapToGrid w:val="0"/>
        <w:spacing w:before="50" w:after="120" w:afterLines="50"/>
        <w:jc w:val="left"/>
        <w:rPr>
          <w:rFonts w:ascii="宋体" w:hAnsi="宋体" w:cs="宋体"/>
          <w:b/>
          <w:color w:val="auto"/>
          <w:sz w:val="24"/>
          <w:highlight w:val="none"/>
        </w:rPr>
      </w:pPr>
    </w:p>
    <w:p w14:paraId="27B6045A">
      <w:pPr>
        <w:snapToGrid w:val="0"/>
        <w:spacing w:before="50" w:after="120" w:afterLines="50"/>
        <w:ind w:firstLine="236" w:firstLineChars="98"/>
        <w:jc w:val="left"/>
        <w:rPr>
          <w:rFonts w:ascii="宋体" w:hAnsi="宋体" w:cs="宋体"/>
          <w:b/>
          <w:color w:val="auto"/>
          <w:sz w:val="24"/>
          <w:highlight w:val="none"/>
        </w:rPr>
      </w:pPr>
      <w:r>
        <w:rPr>
          <w:rFonts w:hint="eastAsia" w:ascii="宋体" w:hAnsi="宋体" w:cs="宋体"/>
          <w:b/>
          <w:color w:val="auto"/>
          <w:sz w:val="24"/>
          <w:highlight w:val="none"/>
        </w:rPr>
        <w:t>承诺单位(盖章)：</w:t>
      </w:r>
    </w:p>
    <w:p w14:paraId="7B6114DD">
      <w:pPr>
        <w:snapToGrid w:val="0"/>
        <w:spacing w:before="50" w:after="120" w:afterLines="50"/>
        <w:jc w:val="left"/>
        <w:rPr>
          <w:rFonts w:ascii="宋体" w:hAnsi="宋体" w:cs="宋体"/>
          <w:b/>
          <w:color w:val="auto"/>
          <w:sz w:val="24"/>
          <w:highlight w:val="none"/>
        </w:rPr>
      </w:pPr>
    </w:p>
    <w:p w14:paraId="4DFE9944">
      <w:pPr>
        <w:snapToGrid w:val="0"/>
        <w:spacing w:before="50" w:after="120" w:afterLines="50"/>
        <w:jc w:val="left"/>
        <w:rPr>
          <w:rFonts w:ascii="宋体" w:hAnsi="宋体" w:cs="宋体"/>
          <w:b/>
          <w:color w:val="auto"/>
          <w:sz w:val="24"/>
          <w:highlight w:val="none"/>
        </w:rPr>
      </w:pPr>
    </w:p>
    <w:p w14:paraId="4D9A41F1">
      <w:pPr>
        <w:snapToGrid w:val="0"/>
        <w:spacing w:before="50" w:after="120" w:afterLines="50"/>
        <w:ind w:firstLine="236" w:firstLineChars="98"/>
        <w:jc w:val="left"/>
        <w:rPr>
          <w:rFonts w:ascii="宋体" w:hAnsi="宋体" w:cs="宋体"/>
          <w:b/>
          <w:color w:val="auto"/>
          <w:sz w:val="24"/>
          <w:highlight w:val="none"/>
        </w:rPr>
      </w:pPr>
      <w:r>
        <w:rPr>
          <w:rFonts w:hint="eastAsia" w:ascii="宋体" w:hAnsi="宋体" w:cs="宋体"/>
          <w:b/>
          <w:color w:val="auto"/>
          <w:sz w:val="24"/>
          <w:highlight w:val="none"/>
        </w:rPr>
        <w:t>法定代表人或委托代理人(签字)：</w:t>
      </w:r>
    </w:p>
    <w:p w14:paraId="12D937AD">
      <w:pPr>
        <w:snapToGrid w:val="0"/>
        <w:spacing w:before="50" w:after="120" w:afterLines="50"/>
        <w:jc w:val="left"/>
        <w:rPr>
          <w:rFonts w:ascii="宋体" w:hAnsi="宋体" w:cs="宋体"/>
          <w:b/>
          <w:bCs/>
          <w:color w:val="auto"/>
          <w:sz w:val="24"/>
          <w:highlight w:val="none"/>
        </w:rPr>
      </w:pPr>
    </w:p>
    <w:p w14:paraId="033A5506">
      <w:pPr>
        <w:snapToGrid w:val="0"/>
        <w:spacing w:before="50" w:after="120" w:afterLines="50"/>
        <w:jc w:val="left"/>
        <w:rPr>
          <w:rFonts w:ascii="宋体" w:hAnsi="宋体" w:cs="宋体"/>
          <w:b/>
          <w:bCs/>
          <w:color w:val="auto"/>
          <w:sz w:val="24"/>
          <w:highlight w:val="none"/>
        </w:rPr>
      </w:pPr>
    </w:p>
    <w:p w14:paraId="19928A40">
      <w:pPr>
        <w:snapToGrid w:val="0"/>
        <w:spacing w:before="50" w:after="120" w:afterLines="50"/>
        <w:ind w:firstLine="5980" w:firstLineChars="2482"/>
        <w:jc w:val="left"/>
        <w:rPr>
          <w:rFonts w:ascii="宋体" w:hAnsi="宋体" w:cs="宋体"/>
          <w:b/>
          <w:bCs/>
          <w:color w:val="auto"/>
          <w:sz w:val="24"/>
          <w:highlight w:val="none"/>
        </w:rPr>
      </w:pPr>
      <w:r>
        <w:rPr>
          <w:rFonts w:hint="eastAsia" w:ascii="宋体" w:hAnsi="宋体" w:cs="宋体"/>
          <w:b/>
          <w:bCs/>
          <w:color w:val="auto"/>
          <w:sz w:val="24"/>
          <w:highlight w:val="none"/>
        </w:rPr>
        <w:t>年     月    日</w:t>
      </w:r>
    </w:p>
    <w:p w14:paraId="09891A5D">
      <w:pPr>
        <w:snapToGrid w:val="0"/>
        <w:spacing w:before="50" w:after="120" w:afterLines="50"/>
        <w:jc w:val="left"/>
        <w:rPr>
          <w:rFonts w:ascii="宋体" w:hAnsi="宋体" w:cs="宋体"/>
          <w:b/>
          <w:color w:val="auto"/>
          <w:sz w:val="24"/>
          <w:highlight w:val="none"/>
        </w:rPr>
      </w:pPr>
    </w:p>
    <w:p w14:paraId="5B2324C9">
      <w:pPr>
        <w:snapToGrid w:val="0"/>
        <w:spacing w:before="120" w:beforeLines="50" w:after="50" w:line="276" w:lineRule="auto"/>
        <w:jc w:val="left"/>
        <w:rPr>
          <w:rFonts w:ascii="宋体" w:hAnsi="宋体" w:cs="宋体"/>
          <w:color w:val="auto"/>
          <w:sz w:val="24"/>
          <w:highlight w:val="none"/>
        </w:rPr>
      </w:pPr>
    </w:p>
    <w:p w14:paraId="2D269CAF">
      <w:pPr>
        <w:snapToGrid w:val="0"/>
        <w:spacing w:before="120" w:beforeLines="50" w:after="50" w:line="276" w:lineRule="auto"/>
        <w:jc w:val="left"/>
        <w:rPr>
          <w:rFonts w:ascii="宋体" w:hAnsi="宋体" w:cs="宋体"/>
          <w:color w:val="auto"/>
          <w:sz w:val="24"/>
          <w:highlight w:val="none"/>
        </w:rPr>
      </w:pPr>
    </w:p>
    <w:p w14:paraId="553926B7">
      <w:pPr>
        <w:snapToGrid w:val="0"/>
        <w:spacing w:before="120" w:beforeLines="50" w:after="50" w:line="276" w:lineRule="auto"/>
        <w:jc w:val="left"/>
        <w:rPr>
          <w:rFonts w:ascii="宋体" w:hAnsi="宋体" w:cs="宋体"/>
          <w:color w:val="auto"/>
          <w:sz w:val="24"/>
          <w:highlight w:val="none"/>
        </w:rPr>
      </w:pPr>
    </w:p>
    <w:p w14:paraId="12551E1F">
      <w:pPr>
        <w:rPr>
          <w:rFonts w:ascii="宋体" w:hAnsi="宋体" w:cs="宋体"/>
          <w:bCs/>
          <w:color w:val="auto"/>
          <w:sz w:val="24"/>
          <w:highlight w:val="none"/>
        </w:rPr>
      </w:pPr>
      <w:bookmarkStart w:id="85" w:name="_Toc7166659"/>
      <w:bookmarkStart w:id="86" w:name="_Toc514425251"/>
    </w:p>
    <w:bookmarkEnd w:id="85"/>
    <w:bookmarkEnd w:id="86"/>
    <w:p w14:paraId="5597E566">
      <w:pPr>
        <w:widowControl/>
        <w:jc w:val="left"/>
        <w:rPr>
          <w:rFonts w:ascii="宋体" w:hAnsi="宋体" w:cs="宋体"/>
          <w:b/>
          <w:color w:val="auto"/>
          <w:sz w:val="24"/>
          <w:highlight w:val="none"/>
        </w:rPr>
      </w:pPr>
      <w:r>
        <w:rPr>
          <w:rFonts w:ascii="宋体" w:hAnsi="宋体" w:cs="宋体"/>
          <w:b/>
          <w:color w:val="auto"/>
          <w:sz w:val="24"/>
          <w:highlight w:val="none"/>
        </w:rPr>
        <w:br w:type="page"/>
      </w:r>
    </w:p>
    <w:p w14:paraId="502BB291">
      <w:pPr>
        <w:pStyle w:val="5"/>
        <w:keepNext w:val="0"/>
        <w:keepLines w:val="0"/>
        <w:pageBreakBefore/>
        <w:rPr>
          <w:rFonts w:ascii="宋体" w:hAnsi="宋体" w:eastAsia="宋体" w:cs="宋体"/>
          <w:b w:val="0"/>
          <w:color w:val="auto"/>
          <w:kern w:val="0"/>
          <w:sz w:val="24"/>
          <w:szCs w:val="24"/>
          <w:highlight w:val="none"/>
        </w:rPr>
      </w:pPr>
      <w:bookmarkStart w:id="87" w:name="_Toc517363260"/>
      <w:bookmarkStart w:id="88" w:name="_Toc12120"/>
      <w:bookmarkStart w:id="89" w:name="_Toc10849"/>
      <w:bookmarkStart w:id="90" w:name="_Toc22669"/>
      <w:bookmarkStart w:id="91" w:name="_Toc1407"/>
      <w:bookmarkStart w:id="92" w:name="_Toc25663"/>
      <w:bookmarkStart w:id="93" w:name="_Toc21703811"/>
      <w:bookmarkStart w:id="94" w:name="_Toc25536"/>
      <w:bookmarkStart w:id="95" w:name="_Toc4252"/>
      <w:bookmarkStart w:id="96" w:name="_Toc3895854"/>
      <w:bookmarkStart w:id="97" w:name="_Toc534374885"/>
      <w:bookmarkStart w:id="98" w:name="_Toc21446149"/>
      <w:r>
        <w:rPr>
          <w:rFonts w:hint="eastAsia" w:ascii="宋体" w:hAnsi="宋体" w:eastAsia="宋体" w:cs="宋体"/>
          <w:b w:val="0"/>
          <w:color w:val="auto"/>
          <w:kern w:val="0"/>
          <w:sz w:val="24"/>
          <w:szCs w:val="24"/>
          <w:highlight w:val="none"/>
        </w:rPr>
        <w:t>附件十三：</w:t>
      </w:r>
      <w:bookmarkEnd w:id="87"/>
      <w:r>
        <w:rPr>
          <w:rFonts w:hint="eastAsia" w:ascii="宋体" w:hAnsi="宋体" w:eastAsia="宋体" w:cs="宋体"/>
          <w:b w:val="0"/>
          <w:color w:val="auto"/>
          <w:kern w:val="0"/>
          <w:sz w:val="24"/>
          <w:szCs w:val="24"/>
          <w:highlight w:val="none"/>
        </w:rPr>
        <w:t>安全承诺函</w:t>
      </w:r>
      <w:bookmarkEnd w:id="88"/>
      <w:bookmarkEnd w:id="89"/>
      <w:bookmarkEnd w:id="90"/>
      <w:bookmarkEnd w:id="91"/>
      <w:bookmarkEnd w:id="92"/>
      <w:bookmarkEnd w:id="93"/>
      <w:bookmarkEnd w:id="94"/>
      <w:bookmarkEnd w:id="95"/>
      <w:bookmarkEnd w:id="96"/>
      <w:bookmarkEnd w:id="97"/>
      <w:bookmarkEnd w:id="98"/>
    </w:p>
    <w:p w14:paraId="4895A4C8">
      <w:pPr>
        <w:snapToGrid w:val="0"/>
        <w:spacing w:before="120" w:beforeLines="50" w:after="50" w:line="360" w:lineRule="auto"/>
        <w:jc w:val="center"/>
        <w:rPr>
          <w:rFonts w:ascii="宋体" w:hAnsi="宋体"/>
          <w:b/>
          <w:color w:val="auto"/>
          <w:sz w:val="24"/>
          <w:szCs w:val="20"/>
          <w:highlight w:val="none"/>
        </w:rPr>
      </w:pPr>
      <w:r>
        <w:rPr>
          <w:rFonts w:hint="eastAsia" w:ascii="宋体" w:hAnsi="宋体"/>
          <w:b/>
          <w:color w:val="auto"/>
          <w:sz w:val="32"/>
          <w:szCs w:val="32"/>
          <w:highlight w:val="none"/>
        </w:rPr>
        <w:t>安全承诺函</w:t>
      </w:r>
      <w:r>
        <w:rPr>
          <w:rFonts w:hint="eastAsia" w:ascii="宋体" w:hAnsi="宋体"/>
          <w:b/>
          <w:color w:val="auto"/>
          <w:sz w:val="30"/>
          <w:szCs w:val="30"/>
          <w:highlight w:val="none"/>
        </w:rPr>
        <w:t xml:space="preserve"> </w:t>
      </w:r>
    </w:p>
    <w:p w14:paraId="1A6374B4">
      <w:pPr>
        <w:snapToGrid w:val="0"/>
        <w:spacing w:line="360" w:lineRule="auto"/>
        <w:rPr>
          <w:rFonts w:hint="eastAsia" w:ascii="宋体" w:hAnsi="宋体" w:eastAsia="宋体"/>
          <w:color w:val="auto"/>
          <w:sz w:val="24"/>
          <w:szCs w:val="20"/>
          <w:highlight w:val="none"/>
          <w:lang w:eastAsia="zh-CN"/>
        </w:rPr>
      </w:pPr>
      <w:r>
        <w:rPr>
          <w:rFonts w:hint="eastAsia" w:ascii="宋体" w:hAnsi="宋体"/>
          <w:color w:val="auto"/>
          <w:sz w:val="24"/>
          <w:highlight w:val="none"/>
        </w:rPr>
        <w:t>致：</w:t>
      </w:r>
      <w:r>
        <w:rPr>
          <w:rFonts w:hint="eastAsia" w:ascii="宋体" w:hAnsi="宋体"/>
          <w:color w:val="auto"/>
          <w:sz w:val="24"/>
          <w:highlight w:val="none"/>
          <w:u w:val="single"/>
          <w:lang w:eastAsia="zh-CN"/>
        </w:rPr>
        <w:t>东阳市农业农村局</w:t>
      </w:r>
    </w:p>
    <w:p w14:paraId="4A619A72">
      <w:pPr>
        <w:snapToGrid w:val="0"/>
        <w:spacing w:line="360" w:lineRule="auto"/>
        <w:ind w:firstLine="480"/>
        <w:rPr>
          <w:rFonts w:ascii="宋体" w:hAnsi="宋体"/>
          <w:color w:val="auto"/>
          <w:sz w:val="24"/>
          <w:szCs w:val="20"/>
          <w:highlight w:val="none"/>
        </w:rPr>
      </w:pPr>
      <w:r>
        <w:rPr>
          <w:rFonts w:hint="eastAsia" w:ascii="宋体" w:hAnsi="宋体"/>
          <w:color w:val="auto"/>
          <w:sz w:val="24"/>
          <w:highlight w:val="none"/>
        </w:rPr>
        <w:t xml:space="preserve"> 根据贵方为</w:t>
      </w:r>
      <w:r>
        <w:rPr>
          <w:rFonts w:hint="eastAsia" w:ascii="宋体" w:hAnsi="宋体"/>
          <w:color w:val="auto"/>
          <w:sz w:val="24"/>
          <w:highlight w:val="none"/>
          <w:u w:val="single"/>
          <w:lang w:eastAsia="zh-CN"/>
        </w:rPr>
        <w:t>东阳市农药废弃包装物回收和集中处置采购项目（第二次）</w:t>
      </w:r>
      <w:r>
        <w:rPr>
          <w:rFonts w:hint="eastAsia" w:ascii="宋体" w:hAnsi="宋体"/>
          <w:color w:val="auto"/>
          <w:sz w:val="24"/>
          <w:highlight w:val="none"/>
        </w:rPr>
        <w:t>的招标公告（项目编号：</w:t>
      </w:r>
      <w:r>
        <w:rPr>
          <w:rFonts w:hint="eastAsia" w:ascii="宋体" w:hAnsi="宋体"/>
          <w:color w:val="auto"/>
          <w:sz w:val="24"/>
          <w:highlight w:val="none"/>
          <w:u w:val="single"/>
          <w:lang w:eastAsia="zh-CN"/>
        </w:rPr>
        <w:t>JHZD2025-002-1</w:t>
      </w:r>
      <w:r>
        <w:rPr>
          <w:rFonts w:hint="eastAsia" w:ascii="宋体" w:hAnsi="宋体"/>
          <w:color w:val="auto"/>
          <w:sz w:val="24"/>
          <w:highlight w:val="none"/>
        </w:rPr>
        <w:t>），签字代表</w:t>
      </w:r>
      <w:r>
        <w:rPr>
          <w:rFonts w:hint="eastAsia" w:ascii="宋体" w:hAnsi="宋体"/>
          <w:color w:val="auto"/>
          <w:sz w:val="24"/>
          <w:highlight w:val="none"/>
          <w:u w:val="single"/>
        </w:rPr>
        <w:t xml:space="preserve">             </w:t>
      </w:r>
      <w:r>
        <w:rPr>
          <w:rFonts w:hint="eastAsia" w:ascii="宋体" w:hAnsi="宋体"/>
          <w:color w:val="auto"/>
          <w:sz w:val="24"/>
          <w:highlight w:val="none"/>
        </w:rPr>
        <w:t>（全名）经正式授权并代表投标人_____</w:t>
      </w:r>
      <w:r>
        <w:rPr>
          <w:rFonts w:hint="eastAsia" w:ascii="宋体" w:hAnsi="宋体"/>
          <w:color w:val="auto"/>
          <w:sz w:val="24"/>
          <w:highlight w:val="none"/>
          <w:u w:val="single"/>
        </w:rPr>
        <w:t>__                    __</w:t>
      </w:r>
      <w:r>
        <w:rPr>
          <w:rFonts w:hint="eastAsia" w:ascii="宋体" w:hAnsi="宋体"/>
          <w:color w:val="auto"/>
          <w:sz w:val="24"/>
          <w:highlight w:val="none"/>
        </w:rPr>
        <w:t>（投标人名称）作出如下承诺：</w:t>
      </w:r>
    </w:p>
    <w:p w14:paraId="485E2E59">
      <w:pPr>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本项目服务期间发生的一切伤亡事故、交通事故及损失以及在验收合格前所发生的一切经济、安全及其他责任事故均由我公司承担，采购人不承担任何责任及损失。</w:t>
      </w:r>
    </w:p>
    <w:p w14:paraId="2996EF04">
      <w:pPr>
        <w:snapToGrid w:val="0"/>
        <w:spacing w:line="360" w:lineRule="auto"/>
        <w:rPr>
          <w:rFonts w:ascii="宋体" w:hAnsi="宋体"/>
          <w:color w:val="auto"/>
          <w:sz w:val="24"/>
          <w:highlight w:val="none"/>
        </w:rPr>
      </w:pPr>
    </w:p>
    <w:p w14:paraId="421AD50A">
      <w:pPr>
        <w:snapToGrid w:val="0"/>
        <w:spacing w:line="360" w:lineRule="auto"/>
        <w:rPr>
          <w:rFonts w:ascii="宋体" w:hAnsi="宋体"/>
          <w:color w:val="auto"/>
          <w:sz w:val="24"/>
          <w:szCs w:val="20"/>
          <w:highlight w:val="none"/>
        </w:rPr>
      </w:pPr>
    </w:p>
    <w:p w14:paraId="27C474D8">
      <w:pPr>
        <w:snapToGrid w:val="0"/>
        <w:spacing w:line="360" w:lineRule="auto"/>
        <w:rPr>
          <w:rFonts w:ascii="宋体" w:hAnsi="宋体"/>
          <w:color w:val="auto"/>
          <w:sz w:val="24"/>
          <w:highlight w:val="none"/>
        </w:rPr>
      </w:pPr>
    </w:p>
    <w:p w14:paraId="631E3147">
      <w:pPr>
        <w:snapToGrid w:val="0"/>
        <w:spacing w:line="360" w:lineRule="auto"/>
        <w:rPr>
          <w:rFonts w:ascii="宋体" w:hAnsi="宋体"/>
          <w:color w:val="auto"/>
          <w:sz w:val="24"/>
          <w:highlight w:val="none"/>
        </w:rPr>
      </w:pPr>
    </w:p>
    <w:p w14:paraId="7056E8CD">
      <w:pPr>
        <w:snapToGrid w:val="0"/>
        <w:spacing w:line="360" w:lineRule="auto"/>
        <w:rPr>
          <w:rFonts w:ascii="宋体" w:hAnsi="宋体"/>
          <w:color w:val="auto"/>
          <w:sz w:val="24"/>
          <w:highlight w:val="none"/>
        </w:rPr>
      </w:pPr>
    </w:p>
    <w:p w14:paraId="4EB1709C">
      <w:pPr>
        <w:snapToGrid w:val="0"/>
        <w:spacing w:line="480" w:lineRule="auto"/>
        <w:ind w:firstLine="4440" w:firstLineChars="1850"/>
        <w:rPr>
          <w:rFonts w:ascii="宋体" w:hAnsi="宋体"/>
          <w:color w:val="auto"/>
          <w:sz w:val="24"/>
          <w:szCs w:val="20"/>
          <w:highlight w:val="none"/>
          <w:u w:val="single"/>
        </w:rPr>
      </w:pPr>
      <w:r>
        <w:rPr>
          <w:rFonts w:hint="eastAsia" w:ascii="宋体" w:hAnsi="宋体"/>
          <w:color w:val="auto"/>
          <w:sz w:val="24"/>
          <w:highlight w:val="none"/>
        </w:rPr>
        <w:t>投标人名称(公章):</w:t>
      </w:r>
      <w:r>
        <w:rPr>
          <w:rFonts w:hint="eastAsia" w:ascii="宋体" w:hAnsi="宋体"/>
          <w:color w:val="auto"/>
          <w:sz w:val="24"/>
          <w:highlight w:val="none"/>
          <w:u w:val="single"/>
        </w:rPr>
        <w:t xml:space="preserve">                   </w:t>
      </w:r>
    </w:p>
    <w:p w14:paraId="643B0EB3">
      <w:pPr>
        <w:spacing w:line="480" w:lineRule="auto"/>
        <w:ind w:firstLine="4800" w:firstLineChars="2000"/>
        <w:rPr>
          <w:rFonts w:ascii="宋体" w:hAnsi="宋体"/>
          <w:color w:val="auto"/>
          <w:sz w:val="24"/>
          <w:highlight w:val="none"/>
        </w:rPr>
      </w:pPr>
      <w:r>
        <w:rPr>
          <w:rFonts w:hint="eastAsia" w:ascii="宋体" w:hAnsi="宋体"/>
          <w:color w:val="auto"/>
          <w:sz w:val="24"/>
          <w:highlight w:val="none"/>
        </w:rPr>
        <w:t>法定代表人或委托代理人签字:</w:t>
      </w:r>
      <w:r>
        <w:rPr>
          <w:rFonts w:hint="eastAsia" w:ascii="宋体" w:hAnsi="宋体"/>
          <w:color w:val="auto"/>
          <w:sz w:val="24"/>
          <w:highlight w:val="none"/>
          <w:u w:val="single"/>
        </w:rPr>
        <w:t xml:space="preserve">            </w:t>
      </w:r>
      <w:r>
        <w:rPr>
          <w:rFonts w:hint="eastAsia" w:ascii="宋体" w:hAnsi="宋体"/>
          <w:color w:val="auto"/>
          <w:sz w:val="24"/>
          <w:highlight w:val="none"/>
        </w:rPr>
        <w:t xml:space="preserve"> </w:t>
      </w:r>
    </w:p>
    <w:p w14:paraId="52B9687D">
      <w:pPr>
        <w:spacing w:line="480" w:lineRule="auto"/>
        <w:ind w:firstLine="6000" w:firstLineChars="2500"/>
        <w:rPr>
          <w:rFonts w:ascii="宋体" w:hAnsi="宋体"/>
          <w:color w:val="auto"/>
          <w:sz w:val="24"/>
          <w:highlight w:val="none"/>
        </w:rPr>
      </w:pPr>
      <w:r>
        <w:rPr>
          <w:rFonts w:hint="eastAsia" w:ascii="宋体" w:hAnsi="宋体"/>
          <w:color w:val="auto"/>
          <w:sz w:val="24"/>
          <w:highlight w:val="none"/>
        </w:rPr>
        <w:t>日期:</w:t>
      </w:r>
      <w:r>
        <w:rPr>
          <w:rFonts w:hint="eastAsia" w:ascii="宋体" w:hAnsi="宋体"/>
          <w:color w:val="auto"/>
          <w:sz w:val="24"/>
          <w:highlight w:val="none"/>
          <w:u w:val="single"/>
        </w:rPr>
        <w:t xml:space="preserve">    </w:t>
      </w:r>
      <w:r>
        <w:rPr>
          <w:rFonts w:hint="eastAsia" w:ascii="宋体" w:hAnsi="宋体"/>
          <w:color w:val="auto"/>
          <w:sz w:val="24"/>
          <w:highlight w:val="none"/>
        </w:rPr>
        <w:t>年___月___日</w:t>
      </w:r>
    </w:p>
    <w:p w14:paraId="66C91BE0">
      <w:pPr>
        <w:pStyle w:val="22"/>
        <w:ind w:firstLine="480"/>
        <w:rPr>
          <w:rFonts w:ascii="宋体" w:hAnsi="宋体"/>
          <w:color w:val="auto"/>
          <w:sz w:val="24"/>
          <w:highlight w:val="none"/>
        </w:rPr>
      </w:pPr>
    </w:p>
    <w:p w14:paraId="135C8F3E">
      <w:pPr>
        <w:pStyle w:val="62"/>
        <w:rPr>
          <w:rFonts w:ascii="宋体" w:hAnsi="宋体"/>
          <w:color w:val="auto"/>
          <w:sz w:val="24"/>
          <w:highlight w:val="none"/>
        </w:rPr>
      </w:pPr>
    </w:p>
    <w:p w14:paraId="6F0D14C8">
      <w:pPr>
        <w:rPr>
          <w:rFonts w:ascii="宋体" w:hAnsi="宋体"/>
          <w:color w:val="auto"/>
          <w:sz w:val="24"/>
          <w:highlight w:val="none"/>
        </w:rPr>
      </w:pPr>
    </w:p>
    <w:p w14:paraId="0E709B8C">
      <w:pPr>
        <w:pStyle w:val="22"/>
        <w:rPr>
          <w:color w:val="auto"/>
          <w:highlight w:val="none"/>
        </w:rPr>
      </w:pPr>
    </w:p>
    <w:p w14:paraId="4CF3446B">
      <w:pPr>
        <w:spacing w:line="480" w:lineRule="auto"/>
        <w:ind w:firstLine="4440" w:firstLineChars="1850"/>
        <w:rPr>
          <w:rFonts w:ascii="宋体" w:hAnsi="宋体"/>
          <w:color w:val="auto"/>
          <w:sz w:val="24"/>
          <w:highlight w:val="none"/>
        </w:rPr>
      </w:pPr>
    </w:p>
    <w:p w14:paraId="6FF8E4EF">
      <w:pPr>
        <w:spacing w:line="480" w:lineRule="auto"/>
        <w:ind w:firstLine="4440" w:firstLineChars="1850"/>
        <w:rPr>
          <w:rFonts w:ascii="宋体" w:hAnsi="宋体"/>
          <w:color w:val="auto"/>
          <w:sz w:val="24"/>
          <w:highlight w:val="none"/>
        </w:rPr>
      </w:pPr>
    </w:p>
    <w:p w14:paraId="0E4072B8">
      <w:pPr>
        <w:spacing w:line="480" w:lineRule="auto"/>
        <w:ind w:firstLine="4440" w:firstLineChars="1850"/>
        <w:rPr>
          <w:rFonts w:ascii="宋体" w:hAnsi="宋体"/>
          <w:color w:val="auto"/>
          <w:sz w:val="24"/>
          <w:highlight w:val="none"/>
        </w:rPr>
      </w:pPr>
    </w:p>
    <w:p w14:paraId="6F5A1EB9">
      <w:pPr>
        <w:spacing w:line="480" w:lineRule="auto"/>
        <w:ind w:firstLine="4440" w:firstLineChars="1850"/>
        <w:rPr>
          <w:rFonts w:ascii="宋体" w:hAnsi="宋体"/>
          <w:color w:val="auto"/>
          <w:sz w:val="24"/>
          <w:highlight w:val="none"/>
        </w:rPr>
      </w:pPr>
    </w:p>
    <w:p w14:paraId="699D0D69">
      <w:pPr>
        <w:spacing w:line="480" w:lineRule="auto"/>
        <w:ind w:firstLine="4440" w:firstLineChars="1850"/>
        <w:rPr>
          <w:rFonts w:ascii="宋体" w:hAnsi="宋体"/>
          <w:color w:val="auto"/>
          <w:sz w:val="24"/>
          <w:highlight w:val="none"/>
        </w:rPr>
      </w:pPr>
    </w:p>
    <w:p w14:paraId="172826F9">
      <w:pPr>
        <w:spacing w:line="480" w:lineRule="auto"/>
        <w:ind w:firstLine="4440" w:firstLineChars="1850"/>
        <w:rPr>
          <w:rFonts w:ascii="宋体" w:hAnsi="宋体"/>
          <w:color w:val="auto"/>
          <w:sz w:val="24"/>
          <w:highlight w:val="none"/>
        </w:rPr>
      </w:pPr>
    </w:p>
    <w:p w14:paraId="48E92131">
      <w:pPr>
        <w:spacing w:line="480" w:lineRule="auto"/>
        <w:ind w:firstLine="4440" w:firstLineChars="1850"/>
        <w:rPr>
          <w:rFonts w:ascii="宋体" w:hAnsi="宋体"/>
          <w:color w:val="auto"/>
          <w:sz w:val="24"/>
          <w:highlight w:val="none"/>
        </w:rPr>
      </w:pPr>
    </w:p>
    <w:p w14:paraId="0014BF70">
      <w:pPr>
        <w:pStyle w:val="5"/>
        <w:keepNext w:val="0"/>
        <w:keepLines w:val="0"/>
        <w:pageBreakBefore/>
        <w:rPr>
          <w:rFonts w:ascii="宋体" w:hAnsi="宋体" w:eastAsia="宋体" w:cs="宋体"/>
          <w:b w:val="0"/>
          <w:color w:val="auto"/>
          <w:kern w:val="0"/>
          <w:sz w:val="24"/>
          <w:szCs w:val="24"/>
          <w:highlight w:val="none"/>
        </w:rPr>
      </w:pPr>
      <w:bookmarkStart w:id="99" w:name="_Toc20674"/>
      <w:r>
        <w:rPr>
          <w:rFonts w:hint="eastAsia" w:ascii="宋体" w:hAnsi="宋体" w:eastAsia="宋体" w:cs="宋体"/>
          <w:b w:val="0"/>
          <w:color w:val="auto"/>
          <w:kern w:val="0"/>
          <w:sz w:val="24"/>
          <w:szCs w:val="24"/>
          <w:highlight w:val="none"/>
        </w:rPr>
        <w:t>附件十四：仓储场地承诺书</w:t>
      </w:r>
      <w:bookmarkEnd w:id="99"/>
    </w:p>
    <w:p w14:paraId="4612A1B3">
      <w:pPr>
        <w:pStyle w:val="22"/>
        <w:ind w:left="0" w:leftChars="0" w:firstLine="0" w:firstLineChars="0"/>
        <w:jc w:val="center"/>
        <w:rPr>
          <w:b/>
          <w:bCs/>
          <w:color w:val="auto"/>
          <w:sz w:val="32"/>
          <w:szCs w:val="32"/>
          <w:highlight w:val="none"/>
        </w:rPr>
      </w:pPr>
      <w:r>
        <w:rPr>
          <w:rFonts w:hint="eastAsia" w:ascii="宋体" w:hAnsi="宋体"/>
          <w:b/>
          <w:bCs/>
          <w:color w:val="auto"/>
          <w:sz w:val="32"/>
          <w:szCs w:val="32"/>
          <w:highlight w:val="none"/>
        </w:rPr>
        <w:t>仓储场地承诺书</w:t>
      </w:r>
    </w:p>
    <w:p w14:paraId="693C2934">
      <w:pPr>
        <w:pStyle w:val="22"/>
        <w:rPr>
          <w:color w:val="auto"/>
          <w:highlight w:val="none"/>
        </w:rPr>
      </w:pPr>
    </w:p>
    <w:p w14:paraId="18FB0F60">
      <w:pPr>
        <w:snapToGrid w:val="0"/>
        <w:spacing w:line="360" w:lineRule="auto"/>
        <w:rPr>
          <w:rFonts w:hint="eastAsia" w:ascii="宋体" w:hAnsi="宋体" w:eastAsia="宋体"/>
          <w:color w:val="auto"/>
          <w:sz w:val="24"/>
          <w:szCs w:val="20"/>
          <w:highlight w:val="none"/>
          <w:lang w:eastAsia="zh-CN"/>
        </w:rPr>
      </w:pPr>
      <w:r>
        <w:rPr>
          <w:rFonts w:hint="eastAsia" w:ascii="宋体" w:hAnsi="宋体"/>
          <w:color w:val="auto"/>
          <w:sz w:val="24"/>
          <w:highlight w:val="none"/>
        </w:rPr>
        <w:t>致：</w:t>
      </w:r>
      <w:r>
        <w:rPr>
          <w:rFonts w:hint="eastAsia" w:ascii="宋体" w:hAnsi="宋体"/>
          <w:color w:val="auto"/>
          <w:sz w:val="24"/>
          <w:highlight w:val="none"/>
          <w:u w:val="single"/>
          <w:lang w:eastAsia="zh-CN"/>
        </w:rPr>
        <w:t>东阳市农业农村局</w:t>
      </w:r>
    </w:p>
    <w:p w14:paraId="209D2F29">
      <w:pPr>
        <w:pStyle w:val="22"/>
        <w:ind w:left="0" w:leftChars="0" w:firstLine="0" w:firstLineChars="0"/>
        <w:rPr>
          <w:color w:val="auto"/>
          <w:highlight w:val="none"/>
        </w:rPr>
      </w:pPr>
    </w:p>
    <w:p w14:paraId="766028D6">
      <w:pPr>
        <w:pStyle w:val="22"/>
        <w:spacing w:line="360" w:lineRule="auto"/>
        <w:ind w:firstLine="480"/>
        <w:rPr>
          <w:rFonts w:hint="eastAsia" w:ascii="宋体" w:hAnsi="宋体" w:cs="宋体"/>
          <w:bCs/>
          <w:sz w:val="24"/>
          <w:lang w:eastAsia="zh-CN"/>
        </w:rPr>
      </w:pPr>
      <w:r>
        <w:rPr>
          <w:rFonts w:hint="eastAsia" w:ascii="宋体" w:hAnsi="宋体"/>
          <w:color w:val="auto"/>
          <w:sz w:val="24"/>
          <w:highlight w:val="none"/>
        </w:rPr>
        <w:t>根据贵方为</w:t>
      </w:r>
      <w:r>
        <w:rPr>
          <w:rFonts w:hint="eastAsia" w:ascii="宋体" w:hAnsi="宋体"/>
          <w:color w:val="auto"/>
          <w:sz w:val="24"/>
          <w:highlight w:val="none"/>
          <w:u w:val="single"/>
          <w:lang w:eastAsia="zh-CN"/>
        </w:rPr>
        <w:t>东阳市农药废弃包装物回收和集中处置采购项目（第二次）</w:t>
      </w:r>
      <w:r>
        <w:rPr>
          <w:rFonts w:hint="eastAsia" w:ascii="宋体" w:hAnsi="宋体"/>
          <w:color w:val="auto"/>
          <w:sz w:val="24"/>
          <w:highlight w:val="none"/>
        </w:rPr>
        <w:t>的招标公告（项目编号：</w:t>
      </w:r>
      <w:r>
        <w:rPr>
          <w:rFonts w:hint="eastAsia" w:ascii="宋体" w:hAnsi="宋体"/>
          <w:color w:val="auto"/>
          <w:sz w:val="24"/>
          <w:highlight w:val="none"/>
          <w:u w:val="single"/>
          <w:lang w:eastAsia="zh-CN"/>
        </w:rPr>
        <w:t>JHZD</w:t>
      </w:r>
      <w:bookmarkStart w:id="116" w:name="_GoBack"/>
      <w:bookmarkEnd w:id="116"/>
      <w:r>
        <w:rPr>
          <w:rFonts w:hint="eastAsia" w:ascii="宋体" w:hAnsi="宋体"/>
          <w:color w:val="auto"/>
          <w:sz w:val="24"/>
          <w:highlight w:val="none"/>
          <w:u w:val="single"/>
          <w:lang w:eastAsia="zh-CN"/>
        </w:rPr>
        <w:t>2025-002-1</w:t>
      </w:r>
      <w:r>
        <w:rPr>
          <w:rFonts w:hint="eastAsia" w:ascii="宋体" w:hAnsi="宋体"/>
          <w:color w:val="auto"/>
          <w:sz w:val="24"/>
          <w:highlight w:val="none"/>
        </w:rPr>
        <w:t>），</w:t>
      </w:r>
      <w:r>
        <w:rPr>
          <w:rFonts w:hint="eastAsia" w:ascii="宋体" w:hAnsi="宋体" w:cs="宋体"/>
          <w:color w:val="auto"/>
          <w:kern w:val="0"/>
          <w:sz w:val="24"/>
          <w:highlight w:val="none"/>
        </w:rPr>
        <w:t>我司</w:t>
      </w:r>
      <w:r>
        <w:rPr>
          <w:rFonts w:hint="eastAsia" w:ascii="宋体" w:hAnsi="宋体" w:cs="宋体"/>
          <w:bCs/>
          <w:color w:val="auto"/>
          <w:sz w:val="24"/>
          <w:highlight w:val="none"/>
        </w:rPr>
        <w:t>为了项目更好的实施以及工作的开展，承诺中标后</w:t>
      </w:r>
      <w:r>
        <w:rPr>
          <w:rFonts w:hint="eastAsia" w:ascii="宋体" w:hAnsi="宋体" w:cs="宋体"/>
          <w:bCs/>
          <w:color w:val="auto"/>
          <w:sz w:val="24"/>
          <w:highlight w:val="none"/>
          <w:lang w:val="en-US" w:eastAsia="zh-CN"/>
        </w:rPr>
        <w:t>30日</w:t>
      </w:r>
      <w:r>
        <w:rPr>
          <w:rFonts w:hint="eastAsia" w:ascii="宋体" w:hAnsi="宋体" w:cs="宋体"/>
          <w:bCs/>
          <w:color w:val="auto"/>
          <w:sz w:val="24"/>
          <w:highlight w:val="none"/>
        </w:rPr>
        <w:t>内在东阳市范围内设立符合《危险废物贮存污染控制标准》（</w:t>
      </w:r>
      <w:r>
        <w:rPr>
          <w:rFonts w:hint="eastAsia" w:ascii="宋体" w:hAnsi="宋体" w:cs="宋体"/>
          <w:bCs/>
          <w:color w:val="auto"/>
          <w:sz w:val="24"/>
          <w:highlight w:val="none"/>
          <w:lang w:eastAsia="zh-CN"/>
        </w:rPr>
        <w:t>GB18597-2023</w:t>
      </w:r>
      <w:r>
        <w:rPr>
          <w:rFonts w:hint="eastAsia" w:ascii="宋体" w:hAnsi="宋体" w:cs="宋体"/>
          <w:bCs/>
          <w:color w:val="auto"/>
          <w:sz w:val="24"/>
          <w:highlight w:val="none"/>
        </w:rPr>
        <w:t>）的农药废弃包装物仓储场地，</w:t>
      </w:r>
      <w:r>
        <w:rPr>
          <w:rFonts w:hint="eastAsia" w:ascii="宋体" w:hAnsi="宋体" w:cs="宋体"/>
          <w:bCs/>
          <w:sz w:val="24"/>
        </w:rPr>
        <w:t>面积为</w:t>
      </w:r>
      <w:r>
        <w:rPr>
          <w:rFonts w:hint="eastAsia" w:ascii="宋体" w:hAnsi="宋体" w:cs="宋体"/>
          <w:bCs/>
          <w:sz w:val="24"/>
          <w:lang w:eastAsia="zh-CN"/>
        </w:rPr>
        <w:t>（</w:t>
      </w:r>
      <w:r>
        <w:rPr>
          <w:rFonts w:hint="eastAsia" w:ascii="宋体" w:hAnsi="宋体" w:cs="宋体"/>
          <w:bCs/>
          <w:sz w:val="24"/>
          <w:lang w:val="en-US" w:eastAsia="zh-CN"/>
        </w:rPr>
        <w:t>在相应面积的方框内打勾</w:t>
      </w:r>
      <w:r>
        <w:rPr>
          <w:rFonts w:hint="eastAsia" w:ascii="宋体" w:hAnsi="宋体" w:cs="宋体"/>
          <w:bCs/>
          <w:sz w:val="24"/>
          <w:lang w:eastAsia="zh-CN"/>
        </w:rPr>
        <w:t>）：</w:t>
      </w:r>
    </w:p>
    <w:p w14:paraId="38FCAE05">
      <w:pPr>
        <w:spacing w:line="360" w:lineRule="auto"/>
        <w:rPr>
          <w:rFonts w:hint="eastAsia" w:ascii="宋体" w:hAnsi="宋体" w:cs="宋体"/>
          <w:bCs/>
          <w:color w:val="auto"/>
          <w:sz w:val="24"/>
          <w:lang w:val="en-US" w:eastAsia="zh-CN"/>
        </w:rPr>
      </w:pPr>
      <w:r>
        <w:rPr>
          <w:rFonts w:hint="eastAsia" w:ascii="宋体" w:hAnsi="宋体" w:cs="宋体"/>
          <w:bCs/>
          <w:sz w:val="24"/>
          <w:lang w:val="en-US" w:eastAsia="zh-CN"/>
        </w:rPr>
        <w:t xml:space="preserve">        </w:t>
      </w:r>
      <w:r>
        <w:rPr>
          <w:rFonts w:hint="eastAsia" w:ascii="宋体" w:hAnsi="宋体" w:cs="宋体"/>
          <w:bCs/>
          <w:color w:val="auto"/>
          <w:sz w:val="24"/>
          <w:lang w:val="en-US" w:eastAsia="zh-CN"/>
        </w:rPr>
        <w:sym w:font="Wingdings" w:char="00A8"/>
      </w:r>
      <w:r>
        <w:rPr>
          <w:rFonts w:hint="eastAsia" w:ascii="宋体" w:cs="宋体"/>
          <w:color w:val="auto"/>
          <w:sz w:val="24"/>
        </w:rPr>
        <w:t>100㎡（不含）-300㎡（不含）</w:t>
      </w:r>
    </w:p>
    <w:p w14:paraId="49443922">
      <w:pPr>
        <w:pStyle w:val="2"/>
        <w:keepNext w:val="0"/>
        <w:keepLines w:val="0"/>
        <w:pageBreakBefore w:val="0"/>
        <w:widowControl w:val="0"/>
        <w:kinsoku/>
        <w:wordWrap/>
        <w:overflowPunct/>
        <w:topLinePunct w:val="0"/>
        <w:autoSpaceDE/>
        <w:autoSpaceDN/>
        <w:bidi w:val="0"/>
        <w:adjustRightInd/>
        <w:snapToGrid/>
        <w:spacing w:after="0" w:line="360" w:lineRule="auto"/>
        <w:ind w:firstLine="960" w:firstLineChars="400"/>
        <w:textAlignment w:val="auto"/>
        <w:rPr>
          <w:rFonts w:hint="eastAsia" w:ascii="宋体" w:hAnsi="宋体" w:cs="宋体"/>
          <w:bCs/>
          <w:color w:val="auto"/>
          <w:sz w:val="24"/>
          <w:lang w:val="en-US" w:eastAsia="zh-CN"/>
        </w:rPr>
      </w:pPr>
      <w:r>
        <w:rPr>
          <w:rFonts w:hint="eastAsia" w:ascii="宋体" w:hAnsi="宋体" w:cs="宋体"/>
          <w:bCs/>
          <w:color w:val="auto"/>
          <w:sz w:val="24"/>
          <w:lang w:val="en-US" w:eastAsia="zh-CN"/>
        </w:rPr>
        <w:sym w:font="Wingdings" w:char="00A8"/>
      </w:r>
      <w:r>
        <w:rPr>
          <w:rFonts w:hint="eastAsia" w:ascii="宋体" w:cs="宋体"/>
          <w:color w:val="auto"/>
          <w:sz w:val="24"/>
        </w:rPr>
        <w:t>300㎡（含）-500㎡（不含）</w:t>
      </w:r>
    </w:p>
    <w:p w14:paraId="5E07B0AA">
      <w:pPr>
        <w:spacing w:line="360" w:lineRule="auto"/>
        <w:ind w:firstLine="960" w:firstLineChars="400"/>
        <w:rPr>
          <w:rFonts w:hint="eastAsia" w:ascii="宋体" w:hAnsi="宋体" w:cs="宋体"/>
          <w:bCs/>
          <w:color w:val="auto"/>
          <w:sz w:val="24"/>
          <w:lang w:val="en-US" w:eastAsia="zh-CN"/>
        </w:rPr>
      </w:pPr>
      <w:r>
        <w:rPr>
          <w:rFonts w:hint="eastAsia" w:ascii="宋体" w:hAnsi="宋体" w:cs="宋体"/>
          <w:bCs/>
          <w:color w:val="auto"/>
          <w:sz w:val="24"/>
          <w:lang w:val="en-US" w:eastAsia="zh-CN"/>
        </w:rPr>
        <w:sym w:font="Wingdings" w:char="00A8"/>
      </w:r>
      <w:r>
        <w:rPr>
          <w:rFonts w:hint="eastAsia" w:ascii="宋体" w:cs="宋体"/>
          <w:color w:val="auto"/>
          <w:sz w:val="24"/>
        </w:rPr>
        <w:t>500㎡（含）以上</w:t>
      </w:r>
    </w:p>
    <w:p w14:paraId="4F9F5F05">
      <w:pPr>
        <w:pStyle w:val="22"/>
        <w:spacing w:line="360" w:lineRule="auto"/>
        <w:ind w:firstLine="480"/>
        <w:rPr>
          <w:rFonts w:ascii="宋体" w:hAnsi="宋体" w:cs="宋体"/>
          <w:kern w:val="0"/>
          <w:sz w:val="24"/>
        </w:rPr>
      </w:pPr>
      <w:r>
        <w:rPr>
          <w:rFonts w:hint="eastAsia" w:ascii="宋体" w:hAnsi="宋体" w:cs="宋体"/>
          <w:bCs/>
          <w:sz w:val="24"/>
          <w:lang w:val="en-US" w:eastAsia="zh-CN"/>
        </w:rPr>
        <w:t>如未达到上述要求，</w:t>
      </w:r>
      <w:r>
        <w:rPr>
          <w:rFonts w:hint="eastAsia" w:ascii="宋体" w:hAnsi="宋体" w:cs="宋体"/>
          <w:kern w:val="0"/>
          <w:sz w:val="24"/>
        </w:rPr>
        <w:t>采购人有权取消我司中标资格。</w:t>
      </w:r>
    </w:p>
    <w:p w14:paraId="39003ECA">
      <w:pPr>
        <w:pStyle w:val="62"/>
        <w:rPr>
          <w:rFonts w:ascii="宋体" w:hAnsi="宋体" w:cs="宋体"/>
          <w:color w:val="auto"/>
          <w:kern w:val="0"/>
          <w:sz w:val="24"/>
          <w:highlight w:val="none"/>
        </w:rPr>
      </w:pPr>
    </w:p>
    <w:p w14:paraId="42E0BC85">
      <w:pPr>
        <w:rPr>
          <w:rFonts w:ascii="宋体" w:hAnsi="宋体" w:cs="宋体"/>
          <w:color w:val="auto"/>
          <w:kern w:val="0"/>
          <w:sz w:val="24"/>
          <w:highlight w:val="none"/>
        </w:rPr>
      </w:pPr>
    </w:p>
    <w:p w14:paraId="5E60E9D7">
      <w:pPr>
        <w:pStyle w:val="22"/>
        <w:ind w:firstLine="480"/>
        <w:rPr>
          <w:rFonts w:ascii="宋体" w:hAnsi="宋体" w:cs="宋体"/>
          <w:color w:val="auto"/>
          <w:kern w:val="0"/>
          <w:sz w:val="24"/>
          <w:highlight w:val="none"/>
        </w:rPr>
      </w:pPr>
    </w:p>
    <w:p w14:paraId="6124DF52">
      <w:pPr>
        <w:pStyle w:val="62"/>
        <w:rPr>
          <w:color w:val="auto"/>
          <w:highlight w:val="none"/>
        </w:rPr>
      </w:pPr>
    </w:p>
    <w:p w14:paraId="767CA739">
      <w:pPr>
        <w:rPr>
          <w:rFonts w:ascii="宋体" w:hAnsi="宋体" w:cs="宋体"/>
          <w:color w:val="auto"/>
          <w:kern w:val="0"/>
          <w:sz w:val="24"/>
          <w:highlight w:val="none"/>
        </w:rPr>
      </w:pPr>
    </w:p>
    <w:p w14:paraId="7F8250CC">
      <w:pPr>
        <w:pStyle w:val="22"/>
        <w:ind w:firstLine="480"/>
        <w:rPr>
          <w:rFonts w:ascii="宋体" w:hAnsi="宋体" w:cs="宋体"/>
          <w:color w:val="auto"/>
          <w:kern w:val="0"/>
          <w:sz w:val="24"/>
          <w:highlight w:val="none"/>
        </w:rPr>
      </w:pPr>
    </w:p>
    <w:p w14:paraId="025AE127">
      <w:pPr>
        <w:snapToGrid w:val="0"/>
        <w:spacing w:line="480" w:lineRule="auto"/>
        <w:ind w:firstLine="4440" w:firstLineChars="1850"/>
        <w:rPr>
          <w:rFonts w:ascii="宋体" w:hAnsi="宋体"/>
          <w:color w:val="auto"/>
          <w:sz w:val="24"/>
          <w:szCs w:val="20"/>
          <w:highlight w:val="none"/>
          <w:u w:val="single"/>
        </w:rPr>
      </w:pPr>
      <w:r>
        <w:rPr>
          <w:rFonts w:hint="eastAsia" w:ascii="宋体" w:hAnsi="宋体"/>
          <w:color w:val="auto"/>
          <w:sz w:val="24"/>
          <w:highlight w:val="none"/>
        </w:rPr>
        <w:t>投标人名称(公章):</w:t>
      </w:r>
      <w:r>
        <w:rPr>
          <w:rFonts w:hint="eastAsia" w:ascii="宋体" w:hAnsi="宋体"/>
          <w:color w:val="auto"/>
          <w:sz w:val="24"/>
          <w:highlight w:val="none"/>
          <w:u w:val="single"/>
        </w:rPr>
        <w:t xml:space="preserve">                   </w:t>
      </w:r>
    </w:p>
    <w:p w14:paraId="6E2D58E5">
      <w:pPr>
        <w:spacing w:line="480" w:lineRule="auto"/>
        <w:ind w:firstLine="4800" w:firstLineChars="2000"/>
        <w:rPr>
          <w:rFonts w:ascii="宋体" w:hAnsi="宋体"/>
          <w:color w:val="auto"/>
          <w:sz w:val="24"/>
          <w:highlight w:val="none"/>
        </w:rPr>
      </w:pPr>
      <w:r>
        <w:rPr>
          <w:rFonts w:hint="eastAsia" w:ascii="宋体" w:hAnsi="宋体"/>
          <w:color w:val="auto"/>
          <w:sz w:val="24"/>
          <w:highlight w:val="none"/>
        </w:rPr>
        <w:t>法定代表人或委托代理人签字:</w:t>
      </w:r>
      <w:r>
        <w:rPr>
          <w:rFonts w:hint="eastAsia" w:ascii="宋体" w:hAnsi="宋体"/>
          <w:color w:val="auto"/>
          <w:sz w:val="24"/>
          <w:highlight w:val="none"/>
          <w:u w:val="single"/>
        </w:rPr>
        <w:t xml:space="preserve">            </w:t>
      </w:r>
      <w:r>
        <w:rPr>
          <w:rFonts w:hint="eastAsia" w:ascii="宋体" w:hAnsi="宋体"/>
          <w:color w:val="auto"/>
          <w:sz w:val="24"/>
          <w:highlight w:val="none"/>
        </w:rPr>
        <w:t xml:space="preserve"> </w:t>
      </w:r>
    </w:p>
    <w:p w14:paraId="2510E8B9">
      <w:pPr>
        <w:spacing w:line="480" w:lineRule="auto"/>
        <w:ind w:firstLine="6000" w:firstLineChars="2500"/>
        <w:rPr>
          <w:rFonts w:ascii="宋体" w:hAnsi="宋体"/>
          <w:color w:val="auto"/>
          <w:sz w:val="24"/>
          <w:highlight w:val="none"/>
        </w:rPr>
      </w:pPr>
      <w:r>
        <w:rPr>
          <w:rFonts w:hint="eastAsia" w:ascii="宋体" w:hAnsi="宋体"/>
          <w:color w:val="auto"/>
          <w:sz w:val="24"/>
          <w:highlight w:val="none"/>
        </w:rPr>
        <w:t>日期:</w:t>
      </w:r>
      <w:r>
        <w:rPr>
          <w:rFonts w:hint="eastAsia" w:ascii="宋体" w:hAnsi="宋体"/>
          <w:color w:val="auto"/>
          <w:sz w:val="24"/>
          <w:highlight w:val="none"/>
          <w:u w:val="single"/>
        </w:rPr>
        <w:t xml:space="preserve">    </w:t>
      </w:r>
      <w:r>
        <w:rPr>
          <w:rFonts w:hint="eastAsia" w:ascii="宋体" w:hAnsi="宋体"/>
          <w:color w:val="auto"/>
          <w:sz w:val="24"/>
          <w:highlight w:val="none"/>
        </w:rPr>
        <w:t>年___月___日</w:t>
      </w:r>
    </w:p>
    <w:p w14:paraId="0D10966E">
      <w:pPr>
        <w:pStyle w:val="22"/>
        <w:ind w:firstLine="480"/>
        <w:rPr>
          <w:rFonts w:ascii="宋体" w:hAnsi="宋体"/>
          <w:color w:val="auto"/>
          <w:sz w:val="24"/>
          <w:highlight w:val="none"/>
        </w:rPr>
      </w:pPr>
    </w:p>
    <w:p w14:paraId="039AA86B">
      <w:pPr>
        <w:pStyle w:val="62"/>
        <w:rPr>
          <w:rFonts w:ascii="宋体" w:hAnsi="宋体" w:cs="宋体"/>
          <w:color w:val="auto"/>
          <w:kern w:val="0"/>
          <w:sz w:val="24"/>
          <w:highlight w:val="none"/>
        </w:rPr>
      </w:pPr>
    </w:p>
    <w:p w14:paraId="72D316F3">
      <w:pPr>
        <w:rPr>
          <w:color w:val="auto"/>
          <w:highlight w:val="none"/>
        </w:rPr>
      </w:pPr>
    </w:p>
    <w:p w14:paraId="23DE7C6E">
      <w:pPr>
        <w:pStyle w:val="62"/>
        <w:spacing w:line="360" w:lineRule="auto"/>
        <w:rPr>
          <w:rFonts w:ascii="宋体" w:hAnsi="宋体"/>
          <w:color w:val="auto"/>
          <w:sz w:val="24"/>
          <w:highlight w:val="none"/>
        </w:rPr>
      </w:pPr>
    </w:p>
    <w:p w14:paraId="3CD20CEF">
      <w:pPr>
        <w:rPr>
          <w:rFonts w:ascii="宋体" w:hAnsi="宋体"/>
          <w:color w:val="auto"/>
          <w:sz w:val="24"/>
          <w:highlight w:val="none"/>
        </w:rPr>
      </w:pPr>
    </w:p>
    <w:p w14:paraId="445A91D5">
      <w:pPr>
        <w:pStyle w:val="22"/>
        <w:ind w:firstLine="480"/>
        <w:rPr>
          <w:rFonts w:ascii="宋体" w:hAnsi="宋体"/>
          <w:color w:val="auto"/>
          <w:sz w:val="24"/>
          <w:highlight w:val="none"/>
        </w:rPr>
      </w:pPr>
    </w:p>
    <w:p w14:paraId="528CE05D">
      <w:pPr>
        <w:rPr>
          <w:rFonts w:ascii="宋体" w:hAnsi="宋体" w:cs="宋体"/>
          <w:b/>
          <w:color w:val="auto"/>
          <w:sz w:val="24"/>
          <w:highlight w:val="none"/>
        </w:rPr>
      </w:pPr>
    </w:p>
    <w:p w14:paraId="333B6396">
      <w:pPr>
        <w:pageBreakBefore/>
        <w:spacing w:before="260" w:after="260" w:line="415" w:lineRule="auto"/>
        <w:outlineLvl w:val="1"/>
        <w:rPr>
          <w:rFonts w:ascii="宋体" w:hAnsi="宋体" w:cs="宋体"/>
          <w:bCs/>
          <w:color w:val="auto"/>
          <w:sz w:val="24"/>
          <w:highlight w:val="none"/>
        </w:rPr>
      </w:pPr>
      <w:bookmarkStart w:id="100" w:name="_Toc496598995"/>
      <w:bookmarkStart w:id="101" w:name="_Toc11367"/>
      <w:r>
        <w:rPr>
          <w:rFonts w:hint="eastAsia" w:ascii="宋体" w:hAnsi="宋体" w:cs="宋体"/>
          <w:bCs/>
          <w:color w:val="auto"/>
          <w:sz w:val="24"/>
          <w:highlight w:val="none"/>
        </w:rPr>
        <w:t>附件十五:</w:t>
      </w:r>
      <w:bookmarkEnd w:id="100"/>
      <w:r>
        <w:rPr>
          <w:rFonts w:hint="eastAsia" w:ascii="宋体" w:hAnsi="宋体" w:cs="宋体"/>
          <w:bCs/>
          <w:color w:val="auto"/>
          <w:sz w:val="24"/>
          <w:highlight w:val="none"/>
        </w:rPr>
        <w:t xml:space="preserve"> 投标函</w:t>
      </w:r>
      <w:bookmarkEnd w:id="101"/>
    </w:p>
    <w:p w14:paraId="6D92005A">
      <w:pPr>
        <w:snapToGrid w:val="0"/>
        <w:spacing w:line="360" w:lineRule="auto"/>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投 标 函</w:t>
      </w:r>
    </w:p>
    <w:p w14:paraId="1167B0E6">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致：</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（招标采购单位名称）：</w:t>
      </w:r>
    </w:p>
    <w:p w14:paraId="7E5786FA">
      <w:pPr>
        <w:snapToGrid w:val="0"/>
        <w:spacing w:line="360" w:lineRule="auto"/>
        <w:ind w:firstLine="480"/>
        <w:rPr>
          <w:rFonts w:ascii="宋体" w:hAnsi="宋体" w:cs="宋体"/>
          <w:color w:val="auto"/>
          <w:sz w:val="24"/>
          <w:highlight w:val="none"/>
        </w:rPr>
      </w:pPr>
      <w:r>
        <w:rPr>
          <w:rFonts w:hint="eastAsia" w:ascii="宋体" w:hAnsi="宋体" w:cs="宋体"/>
          <w:color w:val="auto"/>
          <w:sz w:val="24"/>
          <w:highlight w:val="none"/>
        </w:rPr>
        <w:t>根据贵方为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项目的招标公告/投标邀请书</w:t>
      </w:r>
    </w:p>
    <w:p w14:paraId="173C65F3">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（项目编号：</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），签字代表</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（全名）经正式授权并代表投标人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（投标人名称）提交电子投标文件。</w:t>
      </w:r>
    </w:p>
    <w:p w14:paraId="2C95C4A7">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据此函，签字代表宣布同意如下：</w:t>
      </w:r>
    </w:p>
    <w:p w14:paraId="7F7D4A8F">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1.投标人已详细审查全部“招标文件”，包括修改文件（如有的话）以及全部参考资料和有关附件，已经了解我方对于招标文件、采购过程、采购结果有依法进行询问、质疑、投诉的权利及相关渠道和要求。</w:t>
      </w:r>
    </w:p>
    <w:p w14:paraId="1EC59154">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2.投标人在投标之前已经与贵方进行了充分的沟通，完全理解并接受招标文件的各项规定和要求，对招标文件的合理性、合法性不再有异议。</w:t>
      </w:r>
    </w:p>
    <w:p w14:paraId="470AE4D8">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3.本投标有效期自开标日起 ______天。</w:t>
      </w:r>
    </w:p>
    <w:p w14:paraId="3F820606">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4.如中标，本投标文件至本项目合同履行完毕止均保持有效，本投标人将按“招标文件”及政府采购法律、法规的规定履行合同责任和义务。</w:t>
      </w:r>
    </w:p>
    <w:p w14:paraId="6C746CC7">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5.投标人同意按照贵方要求提供与投标有关的一切数据或资料。</w:t>
      </w:r>
    </w:p>
    <w:p w14:paraId="758CA642">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6.与本投标有关的一切正式往来信函请寄：</w:t>
      </w:r>
    </w:p>
    <w:p w14:paraId="7208E103">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地址：__________</w:t>
      </w:r>
      <w:r>
        <w:rPr>
          <w:rFonts w:hint="eastAsia" w:ascii="宋体" w:hAnsi="宋体" w:cs="宋体"/>
          <w:color w:val="auto"/>
          <w:sz w:val="24"/>
          <w:highlight w:val="none"/>
          <w:u w:val="single"/>
        </w:rPr>
        <w:t xml:space="preserve">        _</w:t>
      </w:r>
      <w:r>
        <w:rPr>
          <w:rFonts w:hint="eastAsia" w:ascii="宋体" w:hAnsi="宋体" w:cs="宋体"/>
          <w:color w:val="auto"/>
          <w:sz w:val="24"/>
          <w:highlight w:val="none"/>
        </w:rPr>
        <w:t>____邮编：__________   电话：______________</w:t>
      </w:r>
    </w:p>
    <w:p w14:paraId="00C7A5CD">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传真：______________投标人代表姓名 ___________  职务：______</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_______</w:t>
      </w:r>
    </w:p>
    <w:p w14:paraId="7B0455E5">
      <w:pPr>
        <w:snapToGrid w:val="0"/>
        <w:spacing w:line="360" w:lineRule="auto"/>
        <w:rPr>
          <w:rFonts w:ascii="宋体" w:hAnsi="宋体" w:cs="宋体"/>
          <w:color w:val="auto"/>
          <w:sz w:val="24"/>
          <w:highlight w:val="none"/>
        </w:rPr>
      </w:pPr>
    </w:p>
    <w:p w14:paraId="597DFCE8">
      <w:pPr>
        <w:snapToGrid w:val="0"/>
        <w:spacing w:line="360" w:lineRule="auto"/>
        <w:rPr>
          <w:rFonts w:ascii="宋体" w:hAnsi="宋体" w:cs="宋体"/>
          <w:color w:val="auto"/>
          <w:sz w:val="24"/>
          <w:highlight w:val="none"/>
        </w:rPr>
      </w:pPr>
    </w:p>
    <w:p w14:paraId="054D9DAC">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投标人名称(公章):___________________</w:t>
      </w:r>
    </w:p>
    <w:p w14:paraId="6A48FE35">
      <w:pPr>
        <w:snapToGrid w:val="0"/>
        <w:spacing w:line="360" w:lineRule="auto"/>
        <w:rPr>
          <w:rFonts w:ascii="宋体" w:hAnsi="宋体" w:cs="宋体"/>
          <w:color w:val="auto"/>
          <w:sz w:val="24"/>
          <w:highlight w:val="none"/>
        </w:rPr>
      </w:pPr>
      <w:r>
        <w:rPr>
          <w:rFonts w:hint="eastAsia" w:ascii="宋体" w:hAnsi="宋体" w:cs="宋体"/>
          <w:color w:val="auto"/>
          <w:sz w:val="24"/>
          <w:szCs w:val="24"/>
          <w:highlight w:val="none"/>
        </w:rPr>
        <w:t>法定代表人或委托代理人</w:t>
      </w:r>
      <w:r>
        <w:rPr>
          <w:rFonts w:hint="eastAsia" w:ascii="宋体" w:hAnsi="宋体" w:cs="宋体"/>
          <w:color w:val="auto"/>
          <w:sz w:val="24"/>
          <w:highlight w:val="none"/>
        </w:rPr>
        <w:t xml:space="preserve">签字:___________ </w:t>
      </w:r>
    </w:p>
    <w:p w14:paraId="4E6BCC0E">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日期:_____年___月___日</w:t>
      </w:r>
    </w:p>
    <w:p w14:paraId="2831BFBA">
      <w:pPr>
        <w:snapToGrid w:val="0"/>
        <w:spacing w:before="156" w:after="156" w:line="360" w:lineRule="auto"/>
        <w:rPr>
          <w:rFonts w:ascii="宋体" w:hAnsi="宋体" w:cs="宋体"/>
          <w:color w:val="auto"/>
          <w:sz w:val="24"/>
          <w:highlight w:val="none"/>
        </w:rPr>
      </w:pPr>
    </w:p>
    <w:p w14:paraId="458ACFE4">
      <w:pPr>
        <w:snapToGrid w:val="0"/>
        <w:spacing w:before="50" w:after="120" w:afterLines="50"/>
        <w:jc w:val="left"/>
        <w:rPr>
          <w:rFonts w:ascii="宋体" w:hAnsi="宋体" w:cs="宋体"/>
          <w:b/>
          <w:color w:val="auto"/>
          <w:sz w:val="24"/>
          <w:highlight w:val="none"/>
        </w:rPr>
      </w:pPr>
    </w:p>
    <w:p w14:paraId="5D0EC8E3">
      <w:pPr>
        <w:snapToGrid w:val="0"/>
        <w:spacing w:before="50" w:after="120" w:afterLines="50"/>
        <w:jc w:val="left"/>
        <w:rPr>
          <w:rFonts w:ascii="宋体" w:hAnsi="宋体" w:cs="宋体"/>
          <w:b/>
          <w:color w:val="auto"/>
          <w:sz w:val="24"/>
          <w:highlight w:val="none"/>
        </w:rPr>
      </w:pPr>
    </w:p>
    <w:p w14:paraId="0DB66FB5">
      <w:pPr>
        <w:snapToGrid w:val="0"/>
        <w:spacing w:before="50" w:after="120" w:afterLines="50"/>
        <w:jc w:val="left"/>
        <w:rPr>
          <w:rFonts w:ascii="宋体" w:hAnsi="宋体" w:cs="宋体"/>
          <w:b/>
          <w:color w:val="auto"/>
          <w:sz w:val="24"/>
          <w:highlight w:val="none"/>
        </w:rPr>
      </w:pPr>
    </w:p>
    <w:p w14:paraId="7979EA27">
      <w:pPr>
        <w:rPr>
          <w:rFonts w:ascii="宋体" w:hAnsi="宋体" w:cs="宋体"/>
          <w:color w:val="auto"/>
          <w:sz w:val="24"/>
          <w:highlight w:val="none"/>
        </w:rPr>
      </w:pPr>
      <w:bookmarkStart w:id="102" w:name="_Toc496598998"/>
    </w:p>
    <w:p w14:paraId="2738577C">
      <w:pPr>
        <w:keepNext/>
        <w:keepLines/>
        <w:spacing w:before="260" w:after="260" w:line="360" w:lineRule="auto"/>
        <w:outlineLvl w:val="1"/>
        <w:rPr>
          <w:rFonts w:ascii="宋体" w:hAnsi="宋体" w:cs="宋体"/>
          <w:bCs/>
          <w:color w:val="auto"/>
          <w:sz w:val="24"/>
          <w:highlight w:val="none"/>
        </w:rPr>
      </w:pPr>
      <w:bookmarkStart w:id="103" w:name="_Toc24235"/>
      <w:r>
        <w:rPr>
          <w:rFonts w:hint="eastAsia" w:ascii="宋体" w:hAnsi="宋体" w:cs="宋体"/>
          <w:bCs/>
          <w:color w:val="auto"/>
          <w:sz w:val="24"/>
          <w:highlight w:val="none"/>
        </w:rPr>
        <w:t>附件十六：开标一览表</w:t>
      </w:r>
      <w:bookmarkEnd w:id="103"/>
    </w:p>
    <w:bookmarkEnd w:id="102"/>
    <w:p w14:paraId="5E03946E">
      <w:pPr>
        <w:snapToGrid w:val="0"/>
        <w:spacing w:before="50" w:after="50"/>
        <w:jc w:val="center"/>
        <w:rPr>
          <w:rFonts w:ascii="宋体" w:hAnsi="宋体"/>
          <w:b/>
          <w:color w:val="auto"/>
          <w:sz w:val="30"/>
          <w:highlight w:val="none"/>
        </w:rPr>
      </w:pPr>
      <w:bookmarkStart w:id="104" w:name="_Toc496599000"/>
      <w:bookmarkStart w:id="105" w:name="_Toc4202"/>
      <w:r>
        <w:rPr>
          <w:rFonts w:hint="eastAsia" w:ascii="宋体" w:hAnsi="宋体"/>
          <w:b/>
          <w:color w:val="auto"/>
          <w:sz w:val="30"/>
          <w:highlight w:val="none"/>
        </w:rPr>
        <w:t>开标一览表</w:t>
      </w:r>
    </w:p>
    <w:p w14:paraId="5075CF47">
      <w:pPr>
        <w:spacing w:line="360" w:lineRule="auto"/>
        <w:rPr>
          <w:rFonts w:ascii="宋体" w:hAnsi="宋体"/>
          <w:color w:val="auto"/>
          <w:sz w:val="24"/>
          <w:highlight w:val="none"/>
        </w:rPr>
      </w:pPr>
      <w:r>
        <w:rPr>
          <w:rFonts w:hint="eastAsia" w:ascii="宋体" w:hAnsi="宋体"/>
          <w:color w:val="auto"/>
          <w:sz w:val="24"/>
          <w:highlight w:val="none"/>
        </w:rPr>
        <w:t>招标编号：</w:t>
      </w:r>
      <w:r>
        <w:rPr>
          <w:rFonts w:hint="eastAsia" w:ascii="宋体" w:hAnsi="宋体"/>
          <w:color w:val="auto"/>
          <w:sz w:val="24"/>
          <w:highlight w:val="none"/>
          <w:lang w:eastAsia="zh-CN"/>
        </w:rPr>
        <w:t>JHZD2025-002-1</w:t>
      </w:r>
      <w:r>
        <w:rPr>
          <w:rFonts w:hint="eastAsia" w:ascii="宋体" w:hAnsi="宋体"/>
          <w:color w:val="auto"/>
          <w:sz w:val="24"/>
          <w:highlight w:val="none"/>
        </w:rPr>
        <w:t xml:space="preserve">       </w:t>
      </w:r>
    </w:p>
    <w:p w14:paraId="31ABC15F">
      <w:pPr>
        <w:spacing w:line="360" w:lineRule="auto"/>
        <w:rPr>
          <w:rFonts w:ascii="宋体" w:hAnsi="宋体"/>
          <w:color w:val="auto"/>
          <w:sz w:val="24"/>
          <w:highlight w:val="none"/>
        </w:rPr>
      </w:pPr>
      <w:r>
        <w:rPr>
          <w:rFonts w:hint="eastAsia" w:ascii="宋体" w:hAnsi="宋体"/>
          <w:color w:val="auto"/>
          <w:sz w:val="24"/>
          <w:highlight w:val="none"/>
        </w:rPr>
        <w:t xml:space="preserve">投标人名称：                                                        </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34"/>
        <w:gridCol w:w="5690"/>
      </w:tblGrid>
      <w:tr w14:paraId="0AE00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4" w:hRule="atLeast"/>
          <w:jc w:val="center"/>
        </w:trPr>
        <w:tc>
          <w:tcPr>
            <w:tcW w:w="3334" w:type="dxa"/>
            <w:tcBorders>
              <w:left w:val="single" w:color="auto" w:sz="4" w:space="0"/>
            </w:tcBorders>
            <w:vAlign w:val="center"/>
          </w:tcPr>
          <w:p w14:paraId="232996AC">
            <w:pPr>
              <w:pStyle w:val="12"/>
              <w:spacing w:after="120" w:line="360" w:lineRule="exact"/>
              <w:jc w:val="center"/>
              <w:rPr>
                <w:rFonts w:hAnsi="宋体" w:cs="宋体"/>
                <w:color w:val="auto"/>
                <w:szCs w:val="24"/>
                <w:highlight w:val="none"/>
              </w:rPr>
            </w:pPr>
            <w:r>
              <w:rPr>
                <w:rFonts w:hAnsi="宋体" w:cs="宋体"/>
                <w:color w:val="auto"/>
                <w:szCs w:val="24"/>
                <w:highlight w:val="none"/>
              </w:rPr>
              <w:t>采购内容</w:t>
            </w:r>
          </w:p>
        </w:tc>
        <w:tc>
          <w:tcPr>
            <w:tcW w:w="5690" w:type="dxa"/>
            <w:vAlign w:val="center"/>
          </w:tcPr>
          <w:p w14:paraId="2B6F67FF">
            <w:pPr>
              <w:widowControl/>
              <w:autoSpaceDE w:val="0"/>
              <w:autoSpaceDN w:val="0"/>
              <w:adjustRightInd w:val="0"/>
              <w:jc w:val="center"/>
              <w:rPr>
                <w:rFonts w:hAnsi="宋体" w:cs="宋体"/>
                <w:color w:val="auto"/>
                <w:sz w:val="24"/>
                <w:highlight w:val="none"/>
              </w:rPr>
            </w:pPr>
            <w:r>
              <w:rPr>
                <w:rFonts w:hint="eastAsia" w:ascii="宋体"/>
                <w:b/>
                <w:color w:val="auto"/>
                <w:sz w:val="24"/>
                <w:szCs w:val="21"/>
                <w:highlight w:val="none"/>
              </w:rPr>
              <w:t>投标下浮率</w:t>
            </w:r>
          </w:p>
        </w:tc>
      </w:tr>
      <w:tr w14:paraId="0B29D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04" w:hRule="atLeast"/>
          <w:jc w:val="center"/>
        </w:trPr>
        <w:tc>
          <w:tcPr>
            <w:tcW w:w="3334" w:type="dxa"/>
            <w:tcBorders>
              <w:left w:val="single" w:color="auto" w:sz="4" w:space="0"/>
            </w:tcBorders>
            <w:vAlign w:val="center"/>
          </w:tcPr>
          <w:p w14:paraId="3C27952A">
            <w:pPr>
              <w:pStyle w:val="12"/>
              <w:spacing w:line="360" w:lineRule="auto"/>
              <w:jc w:val="center"/>
              <w:rPr>
                <w:rFonts w:hAnsi="宋体" w:cs="宋体"/>
                <w:color w:val="auto"/>
                <w:highlight w:val="none"/>
              </w:rPr>
            </w:pPr>
            <w:r>
              <w:rPr>
                <w:rFonts w:hint="eastAsia" w:ascii="宋体" w:hAnsi="宋体" w:cs="宋体"/>
                <w:bCs/>
                <w:color w:val="auto"/>
                <w:highlight w:val="none"/>
              </w:rPr>
              <w:t>回收费用、回收工时费和保管费、存放保管及运输费、</w:t>
            </w:r>
            <w:r>
              <w:rPr>
                <w:rFonts w:hint="eastAsia" w:ascii="宋体" w:hAnsi="宋体"/>
                <w:color w:val="auto"/>
                <w:highlight w:val="none"/>
              </w:rPr>
              <w:t>焚烧处置费（包含运输费用）、</w:t>
            </w:r>
            <w:r>
              <w:rPr>
                <w:rFonts w:hint="eastAsia" w:ascii="宋体" w:hAnsi="宋体" w:cs="宋体"/>
                <w:bCs/>
                <w:color w:val="auto"/>
                <w:highlight w:val="none"/>
              </w:rPr>
              <w:t>回收设备设施费用</w:t>
            </w:r>
          </w:p>
        </w:tc>
        <w:tc>
          <w:tcPr>
            <w:tcW w:w="5690" w:type="dxa"/>
            <w:vAlign w:val="center"/>
          </w:tcPr>
          <w:p w14:paraId="7606064E">
            <w:pPr>
              <w:autoSpaceDE w:val="0"/>
              <w:autoSpaceDN w:val="0"/>
              <w:adjustRightInd w:val="0"/>
              <w:spacing w:line="360" w:lineRule="auto"/>
              <w:rPr>
                <w:color w:val="auto"/>
                <w:sz w:val="24"/>
                <w:highlight w:val="none"/>
              </w:rPr>
            </w:pPr>
            <w:r>
              <w:rPr>
                <w:rFonts w:hint="eastAsia"/>
                <w:color w:val="auto"/>
                <w:sz w:val="24"/>
                <w:highlight w:val="none"/>
              </w:rPr>
              <w:t>大写：百分之</w:t>
            </w:r>
            <w:r>
              <w:rPr>
                <w:rFonts w:hint="eastAsia"/>
                <w:color w:val="auto"/>
                <w:sz w:val="24"/>
                <w:highlight w:val="none"/>
                <w:u w:val="single"/>
              </w:rPr>
              <w:t xml:space="preserve"> </w:t>
            </w:r>
            <w:r>
              <w:rPr>
                <w:color w:val="auto"/>
                <w:sz w:val="24"/>
                <w:highlight w:val="none"/>
                <w:u w:val="single"/>
              </w:rPr>
              <w:t xml:space="preserve">         </w:t>
            </w:r>
          </w:p>
          <w:p w14:paraId="47F26065">
            <w:pPr>
              <w:autoSpaceDE w:val="0"/>
              <w:autoSpaceDN w:val="0"/>
              <w:adjustRightInd w:val="0"/>
              <w:spacing w:line="360" w:lineRule="auto"/>
              <w:rPr>
                <w:color w:val="auto"/>
                <w:sz w:val="24"/>
                <w:highlight w:val="none"/>
              </w:rPr>
            </w:pPr>
          </w:p>
          <w:p w14:paraId="5BE8E5CF">
            <w:pPr>
              <w:autoSpaceDE w:val="0"/>
              <w:autoSpaceDN w:val="0"/>
              <w:adjustRightInd w:val="0"/>
              <w:spacing w:line="360" w:lineRule="auto"/>
              <w:rPr>
                <w:rFonts w:hAnsi="宋体" w:cs="宋体"/>
                <w:color w:val="auto"/>
                <w:sz w:val="24"/>
                <w:highlight w:val="none"/>
              </w:rPr>
            </w:pPr>
            <w:r>
              <w:rPr>
                <w:rFonts w:hint="eastAsia"/>
                <w:color w:val="auto"/>
                <w:sz w:val="24"/>
                <w:highlight w:val="none"/>
              </w:rPr>
              <w:t>小写：</w:t>
            </w:r>
            <w:r>
              <w:rPr>
                <w:color w:val="auto"/>
                <w:sz w:val="24"/>
                <w:highlight w:val="none"/>
                <w:u w:val="single"/>
              </w:rPr>
              <w:t xml:space="preserve">               </w:t>
            </w:r>
            <w:r>
              <w:rPr>
                <w:rFonts w:hint="eastAsia"/>
                <w:color w:val="auto"/>
                <w:sz w:val="24"/>
                <w:highlight w:val="none"/>
              </w:rPr>
              <w:t>%</w:t>
            </w:r>
          </w:p>
        </w:tc>
      </w:tr>
    </w:tbl>
    <w:p w14:paraId="1781E175">
      <w:pPr>
        <w:spacing w:line="360" w:lineRule="auto"/>
        <w:ind w:left="479" w:leftChars="114" w:hanging="240" w:hangingChars="100"/>
        <w:rPr>
          <w:rFonts w:ascii="宋体" w:hAnsi="宋体"/>
          <w:color w:val="auto"/>
          <w:sz w:val="24"/>
          <w:highlight w:val="none"/>
        </w:rPr>
      </w:pPr>
      <w:r>
        <w:rPr>
          <w:rFonts w:ascii="宋体" w:hAnsi="宋体"/>
          <w:color w:val="auto"/>
          <w:sz w:val="24"/>
          <w:highlight w:val="none"/>
        </w:rPr>
        <w:t>注：</w:t>
      </w:r>
    </w:p>
    <w:p w14:paraId="7CE3626C">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1、投标报价一经涂改，应在涂改处加盖单位公章或者由法定代表人或授权委托人签字或盖章，否则其投标作无效标处理</w:t>
      </w:r>
      <w:r>
        <w:rPr>
          <w:rFonts w:hint="eastAsia" w:ascii="宋体" w:hAnsi="宋体" w:cs="Arial"/>
          <w:bCs/>
          <w:color w:val="auto"/>
          <w:sz w:val="24"/>
          <w:highlight w:val="none"/>
        </w:rPr>
        <w:t>；</w:t>
      </w:r>
    </w:p>
    <w:p w14:paraId="6F3A6073">
      <w:pPr>
        <w:snapToGrid w:val="0"/>
        <w:spacing w:before="50" w:after="50" w:line="360" w:lineRule="auto"/>
        <w:ind w:right="-817" w:rightChars="-389" w:firstLine="480" w:firstLineChars="200"/>
        <w:rPr>
          <w:rFonts w:ascii="宋体" w:hAnsi="宋体" w:cs="宋体"/>
          <w:color w:val="auto"/>
          <w:sz w:val="24"/>
          <w:highlight w:val="none"/>
        </w:rPr>
      </w:pPr>
      <w:r>
        <w:rPr>
          <w:rFonts w:hint="eastAsia" w:ascii="宋体" w:hAnsi="宋体"/>
          <w:color w:val="auto"/>
          <w:sz w:val="24"/>
          <w:highlight w:val="none"/>
        </w:rPr>
        <w:t>2、</w:t>
      </w:r>
      <w:r>
        <w:rPr>
          <w:rFonts w:hint="eastAsia" w:ascii="宋体" w:hAnsi="宋体" w:cs="宋体"/>
          <w:color w:val="auto"/>
          <w:sz w:val="24"/>
          <w:highlight w:val="none"/>
        </w:rPr>
        <w:t>投标报价是履行合同的最终价格，应</w:t>
      </w:r>
      <w:r>
        <w:rPr>
          <w:rFonts w:hint="eastAsia" w:ascii="宋体" w:hAnsi="宋体"/>
          <w:color w:val="auto"/>
          <w:sz w:val="24"/>
          <w:highlight w:val="none"/>
        </w:rPr>
        <w:t>包括项目实施所需的</w:t>
      </w:r>
      <w:r>
        <w:rPr>
          <w:rFonts w:hint="eastAsia" w:ascii="宋体" w:hAnsi="宋体"/>
          <w:color w:val="auto"/>
          <w:sz w:val="24"/>
          <w:highlight w:val="none"/>
          <w:lang w:val="en-US" w:eastAsia="zh-CN"/>
        </w:rPr>
        <w:t>回收费用、</w:t>
      </w:r>
      <w:r>
        <w:rPr>
          <w:rFonts w:hint="eastAsia" w:ascii="宋体" w:hAnsi="宋体"/>
          <w:color w:val="auto"/>
          <w:sz w:val="24"/>
          <w:highlight w:val="none"/>
        </w:rPr>
        <w:t>人工费、技术服务费、职业安全防护及卫生费、仓储费、保管费、运输费、处置费、整理及搬运费、水电费、台账资料费等与本项目相关的一切费用及税金。</w:t>
      </w:r>
      <w:r>
        <w:rPr>
          <w:rFonts w:hint="eastAsia" w:ascii="宋体" w:hAnsi="宋体" w:cs="宋体"/>
          <w:color w:val="auto"/>
          <w:sz w:val="24"/>
          <w:highlight w:val="none"/>
        </w:rPr>
        <w:t>投标人投标报价为投标人所能承受的整个项目的一次性最终最低报价，如有漏项，视同已包含在本项目中，总价不做调整。</w:t>
      </w:r>
    </w:p>
    <w:p w14:paraId="3D142E4A">
      <w:pPr>
        <w:snapToGrid w:val="0"/>
        <w:spacing w:line="360" w:lineRule="auto"/>
        <w:ind w:firstLine="480" w:firstLineChars="200"/>
        <w:jc w:val="left"/>
        <w:rPr>
          <w:rFonts w:ascii="宋体" w:hAnsi="宋体"/>
          <w:color w:val="auto"/>
          <w:sz w:val="24"/>
          <w:highlight w:val="none"/>
        </w:rPr>
      </w:pPr>
      <w:r>
        <w:rPr>
          <w:rFonts w:hint="eastAsia" w:ascii="宋体" w:hAnsi="宋体"/>
          <w:color w:val="auto"/>
          <w:sz w:val="24"/>
          <w:highlight w:val="none"/>
        </w:rPr>
        <w:t>3、其中</w:t>
      </w:r>
      <w:r>
        <w:rPr>
          <w:rFonts w:hint="eastAsia" w:ascii="宋体" w:hAnsi="宋体" w:cs="宋体"/>
          <w:color w:val="auto"/>
          <w:kern w:val="0"/>
          <w:sz w:val="24"/>
          <w:szCs w:val="20"/>
          <w:highlight w:val="none"/>
        </w:rPr>
        <w:t>回收处置资金</w:t>
      </w:r>
      <w:r>
        <w:rPr>
          <w:rFonts w:hint="eastAsia" w:ascii="宋体" w:hAnsi="宋体"/>
          <w:color w:val="auto"/>
          <w:sz w:val="24"/>
          <w:highlight w:val="none"/>
        </w:rPr>
        <w:t>=（回收费用+回收工时费和保管费+存放保管及运输费+焚烧处置费+回收设备设施费用）*（1-中标下浮率）。</w:t>
      </w:r>
      <w:r>
        <w:rPr>
          <w:rFonts w:hint="eastAsia" w:ascii="宋体" w:hAnsi="宋体" w:cs="宋体"/>
          <w:color w:val="auto"/>
          <w:kern w:val="0"/>
          <w:sz w:val="24"/>
          <w:szCs w:val="20"/>
          <w:highlight w:val="none"/>
        </w:rPr>
        <w:t>若中标人未完成56.33吨回收任务，按未完成数量每吨5万元扣减回收处置资金。若最终回收处置资金超预算金额，超出部分将不予支付。</w:t>
      </w:r>
    </w:p>
    <w:p w14:paraId="761CAAB8">
      <w:pPr>
        <w:snapToGrid w:val="0"/>
        <w:spacing w:line="360" w:lineRule="auto"/>
        <w:ind w:firstLine="480" w:firstLineChars="200"/>
        <w:jc w:val="left"/>
        <w:rPr>
          <w:rFonts w:ascii="宋体" w:hAnsi="宋体"/>
          <w:color w:val="auto"/>
          <w:sz w:val="24"/>
          <w:highlight w:val="none"/>
          <w:u w:val="single"/>
        </w:rPr>
      </w:pPr>
      <w:r>
        <w:rPr>
          <w:rFonts w:hint="eastAsia" w:ascii="宋体" w:hAnsi="宋体"/>
          <w:color w:val="auto"/>
          <w:sz w:val="24"/>
          <w:highlight w:val="none"/>
        </w:rPr>
        <w:t>4、本表格式不允许修改，否则作无效标处理。</w:t>
      </w:r>
    </w:p>
    <w:p w14:paraId="2C16BDC0">
      <w:pPr>
        <w:snapToGrid w:val="0"/>
        <w:spacing w:line="360" w:lineRule="auto"/>
        <w:ind w:firstLine="840" w:firstLineChars="350"/>
        <w:jc w:val="left"/>
        <w:rPr>
          <w:rFonts w:ascii="宋体" w:hAnsi="宋体"/>
          <w:color w:val="auto"/>
          <w:sz w:val="24"/>
          <w:highlight w:val="none"/>
          <w:u w:val="single"/>
        </w:rPr>
      </w:pPr>
    </w:p>
    <w:p w14:paraId="74C1B993">
      <w:pPr>
        <w:snapToGrid w:val="0"/>
        <w:spacing w:before="50" w:after="50" w:line="360" w:lineRule="auto"/>
        <w:ind w:left="-2" w:leftChars="-1" w:right="-817" w:rightChars="-389" w:firstLine="360" w:firstLineChars="150"/>
        <w:rPr>
          <w:rFonts w:ascii="宋体" w:hAnsi="宋体"/>
          <w:color w:val="auto"/>
          <w:sz w:val="24"/>
          <w:highlight w:val="none"/>
        </w:rPr>
      </w:pPr>
      <w:r>
        <w:rPr>
          <w:rFonts w:hint="eastAsia" w:ascii="宋体" w:hAnsi="宋体"/>
          <w:color w:val="auto"/>
          <w:sz w:val="24"/>
          <w:highlight w:val="none"/>
        </w:rPr>
        <w:t>法定代表人或委托代理人（签字或盖章）：</w:t>
      </w:r>
    </w:p>
    <w:p w14:paraId="0D2B17F5">
      <w:pPr>
        <w:snapToGrid w:val="0"/>
        <w:spacing w:before="50" w:after="50" w:line="360" w:lineRule="auto"/>
        <w:ind w:right="-817" w:rightChars="-389" w:firstLine="360" w:firstLineChars="150"/>
        <w:rPr>
          <w:rFonts w:ascii="宋体" w:hAnsi="宋体"/>
          <w:color w:val="auto"/>
          <w:sz w:val="24"/>
          <w:highlight w:val="none"/>
        </w:rPr>
      </w:pPr>
      <w:r>
        <w:rPr>
          <w:rFonts w:hint="eastAsia" w:ascii="宋体" w:hAnsi="宋体"/>
          <w:color w:val="auto"/>
          <w:sz w:val="24"/>
          <w:highlight w:val="none"/>
        </w:rPr>
        <w:t xml:space="preserve">投标人名称（盖章）：                                         </w:t>
      </w:r>
    </w:p>
    <w:p w14:paraId="5536A6DF">
      <w:pPr>
        <w:snapToGrid w:val="0"/>
        <w:spacing w:before="50" w:after="50" w:line="360" w:lineRule="exact"/>
        <w:ind w:left="-2" w:leftChars="-1" w:right="-817" w:rightChars="-389" w:firstLine="5400" w:firstLineChars="2250"/>
        <w:rPr>
          <w:rFonts w:ascii="宋体" w:hAnsi="宋体"/>
          <w:color w:val="auto"/>
          <w:sz w:val="24"/>
          <w:highlight w:val="none"/>
        </w:rPr>
      </w:pPr>
      <w:r>
        <w:rPr>
          <w:rFonts w:hint="eastAsia" w:ascii="宋体" w:hAnsi="宋体"/>
          <w:color w:val="auto"/>
          <w:sz w:val="24"/>
          <w:highlight w:val="none"/>
        </w:rPr>
        <w:t>日期：    年   月   日</w:t>
      </w:r>
    </w:p>
    <w:p w14:paraId="47620B94">
      <w:pPr>
        <w:pageBreakBefore/>
        <w:spacing w:before="260" w:after="260" w:line="415" w:lineRule="auto"/>
        <w:outlineLvl w:val="1"/>
        <w:rPr>
          <w:rFonts w:ascii="宋体" w:hAnsi="宋体" w:cs="宋体"/>
          <w:bCs/>
          <w:color w:val="auto"/>
          <w:sz w:val="24"/>
          <w:highlight w:val="none"/>
        </w:rPr>
      </w:pPr>
      <w:r>
        <w:rPr>
          <w:rFonts w:hint="eastAsia" w:ascii="宋体" w:hAnsi="宋体" w:cs="宋体"/>
          <w:bCs/>
          <w:color w:val="auto"/>
          <w:sz w:val="24"/>
          <w:highlight w:val="none"/>
        </w:rPr>
        <w:t>附件十七：</w:t>
      </w:r>
      <w:bookmarkEnd w:id="104"/>
      <w:bookmarkStart w:id="106" w:name="_Toc496599001"/>
      <w:r>
        <w:rPr>
          <w:rFonts w:hint="eastAsia" w:ascii="宋体" w:hAnsi="宋体" w:cs="宋体"/>
          <w:bCs/>
          <w:color w:val="auto"/>
          <w:sz w:val="24"/>
          <w:highlight w:val="none"/>
        </w:rPr>
        <w:t>中小企业声明函（工程、服务）</w:t>
      </w:r>
      <w:bookmarkEnd w:id="105"/>
    </w:p>
    <w:p w14:paraId="274E0BEE">
      <w:pPr>
        <w:snapToGrid w:val="0"/>
        <w:spacing w:line="360" w:lineRule="auto"/>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中小企业声明函（工程、服务）</w:t>
      </w:r>
    </w:p>
    <w:p w14:paraId="0B04F310">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本公司（联合体）郑重声明，根据《政府采购促进中小企业发展管理办法》（财库﹝2020﹞46 号）的规定，本公司（联合体）参加</w:t>
      </w:r>
      <w:r>
        <w:rPr>
          <w:rFonts w:hint="eastAsia" w:ascii="宋体" w:hAnsi="宋体" w:cs="宋体"/>
          <w:color w:val="auto"/>
          <w:sz w:val="24"/>
          <w:highlight w:val="none"/>
          <w:u w:val="single"/>
        </w:rPr>
        <w:t xml:space="preserve">  （单位名称）  </w:t>
      </w:r>
      <w:r>
        <w:rPr>
          <w:rFonts w:hint="eastAsia" w:ascii="宋体" w:hAnsi="宋体" w:cs="宋体"/>
          <w:color w:val="auto"/>
          <w:sz w:val="24"/>
          <w:highlight w:val="none"/>
        </w:rPr>
        <w:t>的</w:t>
      </w:r>
      <w:r>
        <w:rPr>
          <w:rFonts w:hint="eastAsia" w:ascii="宋体" w:hAnsi="宋体" w:cs="宋体"/>
          <w:color w:val="auto"/>
          <w:sz w:val="24"/>
          <w:highlight w:val="none"/>
          <w:u w:val="single"/>
        </w:rPr>
        <w:t xml:space="preserve">  （项目名称）  </w:t>
      </w:r>
      <w:r>
        <w:rPr>
          <w:rFonts w:hint="eastAsia" w:ascii="宋体" w:hAnsi="宋体" w:cs="宋体"/>
          <w:color w:val="auto"/>
          <w:sz w:val="24"/>
          <w:highlight w:val="none"/>
        </w:rPr>
        <w:t>采购活动，工程的施工单位全部为符合政策要求的中小企业（或者：服务全部由符合政策要求的中小企业承接）。相关企业（含联合 体中的中小企业、签订分包意向协议的中小企业）的具体情况如下：</w:t>
      </w:r>
    </w:p>
    <w:p w14:paraId="3925A748">
      <w:pPr>
        <w:spacing w:line="360" w:lineRule="auto"/>
        <w:ind w:firstLine="480" w:firstLineChars="200"/>
        <w:rPr>
          <w:rFonts w:ascii="宋体" w:hAnsi="宋体" w:cs="宋体"/>
          <w:color w:val="auto"/>
          <w:sz w:val="24"/>
          <w:szCs w:val="32"/>
          <w:highlight w:val="none"/>
        </w:rPr>
      </w:pPr>
      <w:r>
        <w:rPr>
          <w:rFonts w:hint="eastAsia" w:ascii="宋体" w:hAnsi="宋体" w:cs="宋体"/>
          <w:color w:val="auto"/>
          <w:sz w:val="24"/>
          <w:highlight w:val="none"/>
        </w:rPr>
        <w:t>1、</w:t>
      </w:r>
      <w:r>
        <w:rPr>
          <w:rFonts w:hint="eastAsia" w:ascii="宋体" w:hAnsi="宋体" w:cs="宋体"/>
          <w:color w:val="auto"/>
          <w:sz w:val="24"/>
          <w:highlight w:val="none"/>
          <w:u w:val="single"/>
        </w:rPr>
        <w:t xml:space="preserve">  （标的名称）  </w:t>
      </w:r>
      <w:r>
        <w:rPr>
          <w:rFonts w:hint="eastAsia" w:ascii="宋体" w:hAnsi="宋体" w:cs="宋体"/>
          <w:color w:val="auto"/>
          <w:sz w:val="24"/>
          <w:highlight w:val="none"/>
        </w:rPr>
        <w:t>，属于</w:t>
      </w:r>
      <w:r>
        <w:rPr>
          <w:rFonts w:hint="eastAsia" w:ascii="宋体" w:hAnsi="宋体" w:cs="宋体"/>
          <w:color w:val="auto"/>
          <w:sz w:val="24"/>
          <w:highlight w:val="none"/>
          <w:u w:val="single"/>
        </w:rPr>
        <w:t>其他未列明行业</w:t>
      </w:r>
      <w:r>
        <w:rPr>
          <w:rFonts w:hint="eastAsia" w:ascii="宋体" w:hAnsi="宋体" w:cs="宋体"/>
          <w:color w:val="auto"/>
          <w:sz w:val="24"/>
          <w:highlight w:val="none"/>
        </w:rPr>
        <w:t>；承建（承接）企业为</w:t>
      </w:r>
      <w:r>
        <w:rPr>
          <w:rFonts w:hint="eastAsia" w:ascii="宋体" w:hAnsi="宋体" w:cs="宋体"/>
          <w:color w:val="auto"/>
          <w:sz w:val="24"/>
          <w:highlight w:val="none"/>
          <w:u w:val="single"/>
        </w:rPr>
        <w:t xml:space="preserve">  （企业名称）  </w:t>
      </w:r>
      <w:r>
        <w:rPr>
          <w:rFonts w:hint="eastAsia" w:ascii="宋体" w:hAnsi="宋体" w:cs="宋体"/>
          <w:color w:val="auto"/>
          <w:sz w:val="24"/>
          <w:highlight w:val="none"/>
        </w:rPr>
        <w:t>，从业人员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rPr>
        <w:tab/>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rPr>
        <w:tab/>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rPr>
        <w:tab/>
      </w:r>
      <w:r>
        <w:rPr>
          <w:rFonts w:hint="eastAsia" w:ascii="宋体" w:hAnsi="宋体" w:cs="宋体"/>
          <w:color w:val="auto"/>
          <w:sz w:val="24"/>
          <w:highlight w:val="none"/>
        </w:rPr>
        <w:t>万元，</w:t>
      </w:r>
      <w:r>
        <w:rPr>
          <w:rFonts w:hint="eastAsia" w:ascii="宋体" w:hAnsi="宋体" w:cs="宋体"/>
          <w:b/>
          <w:bCs/>
          <w:color w:val="auto"/>
          <w:sz w:val="24"/>
          <w:szCs w:val="32"/>
          <w:highlight w:val="none"/>
        </w:rPr>
        <w:t>属于</w:t>
      </w:r>
      <w:r>
        <w:rPr>
          <w:rFonts w:hint="eastAsia" w:ascii="宋体" w:hAnsi="宋体" w:cs="宋体"/>
          <w:b/>
          <w:bCs/>
          <w:color w:val="auto"/>
          <w:sz w:val="24"/>
          <w:szCs w:val="32"/>
          <w:highlight w:val="none"/>
          <w:u w:val="single"/>
        </w:rPr>
        <w:t xml:space="preserve">         </w:t>
      </w:r>
      <w:r>
        <w:rPr>
          <w:rFonts w:hint="eastAsia" w:ascii="宋体" w:hAnsi="宋体" w:cs="宋体"/>
          <w:b/>
          <w:bCs/>
          <w:color w:val="auto"/>
          <w:sz w:val="24"/>
          <w:szCs w:val="32"/>
          <w:highlight w:val="none"/>
        </w:rPr>
        <w:t>企业</w:t>
      </w:r>
      <w:r>
        <w:rPr>
          <w:rFonts w:hint="eastAsia" w:ascii="宋体" w:hAnsi="宋体" w:cs="宋体"/>
          <w:color w:val="auto"/>
          <w:sz w:val="24"/>
          <w:szCs w:val="32"/>
          <w:highlight w:val="none"/>
        </w:rPr>
        <w:t>（请填写中型企业或小型企业或微型企业）；</w:t>
      </w:r>
    </w:p>
    <w:p w14:paraId="4B241B72">
      <w:pPr>
        <w:spacing w:line="360" w:lineRule="auto"/>
        <w:ind w:firstLine="480" w:firstLineChars="200"/>
        <w:rPr>
          <w:rFonts w:ascii="宋体" w:hAnsi="宋体" w:cs="宋体"/>
          <w:color w:val="auto"/>
          <w:sz w:val="24"/>
          <w:szCs w:val="32"/>
          <w:highlight w:val="none"/>
        </w:rPr>
      </w:pPr>
      <w:r>
        <w:rPr>
          <w:rFonts w:hint="eastAsia" w:ascii="宋体" w:hAnsi="宋体" w:cs="宋体"/>
          <w:color w:val="auto"/>
          <w:sz w:val="24"/>
          <w:highlight w:val="none"/>
        </w:rPr>
        <w:t>2、</w:t>
      </w:r>
      <w:r>
        <w:rPr>
          <w:rFonts w:hint="eastAsia" w:ascii="宋体" w:hAnsi="宋体" w:cs="宋体"/>
          <w:color w:val="auto"/>
          <w:sz w:val="24"/>
          <w:highlight w:val="none"/>
          <w:u w:val="single"/>
        </w:rPr>
        <w:t xml:space="preserve">  （标的名称）  </w:t>
      </w:r>
      <w:r>
        <w:rPr>
          <w:rFonts w:hint="eastAsia" w:ascii="宋体" w:hAnsi="宋体" w:cs="宋体"/>
          <w:color w:val="auto"/>
          <w:sz w:val="24"/>
          <w:highlight w:val="none"/>
        </w:rPr>
        <w:t>，属于</w:t>
      </w:r>
      <w:r>
        <w:rPr>
          <w:rFonts w:hint="eastAsia" w:ascii="宋体" w:hAnsi="宋体" w:cs="宋体"/>
          <w:color w:val="auto"/>
          <w:sz w:val="24"/>
          <w:highlight w:val="none"/>
          <w:u w:val="single"/>
        </w:rPr>
        <w:t>其他未列明行业</w:t>
      </w:r>
      <w:r>
        <w:rPr>
          <w:rFonts w:hint="eastAsia" w:ascii="宋体" w:hAnsi="宋体" w:cs="宋体"/>
          <w:color w:val="auto"/>
          <w:sz w:val="24"/>
          <w:highlight w:val="none"/>
        </w:rPr>
        <w:t>；承建（承接）企业为</w:t>
      </w:r>
      <w:r>
        <w:rPr>
          <w:rFonts w:hint="eastAsia" w:ascii="宋体" w:hAnsi="宋体" w:cs="宋体"/>
          <w:color w:val="auto"/>
          <w:sz w:val="24"/>
          <w:highlight w:val="none"/>
          <w:u w:val="single"/>
        </w:rPr>
        <w:t xml:space="preserve">  （企业名称）  </w:t>
      </w:r>
      <w:r>
        <w:rPr>
          <w:rFonts w:hint="eastAsia" w:ascii="宋体" w:hAnsi="宋体" w:cs="宋体"/>
          <w:color w:val="auto"/>
          <w:sz w:val="24"/>
          <w:highlight w:val="none"/>
        </w:rPr>
        <w:t>，从业人员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rPr>
        <w:tab/>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rPr>
        <w:tab/>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rPr>
        <w:tab/>
      </w:r>
      <w:r>
        <w:rPr>
          <w:rFonts w:hint="eastAsia" w:ascii="宋体" w:hAnsi="宋体" w:cs="宋体"/>
          <w:color w:val="auto"/>
          <w:sz w:val="24"/>
          <w:highlight w:val="none"/>
        </w:rPr>
        <w:t>万元，</w:t>
      </w:r>
      <w:r>
        <w:rPr>
          <w:rFonts w:hint="eastAsia" w:ascii="宋体" w:hAnsi="宋体" w:cs="宋体"/>
          <w:b/>
          <w:bCs/>
          <w:color w:val="auto"/>
          <w:sz w:val="24"/>
          <w:szCs w:val="32"/>
          <w:highlight w:val="none"/>
        </w:rPr>
        <w:t>属于</w:t>
      </w:r>
      <w:r>
        <w:rPr>
          <w:rFonts w:hint="eastAsia" w:ascii="宋体" w:hAnsi="宋体" w:cs="宋体"/>
          <w:b/>
          <w:bCs/>
          <w:color w:val="auto"/>
          <w:sz w:val="24"/>
          <w:szCs w:val="32"/>
          <w:highlight w:val="none"/>
          <w:u w:val="single"/>
        </w:rPr>
        <w:t xml:space="preserve">         </w:t>
      </w:r>
      <w:r>
        <w:rPr>
          <w:rFonts w:hint="eastAsia" w:ascii="宋体" w:hAnsi="宋体" w:cs="宋体"/>
          <w:b/>
          <w:bCs/>
          <w:color w:val="auto"/>
          <w:sz w:val="24"/>
          <w:szCs w:val="32"/>
          <w:highlight w:val="none"/>
        </w:rPr>
        <w:t>企业</w:t>
      </w:r>
      <w:r>
        <w:rPr>
          <w:rFonts w:hint="eastAsia" w:ascii="宋体" w:hAnsi="宋体" w:cs="宋体"/>
          <w:color w:val="auto"/>
          <w:sz w:val="24"/>
          <w:szCs w:val="32"/>
          <w:highlight w:val="none"/>
        </w:rPr>
        <w:t>（请填写中型企业或小型企业或微型企业）；</w:t>
      </w:r>
    </w:p>
    <w:p w14:paraId="763A0DFF">
      <w:pPr>
        <w:spacing w:line="360" w:lineRule="auto"/>
        <w:rPr>
          <w:rFonts w:ascii="宋体" w:hAnsi="宋体" w:cs="宋体"/>
          <w:color w:val="auto"/>
          <w:sz w:val="24"/>
          <w:highlight w:val="none"/>
        </w:rPr>
      </w:pPr>
      <w:r>
        <w:rPr>
          <w:rFonts w:hint="eastAsia" w:ascii="宋体" w:hAnsi="宋体" w:cs="宋体"/>
          <w:color w:val="auto"/>
          <w:sz w:val="24"/>
          <w:highlight w:val="none"/>
        </w:rPr>
        <w:t>……</w:t>
      </w:r>
    </w:p>
    <w:p w14:paraId="2FCE93A8">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以上企业，不属于大企业的分支机构，不存在控股股东为大企业的情形，也不存在与大企业的负责人为同一人的情形。</w:t>
      </w:r>
    </w:p>
    <w:p w14:paraId="6A36EE9B">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本企业对上述声明内容的真实性负责。如有虚假，将依法承担相应责任。</w:t>
      </w:r>
    </w:p>
    <w:p w14:paraId="2EAF6D96">
      <w:pPr>
        <w:spacing w:line="360" w:lineRule="auto"/>
        <w:rPr>
          <w:rFonts w:ascii="宋体" w:hAnsi="宋体" w:cs="宋体"/>
          <w:color w:val="auto"/>
          <w:sz w:val="24"/>
          <w:highlight w:val="none"/>
        </w:rPr>
      </w:pPr>
    </w:p>
    <w:p w14:paraId="54475AC5">
      <w:pPr>
        <w:spacing w:line="360" w:lineRule="auto"/>
        <w:ind w:firstLine="5280" w:firstLineChars="2200"/>
        <w:rPr>
          <w:rFonts w:ascii="宋体" w:hAnsi="宋体" w:cs="宋体"/>
          <w:color w:val="auto"/>
          <w:sz w:val="24"/>
          <w:highlight w:val="none"/>
        </w:rPr>
      </w:pPr>
      <w:r>
        <w:rPr>
          <w:rFonts w:hint="eastAsia" w:ascii="宋体" w:hAnsi="宋体" w:cs="宋体"/>
          <w:color w:val="auto"/>
          <w:sz w:val="24"/>
          <w:highlight w:val="none"/>
        </w:rPr>
        <w:t>企业名称（盖章）：</w:t>
      </w:r>
    </w:p>
    <w:p w14:paraId="63F54BC8">
      <w:pPr>
        <w:spacing w:line="360" w:lineRule="auto"/>
        <w:ind w:firstLine="5280" w:firstLineChars="2200"/>
        <w:rPr>
          <w:rFonts w:ascii="宋体" w:hAnsi="宋体" w:cs="宋体"/>
          <w:color w:val="auto"/>
          <w:sz w:val="24"/>
          <w:highlight w:val="none"/>
        </w:rPr>
      </w:pPr>
      <w:r>
        <w:rPr>
          <w:rFonts w:hint="eastAsia" w:ascii="宋体" w:hAnsi="宋体" w:cs="宋体"/>
          <w:color w:val="auto"/>
          <w:sz w:val="24"/>
          <w:highlight w:val="none"/>
        </w:rPr>
        <w:t>日期：</w:t>
      </w:r>
    </w:p>
    <w:p w14:paraId="79F8B127">
      <w:pPr>
        <w:spacing w:line="360" w:lineRule="auto"/>
        <w:rPr>
          <w:rFonts w:ascii="宋体" w:hAnsi="宋体" w:cs="宋体"/>
          <w:color w:val="auto"/>
          <w:sz w:val="24"/>
          <w:highlight w:val="none"/>
        </w:rPr>
      </w:pPr>
    </w:p>
    <w:p w14:paraId="2716FED4">
      <w:pPr>
        <w:spacing w:line="360" w:lineRule="auto"/>
        <w:rPr>
          <w:rFonts w:ascii="宋体" w:hAnsi="宋体" w:cs="宋体"/>
          <w:b/>
          <w:bCs/>
          <w:color w:val="auto"/>
          <w:sz w:val="24"/>
          <w:highlight w:val="none"/>
        </w:rPr>
      </w:pPr>
    </w:p>
    <w:p w14:paraId="430835F1">
      <w:pPr>
        <w:spacing w:line="360" w:lineRule="auto"/>
        <w:rPr>
          <w:rFonts w:ascii="宋体" w:hAnsi="宋体" w:cs="宋体"/>
          <w:b/>
          <w:bCs/>
          <w:color w:val="auto"/>
          <w:sz w:val="24"/>
          <w:highlight w:val="none"/>
        </w:rPr>
      </w:pPr>
      <w:r>
        <w:rPr>
          <w:rFonts w:hint="eastAsia" w:ascii="宋体" w:hAnsi="宋体" w:cs="宋体"/>
          <w:b/>
          <w:bCs/>
          <w:color w:val="auto"/>
          <w:sz w:val="24"/>
          <w:highlight w:val="none"/>
        </w:rPr>
        <w:t>备注：</w:t>
      </w:r>
    </w:p>
    <w:p w14:paraId="29344E32">
      <w:pPr>
        <w:spacing w:line="360" w:lineRule="auto"/>
        <w:rPr>
          <w:rFonts w:ascii="宋体" w:hAnsi="宋体" w:cs="宋体"/>
          <w:b/>
          <w:bCs/>
          <w:color w:val="auto"/>
          <w:sz w:val="24"/>
          <w:highlight w:val="none"/>
        </w:rPr>
      </w:pPr>
      <w:r>
        <w:rPr>
          <w:rFonts w:hint="eastAsia" w:ascii="宋体" w:hAnsi="宋体" w:cs="宋体"/>
          <w:b/>
          <w:bCs/>
          <w:color w:val="auto"/>
          <w:sz w:val="24"/>
          <w:highlight w:val="none"/>
        </w:rPr>
        <w:t>1、从业人员、营业收入、资产总额填报上一年度数据，无上一年度数据的新成立企业可不填报。</w:t>
      </w:r>
    </w:p>
    <w:p w14:paraId="1B046F6F">
      <w:pPr>
        <w:pStyle w:val="2"/>
        <w:rPr>
          <w:rFonts w:ascii="宋体" w:hAnsi="宋体" w:cs="宋体"/>
          <w:b/>
          <w:bCs/>
          <w:color w:val="auto"/>
          <w:sz w:val="24"/>
          <w:highlight w:val="none"/>
        </w:rPr>
      </w:pPr>
      <w:r>
        <w:rPr>
          <w:rFonts w:hint="eastAsia" w:ascii="宋体" w:hAnsi="宋体" w:cs="宋体"/>
          <w:b/>
          <w:bCs/>
          <w:color w:val="auto"/>
          <w:sz w:val="24"/>
          <w:highlight w:val="none"/>
        </w:rPr>
        <w:t>2、本声明函将随中标结果同时公告，接受社会监督。</w:t>
      </w:r>
    </w:p>
    <w:p w14:paraId="1BD2F9D4">
      <w:pPr>
        <w:pageBreakBefore/>
        <w:spacing w:before="260" w:after="260" w:line="415" w:lineRule="auto"/>
        <w:outlineLvl w:val="1"/>
        <w:rPr>
          <w:rFonts w:ascii="宋体" w:hAnsi="宋体" w:cs="宋体"/>
          <w:bCs/>
          <w:color w:val="auto"/>
          <w:sz w:val="24"/>
          <w:highlight w:val="none"/>
        </w:rPr>
      </w:pPr>
      <w:bookmarkStart w:id="107" w:name="_Toc10169"/>
      <w:r>
        <w:rPr>
          <w:rFonts w:hint="eastAsia" w:ascii="宋体" w:hAnsi="宋体" w:cs="宋体"/>
          <w:bCs/>
          <w:color w:val="auto"/>
          <w:sz w:val="24"/>
          <w:highlight w:val="none"/>
        </w:rPr>
        <w:t>附件十八：</w:t>
      </w:r>
      <w:bookmarkEnd w:id="106"/>
      <w:r>
        <w:rPr>
          <w:rFonts w:hint="eastAsia" w:ascii="宋体" w:hAnsi="宋体" w:cs="宋体"/>
          <w:bCs/>
          <w:color w:val="auto"/>
          <w:sz w:val="24"/>
          <w:highlight w:val="none"/>
        </w:rPr>
        <w:t>东阳市采购项目验收方案</w:t>
      </w:r>
      <w:bookmarkEnd w:id="107"/>
    </w:p>
    <w:p w14:paraId="537682D2">
      <w:pPr>
        <w:snapToGrid w:val="0"/>
        <w:spacing w:line="360" w:lineRule="auto"/>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东阳市采购项目验收方案</w:t>
      </w:r>
    </w:p>
    <w:p w14:paraId="4376FC03">
      <w:pPr>
        <w:spacing w:before="120" w:beforeLines="50" w:after="120" w:afterLines="5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根据《政府采购法》及东阳市政府采购办东财预〔2009〕98号《关于加强政府采购管理工作的补充规定》等有关文件规定，为做好</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采购项目的验收管理工作，特制定本项目验收方案，具体如下。</w:t>
      </w:r>
    </w:p>
    <w:p w14:paraId="56D47405">
      <w:pPr>
        <w:spacing w:after="120" w:line="360" w:lineRule="auto"/>
        <w:ind w:firstLine="472" w:firstLineChars="196"/>
        <w:rPr>
          <w:rFonts w:ascii="宋体" w:hAnsi="宋体" w:cs="宋体"/>
          <w:b/>
          <w:color w:val="auto"/>
          <w:sz w:val="24"/>
          <w:highlight w:val="none"/>
        </w:rPr>
      </w:pPr>
      <w:r>
        <w:rPr>
          <w:rFonts w:hint="eastAsia" w:ascii="宋体" w:hAnsi="宋体" w:cs="宋体"/>
          <w:b/>
          <w:color w:val="auto"/>
          <w:sz w:val="24"/>
          <w:highlight w:val="none"/>
        </w:rPr>
        <w:t>一、验收项目说明</w:t>
      </w:r>
    </w:p>
    <w:p w14:paraId="70ED5DCD">
      <w:pPr>
        <w:spacing w:after="120" w:line="360" w:lineRule="auto"/>
        <w:ind w:firstLine="472" w:firstLineChars="196"/>
        <w:rPr>
          <w:rFonts w:ascii="宋体" w:hAnsi="宋体" w:cs="宋体"/>
          <w:b/>
          <w:color w:val="auto"/>
          <w:sz w:val="24"/>
          <w:highlight w:val="none"/>
        </w:rPr>
      </w:pPr>
      <w:r>
        <w:rPr>
          <w:rFonts w:hint="eastAsia" w:ascii="宋体" w:hAnsi="宋体" w:cs="宋体"/>
          <w:b/>
          <w:color w:val="auto"/>
          <w:sz w:val="24"/>
          <w:highlight w:val="none"/>
        </w:rPr>
        <w:t xml:space="preserve">1、招标编号：               </w:t>
      </w:r>
    </w:p>
    <w:p w14:paraId="1910E5F2">
      <w:pPr>
        <w:spacing w:after="120" w:line="360" w:lineRule="auto"/>
        <w:ind w:firstLine="472" w:firstLineChars="196"/>
        <w:rPr>
          <w:rFonts w:ascii="宋体" w:hAnsi="宋体" w:cs="宋体"/>
          <w:b/>
          <w:color w:val="auto"/>
          <w:sz w:val="24"/>
          <w:highlight w:val="none"/>
        </w:rPr>
      </w:pPr>
      <w:r>
        <w:rPr>
          <w:rFonts w:hint="eastAsia" w:ascii="宋体" w:hAnsi="宋体" w:cs="宋体"/>
          <w:b/>
          <w:color w:val="auto"/>
          <w:sz w:val="24"/>
          <w:highlight w:val="none"/>
        </w:rPr>
        <w:t>2、服务内容：</w:t>
      </w:r>
    </w:p>
    <w:p w14:paraId="3BC5821D">
      <w:pPr>
        <w:spacing w:after="120" w:line="360" w:lineRule="auto"/>
        <w:rPr>
          <w:rFonts w:ascii="宋体" w:hAnsi="宋体" w:cs="宋体"/>
          <w:b/>
          <w:color w:val="auto"/>
          <w:sz w:val="24"/>
          <w:highlight w:val="none"/>
        </w:rPr>
      </w:pPr>
    </w:p>
    <w:p w14:paraId="30BC8D04">
      <w:pPr>
        <w:spacing w:after="120" w:line="360" w:lineRule="auto"/>
        <w:ind w:firstLine="482" w:firstLineChars="200"/>
        <w:rPr>
          <w:rFonts w:ascii="宋体" w:hAnsi="宋体" w:cs="宋体"/>
          <w:b/>
          <w:color w:val="auto"/>
          <w:sz w:val="24"/>
          <w:highlight w:val="none"/>
        </w:rPr>
      </w:pPr>
      <w:r>
        <w:rPr>
          <w:rFonts w:hint="eastAsia" w:ascii="宋体" w:hAnsi="宋体" w:cs="宋体"/>
          <w:b/>
          <w:color w:val="auto"/>
          <w:sz w:val="24"/>
          <w:highlight w:val="none"/>
        </w:rPr>
        <w:t>二、验收小组人员</w:t>
      </w:r>
    </w:p>
    <w:p w14:paraId="7D2A36FA">
      <w:pPr>
        <w:spacing w:after="120" w:line="360" w:lineRule="auto"/>
        <w:ind w:firstLine="472" w:firstLineChars="196"/>
        <w:rPr>
          <w:rFonts w:ascii="宋体" w:hAnsi="宋体" w:cs="宋体"/>
          <w:b/>
          <w:color w:val="auto"/>
          <w:sz w:val="24"/>
          <w:highlight w:val="none"/>
        </w:rPr>
      </w:pPr>
      <w:r>
        <w:rPr>
          <w:rFonts w:hint="eastAsia" w:ascii="宋体" w:hAnsi="宋体" w:cs="宋体"/>
          <w:b/>
          <w:color w:val="auto"/>
          <w:sz w:val="24"/>
          <w:highlight w:val="none"/>
        </w:rPr>
        <w:t>1、本次验收由</w:t>
      </w:r>
      <w:r>
        <w:rPr>
          <w:rFonts w:hint="eastAsia" w:ascii="宋体" w:hAnsi="宋体" w:cs="宋体"/>
          <w:b/>
          <w:color w:val="auto"/>
          <w:sz w:val="24"/>
          <w:highlight w:val="none"/>
          <w:u w:val="single"/>
        </w:rPr>
        <w:t xml:space="preserve">            </w:t>
      </w:r>
      <w:r>
        <w:rPr>
          <w:rFonts w:hint="eastAsia" w:ascii="宋体" w:hAnsi="宋体" w:cs="宋体"/>
          <w:color w:val="auto"/>
          <w:sz w:val="24"/>
          <w:highlight w:val="none"/>
          <w:u w:val="single"/>
        </w:rPr>
        <w:t xml:space="preserve"> </w:t>
      </w:r>
      <w:r>
        <w:rPr>
          <w:rFonts w:hint="eastAsia" w:ascii="宋体" w:hAnsi="宋体" w:cs="宋体"/>
          <w:b/>
          <w:color w:val="auto"/>
          <w:sz w:val="24"/>
          <w:highlight w:val="none"/>
        </w:rPr>
        <w:t>组织。</w:t>
      </w:r>
    </w:p>
    <w:p w14:paraId="04F06DB8">
      <w:pPr>
        <w:spacing w:after="120" w:line="360" w:lineRule="auto"/>
        <w:ind w:firstLine="472" w:firstLineChars="196"/>
        <w:rPr>
          <w:rFonts w:ascii="宋体" w:hAnsi="宋体" w:cs="宋体"/>
          <w:b/>
          <w:color w:val="auto"/>
          <w:sz w:val="24"/>
          <w:highlight w:val="none"/>
          <w:u w:val="single"/>
        </w:rPr>
      </w:pPr>
      <w:r>
        <w:rPr>
          <w:rFonts w:hint="eastAsia" w:ascii="宋体" w:hAnsi="宋体" w:cs="宋体"/>
          <w:b/>
          <w:color w:val="auto"/>
          <w:sz w:val="24"/>
          <w:highlight w:val="none"/>
        </w:rPr>
        <w:t>2、验收小组成员名单：</w:t>
      </w:r>
      <w:r>
        <w:rPr>
          <w:rFonts w:hint="eastAsia" w:ascii="宋体" w:hAnsi="宋体" w:cs="宋体"/>
          <w:b/>
          <w:color w:val="auto"/>
          <w:sz w:val="24"/>
          <w:highlight w:val="none"/>
          <w:u w:val="single"/>
        </w:rPr>
        <w:t xml:space="preserve">                                                       </w:t>
      </w:r>
    </w:p>
    <w:p w14:paraId="5E8E918B">
      <w:pPr>
        <w:spacing w:after="120" w:line="360" w:lineRule="auto"/>
        <w:ind w:firstLine="472" w:firstLineChars="196"/>
        <w:rPr>
          <w:rFonts w:ascii="宋体" w:hAnsi="宋体" w:cs="宋体"/>
          <w:b/>
          <w:color w:val="auto"/>
          <w:sz w:val="24"/>
          <w:highlight w:val="none"/>
        </w:rPr>
      </w:pPr>
      <w:r>
        <w:rPr>
          <w:rFonts w:hint="eastAsia" w:ascii="宋体" w:hAnsi="宋体" w:cs="宋体"/>
          <w:b/>
          <w:color w:val="auto"/>
          <w:sz w:val="24"/>
          <w:highlight w:val="none"/>
        </w:rPr>
        <w:t>3、验收小组成员签名：</w:t>
      </w:r>
      <w:r>
        <w:rPr>
          <w:rFonts w:hint="eastAsia" w:ascii="宋体" w:hAnsi="宋体" w:cs="宋体"/>
          <w:b/>
          <w:color w:val="auto"/>
          <w:sz w:val="24"/>
          <w:highlight w:val="none"/>
          <w:u w:val="single"/>
        </w:rPr>
        <w:t xml:space="preserve">                                                    </w:t>
      </w:r>
      <w:r>
        <w:rPr>
          <w:rFonts w:hint="eastAsia" w:ascii="宋体" w:hAnsi="宋体" w:cs="宋体"/>
          <w:b/>
          <w:color w:val="auto"/>
          <w:sz w:val="24"/>
          <w:highlight w:val="none"/>
        </w:rPr>
        <w:t xml:space="preserve">                                                                        </w:t>
      </w:r>
    </w:p>
    <w:p w14:paraId="24A57A01">
      <w:pPr>
        <w:spacing w:after="120" w:line="360" w:lineRule="auto"/>
        <w:ind w:firstLine="472" w:firstLineChars="196"/>
        <w:rPr>
          <w:rFonts w:ascii="宋体" w:hAnsi="宋体" w:cs="宋体"/>
          <w:b/>
          <w:color w:val="auto"/>
          <w:sz w:val="24"/>
          <w:highlight w:val="none"/>
        </w:rPr>
      </w:pPr>
      <w:r>
        <w:rPr>
          <w:rFonts w:hint="eastAsia" w:ascii="宋体" w:hAnsi="宋体" w:cs="宋体"/>
          <w:b/>
          <w:color w:val="auto"/>
          <w:sz w:val="24"/>
          <w:highlight w:val="none"/>
        </w:rPr>
        <w:t>三、验收方法与内容</w:t>
      </w:r>
    </w:p>
    <w:p w14:paraId="063E60B2">
      <w:pPr>
        <w:spacing w:after="120" w:line="360" w:lineRule="auto"/>
        <w:rPr>
          <w:rFonts w:ascii="宋体" w:hAnsi="宋体" w:cs="宋体"/>
          <w:b/>
          <w:color w:val="auto"/>
          <w:sz w:val="24"/>
          <w:highlight w:val="none"/>
        </w:rPr>
      </w:pPr>
    </w:p>
    <w:p w14:paraId="7D861638">
      <w:pPr>
        <w:spacing w:after="120" w:line="360" w:lineRule="auto"/>
        <w:ind w:firstLine="482" w:firstLineChars="200"/>
        <w:rPr>
          <w:rFonts w:ascii="宋体" w:hAnsi="宋体" w:cs="宋体"/>
          <w:b/>
          <w:color w:val="auto"/>
          <w:sz w:val="24"/>
          <w:highlight w:val="none"/>
        </w:rPr>
      </w:pPr>
      <w:r>
        <w:rPr>
          <w:rFonts w:hint="eastAsia" w:ascii="宋体" w:hAnsi="宋体" w:cs="宋体"/>
          <w:b/>
          <w:color w:val="auto"/>
          <w:sz w:val="24"/>
          <w:highlight w:val="none"/>
        </w:rPr>
        <w:t>四、验收时间</w:t>
      </w:r>
    </w:p>
    <w:p w14:paraId="51C27828">
      <w:pPr>
        <w:spacing w:after="120" w:line="360" w:lineRule="auto"/>
        <w:rPr>
          <w:rFonts w:ascii="宋体" w:hAnsi="宋体" w:cs="宋体"/>
          <w:b/>
          <w:color w:val="auto"/>
          <w:sz w:val="24"/>
          <w:highlight w:val="none"/>
        </w:rPr>
      </w:pPr>
    </w:p>
    <w:p w14:paraId="60A300AB">
      <w:pPr>
        <w:spacing w:after="120" w:line="360" w:lineRule="auto"/>
        <w:ind w:firstLine="472" w:firstLineChars="196"/>
        <w:rPr>
          <w:rFonts w:ascii="宋体" w:hAnsi="宋体" w:cs="宋体"/>
          <w:b/>
          <w:color w:val="auto"/>
          <w:sz w:val="24"/>
          <w:highlight w:val="none"/>
        </w:rPr>
      </w:pPr>
      <w:r>
        <w:rPr>
          <w:rFonts w:hint="eastAsia" w:ascii="宋体" w:hAnsi="宋体" w:cs="宋体"/>
          <w:b/>
          <w:color w:val="auto"/>
          <w:sz w:val="24"/>
          <w:highlight w:val="none"/>
        </w:rPr>
        <w:t>五、验收地点</w:t>
      </w:r>
    </w:p>
    <w:p w14:paraId="5CC4653D">
      <w:pPr>
        <w:spacing w:after="120" w:line="360" w:lineRule="auto"/>
        <w:rPr>
          <w:rFonts w:ascii="宋体" w:hAnsi="宋体" w:cs="宋体"/>
          <w:b/>
          <w:color w:val="auto"/>
          <w:sz w:val="24"/>
          <w:highlight w:val="none"/>
        </w:rPr>
      </w:pPr>
    </w:p>
    <w:p w14:paraId="301E8932">
      <w:pPr>
        <w:spacing w:after="120" w:line="360" w:lineRule="auto"/>
        <w:ind w:firstLine="472" w:firstLineChars="196"/>
        <w:rPr>
          <w:rFonts w:ascii="宋体" w:hAnsi="宋体" w:cs="宋体"/>
          <w:b/>
          <w:color w:val="auto"/>
          <w:sz w:val="24"/>
          <w:highlight w:val="none"/>
        </w:rPr>
      </w:pPr>
      <w:r>
        <w:rPr>
          <w:rFonts w:hint="eastAsia" w:ascii="宋体" w:hAnsi="宋体" w:cs="宋体"/>
          <w:b/>
          <w:color w:val="auto"/>
          <w:sz w:val="24"/>
          <w:highlight w:val="none"/>
        </w:rPr>
        <w:t>六、验收程序</w:t>
      </w:r>
    </w:p>
    <w:p w14:paraId="63E671A5">
      <w:pPr>
        <w:spacing w:after="120" w:line="360" w:lineRule="auto"/>
        <w:ind w:left="479" w:leftChars="228" w:firstLine="470" w:firstLineChars="195"/>
        <w:rPr>
          <w:rFonts w:ascii="宋体" w:hAnsi="宋体" w:cs="宋体"/>
          <w:b/>
          <w:color w:val="auto"/>
          <w:sz w:val="24"/>
          <w:highlight w:val="none"/>
        </w:rPr>
      </w:pPr>
    </w:p>
    <w:p w14:paraId="6EF45220">
      <w:pPr>
        <w:spacing w:after="120" w:line="360" w:lineRule="auto"/>
        <w:ind w:left="479" w:leftChars="228" w:firstLine="470" w:firstLineChars="195"/>
        <w:rPr>
          <w:rFonts w:ascii="宋体" w:hAnsi="宋体" w:cs="宋体"/>
          <w:b/>
          <w:color w:val="auto"/>
          <w:sz w:val="24"/>
          <w:highlight w:val="none"/>
        </w:rPr>
      </w:pPr>
    </w:p>
    <w:p w14:paraId="1B98F1D3">
      <w:pPr>
        <w:spacing w:after="120" w:line="360" w:lineRule="auto"/>
        <w:ind w:right="-6"/>
        <w:rPr>
          <w:rFonts w:ascii="宋体" w:hAnsi="宋体" w:cs="宋体"/>
          <w:b/>
          <w:color w:val="auto"/>
          <w:sz w:val="24"/>
          <w:highlight w:val="none"/>
        </w:rPr>
      </w:pPr>
      <w:r>
        <w:rPr>
          <w:rFonts w:hint="eastAsia" w:ascii="宋体" w:hAnsi="宋体" w:cs="宋体"/>
          <w:b/>
          <w:color w:val="auto"/>
          <w:sz w:val="24"/>
          <w:highlight w:val="none"/>
        </w:rPr>
        <w:t xml:space="preserve">                                            采购单位（盖章）：</w:t>
      </w:r>
    </w:p>
    <w:p w14:paraId="072C1856">
      <w:pPr>
        <w:spacing w:after="120" w:line="360" w:lineRule="auto"/>
        <w:ind w:right="960" w:firstLine="470" w:firstLineChars="196"/>
        <w:jc w:val="right"/>
        <w:rPr>
          <w:rFonts w:ascii="宋体" w:hAnsi="宋体" w:cs="宋体"/>
          <w:color w:val="auto"/>
          <w:sz w:val="24"/>
          <w:highlight w:val="none"/>
        </w:rPr>
      </w:pPr>
      <w:r>
        <w:rPr>
          <w:rFonts w:hint="eastAsia" w:ascii="宋体" w:hAnsi="宋体" w:cs="宋体"/>
          <w:color w:val="auto"/>
          <w:sz w:val="24"/>
          <w:highlight w:val="none"/>
        </w:rPr>
        <w:t>年  月  日</w:t>
      </w:r>
    </w:p>
    <w:p w14:paraId="0A96739B">
      <w:pPr>
        <w:pageBreakBefore/>
        <w:spacing w:before="260" w:after="260" w:line="415" w:lineRule="auto"/>
        <w:outlineLvl w:val="1"/>
        <w:rPr>
          <w:rFonts w:ascii="宋体" w:hAnsi="宋体" w:cs="宋体"/>
          <w:bCs/>
          <w:color w:val="auto"/>
          <w:sz w:val="24"/>
          <w:highlight w:val="none"/>
        </w:rPr>
      </w:pPr>
      <w:bookmarkStart w:id="108" w:name="_Toc496599002"/>
      <w:bookmarkStart w:id="109" w:name="_Toc2454"/>
      <w:r>
        <w:rPr>
          <w:rFonts w:hint="eastAsia" w:ascii="宋体" w:hAnsi="宋体" w:cs="宋体"/>
          <w:bCs/>
          <w:color w:val="auto"/>
          <w:sz w:val="24"/>
          <w:highlight w:val="none"/>
        </w:rPr>
        <w:t>附件十九：东阳市农药废弃包装物回收抽样验收办法</w:t>
      </w:r>
    </w:p>
    <w:p w14:paraId="3C02367A">
      <w:pPr>
        <w:pStyle w:val="7"/>
        <w:rPr>
          <w:color w:val="auto"/>
          <w:highlight w:val="none"/>
        </w:rPr>
      </w:pPr>
      <w:r>
        <w:rPr>
          <w:rFonts w:hint="eastAsia"/>
          <w:color w:val="auto"/>
          <w:highlight w:val="none"/>
        </w:rPr>
        <w:drawing>
          <wp:inline distT="0" distB="0" distL="114300" distR="114300">
            <wp:extent cx="5923915" cy="8569325"/>
            <wp:effectExtent l="0" t="0" r="3175" b="7620"/>
            <wp:docPr id="1" name="图片 1" descr="16668552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666855244(1)"/>
                    <pic:cNvPicPr>
                      <a:picLocks noChangeAspect="1"/>
                    </pic:cNvPicPr>
                  </pic:nvPicPr>
                  <pic:blipFill>
                    <a:blip r:embed="rId19"/>
                    <a:stretch>
                      <a:fillRect/>
                    </a:stretch>
                  </pic:blipFill>
                  <pic:spPr>
                    <a:xfrm>
                      <a:off x="0" y="0"/>
                      <a:ext cx="5923915" cy="8569325"/>
                    </a:xfrm>
                    <a:prstGeom prst="rect">
                      <a:avLst/>
                    </a:prstGeom>
                  </pic:spPr>
                </pic:pic>
              </a:graphicData>
            </a:graphic>
          </wp:inline>
        </w:drawing>
      </w:r>
      <w:r>
        <w:rPr>
          <w:rFonts w:hint="eastAsia"/>
          <w:color w:val="auto"/>
          <w:highlight w:val="none"/>
        </w:rPr>
        <w:drawing>
          <wp:inline distT="0" distB="0" distL="114300" distR="114300">
            <wp:extent cx="5982335" cy="8813800"/>
            <wp:effectExtent l="0" t="0" r="2540" b="2540"/>
            <wp:docPr id="6" name="图片 6" descr="16668552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666855253(1)"/>
                    <pic:cNvPicPr>
                      <a:picLocks noChangeAspect="1"/>
                    </pic:cNvPicPr>
                  </pic:nvPicPr>
                  <pic:blipFill>
                    <a:blip r:embed="rId20"/>
                    <a:stretch>
                      <a:fillRect/>
                    </a:stretch>
                  </pic:blipFill>
                  <pic:spPr>
                    <a:xfrm>
                      <a:off x="0" y="0"/>
                      <a:ext cx="5982335" cy="8813800"/>
                    </a:xfrm>
                    <a:prstGeom prst="rect">
                      <a:avLst/>
                    </a:prstGeom>
                  </pic:spPr>
                </pic:pic>
              </a:graphicData>
            </a:graphic>
          </wp:inline>
        </w:drawing>
      </w:r>
      <w:r>
        <w:rPr>
          <w:rFonts w:hint="eastAsia"/>
          <w:color w:val="auto"/>
          <w:highlight w:val="none"/>
        </w:rPr>
        <w:drawing>
          <wp:inline distT="0" distB="0" distL="114300" distR="114300">
            <wp:extent cx="6314440" cy="8481060"/>
            <wp:effectExtent l="0" t="0" r="635" b="5080"/>
            <wp:docPr id="7" name="图片 7" descr="16668552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666855269(1)"/>
                    <pic:cNvPicPr>
                      <a:picLocks noChangeAspect="1"/>
                    </pic:cNvPicPr>
                  </pic:nvPicPr>
                  <pic:blipFill>
                    <a:blip r:embed="rId21"/>
                    <a:stretch>
                      <a:fillRect/>
                    </a:stretch>
                  </pic:blipFill>
                  <pic:spPr>
                    <a:xfrm>
                      <a:off x="0" y="0"/>
                      <a:ext cx="6314440" cy="8481060"/>
                    </a:xfrm>
                    <a:prstGeom prst="rect">
                      <a:avLst/>
                    </a:prstGeom>
                  </pic:spPr>
                </pic:pic>
              </a:graphicData>
            </a:graphic>
          </wp:inline>
        </w:drawing>
      </w:r>
    </w:p>
    <w:p w14:paraId="761369DF">
      <w:pPr>
        <w:pageBreakBefore/>
        <w:spacing w:before="260" w:after="260" w:line="415" w:lineRule="auto"/>
        <w:outlineLvl w:val="1"/>
        <w:rPr>
          <w:rFonts w:ascii="宋体" w:hAnsi="宋体" w:cs="宋体"/>
          <w:bCs/>
          <w:color w:val="auto"/>
          <w:sz w:val="24"/>
          <w:highlight w:val="none"/>
        </w:rPr>
      </w:pPr>
      <w:r>
        <w:rPr>
          <w:rFonts w:hint="eastAsia" w:ascii="宋体" w:hAnsi="宋体" w:cs="宋体"/>
          <w:bCs/>
          <w:color w:val="auto"/>
          <w:sz w:val="24"/>
          <w:highlight w:val="none"/>
        </w:rPr>
        <w:t>附件二十：</w:t>
      </w:r>
      <w:bookmarkEnd w:id="108"/>
      <w:r>
        <w:rPr>
          <w:rFonts w:hint="eastAsia" w:ascii="宋体" w:hAnsi="宋体" w:cs="宋体"/>
          <w:bCs/>
          <w:color w:val="auto"/>
          <w:sz w:val="24"/>
          <w:highlight w:val="none"/>
        </w:rPr>
        <w:t>东阳市政府采购代理机构社会评价表</w:t>
      </w:r>
      <w:bookmarkEnd w:id="109"/>
    </w:p>
    <w:p w14:paraId="5AE658E9">
      <w:pPr>
        <w:jc w:val="center"/>
        <w:rPr>
          <w:rFonts w:ascii="宋体" w:hAnsi="宋体" w:cs="宋体"/>
          <w:b/>
          <w:bCs/>
          <w:color w:val="auto"/>
          <w:sz w:val="44"/>
          <w:szCs w:val="44"/>
          <w:highlight w:val="none"/>
        </w:rPr>
      </w:pPr>
      <w:r>
        <w:rPr>
          <w:rFonts w:hint="eastAsia" w:ascii="宋体" w:hAnsi="宋体" w:cs="宋体"/>
          <w:b/>
          <w:bCs/>
          <w:color w:val="auto"/>
          <w:sz w:val="44"/>
          <w:szCs w:val="44"/>
          <w:highlight w:val="none"/>
        </w:rPr>
        <w:t>东阳市政府采购代理机构社会评价表</w:t>
      </w:r>
    </w:p>
    <w:p w14:paraId="0996C32D">
      <w:pPr>
        <w:rPr>
          <w:rFonts w:ascii="宋体" w:hAnsi="宋体" w:cs="宋体"/>
          <w:color w:val="auto"/>
          <w:sz w:val="28"/>
          <w:szCs w:val="28"/>
          <w:highlight w:val="none"/>
        </w:rPr>
      </w:pPr>
      <w:r>
        <w:rPr>
          <w:rFonts w:hint="eastAsia" w:ascii="宋体" w:hAnsi="宋体" w:cs="宋体"/>
          <w:color w:val="auto"/>
          <w:sz w:val="28"/>
          <w:szCs w:val="28"/>
          <w:highlight w:val="none"/>
        </w:rPr>
        <w:t xml:space="preserve">代理机构名称： </w:t>
      </w:r>
    </w:p>
    <w:tbl>
      <w:tblPr>
        <w:tblStyle w:val="2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2"/>
        <w:gridCol w:w="1469"/>
        <w:gridCol w:w="696"/>
        <w:gridCol w:w="1067"/>
        <w:gridCol w:w="1031"/>
        <w:gridCol w:w="792"/>
        <w:gridCol w:w="2883"/>
      </w:tblGrid>
      <w:tr w14:paraId="65615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7" w:hRule="atLeast"/>
        </w:trPr>
        <w:tc>
          <w:tcPr>
            <w:tcW w:w="1242" w:type="dxa"/>
            <w:tcBorders>
              <w:top w:val="single" w:color="auto" w:sz="4" w:space="0"/>
              <w:left w:val="single" w:color="auto" w:sz="4" w:space="0"/>
              <w:bottom w:val="single" w:color="auto" w:sz="4" w:space="0"/>
              <w:right w:val="single" w:color="auto" w:sz="4" w:space="0"/>
            </w:tcBorders>
            <w:vAlign w:val="center"/>
          </w:tcPr>
          <w:p w14:paraId="314B9ACF">
            <w:pPr>
              <w:jc w:val="center"/>
              <w:rPr>
                <w:rFonts w:ascii="宋体" w:hAnsi="宋体" w:cs="宋体"/>
                <w:color w:val="auto"/>
                <w:sz w:val="24"/>
                <w:highlight w:val="none"/>
              </w:rPr>
            </w:pPr>
            <w:r>
              <w:rPr>
                <w:rFonts w:hint="eastAsia" w:ascii="宋体" w:hAnsi="宋体" w:cs="宋体"/>
                <w:color w:val="auto"/>
                <w:sz w:val="24"/>
                <w:highlight w:val="none"/>
              </w:rPr>
              <w:t>填表人类别</w:t>
            </w:r>
          </w:p>
        </w:tc>
        <w:tc>
          <w:tcPr>
            <w:tcW w:w="7938" w:type="dxa"/>
            <w:gridSpan w:val="6"/>
            <w:tcBorders>
              <w:top w:val="single" w:color="auto" w:sz="4" w:space="0"/>
              <w:left w:val="nil"/>
              <w:bottom w:val="single" w:color="auto" w:sz="4" w:space="0"/>
              <w:right w:val="single" w:color="auto" w:sz="4" w:space="0"/>
            </w:tcBorders>
            <w:vAlign w:val="center"/>
          </w:tcPr>
          <w:p w14:paraId="4FF6A700">
            <w:pPr>
              <w:ind w:firstLine="480" w:firstLineChars="200"/>
              <w:jc w:val="center"/>
              <w:rPr>
                <w:rFonts w:ascii="宋体" w:hAnsi="宋体" w:cs="宋体"/>
                <w:color w:val="auto"/>
                <w:sz w:val="24"/>
                <w:highlight w:val="none"/>
              </w:rPr>
            </w:pPr>
            <w:r>
              <w:rPr>
                <w:rFonts w:hint="eastAsia" w:ascii="宋体" w:hAnsi="宋体" w:cs="宋体"/>
                <w:color w:val="auto"/>
                <w:sz w:val="24"/>
                <w:highlight w:val="none"/>
              </w:rPr>
              <w:t xml:space="preserve">□采购单位      □供应商      □专家     </w:t>
            </w:r>
          </w:p>
        </w:tc>
      </w:tr>
      <w:tr w14:paraId="2E400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6" w:hRule="atLeast"/>
        </w:trPr>
        <w:tc>
          <w:tcPr>
            <w:tcW w:w="1242" w:type="dxa"/>
            <w:tcBorders>
              <w:top w:val="single" w:color="auto" w:sz="4" w:space="0"/>
              <w:left w:val="single" w:color="auto" w:sz="4" w:space="0"/>
              <w:bottom w:val="single" w:color="auto" w:sz="4" w:space="0"/>
              <w:right w:val="single" w:color="auto" w:sz="4" w:space="0"/>
            </w:tcBorders>
            <w:vAlign w:val="center"/>
          </w:tcPr>
          <w:p w14:paraId="522C3D61">
            <w:pPr>
              <w:jc w:val="center"/>
              <w:rPr>
                <w:rFonts w:ascii="宋体" w:hAnsi="宋体" w:cs="宋体"/>
                <w:color w:val="auto"/>
                <w:sz w:val="24"/>
                <w:highlight w:val="none"/>
              </w:rPr>
            </w:pPr>
            <w:r>
              <w:rPr>
                <w:rFonts w:hint="eastAsia" w:ascii="宋体" w:hAnsi="宋体" w:cs="宋体"/>
                <w:color w:val="auto"/>
                <w:sz w:val="24"/>
                <w:highlight w:val="none"/>
              </w:rPr>
              <w:t>填表人名称或姓名</w:t>
            </w:r>
          </w:p>
        </w:tc>
        <w:tc>
          <w:tcPr>
            <w:tcW w:w="4266" w:type="dxa"/>
            <w:gridSpan w:val="4"/>
            <w:tcBorders>
              <w:top w:val="single" w:color="auto" w:sz="4" w:space="0"/>
              <w:left w:val="nil"/>
              <w:bottom w:val="single" w:color="auto" w:sz="4" w:space="0"/>
              <w:right w:val="single" w:color="auto" w:sz="4" w:space="0"/>
            </w:tcBorders>
            <w:vAlign w:val="center"/>
          </w:tcPr>
          <w:p w14:paraId="0F91F0D8">
            <w:pPr>
              <w:jc w:val="center"/>
              <w:rPr>
                <w:rFonts w:ascii="宋体" w:hAnsi="宋体" w:cs="宋体"/>
                <w:color w:val="auto"/>
                <w:sz w:val="24"/>
                <w:highlight w:val="none"/>
              </w:rPr>
            </w:pPr>
          </w:p>
        </w:tc>
        <w:tc>
          <w:tcPr>
            <w:tcW w:w="792" w:type="dxa"/>
            <w:tcBorders>
              <w:top w:val="single" w:color="auto" w:sz="4" w:space="0"/>
              <w:left w:val="nil"/>
              <w:bottom w:val="single" w:color="auto" w:sz="4" w:space="0"/>
              <w:right w:val="single" w:color="auto" w:sz="4" w:space="0"/>
            </w:tcBorders>
            <w:vAlign w:val="center"/>
          </w:tcPr>
          <w:p w14:paraId="66962235">
            <w:pPr>
              <w:jc w:val="center"/>
              <w:rPr>
                <w:rFonts w:ascii="宋体" w:hAnsi="宋体" w:cs="宋体"/>
                <w:color w:val="auto"/>
                <w:sz w:val="24"/>
                <w:highlight w:val="none"/>
              </w:rPr>
            </w:pPr>
            <w:r>
              <w:rPr>
                <w:rFonts w:hint="eastAsia" w:ascii="宋体" w:hAnsi="宋体" w:cs="宋体"/>
                <w:color w:val="auto"/>
                <w:sz w:val="24"/>
                <w:highlight w:val="none"/>
              </w:rPr>
              <w:t>地址</w:t>
            </w:r>
          </w:p>
        </w:tc>
        <w:tc>
          <w:tcPr>
            <w:tcW w:w="2880" w:type="dxa"/>
            <w:tcBorders>
              <w:top w:val="single" w:color="auto" w:sz="4" w:space="0"/>
              <w:left w:val="single" w:color="auto" w:sz="4" w:space="0"/>
              <w:bottom w:val="single" w:color="auto" w:sz="4" w:space="0"/>
              <w:right w:val="single" w:color="auto" w:sz="4" w:space="0"/>
            </w:tcBorders>
            <w:vAlign w:val="center"/>
          </w:tcPr>
          <w:p w14:paraId="13130412">
            <w:pPr>
              <w:jc w:val="center"/>
              <w:rPr>
                <w:rFonts w:ascii="宋体" w:hAnsi="宋体" w:cs="宋体"/>
                <w:color w:val="auto"/>
                <w:sz w:val="24"/>
                <w:highlight w:val="none"/>
              </w:rPr>
            </w:pPr>
          </w:p>
        </w:tc>
      </w:tr>
      <w:tr w14:paraId="33DAA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1242" w:type="dxa"/>
            <w:tcBorders>
              <w:top w:val="single" w:color="auto" w:sz="4" w:space="0"/>
              <w:left w:val="single" w:color="auto" w:sz="4" w:space="0"/>
              <w:bottom w:val="single" w:color="auto" w:sz="4" w:space="0"/>
              <w:right w:val="single" w:color="auto" w:sz="4" w:space="0"/>
            </w:tcBorders>
            <w:vAlign w:val="center"/>
          </w:tcPr>
          <w:p w14:paraId="0128178C">
            <w:pPr>
              <w:jc w:val="center"/>
              <w:rPr>
                <w:rFonts w:ascii="宋体" w:hAnsi="宋体" w:cs="宋体"/>
                <w:color w:val="auto"/>
                <w:sz w:val="24"/>
                <w:highlight w:val="none"/>
              </w:rPr>
            </w:pPr>
            <w:r>
              <w:rPr>
                <w:rFonts w:hint="eastAsia" w:ascii="宋体" w:hAnsi="宋体" w:cs="宋体"/>
                <w:color w:val="auto"/>
                <w:sz w:val="24"/>
                <w:highlight w:val="none"/>
              </w:rPr>
              <w:t>联系人</w:t>
            </w:r>
          </w:p>
        </w:tc>
        <w:tc>
          <w:tcPr>
            <w:tcW w:w="1470" w:type="dxa"/>
            <w:tcBorders>
              <w:top w:val="single" w:color="auto" w:sz="4" w:space="0"/>
              <w:left w:val="nil"/>
              <w:bottom w:val="single" w:color="auto" w:sz="4" w:space="0"/>
              <w:right w:val="single" w:color="auto" w:sz="4" w:space="0"/>
            </w:tcBorders>
            <w:vAlign w:val="center"/>
          </w:tcPr>
          <w:p w14:paraId="0A47EE8B">
            <w:pPr>
              <w:jc w:val="center"/>
              <w:rPr>
                <w:rFonts w:ascii="宋体" w:hAnsi="宋体" w:cs="宋体"/>
                <w:color w:val="auto"/>
                <w:sz w:val="24"/>
                <w:highlight w:val="none"/>
              </w:rPr>
            </w:pPr>
          </w:p>
        </w:tc>
        <w:tc>
          <w:tcPr>
            <w:tcW w:w="696" w:type="dxa"/>
            <w:tcBorders>
              <w:top w:val="single" w:color="auto" w:sz="4" w:space="0"/>
              <w:left w:val="nil"/>
              <w:bottom w:val="single" w:color="auto" w:sz="4" w:space="0"/>
              <w:right w:val="single" w:color="auto" w:sz="4" w:space="0"/>
            </w:tcBorders>
            <w:vAlign w:val="center"/>
          </w:tcPr>
          <w:p w14:paraId="1603CC5D">
            <w:pPr>
              <w:jc w:val="center"/>
              <w:rPr>
                <w:rFonts w:ascii="宋体" w:hAnsi="宋体" w:cs="宋体"/>
                <w:color w:val="auto"/>
                <w:sz w:val="24"/>
                <w:highlight w:val="none"/>
              </w:rPr>
            </w:pPr>
            <w:r>
              <w:rPr>
                <w:rFonts w:hint="eastAsia" w:ascii="宋体" w:hAnsi="宋体" w:cs="宋体"/>
                <w:color w:val="auto"/>
                <w:sz w:val="24"/>
                <w:highlight w:val="none"/>
              </w:rPr>
              <w:t>电话</w:t>
            </w:r>
          </w:p>
        </w:tc>
        <w:tc>
          <w:tcPr>
            <w:tcW w:w="2100" w:type="dxa"/>
            <w:gridSpan w:val="2"/>
            <w:tcBorders>
              <w:top w:val="single" w:color="auto" w:sz="4" w:space="0"/>
              <w:left w:val="nil"/>
              <w:bottom w:val="single" w:color="auto" w:sz="4" w:space="0"/>
              <w:right w:val="single" w:color="auto" w:sz="4" w:space="0"/>
            </w:tcBorders>
            <w:vAlign w:val="center"/>
          </w:tcPr>
          <w:p w14:paraId="0AA4D5E6">
            <w:pPr>
              <w:jc w:val="center"/>
              <w:rPr>
                <w:rFonts w:ascii="宋体" w:hAnsi="宋体" w:cs="宋体"/>
                <w:color w:val="auto"/>
                <w:sz w:val="24"/>
                <w:highlight w:val="none"/>
              </w:rPr>
            </w:pPr>
          </w:p>
        </w:tc>
        <w:tc>
          <w:tcPr>
            <w:tcW w:w="787" w:type="dxa"/>
            <w:tcBorders>
              <w:top w:val="single" w:color="auto" w:sz="4" w:space="0"/>
              <w:left w:val="nil"/>
              <w:bottom w:val="single" w:color="auto" w:sz="4" w:space="0"/>
              <w:right w:val="single" w:color="auto" w:sz="4" w:space="0"/>
            </w:tcBorders>
            <w:vAlign w:val="center"/>
          </w:tcPr>
          <w:p w14:paraId="0652C2E8">
            <w:pPr>
              <w:jc w:val="center"/>
              <w:rPr>
                <w:rFonts w:ascii="宋体" w:hAnsi="宋体" w:cs="宋体"/>
                <w:color w:val="auto"/>
                <w:sz w:val="24"/>
                <w:highlight w:val="none"/>
              </w:rPr>
            </w:pPr>
            <w:r>
              <w:rPr>
                <w:rFonts w:hint="eastAsia" w:ascii="宋体" w:hAnsi="宋体" w:cs="宋体"/>
                <w:color w:val="auto"/>
                <w:sz w:val="24"/>
                <w:highlight w:val="none"/>
              </w:rPr>
              <w:t>传真</w:t>
            </w:r>
          </w:p>
        </w:tc>
        <w:tc>
          <w:tcPr>
            <w:tcW w:w="2885" w:type="dxa"/>
            <w:tcBorders>
              <w:top w:val="single" w:color="auto" w:sz="4" w:space="0"/>
              <w:left w:val="single" w:color="auto" w:sz="4" w:space="0"/>
              <w:bottom w:val="single" w:color="auto" w:sz="4" w:space="0"/>
              <w:right w:val="single" w:color="auto" w:sz="4" w:space="0"/>
            </w:tcBorders>
            <w:vAlign w:val="center"/>
          </w:tcPr>
          <w:p w14:paraId="586B8A7D">
            <w:pPr>
              <w:jc w:val="center"/>
              <w:rPr>
                <w:rFonts w:ascii="宋体" w:hAnsi="宋体" w:cs="宋体"/>
                <w:color w:val="auto"/>
                <w:sz w:val="24"/>
                <w:highlight w:val="none"/>
              </w:rPr>
            </w:pPr>
          </w:p>
        </w:tc>
      </w:tr>
      <w:tr w14:paraId="31F88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42" w:type="dxa"/>
            <w:vMerge w:val="restart"/>
            <w:tcBorders>
              <w:top w:val="nil"/>
              <w:left w:val="single" w:color="auto" w:sz="4" w:space="0"/>
              <w:bottom w:val="single" w:color="auto" w:sz="4" w:space="0"/>
              <w:right w:val="single" w:color="auto" w:sz="4" w:space="0"/>
            </w:tcBorders>
            <w:vAlign w:val="center"/>
          </w:tcPr>
          <w:p w14:paraId="3F788E9C">
            <w:pPr>
              <w:jc w:val="center"/>
              <w:rPr>
                <w:rFonts w:ascii="宋体" w:hAnsi="宋体" w:cs="宋体"/>
                <w:color w:val="auto"/>
                <w:sz w:val="24"/>
                <w:highlight w:val="none"/>
              </w:rPr>
            </w:pPr>
            <w:r>
              <w:rPr>
                <w:rFonts w:hint="eastAsia" w:ascii="宋体" w:hAnsi="宋体" w:cs="宋体"/>
                <w:color w:val="auto"/>
                <w:sz w:val="24"/>
                <w:highlight w:val="none"/>
              </w:rPr>
              <w:t>对代理机构的评价</w:t>
            </w:r>
          </w:p>
        </w:tc>
        <w:tc>
          <w:tcPr>
            <w:tcW w:w="3234" w:type="dxa"/>
            <w:gridSpan w:val="3"/>
            <w:tcBorders>
              <w:top w:val="single" w:color="auto" w:sz="4" w:space="0"/>
              <w:left w:val="nil"/>
              <w:bottom w:val="single" w:color="auto" w:sz="4" w:space="0"/>
              <w:right w:val="single" w:color="auto" w:sz="4" w:space="0"/>
            </w:tcBorders>
            <w:vAlign w:val="center"/>
          </w:tcPr>
          <w:p w14:paraId="75C8F3C2">
            <w:pPr>
              <w:spacing w:line="500" w:lineRule="exact"/>
              <w:jc w:val="center"/>
              <w:rPr>
                <w:rFonts w:ascii="宋体" w:hAnsi="宋体" w:cs="宋体"/>
                <w:color w:val="auto"/>
                <w:sz w:val="24"/>
                <w:highlight w:val="none"/>
              </w:rPr>
            </w:pPr>
            <w:r>
              <w:rPr>
                <w:rFonts w:hint="eastAsia" w:ascii="宋体" w:hAnsi="宋体" w:cs="宋体"/>
                <w:color w:val="auto"/>
                <w:sz w:val="24"/>
                <w:highlight w:val="none"/>
              </w:rPr>
              <w:t>项目</w:t>
            </w:r>
          </w:p>
        </w:tc>
        <w:tc>
          <w:tcPr>
            <w:tcW w:w="4704" w:type="dxa"/>
            <w:gridSpan w:val="3"/>
            <w:tcBorders>
              <w:top w:val="single" w:color="auto" w:sz="4" w:space="0"/>
              <w:left w:val="nil"/>
              <w:bottom w:val="single" w:color="auto" w:sz="4" w:space="0"/>
              <w:right w:val="single" w:color="auto" w:sz="4" w:space="0"/>
            </w:tcBorders>
            <w:vAlign w:val="center"/>
          </w:tcPr>
          <w:p w14:paraId="32B6C1D2">
            <w:pPr>
              <w:spacing w:line="500" w:lineRule="exact"/>
              <w:jc w:val="center"/>
              <w:rPr>
                <w:rFonts w:ascii="宋体" w:hAnsi="宋体" w:cs="宋体"/>
                <w:color w:val="auto"/>
                <w:sz w:val="24"/>
                <w:highlight w:val="none"/>
              </w:rPr>
            </w:pPr>
            <w:r>
              <w:rPr>
                <w:rFonts w:hint="eastAsia" w:ascii="宋体" w:hAnsi="宋体" w:cs="宋体"/>
                <w:color w:val="auto"/>
                <w:sz w:val="24"/>
                <w:highlight w:val="none"/>
              </w:rPr>
              <w:t>评价（请在分值范围内进行打分）</w:t>
            </w:r>
          </w:p>
        </w:tc>
      </w:tr>
      <w:tr w14:paraId="4A82F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42" w:type="dxa"/>
            <w:vMerge w:val="continue"/>
            <w:tcBorders>
              <w:top w:val="nil"/>
              <w:left w:val="single" w:color="auto" w:sz="4" w:space="0"/>
              <w:bottom w:val="single" w:color="auto" w:sz="4" w:space="0"/>
              <w:right w:val="single" w:color="auto" w:sz="4" w:space="0"/>
            </w:tcBorders>
            <w:vAlign w:val="center"/>
          </w:tcPr>
          <w:p w14:paraId="066F69A2">
            <w:pPr>
              <w:widowControl/>
              <w:jc w:val="left"/>
              <w:rPr>
                <w:rFonts w:ascii="宋体" w:hAnsi="宋体" w:cs="宋体"/>
                <w:color w:val="auto"/>
                <w:sz w:val="24"/>
                <w:highlight w:val="none"/>
              </w:rPr>
            </w:pPr>
          </w:p>
        </w:tc>
        <w:tc>
          <w:tcPr>
            <w:tcW w:w="3234" w:type="dxa"/>
            <w:gridSpan w:val="3"/>
            <w:tcBorders>
              <w:top w:val="single" w:color="auto" w:sz="4" w:space="0"/>
              <w:left w:val="nil"/>
              <w:bottom w:val="single" w:color="auto" w:sz="4" w:space="0"/>
              <w:right w:val="single" w:color="auto" w:sz="4" w:space="0"/>
            </w:tcBorders>
            <w:vAlign w:val="center"/>
          </w:tcPr>
          <w:p w14:paraId="0340B955">
            <w:pPr>
              <w:rPr>
                <w:rFonts w:ascii="宋体" w:hAnsi="宋体" w:cs="宋体"/>
                <w:color w:val="auto"/>
                <w:kern w:val="0"/>
                <w:sz w:val="24"/>
                <w:highlight w:val="none"/>
              </w:rPr>
            </w:pPr>
            <w:r>
              <w:rPr>
                <w:rFonts w:hint="eastAsia" w:ascii="宋体" w:hAnsi="宋体" w:cs="宋体"/>
                <w:color w:val="auto"/>
                <w:sz w:val="24"/>
                <w:highlight w:val="none"/>
              </w:rPr>
              <w:t>是否严格执行政府采购纪律、法规和规章制度等（2分）。</w:t>
            </w:r>
          </w:p>
        </w:tc>
        <w:tc>
          <w:tcPr>
            <w:tcW w:w="4704" w:type="dxa"/>
            <w:gridSpan w:val="3"/>
            <w:tcBorders>
              <w:top w:val="single" w:color="auto" w:sz="4" w:space="0"/>
              <w:left w:val="nil"/>
              <w:bottom w:val="single" w:color="auto" w:sz="4" w:space="0"/>
              <w:right w:val="single" w:color="auto" w:sz="4" w:space="0"/>
            </w:tcBorders>
            <w:vAlign w:val="center"/>
          </w:tcPr>
          <w:p w14:paraId="2394389E">
            <w:pPr>
              <w:spacing w:line="500" w:lineRule="exact"/>
              <w:jc w:val="center"/>
              <w:rPr>
                <w:rFonts w:ascii="宋体" w:hAnsi="宋体" w:cs="宋体"/>
                <w:color w:val="auto"/>
                <w:sz w:val="24"/>
                <w:highlight w:val="none"/>
              </w:rPr>
            </w:pPr>
          </w:p>
        </w:tc>
      </w:tr>
      <w:tr w14:paraId="0FFFC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42" w:type="dxa"/>
            <w:vMerge w:val="continue"/>
            <w:tcBorders>
              <w:top w:val="nil"/>
              <w:left w:val="single" w:color="auto" w:sz="4" w:space="0"/>
              <w:bottom w:val="single" w:color="auto" w:sz="4" w:space="0"/>
              <w:right w:val="single" w:color="auto" w:sz="4" w:space="0"/>
            </w:tcBorders>
            <w:vAlign w:val="center"/>
          </w:tcPr>
          <w:p w14:paraId="0F016619">
            <w:pPr>
              <w:widowControl/>
              <w:jc w:val="left"/>
              <w:rPr>
                <w:rFonts w:ascii="宋体" w:hAnsi="宋体" w:cs="宋体"/>
                <w:color w:val="auto"/>
                <w:sz w:val="24"/>
                <w:highlight w:val="none"/>
              </w:rPr>
            </w:pPr>
          </w:p>
        </w:tc>
        <w:tc>
          <w:tcPr>
            <w:tcW w:w="3234" w:type="dxa"/>
            <w:gridSpan w:val="3"/>
            <w:tcBorders>
              <w:top w:val="single" w:color="auto" w:sz="4" w:space="0"/>
              <w:left w:val="nil"/>
              <w:bottom w:val="single" w:color="auto" w:sz="4" w:space="0"/>
              <w:right w:val="single" w:color="auto" w:sz="4" w:space="0"/>
            </w:tcBorders>
            <w:vAlign w:val="center"/>
          </w:tcPr>
          <w:p w14:paraId="421871B4">
            <w:pPr>
              <w:rPr>
                <w:rFonts w:ascii="宋体" w:hAnsi="宋体" w:cs="宋体"/>
                <w:color w:val="auto"/>
                <w:kern w:val="0"/>
                <w:sz w:val="24"/>
                <w:highlight w:val="none"/>
              </w:rPr>
            </w:pPr>
            <w:r>
              <w:rPr>
                <w:rFonts w:hint="eastAsia" w:ascii="宋体" w:hAnsi="宋体" w:cs="宋体"/>
                <w:color w:val="auto"/>
                <w:sz w:val="24"/>
                <w:highlight w:val="none"/>
              </w:rPr>
              <w:t>操作程序是否规范，采购行为、过程、结果是否公开、公平、公正，采购组织管理是否规范严谨（2分）</w:t>
            </w:r>
            <w:r>
              <w:rPr>
                <w:rFonts w:hint="eastAsia" w:ascii="宋体" w:hAnsi="宋体" w:cs="宋体"/>
                <w:color w:val="auto"/>
                <w:kern w:val="0"/>
                <w:sz w:val="24"/>
                <w:highlight w:val="none"/>
              </w:rPr>
              <w:t>。</w:t>
            </w:r>
          </w:p>
        </w:tc>
        <w:tc>
          <w:tcPr>
            <w:tcW w:w="4704" w:type="dxa"/>
            <w:gridSpan w:val="3"/>
            <w:tcBorders>
              <w:top w:val="single" w:color="auto" w:sz="4" w:space="0"/>
              <w:left w:val="nil"/>
              <w:bottom w:val="single" w:color="auto" w:sz="4" w:space="0"/>
              <w:right w:val="single" w:color="auto" w:sz="4" w:space="0"/>
            </w:tcBorders>
            <w:vAlign w:val="center"/>
          </w:tcPr>
          <w:p w14:paraId="2247C59B">
            <w:pPr>
              <w:spacing w:line="500" w:lineRule="exact"/>
              <w:jc w:val="center"/>
              <w:rPr>
                <w:rFonts w:ascii="宋体" w:hAnsi="宋体" w:cs="宋体"/>
                <w:color w:val="auto"/>
                <w:sz w:val="24"/>
                <w:highlight w:val="none"/>
              </w:rPr>
            </w:pPr>
          </w:p>
        </w:tc>
      </w:tr>
      <w:tr w14:paraId="23C17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42" w:type="dxa"/>
            <w:vMerge w:val="continue"/>
            <w:tcBorders>
              <w:top w:val="nil"/>
              <w:left w:val="single" w:color="auto" w:sz="4" w:space="0"/>
              <w:bottom w:val="single" w:color="auto" w:sz="4" w:space="0"/>
              <w:right w:val="single" w:color="auto" w:sz="4" w:space="0"/>
            </w:tcBorders>
            <w:vAlign w:val="center"/>
          </w:tcPr>
          <w:p w14:paraId="30A95BD2">
            <w:pPr>
              <w:widowControl/>
              <w:jc w:val="left"/>
              <w:rPr>
                <w:rFonts w:ascii="宋体" w:hAnsi="宋体" w:cs="宋体"/>
                <w:color w:val="auto"/>
                <w:sz w:val="24"/>
                <w:highlight w:val="none"/>
              </w:rPr>
            </w:pPr>
          </w:p>
        </w:tc>
        <w:tc>
          <w:tcPr>
            <w:tcW w:w="3234" w:type="dxa"/>
            <w:gridSpan w:val="3"/>
            <w:tcBorders>
              <w:top w:val="single" w:color="auto" w:sz="4" w:space="0"/>
              <w:left w:val="nil"/>
              <w:bottom w:val="single" w:color="auto" w:sz="4" w:space="0"/>
              <w:right w:val="single" w:color="auto" w:sz="4" w:space="0"/>
            </w:tcBorders>
            <w:vAlign w:val="center"/>
          </w:tcPr>
          <w:p w14:paraId="18570C91">
            <w:pPr>
              <w:rPr>
                <w:rFonts w:ascii="宋体" w:hAnsi="宋体" w:cs="宋体"/>
                <w:color w:val="auto"/>
                <w:kern w:val="0"/>
                <w:sz w:val="24"/>
                <w:highlight w:val="none"/>
              </w:rPr>
            </w:pPr>
            <w:r>
              <w:rPr>
                <w:rFonts w:hint="eastAsia" w:ascii="宋体" w:hAnsi="宋体" w:cs="宋体"/>
                <w:color w:val="auto"/>
                <w:sz w:val="24"/>
                <w:highlight w:val="none"/>
              </w:rPr>
              <w:t>是否及时组织采购，是否有承诺办事时间并能限时办结（2分）</w:t>
            </w:r>
            <w:r>
              <w:rPr>
                <w:rFonts w:hint="eastAsia" w:ascii="宋体" w:hAnsi="宋体" w:cs="宋体"/>
                <w:color w:val="auto"/>
                <w:kern w:val="0"/>
                <w:sz w:val="24"/>
                <w:highlight w:val="none"/>
              </w:rPr>
              <w:t>。</w:t>
            </w:r>
          </w:p>
        </w:tc>
        <w:tc>
          <w:tcPr>
            <w:tcW w:w="4704" w:type="dxa"/>
            <w:gridSpan w:val="3"/>
            <w:tcBorders>
              <w:top w:val="single" w:color="auto" w:sz="4" w:space="0"/>
              <w:left w:val="nil"/>
              <w:bottom w:val="single" w:color="auto" w:sz="4" w:space="0"/>
              <w:right w:val="single" w:color="auto" w:sz="4" w:space="0"/>
            </w:tcBorders>
            <w:vAlign w:val="center"/>
          </w:tcPr>
          <w:p w14:paraId="4AD47082">
            <w:pPr>
              <w:spacing w:line="500" w:lineRule="exact"/>
              <w:jc w:val="center"/>
              <w:rPr>
                <w:rFonts w:ascii="宋体" w:hAnsi="宋体" w:cs="宋体"/>
                <w:color w:val="auto"/>
                <w:sz w:val="24"/>
                <w:highlight w:val="none"/>
              </w:rPr>
            </w:pPr>
          </w:p>
        </w:tc>
      </w:tr>
      <w:tr w14:paraId="6FF00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42" w:type="dxa"/>
            <w:vMerge w:val="continue"/>
            <w:tcBorders>
              <w:top w:val="nil"/>
              <w:left w:val="single" w:color="auto" w:sz="4" w:space="0"/>
              <w:bottom w:val="single" w:color="auto" w:sz="4" w:space="0"/>
              <w:right w:val="single" w:color="auto" w:sz="4" w:space="0"/>
            </w:tcBorders>
            <w:vAlign w:val="center"/>
          </w:tcPr>
          <w:p w14:paraId="304A9297">
            <w:pPr>
              <w:widowControl/>
              <w:jc w:val="left"/>
              <w:rPr>
                <w:rFonts w:ascii="宋体" w:hAnsi="宋体" w:cs="宋体"/>
                <w:color w:val="auto"/>
                <w:sz w:val="24"/>
                <w:highlight w:val="none"/>
              </w:rPr>
            </w:pPr>
          </w:p>
        </w:tc>
        <w:tc>
          <w:tcPr>
            <w:tcW w:w="3234" w:type="dxa"/>
            <w:gridSpan w:val="3"/>
            <w:tcBorders>
              <w:top w:val="single" w:color="auto" w:sz="4" w:space="0"/>
              <w:left w:val="nil"/>
              <w:bottom w:val="single" w:color="auto" w:sz="4" w:space="0"/>
              <w:right w:val="single" w:color="auto" w:sz="4" w:space="0"/>
            </w:tcBorders>
            <w:vAlign w:val="center"/>
          </w:tcPr>
          <w:p w14:paraId="2213CA85">
            <w:pPr>
              <w:rPr>
                <w:rFonts w:ascii="宋体" w:hAnsi="宋体" w:cs="宋体"/>
                <w:color w:val="auto"/>
                <w:sz w:val="24"/>
                <w:highlight w:val="none"/>
              </w:rPr>
            </w:pPr>
            <w:r>
              <w:rPr>
                <w:rFonts w:hint="eastAsia" w:ascii="宋体" w:hAnsi="宋体" w:cs="宋体"/>
                <w:color w:val="auto"/>
                <w:sz w:val="24"/>
                <w:highlight w:val="none"/>
              </w:rPr>
              <w:t>是否能积极</w:t>
            </w:r>
            <w:r>
              <w:rPr>
                <w:rFonts w:hint="eastAsia" w:ascii="宋体" w:hAnsi="宋体" w:cs="宋体"/>
                <w:color w:val="auto"/>
                <w:kern w:val="0"/>
                <w:sz w:val="24"/>
                <w:highlight w:val="none"/>
              </w:rPr>
              <w:t>主动</w:t>
            </w:r>
            <w:r>
              <w:rPr>
                <w:rFonts w:hint="eastAsia" w:ascii="宋体" w:hAnsi="宋体" w:cs="宋体"/>
                <w:color w:val="auto"/>
                <w:sz w:val="24"/>
                <w:highlight w:val="none"/>
              </w:rPr>
              <w:t>与当事人沟通</w:t>
            </w:r>
            <w:r>
              <w:rPr>
                <w:rFonts w:hint="eastAsia" w:ascii="宋体" w:hAnsi="宋体" w:cs="宋体"/>
                <w:color w:val="auto"/>
                <w:kern w:val="0"/>
                <w:sz w:val="24"/>
                <w:highlight w:val="none"/>
              </w:rPr>
              <w:t>对接；对采购政策进行详细解读；</w:t>
            </w:r>
            <w:r>
              <w:rPr>
                <w:rFonts w:hint="eastAsia" w:ascii="宋体" w:hAnsi="宋体" w:cs="宋体"/>
                <w:color w:val="auto"/>
                <w:sz w:val="24"/>
                <w:highlight w:val="none"/>
              </w:rPr>
              <w:t>咨询答复是否热情周到、耐心细致（2分）</w:t>
            </w:r>
            <w:r>
              <w:rPr>
                <w:rFonts w:hint="eastAsia" w:ascii="宋体" w:hAnsi="宋体" w:cs="宋体"/>
                <w:color w:val="auto"/>
                <w:kern w:val="0"/>
                <w:sz w:val="24"/>
                <w:highlight w:val="none"/>
              </w:rPr>
              <w:t>。</w:t>
            </w:r>
          </w:p>
        </w:tc>
        <w:tc>
          <w:tcPr>
            <w:tcW w:w="4704" w:type="dxa"/>
            <w:gridSpan w:val="3"/>
            <w:tcBorders>
              <w:top w:val="single" w:color="auto" w:sz="4" w:space="0"/>
              <w:left w:val="nil"/>
              <w:bottom w:val="single" w:color="auto" w:sz="4" w:space="0"/>
              <w:right w:val="single" w:color="auto" w:sz="4" w:space="0"/>
            </w:tcBorders>
            <w:vAlign w:val="center"/>
          </w:tcPr>
          <w:p w14:paraId="1D8640B5">
            <w:pPr>
              <w:spacing w:line="500" w:lineRule="exact"/>
              <w:jc w:val="center"/>
              <w:rPr>
                <w:rFonts w:ascii="宋体" w:hAnsi="宋体" w:cs="宋体"/>
                <w:color w:val="auto"/>
                <w:sz w:val="24"/>
                <w:highlight w:val="none"/>
              </w:rPr>
            </w:pPr>
          </w:p>
        </w:tc>
      </w:tr>
      <w:tr w14:paraId="6D72B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42" w:type="dxa"/>
            <w:vMerge w:val="continue"/>
            <w:tcBorders>
              <w:top w:val="nil"/>
              <w:left w:val="single" w:color="auto" w:sz="4" w:space="0"/>
              <w:bottom w:val="single" w:color="auto" w:sz="4" w:space="0"/>
              <w:right w:val="single" w:color="auto" w:sz="4" w:space="0"/>
            </w:tcBorders>
            <w:vAlign w:val="center"/>
          </w:tcPr>
          <w:p w14:paraId="142D2CAB">
            <w:pPr>
              <w:widowControl/>
              <w:jc w:val="left"/>
              <w:rPr>
                <w:rFonts w:ascii="宋体" w:hAnsi="宋体" w:cs="宋体"/>
                <w:color w:val="auto"/>
                <w:sz w:val="24"/>
                <w:highlight w:val="none"/>
              </w:rPr>
            </w:pPr>
          </w:p>
        </w:tc>
        <w:tc>
          <w:tcPr>
            <w:tcW w:w="3234" w:type="dxa"/>
            <w:gridSpan w:val="3"/>
            <w:tcBorders>
              <w:top w:val="single" w:color="auto" w:sz="4" w:space="0"/>
              <w:left w:val="nil"/>
              <w:bottom w:val="single" w:color="auto" w:sz="4" w:space="0"/>
              <w:right w:val="single" w:color="auto" w:sz="4" w:space="0"/>
            </w:tcBorders>
            <w:vAlign w:val="center"/>
          </w:tcPr>
          <w:p w14:paraId="5E61212A">
            <w:pPr>
              <w:rPr>
                <w:rFonts w:ascii="宋体" w:hAnsi="宋体" w:cs="宋体"/>
                <w:color w:val="auto"/>
                <w:sz w:val="24"/>
                <w:highlight w:val="none"/>
              </w:rPr>
            </w:pPr>
            <w:r>
              <w:rPr>
                <w:rFonts w:hint="eastAsia" w:ascii="宋体" w:hAnsi="宋体" w:cs="宋体"/>
                <w:color w:val="auto"/>
                <w:sz w:val="24"/>
                <w:highlight w:val="none"/>
              </w:rPr>
              <w:t>采购的质量、服务是否满意（2分）。</w:t>
            </w:r>
          </w:p>
        </w:tc>
        <w:tc>
          <w:tcPr>
            <w:tcW w:w="4704" w:type="dxa"/>
            <w:gridSpan w:val="3"/>
            <w:tcBorders>
              <w:top w:val="single" w:color="auto" w:sz="4" w:space="0"/>
              <w:left w:val="nil"/>
              <w:bottom w:val="single" w:color="auto" w:sz="4" w:space="0"/>
              <w:right w:val="single" w:color="auto" w:sz="4" w:space="0"/>
            </w:tcBorders>
            <w:vAlign w:val="center"/>
          </w:tcPr>
          <w:p w14:paraId="2BA4DA51">
            <w:pPr>
              <w:spacing w:line="500" w:lineRule="exact"/>
              <w:jc w:val="center"/>
              <w:rPr>
                <w:rFonts w:ascii="宋体" w:hAnsi="宋体" w:cs="宋体"/>
                <w:color w:val="auto"/>
                <w:sz w:val="24"/>
                <w:highlight w:val="none"/>
              </w:rPr>
            </w:pPr>
          </w:p>
        </w:tc>
      </w:tr>
      <w:tr w14:paraId="46401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42" w:type="dxa"/>
            <w:vMerge w:val="continue"/>
            <w:tcBorders>
              <w:top w:val="nil"/>
              <w:left w:val="single" w:color="auto" w:sz="4" w:space="0"/>
              <w:bottom w:val="single" w:color="auto" w:sz="4" w:space="0"/>
              <w:right w:val="single" w:color="auto" w:sz="4" w:space="0"/>
            </w:tcBorders>
            <w:vAlign w:val="center"/>
          </w:tcPr>
          <w:p w14:paraId="7F325351">
            <w:pPr>
              <w:widowControl/>
              <w:jc w:val="left"/>
              <w:rPr>
                <w:rFonts w:ascii="宋体" w:hAnsi="宋体" w:cs="宋体"/>
                <w:color w:val="auto"/>
                <w:sz w:val="24"/>
                <w:highlight w:val="none"/>
              </w:rPr>
            </w:pPr>
          </w:p>
        </w:tc>
        <w:tc>
          <w:tcPr>
            <w:tcW w:w="3234" w:type="dxa"/>
            <w:gridSpan w:val="3"/>
            <w:tcBorders>
              <w:top w:val="single" w:color="auto" w:sz="4" w:space="0"/>
              <w:left w:val="nil"/>
              <w:bottom w:val="single" w:color="auto" w:sz="4" w:space="0"/>
              <w:right w:val="single" w:color="auto" w:sz="4" w:space="0"/>
            </w:tcBorders>
            <w:vAlign w:val="center"/>
          </w:tcPr>
          <w:p w14:paraId="6EEF7CB7">
            <w:pPr>
              <w:spacing w:line="500" w:lineRule="exact"/>
              <w:jc w:val="center"/>
              <w:rPr>
                <w:rFonts w:ascii="宋体" w:hAnsi="宋体" w:cs="宋体"/>
                <w:color w:val="auto"/>
                <w:sz w:val="24"/>
                <w:highlight w:val="none"/>
              </w:rPr>
            </w:pPr>
            <w:r>
              <w:rPr>
                <w:rFonts w:hint="eastAsia" w:ascii="宋体" w:hAnsi="宋体" w:cs="宋体"/>
                <w:color w:val="auto"/>
                <w:sz w:val="24"/>
                <w:highlight w:val="none"/>
              </w:rPr>
              <w:t>合计</w:t>
            </w:r>
          </w:p>
        </w:tc>
        <w:tc>
          <w:tcPr>
            <w:tcW w:w="4704" w:type="dxa"/>
            <w:gridSpan w:val="3"/>
            <w:tcBorders>
              <w:top w:val="single" w:color="auto" w:sz="4" w:space="0"/>
              <w:left w:val="nil"/>
              <w:bottom w:val="single" w:color="auto" w:sz="4" w:space="0"/>
              <w:right w:val="single" w:color="auto" w:sz="4" w:space="0"/>
            </w:tcBorders>
            <w:vAlign w:val="center"/>
          </w:tcPr>
          <w:p w14:paraId="26EA610C">
            <w:pPr>
              <w:spacing w:line="500" w:lineRule="exact"/>
              <w:jc w:val="center"/>
              <w:rPr>
                <w:rFonts w:ascii="宋体" w:hAnsi="宋体" w:cs="宋体"/>
                <w:color w:val="auto"/>
                <w:sz w:val="24"/>
                <w:highlight w:val="none"/>
              </w:rPr>
            </w:pPr>
          </w:p>
        </w:tc>
      </w:tr>
      <w:tr w14:paraId="3C413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7" w:hRule="atLeast"/>
        </w:trPr>
        <w:tc>
          <w:tcPr>
            <w:tcW w:w="1242" w:type="dxa"/>
            <w:tcBorders>
              <w:top w:val="single" w:color="auto" w:sz="4" w:space="0"/>
              <w:left w:val="single" w:color="auto" w:sz="4" w:space="0"/>
              <w:bottom w:val="single" w:color="auto" w:sz="4" w:space="0"/>
              <w:right w:val="single" w:color="auto" w:sz="4" w:space="0"/>
            </w:tcBorders>
            <w:vAlign w:val="center"/>
          </w:tcPr>
          <w:p w14:paraId="4A05379C">
            <w:pPr>
              <w:jc w:val="center"/>
              <w:rPr>
                <w:rFonts w:ascii="宋体" w:hAnsi="宋体" w:cs="宋体"/>
                <w:color w:val="auto"/>
                <w:sz w:val="24"/>
                <w:highlight w:val="none"/>
              </w:rPr>
            </w:pPr>
            <w:r>
              <w:rPr>
                <w:rFonts w:hint="eastAsia" w:ascii="宋体" w:hAnsi="宋体" w:cs="宋体"/>
                <w:color w:val="auto"/>
                <w:sz w:val="24"/>
                <w:highlight w:val="none"/>
              </w:rPr>
              <w:t>对代理机构的意见和建议</w:t>
            </w:r>
          </w:p>
        </w:tc>
        <w:tc>
          <w:tcPr>
            <w:tcW w:w="7938" w:type="dxa"/>
            <w:gridSpan w:val="6"/>
            <w:tcBorders>
              <w:top w:val="single" w:color="auto" w:sz="4" w:space="0"/>
              <w:left w:val="nil"/>
              <w:bottom w:val="single" w:color="auto" w:sz="4" w:space="0"/>
              <w:right w:val="single" w:color="auto" w:sz="4" w:space="0"/>
            </w:tcBorders>
            <w:vAlign w:val="center"/>
          </w:tcPr>
          <w:p w14:paraId="02D99F40">
            <w:pPr>
              <w:jc w:val="center"/>
              <w:rPr>
                <w:rFonts w:ascii="宋体" w:hAnsi="宋体" w:cs="宋体"/>
                <w:color w:val="auto"/>
                <w:sz w:val="24"/>
                <w:highlight w:val="none"/>
              </w:rPr>
            </w:pPr>
          </w:p>
        </w:tc>
      </w:tr>
      <w:tr w14:paraId="0EF5A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1242" w:type="dxa"/>
            <w:tcBorders>
              <w:top w:val="single" w:color="auto" w:sz="4" w:space="0"/>
              <w:left w:val="single" w:color="auto" w:sz="4" w:space="0"/>
              <w:bottom w:val="single" w:color="auto" w:sz="4" w:space="0"/>
              <w:right w:val="single" w:color="auto" w:sz="4" w:space="0"/>
            </w:tcBorders>
            <w:vAlign w:val="center"/>
          </w:tcPr>
          <w:p w14:paraId="289991ED">
            <w:pPr>
              <w:jc w:val="center"/>
              <w:rPr>
                <w:rFonts w:ascii="宋体" w:hAnsi="宋体" w:cs="宋体"/>
                <w:color w:val="auto"/>
                <w:sz w:val="24"/>
                <w:highlight w:val="none"/>
              </w:rPr>
            </w:pPr>
            <w:r>
              <w:rPr>
                <w:rFonts w:hint="eastAsia" w:ascii="宋体" w:hAnsi="宋体" w:cs="宋体"/>
                <w:color w:val="auto"/>
                <w:sz w:val="24"/>
                <w:highlight w:val="none"/>
              </w:rPr>
              <w:t>备注</w:t>
            </w:r>
          </w:p>
        </w:tc>
        <w:tc>
          <w:tcPr>
            <w:tcW w:w="7938" w:type="dxa"/>
            <w:gridSpan w:val="6"/>
            <w:tcBorders>
              <w:top w:val="single" w:color="auto" w:sz="4" w:space="0"/>
              <w:left w:val="nil"/>
              <w:bottom w:val="single" w:color="auto" w:sz="4" w:space="0"/>
              <w:right w:val="single" w:color="auto" w:sz="4" w:space="0"/>
            </w:tcBorders>
            <w:vAlign w:val="center"/>
          </w:tcPr>
          <w:p w14:paraId="2EEC8F60">
            <w:pPr>
              <w:jc w:val="center"/>
              <w:rPr>
                <w:rFonts w:ascii="宋体" w:hAnsi="宋体" w:cs="宋体"/>
                <w:color w:val="auto"/>
                <w:sz w:val="24"/>
                <w:highlight w:val="none"/>
              </w:rPr>
            </w:pPr>
          </w:p>
        </w:tc>
      </w:tr>
    </w:tbl>
    <w:p w14:paraId="5D45025A">
      <w:pPr>
        <w:spacing w:after="120"/>
        <w:ind w:right="1240"/>
        <w:rPr>
          <w:rFonts w:ascii="宋体" w:hAnsi="宋体" w:cs="宋体"/>
          <w:color w:val="auto"/>
          <w:sz w:val="24"/>
          <w:highlight w:val="none"/>
        </w:rPr>
      </w:pPr>
      <w:r>
        <w:rPr>
          <w:rFonts w:hint="eastAsia" w:ascii="宋体" w:hAnsi="宋体" w:cs="宋体"/>
          <w:color w:val="auto"/>
          <w:sz w:val="24"/>
          <w:highlight w:val="none"/>
        </w:rPr>
        <w:t>填表人签字盖章：                    日期</w:t>
      </w:r>
    </w:p>
    <w:p w14:paraId="0B70C40E">
      <w:pPr>
        <w:spacing w:after="120"/>
        <w:ind w:right="-154"/>
        <w:rPr>
          <w:color w:val="auto"/>
          <w:highlight w:val="none"/>
        </w:rPr>
      </w:pPr>
      <w:r>
        <w:rPr>
          <w:rFonts w:hint="eastAsia" w:ascii="宋体" w:hAnsi="宋体" w:cs="宋体"/>
          <w:color w:val="auto"/>
          <w:szCs w:val="21"/>
          <w:highlight w:val="none"/>
        </w:rPr>
        <w:t>注：投标单位须加盖单位红章。</w:t>
      </w:r>
    </w:p>
    <w:p w14:paraId="6CC912A0">
      <w:pPr>
        <w:pStyle w:val="5"/>
        <w:keepNext w:val="0"/>
        <w:keepLines w:val="0"/>
        <w:pageBreakBefore/>
        <w:rPr>
          <w:rFonts w:ascii="宋体" w:hAnsi="宋体" w:eastAsia="宋体" w:cs="宋体"/>
          <w:b w:val="0"/>
          <w:color w:val="auto"/>
          <w:sz w:val="24"/>
          <w:highlight w:val="none"/>
        </w:rPr>
      </w:pPr>
      <w:bookmarkStart w:id="110" w:name="_Toc11290"/>
      <w:bookmarkStart w:id="111" w:name="_Toc2489"/>
      <w:bookmarkStart w:id="112" w:name="_Toc24160"/>
      <w:r>
        <w:rPr>
          <w:rFonts w:hint="eastAsia" w:ascii="宋体" w:hAnsi="宋体" w:eastAsia="宋体" w:cs="宋体"/>
          <w:b w:val="0"/>
          <w:color w:val="auto"/>
          <w:sz w:val="24"/>
          <w:highlight w:val="none"/>
        </w:rPr>
        <w:t>附件二十一：质疑函范本</w:t>
      </w:r>
      <w:bookmarkEnd w:id="110"/>
      <w:bookmarkEnd w:id="111"/>
      <w:bookmarkEnd w:id="112"/>
    </w:p>
    <w:p w14:paraId="67CF375B">
      <w:pPr>
        <w:jc w:val="center"/>
        <w:rPr>
          <w:rFonts w:ascii="宋体" w:hAnsi="宋体" w:cs="宋体"/>
          <w:b/>
          <w:bCs/>
          <w:color w:val="auto"/>
          <w:sz w:val="44"/>
          <w:szCs w:val="44"/>
          <w:highlight w:val="none"/>
        </w:rPr>
      </w:pPr>
      <w:r>
        <w:rPr>
          <w:rFonts w:hint="eastAsia" w:ascii="宋体" w:hAnsi="宋体" w:cs="宋体"/>
          <w:b/>
          <w:bCs/>
          <w:color w:val="auto"/>
          <w:sz w:val="44"/>
          <w:szCs w:val="44"/>
          <w:highlight w:val="none"/>
        </w:rPr>
        <w:t>质疑函范本</w:t>
      </w:r>
    </w:p>
    <w:p w14:paraId="53DA57D4">
      <w:pPr>
        <w:adjustRightInd w:val="0"/>
        <w:snapToGrid w:val="0"/>
        <w:spacing w:before="240" w:beforeLines="100" w:line="360" w:lineRule="auto"/>
        <w:rPr>
          <w:rFonts w:ascii="宋体" w:hAnsi="宋体" w:cs="宋体"/>
          <w:bCs/>
          <w:color w:val="auto"/>
          <w:sz w:val="28"/>
          <w:szCs w:val="28"/>
          <w:highlight w:val="none"/>
        </w:rPr>
      </w:pPr>
      <w:r>
        <w:rPr>
          <w:rFonts w:hint="eastAsia" w:ascii="宋体" w:hAnsi="宋体" w:cs="宋体"/>
          <w:bCs/>
          <w:color w:val="auto"/>
          <w:sz w:val="32"/>
          <w:szCs w:val="32"/>
          <w:highlight w:val="none"/>
        </w:rPr>
        <w:t>一</w:t>
      </w:r>
      <w:r>
        <w:rPr>
          <w:rFonts w:hint="eastAsia" w:ascii="宋体" w:hAnsi="宋体" w:cs="宋体"/>
          <w:bCs/>
          <w:color w:val="auto"/>
          <w:sz w:val="28"/>
          <w:szCs w:val="28"/>
          <w:highlight w:val="none"/>
        </w:rPr>
        <w:t>、质疑供应商基本信息</w:t>
      </w:r>
    </w:p>
    <w:p w14:paraId="12A0E786">
      <w:pPr>
        <w:adjustRightInd w:val="0"/>
        <w:snapToGrid w:val="0"/>
        <w:spacing w:line="360" w:lineRule="auto"/>
        <w:rPr>
          <w:rFonts w:ascii="宋体" w:hAnsi="宋体" w:cs="宋体"/>
          <w:color w:val="auto"/>
          <w:sz w:val="28"/>
          <w:szCs w:val="28"/>
          <w:highlight w:val="none"/>
          <w:u w:val="dotted"/>
        </w:rPr>
      </w:pPr>
      <w:r>
        <w:rPr>
          <w:rFonts w:hint="eastAsia" w:ascii="宋体" w:hAnsi="宋体" w:cs="宋体"/>
          <w:color w:val="auto"/>
          <w:sz w:val="28"/>
          <w:szCs w:val="28"/>
          <w:highlight w:val="none"/>
        </w:rPr>
        <w:t>质疑供应商：</w:t>
      </w:r>
      <w:r>
        <w:rPr>
          <w:rFonts w:hint="eastAsia" w:ascii="宋体" w:hAnsi="宋体" w:cs="宋体"/>
          <w:color w:val="auto"/>
          <w:sz w:val="28"/>
          <w:szCs w:val="28"/>
          <w:highlight w:val="none"/>
          <w:u w:val="dotted"/>
        </w:rPr>
        <w:t xml:space="preserve">                                        </w:t>
      </w:r>
    </w:p>
    <w:p w14:paraId="0BF688F4">
      <w:pPr>
        <w:adjustRightInd w:val="0"/>
        <w:snapToGrid w:val="0"/>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地址：</w:t>
      </w:r>
      <w:r>
        <w:rPr>
          <w:rFonts w:hint="eastAsia" w:ascii="宋体" w:hAnsi="宋体" w:cs="宋体"/>
          <w:color w:val="auto"/>
          <w:sz w:val="28"/>
          <w:szCs w:val="28"/>
          <w:highlight w:val="none"/>
          <w:u w:val="dotted"/>
        </w:rPr>
        <w:t xml:space="preserve">                          </w:t>
      </w:r>
      <w:r>
        <w:rPr>
          <w:rFonts w:hint="eastAsia" w:ascii="宋体" w:hAnsi="宋体" w:cs="宋体"/>
          <w:color w:val="auto"/>
          <w:sz w:val="28"/>
          <w:szCs w:val="28"/>
          <w:highlight w:val="none"/>
        </w:rPr>
        <w:t>邮编：</w:t>
      </w:r>
      <w:r>
        <w:rPr>
          <w:rFonts w:hint="eastAsia" w:ascii="宋体" w:hAnsi="宋体" w:cs="宋体"/>
          <w:color w:val="auto"/>
          <w:sz w:val="28"/>
          <w:szCs w:val="28"/>
          <w:highlight w:val="none"/>
          <w:u w:val="dotted"/>
        </w:rPr>
        <w:t xml:space="preserve">                                                   </w:t>
      </w:r>
    </w:p>
    <w:p w14:paraId="59E40178">
      <w:pPr>
        <w:adjustRightInd w:val="0"/>
        <w:snapToGrid w:val="0"/>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联系人：</w:t>
      </w:r>
      <w:r>
        <w:rPr>
          <w:rFonts w:hint="eastAsia" w:ascii="宋体" w:hAnsi="宋体" w:cs="宋体"/>
          <w:color w:val="auto"/>
          <w:sz w:val="28"/>
          <w:szCs w:val="28"/>
          <w:highlight w:val="none"/>
          <w:u w:val="dotted"/>
        </w:rPr>
        <w:t xml:space="preserve">                      </w:t>
      </w:r>
      <w:r>
        <w:rPr>
          <w:rFonts w:hint="eastAsia" w:ascii="宋体" w:hAnsi="宋体" w:cs="宋体"/>
          <w:color w:val="auto"/>
          <w:sz w:val="28"/>
          <w:szCs w:val="28"/>
          <w:highlight w:val="none"/>
        </w:rPr>
        <w:t>联系电话：</w:t>
      </w:r>
      <w:r>
        <w:rPr>
          <w:rFonts w:hint="eastAsia" w:ascii="宋体" w:hAnsi="宋体" w:cs="宋体"/>
          <w:color w:val="auto"/>
          <w:sz w:val="28"/>
          <w:szCs w:val="28"/>
          <w:highlight w:val="none"/>
          <w:u w:val="dotted"/>
        </w:rPr>
        <w:t xml:space="preserve">                              </w:t>
      </w:r>
    </w:p>
    <w:p w14:paraId="2AF980CC">
      <w:pPr>
        <w:adjustRightInd w:val="0"/>
        <w:snapToGrid w:val="0"/>
        <w:spacing w:line="360" w:lineRule="auto"/>
        <w:rPr>
          <w:rFonts w:ascii="宋体" w:hAnsi="宋体" w:cs="宋体"/>
          <w:color w:val="auto"/>
          <w:sz w:val="28"/>
          <w:szCs w:val="28"/>
          <w:highlight w:val="none"/>
          <w:u w:val="dotted"/>
        </w:rPr>
      </w:pPr>
      <w:r>
        <w:rPr>
          <w:rFonts w:hint="eastAsia" w:ascii="宋体" w:hAnsi="宋体" w:cs="宋体"/>
          <w:color w:val="auto"/>
          <w:sz w:val="28"/>
          <w:szCs w:val="28"/>
          <w:highlight w:val="none"/>
        </w:rPr>
        <w:t>授权代表：</w:t>
      </w:r>
      <w:r>
        <w:rPr>
          <w:rFonts w:hint="eastAsia" w:ascii="宋体" w:hAnsi="宋体" w:cs="宋体"/>
          <w:color w:val="auto"/>
          <w:sz w:val="28"/>
          <w:szCs w:val="28"/>
          <w:highlight w:val="none"/>
          <w:u w:val="dotted"/>
        </w:rPr>
        <w:t xml:space="preserve">                                          </w:t>
      </w:r>
    </w:p>
    <w:p w14:paraId="02A3B7B2">
      <w:pPr>
        <w:adjustRightInd w:val="0"/>
        <w:snapToGrid w:val="0"/>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联系电话：</w:t>
      </w:r>
      <w:r>
        <w:rPr>
          <w:rFonts w:hint="eastAsia" w:ascii="宋体" w:hAnsi="宋体" w:cs="宋体"/>
          <w:color w:val="auto"/>
          <w:sz w:val="28"/>
          <w:szCs w:val="28"/>
          <w:highlight w:val="none"/>
          <w:u w:val="dotted"/>
        </w:rPr>
        <w:t xml:space="preserve">                                           </w:t>
      </w:r>
      <w:r>
        <w:rPr>
          <w:rFonts w:hint="eastAsia" w:ascii="宋体" w:hAnsi="宋体" w:cs="宋体"/>
          <w:color w:val="auto"/>
          <w:sz w:val="28"/>
          <w:szCs w:val="28"/>
          <w:highlight w:val="none"/>
        </w:rPr>
        <w:t xml:space="preserve"> </w:t>
      </w:r>
    </w:p>
    <w:p w14:paraId="5AC0ADD8">
      <w:pPr>
        <w:adjustRightInd w:val="0"/>
        <w:snapToGrid w:val="0"/>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 xml:space="preserve">地址： </w:t>
      </w:r>
      <w:r>
        <w:rPr>
          <w:rFonts w:hint="eastAsia" w:ascii="宋体" w:hAnsi="宋体" w:cs="宋体"/>
          <w:color w:val="auto"/>
          <w:sz w:val="28"/>
          <w:szCs w:val="28"/>
          <w:highlight w:val="none"/>
          <w:u w:val="dotted"/>
        </w:rPr>
        <w:t xml:space="preserve">                        </w:t>
      </w:r>
      <w:r>
        <w:rPr>
          <w:rFonts w:hint="eastAsia" w:ascii="宋体" w:hAnsi="宋体" w:cs="宋体"/>
          <w:color w:val="auto"/>
          <w:sz w:val="28"/>
          <w:szCs w:val="28"/>
          <w:highlight w:val="none"/>
        </w:rPr>
        <w:t>邮编：</w:t>
      </w:r>
      <w:r>
        <w:rPr>
          <w:rFonts w:hint="eastAsia" w:ascii="宋体" w:hAnsi="宋体" w:cs="宋体"/>
          <w:color w:val="auto"/>
          <w:sz w:val="28"/>
          <w:szCs w:val="28"/>
          <w:highlight w:val="none"/>
          <w:u w:val="dotted"/>
        </w:rPr>
        <w:t xml:space="preserve">                                                </w:t>
      </w:r>
    </w:p>
    <w:p w14:paraId="5768BAE2">
      <w:pPr>
        <w:adjustRightInd w:val="0"/>
        <w:snapToGrid w:val="0"/>
        <w:spacing w:line="360" w:lineRule="auto"/>
        <w:rPr>
          <w:rFonts w:ascii="宋体" w:hAnsi="宋体" w:cs="宋体"/>
          <w:bCs/>
          <w:color w:val="auto"/>
          <w:sz w:val="28"/>
          <w:szCs w:val="28"/>
          <w:highlight w:val="none"/>
        </w:rPr>
      </w:pPr>
      <w:r>
        <w:rPr>
          <w:rFonts w:hint="eastAsia" w:ascii="宋体" w:hAnsi="宋体" w:cs="宋体"/>
          <w:bCs/>
          <w:color w:val="auto"/>
          <w:sz w:val="28"/>
          <w:szCs w:val="28"/>
          <w:highlight w:val="none"/>
        </w:rPr>
        <w:t>二、质疑项目基本情况</w:t>
      </w:r>
    </w:p>
    <w:p w14:paraId="190CF038">
      <w:pPr>
        <w:adjustRightInd w:val="0"/>
        <w:snapToGrid w:val="0"/>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质疑项目的名称：</w:t>
      </w:r>
      <w:r>
        <w:rPr>
          <w:rFonts w:hint="eastAsia" w:ascii="宋体" w:hAnsi="宋体" w:cs="宋体"/>
          <w:color w:val="auto"/>
          <w:sz w:val="28"/>
          <w:szCs w:val="28"/>
          <w:highlight w:val="none"/>
          <w:u w:val="dotted"/>
        </w:rPr>
        <w:t xml:space="preserve">                                      </w:t>
      </w:r>
    </w:p>
    <w:p w14:paraId="5DBF0AC3">
      <w:pPr>
        <w:adjustRightInd w:val="0"/>
        <w:snapToGrid w:val="0"/>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质疑项目的编号：</w:t>
      </w:r>
      <w:r>
        <w:rPr>
          <w:rFonts w:hint="eastAsia" w:ascii="宋体" w:hAnsi="宋体" w:cs="宋体"/>
          <w:color w:val="auto"/>
          <w:sz w:val="28"/>
          <w:szCs w:val="28"/>
          <w:highlight w:val="none"/>
          <w:u w:val="dotted"/>
        </w:rPr>
        <w:t xml:space="preserve">               </w:t>
      </w:r>
      <w:r>
        <w:rPr>
          <w:rFonts w:hint="eastAsia" w:ascii="宋体" w:hAnsi="宋体" w:cs="宋体"/>
          <w:color w:val="auto"/>
          <w:sz w:val="28"/>
          <w:szCs w:val="28"/>
          <w:highlight w:val="none"/>
        </w:rPr>
        <w:t>包号：</w:t>
      </w:r>
      <w:r>
        <w:rPr>
          <w:rFonts w:hint="eastAsia" w:ascii="宋体" w:hAnsi="宋体" w:cs="宋体"/>
          <w:color w:val="auto"/>
          <w:sz w:val="28"/>
          <w:szCs w:val="28"/>
          <w:highlight w:val="none"/>
          <w:u w:val="dotted"/>
        </w:rPr>
        <w:t xml:space="preserve">                 </w:t>
      </w:r>
    </w:p>
    <w:p w14:paraId="03A904B1">
      <w:pPr>
        <w:adjustRightInd w:val="0"/>
        <w:snapToGrid w:val="0"/>
        <w:spacing w:line="360" w:lineRule="auto"/>
        <w:rPr>
          <w:rFonts w:ascii="宋体" w:hAnsi="宋体" w:cs="宋体"/>
          <w:color w:val="auto"/>
          <w:sz w:val="28"/>
          <w:szCs w:val="28"/>
          <w:highlight w:val="none"/>
          <w:u w:val="dotted"/>
        </w:rPr>
      </w:pPr>
      <w:r>
        <w:rPr>
          <w:rFonts w:hint="eastAsia" w:ascii="宋体" w:hAnsi="宋体" w:cs="宋体"/>
          <w:color w:val="auto"/>
          <w:sz w:val="28"/>
          <w:szCs w:val="28"/>
          <w:highlight w:val="none"/>
        </w:rPr>
        <w:t>采购人名称：</w:t>
      </w:r>
      <w:r>
        <w:rPr>
          <w:rFonts w:hint="eastAsia" w:ascii="宋体" w:hAnsi="宋体" w:cs="宋体"/>
          <w:color w:val="auto"/>
          <w:sz w:val="28"/>
          <w:szCs w:val="28"/>
          <w:highlight w:val="none"/>
          <w:u w:val="dotted"/>
        </w:rPr>
        <w:t xml:space="preserve">                                         </w:t>
      </w:r>
    </w:p>
    <w:p w14:paraId="7A261237">
      <w:pPr>
        <w:adjustRightInd w:val="0"/>
        <w:snapToGrid w:val="0"/>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采购文件获取日期：</w:t>
      </w:r>
      <w:r>
        <w:rPr>
          <w:rFonts w:hint="eastAsia" w:ascii="宋体" w:hAnsi="宋体" w:cs="宋体"/>
          <w:color w:val="auto"/>
          <w:sz w:val="28"/>
          <w:szCs w:val="28"/>
          <w:highlight w:val="none"/>
          <w:u w:val="dotted"/>
        </w:rPr>
        <w:t xml:space="preserve">                                           </w:t>
      </w:r>
    </w:p>
    <w:p w14:paraId="7FE6C9FA">
      <w:pPr>
        <w:adjustRightInd w:val="0"/>
        <w:snapToGrid w:val="0"/>
        <w:spacing w:line="360" w:lineRule="auto"/>
        <w:rPr>
          <w:rFonts w:ascii="宋体" w:hAnsi="宋体" w:cs="宋体"/>
          <w:bCs/>
          <w:color w:val="auto"/>
          <w:sz w:val="28"/>
          <w:szCs w:val="28"/>
          <w:highlight w:val="none"/>
        </w:rPr>
      </w:pPr>
      <w:r>
        <w:rPr>
          <w:rFonts w:hint="eastAsia" w:ascii="宋体" w:hAnsi="宋体" w:cs="宋体"/>
          <w:bCs/>
          <w:color w:val="auto"/>
          <w:sz w:val="28"/>
          <w:szCs w:val="28"/>
          <w:highlight w:val="none"/>
        </w:rPr>
        <w:t>三、质疑事项具体内容</w:t>
      </w:r>
    </w:p>
    <w:p w14:paraId="1592E2E9">
      <w:pPr>
        <w:adjustRightInd w:val="0"/>
        <w:snapToGrid w:val="0"/>
        <w:spacing w:line="360" w:lineRule="auto"/>
        <w:rPr>
          <w:rFonts w:ascii="宋体" w:hAnsi="宋体" w:cs="宋体"/>
          <w:color w:val="auto"/>
          <w:sz w:val="28"/>
          <w:szCs w:val="28"/>
          <w:highlight w:val="none"/>
          <w:u w:val="dotted"/>
        </w:rPr>
      </w:pPr>
      <w:r>
        <w:rPr>
          <w:rFonts w:hint="eastAsia" w:ascii="宋体" w:hAnsi="宋体" w:cs="宋体"/>
          <w:color w:val="auto"/>
          <w:sz w:val="28"/>
          <w:szCs w:val="28"/>
          <w:highlight w:val="none"/>
        </w:rPr>
        <w:t>质疑事项1：</w:t>
      </w:r>
      <w:r>
        <w:rPr>
          <w:rFonts w:hint="eastAsia" w:ascii="宋体" w:hAnsi="宋体" w:cs="宋体"/>
          <w:color w:val="auto"/>
          <w:sz w:val="28"/>
          <w:szCs w:val="28"/>
          <w:highlight w:val="none"/>
          <w:u w:val="dotted"/>
        </w:rPr>
        <w:t xml:space="preserve">                                         </w:t>
      </w:r>
    </w:p>
    <w:p w14:paraId="696D3CE2">
      <w:pPr>
        <w:adjustRightInd w:val="0"/>
        <w:snapToGrid w:val="0"/>
        <w:spacing w:line="360" w:lineRule="auto"/>
        <w:rPr>
          <w:rFonts w:ascii="宋体" w:hAnsi="宋体" w:cs="宋体"/>
          <w:color w:val="auto"/>
          <w:sz w:val="28"/>
          <w:szCs w:val="28"/>
          <w:highlight w:val="none"/>
          <w:u w:val="dotted"/>
        </w:rPr>
      </w:pPr>
      <w:r>
        <w:rPr>
          <w:rFonts w:hint="eastAsia" w:ascii="宋体" w:hAnsi="宋体" w:cs="宋体"/>
          <w:color w:val="auto"/>
          <w:sz w:val="28"/>
          <w:szCs w:val="28"/>
          <w:highlight w:val="none"/>
        </w:rPr>
        <w:t>事实依据：</w:t>
      </w:r>
      <w:r>
        <w:rPr>
          <w:rFonts w:hint="eastAsia" w:ascii="宋体" w:hAnsi="宋体" w:cs="宋体"/>
          <w:color w:val="auto"/>
          <w:sz w:val="28"/>
          <w:szCs w:val="28"/>
          <w:highlight w:val="none"/>
          <w:u w:val="dotted"/>
        </w:rPr>
        <w:t xml:space="preserve">                                          </w:t>
      </w:r>
    </w:p>
    <w:p w14:paraId="4B2EAE53">
      <w:pPr>
        <w:adjustRightInd w:val="0"/>
        <w:snapToGrid w:val="0"/>
        <w:spacing w:line="360" w:lineRule="auto"/>
        <w:rPr>
          <w:rFonts w:ascii="宋体" w:hAnsi="宋体" w:cs="宋体"/>
          <w:color w:val="auto"/>
          <w:sz w:val="28"/>
          <w:szCs w:val="28"/>
          <w:highlight w:val="none"/>
        </w:rPr>
      </w:pPr>
      <w:r>
        <w:rPr>
          <w:rFonts w:hint="eastAsia" w:ascii="宋体" w:hAnsi="宋体" w:cs="宋体"/>
          <w:color w:val="auto"/>
          <w:sz w:val="28"/>
          <w:szCs w:val="28"/>
          <w:highlight w:val="none"/>
          <w:u w:val="dotted"/>
        </w:rPr>
        <w:t xml:space="preserve">                                                       </w:t>
      </w:r>
    </w:p>
    <w:p w14:paraId="1FFE7DF8">
      <w:pPr>
        <w:adjustRightInd w:val="0"/>
        <w:snapToGrid w:val="0"/>
        <w:spacing w:line="360" w:lineRule="auto"/>
        <w:rPr>
          <w:rFonts w:ascii="宋体" w:hAnsi="宋体" w:cs="宋体"/>
          <w:color w:val="auto"/>
          <w:sz w:val="28"/>
          <w:szCs w:val="28"/>
          <w:highlight w:val="none"/>
          <w:u w:val="dotted"/>
        </w:rPr>
      </w:pPr>
      <w:r>
        <w:rPr>
          <w:rFonts w:hint="eastAsia" w:ascii="宋体" w:hAnsi="宋体" w:cs="宋体"/>
          <w:color w:val="auto"/>
          <w:sz w:val="28"/>
          <w:szCs w:val="28"/>
          <w:highlight w:val="none"/>
        </w:rPr>
        <w:t>法律依据：</w:t>
      </w:r>
      <w:r>
        <w:rPr>
          <w:rFonts w:hint="eastAsia" w:ascii="宋体" w:hAnsi="宋体" w:cs="宋体"/>
          <w:color w:val="auto"/>
          <w:sz w:val="28"/>
          <w:szCs w:val="28"/>
          <w:highlight w:val="none"/>
          <w:u w:val="dotted"/>
        </w:rPr>
        <w:t xml:space="preserve">                                          </w:t>
      </w:r>
    </w:p>
    <w:p w14:paraId="703C089C">
      <w:pPr>
        <w:adjustRightInd w:val="0"/>
        <w:snapToGrid w:val="0"/>
        <w:spacing w:line="360" w:lineRule="auto"/>
        <w:rPr>
          <w:rFonts w:ascii="宋体" w:hAnsi="宋体" w:cs="宋体"/>
          <w:color w:val="auto"/>
          <w:sz w:val="28"/>
          <w:szCs w:val="28"/>
          <w:highlight w:val="none"/>
          <w:u w:val="dotted"/>
        </w:rPr>
      </w:pPr>
      <w:r>
        <w:rPr>
          <w:rFonts w:hint="eastAsia" w:ascii="宋体" w:hAnsi="宋体" w:cs="宋体"/>
          <w:color w:val="auto"/>
          <w:sz w:val="28"/>
          <w:szCs w:val="28"/>
          <w:highlight w:val="none"/>
          <w:u w:val="dotted"/>
        </w:rPr>
        <w:t xml:space="preserve">                                                     </w:t>
      </w:r>
    </w:p>
    <w:p w14:paraId="000DECDB">
      <w:pPr>
        <w:adjustRightInd w:val="0"/>
        <w:snapToGrid w:val="0"/>
        <w:spacing w:line="360" w:lineRule="auto"/>
        <w:rPr>
          <w:rFonts w:ascii="宋体" w:hAnsi="宋体" w:cs="宋体"/>
          <w:color w:val="auto"/>
          <w:sz w:val="28"/>
          <w:szCs w:val="28"/>
          <w:highlight w:val="none"/>
          <w:u w:val="dotted"/>
        </w:rPr>
      </w:pPr>
      <w:r>
        <w:rPr>
          <w:rFonts w:hint="eastAsia" w:ascii="宋体" w:hAnsi="宋体" w:cs="宋体"/>
          <w:color w:val="auto"/>
          <w:sz w:val="28"/>
          <w:szCs w:val="28"/>
          <w:highlight w:val="none"/>
        </w:rPr>
        <w:t>质疑事项2</w:t>
      </w:r>
    </w:p>
    <w:p w14:paraId="202342A1">
      <w:pPr>
        <w:adjustRightInd w:val="0"/>
        <w:snapToGrid w:val="0"/>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w:t>
      </w:r>
    </w:p>
    <w:p w14:paraId="5304C9E9">
      <w:pPr>
        <w:adjustRightInd w:val="0"/>
        <w:snapToGrid w:val="0"/>
        <w:spacing w:line="360" w:lineRule="auto"/>
        <w:rPr>
          <w:rFonts w:ascii="宋体" w:hAnsi="宋体" w:cs="宋体"/>
          <w:bCs/>
          <w:color w:val="auto"/>
          <w:sz w:val="28"/>
          <w:szCs w:val="28"/>
          <w:highlight w:val="none"/>
        </w:rPr>
      </w:pPr>
      <w:r>
        <w:rPr>
          <w:rFonts w:hint="eastAsia" w:ascii="宋体" w:hAnsi="宋体" w:cs="宋体"/>
          <w:bCs/>
          <w:color w:val="auto"/>
          <w:sz w:val="28"/>
          <w:szCs w:val="28"/>
          <w:highlight w:val="none"/>
        </w:rPr>
        <w:t>四、与质疑事项相关的质疑请求</w:t>
      </w:r>
    </w:p>
    <w:p w14:paraId="720B98FC">
      <w:pPr>
        <w:adjustRightInd w:val="0"/>
        <w:snapToGrid w:val="0"/>
        <w:spacing w:line="360" w:lineRule="auto"/>
        <w:rPr>
          <w:rFonts w:ascii="宋体" w:hAnsi="宋体" w:cs="宋体"/>
          <w:color w:val="auto"/>
          <w:sz w:val="28"/>
          <w:szCs w:val="28"/>
          <w:highlight w:val="none"/>
          <w:u w:val="dotted"/>
        </w:rPr>
      </w:pPr>
      <w:r>
        <w:rPr>
          <w:rFonts w:hint="eastAsia" w:ascii="宋体" w:hAnsi="宋体" w:cs="宋体"/>
          <w:color w:val="auto"/>
          <w:sz w:val="28"/>
          <w:szCs w:val="28"/>
          <w:highlight w:val="none"/>
        </w:rPr>
        <w:t>请求：</w:t>
      </w:r>
      <w:r>
        <w:rPr>
          <w:rFonts w:hint="eastAsia" w:ascii="宋体" w:hAnsi="宋体" w:cs="宋体"/>
          <w:color w:val="auto"/>
          <w:sz w:val="28"/>
          <w:szCs w:val="28"/>
          <w:highlight w:val="none"/>
          <w:u w:val="dotted"/>
        </w:rPr>
        <w:t xml:space="preserve">                                               </w:t>
      </w:r>
    </w:p>
    <w:p w14:paraId="7C633EAD">
      <w:pPr>
        <w:rPr>
          <w:rFonts w:ascii="宋体" w:hAnsi="宋体" w:cs="宋体"/>
          <w:color w:val="auto"/>
          <w:sz w:val="28"/>
          <w:szCs w:val="28"/>
          <w:highlight w:val="none"/>
        </w:rPr>
      </w:pPr>
      <w:r>
        <w:rPr>
          <w:rFonts w:hint="eastAsia" w:ascii="宋体" w:hAnsi="宋体" w:cs="宋体"/>
          <w:color w:val="auto"/>
          <w:sz w:val="28"/>
          <w:szCs w:val="28"/>
          <w:highlight w:val="none"/>
        </w:rPr>
        <w:t xml:space="preserve">签字(签章)：                   公章：                      </w:t>
      </w:r>
    </w:p>
    <w:p w14:paraId="4D2BA9E6">
      <w:pPr>
        <w:rPr>
          <w:rFonts w:ascii="宋体" w:hAnsi="宋体" w:cs="宋体"/>
          <w:color w:val="auto"/>
          <w:sz w:val="28"/>
          <w:szCs w:val="28"/>
          <w:highlight w:val="none"/>
        </w:rPr>
      </w:pPr>
      <w:r>
        <w:rPr>
          <w:rFonts w:hint="eastAsia" w:ascii="宋体" w:hAnsi="宋体" w:cs="宋体"/>
          <w:color w:val="auto"/>
          <w:sz w:val="28"/>
          <w:szCs w:val="28"/>
          <w:highlight w:val="none"/>
        </w:rPr>
        <w:t xml:space="preserve">日期：    </w:t>
      </w:r>
    </w:p>
    <w:p w14:paraId="2244553D">
      <w:pPr>
        <w:rPr>
          <w:rFonts w:ascii="宋体" w:hAnsi="宋体" w:cs="宋体"/>
          <w:color w:val="auto"/>
          <w:sz w:val="28"/>
          <w:szCs w:val="28"/>
          <w:highlight w:val="none"/>
        </w:rPr>
      </w:pPr>
    </w:p>
    <w:p w14:paraId="1135999C">
      <w:pPr>
        <w:pStyle w:val="2"/>
        <w:rPr>
          <w:color w:val="auto"/>
          <w:highlight w:val="none"/>
        </w:rPr>
      </w:pPr>
    </w:p>
    <w:p w14:paraId="00AA4ED4">
      <w:pPr>
        <w:pStyle w:val="3"/>
        <w:ind w:firstLine="600"/>
        <w:rPr>
          <w:color w:val="auto"/>
          <w:highlight w:val="none"/>
        </w:rPr>
      </w:pPr>
    </w:p>
    <w:p w14:paraId="6487D025">
      <w:pPr>
        <w:rPr>
          <w:rFonts w:ascii="宋体" w:hAnsi="宋体" w:cs="宋体"/>
          <w:b/>
          <w:color w:val="auto"/>
          <w:sz w:val="24"/>
          <w:highlight w:val="none"/>
        </w:rPr>
      </w:pPr>
      <w:r>
        <w:rPr>
          <w:rFonts w:hint="eastAsia" w:ascii="宋体" w:hAnsi="宋体" w:cs="宋体"/>
          <w:b/>
          <w:color w:val="auto"/>
          <w:sz w:val="24"/>
          <w:highlight w:val="none"/>
        </w:rPr>
        <w:t>质疑函制作说明：</w:t>
      </w:r>
    </w:p>
    <w:p w14:paraId="150DF5ED">
      <w:pPr>
        <w:widowControl/>
        <w:ind w:firstLine="480" w:firstLineChars="200"/>
        <w:jc w:val="left"/>
        <w:rPr>
          <w:rFonts w:ascii="宋体" w:hAnsi="宋体" w:cs="宋体"/>
          <w:color w:val="auto"/>
          <w:sz w:val="24"/>
          <w:highlight w:val="none"/>
        </w:rPr>
      </w:pPr>
      <w:r>
        <w:rPr>
          <w:rFonts w:hint="eastAsia" w:ascii="宋体" w:hAnsi="宋体" w:cs="宋体"/>
          <w:color w:val="auto"/>
          <w:sz w:val="24"/>
          <w:highlight w:val="none"/>
        </w:rPr>
        <w:t>1.供应商提出质疑时，应提交质疑函和必要的证明材料。</w:t>
      </w:r>
    </w:p>
    <w:p w14:paraId="4D06D1A6">
      <w:pPr>
        <w:widowControl/>
        <w:ind w:firstLine="480" w:firstLineChars="200"/>
        <w:jc w:val="left"/>
        <w:rPr>
          <w:rFonts w:ascii="宋体" w:hAnsi="宋体" w:cs="宋体"/>
          <w:color w:val="auto"/>
          <w:sz w:val="24"/>
          <w:highlight w:val="none"/>
        </w:rPr>
      </w:pPr>
      <w:r>
        <w:rPr>
          <w:rFonts w:hint="eastAsia" w:ascii="宋体" w:hAnsi="宋体" w:cs="宋体"/>
          <w:color w:val="auto"/>
          <w:sz w:val="24"/>
          <w:highlight w:val="none"/>
        </w:rPr>
        <w:t>2.质疑供应商若委托代理人进行质疑的，质疑函应按要求列明“授权代表”的有关内容，并在附件中提交由质疑</w:t>
      </w:r>
      <w:r>
        <w:rPr>
          <w:rFonts w:hint="eastAsia" w:ascii="宋体" w:hAnsi="宋体" w:cs="宋体"/>
          <w:color w:val="auto"/>
          <w:kern w:val="0"/>
          <w:sz w:val="24"/>
          <w:highlight w:val="none"/>
        </w:rPr>
        <w:t>供应商签署的授权委托书。授权委托书应载明代理人的姓名或者名称、代理事项、具体权限、期限和相关事项。</w:t>
      </w:r>
    </w:p>
    <w:p w14:paraId="60019118">
      <w:pPr>
        <w:widowControl/>
        <w:ind w:firstLine="480" w:firstLineChars="200"/>
        <w:jc w:val="left"/>
        <w:rPr>
          <w:rFonts w:ascii="宋体" w:hAnsi="宋体" w:cs="宋体"/>
          <w:color w:val="auto"/>
          <w:sz w:val="24"/>
          <w:highlight w:val="none"/>
        </w:rPr>
      </w:pPr>
      <w:r>
        <w:rPr>
          <w:rFonts w:hint="eastAsia" w:ascii="宋体" w:hAnsi="宋体" w:cs="宋体"/>
          <w:color w:val="auto"/>
          <w:sz w:val="24"/>
          <w:highlight w:val="none"/>
        </w:rPr>
        <w:t>3.质疑供应商若对项目的某一分包进行质疑，质疑函中应列明具体分包号。</w:t>
      </w:r>
    </w:p>
    <w:p w14:paraId="52542AA6">
      <w:pPr>
        <w:widowControl/>
        <w:ind w:firstLine="480" w:firstLineChars="200"/>
        <w:jc w:val="left"/>
        <w:rPr>
          <w:rFonts w:ascii="宋体" w:hAnsi="宋体" w:cs="宋体"/>
          <w:color w:val="auto"/>
          <w:sz w:val="24"/>
          <w:highlight w:val="none"/>
        </w:rPr>
      </w:pPr>
      <w:r>
        <w:rPr>
          <w:rFonts w:hint="eastAsia" w:ascii="宋体" w:hAnsi="宋体" w:cs="宋体"/>
          <w:color w:val="auto"/>
          <w:sz w:val="24"/>
          <w:highlight w:val="none"/>
        </w:rPr>
        <w:t>4.质疑函的质疑事项应具体、明确，并有必要的事实依据和法律依据。</w:t>
      </w:r>
    </w:p>
    <w:p w14:paraId="5E7DEEFF">
      <w:pPr>
        <w:widowControl/>
        <w:ind w:firstLine="480" w:firstLineChars="200"/>
        <w:jc w:val="left"/>
        <w:rPr>
          <w:rFonts w:ascii="宋体" w:hAnsi="宋体" w:cs="宋体"/>
          <w:color w:val="auto"/>
          <w:sz w:val="24"/>
          <w:highlight w:val="none"/>
        </w:rPr>
      </w:pPr>
      <w:r>
        <w:rPr>
          <w:rFonts w:hint="eastAsia" w:ascii="宋体" w:hAnsi="宋体" w:cs="宋体"/>
          <w:color w:val="auto"/>
          <w:sz w:val="24"/>
          <w:highlight w:val="none"/>
        </w:rPr>
        <w:t>5.质疑函的质疑请求应与质疑事项相关。</w:t>
      </w:r>
    </w:p>
    <w:p w14:paraId="0208FA61">
      <w:pPr>
        <w:widowControl/>
        <w:ind w:firstLine="480" w:firstLineChars="200"/>
        <w:jc w:val="left"/>
        <w:rPr>
          <w:rFonts w:ascii="宋体" w:hAnsi="宋体" w:cs="宋体"/>
          <w:color w:val="auto"/>
          <w:sz w:val="28"/>
          <w:szCs w:val="28"/>
          <w:highlight w:val="none"/>
        </w:rPr>
      </w:pPr>
      <w:r>
        <w:rPr>
          <w:rFonts w:hint="eastAsia" w:ascii="宋体" w:hAnsi="宋体" w:cs="宋体"/>
          <w:color w:val="auto"/>
          <w:sz w:val="24"/>
          <w:highlight w:val="none"/>
        </w:rPr>
        <w:t>6.质疑供应商为自然人的，质疑函应由本人签字；质疑供应商为法人或者其他组织的，质疑函应由法定代表人、主要负责人，或者其授权代表签字或者盖章，并加盖公章。</w:t>
      </w:r>
    </w:p>
    <w:p w14:paraId="36D8FCFE">
      <w:pPr>
        <w:rPr>
          <w:rFonts w:ascii="宋体" w:hAnsi="宋体" w:cs="宋体"/>
          <w:color w:val="auto"/>
          <w:sz w:val="20"/>
          <w:szCs w:val="22"/>
          <w:highlight w:val="none"/>
        </w:rPr>
      </w:pPr>
    </w:p>
    <w:p w14:paraId="689E9251">
      <w:pPr>
        <w:pStyle w:val="3"/>
        <w:ind w:firstLine="560"/>
        <w:rPr>
          <w:rFonts w:ascii="宋体" w:hAnsi="宋体" w:eastAsia="宋体" w:cs="宋体"/>
          <w:color w:val="auto"/>
          <w:sz w:val="28"/>
          <w:szCs w:val="22"/>
          <w:highlight w:val="none"/>
        </w:rPr>
      </w:pPr>
    </w:p>
    <w:p w14:paraId="4196B4EF">
      <w:pPr>
        <w:pStyle w:val="18"/>
        <w:rPr>
          <w:rFonts w:ascii="宋体" w:hAnsi="宋体" w:cs="宋体"/>
          <w:color w:val="auto"/>
          <w:sz w:val="20"/>
          <w:szCs w:val="22"/>
          <w:highlight w:val="none"/>
        </w:rPr>
      </w:pPr>
    </w:p>
    <w:p w14:paraId="03209789">
      <w:pPr>
        <w:rPr>
          <w:rFonts w:ascii="宋体" w:hAnsi="宋体" w:cs="宋体"/>
          <w:color w:val="auto"/>
          <w:sz w:val="20"/>
          <w:szCs w:val="22"/>
          <w:highlight w:val="none"/>
        </w:rPr>
      </w:pPr>
    </w:p>
    <w:p w14:paraId="3629279D">
      <w:pPr>
        <w:pStyle w:val="5"/>
        <w:keepNext w:val="0"/>
        <w:keepLines w:val="0"/>
        <w:pageBreakBefore/>
        <w:rPr>
          <w:rFonts w:ascii="宋体" w:hAnsi="宋体" w:eastAsia="宋体" w:cs="宋体"/>
          <w:b w:val="0"/>
          <w:color w:val="auto"/>
          <w:sz w:val="24"/>
          <w:highlight w:val="none"/>
        </w:rPr>
      </w:pPr>
      <w:bookmarkStart w:id="113" w:name="_Toc28792"/>
      <w:bookmarkStart w:id="114" w:name="_Toc511"/>
      <w:bookmarkStart w:id="115" w:name="_Toc32533"/>
      <w:r>
        <w:rPr>
          <w:rFonts w:hint="eastAsia" w:ascii="宋体" w:hAnsi="宋体" w:eastAsia="宋体" w:cs="宋体"/>
          <w:b w:val="0"/>
          <w:color w:val="auto"/>
          <w:sz w:val="24"/>
          <w:highlight w:val="none"/>
        </w:rPr>
        <w:t>附件二十二：投诉书范本</w:t>
      </w:r>
      <w:bookmarkEnd w:id="113"/>
      <w:bookmarkEnd w:id="114"/>
      <w:bookmarkEnd w:id="115"/>
    </w:p>
    <w:p w14:paraId="3833D2DD">
      <w:pPr>
        <w:jc w:val="center"/>
        <w:rPr>
          <w:rFonts w:ascii="宋体" w:hAnsi="宋体" w:cs="宋体"/>
          <w:b/>
          <w:color w:val="auto"/>
          <w:sz w:val="40"/>
          <w:szCs w:val="40"/>
          <w:highlight w:val="none"/>
        </w:rPr>
      </w:pPr>
      <w:r>
        <w:rPr>
          <w:rFonts w:hint="eastAsia" w:ascii="宋体" w:hAnsi="宋体" w:cs="宋体"/>
          <w:b/>
          <w:color w:val="auto"/>
          <w:sz w:val="40"/>
          <w:szCs w:val="40"/>
          <w:highlight w:val="none"/>
        </w:rPr>
        <w:t>投诉书范本</w:t>
      </w:r>
    </w:p>
    <w:p w14:paraId="03AD9074">
      <w:pPr>
        <w:rPr>
          <w:rFonts w:ascii="宋体" w:hAnsi="宋体" w:cs="宋体"/>
          <w:color w:val="auto"/>
          <w:sz w:val="28"/>
          <w:szCs w:val="28"/>
          <w:highlight w:val="none"/>
        </w:rPr>
      </w:pPr>
      <w:r>
        <w:rPr>
          <w:rFonts w:hint="eastAsia" w:ascii="宋体" w:hAnsi="宋体" w:cs="宋体"/>
          <w:color w:val="auto"/>
          <w:sz w:val="28"/>
          <w:szCs w:val="28"/>
          <w:highlight w:val="none"/>
        </w:rPr>
        <w:t>一、投诉相关主体基本情况</w:t>
      </w:r>
    </w:p>
    <w:p w14:paraId="384DB362">
      <w:pPr>
        <w:rPr>
          <w:rFonts w:ascii="宋体" w:hAnsi="宋体" w:cs="宋体"/>
          <w:color w:val="auto"/>
          <w:sz w:val="28"/>
          <w:szCs w:val="28"/>
          <w:highlight w:val="none"/>
          <w:u w:val="dotted"/>
        </w:rPr>
      </w:pPr>
      <w:r>
        <w:rPr>
          <w:rFonts w:hint="eastAsia" w:ascii="宋体" w:hAnsi="宋体" w:cs="宋体"/>
          <w:color w:val="auto"/>
          <w:sz w:val="28"/>
          <w:szCs w:val="28"/>
          <w:highlight w:val="none"/>
        </w:rPr>
        <w:t>投诉人：</w:t>
      </w:r>
      <w:r>
        <w:rPr>
          <w:rFonts w:hint="eastAsia" w:ascii="宋体" w:hAnsi="宋体" w:cs="宋体"/>
          <w:color w:val="auto"/>
          <w:sz w:val="28"/>
          <w:szCs w:val="28"/>
          <w:highlight w:val="none"/>
          <w:u w:val="dotted"/>
        </w:rPr>
        <w:t xml:space="preserve">                                               </w:t>
      </w:r>
    </w:p>
    <w:p w14:paraId="6970C8F4">
      <w:pPr>
        <w:rPr>
          <w:rFonts w:ascii="宋体" w:hAnsi="宋体" w:cs="宋体"/>
          <w:color w:val="auto"/>
          <w:sz w:val="28"/>
          <w:szCs w:val="28"/>
          <w:highlight w:val="none"/>
          <w:u w:val="single"/>
        </w:rPr>
      </w:pPr>
      <w:r>
        <w:rPr>
          <w:rFonts w:hint="eastAsia" w:ascii="宋体" w:hAnsi="宋体" w:cs="宋体"/>
          <w:color w:val="auto"/>
          <w:sz w:val="28"/>
          <w:szCs w:val="28"/>
          <w:highlight w:val="none"/>
        </w:rPr>
        <w:t>地     址：</w:t>
      </w:r>
      <w:r>
        <w:rPr>
          <w:rFonts w:hint="eastAsia" w:ascii="宋体" w:hAnsi="宋体" w:cs="宋体"/>
          <w:color w:val="auto"/>
          <w:sz w:val="28"/>
          <w:szCs w:val="28"/>
          <w:highlight w:val="none"/>
          <w:u w:val="dotted"/>
        </w:rPr>
        <w:t xml:space="preserve">                             </w:t>
      </w:r>
      <w:r>
        <w:rPr>
          <w:rFonts w:hint="eastAsia" w:ascii="宋体" w:hAnsi="宋体" w:cs="宋体"/>
          <w:color w:val="auto"/>
          <w:sz w:val="28"/>
          <w:szCs w:val="28"/>
          <w:highlight w:val="none"/>
        </w:rPr>
        <w:t>邮编：</w:t>
      </w:r>
      <w:r>
        <w:rPr>
          <w:rFonts w:hint="eastAsia" w:ascii="宋体" w:hAnsi="宋体" w:cs="宋体"/>
          <w:color w:val="auto"/>
          <w:sz w:val="28"/>
          <w:szCs w:val="28"/>
          <w:highlight w:val="none"/>
          <w:u w:val="dotted"/>
        </w:rPr>
        <w:t xml:space="preserve">         </w:t>
      </w:r>
      <w:r>
        <w:rPr>
          <w:rFonts w:hint="eastAsia" w:ascii="宋体" w:hAnsi="宋体" w:cs="宋体"/>
          <w:color w:val="auto"/>
          <w:sz w:val="28"/>
          <w:szCs w:val="28"/>
          <w:highlight w:val="none"/>
          <w:u w:val="single"/>
        </w:rPr>
        <w:t xml:space="preserve">   </w:t>
      </w:r>
    </w:p>
    <w:p w14:paraId="6B948E71">
      <w:pPr>
        <w:tabs>
          <w:tab w:val="left" w:pos="6510"/>
        </w:tabs>
        <w:jc w:val="left"/>
        <w:rPr>
          <w:rFonts w:ascii="宋体" w:hAnsi="宋体" w:cs="宋体"/>
          <w:color w:val="auto"/>
          <w:sz w:val="28"/>
          <w:szCs w:val="28"/>
          <w:highlight w:val="none"/>
        </w:rPr>
      </w:pPr>
      <w:r>
        <w:rPr>
          <w:rFonts w:hint="eastAsia" w:ascii="宋体" w:hAnsi="宋体" w:cs="宋体"/>
          <w:color w:val="auto"/>
          <w:sz w:val="28"/>
          <w:szCs w:val="28"/>
          <w:highlight w:val="none"/>
        </w:rPr>
        <w:t>法定代表人/主要负责人：</w:t>
      </w:r>
      <w:r>
        <w:rPr>
          <w:rFonts w:hint="eastAsia" w:ascii="宋体" w:hAnsi="宋体" w:cs="宋体"/>
          <w:color w:val="auto"/>
          <w:sz w:val="28"/>
          <w:szCs w:val="28"/>
          <w:highlight w:val="none"/>
          <w:u w:val="dotted"/>
        </w:rPr>
        <w:t xml:space="preserve">                                   </w:t>
      </w:r>
      <w:r>
        <w:rPr>
          <w:rFonts w:hint="eastAsia" w:ascii="宋体" w:hAnsi="宋体" w:cs="宋体"/>
          <w:color w:val="auto"/>
          <w:sz w:val="28"/>
          <w:szCs w:val="28"/>
          <w:highlight w:val="none"/>
        </w:rPr>
        <w:t xml:space="preserve">  </w:t>
      </w:r>
    </w:p>
    <w:p w14:paraId="3EE41371">
      <w:pPr>
        <w:tabs>
          <w:tab w:val="left" w:pos="6510"/>
        </w:tabs>
        <w:rPr>
          <w:rFonts w:ascii="宋体" w:hAnsi="宋体" w:cs="宋体"/>
          <w:color w:val="auto"/>
          <w:sz w:val="28"/>
          <w:szCs w:val="28"/>
          <w:highlight w:val="none"/>
          <w:u w:val="dotted"/>
        </w:rPr>
      </w:pPr>
      <w:r>
        <w:rPr>
          <w:rFonts w:hint="eastAsia" w:ascii="宋体" w:hAnsi="宋体" w:cs="宋体"/>
          <w:color w:val="auto"/>
          <w:sz w:val="28"/>
          <w:szCs w:val="28"/>
          <w:highlight w:val="none"/>
        </w:rPr>
        <w:t>联系电话：</w:t>
      </w:r>
      <w:r>
        <w:rPr>
          <w:rFonts w:hint="eastAsia" w:ascii="宋体" w:hAnsi="宋体" w:cs="宋体"/>
          <w:color w:val="auto"/>
          <w:sz w:val="28"/>
          <w:szCs w:val="28"/>
          <w:highlight w:val="none"/>
          <w:u w:val="dotted"/>
        </w:rPr>
        <w:t xml:space="preserve">                                             </w:t>
      </w:r>
    </w:p>
    <w:p w14:paraId="141BDE81">
      <w:pPr>
        <w:rPr>
          <w:rFonts w:ascii="宋体" w:hAnsi="宋体" w:cs="宋体"/>
          <w:color w:val="auto"/>
          <w:sz w:val="28"/>
          <w:szCs w:val="28"/>
          <w:highlight w:val="none"/>
          <w:u w:val="dotted"/>
        </w:rPr>
      </w:pPr>
      <w:r>
        <w:rPr>
          <w:rFonts w:hint="eastAsia" w:ascii="宋体" w:hAnsi="宋体" w:cs="宋体"/>
          <w:color w:val="auto"/>
          <w:sz w:val="28"/>
          <w:szCs w:val="28"/>
          <w:highlight w:val="none"/>
        </w:rPr>
        <w:t>授权代表：</w:t>
      </w:r>
      <w:r>
        <w:rPr>
          <w:rFonts w:hint="eastAsia" w:ascii="宋体" w:hAnsi="宋体" w:cs="宋体"/>
          <w:color w:val="auto"/>
          <w:sz w:val="28"/>
          <w:szCs w:val="28"/>
          <w:highlight w:val="none"/>
          <w:u w:val="dotted"/>
        </w:rPr>
        <w:t xml:space="preserve">             </w:t>
      </w:r>
      <w:r>
        <w:rPr>
          <w:rFonts w:hint="eastAsia" w:ascii="宋体" w:hAnsi="宋体" w:cs="宋体"/>
          <w:color w:val="auto"/>
          <w:sz w:val="28"/>
          <w:szCs w:val="28"/>
          <w:highlight w:val="none"/>
        </w:rPr>
        <w:t>联系电话</w:t>
      </w:r>
      <w:r>
        <w:rPr>
          <w:rFonts w:hint="eastAsia" w:ascii="宋体" w:hAnsi="宋体" w:cs="宋体"/>
          <w:color w:val="auto"/>
          <w:sz w:val="28"/>
          <w:szCs w:val="28"/>
          <w:highlight w:val="none"/>
          <w:u w:val="dotted"/>
        </w:rPr>
        <w:t xml:space="preserve">：                  </w:t>
      </w:r>
    </w:p>
    <w:p w14:paraId="09BF5F48">
      <w:pPr>
        <w:rPr>
          <w:rFonts w:ascii="宋体" w:hAnsi="宋体" w:cs="宋体"/>
          <w:color w:val="auto"/>
          <w:sz w:val="28"/>
          <w:szCs w:val="28"/>
          <w:highlight w:val="none"/>
          <w:u w:val="dotted"/>
        </w:rPr>
      </w:pPr>
      <w:r>
        <w:rPr>
          <w:rFonts w:hint="eastAsia" w:ascii="宋体" w:hAnsi="宋体" w:cs="宋体"/>
          <w:color w:val="auto"/>
          <w:sz w:val="28"/>
          <w:szCs w:val="28"/>
          <w:highlight w:val="none"/>
        </w:rPr>
        <w:t>地     址：</w:t>
      </w:r>
      <w:r>
        <w:rPr>
          <w:rFonts w:hint="eastAsia" w:ascii="宋体" w:hAnsi="宋体" w:cs="宋体"/>
          <w:color w:val="auto"/>
          <w:sz w:val="28"/>
          <w:szCs w:val="28"/>
          <w:highlight w:val="none"/>
          <w:u w:val="dotted"/>
        </w:rPr>
        <w:t xml:space="preserve">                             </w:t>
      </w:r>
      <w:r>
        <w:rPr>
          <w:rFonts w:hint="eastAsia" w:ascii="宋体" w:hAnsi="宋体" w:cs="宋体"/>
          <w:color w:val="auto"/>
          <w:sz w:val="28"/>
          <w:szCs w:val="28"/>
          <w:highlight w:val="none"/>
        </w:rPr>
        <w:t>邮编：</w:t>
      </w:r>
      <w:r>
        <w:rPr>
          <w:rFonts w:hint="eastAsia" w:ascii="宋体" w:hAnsi="宋体" w:cs="宋体"/>
          <w:color w:val="auto"/>
          <w:sz w:val="28"/>
          <w:szCs w:val="28"/>
          <w:highlight w:val="none"/>
          <w:u w:val="dotted"/>
        </w:rPr>
        <w:t xml:space="preserve">         </w:t>
      </w:r>
      <w:r>
        <w:rPr>
          <w:rFonts w:hint="eastAsia" w:ascii="宋体" w:hAnsi="宋体" w:cs="宋体"/>
          <w:color w:val="auto"/>
          <w:sz w:val="28"/>
          <w:szCs w:val="28"/>
          <w:highlight w:val="none"/>
          <w:u w:val="single"/>
        </w:rPr>
        <w:t xml:space="preserve"> </w:t>
      </w:r>
      <w:r>
        <w:rPr>
          <w:rFonts w:hint="eastAsia" w:ascii="宋体" w:hAnsi="宋体" w:cs="宋体"/>
          <w:color w:val="auto"/>
          <w:sz w:val="28"/>
          <w:szCs w:val="28"/>
          <w:highlight w:val="none"/>
          <w:u w:val="dotted"/>
        </w:rPr>
        <w:t xml:space="preserve">                   </w:t>
      </w:r>
    </w:p>
    <w:p w14:paraId="5D4F05A6">
      <w:pPr>
        <w:rPr>
          <w:rFonts w:ascii="宋体" w:hAnsi="宋体" w:cs="宋体"/>
          <w:color w:val="auto"/>
          <w:sz w:val="28"/>
          <w:szCs w:val="28"/>
          <w:highlight w:val="none"/>
          <w:u w:val="single"/>
        </w:rPr>
      </w:pPr>
      <w:r>
        <w:rPr>
          <w:rFonts w:hint="eastAsia" w:ascii="宋体" w:hAnsi="宋体" w:cs="宋体"/>
          <w:color w:val="auto"/>
          <w:sz w:val="28"/>
          <w:szCs w:val="28"/>
          <w:highlight w:val="none"/>
        </w:rPr>
        <w:t>被投诉人1：</w:t>
      </w:r>
      <w:r>
        <w:rPr>
          <w:rFonts w:hint="eastAsia" w:ascii="宋体" w:hAnsi="宋体" w:cs="宋体"/>
          <w:color w:val="auto"/>
          <w:sz w:val="28"/>
          <w:szCs w:val="28"/>
          <w:highlight w:val="none"/>
          <w:u w:val="dotted"/>
        </w:rPr>
        <w:t xml:space="preserve">                                           </w:t>
      </w:r>
      <w:r>
        <w:rPr>
          <w:rFonts w:hint="eastAsia" w:ascii="宋体" w:hAnsi="宋体" w:cs="宋体"/>
          <w:color w:val="auto"/>
          <w:sz w:val="28"/>
          <w:szCs w:val="28"/>
          <w:highlight w:val="none"/>
          <w:u w:val="single"/>
        </w:rPr>
        <w:t xml:space="preserve">  </w:t>
      </w:r>
    </w:p>
    <w:p w14:paraId="7BA92AD0">
      <w:pPr>
        <w:rPr>
          <w:rFonts w:ascii="宋体" w:hAnsi="宋体" w:cs="宋体"/>
          <w:color w:val="auto"/>
          <w:sz w:val="28"/>
          <w:szCs w:val="28"/>
          <w:highlight w:val="none"/>
          <w:u w:val="single"/>
        </w:rPr>
      </w:pPr>
      <w:r>
        <w:rPr>
          <w:rFonts w:hint="eastAsia" w:ascii="宋体" w:hAnsi="宋体" w:cs="宋体"/>
          <w:color w:val="auto"/>
          <w:sz w:val="28"/>
          <w:szCs w:val="28"/>
          <w:highlight w:val="none"/>
        </w:rPr>
        <w:t>地     址：</w:t>
      </w:r>
      <w:r>
        <w:rPr>
          <w:rFonts w:hint="eastAsia" w:ascii="宋体" w:hAnsi="宋体" w:cs="宋体"/>
          <w:color w:val="auto"/>
          <w:sz w:val="28"/>
          <w:szCs w:val="28"/>
          <w:highlight w:val="none"/>
          <w:u w:val="dotted"/>
        </w:rPr>
        <w:t xml:space="preserve">                             </w:t>
      </w:r>
      <w:r>
        <w:rPr>
          <w:rFonts w:hint="eastAsia" w:ascii="宋体" w:hAnsi="宋体" w:cs="宋体"/>
          <w:color w:val="auto"/>
          <w:sz w:val="28"/>
          <w:szCs w:val="28"/>
          <w:highlight w:val="none"/>
        </w:rPr>
        <w:t>邮编：</w:t>
      </w:r>
      <w:r>
        <w:rPr>
          <w:rFonts w:hint="eastAsia" w:ascii="宋体" w:hAnsi="宋体" w:cs="宋体"/>
          <w:color w:val="auto"/>
          <w:sz w:val="28"/>
          <w:szCs w:val="28"/>
          <w:highlight w:val="none"/>
          <w:u w:val="dotted"/>
        </w:rPr>
        <w:t xml:space="preserve">          </w:t>
      </w:r>
      <w:r>
        <w:rPr>
          <w:rFonts w:hint="eastAsia" w:ascii="宋体" w:hAnsi="宋体" w:cs="宋体"/>
          <w:color w:val="auto"/>
          <w:sz w:val="28"/>
          <w:szCs w:val="28"/>
          <w:highlight w:val="none"/>
          <w:u w:val="single"/>
        </w:rPr>
        <w:t xml:space="preserve"> </w:t>
      </w:r>
    </w:p>
    <w:p w14:paraId="45A494B1">
      <w:pPr>
        <w:rPr>
          <w:rFonts w:ascii="宋体" w:hAnsi="宋体" w:cs="宋体"/>
          <w:color w:val="auto"/>
          <w:sz w:val="28"/>
          <w:szCs w:val="28"/>
          <w:highlight w:val="none"/>
          <w:u w:val="single"/>
        </w:rPr>
      </w:pPr>
      <w:r>
        <w:rPr>
          <w:rFonts w:hint="eastAsia" w:ascii="宋体" w:hAnsi="宋体" w:cs="宋体"/>
          <w:color w:val="auto"/>
          <w:sz w:val="28"/>
          <w:szCs w:val="28"/>
          <w:highlight w:val="none"/>
        </w:rPr>
        <w:t>联系人：</w:t>
      </w:r>
      <w:r>
        <w:rPr>
          <w:rFonts w:hint="eastAsia" w:ascii="宋体" w:hAnsi="宋体" w:cs="宋体"/>
          <w:color w:val="auto"/>
          <w:sz w:val="28"/>
          <w:szCs w:val="28"/>
          <w:highlight w:val="none"/>
          <w:u w:val="dotted"/>
        </w:rPr>
        <w:t xml:space="preserve">               </w:t>
      </w:r>
      <w:r>
        <w:rPr>
          <w:rFonts w:hint="eastAsia" w:ascii="宋体" w:hAnsi="宋体" w:cs="宋体"/>
          <w:color w:val="auto"/>
          <w:sz w:val="28"/>
          <w:szCs w:val="28"/>
          <w:highlight w:val="none"/>
        </w:rPr>
        <w:t>联系电话：</w:t>
      </w:r>
      <w:r>
        <w:rPr>
          <w:rFonts w:hint="eastAsia" w:ascii="宋体" w:hAnsi="宋体" w:cs="宋体"/>
          <w:color w:val="auto"/>
          <w:sz w:val="28"/>
          <w:szCs w:val="28"/>
          <w:highlight w:val="none"/>
          <w:u w:val="dotted"/>
        </w:rPr>
        <w:t xml:space="preserve">                      </w:t>
      </w:r>
      <w:r>
        <w:rPr>
          <w:rFonts w:hint="eastAsia" w:ascii="宋体" w:hAnsi="宋体" w:cs="宋体"/>
          <w:color w:val="auto"/>
          <w:sz w:val="28"/>
          <w:szCs w:val="28"/>
          <w:highlight w:val="none"/>
          <w:u w:val="single"/>
        </w:rPr>
        <w:t xml:space="preserve"> </w:t>
      </w:r>
    </w:p>
    <w:p w14:paraId="2FC2CAE2">
      <w:pPr>
        <w:rPr>
          <w:rFonts w:ascii="宋体" w:hAnsi="宋体" w:cs="宋体"/>
          <w:color w:val="auto"/>
          <w:sz w:val="28"/>
          <w:szCs w:val="28"/>
          <w:highlight w:val="none"/>
        </w:rPr>
      </w:pPr>
      <w:r>
        <w:rPr>
          <w:rFonts w:hint="eastAsia" w:ascii="宋体" w:hAnsi="宋体" w:cs="宋体"/>
          <w:color w:val="auto"/>
          <w:sz w:val="28"/>
          <w:szCs w:val="28"/>
          <w:highlight w:val="none"/>
        </w:rPr>
        <w:t>被投诉人2</w:t>
      </w:r>
    </w:p>
    <w:p w14:paraId="5136E629">
      <w:pPr>
        <w:rPr>
          <w:rFonts w:ascii="宋体" w:hAnsi="宋体" w:cs="宋体"/>
          <w:color w:val="auto"/>
          <w:sz w:val="28"/>
          <w:szCs w:val="28"/>
          <w:highlight w:val="none"/>
          <w:u w:val="dotted"/>
        </w:rPr>
      </w:pPr>
      <w:r>
        <w:rPr>
          <w:rFonts w:hint="eastAsia" w:ascii="宋体" w:hAnsi="宋体" w:cs="宋体"/>
          <w:color w:val="auto"/>
          <w:sz w:val="28"/>
          <w:szCs w:val="28"/>
          <w:highlight w:val="none"/>
        </w:rPr>
        <w:t>……</w:t>
      </w:r>
    </w:p>
    <w:p w14:paraId="294F6FD9">
      <w:pPr>
        <w:rPr>
          <w:rFonts w:ascii="宋体" w:hAnsi="宋体" w:cs="宋体"/>
          <w:color w:val="auto"/>
          <w:sz w:val="28"/>
          <w:szCs w:val="28"/>
          <w:highlight w:val="none"/>
          <w:u w:val="single"/>
        </w:rPr>
      </w:pPr>
      <w:r>
        <w:rPr>
          <w:rFonts w:hint="eastAsia" w:ascii="宋体" w:hAnsi="宋体" w:cs="宋体"/>
          <w:color w:val="auto"/>
          <w:sz w:val="28"/>
          <w:szCs w:val="28"/>
          <w:highlight w:val="none"/>
        </w:rPr>
        <w:t>相关供应商：</w:t>
      </w:r>
      <w:r>
        <w:rPr>
          <w:rFonts w:hint="eastAsia" w:ascii="宋体" w:hAnsi="宋体" w:cs="宋体"/>
          <w:color w:val="auto"/>
          <w:sz w:val="28"/>
          <w:szCs w:val="28"/>
          <w:highlight w:val="none"/>
          <w:u w:val="dotted"/>
        </w:rPr>
        <w:t xml:space="preserve">                                           </w:t>
      </w:r>
      <w:r>
        <w:rPr>
          <w:rFonts w:hint="eastAsia" w:ascii="宋体" w:hAnsi="宋体" w:cs="宋体"/>
          <w:color w:val="auto"/>
          <w:sz w:val="28"/>
          <w:szCs w:val="28"/>
          <w:highlight w:val="none"/>
          <w:u w:val="single"/>
        </w:rPr>
        <w:t xml:space="preserve">    </w:t>
      </w:r>
    </w:p>
    <w:p w14:paraId="340625D0">
      <w:pPr>
        <w:rPr>
          <w:rFonts w:ascii="宋体" w:hAnsi="宋体" w:cs="宋体"/>
          <w:color w:val="auto"/>
          <w:sz w:val="28"/>
          <w:szCs w:val="28"/>
          <w:highlight w:val="none"/>
          <w:u w:val="single"/>
        </w:rPr>
      </w:pPr>
      <w:r>
        <w:rPr>
          <w:rFonts w:hint="eastAsia" w:ascii="宋体" w:hAnsi="宋体" w:cs="宋体"/>
          <w:color w:val="auto"/>
          <w:sz w:val="28"/>
          <w:szCs w:val="28"/>
          <w:highlight w:val="none"/>
        </w:rPr>
        <w:t>地     址：</w:t>
      </w:r>
      <w:r>
        <w:rPr>
          <w:rFonts w:hint="eastAsia" w:ascii="宋体" w:hAnsi="宋体" w:cs="宋体"/>
          <w:color w:val="auto"/>
          <w:sz w:val="28"/>
          <w:szCs w:val="28"/>
          <w:highlight w:val="none"/>
          <w:u w:val="dotted"/>
        </w:rPr>
        <w:t xml:space="preserve">                             </w:t>
      </w:r>
      <w:r>
        <w:rPr>
          <w:rFonts w:hint="eastAsia" w:ascii="宋体" w:hAnsi="宋体" w:cs="宋体"/>
          <w:color w:val="auto"/>
          <w:sz w:val="28"/>
          <w:szCs w:val="28"/>
          <w:highlight w:val="none"/>
        </w:rPr>
        <w:t>邮编：</w:t>
      </w:r>
      <w:r>
        <w:rPr>
          <w:rFonts w:hint="eastAsia" w:ascii="宋体" w:hAnsi="宋体" w:cs="宋体"/>
          <w:color w:val="auto"/>
          <w:sz w:val="28"/>
          <w:szCs w:val="28"/>
          <w:highlight w:val="none"/>
          <w:u w:val="dotted"/>
        </w:rPr>
        <w:t xml:space="preserve">          </w:t>
      </w:r>
      <w:r>
        <w:rPr>
          <w:rFonts w:hint="eastAsia" w:ascii="宋体" w:hAnsi="宋体" w:cs="宋体"/>
          <w:color w:val="auto"/>
          <w:sz w:val="28"/>
          <w:szCs w:val="28"/>
          <w:highlight w:val="none"/>
          <w:u w:val="single"/>
        </w:rPr>
        <w:t xml:space="preserve"> </w:t>
      </w:r>
    </w:p>
    <w:p w14:paraId="2C27AD1A">
      <w:pPr>
        <w:rPr>
          <w:rFonts w:ascii="宋体" w:hAnsi="宋体" w:cs="宋体"/>
          <w:color w:val="auto"/>
          <w:sz w:val="28"/>
          <w:szCs w:val="28"/>
          <w:highlight w:val="none"/>
          <w:u w:val="single"/>
        </w:rPr>
      </w:pPr>
      <w:r>
        <w:rPr>
          <w:rFonts w:hint="eastAsia" w:ascii="宋体" w:hAnsi="宋体" w:cs="宋体"/>
          <w:color w:val="auto"/>
          <w:sz w:val="28"/>
          <w:szCs w:val="28"/>
          <w:highlight w:val="none"/>
        </w:rPr>
        <w:t>联系人：</w:t>
      </w:r>
      <w:r>
        <w:rPr>
          <w:rFonts w:hint="eastAsia" w:ascii="宋体" w:hAnsi="宋体" w:cs="宋体"/>
          <w:color w:val="auto"/>
          <w:sz w:val="28"/>
          <w:szCs w:val="28"/>
          <w:highlight w:val="none"/>
          <w:u w:val="dotted"/>
        </w:rPr>
        <w:t xml:space="preserve">               </w:t>
      </w:r>
      <w:r>
        <w:rPr>
          <w:rFonts w:hint="eastAsia" w:ascii="宋体" w:hAnsi="宋体" w:cs="宋体"/>
          <w:color w:val="auto"/>
          <w:sz w:val="28"/>
          <w:szCs w:val="28"/>
          <w:highlight w:val="none"/>
        </w:rPr>
        <w:t>联系电话：</w:t>
      </w:r>
      <w:r>
        <w:rPr>
          <w:rFonts w:hint="eastAsia" w:ascii="宋体" w:hAnsi="宋体" w:cs="宋体"/>
          <w:color w:val="auto"/>
          <w:sz w:val="28"/>
          <w:szCs w:val="28"/>
          <w:highlight w:val="none"/>
          <w:u w:val="dotted"/>
        </w:rPr>
        <w:t xml:space="preserve">                      </w:t>
      </w:r>
      <w:r>
        <w:rPr>
          <w:rFonts w:hint="eastAsia" w:ascii="宋体" w:hAnsi="宋体" w:cs="宋体"/>
          <w:color w:val="auto"/>
          <w:sz w:val="28"/>
          <w:szCs w:val="28"/>
          <w:highlight w:val="none"/>
          <w:u w:val="single"/>
        </w:rPr>
        <w:t xml:space="preserve">      </w:t>
      </w:r>
    </w:p>
    <w:p w14:paraId="27208346">
      <w:pPr>
        <w:rPr>
          <w:rFonts w:ascii="宋体" w:hAnsi="宋体" w:cs="宋体"/>
          <w:color w:val="auto"/>
          <w:sz w:val="28"/>
          <w:szCs w:val="28"/>
          <w:highlight w:val="none"/>
        </w:rPr>
      </w:pPr>
      <w:r>
        <w:rPr>
          <w:rFonts w:hint="eastAsia" w:ascii="宋体" w:hAnsi="宋体" w:cs="宋体"/>
          <w:color w:val="auto"/>
          <w:sz w:val="28"/>
          <w:szCs w:val="28"/>
          <w:highlight w:val="none"/>
        </w:rPr>
        <w:t>二、投诉项目基本情况</w:t>
      </w:r>
    </w:p>
    <w:p w14:paraId="4E5EF65E">
      <w:pPr>
        <w:rPr>
          <w:rFonts w:ascii="宋体" w:hAnsi="宋体" w:cs="宋体"/>
          <w:color w:val="auto"/>
          <w:sz w:val="28"/>
          <w:szCs w:val="28"/>
          <w:highlight w:val="none"/>
          <w:u w:val="dotted"/>
        </w:rPr>
      </w:pPr>
      <w:r>
        <w:rPr>
          <w:rFonts w:hint="eastAsia" w:ascii="宋体" w:hAnsi="宋体" w:cs="宋体"/>
          <w:color w:val="auto"/>
          <w:sz w:val="28"/>
          <w:szCs w:val="28"/>
          <w:highlight w:val="none"/>
        </w:rPr>
        <w:t>采购项目名称：</w:t>
      </w:r>
      <w:r>
        <w:rPr>
          <w:rFonts w:hint="eastAsia" w:ascii="宋体" w:hAnsi="宋体" w:cs="宋体"/>
          <w:color w:val="auto"/>
          <w:sz w:val="28"/>
          <w:szCs w:val="28"/>
          <w:highlight w:val="none"/>
          <w:u w:val="dotted"/>
        </w:rPr>
        <w:t xml:space="preserve">                                        </w:t>
      </w:r>
    </w:p>
    <w:p w14:paraId="5D3CA844">
      <w:pPr>
        <w:rPr>
          <w:rFonts w:ascii="宋体" w:hAnsi="宋体" w:cs="宋体"/>
          <w:color w:val="auto"/>
          <w:sz w:val="28"/>
          <w:szCs w:val="28"/>
          <w:highlight w:val="none"/>
          <w:u w:val="single"/>
        </w:rPr>
      </w:pPr>
      <w:r>
        <w:rPr>
          <w:rFonts w:hint="eastAsia" w:ascii="宋体" w:hAnsi="宋体" w:cs="宋体"/>
          <w:color w:val="auto"/>
          <w:sz w:val="28"/>
          <w:szCs w:val="28"/>
          <w:highlight w:val="none"/>
        </w:rPr>
        <w:t>采购项目编号：</w:t>
      </w:r>
      <w:r>
        <w:rPr>
          <w:rFonts w:hint="eastAsia" w:ascii="宋体" w:hAnsi="宋体" w:cs="宋体"/>
          <w:color w:val="auto"/>
          <w:sz w:val="28"/>
          <w:szCs w:val="28"/>
          <w:highlight w:val="none"/>
          <w:u w:val="dotted"/>
        </w:rPr>
        <w:t xml:space="preserve">                 </w:t>
      </w:r>
      <w:r>
        <w:rPr>
          <w:rFonts w:hint="eastAsia" w:ascii="宋体" w:hAnsi="宋体" w:cs="宋体"/>
          <w:color w:val="auto"/>
          <w:sz w:val="28"/>
          <w:szCs w:val="28"/>
          <w:highlight w:val="none"/>
        </w:rPr>
        <w:t>包号：</w:t>
      </w:r>
      <w:r>
        <w:rPr>
          <w:rFonts w:hint="eastAsia" w:ascii="宋体" w:hAnsi="宋体" w:cs="宋体"/>
          <w:color w:val="auto"/>
          <w:sz w:val="28"/>
          <w:szCs w:val="28"/>
          <w:highlight w:val="none"/>
          <w:u w:val="dotted"/>
        </w:rPr>
        <w:t xml:space="preserve">              </w:t>
      </w:r>
    </w:p>
    <w:p w14:paraId="73EC9152">
      <w:pPr>
        <w:rPr>
          <w:rFonts w:ascii="宋体" w:hAnsi="宋体" w:cs="宋体"/>
          <w:color w:val="auto"/>
          <w:sz w:val="28"/>
          <w:szCs w:val="28"/>
          <w:highlight w:val="none"/>
        </w:rPr>
      </w:pPr>
      <w:r>
        <w:rPr>
          <w:rFonts w:hint="eastAsia" w:ascii="宋体" w:hAnsi="宋体" w:cs="宋体"/>
          <w:color w:val="auto"/>
          <w:sz w:val="28"/>
          <w:szCs w:val="28"/>
          <w:highlight w:val="none"/>
        </w:rPr>
        <w:t>采购人名称：</w:t>
      </w:r>
      <w:r>
        <w:rPr>
          <w:rFonts w:hint="eastAsia" w:ascii="宋体" w:hAnsi="宋体" w:cs="宋体"/>
          <w:color w:val="auto"/>
          <w:sz w:val="28"/>
          <w:szCs w:val="28"/>
          <w:highlight w:val="none"/>
          <w:u w:val="dotted"/>
        </w:rPr>
        <w:t xml:space="preserve">                                           </w:t>
      </w:r>
      <w:r>
        <w:rPr>
          <w:rFonts w:hint="eastAsia" w:ascii="宋体" w:hAnsi="宋体" w:cs="宋体"/>
          <w:color w:val="auto"/>
          <w:sz w:val="28"/>
          <w:szCs w:val="28"/>
          <w:highlight w:val="none"/>
          <w:u w:val="single"/>
        </w:rPr>
        <w:t xml:space="preserve">  </w:t>
      </w:r>
    </w:p>
    <w:p w14:paraId="1109B4AB">
      <w:pPr>
        <w:rPr>
          <w:rFonts w:ascii="宋体" w:hAnsi="宋体" w:cs="宋体"/>
          <w:color w:val="auto"/>
          <w:sz w:val="28"/>
          <w:szCs w:val="28"/>
          <w:highlight w:val="none"/>
          <w:u w:val="single"/>
        </w:rPr>
      </w:pPr>
      <w:r>
        <w:rPr>
          <w:rFonts w:hint="eastAsia" w:ascii="宋体" w:hAnsi="宋体" w:cs="宋体"/>
          <w:color w:val="auto"/>
          <w:sz w:val="28"/>
          <w:szCs w:val="28"/>
          <w:highlight w:val="none"/>
        </w:rPr>
        <w:t>代理机构名称：</w:t>
      </w:r>
      <w:r>
        <w:rPr>
          <w:rFonts w:hint="eastAsia" w:ascii="宋体" w:hAnsi="宋体" w:cs="宋体"/>
          <w:color w:val="auto"/>
          <w:sz w:val="28"/>
          <w:szCs w:val="28"/>
          <w:highlight w:val="none"/>
          <w:u w:val="dotted"/>
        </w:rPr>
        <w:t xml:space="preserve">                                         </w:t>
      </w:r>
    </w:p>
    <w:p w14:paraId="33E93C36">
      <w:pPr>
        <w:rPr>
          <w:rFonts w:ascii="宋体" w:hAnsi="宋体" w:cs="宋体"/>
          <w:color w:val="auto"/>
          <w:sz w:val="28"/>
          <w:szCs w:val="28"/>
          <w:highlight w:val="none"/>
          <w:u w:val="dotted"/>
        </w:rPr>
      </w:pPr>
      <w:r>
        <w:rPr>
          <w:rFonts w:hint="eastAsia" w:ascii="宋体" w:hAnsi="宋体" w:cs="宋体"/>
          <w:color w:val="auto"/>
          <w:sz w:val="28"/>
          <w:szCs w:val="28"/>
          <w:highlight w:val="none"/>
        </w:rPr>
        <w:t>采购文件公告:</w:t>
      </w:r>
      <w:r>
        <w:rPr>
          <w:rFonts w:hint="eastAsia" w:ascii="宋体" w:hAnsi="宋体" w:cs="宋体"/>
          <w:color w:val="auto"/>
          <w:sz w:val="28"/>
          <w:szCs w:val="28"/>
          <w:highlight w:val="none"/>
          <w:u w:val="dotted"/>
        </w:rPr>
        <w:t xml:space="preserve">是/否 </w:t>
      </w:r>
      <w:r>
        <w:rPr>
          <w:rFonts w:hint="eastAsia" w:ascii="宋体" w:hAnsi="宋体" w:cs="宋体"/>
          <w:color w:val="auto"/>
          <w:sz w:val="28"/>
          <w:szCs w:val="28"/>
          <w:highlight w:val="none"/>
        </w:rPr>
        <w:t>公告期限：</w:t>
      </w:r>
      <w:r>
        <w:rPr>
          <w:rFonts w:hint="eastAsia" w:ascii="宋体" w:hAnsi="宋体" w:cs="宋体"/>
          <w:color w:val="auto"/>
          <w:sz w:val="28"/>
          <w:szCs w:val="28"/>
          <w:highlight w:val="none"/>
          <w:u w:val="dotted"/>
        </w:rPr>
        <w:t xml:space="preserve">                                 </w:t>
      </w:r>
    </w:p>
    <w:p w14:paraId="30CE7ADE">
      <w:pPr>
        <w:rPr>
          <w:rFonts w:ascii="宋体" w:hAnsi="宋体" w:cs="宋体"/>
          <w:color w:val="auto"/>
          <w:sz w:val="28"/>
          <w:szCs w:val="28"/>
          <w:highlight w:val="none"/>
          <w:u w:val="single"/>
        </w:rPr>
      </w:pPr>
      <w:r>
        <w:rPr>
          <w:rFonts w:hint="eastAsia" w:ascii="宋体" w:hAnsi="宋体" w:cs="宋体"/>
          <w:color w:val="auto"/>
          <w:sz w:val="28"/>
          <w:szCs w:val="28"/>
          <w:highlight w:val="none"/>
        </w:rPr>
        <w:t>采购结果公告:</w:t>
      </w:r>
      <w:r>
        <w:rPr>
          <w:rFonts w:hint="eastAsia" w:ascii="宋体" w:hAnsi="宋体" w:cs="宋体"/>
          <w:color w:val="auto"/>
          <w:sz w:val="28"/>
          <w:szCs w:val="28"/>
          <w:highlight w:val="none"/>
          <w:u w:val="dotted"/>
        </w:rPr>
        <w:t xml:space="preserve">是/否 </w:t>
      </w:r>
      <w:r>
        <w:rPr>
          <w:rFonts w:hint="eastAsia" w:ascii="宋体" w:hAnsi="宋体" w:cs="宋体"/>
          <w:color w:val="auto"/>
          <w:sz w:val="28"/>
          <w:szCs w:val="28"/>
          <w:highlight w:val="none"/>
        </w:rPr>
        <w:t>公告期限：</w:t>
      </w:r>
      <w:r>
        <w:rPr>
          <w:rFonts w:hint="eastAsia" w:ascii="宋体" w:hAnsi="宋体" w:cs="宋体"/>
          <w:color w:val="auto"/>
          <w:sz w:val="28"/>
          <w:szCs w:val="28"/>
          <w:highlight w:val="none"/>
          <w:u w:val="dotted"/>
        </w:rPr>
        <w:t xml:space="preserve">                        </w:t>
      </w:r>
    </w:p>
    <w:p w14:paraId="2B687C6D">
      <w:pPr>
        <w:rPr>
          <w:rFonts w:ascii="宋体" w:hAnsi="宋体" w:cs="宋体"/>
          <w:color w:val="auto"/>
          <w:sz w:val="28"/>
          <w:szCs w:val="28"/>
          <w:highlight w:val="none"/>
        </w:rPr>
      </w:pPr>
      <w:r>
        <w:rPr>
          <w:rFonts w:hint="eastAsia" w:ascii="宋体" w:hAnsi="宋体" w:cs="宋体"/>
          <w:color w:val="auto"/>
          <w:sz w:val="28"/>
          <w:szCs w:val="28"/>
          <w:highlight w:val="none"/>
        </w:rPr>
        <w:t>三、质疑基本情况</w:t>
      </w:r>
    </w:p>
    <w:p w14:paraId="4871198D">
      <w:pPr>
        <w:ind w:firstLine="560" w:firstLineChars="200"/>
        <w:rPr>
          <w:rFonts w:ascii="宋体" w:hAnsi="宋体" w:cs="宋体"/>
          <w:color w:val="auto"/>
          <w:sz w:val="28"/>
          <w:szCs w:val="28"/>
          <w:highlight w:val="none"/>
          <w:u w:val="dotted"/>
        </w:rPr>
      </w:pPr>
      <w:r>
        <w:rPr>
          <w:rFonts w:hint="eastAsia" w:ascii="宋体" w:hAnsi="宋体" w:cs="宋体"/>
          <w:color w:val="auto"/>
          <w:sz w:val="28"/>
          <w:szCs w:val="28"/>
          <w:highlight w:val="none"/>
        </w:rPr>
        <w:t>投诉人于</w:t>
      </w:r>
      <w:r>
        <w:rPr>
          <w:rFonts w:hint="eastAsia" w:ascii="宋体" w:hAnsi="宋体" w:cs="宋体"/>
          <w:color w:val="auto"/>
          <w:sz w:val="28"/>
          <w:szCs w:val="28"/>
          <w:highlight w:val="none"/>
          <w:u w:val="dotted"/>
        </w:rPr>
        <w:t xml:space="preserve">   </w:t>
      </w:r>
      <w:r>
        <w:rPr>
          <w:rFonts w:hint="eastAsia" w:ascii="宋体" w:hAnsi="宋体" w:cs="宋体"/>
          <w:color w:val="auto"/>
          <w:sz w:val="28"/>
          <w:szCs w:val="28"/>
          <w:highlight w:val="none"/>
        </w:rPr>
        <w:t>年</w:t>
      </w:r>
      <w:r>
        <w:rPr>
          <w:rFonts w:hint="eastAsia" w:ascii="宋体" w:hAnsi="宋体" w:cs="宋体"/>
          <w:color w:val="auto"/>
          <w:sz w:val="28"/>
          <w:szCs w:val="28"/>
          <w:highlight w:val="none"/>
          <w:u w:val="dotted"/>
        </w:rPr>
        <w:t xml:space="preserve">   </w:t>
      </w:r>
      <w:r>
        <w:rPr>
          <w:rFonts w:hint="eastAsia" w:ascii="宋体" w:hAnsi="宋体" w:cs="宋体"/>
          <w:color w:val="auto"/>
          <w:sz w:val="28"/>
          <w:szCs w:val="28"/>
          <w:highlight w:val="none"/>
        </w:rPr>
        <w:t>月</w:t>
      </w:r>
      <w:r>
        <w:rPr>
          <w:rFonts w:hint="eastAsia" w:ascii="宋体" w:hAnsi="宋体" w:cs="宋体"/>
          <w:color w:val="auto"/>
          <w:sz w:val="28"/>
          <w:szCs w:val="28"/>
          <w:highlight w:val="none"/>
          <w:u w:val="dotted"/>
        </w:rPr>
        <w:t xml:space="preserve">  </w:t>
      </w:r>
      <w:r>
        <w:rPr>
          <w:rFonts w:hint="eastAsia" w:ascii="宋体" w:hAnsi="宋体" w:cs="宋体"/>
          <w:color w:val="auto"/>
          <w:sz w:val="28"/>
          <w:szCs w:val="28"/>
          <w:highlight w:val="none"/>
        </w:rPr>
        <w:t>日,向</w:t>
      </w:r>
      <w:r>
        <w:rPr>
          <w:rFonts w:hint="eastAsia" w:ascii="宋体" w:hAnsi="宋体" w:cs="宋体"/>
          <w:color w:val="auto"/>
          <w:sz w:val="28"/>
          <w:szCs w:val="28"/>
          <w:highlight w:val="none"/>
          <w:u w:val="dotted"/>
        </w:rPr>
        <w:t xml:space="preserve">                   </w:t>
      </w:r>
      <w:r>
        <w:rPr>
          <w:rFonts w:hint="eastAsia" w:ascii="宋体" w:hAnsi="宋体" w:cs="宋体"/>
          <w:color w:val="auto"/>
          <w:sz w:val="28"/>
          <w:szCs w:val="28"/>
          <w:highlight w:val="none"/>
        </w:rPr>
        <w:t>提出质疑，质疑事项为：</w:t>
      </w:r>
      <w:r>
        <w:rPr>
          <w:rFonts w:hint="eastAsia" w:ascii="宋体" w:hAnsi="宋体" w:cs="宋体"/>
          <w:color w:val="auto"/>
          <w:sz w:val="28"/>
          <w:szCs w:val="28"/>
          <w:highlight w:val="none"/>
          <w:u w:val="dotted"/>
        </w:rPr>
        <w:t xml:space="preserve">                                </w:t>
      </w:r>
    </w:p>
    <w:p w14:paraId="0C84522C">
      <w:pPr>
        <w:rPr>
          <w:rFonts w:ascii="宋体" w:hAnsi="宋体" w:cs="宋体"/>
          <w:color w:val="auto"/>
          <w:sz w:val="28"/>
          <w:szCs w:val="28"/>
          <w:highlight w:val="none"/>
          <w:u w:val="dotted"/>
        </w:rPr>
      </w:pPr>
      <w:r>
        <w:rPr>
          <w:rFonts w:hint="eastAsia" w:ascii="宋体" w:hAnsi="宋体" w:cs="宋体"/>
          <w:color w:val="auto"/>
          <w:sz w:val="28"/>
          <w:szCs w:val="28"/>
          <w:highlight w:val="none"/>
          <w:u w:val="dotted"/>
        </w:rPr>
        <w:t xml:space="preserve">                                                     </w:t>
      </w:r>
      <w:r>
        <w:rPr>
          <w:rFonts w:hint="eastAsia" w:ascii="宋体" w:hAnsi="宋体" w:cs="宋体"/>
          <w:color w:val="auto"/>
          <w:sz w:val="28"/>
          <w:szCs w:val="28"/>
          <w:highlight w:val="none"/>
        </w:rPr>
        <w:t xml:space="preserve">  </w:t>
      </w:r>
    </w:p>
    <w:p w14:paraId="4EA6F065">
      <w:pPr>
        <w:ind w:firstLine="420" w:firstLineChars="150"/>
        <w:rPr>
          <w:rFonts w:ascii="宋体" w:hAnsi="宋体" w:cs="宋体"/>
          <w:color w:val="auto"/>
          <w:sz w:val="28"/>
          <w:szCs w:val="28"/>
          <w:highlight w:val="none"/>
        </w:rPr>
      </w:pPr>
      <w:r>
        <w:rPr>
          <w:rFonts w:hint="eastAsia" w:ascii="宋体" w:hAnsi="宋体" w:cs="宋体"/>
          <w:color w:val="auto"/>
          <w:sz w:val="28"/>
          <w:szCs w:val="28"/>
          <w:highlight w:val="none"/>
          <w:u w:val="dotted"/>
        </w:rPr>
        <w:t>采购人/代理机构</w:t>
      </w:r>
      <w:r>
        <w:rPr>
          <w:rFonts w:hint="eastAsia" w:ascii="宋体" w:hAnsi="宋体" w:cs="宋体"/>
          <w:color w:val="auto"/>
          <w:sz w:val="28"/>
          <w:szCs w:val="28"/>
          <w:highlight w:val="none"/>
        </w:rPr>
        <w:t>于</w:t>
      </w:r>
      <w:r>
        <w:rPr>
          <w:rFonts w:hint="eastAsia" w:ascii="宋体" w:hAnsi="宋体" w:cs="宋体"/>
          <w:color w:val="auto"/>
          <w:sz w:val="28"/>
          <w:szCs w:val="28"/>
          <w:highlight w:val="none"/>
          <w:u w:val="dotted"/>
        </w:rPr>
        <w:t xml:space="preserve">   </w:t>
      </w:r>
      <w:r>
        <w:rPr>
          <w:rFonts w:hint="eastAsia" w:ascii="宋体" w:hAnsi="宋体" w:cs="宋体"/>
          <w:color w:val="auto"/>
          <w:sz w:val="28"/>
          <w:szCs w:val="28"/>
          <w:highlight w:val="none"/>
        </w:rPr>
        <w:t>年</w:t>
      </w:r>
      <w:r>
        <w:rPr>
          <w:rFonts w:hint="eastAsia" w:ascii="宋体" w:hAnsi="宋体" w:cs="宋体"/>
          <w:color w:val="auto"/>
          <w:sz w:val="28"/>
          <w:szCs w:val="28"/>
          <w:highlight w:val="none"/>
          <w:u w:val="dotted"/>
        </w:rPr>
        <w:t xml:space="preserve">   </w:t>
      </w:r>
      <w:r>
        <w:rPr>
          <w:rFonts w:hint="eastAsia" w:ascii="宋体" w:hAnsi="宋体" w:cs="宋体"/>
          <w:color w:val="auto"/>
          <w:sz w:val="28"/>
          <w:szCs w:val="28"/>
          <w:highlight w:val="none"/>
        </w:rPr>
        <w:t>月</w:t>
      </w:r>
      <w:r>
        <w:rPr>
          <w:rFonts w:hint="eastAsia" w:ascii="宋体" w:hAnsi="宋体" w:cs="宋体"/>
          <w:color w:val="auto"/>
          <w:sz w:val="28"/>
          <w:szCs w:val="28"/>
          <w:highlight w:val="none"/>
          <w:u w:val="dotted"/>
        </w:rPr>
        <w:t xml:space="preserve">   </w:t>
      </w:r>
      <w:r>
        <w:rPr>
          <w:rFonts w:hint="eastAsia" w:ascii="宋体" w:hAnsi="宋体" w:cs="宋体"/>
          <w:color w:val="auto"/>
          <w:sz w:val="28"/>
          <w:szCs w:val="28"/>
          <w:highlight w:val="none"/>
        </w:rPr>
        <w:t>日,就质疑事项作出了答复/没有在法定期限内作出答复。</w:t>
      </w:r>
    </w:p>
    <w:p w14:paraId="02D98698">
      <w:pPr>
        <w:rPr>
          <w:rFonts w:ascii="宋体" w:hAnsi="宋体" w:cs="宋体"/>
          <w:color w:val="auto"/>
          <w:sz w:val="28"/>
          <w:szCs w:val="28"/>
          <w:highlight w:val="none"/>
        </w:rPr>
      </w:pPr>
      <w:r>
        <w:rPr>
          <w:rFonts w:hint="eastAsia" w:ascii="宋体" w:hAnsi="宋体" w:cs="宋体"/>
          <w:color w:val="auto"/>
          <w:sz w:val="28"/>
          <w:szCs w:val="28"/>
          <w:highlight w:val="none"/>
        </w:rPr>
        <w:t>四、投诉事项具体内容</w:t>
      </w:r>
    </w:p>
    <w:p w14:paraId="221FB43F">
      <w:pPr>
        <w:rPr>
          <w:rFonts w:ascii="宋体" w:hAnsi="宋体" w:cs="宋体"/>
          <w:color w:val="auto"/>
          <w:sz w:val="28"/>
          <w:szCs w:val="28"/>
          <w:highlight w:val="none"/>
          <w:u w:val="single"/>
        </w:rPr>
      </w:pPr>
      <w:r>
        <w:rPr>
          <w:rFonts w:hint="eastAsia" w:ascii="宋体" w:hAnsi="宋体" w:cs="宋体"/>
          <w:color w:val="auto"/>
          <w:sz w:val="28"/>
          <w:szCs w:val="28"/>
          <w:highlight w:val="none"/>
        </w:rPr>
        <w:t>投诉事项 1：</w:t>
      </w:r>
      <w:r>
        <w:rPr>
          <w:rFonts w:hint="eastAsia" w:ascii="宋体" w:hAnsi="宋体" w:cs="宋体"/>
          <w:color w:val="auto"/>
          <w:sz w:val="28"/>
          <w:szCs w:val="28"/>
          <w:highlight w:val="none"/>
          <w:u w:val="dotted"/>
        </w:rPr>
        <w:t xml:space="preserve">                                       </w:t>
      </w:r>
    </w:p>
    <w:p w14:paraId="08B5B870">
      <w:pPr>
        <w:rPr>
          <w:rFonts w:ascii="宋体" w:hAnsi="宋体" w:cs="宋体"/>
          <w:color w:val="auto"/>
          <w:sz w:val="28"/>
          <w:szCs w:val="28"/>
          <w:highlight w:val="none"/>
        </w:rPr>
      </w:pPr>
      <w:r>
        <w:rPr>
          <w:rFonts w:hint="eastAsia" w:ascii="宋体" w:hAnsi="宋体" w:cs="宋体"/>
          <w:color w:val="auto"/>
          <w:sz w:val="28"/>
          <w:szCs w:val="28"/>
          <w:highlight w:val="none"/>
        </w:rPr>
        <w:t>事实依据：</w:t>
      </w:r>
      <w:r>
        <w:rPr>
          <w:rFonts w:hint="eastAsia" w:ascii="宋体" w:hAnsi="宋体" w:cs="宋体"/>
          <w:color w:val="auto"/>
          <w:sz w:val="28"/>
          <w:szCs w:val="28"/>
          <w:highlight w:val="none"/>
          <w:u w:val="dotted"/>
        </w:rPr>
        <w:t xml:space="preserve">                                         </w:t>
      </w:r>
    </w:p>
    <w:p w14:paraId="125D66B8">
      <w:pPr>
        <w:rPr>
          <w:rFonts w:ascii="宋体" w:hAnsi="宋体" w:cs="宋体"/>
          <w:color w:val="auto"/>
          <w:sz w:val="28"/>
          <w:szCs w:val="28"/>
          <w:highlight w:val="none"/>
          <w:u w:val="dotted"/>
        </w:rPr>
      </w:pPr>
      <w:r>
        <w:rPr>
          <w:rFonts w:hint="eastAsia" w:ascii="宋体" w:hAnsi="宋体" w:cs="宋体"/>
          <w:color w:val="auto"/>
          <w:sz w:val="28"/>
          <w:szCs w:val="28"/>
          <w:highlight w:val="none"/>
          <w:u w:val="dotted"/>
        </w:rPr>
        <w:t xml:space="preserve">                                                      </w:t>
      </w:r>
    </w:p>
    <w:p w14:paraId="11598FF8">
      <w:pPr>
        <w:rPr>
          <w:rFonts w:ascii="宋体" w:hAnsi="宋体" w:cs="宋体"/>
          <w:color w:val="auto"/>
          <w:sz w:val="28"/>
          <w:szCs w:val="28"/>
          <w:highlight w:val="none"/>
          <w:u w:val="single"/>
        </w:rPr>
      </w:pPr>
      <w:r>
        <w:rPr>
          <w:rFonts w:hint="eastAsia" w:ascii="宋体" w:hAnsi="宋体" w:cs="宋体"/>
          <w:color w:val="auto"/>
          <w:sz w:val="28"/>
          <w:szCs w:val="28"/>
          <w:highlight w:val="none"/>
        </w:rPr>
        <w:t>法律依据：</w:t>
      </w:r>
      <w:r>
        <w:rPr>
          <w:rFonts w:hint="eastAsia" w:ascii="宋体" w:hAnsi="宋体" w:cs="宋体"/>
          <w:color w:val="auto"/>
          <w:sz w:val="28"/>
          <w:szCs w:val="28"/>
          <w:highlight w:val="none"/>
          <w:u w:val="dotted"/>
        </w:rPr>
        <w:t xml:space="preserve">                                          </w:t>
      </w:r>
    </w:p>
    <w:p w14:paraId="556E0CE8">
      <w:pPr>
        <w:rPr>
          <w:rFonts w:ascii="宋体" w:hAnsi="宋体" w:cs="宋体"/>
          <w:color w:val="auto"/>
          <w:sz w:val="28"/>
          <w:szCs w:val="28"/>
          <w:highlight w:val="none"/>
          <w:u w:val="dotted"/>
        </w:rPr>
      </w:pPr>
      <w:r>
        <w:rPr>
          <w:rFonts w:hint="eastAsia" w:ascii="宋体" w:hAnsi="宋体" w:cs="宋体"/>
          <w:color w:val="auto"/>
          <w:sz w:val="28"/>
          <w:szCs w:val="28"/>
          <w:highlight w:val="none"/>
          <w:u w:val="dotted"/>
        </w:rPr>
        <w:t xml:space="preserve">                                                      </w:t>
      </w:r>
    </w:p>
    <w:p w14:paraId="45D7697A">
      <w:pPr>
        <w:rPr>
          <w:rFonts w:ascii="宋体" w:hAnsi="宋体" w:cs="宋体"/>
          <w:color w:val="auto"/>
          <w:sz w:val="28"/>
          <w:szCs w:val="28"/>
          <w:highlight w:val="none"/>
        </w:rPr>
      </w:pPr>
      <w:r>
        <w:rPr>
          <w:rFonts w:hint="eastAsia" w:ascii="宋体" w:hAnsi="宋体" w:cs="宋体"/>
          <w:color w:val="auto"/>
          <w:sz w:val="28"/>
          <w:szCs w:val="28"/>
          <w:highlight w:val="none"/>
        </w:rPr>
        <w:t>投诉事项2</w:t>
      </w:r>
    </w:p>
    <w:p w14:paraId="2FDC0103">
      <w:pPr>
        <w:rPr>
          <w:rFonts w:ascii="宋体" w:hAnsi="宋体" w:cs="宋体"/>
          <w:color w:val="auto"/>
          <w:sz w:val="28"/>
          <w:szCs w:val="28"/>
          <w:highlight w:val="none"/>
          <w:u w:val="dotted"/>
        </w:rPr>
      </w:pPr>
      <w:r>
        <w:rPr>
          <w:rFonts w:hint="eastAsia" w:ascii="宋体" w:hAnsi="宋体" w:cs="宋体"/>
          <w:color w:val="auto"/>
          <w:sz w:val="28"/>
          <w:szCs w:val="28"/>
          <w:highlight w:val="none"/>
        </w:rPr>
        <w:t>……</w:t>
      </w:r>
    </w:p>
    <w:p w14:paraId="43D14202">
      <w:pPr>
        <w:rPr>
          <w:rFonts w:ascii="宋体" w:hAnsi="宋体" w:cs="宋体"/>
          <w:color w:val="auto"/>
          <w:sz w:val="28"/>
          <w:szCs w:val="28"/>
          <w:highlight w:val="none"/>
        </w:rPr>
      </w:pPr>
      <w:r>
        <w:rPr>
          <w:rFonts w:hint="eastAsia" w:ascii="宋体" w:hAnsi="宋体" w:cs="宋体"/>
          <w:color w:val="auto"/>
          <w:sz w:val="28"/>
          <w:szCs w:val="28"/>
          <w:highlight w:val="none"/>
        </w:rPr>
        <w:t>五、与投诉事项相关的投诉请求</w:t>
      </w:r>
    </w:p>
    <w:p w14:paraId="38A705B9">
      <w:pPr>
        <w:rPr>
          <w:rFonts w:ascii="宋体" w:hAnsi="宋体" w:cs="宋体"/>
          <w:color w:val="auto"/>
          <w:sz w:val="28"/>
          <w:szCs w:val="28"/>
          <w:highlight w:val="none"/>
        </w:rPr>
      </w:pPr>
      <w:r>
        <w:rPr>
          <w:rFonts w:hint="eastAsia" w:ascii="宋体" w:hAnsi="宋体" w:cs="宋体"/>
          <w:color w:val="auto"/>
          <w:sz w:val="28"/>
          <w:szCs w:val="28"/>
          <w:highlight w:val="none"/>
        </w:rPr>
        <w:t>请求：</w:t>
      </w:r>
      <w:r>
        <w:rPr>
          <w:rFonts w:hint="eastAsia" w:ascii="宋体" w:hAnsi="宋体" w:cs="宋体"/>
          <w:color w:val="auto"/>
          <w:sz w:val="28"/>
          <w:szCs w:val="28"/>
          <w:highlight w:val="none"/>
          <w:u w:val="dotted"/>
        </w:rPr>
        <w:t xml:space="preserve">                                              </w:t>
      </w:r>
      <w:r>
        <w:rPr>
          <w:rFonts w:hint="eastAsia" w:ascii="宋体" w:hAnsi="宋体" w:cs="宋体"/>
          <w:color w:val="auto"/>
          <w:sz w:val="28"/>
          <w:szCs w:val="28"/>
          <w:highlight w:val="none"/>
        </w:rPr>
        <w:t xml:space="preserve"> </w:t>
      </w:r>
    </w:p>
    <w:p w14:paraId="3031D00E">
      <w:pPr>
        <w:rPr>
          <w:rFonts w:ascii="宋体" w:hAnsi="宋体" w:cs="宋体"/>
          <w:color w:val="auto"/>
          <w:sz w:val="28"/>
          <w:szCs w:val="28"/>
          <w:highlight w:val="none"/>
          <w:u w:val="single"/>
        </w:rPr>
      </w:pPr>
      <w:r>
        <w:rPr>
          <w:rFonts w:hint="eastAsia" w:ascii="宋体" w:hAnsi="宋体" w:cs="宋体"/>
          <w:color w:val="auto"/>
          <w:sz w:val="28"/>
          <w:szCs w:val="28"/>
          <w:highlight w:val="none"/>
        </w:rPr>
        <w:t xml:space="preserve">                                                                                                    </w:t>
      </w:r>
    </w:p>
    <w:p w14:paraId="29B8E904">
      <w:pPr>
        <w:rPr>
          <w:rFonts w:ascii="宋体" w:hAnsi="宋体" w:cs="宋体"/>
          <w:color w:val="auto"/>
          <w:sz w:val="28"/>
          <w:szCs w:val="28"/>
          <w:highlight w:val="none"/>
        </w:rPr>
      </w:pPr>
      <w:r>
        <w:rPr>
          <w:rFonts w:hint="eastAsia" w:ascii="宋体" w:hAnsi="宋体" w:cs="宋体"/>
          <w:color w:val="auto"/>
          <w:sz w:val="28"/>
          <w:szCs w:val="28"/>
          <w:highlight w:val="none"/>
        </w:rPr>
        <w:t xml:space="preserve">签字(签章)：                   公章：                      </w:t>
      </w:r>
    </w:p>
    <w:p w14:paraId="22BD3A43">
      <w:pPr>
        <w:rPr>
          <w:rFonts w:ascii="宋体" w:hAnsi="宋体" w:cs="宋体"/>
          <w:color w:val="auto"/>
          <w:sz w:val="28"/>
          <w:szCs w:val="28"/>
          <w:highlight w:val="none"/>
        </w:rPr>
      </w:pPr>
      <w:r>
        <w:rPr>
          <w:rFonts w:hint="eastAsia" w:ascii="宋体" w:hAnsi="宋体" w:cs="宋体"/>
          <w:color w:val="auto"/>
          <w:sz w:val="28"/>
          <w:szCs w:val="28"/>
          <w:highlight w:val="none"/>
        </w:rPr>
        <w:t xml:space="preserve">日期：    </w:t>
      </w:r>
    </w:p>
    <w:p w14:paraId="1C3C30EF">
      <w:pPr>
        <w:rPr>
          <w:rFonts w:ascii="宋体" w:hAnsi="宋体" w:cs="宋体"/>
          <w:b/>
          <w:color w:val="auto"/>
          <w:sz w:val="28"/>
          <w:szCs w:val="28"/>
          <w:highlight w:val="none"/>
        </w:rPr>
      </w:pPr>
    </w:p>
    <w:p w14:paraId="2299799C">
      <w:pPr>
        <w:rPr>
          <w:rFonts w:ascii="宋体" w:hAnsi="宋体" w:cs="宋体"/>
          <w:b/>
          <w:color w:val="auto"/>
          <w:sz w:val="28"/>
          <w:szCs w:val="28"/>
          <w:highlight w:val="none"/>
        </w:rPr>
      </w:pPr>
    </w:p>
    <w:p w14:paraId="7836A755">
      <w:pPr>
        <w:rPr>
          <w:rFonts w:ascii="宋体" w:hAnsi="宋体" w:cs="宋体"/>
          <w:b/>
          <w:color w:val="auto"/>
          <w:sz w:val="28"/>
          <w:szCs w:val="28"/>
          <w:highlight w:val="none"/>
        </w:rPr>
      </w:pPr>
    </w:p>
    <w:p w14:paraId="7694F6FE">
      <w:pPr>
        <w:rPr>
          <w:rFonts w:ascii="宋体" w:hAnsi="宋体" w:cs="宋体"/>
          <w:b/>
          <w:color w:val="auto"/>
          <w:sz w:val="28"/>
          <w:szCs w:val="28"/>
          <w:highlight w:val="none"/>
        </w:rPr>
      </w:pPr>
    </w:p>
    <w:p w14:paraId="296AC6C7">
      <w:pPr>
        <w:rPr>
          <w:rFonts w:ascii="宋体" w:hAnsi="宋体" w:cs="宋体"/>
          <w:b/>
          <w:color w:val="auto"/>
          <w:sz w:val="28"/>
          <w:szCs w:val="28"/>
          <w:highlight w:val="none"/>
        </w:rPr>
      </w:pPr>
    </w:p>
    <w:p w14:paraId="432FEDF0">
      <w:pPr>
        <w:rPr>
          <w:rFonts w:ascii="宋体" w:hAnsi="宋体" w:cs="宋体"/>
          <w:b/>
          <w:color w:val="auto"/>
          <w:sz w:val="24"/>
          <w:highlight w:val="none"/>
        </w:rPr>
      </w:pPr>
      <w:r>
        <w:rPr>
          <w:rFonts w:hint="eastAsia" w:ascii="宋体" w:hAnsi="宋体" w:cs="宋体"/>
          <w:b/>
          <w:color w:val="auto"/>
          <w:sz w:val="24"/>
          <w:highlight w:val="none"/>
        </w:rPr>
        <w:t>投诉书制作说明：</w:t>
      </w:r>
    </w:p>
    <w:p w14:paraId="37FD8742">
      <w:pPr>
        <w:widowControl/>
        <w:ind w:firstLine="480" w:firstLineChars="200"/>
        <w:rPr>
          <w:rFonts w:ascii="宋体" w:hAnsi="宋体" w:cs="宋体"/>
          <w:color w:val="auto"/>
          <w:kern w:val="0"/>
          <w:sz w:val="24"/>
          <w:highlight w:val="none"/>
        </w:rPr>
      </w:pPr>
      <w:r>
        <w:rPr>
          <w:rFonts w:hint="eastAsia" w:ascii="宋体" w:hAnsi="宋体" w:cs="宋体"/>
          <w:color w:val="auto"/>
          <w:sz w:val="24"/>
          <w:highlight w:val="none"/>
        </w:rPr>
        <w:t>1.投诉人提起投诉时，应当提交投诉书和必要的证明材料，并按照被投诉人和与投诉事项有关的供应商数量提供投诉书副本。</w:t>
      </w:r>
    </w:p>
    <w:p w14:paraId="488F2C80">
      <w:pPr>
        <w:widowControl/>
        <w:ind w:firstLine="480" w:firstLineChars="200"/>
        <w:jc w:val="left"/>
        <w:rPr>
          <w:rFonts w:ascii="宋体" w:hAnsi="宋体" w:cs="宋体"/>
          <w:color w:val="auto"/>
          <w:kern w:val="0"/>
          <w:sz w:val="24"/>
          <w:highlight w:val="none"/>
        </w:rPr>
      </w:pPr>
      <w:r>
        <w:rPr>
          <w:rFonts w:hint="eastAsia" w:ascii="宋体" w:hAnsi="宋体" w:cs="宋体"/>
          <w:color w:val="auto"/>
          <w:sz w:val="24"/>
          <w:highlight w:val="none"/>
        </w:rPr>
        <w:t>2.投诉人若委托代理人进行投诉的，投诉书应按照要求列明“授权代表”的有关内容，并在附件中提交由</w:t>
      </w:r>
      <w:r>
        <w:rPr>
          <w:rFonts w:hint="eastAsia" w:ascii="宋体" w:hAnsi="宋体" w:cs="宋体"/>
          <w:color w:val="auto"/>
          <w:kern w:val="0"/>
          <w:sz w:val="24"/>
          <w:highlight w:val="none"/>
        </w:rPr>
        <w:t>投诉人签署的授权委托书。授权委托书应当载明代理人的姓名或者名称、代理事项、具体权限、期限和相关事项。</w:t>
      </w:r>
    </w:p>
    <w:p w14:paraId="6B1FC0FB">
      <w:pPr>
        <w:widowControl/>
        <w:ind w:firstLine="480" w:firstLineChars="200"/>
        <w:jc w:val="left"/>
        <w:rPr>
          <w:rFonts w:ascii="宋体" w:hAnsi="宋体" w:cs="宋体"/>
          <w:color w:val="auto"/>
          <w:sz w:val="24"/>
          <w:highlight w:val="none"/>
        </w:rPr>
      </w:pPr>
      <w:r>
        <w:rPr>
          <w:rFonts w:hint="eastAsia" w:ascii="宋体" w:hAnsi="宋体" w:cs="宋体"/>
          <w:color w:val="auto"/>
          <w:sz w:val="24"/>
          <w:highlight w:val="none"/>
        </w:rPr>
        <w:t>3.投诉人若对项目的某一分包进行投诉，投诉书应列明具体分包号。</w:t>
      </w:r>
    </w:p>
    <w:p w14:paraId="2BFAE7EB">
      <w:pPr>
        <w:widowControl/>
        <w:ind w:firstLine="480" w:firstLineChars="200"/>
        <w:jc w:val="left"/>
        <w:rPr>
          <w:rFonts w:ascii="宋体" w:hAnsi="宋体" w:cs="宋体"/>
          <w:color w:val="auto"/>
          <w:sz w:val="24"/>
          <w:highlight w:val="none"/>
        </w:rPr>
      </w:pPr>
      <w:r>
        <w:rPr>
          <w:rFonts w:hint="eastAsia" w:ascii="宋体" w:hAnsi="宋体" w:cs="宋体"/>
          <w:color w:val="auto"/>
          <w:sz w:val="24"/>
          <w:highlight w:val="none"/>
        </w:rPr>
        <w:t>4.投诉书应简要列明质疑事项，质疑函、质疑答复等作为附件材料提供。</w:t>
      </w:r>
    </w:p>
    <w:p w14:paraId="0EAA9327">
      <w:pPr>
        <w:widowControl/>
        <w:ind w:firstLine="480" w:firstLineChars="200"/>
        <w:jc w:val="left"/>
        <w:rPr>
          <w:rFonts w:ascii="宋体" w:hAnsi="宋体" w:cs="宋体"/>
          <w:color w:val="auto"/>
          <w:sz w:val="24"/>
          <w:highlight w:val="none"/>
        </w:rPr>
      </w:pPr>
      <w:r>
        <w:rPr>
          <w:rFonts w:hint="eastAsia" w:ascii="宋体" w:hAnsi="宋体" w:cs="宋体"/>
          <w:color w:val="auto"/>
          <w:sz w:val="24"/>
          <w:highlight w:val="none"/>
        </w:rPr>
        <w:t>5.投诉书的投诉事项应具体、明确，并有必要的事实依据和法律依据。</w:t>
      </w:r>
    </w:p>
    <w:p w14:paraId="4F1C3C8B">
      <w:pPr>
        <w:widowControl/>
        <w:ind w:firstLine="480" w:firstLineChars="200"/>
        <w:jc w:val="left"/>
        <w:rPr>
          <w:rFonts w:ascii="宋体" w:hAnsi="宋体" w:cs="宋体"/>
          <w:color w:val="auto"/>
          <w:sz w:val="24"/>
          <w:highlight w:val="none"/>
        </w:rPr>
      </w:pPr>
      <w:r>
        <w:rPr>
          <w:rFonts w:hint="eastAsia" w:ascii="宋体" w:hAnsi="宋体" w:cs="宋体"/>
          <w:color w:val="auto"/>
          <w:sz w:val="24"/>
          <w:highlight w:val="none"/>
        </w:rPr>
        <w:t>6.投诉书的投诉请求应与投诉事项相关。</w:t>
      </w:r>
    </w:p>
    <w:p w14:paraId="73D77805">
      <w:pPr>
        <w:widowControl/>
        <w:ind w:firstLine="480" w:firstLineChars="200"/>
        <w:jc w:val="left"/>
        <w:rPr>
          <w:rFonts w:ascii="宋体" w:hAnsi="宋体" w:cs="宋体"/>
          <w:color w:val="auto"/>
          <w:kern w:val="0"/>
          <w:sz w:val="24"/>
          <w:highlight w:val="none"/>
        </w:rPr>
      </w:pPr>
      <w:r>
        <w:rPr>
          <w:rFonts w:hint="eastAsia" w:ascii="宋体" w:hAnsi="宋体" w:cs="宋体"/>
          <w:color w:val="auto"/>
          <w:sz w:val="24"/>
          <w:highlight w:val="none"/>
        </w:rPr>
        <w:t>7.投诉人为自然人的，投诉书应当由本人签字；投诉人为法人或者其他组织的，投诉书应当由法定代表人、主要负责人，或者其授权代表签字或者盖章，并加盖公章。</w:t>
      </w:r>
    </w:p>
    <w:p w14:paraId="08A517E6">
      <w:pPr>
        <w:jc w:val="left"/>
        <w:rPr>
          <w:rFonts w:ascii="宋体" w:hAnsi="宋体" w:cs="宋体"/>
          <w:b/>
          <w:color w:val="auto"/>
          <w:sz w:val="28"/>
          <w:szCs w:val="28"/>
          <w:highlight w:val="none"/>
        </w:rPr>
      </w:pPr>
      <w:r>
        <w:rPr>
          <w:rFonts w:hint="eastAsia" w:ascii="宋体" w:hAnsi="宋体" w:cs="宋体"/>
          <w:color w:val="auto"/>
          <w:sz w:val="28"/>
          <w:szCs w:val="28"/>
          <w:highlight w:val="none"/>
        </w:rPr>
        <w:t xml:space="preserve">         </w:t>
      </w:r>
      <w:r>
        <w:rPr>
          <w:rFonts w:hint="eastAsia" w:ascii="宋体" w:hAnsi="宋体" w:cs="宋体"/>
          <w:b/>
          <w:color w:val="auto"/>
          <w:sz w:val="28"/>
          <w:szCs w:val="28"/>
          <w:highlight w:val="none"/>
        </w:rPr>
        <w:t xml:space="preserve"> </w:t>
      </w:r>
    </w:p>
    <w:p w14:paraId="7FBCB669">
      <w:pPr>
        <w:jc w:val="left"/>
        <w:rPr>
          <w:rFonts w:ascii="宋体" w:hAnsi="宋体" w:cs="宋体"/>
          <w:b/>
          <w:color w:val="auto"/>
          <w:sz w:val="28"/>
          <w:szCs w:val="28"/>
          <w:highlight w:val="none"/>
        </w:rPr>
      </w:pPr>
    </w:p>
    <w:p w14:paraId="2AB022FF">
      <w:pPr>
        <w:rPr>
          <w:rFonts w:ascii="宋体" w:hAnsi="宋体" w:cs="宋体"/>
          <w:color w:val="auto"/>
          <w:sz w:val="20"/>
          <w:szCs w:val="22"/>
          <w:highlight w:val="none"/>
        </w:rPr>
      </w:pPr>
    </w:p>
    <w:p w14:paraId="6D013B66">
      <w:pPr>
        <w:rPr>
          <w:rFonts w:ascii="宋体" w:hAnsi="宋体" w:cs="宋体"/>
          <w:color w:val="auto"/>
          <w:sz w:val="20"/>
          <w:szCs w:val="22"/>
          <w:highlight w:val="none"/>
        </w:rPr>
      </w:pPr>
    </w:p>
    <w:p w14:paraId="26C67AAC">
      <w:pPr>
        <w:pStyle w:val="3"/>
        <w:ind w:firstLine="600"/>
        <w:rPr>
          <w:rFonts w:ascii="宋体" w:hAnsi="宋体" w:eastAsia="宋体" w:cs="宋体"/>
          <w:color w:val="auto"/>
          <w:highlight w:val="none"/>
        </w:rPr>
      </w:pPr>
    </w:p>
    <w:p w14:paraId="715CB839">
      <w:pPr>
        <w:pStyle w:val="18"/>
        <w:ind w:left="0" w:leftChars="0"/>
        <w:rPr>
          <w:rFonts w:ascii="宋体" w:hAnsi="宋体" w:cs="宋体"/>
          <w:color w:val="auto"/>
          <w:highlight w:val="none"/>
        </w:rPr>
      </w:pPr>
    </w:p>
    <w:p w14:paraId="5FBC373F">
      <w:pPr>
        <w:pStyle w:val="18"/>
        <w:ind w:left="0" w:leftChars="0"/>
        <w:rPr>
          <w:rFonts w:ascii="宋体" w:hAnsi="宋体" w:cs="宋体"/>
          <w:color w:val="auto"/>
          <w:highlight w:val="none"/>
        </w:rPr>
      </w:pPr>
    </w:p>
    <w:p w14:paraId="38A11508">
      <w:pPr>
        <w:rPr>
          <w:color w:val="auto"/>
          <w:highlight w:val="none"/>
        </w:rPr>
      </w:pPr>
    </w:p>
    <w:sectPr>
      <w:footerReference r:id="rId17" w:type="first"/>
      <w:footerReference r:id="rId15" w:type="default"/>
      <w:footerReference r:id="rId16" w:type="even"/>
      <w:pgSz w:w="11906" w:h="16838"/>
      <w:pgMar w:top="1020" w:right="1247" w:bottom="1020" w:left="1247" w:header="851" w:footer="907"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81"/>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Helvetica">
    <w:panose1 w:val="020B0604020202020204"/>
    <w:charset w:val="00"/>
    <w:family w:val="swiss"/>
    <w:pitch w:val="default"/>
    <w:sig w:usb0="00000000" w:usb1="00000000" w:usb2="00000000" w:usb3="00000000" w:csb0="0000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MS Mincho">
    <w:altName w:val="Yu Gothic UI"/>
    <w:panose1 w:val="02020609040205080304"/>
    <w:charset w:val="80"/>
    <w:family w:val="roman"/>
    <w:pitch w:val="default"/>
    <w:sig w:usb0="00000000" w:usb1="00000000" w:usb2="00000012" w:usb3="00000000" w:csb0="4002009F" w:csb1="DFD70000"/>
  </w:font>
  <w:font w:name="Yu Gothic UI">
    <w:panose1 w:val="020B0500000000000000"/>
    <w:charset w:val="80"/>
    <w:family w:val="auto"/>
    <w:pitch w:val="default"/>
    <w:sig w:usb0="E00002FF" w:usb1="2AC7FDFF" w:usb2="00000016" w:usb3="00000000" w:csb0="2002009F" w:csb1="00000000"/>
  </w:font>
  <w:font w:name="微软雅黑">
    <w:panose1 w:val="020B0503020204020204"/>
    <w:charset w:val="86"/>
    <w:family w:val="swiss"/>
    <w:pitch w:val="default"/>
    <w:sig w:usb0="80000287" w:usb1="2ACF3C50" w:usb2="00000016" w:usb3="00000000" w:csb0="0004001F" w:csb1="00000000"/>
  </w:font>
  <w:font w:name="创艺简标宋">
    <w:altName w:val="黑体"/>
    <w:panose1 w:val="00000000000000000000"/>
    <w:charset w:val="86"/>
    <w:family w:val="auto"/>
    <w:pitch w:val="default"/>
    <w:sig w:usb0="00000000" w:usb1="00000000" w:usb2="00000010" w:usb3="00000000" w:csb0="00040000" w:csb1="00000000"/>
  </w:font>
  <w:font w:name="AdobeFangsongStd-Regular">
    <w:altName w:val="Segoe Print"/>
    <w:panose1 w:val="00000000000000000000"/>
    <w:charset w:val="00"/>
    <w:family w:val="auto"/>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800471">
    <w:pPr>
      <w:pStyle w:val="15"/>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4D5E1C">
    <w:pPr>
      <w:pStyle w:val="15"/>
      <w:jc w:val="center"/>
      <w:rPr>
        <w:rFonts w:ascii="宋体" w:hAnsi="宋体" w:cs="宋体"/>
        <w:sz w:val="21"/>
        <w:szCs w:val="21"/>
      </w:rPr>
    </w:pPr>
    <w:r>
      <w:rPr>
        <w:sz w:val="21"/>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6C9C59F">
                          <w:pPr>
                            <w:pStyle w:val="15"/>
                          </w:pPr>
                          <w:r>
                            <w:rPr>
                              <w:rFonts w:hint="eastAsia"/>
                            </w:rPr>
                            <w:fldChar w:fldCharType="begin"/>
                          </w:r>
                          <w:r>
                            <w:rPr>
                              <w:rFonts w:hint="eastAsia"/>
                            </w:rPr>
                            <w:instrText xml:space="preserve"> PAGE  \* MERGEFORMAT </w:instrText>
                          </w:r>
                          <w:r>
                            <w:rPr>
                              <w:rFonts w:hint="eastAsia"/>
                            </w:rPr>
                            <w:fldChar w:fldCharType="separate"/>
                          </w:r>
                          <w:r>
                            <w:t>50</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66C9C59F">
                    <w:pPr>
                      <w:pStyle w:val="15"/>
                    </w:pPr>
                    <w:r>
                      <w:rPr>
                        <w:rFonts w:hint="eastAsia"/>
                      </w:rPr>
                      <w:fldChar w:fldCharType="begin"/>
                    </w:r>
                    <w:r>
                      <w:rPr>
                        <w:rFonts w:hint="eastAsia"/>
                      </w:rPr>
                      <w:instrText xml:space="preserve"> PAGE  \* MERGEFORMAT </w:instrText>
                    </w:r>
                    <w:r>
                      <w:rPr>
                        <w:rFonts w:hint="eastAsia"/>
                      </w:rPr>
                      <w:fldChar w:fldCharType="separate"/>
                    </w:r>
                    <w:r>
                      <w:t>50</w:t>
                    </w:r>
                    <w:r>
                      <w:rPr>
                        <w:rFonts w:hint="eastAsi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0D0F10">
    <w:pPr>
      <w:pStyle w:val="15"/>
      <w:jc w:val="center"/>
    </w:pPr>
    <w:r>
      <w:fldChar w:fldCharType="begin"/>
    </w:r>
    <w:r>
      <w:instrText xml:space="preserve"> PAGE  \* MERGEFORMAT </w:instrText>
    </w:r>
    <w:r>
      <w:fldChar w:fldCharType="separate"/>
    </w:r>
    <w:r>
      <w:t>- 1 -</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CD8C63">
    <w:pPr>
      <w:pStyle w:val="15"/>
      <w:jc w:val="center"/>
    </w:pPr>
    <w:r>
      <w:fldChar w:fldCharType="begin"/>
    </w:r>
    <w:r>
      <w:instrText xml:space="preserve"> PAGE  \* MERGEFORMAT </w:instrText>
    </w:r>
    <w:r>
      <w:fldChar w:fldCharType="separate"/>
    </w:r>
    <w:r>
      <w:t>- 3 -</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275773">
    <w:pPr>
      <w:pStyle w:val="15"/>
      <w:framePr w:wrap="around" w:vAnchor="text" w:hAnchor="margin" w:xAlign="outside" w:y="1"/>
      <w:rPr>
        <w:rStyle w:val="26"/>
      </w:rPr>
    </w:pPr>
    <w:r>
      <w:rPr>
        <w:rStyle w:val="26"/>
      </w:rPr>
      <w:fldChar w:fldCharType="begin"/>
    </w:r>
    <w:r>
      <w:rPr>
        <w:rStyle w:val="26"/>
      </w:rPr>
      <w:instrText xml:space="preserve">PAGE  </w:instrText>
    </w:r>
    <w:r>
      <w:rPr>
        <w:rStyle w:val="26"/>
      </w:rPr>
      <w:fldChar w:fldCharType="separate"/>
    </w:r>
    <w:r>
      <w:rPr>
        <w:rStyle w:val="26"/>
      </w:rPr>
      <w:t>32</w:t>
    </w:r>
    <w:r>
      <w:rPr>
        <w:rStyle w:val="26"/>
      </w:rPr>
      <w:fldChar w:fldCharType="end"/>
    </w:r>
  </w:p>
  <w:p w14:paraId="33BB5FEE">
    <w:pPr>
      <w:pStyle w:val="15"/>
      <w:ind w:right="360"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DDC3D5">
    <w:pPr>
      <w:pStyle w:val="15"/>
      <w:framePr w:wrap="around" w:vAnchor="text" w:hAnchor="margin" w:xAlign="outside" w:y="1"/>
      <w:rPr>
        <w:rStyle w:val="26"/>
        <w:rFonts w:ascii="宋体" w:hAnsi="宋体"/>
        <w:sz w:val="28"/>
        <w:szCs w:val="28"/>
      </w:rPr>
    </w:pPr>
  </w:p>
  <w:p w14:paraId="5E2A001B">
    <w:pPr>
      <w:pStyle w:val="15"/>
      <w:ind w:right="720" w:firstLine="180" w:firstLineChars="100"/>
      <w:jc w:val="both"/>
    </w:pPr>
    <w:r>
      <w:t xml:space="preserve">                                                3</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57DF8D">
    <w:pPr>
      <w:pStyle w:val="15"/>
      <w:jc w:val="center"/>
      <w:rPr>
        <w:rFonts w:ascii="仿宋_GB2312" w:eastAsia="仿宋_GB2312"/>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18F642B">
                          <w:pPr>
                            <w:pStyle w:val="15"/>
                          </w:pPr>
                          <w:r>
                            <w:fldChar w:fldCharType="begin"/>
                          </w:r>
                          <w:r>
                            <w:instrText xml:space="preserve"> PAGE  \* MERGEFORMAT </w:instrText>
                          </w:r>
                          <w:r>
                            <w:fldChar w:fldCharType="separate"/>
                          </w:r>
                          <w:r>
                            <w:t>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018F642B">
                    <w:pPr>
                      <w:pStyle w:val="15"/>
                    </w:pPr>
                    <w:r>
                      <w:fldChar w:fldCharType="begin"/>
                    </w:r>
                    <w:r>
                      <w:instrText xml:space="preserve"> PAGE  \* MERGEFORMAT </w:instrText>
                    </w:r>
                    <w:r>
                      <w:fldChar w:fldCharType="separate"/>
                    </w:r>
                    <w:r>
                      <w:t>4</w:t>
                    </w:r>
                    <w:r>
                      <w:fldChar w:fldCharType="end"/>
                    </w:r>
                  </w:p>
                </w:txbxContent>
              </v:textbox>
            </v:shape>
          </w:pict>
        </mc:Fallback>
      </mc:AlternateContent>
    </w:r>
  </w:p>
  <w:p w14:paraId="4CFB0840">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779D94">
    <w:pPr>
      <w:rPr>
        <w:rFonts w:ascii="仿宋_GB2312" w:eastAsia="仿宋_GB2312"/>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134305">
                          <w:pPr>
                            <w:pStyle w:val="15"/>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0A134305">
                    <w:pPr>
                      <w:pStyle w:val="15"/>
                    </w:pPr>
                    <w:r>
                      <w:fldChar w:fldCharType="begin"/>
                    </w:r>
                    <w:r>
                      <w:instrText xml:space="preserve"> PAGE  \* MERGEFORMAT </w:instrText>
                    </w:r>
                    <w:r>
                      <w:fldChar w:fldCharType="separate"/>
                    </w:r>
                    <w:r>
                      <w:t>2</w:t>
                    </w:r>
                    <w:r>
                      <w:fldChar w:fldCharType="end"/>
                    </w:r>
                  </w:p>
                </w:txbxContent>
              </v:textbox>
            </v:shape>
          </w:pict>
        </mc:Fallback>
      </mc:AlternateContent>
    </w:r>
    <w:r>
      <w:rPr>
        <w:rFonts w:hint="eastAsia" w:ascii="仿宋_GB2312" w:eastAsia="仿宋_GB2312"/>
        <w:kern w:val="0"/>
      </w:rPr>
      <w:t>1</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CC1654">
    <w:pPr>
      <w:pStyle w:val="15"/>
      <w:ind w:firstLine="4320" w:firstLineChars="240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7F31D94">
                          <w:pPr>
                            <w:pStyle w:val="15"/>
                          </w:pPr>
                          <w:r>
                            <w:rPr>
                              <w:rFonts w:hint="eastAsia"/>
                            </w:rPr>
                            <w:fldChar w:fldCharType="begin"/>
                          </w:r>
                          <w:r>
                            <w:rPr>
                              <w:rFonts w:hint="eastAsia"/>
                            </w:rPr>
                            <w:instrText xml:space="preserve"> PAGE  \* MERGEFORMAT </w:instrText>
                          </w:r>
                          <w:r>
                            <w:rPr>
                              <w:rFonts w:hint="eastAsia"/>
                            </w:rPr>
                            <w:fldChar w:fldCharType="separate"/>
                          </w:r>
                          <w:r>
                            <w:t>70</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07F31D94">
                    <w:pPr>
                      <w:pStyle w:val="15"/>
                    </w:pPr>
                    <w:r>
                      <w:rPr>
                        <w:rFonts w:hint="eastAsia"/>
                      </w:rPr>
                      <w:fldChar w:fldCharType="begin"/>
                    </w:r>
                    <w:r>
                      <w:rPr>
                        <w:rFonts w:hint="eastAsia"/>
                      </w:rPr>
                      <w:instrText xml:space="preserve"> PAGE  \* MERGEFORMAT </w:instrText>
                    </w:r>
                    <w:r>
                      <w:rPr>
                        <w:rFonts w:hint="eastAsia"/>
                      </w:rPr>
                      <w:fldChar w:fldCharType="separate"/>
                    </w:r>
                    <w:r>
                      <w:t>70</w:t>
                    </w:r>
                    <w:r>
                      <w:rPr>
                        <w:rFonts w:hint="eastAsia"/>
                      </w:rPr>
                      <w:fldChar w:fldCharType="end"/>
                    </w:r>
                  </w:p>
                </w:txbxContent>
              </v:textbox>
            </v:shape>
          </w:pict>
        </mc:Fallback>
      </mc:AlternateContent>
    </w:r>
    <w:r>
      <w:rPr>
        <w:rFonts w:hint="eastAsia"/>
      </w:rPr>
      <w:t xml:space="preserve">  </w:t>
    </w:r>
    <w:r>
      <w:t xml:space="preserve">   </w:t>
    </w:r>
    <w:r>
      <w:rPr>
        <w:rFonts w:hint="eastAsia"/>
      </w:rPr>
      <w:t xml:space="preserv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F9090C">
    <w:pPr>
      <w:pStyle w:val="15"/>
      <w:framePr w:wrap="around" w:vAnchor="text" w:hAnchor="margin" w:xAlign="center" w:y="1"/>
      <w:rPr>
        <w:rStyle w:val="26"/>
      </w:rPr>
    </w:pPr>
    <w:r>
      <w:fldChar w:fldCharType="begin"/>
    </w:r>
    <w:r>
      <w:rPr>
        <w:rStyle w:val="26"/>
      </w:rPr>
      <w:instrText xml:space="preserve">PAGE  </w:instrText>
    </w:r>
    <w:r>
      <w:fldChar w:fldCharType="end"/>
    </w:r>
  </w:p>
  <w:p w14:paraId="463493BD">
    <w:pPr>
      <w:pStyle w:val="1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C06097">
    <w:pPr>
      <w:pStyle w:val="16"/>
      <w:rPr>
        <w:rFonts w:hint="eastAsia" w:eastAsia="宋体"/>
        <w:sz w:val="15"/>
        <w:szCs w:val="16"/>
        <w:lang w:eastAsia="zh-CN"/>
      </w:rPr>
    </w:pPr>
    <w:r>
      <w:rPr>
        <w:rFonts w:hint="eastAsia"/>
        <w:sz w:val="21"/>
        <w:szCs w:val="16"/>
        <w:lang w:eastAsia="zh-CN"/>
      </w:rPr>
      <w:t>东阳市农药废弃包装物回收和集中处置采购项目（第二次）</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CF9DFB">
    <w:pPr>
      <w:rPr>
        <w:u w:val="single"/>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5CC1A2">
    <w:pPr>
      <w:pStyle w:val="16"/>
      <w:pBdr>
        <w:bottom w:val="none" w:color="auto" w:sz="0" w:space="0"/>
      </w:pBdr>
      <w:jc w:val="both"/>
      <w:rPr>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55C1CA">
    <w:pPr>
      <w:pStyle w:val="16"/>
      <w:rPr>
        <w:rFonts w:hint="eastAsia" w:eastAsia="宋体"/>
        <w:sz w:val="21"/>
        <w:szCs w:val="16"/>
        <w:lang w:eastAsia="zh-CN"/>
      </w:rPr>
    </w:pPr>
    <w:r>
      <w:rPr>
        <w:rFonts w:hint="eastAsia"/>
        <w:sz w:val="21"/>
        <w:szCs w:val="16"/>
        <w:lang w:eastAsia="zh-CN"/>
      </w:rPr>
      <w:t>东阳市农药废弃包装物回收和集中处置采购项目（第二次）</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7030C2">
    <w:pPr>
      <w:pStyle w:val="16"/>
    </w:pPr>
    <w:r>
      <w:rPr>
        <w:rFonts w:hint="eastAsia"/>
        <w:sz w:val="21"/>
        <w:szCs w:val="16"/>
        <w:lang w:eastAsia="zh-CN"/>
      </w:rPr>
      <w:t>东阳市农药废弃包装物回收和集中处置采购项目（第二次）</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7C4E145"/>
    <w:multiLevelType w:val="singleLevel"/>
    <w:tmpl w:val="87C4E145"/>
    <w:lvl w:ilvl="0" w:tentative="0">
      <w:start w:val="1"/>
      <w:numFmt w:val="decimal"/>
      <w:suff w:val="nothing"/>
      <w:lvlText w:val="%1、"/>
      <w:lvlJc w:val="left"/>
    </w:lvl>
  </w:abstractNum>
  <w:abstractNum w:abstractNumId="1">
    <w:nsid w:val="C6D025FC"/>
    <w:multiLevelType w:val="singleLevel"/>
    <w:tmpl w:val="C6D025FC"/>
    <w:lvl w:ilvl="0" w:tentative="0">
      <w:start w:val="1"/>
      <w:numFmt w:val="decimal"/>
      <w:lvlText w:val="%1."/>
      <w:lvlJc w:val="left"/>
      <w:pPr>
        <w:tabs>
          <w:tab w:val="left" w:pos="312"/>
        </w:tabs>
      </w:pPr>
    </w:lvl>
  </w:abstractNum>
  <w:abstractNum w:abstractNumId="2">
    <w:nsid w:val="FA5E8E8B"/>
    <w:multiLevelType w:val="singleLevel"/>
    <w:tmpl w:val="FA5E8E8B"/>
    <w:lvl w:ilvl="0" w:tentative="0">
      <w:start w:val="1"/>
      <w:numFmt w:val="chineseCounting"/>
      <w:suff w:val="nothing"/>
      <w:lvlText w:val="%1、"/>
      <w:lvlJc w:val="left"/>
      <w:rPr>
        <w:rFonts w:hint="eastAsia"/>
      </w:rPr>
    </w:lvl>
  </w:abstractNum>
  <w:abstractNum w:abstractNumId="3">
    <w:nsid w:val="0B3575E4"/>
    <w:multiLevelType w:val="singleLevel"/>
    <w:tmpl w:val="0B3575E4"/>
    <w:lvl w:ilvl="0" w:tentative="0">
      <w:start w:val="4"/>
      <w:numFmt w:val="chineseCounting"/>
      <w:suff w:val="nothing"/>
      <w:lvlText w:val="（%1）"/>
      <w:lvlJc w:val="left"/>
      <w:rPr>
        <w:rFonts w:hint="eastAsia"/>
      </w:rPr>
    </w:lvl>
  </w:abstractNum>
  <w:abstractNum w:abstractNumId="4">
    <w:nsid w:val="11744E57"/>
    <w:multiLevelType w:val="multilevel"/>
    <w:tmpl w:val="11744E57"/>
    <w:lvl w:ilvl="0" w:tentative="0">
      <w:start w:val="1"/>
      <w:numFmt w:val="decimal"/>
      <w:lvlText w:val="%1"/>
      <w:lvlJc w:val="left"/>
      <w:pPr>
        <w:tabs>
          <w:tab w:val="left" w:pos="432"/>
        </w:tabs>
        <w:ind w:left="432" w:hanging="432"/>
      </w:pPr>
    </w:lvl>
    <w:lvl w:ilvl="1" w:tentative="0">
      <w:start w:val="1"/>
      <w:numFmt w:val="decimal"/>
      <w:lvlText w:val="%1.%2"/>
      <w:lvlJc w:val="left"/>
      <w:pPr>
        <w:tabs>
          <w:tab w:val="left" w:pos="576"/>
        </w:tabs>
        <w:ind w:left="576" w:hanging="576"/>
      </w:pPr>
    </w:lvl>
    <w:lvl w:ilvl="2" w:tentative="0">
      <w:start w:val="1"/>
      <w:numFmt w:val="decimal"/>
      <w:pStyle w:val="6"/>
      <w:lvlText w:val="%1.%2.%3"/>
      <w:lvlJc w:val="left"/>
      <w:pPr>
        <w:tabs>
          <w:tab w:val="left" w:pos="720"/>
        </w:tabs>
        <w:ind w:left="720" w:hanging="720"/>
      </w:pPr>
    </w:lvl>
    <w:lvl w:ilvl="3" w:tentative="0">
      <w:start w:val="1"/>
      <w:numFmt w:val="decimal"/>
      <w:lvlText w:val="%1.%2.%3.%4"/>
      <w:lvlJc w:val="left"/>
      <w:pPr>
        <w:tabs>
          <w:tab w:val="left" w:pos="864"/>
        </w:tabs>
        <w:ind w:left="864" w:hanging="864"/>
      </w:pPr>
    </w:lvl>
    <w:lvl w:ilvl="4" w:tentative="0">
      <w:start w:val="1"/>
      <w:numFmt w:val="decimal"/>
      <w:lvlText w:val="%1.%2.%3.%4.%5"/>
      <w:lvlJc w:val="left"/>
      <w:pPr>
        <w:tabs>
          <w:tab w:val="left" w:pos="1008"/>
        </w:tabs>
        <w:ind w:left="1008" w:hanging="1008"/>
      </w:pPr>
    </w:lvl>
    <w:lvl w:ilvl="5" w:tentative="0">
      <w:start w:val="1"/>
      <w:numFmt w:val="decimal"/>
      <w:lvlText w:val="%1.%2.%3.%4.%5.%6"/>
      <w:lvlJc w:val="left"/>
      <w:pPr>
        <w:tabs>
          <w:tab w:val="left" w:pos="1152"/>
        </w:tabs>
        <w:ind w:left="1152" w:hanging="1152"/>
      </w:pPr>
    </w:lvl>
    <w:lvl w:ilvl="6" w:tentative="0">
      <w:start w:val="1"/>
      <w:numFmt w:val="decimal"/>
      <w:lvlText w:val="%1.%2.%3.%4.%5.%6.%7"/>
      <w:lvlJc w:val="left"/>
      <w:pPr>
        <w:tabs>
          <w:tab w:val="left" w:pos="1296"/>
        </w:tabs>
        <w:ind w:left="1296" w:hanging="1296"/>
      </w:pPr>
    </w:lvl>
    <w:lvl w:ilvl="7" w:tentative="0">
      <w:start w:val="1"/>
      <w:numFmt w:val="decimal"/>
      <w:lvlText w:val="%1.%2.%3.%4.%5.%6.%7.%8"/>
      <w:lvlJc w:val="left"/>
      <w:pPr>
        <w:tabs>
          <w:tab w:val="left" w:pos="1440"/>
        </w:tabs>
        <w:ind w:left="1440" w:hanging="1440"/>
      </w:pPr>
    </w:lvl>
    <w:lvl w:ilvl="8" w:tentative="0">
      <w:start w:val="1"/>
      <w:numFmt w:val="decimal"/>
      <w:lvlText w:val="%1.%2.%3.%4.%5.%6.%7.%8.%9"/>
      <w:lvlJc w:val="left"/>
      <w:pPr>
        <w:tabs>
          <w:tab w:val="left" w:pos="1584"/>
        </w:tabs>
        <w:ind w:left="1584" w:hanging="1584"/>
      </w:pPr>
    </w:lvl>
  </w:abstractNum>
  <w:abstractNum w:abstractNumId="5">
    <w:nsid w:val="248712B5"/>
    <w:multiLevelType w:val="singleLevel"/>
    <w:tmpl w:val="248712B5"/>
    <w:lvl w:ilvl="0" w:tentative="0">
      <w:start w:val="3"/>
      <w:numFmt w:val="decimal"/>
      <w:lvlText w:val="%1."/>
      <w:lvlJc w:val="left"/>
      <w:pPr>
        <w:tabs>
          <w:tab w:val="left" w:pos="312"/>
        </w:tabs>
      </w:pPr>
    </w:lvl>
  </w:abstractNum>
  <w:abstractNum w:abstractNumId="6">
    <w:nsid w:val="5D410D0D"/>
    <w:multiLevelType w:val="singleLevel"/>
    <w:tmpl w:val="5D410D0D"/>
    <w:lvl w:ilvl="0" w:tentative="0">
      <w:start w:val="5"/>
      <w:numFmt w:val="chineseCounting"/>
      <w:suff w:val="space"/>
      <w:lvlText w:val="第%1章"/>
      <w:lvlJc w:val="left"/>
      <w:rPr>
        <w:rFonts w:hint="eastAsia"/>
      </w:rPr>
    </w:lvl>
  </w:abstractNum>
  <w:abstractNum w:abstractNumId="7">
    <w:nsid w:val="61ADA8C3"/>
    <w:multiLevelType w:val="singleLevel"/>
    <w:tmpl w:val="61ADA8C3"/>
    <w:lvl w:ilvl="0" w:tentative="0">
      <w:start w:val="5"/>
      <w:numFmt w:val="chineseCounting"/>
      <w:suff w:val="nothing"/>
      <w:lvlText w:val="%1、"/>
      <w:lvlJc w:val="left"/>
    </w:lvl>
  </w:abstractNum>
  <w:abstractNum w:abstractNumId="8">
    <w:nsid w:val="763060DB"/>
    <w:multiLevelType w:val="multilevel"/>
    <w:tmpl w:val="763060DB"/>
    <w:lvl w:ilvl="0" w:tentative="0">
      <w:start w:val="1"/>
      <w:numFmt w:val="japaneseCounting"/>
      <w:lvlText w:val="第%1章"/>
      <w:lvlJc w:val="left"/>
      <w:pPr>
        <w:tabs>
          <w:tab w:val="left" w:pos="1455"/>
        </w:tabs>
        <w:ind w:left="1455" w:hanging="1275"/>
      </w:pPr>
      <w:rPr>
        <w:rFonts w:hint="eastAsia" w:cs="Times New Roman"/>
      </w:rPr>
    </w:lvl>
    <w:lvl w:ilvl="1" w:tentative="0">
      <w:start w:val="1"/>
      <w:numFmt w:val="japaneseCounting"/>
      <w:lvlText w:val="%2、"/>
      <w:lvlJc w:val="left"/>
      <w:pPr>
        <w:tabs>
          <w:tab w:val="left" w:pos="1320"/>
        </w:tabs>
        <w:ind w:left="1320" w:hanging="720"/>
      </w:pPr>
      <w:rPr>
        <w:rFonts w:hint="eastAsia" w:cs="Times New Roman"/>
      </w:rPr>
    </w:lvl>
    <w:lvl w:ilvl="2" w:tentative="0">
      <w:start w:val="1"/>
      <w:numFmt w:val="lowerRoman"/>
      <w:lvlText w:val="%3."/>
      <w:lvlJc w:val="right"/>
      <w:pPr>
        <w:tabs>
          <w:tab w:val="left" w:pos="1440"/>
        </w:tabs>
        <w:ind w:left="1440" w:hanging="420"/>
      </w:pPr>
      <w:rPr>
        <w:rFonts w:cs="Times New Roman"/>
      </w:rPr>
    </w:lvl>
    <w:lvl w:ilvl="3" w:tentative="0">
      <w:start w:val="1"/>
      <w:numFmt w:val="decimal"/>
      <w:lvlText w:val="%4."/>
      <w:lvlJc w:val="left"/>
      <w:pPr>
        <w:tabs>
          <w:tab w:val="left" w:pos="1860"/>
        </w:tabs>
        <w:ind w:left="1860" w:hanging="420"/>
      </w:pPr>
      <w:rPr>
        <w:rFonts w:cs="Times New Roman"/>
      </w:rPr>
    </w:lvl>
    <w:lvl w:ilvl="4" w:tentative="0">
      <w:start w:val="1"/>
      <w:numFmt w:val="lowerLetter"/>
      <w:lvlText w:val="%5)"/>
      <w:lvlJc w:val="left"/>
      <w:pPr>
        <w:tabs>
          <w:tab w:val="left" w:pos="2280"/>
        </w:tabs>
        <w:ind w:left="2280" w:hanging="420"/>
      </w:pPr>
      <w:rPr>
        <w:rFonts w:cs="Times New Roman"/>
      </w:rPr>
    </w:lvl>
    <w:lvl w:ilvl="5" w:tentative="0">
      <w:start w:val="1"/>
      <w:numFmt w:val="lowerRoman"/>
      <w:lvlText w:val="%6."/>
      <w:lvlJc w:val="right"/>
      <w:pPr>
        <w:tabs>
          <w:tab w:val="left" w:pos="2700"/>
        </w:tabs>
        <w:ind w:left="2700" w:hanging="420"/>
      </w:pPr>
      <w:rPr>
        <w:rFonts w:cs="Times New Roman"/>
      </w:rPr>
    </w:lvl>
    <w:lvl w:ilvl="6" w:tentative="0">
      <w:start w:val="1"/>
      <w:numFmt w:val="decimal"/>
      <w:lvlText w:val="%7."/>
      <w:lvlJc w:val="left"/>
      <w:pPr>
        <w:tabs>
          <w:tab w:val="left" w:pos="3120"/>
        </w:tabs>
        <w:ind w:left="3120" w:hanging="420"/>
      </w:pPr>
      <w:rPr>
        <w:rFonts w:cs="Times New Roman"/>
      </w:rPr>
    </w:lvl>
    <w:lvl w:ilvl="7" w:tentative="0">
      <w:start w:val="1"/>
      <w:numFmt w:val="lowerLetter"/>
      <w:lvlText w:val="%8)"/>
      <w:lvlJc w:val="left"/>
      <w:pPr>
        <w:tabs>
          <w:tab w:val="left" w:pos="3540"/>
        </w:tabs>
        <w:ind w:left="3540" w:hanging="420"/>
      </w:pPr>
      <w:rPr>
        <w:rFonts w:cs="Times New Roman"/>
      </w:rPr>
    </w:lvl>
    <w:lvl w:ilvl="8" w:tentative="0">
      <w:start w:val="1"/>
      <w:numFmt w:val="lowerRoman"/>
      <w:lvlText w:val="%9."/>
      <w:lvlJc w:val="right"/>
      <w:pPr>
        <w:tabs>
          <w:tab w:val="left" w:pos="3960"/>
        </w:tabs>
        <w:ind w:left="3960" w:hanging="420"/>
      </w:pPr>
      <w:rPr>
        <w:rFonts w:cs="Times New Roman"/>
      </w:rPr>
    </w:lvl>
  </w:abstractNum>
  <w:abstractNum w:abstractNumId="9">
    <w:nsid w:val="7E234718"/>
    <w:multiLevelType w:val="multilevel"/>
    <w:tmpl w:val="7E234718"/>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4"/>
  </w:num>
  <w:num w:numId="2">
    <w:abstractNumId w:val="8"/>
    <w:lvlOverride w:ilvl="0">
      <w:startOverride w:val="1"/>
    </w:lvlOverride>
  </w:num>
  <w:num w:numId="3">
    <w:abstractNumId w:val="2"/>
  </w:num>
  <w:num w:numId="4">
    <w:abstractNumId w:val="7"/>
  </w:num>
  <w:num w:numId="5">
    <w:abstractNumId w:val="0"/>
  </w:num>
  <w:num w:numId="6">
    <w:abstractNumId w:val="9"/>
  </w:num>
  <w:num w:numId="7">
    <w:abstractNumId w:val="5"/>
  </w:num>
  <w:num w:numId="8">
    <w:abstractNumId w:val="1"/>
  </w:num>
  <w:num w:numId="9">
    <w:abstractNumId w:val="3"/>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BlMjVhODAxMDQ5MDdlZDVmZDJjNWViZmJiMWFkNzIifQ=="/>
  </w:docVars>
  <w:rsids>
    <w:rsidRoot w:val="22CE71A1"/>
    <w:rsid w:val="0009168E"/>
    <w:rsid w:val="000A320D"/>
    <w:rsid w:val="000A411A"/>
    <w:rsid w:val="000F6800"/>
    <w:rsid w:val="00176D7F"/>
    <w:rsid w:val="00274DB8"/>
    <w:rsid w:val="002C130B"/>
    <w:rsid w:val="002C2B19"/>
    <w:rsid w:val="002E76D0"/>
    <w:rsid w:val="003037EE"/>
    <w:rsid w:val="003909BB"/>
    <w:rsid w:val="003C34ED"/>
    <w:rsid w:val="003F2A12"/>
    <w:rsid w:val="003F38D1"/>
    <w:rsid w:val="004358C6"/>
    <w:rsid w:val="0048258C"/>
    <w:rsid w:val="0049062B"/>
    <w:rsid w:val="004E4BF0"/>
    <w:rsid w:val="004F3F23"/>
    <w:rsid w:val="00506D61"/>
    <w:rsid w:val="00547D92"/>
    <w:rsid w:val="00575CF8"/>
    <w:rsid w:val="005836BA"/>
    <w:rsid w:val="00585768"/>
    <w:rsid w:val="0059544E"/>
    <w:rsid w:val="005963BC"/>
    <w:rsid w:val="005A1BFF"/>
    <w:rsid w:val="005A23BE"/>
    <w:rsid w:val="005E255D"/>
    <w:rsid w:val="005E2E5E"/>
    <w:rsid w:val="0065581C"/>
    <w:rsid w:val="006921EA"/>
    <w:rsid w:val="006A1682"/>
    <w:rsid w:val="00703E0D"/>
    <w:rsid w:val="0075428F"/>
    <w:rsid w:val="00757410"/>
    <w:rsid w:val="00776904"/>
    <w:rsid w:val="007C6B60"/>
    <w:rsid w:val="007E425B"/>
    <w:rsid w:val="00804301"/>
    <w:rsid w:val="00851DEA"/>
    <w:rsid w:val="00906786"/>
    <w:rsid w:val="009228A7"/>
    <w:rsid w:val="009E4334"/>
    <w:rsid w:val="009E5DF6"/>
    <w:rsid w:val="009F62E5"/>
    <w:rsid w:val="00A61EA7"/>
    <w:rsid w:val="00A71A0D"/>
    <w:rsid w:val="00A830B7"/>
    <w:rsid w:val="00A93623"/>
    <w:rsid w:val="00AA48B8"/>
    <w:rsid w:val="00AE4FC3"/>
    <w:rsid w:val="00AE5938"/>
    <w:rsid w:val="00B1459D"/>
    <w:rsid w:val="00B20E08"/>
    <w:rsid w:val="00B258FA"/>
    <w:rsid w:val="00B6668D"/>
    <w:rsid w:val="00B8722B"/>
    <w:rsid w:val="00BD316F"/>
    <w:rsid w:val="00BD5EFB"/>
    <w:rsid w:val="00C420F5"/>
    <w:rsid w:val="00C975A7"/>
    <w:rsid w:val="00CA5306"/>
    <w:rsid w:val="00CA60ED"/>
    <w:rsid w:val="00CC429E"/>
    <w:rsid w:val="00CE006B"/>
    <w:rsid w:val="00E05CB1"/>
    <w:rsid w:val="00E15680"/>
    <w:rsid w:val="00E420DF"/>
    <w:rsid w:val="00E4227A"/>
    <w:rsid w:val="00E472CB"/>
    <w:rsid w:val="00E7430F"/>
    <w:rsid w:val="00EC7BC0"/>
    <w:rsid w:val="00EE79E9"/>
    <w:rsid w:val="00EF4637"/>
    <w:rsid w:val="00F92A4A"/>
    <w:rsid w:val="00FC7408"/>
    <w:rsid w:val="00FF6FD4"/>
    <w:rsid w:val="0100241C"/>
    <w:rsid w:val="01862EBD"/>
    <w:rsid w:val="01883B8A"/>
    <w:rsid w:val="019D5C21"/>
    <w:rsid w:val="01DD04F9"/>
    <w:rsid w:val="01E53BA7"/>
    <w:rsid w:val="01EE3C9B"/>
    <w:rsid w:val="02084D4C"/>
    <w:rsid w:val="02326B40"/>
    <w:rsid w:val="02380BEE"/>
    <w:rsid w:val="02462D2B"/>
    <w:rsid w:val="02585264"/>
    <w:rsid w:val="028E1825"/>
    <w:rsid w:val="02BB0BC7"/>
    <w:rsid w:val="02D109A1"/>
    <w:rsid w:val="02E879B1"/>
    <w:rsid w:val="030C4CA2"/>
    <w:rsid w:val="031422ED"/>
    <w:rsid w:val="033C3174"/>
    <w:rsid w:val="03483A8A"/>
    <w:rsid w:val="036A1510"/>
    <w:rsid w:val="037D2A0B"/>
    <w:rsid w:val="03987D91"/>
    <w:rsid w:val="03B51E2D"/>
    <w:rsid w:val="03BD2B1F"/>
    <w:rsid w:val="03F324AB"/>
    <w:rsid w:val="045F1833"/>
    <w:rsid w:val="04BA6D01"/>
    <w:rsid w:val="04CA3DCA"/>
    <w:rsid w:val="04EA6DAD"/>
    <w:rsid w:val="054D4845"/>
    <w:rsid w:val="05820F44"/>
    <w:rsid w:val="05C0165F"/>
    <w:rsid w:val="060A3685"/>
    <w:rsid w:val="060C68AF"/>
    <w:rsid w:val="063B3638"/>
    <w:rsid w:val="06747A18"/>
    <w:rsid w:val="068153A2"/>
    <w:rsid w:val="06BA754B"/>
    <w:rsid w:val="06D23357"/>
    <w:rsid w:val="072B7519"/>
    <w:rsid w:val="0772284C"/>
    <w:rsid w:val="07C97B4F"/>
    <w:rsid w:val="08395B6F"/>
    <w:rsid w:val="084E7FC6"/>
    <w:rsid w:val="0895702F"/>
    <w:rsid w:val="08A454C4"/>
    <w:rsid w:val="08AE1E9F"/>
    <w:rsid w:val="08B20D9E"/>
    <w:rsid w:val="08FD6983"/>
    <w:rsid w:val="09477125"/>
    <w:rsid w:val="097E5D15"/>
    <w:rsid w:val="09BA2AC6"/>
    <w:rsid w:val="09EB0BF7"/>
    <w:rsid w:val="09EC7123"/>
    <w:rsid w:val="0A1B17B6"/>
    <w:rsid w:val="0A20501F"/>
    <w:rsid w:val="0A3B59B5"/>
    <w:rsid w:val="0A681BFC"/>
    <w:rsid w:val="0ADD4CBE"/>
    <w:rsid w:val="0AE26331"/>
    <w:rsid w:val="0B0C7351"/>
    <w:rsid w:val="0B27494A"/>
    <w:rsid w:val="0B4C2E55"/>
    <w:rsid w:val="0B641591"/>
    <w:rsid w:val="0B8D66E4"/>
    <w:rsid w:val="0BBA28EF"/>
    <w:rsid w:val="0BF372F7"/>
    <w:rsid w:val="0C2B5685"/>
    <w:rsid w:val="0C365A7C"/>
    <w:rsid w:val="0C834A9C"/>
    <w:rsid w:val="0C8B7845"/>
    <w:rsid w:val="0C8C4543"/>
    <w:rsid w:val="0C9B273A"/>
    <w:rsid w:val="0CB8387E"/>
    <w:rsid w:val="0D200115"/>
    <w:rsid w:val="0D977056"/>
    <w:rsid w:val="0DCC0050"/>
    <w:rsid w:val="0E2645A7"/>
    <w:rsid w:val="0E51617F"/>
    <w:rsid w:val="0E5B2553"/>
    <w:rsid w:val="0E63372C"/>
    <w:rsid w:val="0EE303C9"/>
    <w:rsid w:val="0EE83C31"/>
    <w:rsid w:val="0F131734"/>
    <w:rsid w:val="0F225395"/>
    <w:rsid w:val="0F56112B"/>
    <w:rsid w:val="0F931DEF"/>
    <w:rsid w:val="0FEE5277"/>
    <w:rsid w:val="1004773F"/>
    <w:rsid w:val="100A1FB6"/>
    <w:rsid w:val="1092045D"/>
    <w:rsid w:val="109D2B29"/>
    <w:rsid w:val="10E77DE1"/>
    <w:rsid w:val="11772344"/>
    <w:rsid w:val="11C823E8"/>
    <w:rsid w:val="11E06E41"/>
    <w:rsid w:val="11EC57E6"/>
    <w:rsid w:val="11F363D9"/>
    <w:rsid w:val="12141302"/>
    <w:rsid w:val="12672813"/>
    <w:rsid w:val="12755990"/>
    <w:rsid w:val="12940635"/>
    <w:rsid w:val="12947C83"/>
    <w:rsid w:val="1295698D"/>
    <w:rsid w:val="12DE553C"/>
    <w:rsid w:val="12F9443C"/>
    <w:rsid w:val="135D4BEE"/>
    <w:rsid w:val="13623FB2"/>
    <w:rsid w:val="13A740BB"/>
    <w:rsid w:val="13AA52FD"/>
    <w:rsid w:val="13D85238"/>
    <w:rsid w:val="14235AFB"/>
    <w:rsid w:val="143F42F3"/>
    <w:rsid w:val="144638D4"/>
    <w:rsid w:val="14506500"/>
    <w:rsid w:val="148F485D"/>
    <w:rsid w:val="14F0383F"/>
    <w:rsid w:val="150D76B9"/>
    <w:rsid w:val="158226E9"/>
    <w:rsid w:val="15B76130"/>
    <w:rsid w:val="1625472E"/>
    <w:rsid w:val="16683AEA"/>
    <w:rsid w:val="168D2B02"/>
    <w:rsid w:val="16D323B4"/>
    <w:rsid w:val="16D420B0"/>
    <w:rsid w:val="16FA0476"/>
    <w:rsid w:val="17000E9D"/>
    <w:rsid w:val="173619DD"/>
    <w:rsid w:val="174A7092"/>
    <w:rsid w:val="17506D42"/>
    <w:rsid w:val="1760739B"/>
    <w:rsid w:val="177B05D7"/>
    <w:rsid w:val="177C3E66"/>
    <w:rsid w:val="179E534A"/>
    <w:rsid w:val="17AF5662"/>
    <w:rsid w:val="18111CA0"/>
    <w:rsid w:val="187471D8"/>
    <w:rsid w:val="18932F7E"/>
    <w:rsid w:val="18AD0F2F"/>
    <w:rsid w:val="18BD5A73"/>
    <w:rsid w:val="18C70EAA"/>
    <w:rsid w:val="18C7119E"/>
    <w:rsid w:val="18CC2AFA"/>
    <w:rsid w:val="18FB02E8"/>
    <w:rsid w:val="192A5572"/>
    <w:rsid w:val="19A1335A"/>
    <w:rsid w:val="19C343E7"/>
    <w:rsid w:val="1A044015"/>
    <w:rsid w:val="1A4117E7"/>
    <w:rsid w:val="1AE14356"/>
    <w:rsid w:val="1AF851FC"/>
    <w:rsid w:val="1BBA3E2E"/>
    <w:rsid w:val="1BE91714"/>
    <w:rsid w:val="1C2633D9"/>
    <w:rsid w:val="1C73177E"/>
    <w:rsid w:val="1D1B0585"/>
    <w:rsid w:val="1DB45D52"/>
    <w:rsid w:val="1DD90004"/>
    <w:rsid w:val="1DF04AAB"/>
    <w:rsid w:val="1E0740D4"/>
    <w:rsid w:val="1E53364C"/>
    <w:rsid w:val="1E6A48B3"/>
    <w:rsid w:val="1E796654"/>
    <w:rsid w:val="1E951CA6"/>
    <w:rsid w:val="1EB904D1"/>
    <w:rsid w:val="1F266B3A"/>
    <w:rsid w:val="1F36117D"/>
    <w:rsid w:val="1F7E6617"/>
    <w:rsid w:val="1F975FD1"/>
    <w:rsid w:val="20193F9C"/>
    <w:rsid w:val="201A22BF"/>
    <w:rsid w:val="201C628E"/>
    <w:rsid w:val="209E233A"/>
    <w:rsid w:val="20C61987"/>
    <w:rsid w:val="20F621DE"/>
    <w:rsid w:val="210A5392"/>
    <w:rsid w:val="21661111"/>
    <w:rsid w:val="217D3987"/>
    <w:rsid w:val="21B1030E"/>
    <w:rsid w:val="21BC5F19"/>
    <w:rsid w:val="21C50BBD"/>
    <w:rsid w:val="21E43765"/>
    <w:rsid w:val="229D7F0B"/>
    <w:rsid w:val="22CE71A1"/>
    <w:rsid w:val="22DB78DD"/>
    <w:rsid w:val="22F42B00"/>
    <w:rsid w:val="23070620"/>
    <w:rsid w:val="23275843"/>
    <w:rsid w:val="233D062B"/>
    <w:rsid w:val="233E528A"/>
    <w:rsid w:val="23440F61"/>
    <w:rsid w:val="23770D4A"/>
    <w:rsid w:val="23CB52B8"/>
    <w:rsid w:val="2442344A"/>
    <w:rsid w:val="24540A05"/>
    <w:rsid w:val="245E2BBB"/>
    <w:rsid w:val="24917819"/>
    <w:rsid w:val="24C64A5F"/>
    <w:rsid w:val="24D74E25"/>
    <w:rsid w:val="2503715C"/>
    <w:rsid w:val="25146AE7"/>
    <w:rsid w:val="25270CF2"/>
    <w:rsid w:val="252B467B"/>
    <w:rsid w:val="25951FC5"/>
    <w:rsid w:val="259D1DA2"/>
    <w:rsid w:val="25CC204F"/>
    <w:rsid w:val="25F45246"/>
    <w:rsid w:val="2635679B"/>
    <w:rsid w:val="265C2AE3"/>
    <w:rsid w:val="26A349DE"/>
    <w:rsid w:val="26AA42D2"/>
    <w:rsid w:val="26C9242F"/>
    <w:rsid w:val="273A74E3"/>
    <w:rsid w:val="279462AC"/>
    <w:rsid w:val="27C113AB"/>
    <w:rsid w:val="27CC3C98"/>
    <w:rsid w:val="27DB3F71"/>
    <w:rsid w:val="28123F0C"/>
    <w:rsid w:val="283C0E1E"/>
    <w:rsid w:val="286D0FD7"/>
    <w:rsid w:val="28E256E9"/>
    <w:rsid w:val="28EB2280"/>
    <w:rsid w:val="29017971"/>
    <w:rsid w:val="292C28FD"/>
    <w:rsid w:val="296A3E87"/>
    <w:rsid w:val="29755C72"/>
    <w:rsid w:val="299758B1"/>
    <w:rsid w:val="29AA0009"/>
    <w:rsid w:val="29C7761A"/>
    <w:rsid w:val="2A0D4393"/>
    <w:rsid w:val="2A602560"/>
    <w:rsid w:val="2A830F86"/>
    <w:rsid w:val="2A900FAD"/>
    <w:rsid w:val="2A9F3F97"/>
    <w:rsid w:val="2AA96D11"/>
    <w:rsid w:val="2AB27175"/>
    <w:rsid w:val="2ABA28DB"/>
    <w:rsid w:val="2AC05D36"/>
    <w:rsid w:val="2AC84BEB"/>
    <w:rsid w:val="2AF6331B"/>
    <w:rsid w:val="2B062D4C"/>
    <w:rsid w:val="2B0825F5"/>
    <w:rsid w:val="2B554F69"/>
    <w:rsid w:val="2B613F9A"/>
    <w:rsid w:val="2B99711B"/>
    <w:rsid w:val="2BAA0A1E"/>
    <w:rsid w:val="2C5348C6"/>
    <w:rsid w:val="2C5D6D4E"/>
    <w:rsid w:val="2CA92F00"/>
    <w:rsid w:val="2D6F524F"/>
    <w:rsid w:val="2DD15038"/>
    <w:rsid w:val="2DD41206"/>
    <w:rsid w:val="2DF40EEC"/>
    <w:rsid w:val="2E02359D"/>
    <w:rsid w:val="2E124C55"/>
    <w:rsid w:val="2E736DC3"/>
    <w:rsid w:val="2EA457BA"/>
    <w:rsid w:val="2F0A385F"/>
    <w:rsid w:val="2F7F0C0C"/>
    <w:rsid w:val="300A1092"/>
    <w:rsid w:val="30166312"/>
    <w:rsid w:val="303F752B"/>
    <w:rsid w:val="306B1DCE"/>
    <w:rsid w:val="313341CE"/>
    <w:rsid w:val="313B74D9"/>
    <w:rsid w:val="317634C4"/>
    <w:rsid w:val="31815549"/>
    <w:rsid w:val="318E58E2"/>
    <w:rsid w:val="318F1FBE"/>
    <w:rsid w:val="31B859B9"/>
    <w:rsid w:val="31D81F5B"/>
    <w:rsid w:val="323403AB"/>
    <w:rsid w:val="3239017C"/>
    <w:rsid w:val="32470AEB"/>
    <w:rsid w:val="324F5934"/>
    <w:rsid w:val="3252063E"/>
    <w:rsid w:val="326F3B9E"/>
    <w:rsid w:val="3291672D"/>
    <w:rsid w:val="32BF0681"/>
    <w:rsid w:val="332350B4"/>
    <w:rsid w:val="334039A9"/>
    <w:rsid w:val="334864B3"/>
    <w:rsid w:val="336678F9"/>
    <w:rsid w:val="33C70135"/>
    <w:rsid w:val="33C87A09"/>
    <w:rsid w:val="33CE11E3"/>
    <w:rsid w:val="34340270"/>
    <w:rsid w:val="346A6D13"/>
    <w:rsid w:val="34732F46"/>
    <w:rsid w:val="3481328A"/>
    <w:rsid w:val="348558FB"/>
    <w:rsid w:val="34880F47"/>
    <w:rsid w:val="34B5483C"/>
    <w:rsid w:val="34B71D68"/>
    <w:rsid w:val="34BB7B89"/>
    <w:rsid w:val="34E65323"/>
    <w:rsid w:val="34F71E24"/>
    <w:rsid w:val="355C3389"/>
    <w:rsid w:val="35BC359E"/>
    <w:rsid w:val="35C3672F"/>
    <w:rsid w:val="35C6441D"/>
    <w:rsid w:val="36086404"/>
    <w:rsid w:val="365657A0"/>
    <w:rsid w:val="367D5C93"/>
    <w:rsid w:val="369D33CF"/>
    <w:rsid w:val="36D6243D"/>
    <w:rsid w:val="36E12307"/>
    <w:rsid w:val="37691503"/>
    <w:rsid w:val="37AC3F85"/>
    <w:rsid w:val="382532DF"/>
    <w:rsid w:val="382B51B3"/>
    <w:rsid w:val="383513E6"/>
    <w:rsid w:val="38671772"/>
    <w:rsid w:val="386D0B7F"/>
    <w:rsid w:val="388F5AD6"/>
    <w:rsid w:val="38924B76"/>
    <w:rsid w:val="38E145FC"/>
    <w:rsid w:val="38E51657"/>
    <w:rsid w:val="39511289"/>
    <w:rsid w:val="39FF7C53"/>
    <w:rsid w:val="3A184F1A"/>
    <w:rsid w:val="3A5809C7"/>
    <w:rsid w:val="3A9C574C"/>
    <w:rsid w:val="3AB17449"/>
    <w:rsid w:val="3AC34F0A"/>
    <w:rsid w:val="3ACC290C"/>
    <w:rsid w:val="3B484AF6"/>
    <w:rsid w:val="3B6B7401"/>
    <w:rsid w:val="3BCE5995"/>
    <w:rsid w:val="3BE92AC7"/>
    <w:rsid w:val="3CE54549"/>
    <w:rsid w:val="3D3B03CD"/>
    <w:rsid w:val="3D5D7415"/>
    <w:rsid w:val="3DB04E22"/>
    <w:rsid w:val="3DBD1530"/>
    <w:rsid w:val="3E4405D4"/>
    <w:rsid w:val="3E7321A6"/>
    <w:rsid w:val="3E816879"/>
    <w:rsid w:val="3E9248C5"/>
    <w:rsid w:val="3F130387"/>
    <w:rsid w:val="3F1E5B35"/>
    <w:rsid w:val="3F4D0FE9"/>
    <w:rsid w:val="3F834C62"/>
    <w:rsid w:val="3F9133A5"/>
    <w:rsid w:val="3FC05233"/>
    <w:rsid w:val="3FD61B66"/>
    <w:rsid w:val="4006436D"/>
    <w:rsid w:val="40527233"/>
    <w:rsid w:val="41190A4F"/>
    <w:rsid w:val="417969DF"/>
    <w:rsid w:val="417B0250"/>
    <w:rsid w:val="41864565"/>
    <w:rsid w:val="41910DAD"/>
    <w:rsid w:val="41BF1206"/>
    <w:rsid w:val="41DB3C1E"/>
    <w:rsid w:val="42001FAE"/>
    <w:rsid w:val="421D191F"/>
    <w:rsid w:val="424462A7"/>
    <w:rsid w:val="427F0906"/>
    <w:rsid w:val="42911529"/>
    <w:rsid w:val="42AD72C9"/>
    <w:rsid w:val="42DE0FF8"/>
    <w:rsid w:val="42F9184C"/>
    <w:rsid w:val="43345346"/>
    <w:rsid w:val="433B05B1"/>
    <w:rsid w:val="433B1FA6"/>
    <w:rsid w:val="433E3D91"/>
    <w:rsid w:val="43536AFA"/>
    <w:rsid w:val="43842C40"/>
    <w:rsid w:val="43A132F3"/>
    <w:rsid w:val="43A31847"/>
    <w:rsid w:val="43AC0DF2"/>
    <w:rsid w:val="43DA6864"/>
    <w:rsid w:val="444A4B8D"/>
    <w:rsid w:val="446B1F9E"/>
    <w:rsid w:val="44CB55FA"/>
    <w:rsid w:val="4508410A"/>
    <w:rsid w:val="45DE2CB4"/>
    <w:rsid w:val="4610261B"/>
    <w:rsid w:val="46460B0A"/>
    <w:rsid w:val="464C0D55"/>
    <w:rsid w:val="46A97D8D"/>
    <w:rsid w:val="46E666CD"/>
    <w:rsid w:val="46FC23ED"/>
    <w:rsid w:val="470E3338"/>
    <w:rsid w:val="475D3E27"/>
    <w:rsid w:val="47705F96"/>
    <w:rsid w:val="48741C01"/>
    <w:rsid w:val="48B61D9C"/>
    <w:rsid w:val="48DF6BE6"/>
    <w:rsid w:val="49A86357"/>
    <w:rsid w:val="49C67089"/>
    <w:rsid w:val="49E862B8"/>
    <w:rsid w:val="4A1807F1"/>
    <w:rsid w:val="4A5B1DDA"/>
    <w:rsid w:val="4A734D89"/>
    <w:rsid w:val="4A765773"/>
    <w:rsid w:val="4AB330F6"/>
    <w:rsid w:val="4AC80EE4"/>
    <w:rsid w:val="4AE126AF"/>
    <w:rsid w:val="4B1650A7"/>
    <w:rsid w:val="4B5471B0"/>
    <w:rsid w:val="4BAC0BD3"/>
    <w:rsid w:val="4C0A0B5C"/>
    <w:rsid w:val="4C742085"/>
    <w:rsid w:val="4D0B7FC7"/>
    <w:rsid w:val="4D4A3DCB"/>
    <w:rsid w:val="4D5C1590"/>
    <w:rsid w:val="4D9C7D00"/>
    <w:rsid w:val="4DDC6134"/>
    <w:rsid w:val="4E0F1CC7"/>
    <w:rsid w:val="4E151645"/>
    <w:rsid w:val="4E191038"/>
    <w:rsid w:val="4E710F72"/>
    <w:rsid w:val="4E720114"/>
    <w:rsid w:val="4EA03605"/>
    <w:rsid w:val="4EA2112B"/>
    <w:rsid w:val="4EA36C51"/>
    <w:rsid w:val="4EBE1CDD"/>
    <w:rsid w:val="4F196F13"/>
    <w:rsid w:val="4F90367A"/>
    <w:rsid w:val="4FC7192C"/>
    <w:rsid w:val="502B5150"/>
    <w:rsid w:val="50571368"/>
    <w:rsid w:val="50926F7D"/>
    <w:rsid w:val="50A33DA3"/>
    <w:rsid w:val="51D450E4"/>
    <w:rsid w:val="51FF131A"/>
    <w:rsid w:val="52601D75"/>
    <w:rsid w:val="528441FF"/>
    <w:rsid w:val="52D83B3D"/>
    <w:rsid w:val="53235261"/>
    <w:rsid w:val="536B7291"/>
    <w:rsid w:val="53B86CFB"/>
    <w:rsid w:val="53CB18B2"/>
    <w:rsid w:val="53CB3901"/>
    <w:rsid w:val="53CE29C2"/>
    <w:rsid w:val="53E94604"/>
    <w:rsid w:val="542B51E8"/>
    <w:rsid w:val="5472334E"/>
    <w:rsid w:val="54F77EBC"/>
    <w:rsid w:val="55142657"/>
    <w:rsid w:val="551E5284"/>
    <w:rsid w:val="552F7491"/>
    <w:rsid w:val="55ED44D5"/>
    <w:rsid w:val="55FA17C1"/>
    <w:rsid w:val="56075F62"/>
    <w:rsid w:val="5628318A"/>
    <w:rsid w:val="56890E23"/>
    <w:rsid w:val="569A4AFE"/>
    <w:rsid w:val="56AE2637"/>
    <w:rsid w:val="56BA5480"/>
    <w:rsid w:val="56F92566"/>
    <w:rsid w:val="57BE7047"/>
    <w:rsid w:val="57E461A9"/>
    <w:rsid w:val="57F4292C"/>
    <w:rsid w:val="58262413"/>
    <w:rsid w:val="584C035A"/>
    <w:rsid w:val="58734C72"/>
    <w:rsid w:val="58852470"/>
    <w:rsid w:val="593060EE"/>
    <w:rsid w:val="593F59DB"/>
    <w:rsid w:val="596E31B2"/>
    <w:rsid w:val="59BB5797"/>
    <w:rsid w:val="5A366BCB"/>
    <w:rsid w:val="5A9F29C3"/>
    <w:rsid w:val="5AA4075B"/>
    <w:rsid w:val="5ABF0594"/>
    <w:rsid w:val="5ACC150C"/>
    <w:rsid w:val="5AD92808"/>
    <w:rsid w:val="5AF83F7A"/>
    <w:rsid w:val="5B56278C"/>
    <w:rsid w:val="5B6B2B0C"/>
    <w:rsid w:val="5B815756"/>
    <w:rsid w:val="5BBB4284"/>
    <w:rsid w:val="5BD957A7"/>
    <w:rsid w:val="5BF049B0"/>
    <w:rsid w:val="5BFC4D5E"/>
    <w:rsid w:val="5C0827EA"/>
    <w:rsid w:val="5C741607"/>
    <w:rsid w:val="5C8C62A8"/>
    <w:rsid w:val="5CAC13C7"/>
    <w:rsid w:val="5CB02103"/>
    <w:rsid w:val="5D316588"/>
    <w:rsid w:val="5D35142F"/>
    <w:rsid w:val="5D4B5084"/>
    <w:rsid w:val="5D4D678A"/>
    <w:rsid w:val="5DC43493"/>
    <w:rsid w:val="5DEF7499"/>
    <w:rsid w:val="5DFC3061"/>
    <w:rsid w:val="5E0019CA"/>
    <w:rsid w:val="5E941919"/>
    <w:rsid w:val="5E9F5687"/>
    <w:rsid w:val="5EB45B2D"/>
    <w:rsid w:val="5EBA156F"/>
    <w:rsid w:val="5EBD70D2"/>
    <w:rsid w:val="5EDA046D"/>
    <w:rsid w:val="5F3A19DD"/>
    <w:rsid w:val="5F3C4C84"/>
    <w:rsid w:val="5F3F3DA7"/>
    <w:rsid w:val="5F6E6E08"/>
    <w:rsid w:val="5F952EC1"/>
    <w:rsid w:val="5FAC2C9D"/>
    <w:rsid w:val="5FBE7CA9"/>
    <w:rsid w:val="5FFB68ED"/>
    <w:rsid w:val="60403386"/>
    <w:rsid w:val="6045351B"/>
    <w:rsid w:val="60591866"/>
    <w:rsid w:val="60D24390"/>
    <w:rsid w:val="60D864C0"/>
    <w:rsid w:val="60DF7FBD"/>
    <w:rsid w:val="613F0E54"/>
    <w:rsid w:val="614B7400"/>
    <w:rsid w:val="61651BD7"/>
    <w:rsid w:val="617F52FC"/>
    <w:rsid w:val="6189617B"/>
    <w:rsid w:val="61E0345C"/>
    <w:rsid w:val="62165C60"/>
    <w:rsid w:val="628726D3"/>
    <w:rsid w:val="628C1A1D"/>
    <w:rsid w:val="62A46223"/>
    <w:rsid w:val="62C54F90"/>
    <w:rsid w:val="62EE66A6"/>
    <w:rsid w:val="631B690C"/>
    <w:rsid w:val="632048BD"/>
    <w:rsid w:val="63A614B8"/>
    <w:rsid w:val="63AA27F0"/>
    <w:rsid w:val="63C31D98"/>
    <w:rsid w:val="63CE6105"/>
    <w:rsid w:val="63DC1D65"/>
    <w:rsid w:val="64080170"/>
    <w:rsid w:val="64083A73"/>
    <w:rsid w:val="643D6469"/>
    <w:rsid w:val="644055A7"/>
    <w:rsid w:val="64C179D9"/>
    <w:rsid w:val="64D21465"/>
    <w:rsid w:val="64D92F75"/>
    <w:rsid w:val="64EC16A4"/>
    <w:rsid w:val="650E642B"/>
    <w:rsid w:val="651E51CD"/>
    <w:rsid w:val="657F3571"/>
    <w:rsid w:val="658B4EE7"/>
    <w:rsid w:val="65B732B6"/>
    <w:rsid w:val="65E65FB5"/>
    <w:rsid w:val="663C4239"/>
    <w:rsid w:val="66652149"/>
    <w:rsid w:val="666D606B"/>
    <w:rsid w:val="66A80E51"/>
    <w:rsid w:val="66CC2CC9"/>
    <w:rsid w:val="66E918A8"/>
    <w:rsid w:val="670001AD"/>
    <w:rsid w:val="6712476F"/>
    <w:rsid w:val="673A29F1"/>
    <w:rsid w:val="678D417C"/>
    <w:rsid w:val="67F72090"/>
    <w:rsid w:val="680C5410"/>
    <w:rsid w:val="685665B6"/>
    <w:rsid w:val="685A35F2"/>
    <w:rsid w:val="68941085"/>
    <w:rsid w:val="68C30506"/>
    <w:rsid w:val="68E36BD4"/>
    <w:rsid w:val="68EE1867"/>
    <w:rsid w:val="68F84811"/>
    <w:rsid w:val="690658A1"/>
    <w:rsid w:val="693042A1"/>
    <w:rsid w:val="695B0E55"/>
    <w:rsid w:val="69603C65"/>
    <w:rsid w:val="697F233D"/>
    <w:rsid w:val="69890289"/>
    <w:rsid w:val="69EA68DE"/>
    <w:rsid w:val="69EC6BE1"/>
    <w:rsid w:val="6A8E2331"/>
    <w:rsid w:val="6A953B9B"/>
    <w:rsid w:val="6A98507A"/>
    <w:rsid w:val="6B1002C9"/>
    <w:rsid w:val="6B133BD4"/>
    <w:rsid w:val="6B2B79C9"/>
    <w:rsid w:val="6B421F06"/>
    <w:rsid w:val="6B476E8A"/>
    <w:rsid w:val="6BA545A9"/>
    <w:rsid w:val="6BBB33DE"/>
    <w:rsid w:val="6C1D2EDA"/>
    <w:rsid w:val="6C88775B"/>
    <w:rsid w:val="6C8D48B2"/>
    <w:rsid w:val="6C8D5339"/>
    <w:rsid w:val="6CAF0CC0"/>
    <w:rsid w:val="6CD26C28"/>
    <w:rsid w:val="6CD50F40"/>
    <w:rsid w:val="6CF2294A"/>
    <w:rsid w:val="6D09076D"/>
    <w:rsid w:val="6D373F21"/>
    <w:rsid w:val="6D414368"/>
    <w:rsid w:val="6D69549E"/>
    <w:rsid w:val="6DDD7F98"/>
    <w:rsid w:val="6DF8052E"/>
    <w:rsid w:val="6E453E2C"/>
    <w:rsid w:val="6E4A56B1"/>
    <w:rsid w:val="6E6E334F"/>
    <w:rsid w:val="6EEB7D76"/>
    <w:rsid w:val="6EED22BE"/>
    <w:rsid w:val="6F566FDA"/>
    <w:rsid w:val="6F587780"/>
    <w:rsid w:val="6F5B78D4"/>
    <w:rsid w:val="6FC36713"/>
    <w:rsid w:val="707149AA"/>
    <w:rsid w:val="7088334B"/>
    <w:rsid w:val="70AE1811"/>
    <w:rsid w:val="70B357BA"/>
    <w:rsid w:val="70B53C00"/>
    <w:rsid w:val="71096990"/>
    <w:rsid w:val="712B431E"/>
    <w:rsid w:val="71311E19"/>
    <w:rsid w:val="71643609"/>
    <w:rsid w:val="71954990"/>
    <w:rsid w:val="71EC078C"/>
    <w:rsid w:val="71F80EDE"/>
    <w:rsid w:val="72017C83"/>
    <w:rsid w:val="723839D1"/>
    <w:rsid w:val="726519CA"/>
    <w:rsid w:val="728946EE"/>
    <w:rsid w:val="729675CA"/>
    <w:rsid w:val="73DB3715"/>
    <w:rsid w:val="740175AA"/>
    <w:rsid w:val="74336B6D"/>
    <w:rsid w:val="74B96F49"/>
    <w:rsid w:val="74D17882"/>
    <w:rsid w:val="75095ACB"/>
    <w:rsid w:val="751C24CC"/>
    <w:rsid w:val="75344494"/>
    <w:rsid w:val="75766FA0"/>
    <w:rsid w:val="758666A6"/>
    <w:rsid w:val="758C1D32"/>
    <w:rsid w:val="75C40F31"/>
    <w:rsid w:val="75CD75E0"/>
    <w:rsid w:val="75D91027"/>
    <w:rsid w:val="75E50E4E"/>
    <w:rsid w:val="7614205F"/>
    <w:rsid w:val="76204CBB"/>
    <w:rsid w:val="769B02B7"/>
    <w:rsid w:val="771450F9"/>
    <w:rsid w:val="77456248"/>
    <w:rsid w:val="774A29E5"/>
    <w:rsid w:val="774C2801"/>
    <w:rsid w:val="776C3260"/>
    <w:rsid w:val="77A318EC"/>
    <w:rsid w:val="77B2085A"/>
    <w:rsid w:val="784A1D68"/>
    <w:rsid w:val="784C276C"/>
    <w:rsid w:val="78CF226D"/>
    <w:rsid w:val="78D35A79"/>
    <w:rsid w:val="78E42141"/>
    <w:rsid w:val="798968C0"/>
    <w:rsid w:val="799671DA"/>
    <w:rsid w:val="799D05BD"/>
    <w:rsid w:val="79F93E22"/>
    <w:rsid w:val="7A5924D4"/>
    <w:rsid w:val="7A8F5254"/>
    <w:rsid w:val="7ACE69AD"/>
    <w:rsid w:val="7AEA25F7"/>
    <w:rsid w:val="7AEE40F7"/>
    <w:rsid w:val="7B2B5A53"/>
    <w:rsid w:val="7B632708"/>
    <w:rsid w:val="7B75361D"/>
    <w:rsid w:val="7B9854E0"/>
    <w:rsid w:val="7BB01BFF"/>
    <w:rsid w:val="7BC931C0"/>
    <w:rsid w:val="7C3A4157"/>
    <w:rsid w:val="7C4D79B5"/>
    <w:rsid w:val="7C8E7226"/>
    <w:rsid w:val="7CC53A3C"/>
    <w:rsid w:val="7D1978AF"/>
    <w:rsid w:val="7D4C3C39"/>
    <w:rsid w:val="7D675700"/>
    <w:rsid w:val="7D774D25"/>
    <w:rsid w:val="7DB67EA0"/>
    <w:rsid w:val="7DDC3DA0"/>
    <w:rsid w:val="7DE71E07"/>
    <w:rsid w:val="7DFC3B04"/>
    <w:rsid w:val="7E2B3F62"/>
    <w:rsid w:val="7E6831BC"/>
    <w:rsid w:val="7EB77A2B"/>
    <w:rsid w:val="7EBA751C"/>
    <w:rsid w:val="7F0C7D30"/>
    <w:rsid w:val="7F17671C"/>
    <w:rsid w:val="7F2C0419"/>
    <w:rsid w:val="7F5347CB"/>
    <w:rsid w:val="7F62208D"/>
    <w:rsid w:val="7F6F6CFA"/>
    <w:rsid w:val="7F745744"/>
    <w:rsid w:val="7FE728A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qFormat="1" w:uiPriority="39" w:semiHidden="0" w:name="toc 4"/>
    <w:lsdException w:unhideWhenUsed="0" w:uiPriority="0" w:semiHidden="0" w:name="toc 5"/>
    <w:lsdException w:qFormat="1" w:uiPriority="39"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qFormat/>
    <w:uiPriority w:val="0"/>
    <w:pPr>
      <w:keepNext/>
      <w:keepLines/>
      <w:spacing w:before="340" w:after="330" w:line="578" w:lineRule="auto"/>
      <w:outlineLvl w:val="0"/>
    </w:pPr>
    <w:rPr>
      <w:b/>
      <w:bCs/>
      <w:kern w:val="44"/>
      <w:sz w:val="44"/>
      <w:szCs w:val="44"/>
    </w:rPr>
  </w:style>
  <w:style w:type="paragraph" w:styleId="5">
    <w:name w:val="heading 2"/>
    <w:basedOn w:val="1"/>
    <w:next w:val="1"/>
    <w:qFormat/>
    <w:uiPriority w:val="9"/>
    <w:pPr>
      <w:keepNext/>
      <w:keepLines/>
      <w:spacing w:before="260" w:after="260" w:line="416" w:lineRule="auto"/>
      <w:outlineLvl w:val="1"/>
    </w:pPr>
    <w:rPr>
      <w:rFonts w:ascii="Arial" w:hAnsi="Arial" w:eastAsia="黑体"/>
      <w:b/>
      <w:bCs/>
      <w:sz w:val="32"/>
      <w:szCs w:val="32"/>
    </w:rPr>
  </w:style>
  <w:style w:type="paragraph" w:styleId="6">
    <w:name w:val="heading 3"/>
    <w:basedOn w:val="1"/>
    <w:next w:val="1"/>
    <w:qFormat/>
    <w:uiPriority w:val="0"/>
    <w:pPr>
      <w:keepNext/>
      <w:keepLines/>
      <w:numPr>
        <w:ilvl w:val="2"/>
        <w:numId w:val="1"/>
      </w:numPr>
      <w:spacing w:before="260" w:after="260" w:line="416" w:lineRule="auto"/>
      <w:outlineLvl w:val="2"/>
    </w:pPr>
    <w:rPr>
      <w:b/>
      <w:bCs/>
      <w:sz w:val="32"/>
      <w:szCs w:val="32"/>
    </w:rPr>
  </w:style>
  <w:style w:type="character" w:default="1" w:styleId="25">
    <w:name w:val="Default Paragraph Font"/>
    <w:semiHidden/>
    <w:unhideWhenUsed/>
    <w:qFormat/>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qFormat/>
    <w:uiPriority w:val="0"/>
    <w:pPr>
      <w:spacing w:after="120"/>
    </w:pPr>
  </w:style>
  <w:style w:type="paragraph" w:styleId="3">
    <w:name w:val="Body Text First Indent"/>
    <w:basedOn w:val="2"/>
    <w:next w:val="1"/>
    <w:unhideWhenUsed/>
    <w:qFormat/>
    <w:uiPriority w:val="99"/>
    <w:pPr>
      <w:spacing w:line="360" w:lineRule="auto"/>
      <w:ind w:firstLine="200" w:firstLineChars="200"/>
    </w:pPr>
    <w:rPr>
      <w:rFonts w:ascii="仿宋_GB2312" w:eastAsia="仿宋_GB2312"/>
      <w:bCs/>
      <w:sz w:val="30"/>
    </w:rPr>
  </w:style>
  <w:style w:type="paragraph" w:styleId="7">
    <w:name w:val="Normal Indent"/>
    <w:basedOn w:val="1"/>
    <w:next w:val="8"/>
    <w:qFormat/>
    <w:uiPriority w:val="0"/>
    <w:pPr>
      <w:ind w:firstLine="420"/>
    </w:pPr>
    <w:rPr>
      <w:szCs w:val="20"/>
    </w:rPr>
  </w:style>
  <w:style w:type="paragraph" w:styleId="8">
    <w:name w:val="Body Text Indent"/>
    <w:basedOn w:val="1"/>
    <w:next w:val="7"/>
    <w:qFormat/>
    <w:uiPriority w:val="0"/>
    <w:pPr>
      <w:spacing w:after="120"/>
      <w:ind w:left="420" w:leftChars="200"/>
    </w:pPr>
  </w:style>
  <w:style w:type="paragraph" w:styleId="9">
    <w:name w:val="Document Map"/>
    <w:basedOn w:val="1"/>
    <w:qFormat/>
    <w:uiPriority w:val="0"/>
    <w:rPr>
      <w:rFonts w:ascii="Helvetica" w:hAnsi="Helvetica"/>
      <w:sz w:val="24"/>
    </w:rPr>
  </w:style>
  <w:style w:type="paragraph" w:styleId="10">
    <w:name w:val="annotation text"/>
    <w:basedOn w:val="1"/>
    <w:qFormat/>
    <w:uiPriority w:val="0"/>
    <w:pPr>
      <w:jc w:val="left"/>
    </w:pPr>
  </w:style>
  <w:style w:type="paragraph" w:styleId="11">
    <w:name w:val="List 2"/>
    <w:basedOn w:val="1"/>
    <w:qFormat/>
    <w:uiPriority w:val="0"/>
    <w:pPr>
      <w:ind w:left="100" w:leftChars="200" w:hanging="200" w:hangingChars="200"/>
    </w:pPr>
  </w:style>
  <w:style w:type="paragraph" w:styleId="12">
    <w:name w:val="Plain Text"/>
    <w:basedOn w:val="1"/>
    <w:next w:val="1"/>
    <w:link w:val="63"/>
    <w:qFormat/>
    <w:uiPriority w:val="0"/>
    <w:rPr>
      <w:sz w:val="24"/>
      <w:szCs w:val="20"/>
    </w:rPr>
  </w:style>
  <w:style w:type="paragraph" w:styleId="13">
    <w:name w:val="Date"/>
    <w:basedOn w:val="1"/>
    <w:next w:val="1"/>
    <w:qFormat/>
    <w:uiPriority w:val="0"/>
    <w:pPr>
      <w:ind w:left="2500" w:leftChars="2500"/>
    </w:pPr>
    <w:rPr>
      <w:rFonts w:eastAsia="楷体_GB2312"/>
      <w:sz w:val="32"/>
      <w:szCs w:val="20"/>
    </w:rPr>
  </w:style>
  <w:style w:type="paragraph" w:styleId="14">
    <w:name w:val="Balloon Text"/>
    <w:basedOn w:val="1"/>
    <w:link w:val="61"/>
    <w:qFormat/>
    <w:uiPriority w:val="0"/>
    <w:rPr>
      <w:sz w:val="18"/>
      <w:szCs w:val="18"/>
    </w:rPr>
  </w:style>
  <w:style w:type="paragraph" w:styleId="15">
    <w:name w:val="footer"/>
    <w:basedOn w:val="1"/>
    <w:qFormat/>
    <w:uiPriority w:val="99"/>
    <w:pPr>
      <w:tabs>
        <w:tab w:val="center" w:pos="4153"/>
        <w:tab w:val="right" w:pos="8306"/>
      </w:tabs>
      <w:snapToGrid w:val="0"/>
      <w:jc w:val="left"/>
    </w:pPr>
    <w:rPr>
      <w:sz w:val="18"/>
      <w:szCs w:val="18"/>
    </w:rPr>
  </w:style>
  <w:style w:type="paragraph" w:styleId="16">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17">
    <w:name w:val="toc 1"/>
    <w:basedOn w:val="1"/>
    <w:next w:val="1"/>
    <w:qFormat/>
    <w:uiPriority w:val="39"/>
  </w:style>
  <w:style w:type="paragraph" w:styleId="18">
    <w:name w:val="toc 6"/>
    <w:basedOn w:val="1"/>
    <w:next w:val="1"/>
    <w:unhideWhenUsed/>
    <w:qFormat/>
    <w:uiPriority w:val="39"/>
    <w:pPr>
      <w:ind w:left="2100" w:leftChars="1000"/>
    </w:pPr>
  </w:style>
  <w:style w:type="paragraph" w:styleId="19">
    <w:name w:val="Body Text Indent 3"/>
    <w:basedOn w:val="1"/>
    <w:qFormat/>
    <w:uiPriority w:val="0"/>
    <w:pPr>
      <w:ind w:firstLine="435"/>
    </w:pPr>
  </w:style>
  <w:style w:type="paragraph" w:styleId="20">
    <w:name w:val="toc 2"/>
    <w:basedOn w:val="1"/>
    <w:next w:val="1"/>
    <w:qFormat/>
    <w:uiPriority w:val="39"/>
    <w:pPr>
      <w:ind w:left="420" w:leftChars="200"/>
    </w:pPr>
  </w:style>
  <w:style w:type="paragraph" w:styleId="21">
    <w:name w:val="Normal (Web)"/>
    <w:basedOn w:val="1"/>
    <w:unhideWhenUsed/>
    <w:qFormat/>
    <w:uiPriority w:val="0"/>
    <w:pPr>
      <w:widowControl/>
      <w:spacing w:before="240" w:after="240"/>
      <w:jc w:val="left"/>
    </w:pPr>
    <w:rPr>
      <w:rFonts w:ascii="宋体" w:hAnsi="宋体" w:cs="宋体"/>
      <w:kern w:val="0"/>
      <w:sz w:val="24"/>
    </w:rPr>
  </w:style>
  <w:style w:type="paragraph" w:styleId="22">
    <w:name w:val="Body Text First Indent 2"/>
    <w:basedOn w:val="8"/>
    <w:next w:val="1"/>
    <w:qFormat/>
    <w:uiPriority w:val="0"/>
    <w:pPr>
      <w:autoSpaceDE w:val="0"/>
      <w:autoSpaceDN w:val="0"/>
      <w:adjustRightInd w:val="0"/>
      <w:ind w:firstLine="420" w:firstLineChars="200"/>
      <w:jc w:val="left"/>
    </w:pPr>
  </w:style>
  <w:style w:type="table" w:styleId="24">
    <w:name w:val="Table Grid"/>
    <w:basedOn w:val="2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page number"/>
    <w:basedOn w:val="25"/>
    <w:qFormat/>
    <w:uiPriority w:val="0"/>
  </w:style>
  <w:style w:type="character" w:styleId="27">
    <w:name w:val="FollowedHyperlink"/>
    <w:basedOn w:val="25"/>
    <w:qFormat/>
    <w:uiPriority w:val="0"/>
    <w:rPr>
      <w:color w:val="954F72" w:themeColor="followedHyperlink"/>
      <w:u w:val="single"/>
      <w14:textFill>
        <w14:solidFill>
          <w14:schemeClr w14:val="folHlink"/>
        </w14:solidFill>
      </w14:textFill>
    </w:rPr>
  </w:style>
  <w:style w:type="character" w:styleId="28">
    <w:name w:val="Hyperlink"/>
    <w:qFormat/>
    <w:uiPriority w:val="99"/>
    <w:rPr>
      <w:color w:val="0000FF"/>
      <w:u w:val="single"/>
    </w:rPr>
  </w:style>
  <w:style w:type="paragraph" w:customStyle="1" w:styleId="29">
    <w:name w:val="章正文"/>
    <w:basedOn w:val="1"/>
    <w:qFormat/>
    <w:uiPriority w:val="99"/>
    <w:pPr>
      <w:spacing w:beforeLines="50" w:after="120" w:line="300" w:lineRule="auto"/>
      <w:ind w:firstLine="480"/>
    </w:pPr>
    <w:rPr>
      <w:rFonts w:ascii="Helvetica" w:hAnsi="Helvetica" w:cs="Helvetica"/>
      <w:kern w:val="0"/>
      <w:sz w:val="24"/>
      <w:szCs w:val="24"/>
    </w:rPr>
  </w:style>
  <w:style w:type="paragraph" w:customStyle="1" w:styleId="30">
    <w:name w:val="BodyText1I"/>
    <w:basedOn w:val="31"/>
    <w:next w:val="1"/>
    <w:qFormat/>
    <w:uiPriority w:val="0"/>
    <w:pPr>
      <w:ind w:firstLine="420" w:firstLineChars="100"/>
    </w:pPr>
  </w:style>
  <w:style w:type="paragraph" w:customStyle="1" w:styleId="31">
    <w:name w:val="BodyText"/>
    <w:basedOn w:val="1"/>
    <w:next w:val="32"/>
    <w:qFormat/>
    <w:uiPriority w:val="0"/>
    <w:pPr>
      <w:textAlignment w:val="baseline"/>
    </w:pPr>
    <w:rPr>
      <w:rFonts w:ascii="宋体" w:hAnsi="宋体"/>
      <w:szCs w:val="21"/>
      <w:lang w:val="zh-CN" w:bidi="zh-CN"/>
    </w:rPr>
  </w:style>
  <w:style w:type="paragraph" w:customStyle="1" w:styleId="32">
    <w:name w:val="TOC2"/>
    <w:basedOn w:val="1"/>
    <w:next w:val="1"/>
    <w:qFormat/>
    <w:uiPriority w:val="0"/>
    <w:pPr>
      <w:ind w:left="420" w:leftChars="200"/>
      <w:textAlignment w:val="baseline"/>
    </w:pPr>
  </w:style>
  <w:style w:type="paragraph" w:customStyle="1" w:styleId="33">
    <w:name w:val="表格文字"/>
    <w:next w:val="2"/>
    <w:qFormat/>
    <w:locked/>
    <w:uiPriority w:val="0"/>
    <w:pPr>
      <w:spacing w:beforeLines="25" w:afterLines="25"/>
      <w:jc w:val="center"/>
    </w:pPr>
    <w:rPr>
      <w:rFonts w:ascii="Times New Roman" w:hAnsi="Times New Roman" w:eastAsia="宋体" w:cs="Times New Roman"/>
      <w:kern w:val="2"/>
      <w:sz w:val="24"/>
      <w:szCs w:val="28"/>
      <w:lang w:val="en-US" w:eastAsia="zh-CN" w:bidi="ar-SA"/>
    </w:rPr>
  </w:style>
  <w:style w:type="paragraph" w:customStyle="1" w:styleId="34">
    <w:name w:val="样式 表格正文 + 两端对齐"/>
    <w:basedOn w:val="1"/>
    <w:next w:val="35"/>
    <w:qFormat/>
    <w:uiPriority w:val="0"/>
    <w:pPr>
      <w:spacing w:line="300" w:lineRule="auto"/>
    </w:pPr>
  </w:style>
  <w:style w:type="paragraph" w:customStyle="1" w:styleId="35">
    <w:name w:val="正文1"/>
    <w:basedOn w:val="9"/>
    <w:next w:val="1"/>
    <w:qFormat/>
    <w:uiPriority w:val="99"/>
    <w:pPr>
      <w:widowControl/>
      <w:overflowPunct w:val="0"/>
      <w:autoSpaceDE w:val="0"/>
      <w:autoSpaceDN w:val="0"/>
      <w:adjustRightInd w:val="0"/>
      <w:spacing w:line="400" w:lineRule="exact"/>
      <w:textAlignment w:val="baseline"/>
    </w:pPr>
    <w:rPr>
      <w:kern w:val="0"/>
      <w:szCs w:val="20"/>
    </w:rPr>
  </w:style>
  <w:style w:type="paragraph" w:customStyle="1" w:styleId="36">
    <w:name w:val="U_正文2"/>
    <w:basedOn w:val="1"/>
    <w:qFormat/>
    <w:uiPriority w:val="0"/>
    <w:pPr>
      <w:spacing w:beforeLines="10" w:afterLines="10" w:line="300" w:lineRule="auto"/>
    </w:pPr>
    <w:rPr>
      <w:sz w:val="24"/>
      <w:szCs w:val="20"/>
    </w:rPr>
  </w:style>
  <w:style w:type="paragraph" w:customStyle="1" w:styleId="37">
    <w:name w:val="默认段落字体 Para Char Char Char Char Char Char Char Char Char1 Char Char Char Char"/>
    <w:basedOn w:val="1"/>
    <w:qFormat/>
    <w:uiPriority w:val="0"/>
    <w:rPr>
      <w:rFonts w:ascii="Tahoma" w:hAnsi="Tahoma"/>
      <w:sz w:val="24"/>
      <w:szCs w:val="20"/>
    </w:rPr>
  </w:style>
  <w:style w:type="character" w:customStyle="1" w:styleId="38">
    <w:name w:val="font61"/>
    <w:basedOn w:val="25"/>
    <w:qFormat/>
    <w:uiPriority w:val="0"/>
    <w:rPr>
      <w:rFonts w:hint="eastAsia" w:ascii="宋体" w:hAnsi="宋体" w:eastAsia="宋体" w:cs="宋体"/>
      <w:b/>
      <w:bCs/>
      <w:color w:val="000000"/>
      <w:sz w:val="22"/>
      <w:szCs w:val="22"/>
      <w:u w:val="none"/>
    </w:rPr>
  </w:style>
  <w:style w:type="character" w:customStyle="1" w:styleId="39">
    <w:name w:val="font112"/>
    <w:basedOn w:val="25"/>
    <w:qFormat/>
    <w:uiPriority w:val="0"/>
    <w:rPr>
      <w:rFonts w:hint="eastAsia" w:ascii="宋体" w:hAnsi="宋体" w:eastAsia="宋体" w:cs="宋体"/>
      <w:b/>
      <w:bCs/>
      <w:color w:val="000000"/>
      <w:sz w:val="22"/>
      <w:szCs w:val="22"/>
      <w:u w:val="none"/>
    </w:rPr>
  </w:style>
  <w:style w:type="character" w:customStyle="1" w:styleId="40">
    <w:name w:val="font91"/>
    <w:basedOn w:val="25"/>
    <w:qFormat/>
    <w:uiPriority w:val="0"/>
    <w:rPr>
      <w:rFonts w:hint="default" w:ascii="Times New Roman" w:hAnsi="Times New Roman" w:cs="Times New Roman"/>
      <w:color w:val="000000"/>
      <w:sz w:val="22"/>
      <w:szCs w:val="22"/>
      <w:u w:val="none"/>
    </w:rPr>
  </w:style>
  <w:style w:type="character" w:customStyle="1" w:styleId="41">
    <w:name w:val="font121"/>
    <w:basedOn w:val="25"/>
    <w:qFormat/>
    <w:uiPriority w:val="0"/>
    <w:rPr>
      <w:rFonts w:hint="eastAsia" w:ascii="宋体" w:hAnsi="宋体" w:eastAsia="宋体" w:cs="宋体"/>
      <w:color w:val="000000"/>
      <w:sz w:val="22"/>
      <w:szCs w:val="22"/>
      <w:u w:val="none"/>
    </w:rPr>
  </w:style>
  <w:style w:type="character" w:customStyle="1" w:styleId="42">
    <w:name w:val="font01"/>
    <w:basedOn w:val="25"/>
    <w:qFormat/>
    <w:uiPriority w:val="0"/>
    <w:rPr>
      <w:rFonts w:hint="eastAsia" w:ascii="宋体" w:hAnsi="宋体" w:eastAsia="宋体" w:cs="宋体"/>
      <w:color w:val="000000"/>
      <w:sz w:val="22"/>
      <w:szCs w:val="22"/>
      <w:u w:val="none"/>
    </w:rPr>
  </w:style>
  <w:style w:type="character" w:customStyle="1" w:styleId="43">
    <w:name w:val="font81"/>
    <w:basedOn w:val="25"/>
    <w:qFormat/>
    <w:uiPriority w:val="0"/>
    <w:rPr>
      <w:rFonts w:hint="default" w:ascii="Times New Roman" w:hAnsi="Times New Roman" w:cs="Times New Roman"/>
      <w:color w:val="000000"/>
      <w:sz w:val="22"/>
      <w:szCs w:val="22"/>
      <w:u w:val="none"/>
    </w:rPr>
  </w:style>
  <w:style w:type="character" w:customStyle="1" w:styleId="44">
    <w:name w:val="font41"/>
    <w:basedOn w:val="25"/>
    <w:qFormat/>
    <w:uiPriority w:val="0"/>
    <w:rPr>
      <w:rFonts w:hint="default" w:ascii="Times New Roman" w:hAnsi="Times New Roman" w:cs="Times New Roman"/>
      <w:b/>
      <w:bCs/>
      <w:color w:val="000000"/>
      <w:sz w:val="22"/>
      <w:szCs w:val="22"/>
      <w:u w:val="none"/>
    </w:rPr>
  </w:style>
  <w:style w:type="character" w:customStyle="1" w:styleId="45">
    <w:name w:val="font21"/>
    <w:basedOn w:val="25"/>
    <w:qFormat/>
    <w:uiPriority w:val="0"/>
    <w:rPr>
      <w:rFonts w:hint="default" w:ascii="Times New Roman" w:hAnsi="Times New Roman" w:cs="Times New Roman"/>
      <w:b/>
      <w:bCs/>
      <w:color w:val="FF0000"/>
      <w:sz w:val="22"/>
      <w:szCs w:val="22"/>
      <w:u w:val="none"/>
    </w:rPr>
  </w:style>
  <w:style w:type="character" w:customStyle="1" w:styleId="46">
    <w:name w:val="font181"/>
    <w:basedOn w:val="25"/>
    <w:qFormat/>
    <w:uiPriority w:val="0"/>
    <w:rPr>
      <w:rFonts w:hint="eastAsia" w:ascii="宋体" w:hAnsi="宋体" w:eastAsia="宋体" w:cs="宋体"/>
      <w:b/>
      <w:bCs/>
      <w:color w:val="FF0000"/>
      <w:sz w:val="22"/>
      <w:szCs w:val="22"/>
      <w:u w:val="none"/>
    </w:rPr>
  </w:style>
  <w:style w:type="character" w:customStyle="1" w:styleId="47">
    <w:name w:val="font51"/>
    <w:basedOn w:val="25"/>
    <w:qFormat/>
    <w:uiPriority w:val="0"/>
    <w:rPr>
      <w:rFonts w:hint="default" w:ascii="Times New Roman" w:hAnsi="Times New Roman" w:cs="Times New Roman"/>
      <w:b/>
      <w:bCs/>
      <w:color w:val="000000"/>
      <w:sz w:val="22"/>
      <w:szCs w:val="22"/>
      <w:u w:val="none"/>
    </w:rPr>
  </w:style>
  <w:style w:type="character" w:customStyle="1" w:styleId="48">
    <w:name w:val="font141"/>
    <w:basedOn w:val="25"/>
    <w:qFormat/>
    <w:uiPriority w:val="0"/>
    <w:rPr>
      <w:rFonts w:hint="eastAsia" w:ascii="宋体" w:hAnsi="宋体" w:eastAsia="宋体" w:cs="宋体"/>
      <w:b/>
      <w:bCs/>
      <w:color w:val="000000"/>
      <w:sz w:val="22"/>
      <w:szCs w:val="22"/>
      <w:u w:val="none"/>
    </w:rPr>
  </w:style>
  <w:style w:type="character" w:customStyle="1" w:styleId="49">
    <w:name w:val="font71"/>
    <w:basedOn w:val="25"/>
    <w:qFormat/>
    <w:uiPriority w:val="0"/>
    <w:rPr>
      <w:rFonts w:hint="default" w:ascii="Times New Roman" w:hAnsi="Times New Roman" w:cs="Times New Roman"/>
      <w:color w:val="000000"/>
      <w:sz w:val="22"/>
      <w:szCs w:val="22"/>
      <w:u w:val="none"/>
    </w:rPr>
  </w:style>
  <w:style w:type="character" w:customStyle="1" w:styleId="50">
    <w:name w:val="font101"/>
    <w:basedOn w:val="25"/>
    <w:qFormat/>
    <w:uiPriority w:val="0"/>
    <w:rPr>
      <w:rFonts w:hint="eastAsia" w:ascii="宋体" w:hAnsi="宋体" w:eastAsia="宋体" w:cs="宋体"/>
      <w:b/>
      <w:bCs/>
      <w:color w:val="000000"/>
      <w:sz w:val="22"/>
      <w:szCs w:val="22"/>
      <w:u w:val="none"/>
    </w:rPr>
  </w:style>
  <w:style w:type="character" w:customStyle="1" w:styleId="51">
    <w:name w:val="font31"/>
    <w:basedOn w:val="25"/>
    <w:qFormat/>
    <w:uiPriority w:val="0"/>
    <w:rPr>
      <w:rFonts w:hint="eastAsia" w:ascii="宋体" w:hAnsi="宋体" w:eastAsia="宋体" w:cs="宋体"/>
      <w:color w:val="FF0000"/>
      <w:sz w:val="22"/>
      <w:szCs w:val="22"/>
      <w:u w:val="none"/>
    </w:rPr>
  </w:style>
  <w:style w:type="paragraph" w:styleId="52">
    <w:name w:val="No Spacing"/>
    <w:qFormat/>
    <w:uiPriority w:val="1"/>
    <w:rPr>
      <w:rFonts w:ascii="Calibri" w:hAnsi="Calibri" w:eastAsia="MS Mincho" w:cs="Times New Roman"/>
      <w:sz w:val="24"/>
      <w:szCs w:val="24"/>
      <w:lang w:val="en-US" w:eastAsia="en-US" w:bidi="ar-SA"/>
    </w:rPr>
  </w:style>
  <w:style w:type="character" w:customStyle="1" w:styleId="53">
    <w:name w:val="不明显强调1"/>
    <w:qFormat/>
    <w:uiPriority w:val="19"/>
    <w:rPr>
      <w:i/>
      <w:iCs/>
      <w:color w:val="808080"/>
    </w:rPr>
  </w:style>
  <w:style w:type="character" w:customStyle="1" w:styleId="54">
    <w:name w:val="无"/>
    <w:qFormat/>
    <w:uiPriority w:val="99"/>
  </w:style>
  <w:style w:type="paragraph" w:customStyle="1" w:styleId="55">
    <w:name w:val="表格正文"/>
    <w:qFormat/>
    <w:uiPriority w:val="0"/>
    <w:pPr>
      <w:spacing w:line="360" w:lineRule="auto"/>
      <w:contextualSpacing/>
      <w:jc w:val="both"/>
    </w:pPr>
    <w:rPr>
      <w:rFonts w:ascii="Times New Roman" w:hAnsi="Times New Roman" w:eastAsia="宋体" w:cs="Times New Roman"/>
      <w:kern w:val="2"/>
      <w:sz w:val="21"/>
      <w:szCs w:val="24"/>
      <w:lang w:val="en-US" w:eastAsia="zh-CN" w:bidi="ar-SA"/>
    </w:rPr>
  </w:style>
  <w:style w:type="paragraph" w:customStyle="1" w:styleId="56">
    <w:name w:val="Default"/>
    <w:next w:val="1"/>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table" w:customStyle="1" w:styleId="57">
    <w:name w:val="Table Normal"/>
    <w:semiHidden/>
    <w:unhideWhenUsed/>
    <w:qFormat/>
    <w:uiPriority w:val="0"/>
    <w:tblPr>
      <w:tblCellMar>
        <w:top w:w="0" w:type="dxa"/>
        <w:left w:w="0" w:type="dxa"/>
        <w:bottom w:w="0" w:type="dxa"/>
        <w:right w:w="0" w:type="dxa"/>
      </w:tblCellMar>
    </w:tblPr>
  </w:style>
  <w:style w:type="paragraph" w:styleId="58">
    <w:name w:val="List Paragraph"/>
    <w:basedOn w:val="1"/>
    <w:unhideWhenUsed/>
    <w:qFormat/>
    <w:uiPriority w:val="34"/>
    <w:rPr>
      <w:rFonts w:ascii="Calibri" w:hAnsi="Calibri" w:eastAsia="微软雅黑"/>
    </w:rPr>
  </w:style>
  <w:style w:type="paragraph" w:customStyle="1" w:styleId="59">
    <w:name w:val="表正文"/>
    <w:basedOn w:val="1"/>
    <w:next w:val="58"/>
    <w:qFormat/>
    <w:uiPriority w:val="34"/>
    <w:rPr>
      <w:rFonts w:asciiTheme="minorHAnsi" w:hAnsiTheme="minorHAnsi"/>
    </w:rPr>
  </w:style>
  <w:style w:type="character" w:customStyle="1" w:styleId="60">
    <w:name w:val="NormalCharacter"/>
    <w:qFormat/>
    <w:uiPriority w:val="0"/>
    <w:rPr>
      <w:rFonts w:ascii="Calibri" w:hAnsi="Calibri" w:eastAsia="宋体" w:cs="Times New Roman"/>
      <w:kern w:val="2"/>
      <w:sz w:val="21"/>
      <w:szCs w:val="24"/>
      <w:lang w:val="en-US" w:eastAsia="zh-CN" w:bidi="ar-SA"/>
    </w:rPr>
  </w:style>
  <w:style w:type="character" w:customStyle="1" w:styleId="61">
    <w:name w:val="批注框文本 Char"/>
    <w:basedOn w:val="25"/>
    <w:link w:val="14"/>
    <w:qFormat/>
    <w:uiPriority w:val="0"/>
    <w:rPr>
      <w:kern w:val="2"/>
      <w:sz w:val="18"/>
      <w:szCs w:val="18"/>
    </w:rPr>
  </w:style>
  <w:style w:type="paragraph" w:customStyle="1" w:styleId="62">
    <w:name w:val="xl53"/>
    <w:basedOn w:val="1"/>
    <w:next w:val="1"/>
    <w:qFormat/>
    <w:uiPriority w:val="0"/>
    <w:pPr>
      <w:spacing w:before="280" w:after="280" w:line="100" w:lineRule="exact"/>
      <w:jc w:val="center"/>
    </w:pPr>
    <w:rPr>
      <w:b/>
    </w:rPr>
  </w:style>
  <w:style w:type="character" w:customStyle="1" w:styleId="63">
    <w:name w:val="纯文本 Char"/>
    <w:link w:val="12"/>
    <w:qFormat/>
    <w:uiPriority w:val="0"/>
    <w:rPr>
      <w:kern w:val="2"/>
      <w:sz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3.png"/><Relationship Id="rId20" Type="http://schemas.openxmlformats.org/officeDocument/2006/relationships/image" Target="media/image2.png"/><Relationship Id="rId2" Type="http://schemas.openxmlformats.org/officeDocument/2006/relationships/settings" Target="settings.xml"/><Relationship Id="rId19" Type="http://schemas.openxmlformats.org/officeDocument/2006/relationships/image" Target="media/image1.png"/><Relationship Id="rId18" Type="http://schemas.openxmlformats.org/officeDocument/2006/relationships/theme" Target="theme/theme1.xml"/><Relationship Id="rId17" Type="http://schemas.openxmlformats.org/officeDocument/2006/relationships/footer" Target="footer10.xml"/><Relationship Id="rId16" Type="http://schemas.openxmlformats.org/officeDocument/2006/relationships/footer" Target="footer9.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hyj</Company>
  <Pages>72</Pages>
  <Words>29699</Words>
  <Characters>31617</Characters>
  <Lines>306</Lines>
  <Paragraphs>86</Paragraphs>
  <TotalTime>33</TotalTime>
  <ScaleCrop>false</ScaleCrop>
  <LinksUpToDate>false</LinksUpToDate>
  <CharactersWithSpaces>34150</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2024-04-16T09:19:00Z</dcterms:created>
  <dc:creator>Z&amp;Y</dc:creator>
  <cp:lastModifiedBy>戚夫人</cp:lastModifiedBy>
  <cp:lastPrinted>2025-05-28T03:03:00Z</cp:lastPrinted>
  <dcterms:modified xsi:type="dcterms:W3CDTF">2025-06-26T07:25:03Z</dcterms:modified>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12C3D188526E4BABAE6E08610384CFC3</vt:lpwstr>
  </property>
  <property fmtid="{D5CDD505-2E9C-101B-9397-08002B2CF9AE}" pid="4" name="KSOTemplateDocerSaveRecord">
    <vt:lpwstr>eyJoZGlkIjoiNzJiODY2OTk3YTg3M2M3OTA5NmNkNjgwYjFkZjA0MzEiLCJ1c2VySWQiOiIzNTM5NDQyMTIifQ==</vt:lpwstr>
  </property>
</Properties>
</file>