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color w:val="auto"/>
          <w:sz w:val="52"/>
          <w:szCs w:val="52"/>
        </w:rPr>
      </w:pPr>
    </w:p>
    <w:p>
      <w:pPr>
        <w:jc w:val="center"/>
        <w:outlineLvl w:val="0"/>
        <w:rPr>
          <w:rFonts w:ascii="仿宋" w:hAnsi="仿宋" w:eastAsia="仿宋" w:cs="仿宋"/>
          <w:b/>
          <w:color w:val="auto"/>
          <w:sz w:val="52"/>
          <w:szCs w:val="52"/>
        </w:rPr>
      </w:pPr>
      <w:r>
        <w:rPr>
          <w:rFonts w:hint="eastAsia" w:ascii="仿宋" w:hAnsi="仿宋" w:eastAsia="仿宋" w:cs="仿宋"/>
          <w:b/>
          <w:color w:val="auto"/>
          <w:sz w:val="52"/>
          <w:szCs w:val="52"/>
        </w:rPr>
        <w:t>绍兴文理学院扫描电子显微镜设备和织物风格手感测试系统设备采购项目</w:t>
      </w:r>
    </w:p>
    <w:p>
      <w:pPr>
        <w:outlineLvl w:val="0"/>
        <w:rPr>
          <w:rFonts w:ascii="仿宋" w:hAnsi="仿宋" w:eastAsia="仿宋" w:cs="仿宋"/>
          <w:color w:val="auto"/>
          <w:sz w:val="44"/>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outlineLvl w:val="0"/>
        <w:rPr>
          <w:rFonts w:ascii="仿宋" w:hAnsi="仿宋" w:eastAsia="仿宋" w:cs="仿宋"/>
          <w:color w:val="auto"/>
          <w:sz w:val="44"/>
        </w:rPr>
      </w:pPr>
    </w:p>
    <w:p>
      <w:pPr>
        <w:jc w:val="center"/>
        <w:rPr>
          <w:rFonts w:ascii="仿宋" w:hAnsi="仿宋" w:eastAsia="仿宋" w:cs="仿宋"/>
          <w:b/>
          <w:color w:val="auto"/>
          <w:sz w:val="24"/>
        </w:rPr>
      </w:pPr>
      <w:r>
        <w:rPr>
          <w:rFonts w:hint="eastAsia" w:ascii="仿宋" w:hAnsi="仿宋" w:eastAsia="仿宋" w:cs="仿宋"/>
          <w:b/>
          <w:color w:val="auto"/>
          <w:sz w:val="28"/>
          <w:szCs w:val="28"/>
        </w:rPr>
        <w:t>招标编号:CGSHZJ-2020-N000483</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75"/>
                <w:kern w:val="0"/>
                <w:sz w:val="28"/>
                <w:szCs w:val="28"/>
              </w:rPr>
              <w:t>采购单</w:t>
            </w:r>
            <w:r>
              <w:rPr>
                <w:rFonts w:hint="eastAsia" w:ascii="仿宋" w:hAnsi="仿宋" w:eastAsia="仿宋" w:cs="仿宋"/>
                <w:color w:val="auto"/>
                <w:spacing w:val="15"/>
                <w:kern w:val="0"/>
                <w:sz w:val="28"/>
                <w:szCs w:val="28"/>
              </w:rPr>
              <w:t>位</w:t>
            </w:r>
            <w:r>
              <w:rPr>
                <w:rFonts w:hint="eastAsia" w:ascii="仿宋" w:hAnsi="仿宋" w:eastAsia="仿宋" w:cs="仿宋"/>
                <w:color w:val="auto"/>
                <w:sz w:val="28"/>
                <w:szCs w:val="28"/>
              </w:rPr>
              <w:t>：</w:t>
            </w:r>
          </w:p>
        </w:tc>
        <w:tc>
          <w:tcPr>
            <w:tcW w:w="5445" w:type="dxa"/>
          </w:tcPr>
          <w:p>
            <w:pPr>
              <w:outlineLvl w:val="0"/>
              <w:rPr>
                <w:rFonts w:ascii="仿宋" w:hAnsi="仿宋" w:eastAsia="仿宋" w:cs="仿宋"/>
                <w:color w:val="auto"/>
                <w:sz w:val="28"/>
                <w:szCs w:val="28"/>
              </w:rPr>
            </w:pPr>
            <w:r>
              <w:rPr>
                <w:rFonts w:hint="eastAsia" w:ascii="仿宋" w:hAnsi="仿宋" w:eastAsia="仿宋" w:cs="仿宋"/>
                <w:color w:val="auto"/>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47"/>
                <w:w w:val="93"/>
                <w:kern w:val="0"/>
                <w:sz w:val="28"/>
                <w:szCs w:val="28"/>
              </w:rPr>
              <w:t>招标代理</w:t>
            </w:r>
            <w:r>
              <w:rPr>
                <w:rFonts w:hint="eastAsia" w:ascii="仿宋" w:hAnsi="仿宋" w:eastAsia="仿宋" w:cs="仿宋"/>
                <w:color w:val="auto"/>
                <w:spacing w:val="1"/>
                <w:w w:val="93"/>
                <w:kern w:val="0"/>
                <w:sz w:val="28"/>
                <w:szCs w:val="28"/>
              </w:rPr>
              <w:t>单</w:t>
            </w:r>
            <w:r>
              <w:rPr>
                <w:rFonts w:hint="eastAsia" w:ascii="仿宋" w:hAnsi="仿宋" w:eastAsia="仿宋" w:cs="仿宋"/>
                <w:color w:val="auto"/>
                <w:w w:val="93"/>
                <w:kern w:val="0"/>
                <w:sz w:val="28"/>
                <w:szCs w:val="28"/>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pacing w:val="210"/>
                <w:kern w:val="0"/>
                <w:sz w:val="28"/>
                <w:szCs w:val="28"/>
                <w:fitText w:val="1680" w:id="0"/>
              </w:rPr>
              <w:t>监督</w:t>
            </w:r>
            <w:r>
              <w:rPr>
                <w:rFonts w:hint="eastAsia" w:ascii="仿宋" w:hAnsi="仿宋" w:eastAsia="仿宋" w:cs="仿宋"/>
                <w:color w:val="auto"/>
                <w:kern w:val="0"/>
                <w:sz w:val="28"/>
                <w:szCs w:val="28"/>
                <w:fitText w:val="1680" w:id="0"/>
              </w:rPr>
              <w:t>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jc w:val="center"/>
              <w:rPr>
                <w:rFonts w:hint="eastAsia" w:ascii="仿宋" w:hAnsi="仿宋" w:eastAsia="仿宋" w:cs="仿宋"/>
                <w:color w:val="auto"/>
                <w:spacing w:val="210"/>
                <w:kern w:val="0"/>
                <w:sz w:val="28"/>
                <w:szCs w:val="28"/>
                <w:fitText w:val="1680" w:id="1"/>
              </w:rPr>
            </w:pP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绍兴市政务服务办公室</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二○二一年一月</w:t>
            </w:r>
          </w:p>
        </w:tc>
      </w:tr>
    </w:tbl>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ascii="仿宋" w:hAnsi="仿宋" w:eastAsia="仿宋" w:cs="仿宋"/>
          <w:b/>
          <w:color w:val="auto"/>
          <w:sz w:val="44"/>
          <w:szCs w:val="44"/>
        </w:rPr>
      </w:pPr>
    </w:p>
    <w:p>
      <w:pPr>
        <w:jc w:val="center"/>
        <w:rPr>
          <w:rFonts w:ascii="仿宋" w:hAnsi="仿宋" w:eastAsia="仿宋" w:cs="仿宋"/>
          <w:color w:val="auto"/>
        </w:rPr>
      </w:pP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授予合同</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pageBreakBefore/>
        <w:snapToGrid w:val="0"/>
        <w:spacing w:line="6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39"/>
        <w:tblW w:w="5000" w:type="pct"/>
        <w:tblInd w:w="0" w:type="dxa"/>
        <w:tblLayout w:type="autofit"/>
        <w:tblCellMar>
          <w:top w:w="0" w:type="dxa"/>
          <w:left w:w="0" w:type="dxa"/>
          <w:bottom w:w="0" w:type="dxa"/>
          <w:right w:w="0" w:type="dxa"/>
        </w:tblCellMar>
      </w:tblPr>
      <w:tblGrid>
        <w:gridCol w:w="8742"/>
      </w:tblGrid>
      <w:tr>
        <w:tc>
          <w:tcPr>
            <w:tcW w:w="5000" w:type="pct"/>
            <w:vAlign w:val="center"/>
          </w:tcPr>
          <w:p>
            <w:pPr>
              <w:rPr>
                <w:rFonts w:ascii="仿宋" w:hAnsi="仿宋" w:eastAsia="仿宋" w:cs="仿宋"/>
                <w:color w:val="auto"/>
              </w:rPr>
            </w:pPr>
            <w:r>
              <w:rPr>
                <w:rFonts w:hint="eastAsia" w:ascii="仿宋" w:hAnsi="仿宋" w:eastAsia="仿宋" w:cs="仿宋"/>
                <w:color w:val="auto"/>
              </w:rPr>
              <w:br w:type="page"/>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Borders>
                    <w:top w:val="single" w:color="auto" w:sz="4" w:space="0"/>
                    <w:left w:val="single" w:color="auto" w:sz="4" w:space="0"/>
                    <w:bottom w:val="single" w:color="auto" w:sz="4" w:space="0"/>
                    <w:right w:val="single" w:color="auto" w:sz="4" w:space="0"/>
                  </w:tcBorders>
                </w:tcPr>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项目概况：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绍兴文理学院扫描电子显微镜设备和织物风格手感测试系统设备采购项目的潜在投标人应在网上报名获取（下载）招标文件，并于 2021年</w:t>
                  </w:r>
                  <w:r>
                    <w:rPr>
                      <w:rFonts w:hint="eastAsia" w:ascii="仿宋" w:hAnsi="仿宋" w:eastAsia="仿宋" w:cs="仿宋"/>
                      <w:color w:val="auto"/>
                      <w:kern w:val="0"/>
                      <w:sz w:val="24"/>
                      <w:lang w:val="en-US" w:eastAsia="zh-CN"/>
                    </w:rPr>
                    <w:t>01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27</w:t>
                  </w:r>
                  <w:r>
                    <w:rPr>
                      <w:rFonts w:hint="eastAsia" w:ascii="仿宋" w:hAnsi="仿宋" w:eastAsia="仿宋" w:cs="仿宋"/>
                      <w:color w:val="auto"/>
                      <w:kern w:val="0"/>
                      <w:sz w:val="24"/>
                    </w:rPr>
                    <w:t>日 09:00（北京时间）前递交（上传）投标文件。</w:t>
                  </w:r>
                </w:p>
              </w:tc>
            </w:tr>
          </w:tbl>
          <w:p>
            <w:pPr>
              <w:widowControl/>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一、项目基本情况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项目编号：CGSHZJ-2020-N000483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项目名称：绍兴文理学院扫描电子显微镜设备和织物风格手感测试系统设备采购项目</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预算金额（元）：3720000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最高限价（元）：1650000，2070000</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采购需求：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标项一:</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标项名称: 扫描电子显微镜设备</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数量:1套</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预算金额（元）: 1650000</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简要规格描述或项目基本概况介绍、用途：详见采购文件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标项二:</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标项名称: 织物风格手感测试系统设备</w:t>
            </w:r>
          </w:p>
          <w:p>
            <w:pPr>
              <w:widowControl/>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 xml:space="preserve">    数量:1批</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预算金额（元）: 2070000</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简要规格描述或项目基本概况介绍、用途：详见采购文件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备注：无。</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合同履约期限：详见招标文件。</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本项目（否）接受联合体投标。</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二、申请人的资格要求：</w:t>
            </w:r>
          </w:p>
          <w:p>
            <w:pPr>
              <w:widowControl/>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1.满足《中华人民共和国政府采购法》第二十二条规定;</w:t>
            </w:r>
            <w:r>
              <w:rPr>
                <w:rFonts w:hint="eastAsia" w:ascii="仿宋" w:hAnsi="仿宋" w:eastAsia="仿宋" w:cs="仿宋"/>
                <w:color w:val="auto"/>
              </w:rPr>
              <w:t xml:space="preserve"> </w:t>
            </w:r>
            <w:r>
              <w:rPr>
                <w:rFonts w:hint="eastAsia" w:ascii="仿宋" w:hAnsi="仿宋" w:eastAsia="仿宋" w:cs="仿宋"/>
                <w:color w:val="auto"/>
                <w:kern w:val="0"/>
                <w:sz w:val="24"/>
              </w:rPr>
              <w:t>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2.落实政府采购政策需满足的资格要求：</w:t>
            </w:r>
            <w:r>
              <w:rPr>
                <w:rFonts w:hint="eastAsia" w:ascii="仿宋" w:hAnsi="仿宋" w:eastAsia="仿宋" w:cs="仿宋"/>
                <w:color w:val="auto"/>
                <w:kern w:val="0"/>
                <w:sz w:val="24"/>
                <w:szCs w:val="20"/>
              </w:rPr>
              <w:t>无。</w:t>
            </w:r>
            <w:r>
              <w:rPr>
                <w:rFonts w:hint="eastAsia" w:ascii="仿宋" w:hAnsi="仿宋" w:eastAsia="仿宋" w:cs="仿宋"/>
                <w:color w:val="auto"/>
                <w:kern w:val="0"/>
                <w:sz w:val="24"/>
              </w:rPr>
              <w:t>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3.本项目的特定资格要求：无。</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三、获取招标文件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时间：202</w:t>
            </w:r>
            <w:r>
              <w:rPr>
                <w:rFonts w:hint="eastAsia" w:ascii="仿宋" w:hAnsi="仿宋" w:eastAsia="仿宋" w:cs="仿宋"/>
                <w:color w:val="auto"/>
                <w:kern w:val="0"/>
                <w:sz w:val="24"/>
                <w:lang w:val="en-US" w:eastAsia="zh-CN"/>
              </w:rPr>
              <w:t>1</w:t>
            </w:r>
            <w:bookmarkStart w:id="14" w:name="_GoBack"/>
            <w:bookmarkEnd w:id="14"/>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01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05</w:t>
            </w:r>
            <w:r>
              <w:rPr>
                <w:rFonts w:hint="eastAsia" w:ascii="仿宋" w:hAnsi="仿宋" w:eastAsia="仿宋" w:cs="仿宋"/>
                <w:color w:val="auto"/>
                <w:kern w:val="0"/>
                <w:sz w:val="24"/>
              </w:rPr>
              <w:t>日至2021年</w:t>
            </w:r>
            <w:r>
              <w:rPr>
                <w:rFonts w:hint="eastAsia" w:ascii="仿宋" w:hAnsi="仿宋" w:eastAsia="仿宋" w:cs="仿宋"/>
                <w:color w:val="auto"/>
                <w:kern w:val="0"/>
                <w:sz w:val="24"/>
                <w:lang w:val="en-US" w:eastAsia="zh-CN"/>
              </w:rPr>
              <w:t>01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27</w:t>
            </w:r>
            <w:r>
              <w:rPr>
                <w:rFonts w:hint="eastAsia" w:ascii="仿宋" w:hAnsi="仿宋" w:eastAsia="仿宋" w:cs="仿宋"/>
                <w:color w:val="auto"/>
                <w:kern w:val="0"/>
                <w:sz w:val="24"/>
              </w:rPr>
              <w:t>日，每天上午00:00至12:00 ，下午12:00至23:59（北京时间，线上获取法定节假日均可，线下获取文件法定节假日除外）</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地点（网址）：</w:t>
            </w:r>
            <w:r>
              <w:rPr>
                <w:rFonts w:hint="eastAsia" w:ascii="仿宋" w:hAnsi="仿宋" w:eastAsia="仿宋" w:cs="仿宋"/>
                <w:bCs/>
                <w:color w:val="auto"/>
                <w:kern w:val="0"/>
                <w:sz w:val="24"/>
                <w:szCs w:val="20"/>
              </w:rPr>
              <w:t>http://www.zcygov.cn/</w:t>
            </w:r>
            <w:r>
              <w:rPr>
                <w:rFonts w:hint="eastAsia" w:ascii="仿宋" w:hAnsi="仿宋" w:eastAsia="仿宋" w:cs="仿宋"/>
                <w:color w:val="auto"/>
                <w:kern w:val="0"/>
                <w:sz w:val="24"/>
              </w:rPr>
              <w:t>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方式：</w:t>
            </w:r>
            <w:r>
              <w:rPr>
                <w:rFonts w:hint="eastAsia" w:ascii="仿宋" w:hAnsi="仿宋" w:eastAsia="仿宋" w:cs="仿宋"/>
                <w:bCs/>
                <w:color w:val="auto"/>
                <w:kern w:val="0"/>
                <w:sz w:val="24"/>
                <w:szCs w:val="20"/>
              </w:rPr>
              <w:t>供应商登陆政采云平台http://www.zcygov.cn/，在线申请获取采购文件（进入“项目采购”应用，在获取采购文件菜单中选择项目，申请获取采购文件）。</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售价（元）：0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四、提交投标文件截止时间、开标时间和地点</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提交投标文件截止时间：2021年</w:t>
            </w:r>
            <w:r>
              <w:rPr>
                <w:rFonts w:hint="eastAsia" w:ascii="仿宋" w:hAnsi="仿宋" w:eastAsia="仿宋" w:cs="仿宋"/>
                <w:color w:val="auto"/>
                <w:kern w:val="0"/>
                <w:sz w:val="24"/>
                <w:lang w:val="en-US" w:eastAsia="zh-CN"/>
              </w:rPr>
              <w:t>01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27</w:t>
            </w:r>
            <w:r>
              <w:rPr>
                <w:rFonts w:hint="eastAsia" w:ascii="仿宋" w:hAnsi="仿宋" w:eastAsia="仿宋" w:cs="仿宋"/>
                <w:color w:val="auto"/>
                <w:kern w:val="0"/>
                <w:sz w:val="24"/>
              </w:rPr>
              <w:t>日 09:00（北京时间）</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投标地点（网址）：http://www.zcygov.cn/</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开标时间：2021年</w:t>
            </w:r>
            <w:r>
              <w:rPr>
                <w:rFonts w:hint="eastAsia" w:ascii="仿宋" w:hAnsi="仿宋" w:eastAsia="仿宋" w:cs="仿宋"/>
                <w:color w:val="auto"/>
                <w:kern w:val="0"/>
                <w:sz w:val="24"/>
                <w:lang w:val="en-US" w:eastAsia="zh-CN"/>
              </w:rPr>
              <w:t>01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27</w:t>
            </w:r>
            <w:r>
              <w:rPr>
                <w:rFonts w:hint="eastAsia" w:ascii="仿宋" w:hAnsi="仿宋" w:eastAsia="仿宋" w:cs="仿宋"/>
                <w:color w:val="auto"/>
                <w:kern w:val="0"/>
                <w:sz w:val="24"/>
              </w:rPr>
              <w:t>日 09:00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开标地点（网址）：绍兴市迪荡新城惠利街20号鼎盛时代大厦四楼绍兴市公共资源交易中心</w:t>
            </w:r>
            <w:r>
              <w:rPr>
                <w:rFonts w:hint="eastAsia" w:ascii="仿宋" w:hAnsi="仿宋" w:eastAsia="仿宋" w:cs="仿宋"/>
                <w:color w:val="auto"/>
                <w:kern w:val="0"/>
                <w:sz w:val="24"/>
                <w:lang w:val="en-US" w:eastAsia="zh-CN"/>
              </w:rPr>
              <w:t>416</w:t>
            </w:r>
            <w:r>
              <w:rPr>
                <w:rFonts w:hint="eastAsia" w:ascii="仿宋" w:hAnsi="仿宋" w:eastAsia="仿宋" w:cs="仿宋"/>
                <w:color w:val="auto"/>
                <w:kern w:val="0"/>
                <w:sz w:val="24"/>
              </w:rPr>
              <w:t>室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五、公告期限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自本公告发布之日起5个工作日。</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六、其他补充事宜</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2.其他事项：无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七、对本次采购提出询问、质疑、投诉，请按以下方式联系</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1.采购人信息</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名称：绍兴文理学院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地址：绍兴市环城西路508号</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传真：/</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color w:val="auto"/>
                <w:sz w:val="24"/>
              </w:rPr>
              <w:t>顾斌斌</w:t>
            </w:r>
            <w:r>
              <w:rPr>
                <w:rFonts w:hint="eastAsia" w:ascii="仿宋" w:hAnsi="仿宋" w:eastAsia="仿宋" w:cs="仿宋"/>
                <w:color w:val="auto"/>
                <w:kern w:val="0"/>
                <w:sz w:val="24"/>
              </w:rPr>
              <w:t xml:space="preserve">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项目联系方式（询问）：</w:t>
            </w:r>
            <w:r>
              <w:rPr>
                <w:rFonts w:hint="eastAsia" w:ascii="仿宋" w:hAnsi="仿宋" w:eastAsia="仿宋" w:cs="仿宋"/>
                <w:color w:val="auto"/>
                <w:sz w:val="24"/>
              </w:rPr>
              <w:t>0575-88346355</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质疑联系人：</w:t>
            </w:r>
            <w:r>
              <w:rPr>
                <w:rFonts w:hint="eastAsia" w:ascii="仿宋" w:hAnsi="仿宋" w:eastAsia="仿宋" w:cs="仿宋"/>
                <w:color w:val="auto"/>
                <w:sz w:val="24"/>
              </w:rPr>
              <w:t>顾斌斌</w:t>
            </w:r>
            <w:r>
              <w:rPr>
                <w:rFonts w:hint="eastAsia" w:ascii="仿宋" w:hAnsi="仿宋" w:eastAsia="仿宋" w:cs="仿宋"/>
                <w:color w:val="auto"/>
                <w:kern w:val="0"/>
                <w:sz w:val="24"/>
              </w:rPr>
              <w:t xml:space="preserve">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质疑联系方式：</w:t>
            </w:r>
            <w:r>
              <w:rPr>
                <w:rFonts w:hint="eastAsia" w:ascii="仿宋" w:hAnsi="仿宋" w:eastAsia="仿宋" w:cs="仿宋"/>
                <w:color w:val="auto"/>
                <w:sz w:val="24"/>
              </w:rPr>
              <w:t>0575-88346355</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2.采购代理机构信息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名称：泰宇建筑工程技术咨询有限公司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地址：绍兴市朝皇路58号正大综合楼601</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项目联系人（询问）：金锦英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项目联系方式（询问）：0575-88226969/13656752180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质疑联系人：金锦英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质疑联系方式：0575-85080066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3.同级政府采购监督管理部门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名称：绍兴市财政局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地址：绍兴市越城区凤林西路151号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传真：0575-85209806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联系人 ：应春兴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监督投诉电话：0575-85209806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CA问题联系电话（人工）：汇信CA 400-888-4636；天谷CA 400-087-8198。</w:t>
            </w:r>
          </w:p>
        </w:tc>
      </w:tr>
    </w:tbl>
    <w:p>
      <w:pPr>
        <w:pageBreakBefore/>
        <w:spacing w:line="440" w:lineRule="exact"/>
        <w:ind w:firstLine="2530" w:firstLineChars="700"/>
        <w:outlineLvl w:val="0"/>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ascii="仿宋" w:hAnsi="仿宋" w:eastAsia="仿宋" w:cs="仿宋"/>
          <w:b/>
          <w:color w:val="auto"/>
          <w:sz w:val="30"/>
          <w:szCs w:val="36"/>
        </w:rPr>
      </w:pPr>
      <w:r>
        <w:rPr>
          <w:rFonts w:hint="eastAsia" w:ascii="仿宋" w:hAnsi="仿宋" w:eastAsia="仿宋" w:cs="仿宋"/>
          <w:b/>
          <w:color w:val="auto"/>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
        <w:gridCol w:w="839"/>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1" w:type="dxa"/>
            <w:gridSpan w:val="3"/>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1" w:type="dxa"/>
            <w:gridSpan w:val="3"/>
            <w:vAlign w:val="center"/>
          </w:tcPr>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投标人应当提交的资格、资信证明文件</w:t>
            </w:r>
            <w:r>
              <w:rPr>
                <w:rFonts w:hint="eastAsia" w:ascii="仿宋" w:hAnsi="仿宋" w:eastAsia="仿宋" w:cs="仿宋"/>
                <w:color w:val="auto"/>
                <w:sz w:val="24"/>
              </w:rPr>
              <w:t>：</w:t>
            </w:r>
          </w:p>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（1）相关证明文件：</w:t>
            </w:r>
            <w:r>
              <w:rPr>
                <w:rFonts w:hint="eastAsia" w:ascii="仿宋" w:hAnsi="仿宋" w:eastAsia="仿宋" w:cs="仿宋"/>
                <w:color w:val="auto"/>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（2）资信证明文件（如果有，按招标文件第三部分招标项目范围及要求和第五部分评分标准提供）。</w:t>
            </w:r>
          </w:p>
          <w:p>
            <w:pPr>
              <w:snapToGrid w:val="0"/>
              <w:spacing w:line="420" w:lineRule="exact"/>
              <w:rPr>
                <w:rFonts w:ascii="仿宋" w:hAnsi="仿宋" w:eastAsia="仿宋" w:cs="仿宋"/>
                <w:color w:val="auto"/>
                <w:sz w:val="24"/>
                <w:u w:val="single"/>
              </w:rPr>
            </w:pPr>
            <w:r>
              <w:rPr>
                <w:rFonts w:hint="eastAsia" w:ascii="仿宋" w:hAnsi="仿宋" w:eastAsia="仿宋" w:cs="仿宋"/>
                <w:b/>
                <w:color w:val="auto"/>
                <w:sz w:val="24"/>
              </w:rPr>
              <w:t>（3）特许资格、资信证明文件（如果有）：</w:t>
            </w:r>
          </w:p>
          <w:p>
            <w:pPr>
              <w:spacing w:line="42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1" w:type="dxa"/>
            <w:gridSpan w:val="3"/>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1" w:type="dxa"/>
            <w:gridSpan w:val="3"/>
            <w:vAlign w:val="center"/>
          </w:tcPr>
          <w:p>
            <w:pPr>
              <w:autoSpaceDE w:val="0"/>
              <w:autoSpaceDN w:val="0"/>
              <w:spacing w:line="42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1" w:type="dxa"/>
            <w:gridSpan w:val="3"/>
            <w:vAlign w:val="center"/>
          </w:tcPr>
          <w:p>
            <w:pPr>
              <w:spacing w:line="420" w:lineRule="exact"/>
              <w:rPr>
                <w:rFonts w:ascii="仿宋" w:hAnsi="仿宋" w:eastAsia="仿宋" w:cs="仿宋"/>
                <w:color w:val="auto"/>
                <w:sz w:val="24"/>
              </w:rPr>
            </w:pPr>
            <w:r>
              <w:rPr>
                <w:rFonts w:hint="eastAsia" w:ascii="仿宋" w:hAnsi="仿宋" w:eastAsia="仿宋" w:cs="仿宋"/>
                <w:b/>
                <w:color w:val="auto"/>
                <w:sz w:val="24"/>
              </w:rPr>
              <w:t>分包或转包：</w:t>
            </w:r>
            <w:r>
              <w:rPr>
                <w:rFonts w:hint="eastAsia" w:ascii="仿宋" w:hAnsi="仿宋" w:eastAsia="仿宋" w:cs="仿宋"/>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1" w:type="dxa"/>
            <w:gridSpan w:val="3"/>
            <w:vAlign w:val="center"/>
          </w:tcPr>
          <w:p>
            <w:pPr>
              <w:spacing w:line="42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1" w:type="dxa"/>
            <w:gridSpan w:val="3"/>
            <w:vAlign w:val="center"/>
          </w:tcPr>
          <w:p>
            <w:pPr>
              <w:autoSpaceDE w:val="0"/>
              <w:autoSpaceDN w:val="0"/>
              <w:spacing w:line="42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1" w:type="dxa"/>
            <w:gridSpan w:val="3"/>
            <w:vAlign w:val="center"/>
          </w:tcPr>
          <w:p>
            <w:pPr>
              <w:spacing w:line="288" w:lineRule="auto"/>
              <w:rPr>
                <w:rFonts w:ascii="仿宋" w:hAnsi="仿宋" w:eastAsia="仿宋" w:cs="仿宋"/>
                <w:b/>
                <w:color w:val="auto"/>
                <w:sz w:val="24"/>
              </w:rPr>
            </w:pPr>
            <w:r>
              <w:rPr>
                <w:rFonts w:hint="eastAsia" w:ascii="仿宋" w:hAnsi="仿宋" w:eastAsia="仿宋" w:cs="仿宋"/>
                <w:b/>
                <w:color w:val="auto"/>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1" w:type="dxa"/>
            <w:gridSpan w:val="3"/>
            <w:vAlign w:val="center"/>
          </w:tcPr>
          <w:p>
            <w:pPr>
              <w:spacing w:line="420" w:lineRule="exact"/>
              <w:rPr>
                <w:rFonts w:ascii="仿宋" w:hAnsi="仿宋" w:eastAsia="仿宋" w:cs="仿宋"/>
                <w:color w:val="auto"/>
                <w:sz w:val="24"/>
              </w:rPr>
            </w:pPr>
            <w:r>
              <w:rPr>
                <w:rFonts w:hint="eastAsia" w:ascii="仿宋" w:hAnsi="仿宋" w:eastAsia="仿宋" w:cs="仿宋"/>
                <w:b/>
                <w:color w:val="auto"/>
                <w:sz w:val="24"/>
              </w:rPr>
              <w:t>演示(讲解)：</w:t>
            </w:r>
            <w:r>
              <w:rPr>
                <w:rFonts w:hint="eastAsia" w:ascii="仿宋" w:hAnsi="仿宋" w:eastAsia="仿宋" w:cs="仿宋"/>
                <w:b/>
                <w:color w:val="auto"/>
                <w:kern w:val="0"/>
                <w:sz w:val="24"/>
                <w:lang w:val="zh-CN"/>
              </w:rPr>
              <w:t>无</w:t>
            </w:r>
            <w:r>
              <w:rPr>
                <w:rFonts w:hint="eastAsia" w:ascii="仿宋" w:hAnsi="仿宋" w:eastAsia="仿宋" w:cs="仿宋"/>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55" w:type="dxa"/>
            <w:gridSpan w:val="2"/>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6"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color w:val="auto"/>
                <w:sz w:val="24"/>
              </w:rPr>
              <w:t>本项目允许采购进口产品，供应商所提供的货物和服务须在我国境内合法生产、销售。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gridSpan w:val="2"/>
            <w:vMerge w:val="restart"/>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6"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投标截止时间前</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color w:val="auto"/>
                <w:sz w:val="24"/>
              </w:rPr>
            </w:pPr>
          </w:p>
        </w:tc>
        <w:tc>
          <w:tcPr>
            <w:tcW w:w="855" w:type="dxa"/>
            <w:gridSpan w:val="2"/>
            <w:vMerge w:val="continue"/>
            <w:vAlign w:val="center"/>
          </w:tcPr>
          <w:p>
            <w:pPr>
              <w:snapToGrid w:val="0"/>
              <w:spacing w:line="420" w:lineRule="exact"/>
              <w:rPr>
                <w:rFonts w:ascii="仿宋" w:hAnsi="仿宋" w:eastAsia="仿宋" w:cs="仿宋"/>
                <w:b/>
                <w:color w:val="auto"/>
                <w:sz w:val="24"/>
              </w:rPr>
            </w:pPr>
          </w:p>
        </w:tc>
        <w:tc>
          <w:tcPr>
            <w:tcW w:w="7516"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color w:val="auto"/>
                <w:sz w:val="24"/>
              </w:rPr>
            </w:pPr>
          </w:p>
        </w:tc>
        <w:tc>
          <w:tcPr>
            <w:tcW w:w="855" w:type="dxa"/>
            <w:gridSpan w:val="2"/>
            <w:vMerge w:val="continue"/>
            <w:vAlign w:val="center"/>
          </w:tcPr>
          <w:p>
            <w:pPr>
              <w:snapToGrid w:val="0"/>
              <w:spacing w:line="420" w:lineRule="exact"/>
              <w:rPr>
                <w:rFonts w:ascii="仿宋" w:hAnsi="仿宋" w:eastAsia="仿宋" w:cs="仿宋"/>
                <w:b/>
                <w:color w:val="auto"/>
                <w:sz w:val="24"/>
              </w:rPr>
            </w:pPr>
          </w:p>
        </w:tc>
        <w:tc>
          <w:tcPr>
            <w:tcW w:w="7516" w:type="dxa"/>
            <w:vAlign w:val="center"/>
          </w:tcPr>
          <w:p>
            <w:pPr>
              <w:snapToGrid w:val="0"/>
              <w:spacing w:line="420" w:lineRule="exact"/>
              <w:rPr>
                <w:rFonts w:ascii="仿宋" w:hAnsi="仿宋" w:eastAsia="仿宋" w:cs="仿宋"/>
                <w:b/>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371" w:type="dxa"/>
            <w:gridSpan w:val="3"/>
            <w:vAlign w:val="center"/>
          </w:tcPr>
          <w:p>
            <w:pPr>
              <w:snapToGrid w:val="0"/>
              <w:spacing w:line="2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371" w:type="dxa"/>
            <w:gridSpan w:val="3"/>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371" w:type="dxa"/>
            <w:gridSpan w:val="3"/>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1" w:type="dxa"/>
            <w:gridSpan w:val="3"/>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《CA申领操作指南》：https://help.zcygov.cn/web/site_2/2018/11-29/2452.html</w:t>
            </w:r>
          </w:p>
          <w:p>
            <w:pPr>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《CA管理操作指南》：https://help.zcygov.cn/web/site_2/2019/08-20/3405.html</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《CA驱动和申领流程》:</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http://zfcg.czt.zj.gov.cn//bidClientTemplate/2019-05-27/12945.html</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r>
              <w:rPr>
                <w:color w:val="auto"/>
              </w:rPr>
              <w:fldChar w:fldCharType="begin"/>
            </w:r>
            <w:r>
              <w:rPr>
                <w:color w:val="auto"/>
              </w:rPr>
              <w:instrText xml:space="preserve"> HYPERLINK "https://help.zcygov.cn/web/site_2/2018/12-28/2573.html" </w:instrText>
            </w:r>
            <w:r>
              <w:rPr>
                <w:color w:val="auto"/>
              </w:rPr>
              <w:fldChar w:fldCharType="separate"/>
            </w:r>
            <w:r>
              <w:rPr>
                <w:rStyle w:val="46"/>
                <w:rFonts w:hint="eastAsia" w:ascii="仿宋" w:hAnsi="仿宋" w:eastAsia="仿宋" w:cs="仿宋"/>
                <w:color w:val="auto"/>
                <w:sz w:val="24"/>
              </w:rPr>
              <w:t>https://help.zcygov.cn/web/site_2/2018/12-28/2573.html</w:t>
            </w:r>
            <w:r>
              <w:rPr>
                <w:rStyle w:val="46"/>
                <w:rFonts w:hint="eastAsia" w:ascii="仿宋" w:hAnsi="仿宋" w:eastAsia="仿宋" w:cs="仿宋"/>
                <w:color w:val="auto"/>
                <w:sz w:val="24"/>
              </w:rPr>
              <w:fldChar w:fldCharType="end"/>
            </w:r>
            <w:r>
              <w:rPr>
                <w:rFonts w:hint="eastAsia" w:ascii="仿宋" w:hAnsi="仿宋" w:eastAsia="仿宋" w:cs="仿宋"/>
                <w:color w:val="auto"/>
                <w:sz w:val="24"/>
              </w:rPr>
              <w:t>”。</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p>
            <w:pPr>
              <w:snapToGrid w:val="0"/>
              <w:spacing w:line="400" w:lineRule="exact"/>
              <w:rPr>
                <w:rFonts w:ascii="仿宋" w:hAnsi="仿宋" w:eastAsia="仿宋" w:cs="仿宋"/>
                <w:color w:val="auto"/>
                <w:sz w:val="24"/>
              </w:rPr>
            </w:pPr>
            <w:r>
              <w:rPr>
                <w:rFonts w:hint="eastAsia" w:ascii="仿宋" w:hAnsi="仿宋" w:eastAsia="仿宋" w:cs="仿宋"/>
                <w:b/>
                <w:bCs/>
                <w:color w:val="auto"/>
                <w:sz w:val="24"/>
              </w:rPr>
              <w:t>注：本项目分2个标段,供应商可以同时报名参加2个标段投标，允许同时中标。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15</w:t>
            </w:r>
          </w:p>
        </w:tc>
        <w:tc>
          <w:tcPr>
            <w:tcW w:w="8355" w:type="dxa"/>
            <w:gridSpan w:val="2"/>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sz w:val="24"/>
              </w:rPr>
              <w:t>16</w:t>
            </w:r>
          </w:p>
        </w:tc>
        <w:tc>
          <w:tcPr>
            <w:tcW w:w="8355" w:type="dxa"/>
            <w:gridSpan w:val="2"/>
            <w:vAlign w:val="center"/>
          </w:tcPr>
          <w:p>
            <w:pPr>
              <w:spacing w:line="500" w:lineRule="exact"/>
              <w:jc w:val="left"/>
              <w:rPr>
                <w:rFonts w:ascii="仿宋" w:hAnsi="仿宋" w:eastAsia="仿宋" w:cs="仿宋"/>
                <w:b/>
                <w:bCs/>
                <w:color w:val="auto"/>
                <w:sz w:val="24"/>
              </w:rPr>
            </w:pPr>
            <w:r>
              <w:rPr>
                <w:rFonts w:hint="eastAsia" w:ascii="仿宋" w:hAnsi="仿宋" w:eastAsia="仿宋" w:cs="仿宋"/>
                <w:b/>
                <w:bCs/>
                <w:color w:val="auto"/>
                <w:sz w:val="24"/>
              </w:rPr>
              <w:t>采购代理服务费：</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ascii="仿宋" w:hAnsi="仿宋" w:eastAsia="仿宋" w:cs="仿宋"/>
                <w:color w:val="auto"/>
                <w:sz w:val="22"/>
              </w:rPr>
            </w:pPr>
            <w:r>
              <w:rPr>
                <w:rFonts w:hint="eastAsia" w:ascii="仿宋" w:hAnsi="仿宋" w:eastAsia="仿宋" w:cs="仿宋"/>
                <w:color w:val="auto"/>
                <w:sz w:val="22"/>
              </w:rPr>
              <w:t>（1）</w:t>
            </w:r>
            <w:r>
              <w:rPr>
                <w:rFonts w:hint="eastAsia" w:ascii="仿宋" w:hAnsi="仿宋" w:eastAsia="仿宋" w:cs="仿宋"/>
                <w:color w:val="auto"/>
                <w:sz w:val="24"/>
              </w:rPr>
              <w:t>以中标通知中确定的中标总金额作为代理服务费的计算基数，具体比例参照《国家计委关于印发&lt;招标代理服务收费管理暂行办法&gt;的通知》（计价格[2002]1980号）规定的标准的60%进行收费。服务费不到5400元按照5400元收取。</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（2）代理服务费的交纳方式：</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用银行支票、汇票、电汇、现金等付款方式直接交纳代理服务费。</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公司名称：泰宇建筑工程技术咨询有限公司</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账    号: 33050161818500000218</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开户银行:中国建设银行杭州白马湖支行 </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pPr>
              <w:spacing w:line="42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tcBorders>
              <w:bottom w:val="nil"/>
            </w:tcBorders>
            <w:vAlign w:val="center"/>
          </w:tcPr>
          <w:p>
            <w:pPr>
              <w:spacing w:line="42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tcBorders>
              <w:top w:val="nil"/>
              <w:left w:val="nil"/>
              <w:bottom w:val="nil"/>
              <w:right w:val="nil"/>
            </w:tcBorders>
            <w:vAlign w:val="center"/>
          </w:tcPr>
          <w:p>
            <w:pPr>
              <w:spacing w:line="420" w:lineRule="exact"/>
              <w:ind w:firstLine="630" w:firstLineChars="196"/>
              <w:rPr>
                <w:rFonts w:ascii="仿宋" w:hAnsi="仿宋" w:eastAsia="仿宋" w:cs="仿宋"/>
                <w:b/>
                <w:color w:val="auto"/>
                <w:sz w:val="24"/>
              </w:rPr>
            </w:pPr>
            <w:r>
              <w:rPr>
                <w:rFonts w:hint="eastAsia" w:ascii="仿宋" w:hAnsi="仿宋" w:eastAsia="仿宋" w:cs="仿宋"/>
                <w:b/>
                <w:color w:val="auto"/>
                <w:sz w:val="32"/>
                <w:szCs w:val="32"/>
              </w:rPr>
              <w:t>注：</w:t>
            </w:r>
            <w:r>
              <w:rPr>
                <w:rFonts w:hint="eastAsia" w:ascii="仿宋" w:hAnsi="仿宋" w:eastAsia="仿宋" w:cs="仿宋"/>
                <w:b/>
                <w:color w:val="auto"/>
                <w:sz w:val="24"/>
              </w:rPr>
              <w:t>为维护绍兴市公共资源交易中心交易市场的正常秩序，进一步遏制串标、抬标行为，保护交易各方的合法权益，凡在同一招标项目的评标中，发现</w:t>
            </w:r>
            <w:r>
              <w:rPr>
                <w:rFonts w:hint="eastAsia" w:ascii="仿宋" w:hAnsi="仿宋" w:eastAsia="仿宋" w:cs="仿宋"/>
                <w:b/>
                <w:i/>
                <w:color w:val="auto"/>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cs="仿宋"/>
                <w:b/>
                <w:color w:val="auto"/>
                <w:sz w:val="24"/>
              </w:rPr>
              <w:t>，且经询标澄清投标人无令人信服的理由和可靠证据证明其合理性的，经评标委员会半数以上成员确认有</w:t>
            </w:r>
            <w:r>
              <w:rPr>
                <w:rFonts w:hint="eastAsia" w:ascii="仿宋" w:hAnsi="仿宋" w:eastAsia="仿宋" w:cs="仿宋"/>
                <w:b/>
                <w:color w:val="auto"/>
                <w:sz w:val="24"/>
                <w:u w:val="double"/>
              </w:rPr>
              <w:t>串通投标</w:t>
            </w:r>
            <w:r>
              <w:rPr>
                <w:rFonts w:hint="eastAsia" w:ascii="仿宋" w:hAnsi="仿宋" w:eastAsia="仿宋" w:cs="仿宋"/>
                <w:b/>
                <w:color w:val="auto"/>
                <w:sz w:val="24"/>
              </w:rPr>
              <w:t>嫌疑的，其投标文件按</w:t>
            </w:r>
            <w:r>
              <w:rPr>
                <w:rFonts w:hint="eastAsia" w:ascii="仿宋" w:hAnsi="仿宋" w:eastAsia="仿宋" w:cs="仿宋"/>
                <w:b/>
                <w:color w:val="auto"/>
                <w:sz w:val="24"/>
                <w:u w:val="double"/>
              </w:rPr>
              <w:t>无效投标处理</w:t>
            </w:r>
            <w:r>
              <w:rPr>
                <w:rFonts w:hint="eastAsia" w:ascii="仿宋" w:hAnsi="仿宋" w:eastAsia="仿宋" w:cs="仿宋"/>
                <w:b/>
                <w:color w:val="auto"/>
                <w:sz w:val="24"/>
              </w:rPr>
              <w:t>，不再对其进行评审，也不影响招标工作继续评标。</w:t>
            </w:r>
          </w:p>
        </w:tc>
      </w:tr>
    </w:tbl>
    <w:p>
      <w:pPr>
        <w:pageBreakBefore/>
        <w:tabs>
          <w:tab w:val="left" w:pos="3519"/>
          <w:tab w:val="center" w:pos="4371"/>
        </w:tabs>
        <w:snapToGrid w:val="0"/>
        <w:spacing w:line="30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政府采购当事人及监管部门：绍兴文理学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2.4 “项目”系指投标人按招标文件规定向采购人提供的产品和服务。</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2.5 “授权代表”系指法定代表人的被授权委托人。</w:t>
      </w:r>
    </w:p>
    <w:p>
      <w:pPr>
        <w:spacing w:line="440" w:lineRule="exact"/>
        <w:rPr>
          <w:rFonts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节能环保要求</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w:t>
      </w:r>
      <w:r>
        <w:rPr>
          <w:rFonts w:hint="eastAsia" w:ascii="仿宋" w:hAnsi="仿宋" w:eastAsia="仿宋"/>
          <w:bCs/>
          <w:color w:val="auto"/>
          <w:sz w:val="24"/>
          <w:highlight w:val="none"/>
        </w:rPr>
        <w:t>小微</w:t>
      </w:r>
      <w:r>
        <w:rPr>
          <w:rFonts w:hint="eastAsia" w:ascii="仿宋" w:hAnsi="仿宋" w:eastAsia="仿宋"/>
          <w:color w:val="auto"/>
          <w:sz w:val="24"/>
          <w:highlight w:val="none"/>
        </w:rPr>
        <w:t>企业价格扣除。</w:t>
      </w:r>
    </w:p>
    <w:p>
      <w:pPr>
        <w:spacing w:line="440" w:lineRule="exact"/>
        <w:rPr>
          <w:rFonts w:ascii="仿宋" w:hAnsi="仿宋" w:eastAsia="仿宋"/>
          <w:bCs/>
          <w:color w:val="auto"/>
          <w:sz w:val="24"/>
          <w:highlight w:val="none"/>
        </w:rPr>
      </w:pPr>
      <w:r>
        <w:rPr>
          <w:rFonts w:hint="eastAsia" w:ascii="仿宋" w:hAnsi="仿宋" w:eastAsia="仿宋"/>
          <w:color w:val="auto"/>
          <w:sz w:val="24"/>
          <w:highlight w:val="none"/>
        </w:rPr>
        <w:t>3.3.1小微企业是指</w:t>
      </w:r>
      <w:r>
        <w:rPr>
          <w:rFonts w:hint="eastAsia" w:ascii="仿宋" w:hAnsi="仿宋" w:eastAsia="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符合中小企业划分标准的个体工商户，在政府采购活动中视同中小企业。</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3.3.2在货物采购项目中，货物由小微企业制造，即货物由小微企业生产且使用该小微企业商号或者注册商标。</w:t>
      </w:r>
      <w:r>
        <w:rPr>
          <w:rFonts w:hint="eastAsia" w:ascii="仿宋" w:hAnsi="仿宋" w:eastAsia="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3.3.4小微企业应按照招标文件格式要求提供《中小企业声明函》。</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color w:val="auto"/>
          <w:sz w:val="24"/>
          <w:highlight w:val="none"/>
        </w:rPr>
      </w:pPr>
      <w:r>
        <w:rPr>
          <w:rFonts w:hint="eastAsia" w:ascii="仿宋" w:hAnsi="仿宋" w:eastAsia="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cs="仿宋"/>
          <w:b/>
          <w:color w:val="auto"/>
          <w:sz w:val="24"/>
        </w:rPr>
      </w:pPr>
      <w:r>
        <w:rPr>
          <w:rFonts w:hint="eastAsia" w:ascii="仿宋" w:hAnsi="仿宋" w:eastAsia="仿宋" w:cs="仿宋"/>
          <w:b/>
          <w:color w:val="auto"/>
          <w:sz w:val="24"/>
        </w:rPr>
        <w:t>2.授权委托</w:t>
      </w:r>
    </w:p>
    <w:p>
      <w:pPr>
        <w:pStyle w:val="13"/>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3"/>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3"/>
        <w:widowControl w:val="0"/>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4.3招标文件的修改</w:t>
      </w:r>
    </w:p>
    <w:p>
      <w:pPr>
        <w:pStyle w:val="13"/>
        <w:tabs>
          <w:tab w:val="clear" w:pos="454"/>
        </w:tabs>
        <w:spacing w:afterLines="0" w:line="440" w:lineRule="exact"/>
        <w:ind w:left="0" w:firstLine="0"/>
        <w:rPr>
          <w:rFonts w:ascii="仿宋" w:hAnsi="仿宋" w:eastAsia="仿宋" w:cs="仿宋"/>
          <w:color w:val="auto"/>
        </w:rPr>
      </w:pPr>
      <w:r>
        <w:rPr>
          <w:rFonts w:hint="eastAsia" w:ascii="仿宋" w:hAnsi="仿宋" w:eastAsia="仿宋" w:cs="仿宋"/>
          <w:color w:val="auto"/>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8"/>
        </w:num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投标文件的语言及计量单位</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r>
        <w:rPr>
          <w:rFonts w:hint="eastAsia" w:ascii="仿宋" w:hAnsi="仿宋" w:eastAsia="仿宋" w:cs="仿宋"/>
          <w:b/>
          <w:color w:val="auto"/>
          <w:sz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投标文件由“报价文件资料”、“商务技术（资信）文件资料”两部分组成，其中</w:t>
      </w:r>
      <w:r>
        <w:rPr>
          <w:rFonts w:hint="eastAsia" w:ascii="仿宋" w:hAnsi="仿宋" w:eastAsia="仿宋" w:cs="仿宋"/>
          <w:b/>
          <w:color w:val="auto"/>
          <w:sz w:val="24"/>
        </w:rPr>
        <w:t>电子投标文件中所须加盖公章部分均应采用电子签章。</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2.1 “报价文件资料”应包含以下内容：</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2"/>
        <w:spacing w:line="440" w:lineRule="exact"/>
        <w:rPr>
          <w:rFonts w:ascii="仿宋" w:hAnsi="仿宋" w:eastAsia="仿宋" w:cs="仿宋"/>
          <w:b w:val="0"/>
          <w:color w:val="auto"/>
          <w:sz w:val="24"/>
        </w:rPr>
      </w:pPr>
      <w:r>
        <w:rPr>
          <w:rFonts w:hint="eastAsia" w:ascii="仿宋" w:hAnsi="仿宋" w:eastAsia="仿宋" w:cs="仿宋"/>
          <w:b w:val="0"/>
          <w:color w:val="auto"/>
          <w:sz w:val="24"/>
        </w:rPr>
        <w:t>2.1.3小微企业声明函及证明资料（如有，格式见第六部分附件）；</w:t>
      </w:r>
    </w:p>
    <w:p>
      <w:pPr>
        <w:pStyle w:val="22"/>
        <w:spacing w:line="440" w:lineRule="exact"/>
        <w:rPr>
          <w:rFonts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cs="仿宋"/>
          <w:color w:val="auto"/>
        </w:rPr>
      </w:pPr>
      <w:r>
        <w:rPr>
          <w:rFonts w:hint="eastAsia" w:ascii="仿宋" w:hAnsi="仿宋" w:eastAsia="仿宋" w:cs="仿宋"/>
          <w:color w:val="auto"/>
        </w:rPr>
        <w:t>2.2 “商务技术（资信）文件资料”应包括以下内容：</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2.2.1法定代表人授权委托书(个体工商户不需要提供，格式见第六部分附件)；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2.2.3法定代表人身份证明书（格式见第六部分附件）；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2.2.4 企业法人营业执照副本复印件（加盖单位公章）；</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sz w:val="24"/>
        </w:rPr>
        <w:t>2.2.5相关资质证明或文件复印件（加盖单位公章）；（均需加盖公章）：</w:t>
      </w:r>
      <w:r>
        <w:rPr>
          <w:rFonts w:hint="eastAsia" w:ascii="仿宋" w:hAnsi="仿宋" w:eastAsia="仿宋" w:cs="仿宋"/>
          <w:color w:val="auto"/>
          <w:kern w:val="0"/>
          <w:sz w:val="24"/>
        </w:rPr>
        <w:t>证明其符合《中华人民共和国政府采购法》规定的供应商基本条件和采购项目对供应商的特定要求</w:t>
      </w:r>
      <w:r>
        <w:rPr>
          <w:rFonts w:hint="eastAsia" w:ascii="仿宋" w:hAnsi="仿宋" w:eastAsia="仿宋" w:cs="仿宋"/>
          <w:color w:val="auto"/>
          <w:sz w:val="24"/>
        </w:rPr>
        <w:t>（如果项目要求）</w:t>
      </w:r>
      <w:r>
        <w:rPr>
          <w:rFonts w:hint="eastAsia" w:ascii="仿宋" w:hAnsi="仿宋" w:eastAsia="仿宋" w:cs="仿宋"/>
          <w:color w:val="auto"/>
          <w:kern w:val="0"/>
          <w:sz w:val="24"/>
        </w:rPr>
        <w:t>的有关资格证明文件。</w:t>
      </w:r>
    </w:p>
    <w:p>
      <w:pPr>
        <w:pStyle w:val="21"/>
        <w:spacing w:line="440" w:lineRule="exact"/>
        <w:ind w:firstLine="480" w:firstLineChars="200"/>
        <w:rPr>
          <w:rFonts w:ascii="仿宋" w:hAnsi="仿宋" w:eastAsia="仿宋" w:cs="仿宋"/>
          <w:color w:val="auto"/>
          <w:sz w:val="24"/>
        </w:rPr>
      </w:pPr>
      <w:bookmarkStart w:id="0" w:name="_Hlt68073093"/>
      <w:bookmarkEnd w:id="0"/>
      <w:bookmarkStart w:id="1" w:name="_Hlt68072998"/>
      <w:bookmarkEnd w:id="1"/>
      <w:bookmarkStart w:id="2" w:name="_Hlt68403820"/>
      <w:bookmarkEnd w:id="2"/>
      <w:r>
        <w:rPr>
          <w:rFonts w:hint="eastAsia" w:ascii="仿宋" w:hAnsi="仿宋" w:eastAsia="仿宋" w:cs="仿宋"/>
          <w:color w:val="auto"/>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（2）2019年度资产负债表等财务报表资料文件(新成立的公司提供情况证明)；</w:t>
      </w:r>
    </w:p>
    <w:p>
      <w:pPr>
        <w:pStyle w:val="21"/>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（3）具有履行合同所必需的设备和专业技术能力的承诺函；</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rPr>
        <w:t>（4）参加本次政府采购活动前三年内，在经营活动中没有重大违法记录的声明（</w:t>
      </w:r>
      <w:r>
        <w:rPr>
          <w:rFonts w:hint="eastAsia" w:ascii="仿宋" w:hAnsi="仿宋" w:eastAsia="仿宋" w:cs="仿宋"/>
          <w:color w:val="auto"/>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kern w:val="0"/>
          <w:sz w:val="24"/>
        </w:rPr>
        <w:t>(6</w:t>
      </w:r>
      <w:r>
        <w:rPr>
          <w:rFonts w:hint="eastAsia" w:ascii="仿宋" w:hAnsi="仿宋" w:eastAsia="仿宋" w:cs="仿宋"/>
          <w:color w:val="auto"/>
          <w:sz w:val="24"/>
        </w:rPr>
        <w:t>)</w:t>
      </w:r>
      <w:r>
        <w:rPr>
          <w:rFonts w:hint="eastAsia" w:ascii="仿宋" w:hAnsi="仿宋" w:eastAsia="仿宋" w:cs="仿宋"/>
          <w:color w:val="auto"/>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(7</w:t>
      </w:r>
      <w:r>
        <w:rPr>
          <w:rFonts w:hint="eastAsia" w:ascii="仿宋" w:hAnsi="仿宋" w:eastAsia="仿宋" w:cs="仿宋"/>
          <w:color w:val="auto"/>
          <w:sz w:val="24"/>
        </w:rPr>
        <w:t>)符合特定资格条件（如果项目要求）的有关证明材料（复印件）；</w:t>
      </w:r>
    </w:p>
    <w:p>
      <w:pPr>
        <w:pStyle w:val="21"/>
        <w:snapToGrid w:val="0"/>
        <w:spacing w:line="440" w:lineRule="exact"/>
        <w:rPr>
          <w:rFonts w:ascii="仿宋" w:hAnsi="仿宋" w:eastAsia="仿宋" w:cs="仿宋"/>
          <w:color w:val="auto"/>
          <w:sz w:val="24"/>
          <w:lang w:val="zh-CN"/>
        </w:rPr>
      </w:pPr>
      <w:r>
        <w:rPr>
          <w:rFonts w:hint="eastAsia" w:ascii="仿宋" w:hAnsi="仿宋" w:eastAsia="仿宋" w:cs="仿宋"/>
          <w:color w:val="auto"/>
          <w:sz w:val="24"/>
        </w:rPr>
        <w:t>2.2.6</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rPr>
        <w:t>2.2.9</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0</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1</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3</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sz w:val="24"/>
        </w:rPr>
        <w:t>2.2.14</w:t>
      </w:r>
      <w:r>
        <w:rPr>
          <w:rFonts w:hint="eastAsia" w:ascii="仿宋" w:hAnsi="仿宋" w:eastAsia="仿宋" w:cs="仿宋"/>
          <w:color w:val="auto"/>
          <w:kern w:val="0"/>
          <w:sz w:val="24"/>
          <w:lang w:val="zh-CN"/>
        </w:rPr>
        <w:t>培训计划；（如果有）</w:t>
      </w:r>
    </w:p>
    <w:p>
      <w:pPr>
        <w:tabs>
          <w:tab w:val="left" w:pos="0"/>
          <w:tab w:val="left" w:pos="840"/>
        </w:tabs>
        <w:autoSpaceDE w:val="0"/>
        <w:autoSpaceDN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5</w:t>
      </w:r>
      <w:r>
        <w:rPr>
          <w:rFonts w:hint="eastAsia" w:ascii="仿宋" w:hAnsi="仿宋" w:eastAsia="仿宋" w:cs="仿宋"/>
          <w:color w:val="auto"/>
          <w:kern w:val="0"/>
          <w:sz w:val="24"/>
          <w:lang w:val="zh-CN"/>
        </w:rPr>
        <w:t>验收方案；</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2.2.16</w:t>
      </w:r>
      <w:r>
        <w:rPr>
          <w:rFonts w:hint="eastAsia" w:ascii="仿宋" w:hAnsi="仿宋" w:eastAsia="仿宋" w:cs="仿宋"/>
          <w:snapToGrid w:val="0"/>
          <w:color w:val="auto"/>
          <w:sz w:val="24"/>
        </w:rPr>
        <w:t>非本地投标人售后服务机构证明材料。非本地投标人</w:t>
      </w:r>
      <w:r>
        <w:rPr>
          <w:rFonts w:hint="eastAsia" w:ascii="仿宋" w:hAnsi="仿宋" w:eastAsia="仿宋" w:cs="仿宋"/>
          <w:color w:val="auto"/>
          <w:sz w:val="24"/>
          <w:lang w:val="zh-CN"/>
        </w:rPr>
        <w:t>在绍兴的分公司</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需提供本地工商注册</w:t>
      </w:r>
      <w:r>
        <w:rPr>
          <w:rFonts w:hint="eastAsia" w:ascii="仿宋" w:hAnsi="仿宋" w:eastAsia="仿宋" w:cs="仿宋"/>
          <w:color w:val="auto"/>
          <w:sz w:val="24"/>
        </w:rPr>
        <w:t>登记</w:t>
      </w:r>
      <w:r>
        <w:rPr>
          <w:rFonts w:hint="eastAsia" w:ascii="仿宋" w:hAnsi="仿宋" w:eastAsia="仿宋" w:cs="仿宋"/>
          <w:color w:val="auto"/>
          <w:sz w:val="24"/>
          <w:lang w:val="zh-CN"/>
        </w:rPr>
        <w:t>资料）或办事处</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需提供本地国内经济合作办注册资料</w:t>
      </w:r>
      <w:r>
        <w:rPr>
          <w:rFonts w:hint="eastAsia" w:ascii="仿宋" w:hAnsi="仿宋" w:eastAsia="仿宋" w:cs="仿宋"/>
          <w:color w:val="auto"/>
          <w:kern w:val="0"/>
          <w:sz w:val="24"/>
        </w:rPr>
        <w:t>）或符合本项目服务能力并签订合作协议的第三方机构或者在中标（成交）公示后在本地设立售后服务机构作</w:t>
      </w:r>
      <w:r>
        <w:rPr>
          <w:rFonts w:hint="eastAsia" w:ascii="仿宋" w:hAnsi="仿宋" w:eastAsia="仿宋" w:cs="仿宋"/>
          <w:color w:val="auto"/>
          <w:sz w:val="24"/>
          <w:lang w:val="zh-CN"/>
        </w:rPr>
        <w:t>为常驻服务和技术支持机构；</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2.2.17</w:t>
      </w:r>
      <w:r>
        <w:rPr>
          <w:rFonts w:hint="eastAsia" w:ascii="仿宋" w:hAnsi="仿宋" w:eastAsia="仿宋" w:cs="仿宋"/>
          <w:color w:val="auto"/>
          <w:sz w:val="24"/>
          <w:u w:val="wave"/>
        </w:rPr>
        <w:t>未尽事宜请各投标单位按评分细则和相对应标项相关要求制作(重要)</w:t>
      </w:r>
      <w:r>
        <w:rPr>
          <w:rFonts w:hint="eastAsia" w:ascii="仿宋" w:hAnsi="仿宋" w:eastAsia="仿宋" w:cs="仿宋"/>
          <w:color w:val="auto"/>
          <w:sz w:val="24"/>
        </w:rPr>
        <w:t>；</w:t>
      </w:r>
    </w:p>
    <w:p>
      <w:pPr>
        <w:pStyle w:val="19"/>
        <w:tabs>
          <w:tab w:val="left" w:pos="1854"/>
          <w:tab w:val="clear" w:pos="482"/>
        </w:tabs>
        <w:spacing w:afterLines="0" w:line="440" w:lineRule="exact"/>
        <w:ind w:left="0" w:firstLine="0"/>
        <w:rPr>
          <w:rFonts w:ascii="仿宋" w:hAnsi="仿宋" w:eastAsia="仿宋" w:cs="仿宋"/>
          <w:color w:val="auto"/>
        </w:rPr>
      </w:pPr>
      <w:r>
        <w:rPr>
          <w:rFonts w:hint="eastAsia" w:ascii="仿宋" w:hAnsi="仿宋" w:eastAsia="仿宋" w:cs="仿宋"/>
          <w:color w:val="auto"/>
        </w:rPr>
        <w:t>2.2.18投标人需要说明的其他文件和说明（格式自拟）。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cs="仿宋"/>
          <w:b/>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 投标报价</w:t>
      </w:r>
    </w:p>
    <w:p>
      <w:pPr>
        <w:pStyle w:val="21"/>
        <w:spacing w:line="440" w:lineRule="exact"/>
        <w:jc w:val="left"/>
        <w:rPr>
          <w:rFonts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1"/>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pStyle w:val="21"/>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cs="仿宋"/>
          <w:color w:val="auto"/>
          <w:sz w:val="24"/>
        </w:rPr>
      </w:pPr>
      <w:r>
        <w:rPr>
          <w:rFonts w:hint="eastAsia" w:ascii="仿宋" w:hAnsi="仿宋" w:eastAsia="仿宋" w:cs="仿宋"/>
          <w:color w:val="auto"/>
          <w:sz w:val="24"/>
        </w:rPr>
        <w:t>3.5</w:t>
      </w:r>
      <w:r>
        <w:rPr>
          <w:rFonts w:hint="eastAsia" w:ascii="仿宋" w:hAnsi="仿宋" w:eastAsia="仿宋" w:cs="仿宋"/>
          <w:b/>
          <w:i/>
          <w:color w:val="auto"/>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cs="仿宋"/>
          <w:b/>
          <w:color w:val="auto"/>
          <w:szCs w:val="24"/>
        </w:rPr>
      </w:pPr>
      <w:r>
        <w:rPr>
          <w:rFonts w:hint="eastAsia" w:ascii="仿宋" w:hAnsi="仿宋" w:eastAsia="仿宋" w:cs="仿宋"/>
          <w:b/>
          <w:color w:val="auto"/>
          <w:szCs w:val="24"/>
        </w:rPr>
        <w:t>4.投标文件的有效期</w:t>
      </w:r>
    </w:p>
    <w:p>
      <w:pPr>
        <w:pStyle w:val="13"/>
        <w:widowControl w:val="0"/>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cs="仿宋"/>
          <w:color w:val="auto"/>
          <w:szCs w:val="24"/>
        </w:rPr>
      </w:pPr>
      <w:r>
        <w:rPr>
          <w:rFonts w:hint="eastAsia" w:ascii="仿宋" w:hAnsi="仿宋" w:eastAsia="仿宋" w:cs="仿宋"/>
          <w:color w:val="auto"/>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5.投标文件的规定</w:t>
      </w:r>
    </w:p>
    <w:p>
      <w:pPr>
        <w:pStyle w:val="21"/>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5.1投标文件由“商务技术（资信）文件资料”、“报价文件资料”两部分文件组成，应按统一格式填写。</w:t>
      </w:r>
    </w:p>
    <w:p>
      <w:pPr>
        <w:pStyle w:val="21"/>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5.2投标文件须按附件格式要求进行电子签章，投标人应写全称。</w:t>
      </w:r>
    </w:p>
    <w:p>
      <w:pPr>
        <w:pStyle w:val="21"/>
        <w:spacing w:line="440" w:lineRule="exact"/>
        <w:jc w:val="left"/>
        <w:rPr>
          <w:rFonts w:ascii="仿宋" w:hAnsi="仿宋" w:eastAsia="仿宋" w:cs="仿宋"/>
          <w:color w:val="auto"/>
          <w:sz w:val="24"/>
          <w:szCs w:val="24"/>
        </w:rPr>
      </w:pPr>
      <w:r>
        <w:rPr>
          <w:rFonts w:hint="eastAsia" w:ascii="仿宋" w:hAnsi="仿宋" w:eastAsia="仿宋" w:cs="仿宋"/>
          <w:color w:val="auto"/>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5.4投标文件因字迹潦草或表达不清所引起的后果由投标人负责。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 xml:space="preserve">6. </w:t>
      </w:r>
      <w:r>
        <w:rPr>
          <w:rFonts w:hint="eastAsia" w:ascii="仿宋" w:hAnsi="仿宋" w:eastAsia="仿宋" w:cs="仿宋"/>
          <w:b/>
          <w:color w:val="auto"/>
          <w:kern w:val="0"/>
          <w:sz w:val="24"/>
        </w:rPr>
        <w:t>投标文件的提交</w:t>
      </w:r>
    </w:p>
    <w:p>
      <w:pPr>
        <w:snapToGrid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80" w:lineRule="exact"/>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8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widowControl/>
        <w:snapToGrid w:val="0"/>
        <w:spacing w:line="480" w:lineRule="exact"/>
        <w:rPr>
          <w:rFonts w:ascii="仿宋" w:hAnsi="仿宋" w:eastAsia="仿宋" w:cs="仿宋"/>
          <w:color w:val="auto"/>
          <w:kern w:val="0"/>
          <w:sz w:val="24"/>
        </w:rPr>
      </w:pPr>
      <w:r>
        <w:rPr>
          <w:rFonts w:hint="eastAsia" w:ascii="仿宋" w:hAnsi="仿宋" w:eastAsia="仿宋" w:cs="仿宋"/>
          <w:color w:val="auto"/>
          <w:kern w:val="0"/>
          <w:sz w:val="24"/>
        </w:rPr>
        <w:t>3.5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ascii="仿宋" w:hAnsi="仿宋" w:eastAsia="仿宋" w:cs="仿宋"/>
          <w:color w:val="auto"/>
          <w:kern w:val="0"/>
          <w:sz w:val="24"/>
        </w:rPr>
      </w:pPr>
      <w:r>
        <w:rPr>
          <w:rFonts w:hint="eastAsia" w:ascii="仿宋" w:hAnsi="仿宋" w:eastAsia="仿宋" w:cs="仿宋"/>
          <w:color w:val="auto"/>
          <w:sz w:val="24"/>
        </w:rPr>
        <w:t>3.6评标委员会不向落标方解释落标的原因。</w:t>
      </w:r>
    </w:p>
    <w:p>
      <w:pPr>
        <w:snapToGrid w:val="0"/>
        <w:spacing w:line="48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4.2符合性审查</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pacing w:line="440" w:lineRule="exact"/>
        <w:ind w:firstLine="48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pacing w:line="480" w:lineRule="exact"/>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pPr>
        <w:pStyle w:val="13"/>
        <w:widowControl w:val="0"/>
        <w:tabs>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1"/>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8.1未按照招标文件规定要求签署、盖章的；</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8.10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1"/>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1"/>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sz w:val="24"/>
        </w:rPr>
        <w:t>8.13投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rPr>
      </w:pPr>
      <w:r>
        <w:rPr>
          <w:rFonts w:hint="eastAsia" w:ascii="仿宋" w:hAnsi="仿宋" w:eastAsia="仿宋" w:cs="仿宋"/>
          <w:b/>
          <w:color w:val="auto"/>
          <w:kern w:val="0"/>
          <w:sz w:val="24"/>
        </w:rPr>
        <w:t>8.14评</w:t>
      </w:r>
      <w:r>
        <w:rPr>
          <w:rFonts w:hint="eastAsia" w:ascii="仿宋" w:hAnsi="仿宋" w:eastAsia="仿宋" w:cs="仿宋"/>
          <w:b/>
          <w:color w:val="auto"/>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rPr>
      </w:pPr>
      <w:r>
        <w:rPr>
          <w:rFonts w:hint="eastAsia" w:ascii="仿宋" w:hAnsi="仿宋" w:eastAsia="仿宋" w:cs="仿宋"/>
          <w:b/>
          <w:color w:val="auto"/>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8.20.2提供虚假的财务状况或者业绩；</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8.20.3提供虚假的项目负责人或者主要技术人员简历、劳动关系证明；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8.20.4提供虚假的信用状况；</w:t>
      </w:r>
    </w:p>
    <w:p>
      <w:pPr>
        <w:tabs>
          <w:tab w:val="left" w:pos="3870"/>
          <w:tab w:val="left" w:pos="4085"/>
        </w:tabs>
        <w:snapToGrid w:val="0"/>
        <w:spacing w:line="440" w:lineRule="exact"/>
        <w:ind w:firstLine="480"/>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8.22.2供应商按照采购人或者采购机构的授意撤换、修改投标文件或者响应文件；</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8.22.3供应商之间协商报价、技术方案等投标文件或者响应文件的实质性内容；</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8.22.4属于同一集团、协会、商会等组织成员的供应商按照该组织要求协同参加政府采购活动；</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8.22.5供应商之间事先约定由某一特定供应商中标、成交；</w:t>
      </w:r>
    </w:p>
    <w:p>
      <w:pPr>
        <w:spacing w:line="360" w:lineRule="auto"/>
        <w:ind w:firstLine="480" w:firstLineChars="200"/>
        <w:rPr>
          <w:rFonts w:ascii="仿宋" w:hAnsi="仿宋" w:eastAsia="仿宋" w:cs="仿宋"/>
          <w:color w:val="auto"/>
          <w:sz w:val="24"/>
          <w:szCs w:val="21"/>
        </w:rPr>
      </w:pPr>
      <w:r>
        <w:rPr>
          <w:rFonts w:hint="eastAsia" w:ascii="仿宋" w:hAnsi="仿宋" w:eastAsia="仿宋" w:cs="仿宋"/>
          <w:color w:val="auto"/>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szCs w:val="21"/>
        </w:rPr>
      </w:pPr>
      <w:r>
        <w:rPr>
          <w:rFonts w:hint="eastAsia" w:ascii="仿宋" w:hAnsi="仿宋" w:eastAsia="仿宋" w:cs="仿宋"/>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szCs w:val="21"/>
        </w:rPr>
        <w:t>8.23</w:t>
      </w:r>
      <w:r>
        <w:rPr>
          <w:rFonts w:hint="eastAsia" w:ascii="仿宋" w:hAnsi="仿宋" w:eastAsia="仿宋" w:cs="仿宋"/>
          <w:b/>
          <w:color w:val="auto"/>
          <w:sz w:val="24"/>
        </w:rPr>
        <w:t>评标委员会认定有重大偏差或实质性不响应招标文件要求的；</w:t>
      </w:r>
    </w:p>
    <w:p>
      <w:pPr>
        <w:spacing w:line="440" w:lineRule="exact"/>
        <w:rPr>
          <w:rFonts w:ascii="仿宋" w:hAnsi="仿宋" w:eastAsia="仿宋" w:cs="仿宋"/>
          <w:b/>
          <w:color w:val="auto"/>
          <w:sz w:val="24"/>
        </w:rPr>
      </w:pPr>
      <w:r>
        <w:rPr>
          <w:rFonts w:hint="eastAsia" w:ascii="仿宋" w:hAnsi="仿宋" w:eastAsia="仿宋" w:cs="仿宋"/>
          <w:b/>
          <w:color w:val="auto"/>
          <w:sz w:val="24"/>
        </w:rPr>
        <w:t>8.24报价文件中出现2个(含)以上的报价或方案的；</w:t>
      </w:r>
    </w:p>
    <w:p>
      <w:pPr>
        <w:spacing w:line="440" w:lineRule="exact"/>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1"/>
        <w:spacing w:line="800" w:lineRule="exact"/>
        <w:ind w:firstLine="726"/>
        <w:jc w:val="center"/>
        <w:rPr>
          <w:rFonts w:ascii="仿宋" w:hAnsi="仿宋" w:eastAsia="仿宋" w:cs="仿宋"/>
          <w:b/>
          <w:color w:val="auto"/>
          <w:sz w:val="36"/>
          <w:szCs w:val="36"/>
        </w:rPr>
      </w:pPr>
      <w:bookmarkStart w:id="3" w:name="_Toc84325929"/>
      <w:bookmarkStart w:id="4" w:name="_Toc81372776"/>
      <w:bookmarkStart w:id="5" w:name="_Toc81372953"/>
      <w:r>
        <w:rPr>
          <w:rFonts w:hint="eastAsia" w:ascii="仿宋" w:hAnsi="仿宋" w:eastAsia="仿宋" w:cs="仿宋"/>
          <w:b/>
          <w:color w:val="auto"/>
          <w:sz w:val="36"/>
          <w:szCs w:val="36"/>
        </w:rPr>
        <w:t>五、授予合同</w:t>
      </w:r>
    </w:p>
    <w:p>
      <w:pPr>
        <w:pStyle w:val="13"/>
        <w:tabs>
          <w:tab w:val="clear" w:pos="454"/>
        </w:tabs>
        <w:spacing w:afterLines="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pStyle w:val="13"/>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3"/>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3"/>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bookmarkEnd w:id="3"/>
    <w:bookmarkEnd w:id="4"/>
    <w:bookmarkEnd w:id="5"/>
    <w:p>
      <w:pPr>
        <w:pStyle w:val="155"/>
        <w:tabs>
          <w:tab w:val="left" w:pos="0"/>
        </w:tabs>
        <w:spacing w:before="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对中标结果在指定媒体</w:t>
      </w:r>
      <w:r>
        <w:rPr>
          <w:rFonts w:hint="eastAsia" w:ascii="仿宋" w:hAnsi="仿宋" w:eastAsia="仿宋" w:cs="仿宋"/>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46"/>
          <w:rFonts w:hint="eastAsia" w:ascii="仿宋" w:hAnsi="仿宋" w:eastAsia="仿宋" w:cs="仿宋"/>
          <w:color w:val="auto"/>
          <w:kern w:val="0"/>
        </w:rPr>
        <w:t>http://zfcg.czt.zj.gov.cn/</w:t>
      </w:r>
      <w:r>
        <w:rPr>
          <w:rStyle w:val="46"/>
          <w:rFonts w:hint="eastAsia" w:ascii="仿宋" w:hAnsi="仿宋" w:eastAsia="仿宋" w:cs="仿宋"/>
          <w:color w:val="auto"/>
          <w:kern w:val="0"/>
        </w:rPr>
        <w:fldChar w:fldCharType="end"/>
      </w:r>
      <w:r>
        <w:rPr>
          <w:rFonts w:hint="eastAsia" w:ascii="仿宋" w:hAnsi="仿宋" w:eastAsia="仿宋" w:cs="仿宋"/>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46"/>
          <w:rFonts w:hint="eastAsia" w:ascii="仿宋" w:hAnsi="仿宋" w:eastAsia="仿宋" w:cs="仿宋"/>
          <w:color w:val="auto"/>
        </w:rPr>
        <w:t>http://ggb.sx.gov.cn</w:t>
      </w:r>
      <w:r>
        <w:rPr>
          <w:rStyle w:val="46"/>
          <w:rFonts w:hint="eastAsia" w:ascii="仿宋" w:hAnsi="仿宋" w:eastAsia="仿宋" w:cs="仿宋"/>
          <w:color w:val="auto"/>
        </w:rPr>
        <w:fldChar w:fldCharType="end"/>
      </w:r>
      <w:r>
        <w:rPr>
          <w:rFonts w:hint="eastAsia" w:ascii="仿宋" w:hAnsi="仿宋" w:eastAsia="仿宋" w:cs="仿宋"/>
          <w:color w:val="auto"/>
          <w:kern w:val="0"/>
        </w:rPr>
        <w:t>）发布中标公告，中标公告期限为1个工作日。</w:t>
      </w:r>
    </w:p>
    <w:p>
      <w:pPr>
        <w:tabs>
          <w:tab w:val="left" w:pos="0"/>
        </w:tabs>
        <w:spacing w:line="440" w:lineRule="exact"/>
        <w:rPr>
          <w:rFonts w:ascii="仿宋" w:hAnsi="仿宋" w:eastAsia="仿宋" w:cs="仿宋"/>
          <w:color w:val="auto"/>
          <w:kern w:val="0"/>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4.2供应商在履行完合同约定事项后，采购人应及时退还履约保证金。</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，将</w:t>
      </w:r>
      <w:r>
        <w:rPr>
          <w:rFonts w:hint="eastAsia" w:ascii="仿宋" w:hAnsi="仿宋" w:eastAsia="仿宋" w:cs="仿宋"/>
          <w:b/>
          <w:color w:val="auto"/>
          <w:sz w:val="24"/>
        </w:rPr>
        <w:t>采购合同原件</w:t>
      </w:r>
      <w:r>
        <w:rPr>
          <w:rFonts w:hint="eastAsia" w:ascii="仿宋" w:hAnsi="仿宋" w:eastAsia="仿宋" w:cs="仿宋"/>
          <w:color w:val="auto"/>
          <w:sz w:val="24"/>
        </w:rPr>
        <w:t>报采购代理机构备案。</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5.2未领取中标通知书，采购双方自行签订的合同不予备案。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（4）事实依据；</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（5）必要的法律依据；</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（7）提出质疑的日期。</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5.询问或者质疑事项可能影响采购结果的，采购人应当暂停签订合同，已经签订合同的，应当中止履行合同。</w:t>
      </w:r>
    </w:p>
    <w:p>
      <w:pPr>
        <w:snapToGrid w:val="0"/>
        <w:spacing w:line="800" w:lineRule="exact"/>
        <w:jc w:val="center"/>
        <w:rPr>
          <w:rFonts w:ascii="仿宋" w:hAnsi="仿宋" w:eastAsia="仿宋" w:cs="仿宋"/>
          <w:b/>
          <w:color w:val="auto"/>
          <w:sz w:val="36"/>
          <w:szCs w:val="36"/>
        </w:rPr>
      </w:pPr>
    </w:p>
    <w:p>
      <w:pPr>
        <w:snapToGrid w:val="0"/>
        <w:spacing w:line="800" w:lineRule="exact"/>
        <w:jc w:val="center"/>
        <w:rPr>
          <w:rFonts w:ascii="仿宋" w:hAnsi="仿宋" w:eastAsia="仿宋" w:cs="仿宋"/>
          <w:b/>
          <w:color w:val="auto"/>
          <w:sz w:val="36"/>
          <w:szCs w:val="36"/>
        </w:rPr>
      </w:pPr>
    </w:p>
    <w:p>
      <w:pPr>
        <w:snapToGrid w:val="0"/>
        <w:spacing w:line="800" w:lineRule="exact"/>
        <w:jc w:val="center"/>
        <w:rPr>
          <w:rFonts w:ascii="仿宋" w:hAnsi="仿宋" w:eastAsia="仿宋" w:cs="仿宋"/>
          <w:b/>
          <w:color w:val="auto"/>
          <w:sz w:val="36"/>
          <w:szCs w:val="36"/>
        </w:rPr>
      </w:pPr>
    </w:p>
    <w:p>
      <w:pPr>
        <w:pageBreakBefore/>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76"/>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1.6所有货物（如管芯）到现场安装使用前，招标人将进行抽样检验或试验。</w:t>
      </w:r>
    </w:p>
    <w:p>
      <w:pPr>
        <w:pStyle w:val="76"/>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2.数量调整</w:t>
      </w:r>
    </w:p>
    <w:p>
      <w:pPr>
        <w:pStyle w:val="76"/>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76"/>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76"/>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3.安装及调试、验收</w:t>
      </w:r>
    </w:p>
    <w:p>
      <w:pPr>
        <w:pStyle w:val="76"/>
        <w:widowControl w:val="0"/>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76"/>
        <w:widowControl w:val="0"/>
        <w:spacing w:afterLines="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ascii="仿宋" w:hAnsi="仿宋" w:eastAsia="仿宋" w:cs="仿宋"/>
          <w:color w:val="auto"/>
          <w:sz w:val="24"/>
        </w:rPr>
      </w:pPr>
      <w:r>
        <w:rPr>
          <w:rFonts w:hint="eastAsia" w:ascii="仿宋" w:hAnsi="仿宋" w:eastAsia="仿宋" w:cs="仿宋"/>
          <w:color w:val="auto"/>
          <w:sz w:val="24"/>
        </w:rPr>
        <w:t>4.4技术培训至少应包括下列内容：</w:t>
      </w:r>
    </w:p>
    <w:p>
      <w:pPr>
        <w:pStyle w:val="19"/>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4.4.1原理、构成和功能的描述。</w:t>
      </w:r>
    </w:p>
    <w:p>
      <w:pPr>
        <w:pStyle w:val="19"/>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4.4.2常见故障的处理或排除。</w:t>
      </w:r>
    </w:p>
    <w:p>
      <w:pPr>
        <w:pStyle w:val="19"/>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cs="仿宋"/>
          <w:b/>
          <w:color w:val="auto"/>
          <w:szCs w:val="24"/>
        </w:rPr>
      </w:pPr>
      <w:r>
        <w:rPr>
          <w:rFonts w:hint="eastAsia" w:ascii="仿宋" w:hAnsi="仿宋" w:eastAsia="仿宋" w:cs="仿宋"/>
          <w:b/>
          <w:color w:val="auto"/>
          <w:szCs w:val="24"/>
        </w:rPr>
        <w:t>5.售后服务</w:t>
      </w:r>
    </w:p>
    <w:p>
      <w:pPr>
        <w:pStyle w:val="4"/>
        <w:spacing w:line="440" w:lineRule="exact"/>
        <w:ind w:firstLine="0" w:firstLineChars="0"/>
        <w:rPr>
          <w:rFonts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ascii="仿宋" w:hAnsi="仿宋" w:eastAsia="仿宋" w:cs="仿宋"/>
          <w:b/>
          <w:color w:val="auto"/>
          <w:sz w:val="24"/>
        </w:rPr>
      </w:pPr>
      <w:bookmarkStart w:id="6" w:name="_Toc151354173"/>
      <w:bookmarkStart w:id="7" w:name="_Toc81372787"/>
      <w:bookmarkStart w:id="8" w:name="_Toc80157775"/>
      <w:bookmarkStart w:id="9" w:name="_Toc81372964"/>
      <w:bookmarkStart w:id="10" w:name="_Toc84325981"/>
      <w:r>
        <w:rPr>
          <w:rFonts w:hint="eastAsia" w:ascii="仿宋" w:hAnsi="仿宋" w:eastAsia="仿宋" w:cs="仿宋"/>
          <w:b/>
          <w:color w:val="auto"/>
          <w:sz w:val="24"/>
        </w:rPr>
        <w:t>8.招标项目设备名称及数量：</w:t>
      </w:r>
    </w:p>
    <w:bookmarkEnd w:id="6"/>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bdr w:val="single" w:color="auto" w:sz="4" w:space="0"/>
          <w:lang w:val="zh-CN"/>
        </w:rPr>
        <w:t>0</w:t>
      </w:r>
      <w:r>
        <w:rPr>
          <w:rFonts w:hint="eastAsia" w:ascii="仿宋" w:hAnsi="仿宋" w:eastAsia="仿宋" w:cs="仿宋"/>
          <w:b/>
          <w:color w:val="auto"/>
          <w:sz w:val="24"/>
          <w:bdr w:val="single" w:color="auto" w:sz="4" w:space="0"/>
        </w:rPr>
        <w:t>1</w:t>
      </w:r>
      <w:r>
        <w:rPr>
          <w:rFonts w:hint="eastAsia" w:ascii="仿宋" w:hAnsi="仿宋" w:eastAsia="仿宋" w:cs="仿宋"/>
          <w:b/>
          <w:color w:val="auto"/>
          <w:sz w:val="24"/>
          <w:bdr w:val="single" w:color="auto" w:sz="4" w:space="0"/>
          <w:lang w:val="zh-CN"/>
        </w:rPr>
        <w:t>标</w:t>
      </w:r>
      <w:r>
        <w:rPr>
          <w:rFonts w:hint="eastAsia" w:ascii="仿宋" w:hAnsi="仿宋" w:eastAsia="仿宋" w:cs="仿宋"/>
          <w:color w:val="auto"/>
          <w:kern w:val="0"/>
          <w:sz w:val="24"/>
        </w:rPr>
        <w:t>扫描电子显微镜设备</w:t>
      </w:r>
    </w:p>
    <w:p>
      <w:pPr>
        <w:spacing w:line="360" w:lineRule="auto"/>
        <w:rPr>
          <w:rFonts w:ascii="仿宋" w:hAnsi="仿宋" w:eastAsia="仿宋" w:cs="仿宋"/>
          <w:color w:val="auto"/>
        </w:rPr>
      </w:pPr>
      <w:r>
        <w:rPr>
          <w:rFonts w:hint="eastAsia" w:ascii="仿宋" w:hAnsi="仿宋" w:eastAsia="仿宋" w:cs="仿宋"/>
          <w:b/>
          <w:color w:val="auto"/>
          <w:kern w:val="0"/>
          <w:sz w:val="24"/>
        </w:rPr>
        <w:t>一、</w:t>
      </w:r>
      <w:r>
        <w:rPr>
          <w:rFonts w:hint="eastAsia" w:ascii="仿宋" w:hAnsi="仿宋" w:eastAsia="仿宋" w:cs="仿宋"/>
          <w:b/>
          <w:color w:val="auto"/>
          <w:sz w:val="24"/>
        </w:rPr>
        <w:t>招标项目货物清单及技术要求：</w:t>
      </w:r>
    </w:p>
    <w:tbl>
      <w:tblPr>
        <w:tblStyle w:val="39"/>
        <w:tblW w:w="0" w:type="auto"/>
        <w:tblInd w:w="210" w:type="dxa"/>
        <w:tblLayout w:type="fixed"/>
        <w:tblCellMar>
          <w:top w:w="0" w:type="dxa"/>
          <w:left w:w="108" w:type="dxa"/>
          <w:bottom w:w="0" w:type="dxa"/>
          <w:right w:w="108" w:type="dxa"/>
        </w:tblCellMar>
      </w:tblPr>
      <w:tblGrid>
        <w:gridCol w:w="465"/>
        <w:gridCol w:w="567"/>
        <w:gridCol w:w="6804"/>
        <w:gridCol w:w="567"/>
        <w:gridCol w:w="567"/>
      </w:tblGrid>
      <w:tr>
        <w:tblPrEx>
          <w:tblCellMar>
            <w:top w:w="0" w:type="dxa"/>
            <w:left w:w="108" w:type="dxa"/>
            <w:bottom w:w="0" w:type="dxa"/>
            <w:right w:w="108" w:type="dxa"/>
          </w:tblCellMar>
        </w:tblPrEx>
        <w:tc>
          <w:tcPr>
            <w:tcW w:w="4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序号</w:t>
            </w:r>
          </w:p>
        </w:tc>
        <w:tc>
          <w:tcPr>
            <w:tcW w:w="56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设备名称</w:t>
            </w:r>
          </w:p>
        </w:tc>
        <w:tc>
          <w:tcPr>
            <w:tcW w:w="680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性能指标参数</w:t>
            </w:r>
          </w:p>
        </w:tc>
        <w:tc>
          <w:tcPr>
            <w:tcW w:w="56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数量</w:t>
            </w:r>
          </w:p>
        </w:tc>
        <w:tc>
          <w:tcPr>
            <w:tcW w:w="56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单位</w:t>
            </w:r>
          </w:p>
        </w:tc>
      </w:tr>
      <w:tr>
        <w:tblPrEx>
          <w:tblCellMar>
            <w:top w:w="0" w:type="dxa"/>
            <w:left w:w="108" w:type="dxa"/>
            <w:bottom w:w="0" w:type="dxa"/>
            <w:right w:w="108" w:type="dxa"/>
          </w:tblCellMar>
        </w:tblPrEx>
        <w:tc>
          <w:tcPr>
            <w:tcW w:w="4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1</w:t>
            </w:r>
          </w:p>
        </w:tc>
        <w:tc>
          <w:tcPr>
            <w:tcW w:w="567"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扫描电子显微镜（进口）</w:t>
            </w:r>
          </w:p>
        </w:tc>
        <w:tc>
          <w:tcPr>
            <w:tcW w:w="6804" w:type="dxa"/>
            <w:tcBorders>
              <w:top w:val="single" w:color="auto" w:sz="4" w:space="0"/>
              <w:left w:val="nil"/>
              <w:bottom w:val="single" w:color="auto" w:sz="4" w:space="0"/>
              <w:right w:val="single" w:color="auto" w:sz="4" w:space="0"/>
            </w:tcBorders>
            <w:vAlign w:val="center"/>
          </w:tcPr>
          <w:p>
            <w:pPr>
              <w:spacing w:line="360" w:lineRule="auto"/>
              <w:ind w:firstLine="420" w:firstLineChars="200"/>
              <w:rPr>
                <w:rFonts w:ascii="仿宋" w:hAnsi="仿宋" w:eastAsia="仿宋" w:cs="仿宋"/>
                <w:color w:val="auto"/>
                <w:kern w:val="0"/>
                <w:szCs w:val="21"/>
              </w:rPr>
            </w:pPr>
            <w:r>
              <w:rPr>
                <w:rFonts w:hint="eastAsia" w:ascii="仿宋" w:hAnsi="仿宋" w:eastAsia="仿宋" w:cs="仿宋"/>
                <w:color w:val="auto"/>
                <w:szCs w:val="21"/>
              </w:rPr>
              <w:t>1.</w:t>
            </w:r>
            <w:r>
              <w:rPr>
                <w:rFonts w:hint="eastAsia" w:ascii="仿宋" w:hAnsi="仿宋" w:eastAsia="仿宋" w:cs="仿宋"/>
                <w:color w:val="auto"/>
                <w:kern w:val="0"/>
                <w:szCs w:val="21"/>
              </w:rPr>
              <w:t xml:space="preserve"> 扫描电子显微镜要原装进口</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安装条件</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1.1电源电压单相AC100-240V，1.5kVA，50/60Hz</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1.2独立地线接地电阻≥40欧姆</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1.3实验室温度15~30℃，湿度≤60%。</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2.技术要求</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▲2.1  SE探头分辨率：3.0nm @ 30KV；15.0nm @ 1KV</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2.2  BSE探头分辨率：4.0nm @ 30KV</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2.3  放大倍数： 5-300,000x（底片倍率），7-800,000x（显示倍率）</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2.4电子光学系统</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★2.4.1电子枪：预对中钨灯丝</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▲2.4.2电子枪偏压：自动偏压，灯丝保护度自动控制</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2.4.3加速电压：0.3-30kV</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2.4.4电子束对中：2级电磁偏转线圈</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2.4.5透镜：3级电磁透镜</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2.4.6扫描线圈：2级电磁偏转线圈</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▲2.4.7物镜光阑：</w:t>
            </w:r>
            <w:r>
              <w:rPr>
                <w:rFonts w:hint="eastAsia" w:ascii="幼圆" w:hAnsi="仿宋" w:eastAsia="幼圆" w:cs="仿宋"/>
                <w:color w:val="auto"/>
                <w:szCs w:val="21"/>
              </w:rPr>
              <w:t>≥</w:t>
            </w:r>
            <w:r>
              <w:rPr>
                <w:rFonts w:hint="eastAsia" w:ascii="仿宋" w:hAnsi="仿宋" w:eastAsia="仿宋" w:cs="仿宋"/>
                <w:color w:val="auto"/>
                <w:szCs w:val="21"/>
              </w:rPr>
              <w:t>3孔可变物镜光阑</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▲2.4.8 聚光镜光阑：用户可自行更换</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2.4.9电子束偏移：±75μm（WD=10mm）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2.4.10能谱工作条件：WD=10mm，TOA=35°</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▲2.4.11探测器：二次电子探测器，5分割背散射电子探测器（带过滤器，具有成分、阴影、凹凸多种成像模式）</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2.5样品台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2.5.1五轴优中心样品台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2.5.2移动范围：X≥0-100mm，Y≥0-50mm，Z≥5-65mm，T≥-20°~90°，R=360°</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2.5.3观察区域：直径≥130mm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2.5.4最大样品尺寸：直径≥200mm，高度≥80mm（WD=10mm）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▲2.5.5相机导航：光镜和电镜图片可叠加</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2.6真空系统</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2.6.1控制方式：全自动气动阀控制</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2.6.2真空规：皮拉尼规</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2.6.3真空度：1.5x10-3Pa</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2.6.4低真空：≥6-650Pa，标配压差光阑，一键切换</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2.6.5真空泵：分子泵（不低于260L/s），机械泵（不低于135L/min@50Hz，不低于162L/min@60Hz）</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2.7控制系统</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2.7.1与仪器配套的电脑：HPZ2工作站，CPU</w:t>
            </w:r>
            <w:r>
              <w:rPr>
                <w:rFonts w:hint="eastAsia" w:ascii="Calibri" w:hAnsi="Calibri"/>
                <w:color w:val="auto"/>
                <w:szCs w:val="21"/>
              </w:rPr>
              <w:t>≥</w:t>
            </w:r>
            <w:r>
              <w:rPr>
                <w:rFonts w:ascii="仿宋" w:hAnsi="仿宋" w:eastAsia="仿宋" w:cs="仿宋"/>
                <w:color w:val="auto"/>
                <w:szCs w:val="21"/>
              </w:rPr>
              <w:t>i5-9500</w:t>
            </w:r>
            <w:r>
              <w:rPr>
                <w:rFonts w:hint="eastAsia" w:ascii="仿宋" w:hAnsi="仿宋" w:eastAsia="仿宋" w:cs="仿宋"/>
                <w:color w:val="auto"/>
                <w:szCs w:val="21"/>
              </w:rPr>
              <w:t>；处理器</w:t>
            </w:r>
            <w:r>
              <w:rPr>
                <w:rFonts w:hint="eastAsia" w:ascii="Calibri" w:hAnsi="Calibri"/>
                <w:color w:val="auto"/>
                <w:szCs w:val="21"/>
              </w:rPr>
              <w:t>≥</w:t>
            </w:r>
            <w:r>
              <w:rPr>
                <w:rFonts w:ascii="仿宋" w:hAnsi="仿宋" w:eastAsia="仿宋" w:cs="仿宋"/>
                <w:color w:val="auto"/>
                <w:szCs w:val="21"/>
              </w:rPr>
              <w:t>16GB DDR4 3200 MHz</w:t>
            </w:r>
            <w:r>
              <w:rPr>
                <w:rFonts w:hint="eastAsia" w:ascii="仿宋" w:hAnsi="仿宋" w:eastAsia="仿宋" w:cs="仿宋"/>
                <w:color w:val="auto"/>
                <w:szCs w:val="21"/>
              </w:rPr>
              <w:t>；硬盘</w:t>
            </w:r>
            <w:r>
              <w:rPr>
                <w:rFonts w:hint="eastAsia" w:ascii="Calibri" w:hAnsi="Calibri"/>
                <w:color w:val="auto"/>
                <w:szCs w:val="21"/>
              </w:rPr>
              <w:t>≥</w:t>
            </w:r>
            <w:r>
              <w:rPr>
                <w:rFonts w:ascii="仿宋" w:hAnsi="仿宋" w:eastAsia="仿宋" w:cs="仿宋"/>
                <w:color w:val="auto"/>
                <w:szCs w:val="21"/>
              </w:rPr>
              <w:t>256G</w:t>
            </w:r>
            <w:r>
              <w:rPr>
                <w:rFonts w:hint="eastAsia" w:ascii="仿宋" w:hAnsi="仿宋" w:eastAsia="仿宋" w:cs="仿宋"/>
                <w:color w:val="auto"/>
                <w:szCs w:val="21"/>
              </w:rPr>
              <w:t>固态硬盘+普通硬盘1TB；显卡</w:t>
            </w:r>
            <w:r>
              <w:rPr>
                <w:rFonts w:hint="eastAsia" w:ascii="Calibri" w:hAnsi="Calibri"/>
                <w:color w:val="auto"/>
                <w:szCs w:val="21"/>
              </w:rPr>
              <w:t>≥</w:t>
            </w:r>
            <w:r>
              <w:rPr>
                <w:rFonts w:hint="eastAsia" w:ascii="仿宋" w:hAnsi="仿宋" w:eastAsia="仿宋" w:cs="仿宋"/>
                <w:color w:val="auto"/>
                <w:szCs w:val="21"/>
              </w:rPr>
              <w:t>Intel HD Grapics 630，光驱DVDRW；软件Win10英文专业版。或以上性能配置电脑</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2.7.2液晶显示器：27寸全高清液晶显示器，分辨率</w:t>
            </w:r>
            <w:r>
              <w:rPr>
                <w:rFonts w:hint="eastAsia" w:ascii="幼圆" w:hAnsi="仿宋" w:eastAsia="幼圆" w:cs="仿宋"/>
                <w:color w:val="auto"/>
                <w:szCs w:val="21"/>
              </w:rPr>
              <w:t>≥</w:t>
            </w:r>
            <w:r>
              <w:rPr>
                <w:rFonts w:hint="eastAsia" w:ascii="仿宋" w:hAnsi="仿宋" w:eastAsia="仿宋" w:cs="仿宋"/>
                <w:color w:val="auto"/>
                <w:szCs w:val="21"/>
              </w:rPr>
              <w:t>1920x1080</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2.7.3操作系统：Windows 10 Pro（64bit，English）</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2.7.3控制方式：轨迹球，旋钮版，鼠标，键盘</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2.7.4非接触报警装置：通过输入的样品尺寸数据，自动避免样品台的危险操作。</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2.8图像功能</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2.8.1图像显示模式：全屏（1280x960），双屏（640x480，x2）</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2.8.2扫描模式：快扫，慢扫（6级），CSS扫描（6级），Reduce扫描（2级）</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2.8.3图像捕捉：高分辨捕捉，积分捕捉，CSS捕捉</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2.8.4图像存储像素：640 x 480,1,280 x 960,2,560 x 1,920,5,120 x 3,840</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2.8.5图像存储格式：BMP，TIFF，JPEG</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2.8.6自动调整功能：自动亮度对比度，自动对焦，自动消像散，自动灯丝饱和，自动电子束对中，自动束流对中，自动束流亮度，自动开启</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2.8.7信号/图像处理：信号混合，实时图像处理（伽马值，亮度，对比度）</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2.8.8其他功能：图像旋转，动态对焦，倾斜补偿，图像叠加，报告导出</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3.附件、备件、特殊工具和消耗品</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提供两年以上的备品备件（包括各种保险丝、密封圈、各种光缆、专用工具、样品托、金属抛光膏、导电胶带及预对中灯丝10支）</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4.安装服务</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4.1 安装、调试</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厂家免费负责仪器的安装、调试，验收合格。</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4.2 安装验收合格后，提供一年原厂的免费服务</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4.3 厂家在中国设有专门的应用中心，</w:t>
            </w:r>
            <w:r>
              <w:rPr>
                <w:rFonts w:hint="eastAsia" w:ascii="仿宋" w:hAnsi="仿宋" w:eastAsia="仿宋" w:cs="仿宋"/>
                <w:color w:val="auto"/>
                <w:szCs w:val="21"/>
                <w:highlight w:val="none"/>
              </w:rPr>
              <w:t>产品固定维修站，</w:t>
            </w:r>
            <w:r>
              <w:rPr>
                <w:rFonts w:hint="eastAsia" w:ascii="仿宋" w:hAnsi="仿宋" w:eastAsia="仿宋" w:cs="仿宋"/>
                <w:color w:val="auto"/>
                <w:szCs w:val="21"/>
              </w:rPr>
              <w:t>并配有专业维修工程师，保证提供及时优质的售后服务，并提供操作人员的免费培训。</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5.能谱仪</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5.1探测器：采用场效应管（FET）一体化集成设计的高速SDD探测器，30mm</w:t>
            </w:r>
            <w:r>
              <w:rPr>
                <w:rFonts w:hint="eastAsia" w:ascii="仿宋" w:hAnsi="仿宋" w:eastAsia="仿宋" w:cs="仿宋"/>
                <w:color w:val="auto"/>
                <w:szCs w:val="21"/>
                <w:vertAlign w:val="superscript"/>
              </w:rPr>
              <w:t>2</w:t>
            </w:r>
            <w:r>
              <w:rPr>
                <w:rFonts w:hint="eastAsia" w:ascii="仿宋" w:hAnsi="仿宋" w:eastAsia="仿宋" w:cs="仿宋"/>
                <w:color w:val="auto"/>
                <w:szCs w:val="21"/>
              </w:rPr>
              <w:t>有效面积；</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5.2能量分辨率：Mn Ka优于129eV；</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5.3元素分析范围: Be4～Cf98</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5.4最大输出计数率优于500Kcps，最大输入计数率优于1,000Kcps</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5.5可进行谱重构，对重叠峰进行可视化谱峰剥离，并对重叠峰区域各种可能的元素进行搜索与再确认</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5.6配备完备原子数据库</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5.7提供点、区域定性定量分析，以及线扫描和面分布功能</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6.配置要求</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6.1扫描电镜主机1套，包括：</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6.1.1. 扫描电镜基本单元</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6.1.2. 五轴移动样品台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6.1.3.控制单元</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6.1.4. 二次电子检测器</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6.1.5. 背散射电子检测器</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6.1.6. 旋钮盘</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6.1.7. 真空系统-分子涡轮泵</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6.1.8.Windows操作系统，电镜控制软件</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6.1.9. 操作说明书</w:t>
            </w:r>
            <w:r>
              <w:rPr>
                <w:rFonts w:hint="eastAsia" w:ascii="仿宋" w:hAnsi="仿宋" w:eastAsia="仿宋" w:cs="仿宋"/>
                <w:color w:val="auto"/>
                <w:szCs w:val="21"/>
              </w:rPr>
              <w:tab/>
            </w:r>
            <w:r>
              <w:rPr>
                <w:rFonts w:hint="eastAsia" w:ascii="仿宋" w:hAnsi="仿宋" w:eastAsia="仿宋" w:cs="仿宋"/>
                <w:color w:val="auto"/>
                <w:szCs w:val="21"/>
              </w:rPr>
              <w:t>1套</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6.2</w:t>
            </w:r>
            <w:r>
              <w:rPr>
                <w:rFonts w:hint="eastAsia" w:ascii="仿宋" w:hAnsi="仿宋" w:eastAsia="仿宋" w:cs="仿宋"/>
                <w:color w:val="auto"/>
                <w:szCs w:val="21"/>
              </w:rPr>
              <w:tab/>
            </w:r>
            <w:r>
              <w:rPr>
                <w:rFonts w:hint="eastAsia" w:ascii="仿宋" w:hAnsi="仿宋" w:eastAsia="仿宋" w:cs="仿宋"/>
                <w:color w:val="auto"/>
                <w:szCs w:val="21"/>
              </w:rPr>
              <w:t>主机用变压器1套</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6.3</w:t>
            </w:r>
            <w:r>
              <w:rPr>
                <w:rFonts w:hint="eastAsia" w:ascii="仿宋" w:hAnsi="仿宋" w:eastAsia="仿宋" w:cs="仿宋"/>
                <w:color w:val="auto"/>
                <w:szCs w:val="21"/>
              </w:rPr>
              <w:tab/>
            </w:r>
            <w:r>
              <w:rPr>
                <w:rFonts w:hint="eastAsia" w:ascii="仿宋" w:hAnsi="仿宋" w:eastAsia="仿宋" w:cs="仿宋"/>
                <w:color w:val="auto"/>
                <w:szCs w:val="21"/>
              </w:rPr>
              <w:t>预对中灯丝（每盒10根）</w:t>
            </w:r>
            <w:r>
              <w:rPr>
                <w:rFonts w:hint="eastAsia" w:ascii="仿宋" w:hAnsi="仿宋" w:eastAsia="仿宋" w:cs="仿宋"/>
                <w:color w:val="auto"/>
                <w:szCs w:val="21"/>
              </w:rPr>
              <w:tab/>
            </w:r>
            <w:r>
              <w:rPr>
                <w:rFonts w:hint="eastAsia" w:ascii="仿宋" w:hAnsi="仿宋" w:eastAsia="仿宋" w:cs="仿宋"/>
                <w:color w:val="auto"/>
                <w:szCs w:val="21"/>
              </w:rPr>
              <w:t>1盒</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6.4</w:t>
            </w:r>
            <w:r>
              <w:rPr>
                <w:rFonts w:hint="eastAsia" w:ascii="仿宋" w:hAnsi="仿宋" w:eastAsia="仿宋" w:cs="仿宋"/>
                <w:color w:val="auto"/>
                <w:szCs w:val="21"/>
              </w:rPr>
              <w:tab/>
            </w:r>
            <w:r>
              <w:rPr>
                <w:rFonts w:hint="eastAsia" w:ascii="仿宋" w:hAnsi="仿宋" w:eastAsia="仿宋" w:cs="仿宋"/>
                <w:color w:val="auto"/>
                <w:szCs w:val="21"/>
              </w:rPr>
              <w:t>碳导电胶带</w:t>
            </w:r>
            <w:r>
              <w:rPr>
                <w:rFonts w:hint="eastAsia" w:ascii="仿宋" w:hAnsi="仿宋" w:eastAsia="仿宋" w:cs="仿宋"/>
                <w:color w:val="auto"/>
                <w:szCs w:val="21"/>
              </w:rPr>
              <w:tab/>
            </w:r>
            <w:r>
              <w:rPr>
                <w:rFonts w:hint="eastAsia" w:ascii="仿宋" w:hAnsi="仿宋" w:eastAsia="仿宋" w:cs="仿宋"/>
                <w:color w:val="auto"/>
                <w:szCs w:val="21"/>
              </w:rPr>
              <w:t>1卷</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6.5</w:t>
            </w:r>
            <w:r>
              <w:rPr>
                <w:rFonts w:hint="eastAsia" w:ascii="仿宋" w:hAnsi="仿宋" w:eastAsia="仿宋" w:cs="仿宋"/>
                <w:color w:val="auto"/>
                <w:szCs w:val="21"/>
              </w:rPr>
              <w:tab/>
            </w:r>
            <w:r>
              <w:rPr>
                <w:rFonts w:hint="eastAsia" w:ascii="仿宋" w:hAnsi="仿宋" w:eastAsia="仿宋" w:cs="仿宋"/>
                <w:color w:val="auto"/>
                <w:szCs w:val="21"/>
              </w:rPr>
              <w:t>主机用显示器 1台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6.6</w:t>
            </w:r>
            <w:r>
              <w:rPr>
                <w:rFonts w:hint="eastAsia" w:ascii="仿宋" w:hAnsi="仿宋" w:eastAsia="仿宋" w:cs="仿宋"/>
                <w:color w:val="auto"/>
                <w:szCs w:val="21"/>
              </w:rPr>
              <w:tab/>
            </w:r>
            <w:r>
              <w:rPr>
                <w:rFonts w:hint="eastAsia" w:ascii="仿宋" w:hAnsi="仿宋" w:eastAsia="仿宋" w:cs="仿宋"/>
                <w:color w:val="auto"/>
                <w:szCs w:val="21"/>
              </w:rPr>
              <w:t>主机用空气压缩机1台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6.7能谱仪 1套</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6.8配套打印机1套</w:t>
            </w:r>
          </w:p>
          <w:p>
            <w:pPr>
              <w:spacing w:line="360" w:lineRule="auto"/>
              <w:ind w:firstLine="420" w:firstLineChars="200"/>
              <w:rPr>
                <w:rFonts w:ascii="仿宋" w:hAnsi="仿宋" w:eastAsia="仿宋" w:cs="仿宋"/>
                <w:color w:val="auto"/>
                <w:szCs w:val="21"/>
              </w:rPr>
            </w:pPr>
            <w:r>
              <w:rPr>
                <w:rFonts w:hint="eastAsia" w:ascii="Calibri" w:hAnsi="Calibri"/>
                <w:color w:val="auto"/>
                <w:szCs w:val="21"/>
              </w:rPr>
              <w:t>Epson L805、HP OfficeJet 200、Canon IP110或以上功能配置打印机</w:t>
            </w:r>
            <w:r>
              <w:rPr>
                <w:rFonts w:hint="eastAsia" w:ascii="仿宋" w:hAnsi="仿宋" w:eastAsia="仿宋" w:cs="仿宋"/>
                <w:color w:val="auto"/>
                <w:szCs w:val="21"/>
              </w:rPr>
              <w:t xml:space="preserve"> </w:t>
            </w:r>
          </w:p>
          <w:p>
            <w:pPr>
              <w:spacing w:line="360" w:lineRule="auto"/>
              <w:ind w:firstLine="420" w:firstLineChars="200"/>
              <w:rPr>
                <w:rFonts w:ascii="仿宋" w:hAnsi="仿宋" w:eastAsia="仿宋" w:cs="仿宋"/>
                <w:bCs/>
                <w:color w:val="auto"/>
                <w:kern w:val="0"/>
                <w:szCs w:val="21"/>
              </w:rPr>
            </w:pPr>
            <w:r>
              <w:rPr>
                <w:rFonts w:hint="eastAsia" w:ascii="仿宋" w:hAnsi="仿宋" w:eastAsia="仿宋" w:cs="仿宋"/>
                <w:color w:val="auto"/>
                <w:szCs w:val="21"/>
              </w:rPr>
              <w:t>6.9正常安装及应用的配套电缆及连接器件</w:t>
            </w:r>
          </w:p>
        </w:tc>
        <w:tc>
          <w:tcPr>
            <w:tcW w:w="56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auto"/>
                <w:kern w:val="0"/>
                <w:szCs w:val="21"/>
              </w:rPr>
            </w:pPr>
            <w:r>
              <w:rPr>
                <w:rFonts w:hint="eastAsia" w:ascii="仿宋" w:hAnsi="仿宋" w:eastAsia="仿宋" w:cs="仿宋"/>
                <w:bCs/>
                <w:color w:val="auto"/>
                <w:kern w:val="0"/>
                <w:szCs w:val="21"/>
              </w:rPr>
              <w:t>1</w:t>
            </w:r>
          </w:p>
        </w:tc>
        <w:tc>
          <w:tcPr>
            <w:tcW w:w="56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Cs/>
                <w:color w:val="auto"/>
                <w:kern w:val="0"/>
                <w:szCs w:val="21"/>
              </w:rPr>
            </w:pPr>
            <w:r>
              <w:rPr>
                <w:rFonts w:hint="eastAsia" w:ascii="仿宋" w:hAnsi="仿宋" w:eastAsia="仿宋" w:cs="仿宋"/>
                <w:bCs/>
                <w:color w:val="auto"/>
                <w:kern w:val="0"/>
                <w:szCs w:val="21"/>
              </w:rPr>
              <w:t>套</w:t>
            </w:r>
          </w:p>
        </w:tc>
      </w:tr>
    </w:tbl>
    <w:p>
      <w:pPr>
        <w:widowControl/>
        <w:spacing w:beforeLines="50" w:line="360" w:lineRule="auto"/>
        <w:ind w:firstLine="482" w:firstLineChars="200"/>
        <w:rPr>
          <w:rFonts w:ascii="仿宋" w:hAnsi="仿宋" w:eastAsia="仿宋" w:cs="仿宋"/>
          <w:b/>
          <w:bCs/>
          <w:color w:val="auto"/>
          <w:kern w:val="0"/>
          <w:sz w:val="24"/>
        </w:rPr>
      </w:pPr>
      <w:r>
        <w:rPr>
          <w:rFonts w:hint="eastAsia" w:ascii="仿宋" w:hAnsi="仿宋" w:eastAsia="仿宋" w:cs="仿宋"/>
          <w:b/>
          <w:bCs/>
          <w:color w:val="auto"/>
          <w:kern w:val="0"/>
          <w:sz w:val="24"/>
        </w:rPr>
        <w:t>二、其他要求：</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1、投标人应对每个指标项的偏离情况做应答，不得遗漏；投标文件中的技术参数指标必须真实。</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2、投标人投标提供的设备必须是厂商原装的、全新的，配置与装箱单相符；数量、质量及性能不低于本标书中提出的要求；应准确无误地表明设备型号、规格、制造厂及生产或出厂日期。</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人应付每单约300元笫三方代理手续费；如进口设备不能免税，含税价不得超过免税价17%。</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4、合同签订及交货期:中标即日起</w:t>
      </w:r>
      <w:r>
        <w:rPr>
          <w:rFonts w:hint="eastAsia" w:ascii="仿宋" w:hAnsi="仿宋" w:eastAsia="仿宋" w:cs="仿宋"/>
          <w:color w:val="auto"/>
          <w:kern w:val="0"/>
          <w:sz w:val="24"/>
          <w:lang w:val="en-US" w:eastAsia="zh-CN"/>
        </w:rPr>
        <w:t>30</w:t>
      </w:r>
      <w:r>
        <w:rPr>
          <w:rFonts w:hint="eastAsia" w:ascii="仿宋" w:hAnsi="仿宋" w:eastAsia="仿宋" w:cs="仿宋"/>
          <w:color w:val="auto"/>
          <w:kern w:val="0"/>
          <w:sz w:val="24"/>
          <w:lang w:eastAsia="zh-CN"/>
        </w:rPr>
        <w:t>天</w:t>
      </w:r>
      <w:r>
        <w:rPr>
          <w:rFonts w:hint="eastAsia" w:ascii="仿宋" w:hAnsi="仿宋" w:eastAsia="仿宋" w:cs="仿宋"/>
          <w:color w:val="auto"/>
          <w:kern w:val="0"/>
          <w:sz w:val="24"/>
        </w:rPr>
        <w:t>内中标人到采购单位签订合同，合同签订后</w:t>
      </w:r>
      <w:r>
        <w:rPr>
          <w:rFonts w:hint="eastAsia" w:ascii="仿宋" w:hAnsi="仿宋" w:eastAsia="仿宋" w:cs="仿宋"/>
          <w:color w:val="auto"/>
          <w:kern w:val="0"/>
          <w:sz w:val="24"/>
          <w:lang w:eastAsia="zh-CN"/>
        </w:rPr>
        <w:t>国产设备</w:t>
      </w:r>
      <w:r>
        <w:rPr>
          <w:rFonts w:hint="eastAsia" w:ascii="仿宋" w:hAnsi="仿宋" w:eastAsia="仿宋" w:cs="仿宋"/>
          <w:color w:val="auto"/>
          <w:kern w:val="0"/>
          <w:sz w:val="24"/>
        </w:rPr>
        <w:t>30天内到货；进口设备中标合同签订10天内中标人必须落实外贸进出口公司并负责代理进口协议书3份、合同7份，外贸合同、形式发票、仪器结构与工作原理（书面说明）、提供能反映仪器真实外型的照片或彩页。签订合同后180天内到货，货到15天内完成仪器安装和调试，在签订合同时提供完整的培训计划。</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5、付款说明：</w:t>
      </w:r>
      <w:r>
        <w:rPr>
          <w:rFonts w:ascii="仿宋" w:hAnsi="仿宋" w:eastAsia="仿宋" w:cs="仿宋"/>
          <w:color w:val="auto"/>
          <w:sz w:val="24"/>
        </w:rPr>
        <w:t>抗疫期间，按照浙财采监[2020]3号文件精神执行，采购单位应在合同生效以及具备实施条件后15日内支付政府采购预付款，其他部分支付由双方协商。</w:t>
      </w:r>
      <w:r>
        <w:rPr>
          <w:rFonts w:hint="eastAsia" w:ascii="仿宋" w:hAnsi="仿宋" w:eastAsia="仿宋" w:cs="仿宋"/>
          <w:color w:val="auto"/>
          <w:kern w:val="0"/>
          <w:sz w:val="24"/>
        </w:rPr>
        <w:t>合同签订后中标人需提交中标价的5%作为履约保证金。验收合格后，由中标人提供有效发票，采购人在15天内向中标单位支付合同金额的100%。合同履约完成后退还履约保证金（不计息）。</w:t>
      </w:r>
      <w:r>
        <w:rPr>
          <w:rFonts w:ascii="仿宋" w:hAnsi="仿宋" w:eastAsia="仿宋" w:cs="仿宋"/>
          <w:color w:val="auto"/>
          <w:kern w:val="0"/>
          <w:sz w:val="24"/>
        </w:rPr>
        <w:t>无质量问题1年后退还质保金，有质量问题延期退还质保金。</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6、中标人应派技术人员负责设备的安装、调试，调试所需专用工具、设施、物料等由中标人自备、自费运到现场，完工后自费搬走。并且提供相应的培训，产生的一切费用应包含在中标价格中，不得另行收费。</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7、至少提供1年质保期。</w:t>
      </w:r>
    </w:p>
    <w:p>
      <w:pPr>
        <w:spacing w:after="120" w:line="460" w:lineRule="exact"/>
        <w:rPr>
          <w:rFonts w:ascii="仿宋" w:hAnsi="仿宋" w:eastAsia="仿宋" w:cs="仿宋"/>
          <w:b/>
          <w:color w:val="auto"/>
          <w:szCs w:val="21"/>
        </w:rPr>
      </w:pPr>
      <w:r>
        <w:rPr>
          <w:rFonts w:hint="eastAsia" w:ascii="仿宋" w:hAnsi="仿宋" w:eastAsia="仿宋" w:cs="仿宋"/>
          <w:b/>
          <w:color w:val="auto"/>
          <w:sz w:val="24"/>
          <w:bdr w:val="single" w:color="auto" w:sz="4" w:space="0"/>
        </w:rPr>
        <w:t>02标</w:t>
      </w:r>
      <w:r>
        <w:rPr>
          <w:rFonts w:hint="eastAsia" w:ascii="仿宋" w:hAnsi="仿宋" w:eastAsia="仿宋" w:cs="仿宋"/>
          <w:b/>
          <w:color w:val="auto"/>
          <w:sz w:val="24"/>
        </w:rPr>
        <w:t xml:space="preserve">  织物风格手感测试系统设备</w:t>
      </w:r>
    </w:p>
    <w:p>
      <w:pPr>
        <w:spacing w:line="400" w:lineRule="exact"/>
        <w:rPr>
          <w:rFonts w:ascii="仿宋" w:hAnsi="仿宋" w:eastAsia="仿宋" w:cs="仿宋"/>
          <w:b/>
          <w:color w:val="auto"/>
          <w:kern w:val="44"/>
          <w:szCs w:val="21"/>
        </w:rPr>
      </w:pPr>
      <w:r>
        <w:rPr>
          <w:rFonts w:hint="eastAsia" w:ascii="仿宋" w:hAnsi="仿宋" w:eastAsia="仿宋" w:cs="仿宋"/>
          <w:b/>
          <w:color w:val="auto"/>
          <w:sz w:val="24"/>
        </w:rPr>
        <w:t>一、招标项目货物清单及技术要求</w:t>
      </w:r>
      <w:r>
        <w:rPr>
          <w:rFonts w:hint="eastAsia" w:ascii="仿宋" w:hAnsi="仿宋" w:eastAsia="仿宋" w:cs="仿宋"/>
          <w:b/>
          <w:color w:val="auto"/>
          <w:kern w:val="44"/>
          <w:szCs w:val="21"/>
        </w:rPr>
        <w:t>：</w:t>
      </w:r>
    </w:p>
    <w:tbl>
      <w:tblPr>
        <w:tblStyle w:val="39"/>
        <w:tblW w:w="0" w:type="auto"/>
        <w:tblInd w:w="210" w:type="dxa"/>
        <w:tblLayout w:type="fixed"/>
        <w:tblCellMar>
          <w:top w:w="0" w:type="dxa"/>
          <w:left w:w="108" w:type="dxa"/>
          <w:bottom w:w="0" w:type="dxa"/>
          <w:right w:w="108" w:type="dxa"/>
        </w:tblCellMar>
      </w:tblPr>
      <w:tblGrid>
        <w:gridCol w:w="459"/>
        <w:gridCol w:w="723"/>
        <w:gridCol w:w="6837"/>
        <w:gridCol w:w="405"/>
        <w:gridCol w:w="406"/>
      </w:tblGrid>
      <w:tr>
        <w:tblPrEx>
          <w:tblCellMar>
            <w:top w:w="0" w:type="dxa"/>
            <w:left w:w="108" w:type="dxa"/>
            <w:bottom w:w="0" w:type="dxa"/>
            <w:right w:w="108" w:type="dxa"/>
          </w:tblCellMar>
        </w:tblPrEx>
        <w:trPr>
          <w:trHeight w:val="581" w:hRule="atLeast"/>
        </w:trPr>
        <w:tc>
          <w:tcPr>
            <w:tcW w:w="4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序号</w:t>
            </w:r>
          </w:p>
        </w:tc>
        <w:tc>
          <w:tcPr>
            <w:tcW w:w="723"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设备名称</w:t>
            </w:r>
          </w:p>
        </w:tc>
        <w:tc>
          <w:tcPr>
            <w:tcW w:w="6837"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性能指标参数</w:t>
            </w:r>
          </w:p>
        </w:tc>
        <w:tc>
          <w:tcPr>
            <w:tcW w:w="40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数量</w:t>
            </w:r>
          </w:p>
        </w:tc>
        <w:tc>
          <w:tcPr>
            <w:tcW w:w="40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单位</w:t>
            </w:r>
          </w:p>
        </w:tc>
      </w:tr>
      <w:tr>
        <w:tblPrEx>
          <w:tblCellMar>
            <w:top w:w="0" w:type="dxa"/>
            <w:left w:w="108" w:type="dxa"/>
            <w:bottom w:w="0" w:type="dxa"/>
            <w:right w:w="108" w:type="dxa"/>
          </w:tblCellMar>
        </w:tblPrEx>
        <w:tc>
          <w:tcPr>
            <w:tcW w:w="45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1</w:t>
            </w:r>
          </w:p>
        </w:tc>
        <w:tc>
          <w:tcPr>
            <w:tcW w:w="723" w:type="dxa"/>
            <w:tcBorders>
              <w:top w:val="single" w:color="auto" w:sz="4" w:space="0"/>
              <w:left w:val="nil"/>
              <w:bottom w:val="single" w:color="auto" w:sz="4" w:space="0"/>
              <w:right w:val="single" w:color="auto" w:sz="4" w:space="0"/>
            </w:tcBorders>
            <w:vAlign w:val="center"/>
          </w:tcPr>
          <w:p>
            <w:pPr>
              <w:widowControl/>
              <w:rPr>
                <w:rFonts w:ascii="仿宋" w:hAnsi="仿宋" w:eastAsia="仿宋" w:cs="仿宋"/>
                <w:color w:val="auto"/>
                <w:kern w:val="0"/>
                <w:szCs w:val="21"/>
              </w:rPr>
            </w:pPr>
            <w:r>
              <w:rPr>
                <w:rFonts w:hint="eastAsia" w:ascii="仿宋" w:hAnsi="仿宋" w:eastAsia="仿宋" w:cs="仿宋"/>
                <w:color w:val="auto"/>
                <w:kern w:val="0"/>
                <w:szCs w:val="21"/>
              </w:rPr>
              <w:t>织物风格仪（进口）</w:t>
            </w:r>
          </w:p>
        </w:tc>
        <w:tc>
          <w:tcPr>
            <w:tcW w:w="6837" w:type="dxa"/>
            <w:tcBorders>
              <w:top w:val="single" w:color="auto" w:sz="4" w:space="0"/>
              <w:left w:val="nil"/>
              <w:bottom w:val="single" w:color="auto" w:sz="4" w:space="0"/>
              <w:right w:val="single" w:color="auto" w:sz="4" w:space="0"/>
            </w:tcBorders>
            <w:vAlign w:val="center"/>
          </w:tcPr>
          <w:p>
            <w:pPr>
              <w:spacing w:line="360" w:lineRule="auto"/>
              <w:ind w:firstLine="420" w:firstLineChars="200"/>
              <w:rPr>
                <w:rFonts w:ascii="仿宋" w:hAnsi="仿宋" w:eastAsia="仿宋" w:cs="仿宋"/>
                <w:b/>
                <w:color w:val="auto"/>
                <w:szCs w:val="21"/>
              </w:rPr>
            </w:pPr>
            <w:r>
              <w:rPr>
                <w:rFonts w:hint="eastAsia" w:ascii="仿宋" w:hAnsi="仿宋" w:eastAsia="仿宋" w:cs="仿宋"/>
                <w:color w:val="auto"/>
                <w:szCs w:val="21"/>
              </w:rPr>
              <w:t>▲.</w:t>
            </w:r>
            <w:r>
              <w:rPr>
                <w:rFonts w:hint="eastAsia" w:ascii="仿宋" w:hAnsi="仿宋" w:eastAsia="仿宋" w:cs="仿宋"/>
                <w:b/>
                <w:color w:val="auto"/>
                <w:szCs w:val="21"/>
              </w:rPr>
              <w:t>织物风格仪为原装进口</w:t>
            </w:r>
          </w:p>
          <w:p>
            <w:pPr>
              <w:spacing w:line="360"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1．自动拉伸剪切测试仪</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1.1拉伸测试：试样以一定预张力夹持在两个夹头之间, 夹头间距5cm。一个夹头固定，另一个夹头可移动。试验时，可移动夹头以恒速、与试样应力方向平行移动，拉伸试样至一定张力处停止，然后反向移动退回原点。可通过设定进行反复循环试验。记录应力―应变曲线，以及计算线性度、伸张功、伸张回复性指标。</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▲1.2仪器指标：最大伸张力：20、50 （kgf）；夹头移动速度: 0.2、0.1(mm/sec)试验结果定义:</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伸张测试：线性度 LT=</w:t>
            </w:r>
            <w:r>
              <w:rPr>
                <w:rFonts w:hint="eastAsia" w:ascii="仿宋" w:hAnsi="仿宋" w:eastAsia="仿宋" w:cs="仿宋"/>
                <w:color w:val="auto"/>
                <w:szCs w:val="21"/>
              </w:rPr>
              <w:object>
                <v:shape id="_x0000_i1025" o:spt="75" type="#_x0000_t75" style="height:23.8pt;width:59.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hint="eastAsia" w:ascii="仿宋" w:hAnsi="仿宋" w:eastAsia="仿宋" w:cs="仿宋"/>
                <w:color w:val="auto"/>
                <w:szCs w:val="21"/>
              </w:rPr>
              <w:t>伸张拉伸功 WT=</w:t>
            </w:r>
            <w:r>
              <w:rPr>
                <w:rFonts w:hint="eastAsia" w:ascii="仿宋" w:hAnsi="仿宋" w:eastAsia="仿宋" w:cs="仿宋"/>
                <w:color w:val="auto"/>
                <w:szCs w:val="21"/>
              </w:rPr>
              <w:object>
                <v:shape id="_x0000_i1026" o:spt="75" type="#_x0000_t75" style="height:25.05pt;width:75.7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伸张回复性RT=</w:t>
            </w:r>
            <w:r>
              <w:rPr>
                <w:rFonts w:hint="eastAsia" w:ascii="仿宋" w:hAnsi="仿宋" w:eastAsia="仿宋" w:cs="仿宋"/>
                <w:color w:val="auto"/>
                <w:szCs w:val="21"/>
              </w:rPr>
              <w:object>
                <v:shape id="_x0000_i1027" o:spt="75" type="#_x0000_t75" style="height:23.15pt;width:62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r>
              <w:rPr>
                <w:rFonts w:hint="eastAsia" w:ascii="仿宋" w:hAnsi="仿宋" w:eastAsia="仿宋" w:cs="仿宋"/>
                <w:color w:val="auto"/>
                <w:szCs w:val="21"/>
              </w:rPr>
              <w:t>伸张回复功 WT’</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Fm—最大负荷εm—最大应力处的应变</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剪切测试：试验时，可移动夹头以恒速、与试样应力方向垂直移动，当达到设定的剪切角度时停止移动，然后作反向移动至反向剪切角时停止移动，返回原点。记录剪切力―剪切角曲线，以及计算斜度、剪切力滞后等指标。最大剪切角：8°；夹头移动速度：5mm/12sec</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试验结果定义：剪切测试：G—斜度(gf/cm·degree)(</w:t>
            </w:r>
            <w:r>
              <w:rPr>
                <w:rFonts w:hint="eastAsia" w:ascii="仿宋" w:hAnsi="仿宋" w:eastAsia="仿宋" w:cs="仿宋"/>
                <w:color w:val="auto"/>
                <w:szCs w:val="21"/>
              </w:rPr>
              <w:sym w:font="Symbol" w:char="F046"/>
            </w:r>
            <w:r>
              <w:rPr>
                <w:rFonts w:hint="eastAsia" w:ascii="仿宋" w:hAnsi="仿宋" w:eastAsia="仿宋" w:cs="仿宋"/>
                <w:color w:val="auto"/>
                <w:szCs w:val="21"/>
              </w:rPr>
              <w:t xml:space="preserve"> = 0.5°-2.5°)</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2HG—剪切力在</w:t>
            </w:r>
            <w:r>
              <w:rPr>
                <w:rFonts w:hint="eastAsia" w:ascii="仿宋" w:hAnsi="仿宋" w:eastAsia="仿宋" w:cs="仿宋"/>
                <w:color w:val="auto"/>
                <w:szCs w:val="21"/>
              </w:rPr>
              <w:sym w:font="Symbol" w:char="F046"/>
            </w:r>
            <w:r>
              <w:rPr>
                <w:rFonts w:hint="eastAsia" w:ascii="仿宋" w:hAnsi="仿宋" w:eastAsia="仿宋" w:cs="仿宋"/>
                <w:color w:val="auto"/>
                <w:szCs w:val="21"/>
              </w:rPr>
              <w:t xml:space="preserve"> = 0.5°处的滞后 (gf/cm)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2HG5—剪切力在</w:t>
            </w:r>
            <w:r>
              <w:rPr>
                <w:rFonts w:hint="eastAsia" w:ascii="仿宋" w:hAnsi="仿宋" w:eastAsia="仿宋" w:cs="仿宋"/>
                <w:color w:val="auto"/>
                <w:szCs w:val="21"/>
              </w:rPr>
              <w:sym w:font="Symbol" w:char="F046"/>
            </w:r>
            <w:r>
              <w:rPr>
                <w:rFonts w:hint="eastAsia" w:ascii="仿宋" w:hAnsi="仿宋" w:eastAsia="仿宋" w:cs="仿宋"/>
                <w:color w:val="auto"/>
                <w:szCs w:val="21"/>
              </w:rPr>
              <w:t xml:space="preserve"> = 5°处的滞后  (gf/cm)</w:t>
            </w:r>
          </w:p>
          <w:p>
            <w:pPr>
              <w:spacing w:line="360"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2．自动弯曲测试仪</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2.1测试方法：试样以一定张力固定在两个夹头间，夹头一个固定，一个可移动。移动夹头连接扭力测试器。试验时，移动夹头沿固定轨迹作曲线移动，试样受弯曲。当夹头移动至最大曲率时返回原点，然后作反向移动至反向最大曲率时返回原点。记录扭距―曲率的关系曲线以及计算弯曲刚度、弯曲滞后等指标。</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▲2.2仪器指标：最大曲率：±2.5-1 cm ；最大扭距: 4、10、20、50 (gf)</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夹头移动速度：0.5-1 cm/sec；精度：满负荷的±0.2%</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试验结果定义:弯曲刚度 B=(Bf+Bb)/2   (gf•cm2 /cm)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Bf —正向弯曲刚度；Bb —反向弯曲刚度</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弯曲滞后 2HB=HBf+HBb</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HBf —正向弯曲滞后；HBb —反向弯曲滞后</w:t>
            </w:r>
          </w:p>
          <w:p>
            <w:pPr>
              <w:spacing w:line="360"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3．自动压缩测试仪</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3.1测试方法：试样平放在平台上，压柱以恒速下降对试样加压，当压力达到设定的最大值时，压柱上升回至起点。记录厚度—压力曲线以及计算压缩功、回复功、回弹性等指标。</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▲3.2仪器指标：试样尺寸：布&gt;2cm×2cm，纱线长6cm （由仪器专用夹具夹持）</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测试面积：2cm</w:t>
            </w:r>
            <w:r>
              <w:rPr>
                <w:rFonts w:hint="eastAsia" w:ascii="仿宋" w:hAnsi="仿宋" w:eastAsia="仿宋" w:cs="仿宋"/>
                <w:color w:val="auto"/>
                <w:szCs w:val="21"/>
                <w:vertAlign w:val="superscript"/>
              </w:rPr>
              <w:t>2</w:t>
            </w:r>
            <w:r>
              <w:rPr>
                <w:rFonts w:hint="eastAsia" w:ascii="仿宋" w:hAnsi="仿宋" w:eastAsia="仿宋" w:cs="仿宋"/>
                <w:color w:val="auto"/>
                <w:szCs w:val="21"/>
              </w:rPr>
              <w:t>；压缩距离：0-5mm；0-50mm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最大压缩力：200gf、500gf 、1kgf、2.5kgf</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柱塞移动速度：1mm/5sec；1mm/50sec；1mm/15sec；1mm/150sec</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精度：满负荷的0.2%</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试验结果定义:线性度 LC=WC/</w:t>
            </w:r>
            <w:r>
              <w:rPr>
                <w:rFonts w:hint="eastAsia" w:ascii="仿宋" w:hAnsi="仿宋" w:eastAsia="仿宋" w:cs="仿宋"/>
                <w:color w:val="auto"/>
                <w:szCs w:val="21"/>
              </w:rPr>
              <w:object>
                <v:shape id="_x0000_i1028" o:spt="75" type="#_x0000_t75" style="height:30.7pt;width:65.75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r>
              <w:rPr>
                <w:rFonts w:hint="eastAsia" w:ascii="仿宋" w:hAnsi="仿宋" w:eastAsia="仿宋" w:cs="仿宋"/>
                <w:color w:val="auto"/>
                <w:szCs w:val="21"/>
              </w:rPr>
              <w:t>压缩功 WC=</w:t>
            </w:r>
            <w:r>
              <w:rPr>
                <w:rFonts w:hint="eastAsia" w:ascii="仿宋" w:hAnsi="仿宋" w:eastAsia="仿宋" w:cs="仿宋"/>
                <w:color w:val="auto"/>
                <w:szCs w:val="21"/>
              </w:rPr>
              <w:object>
                <v:shape id="_x0000_i1029" o:spt="75" type="#_x0000_t75" style="height:36.3pt;width:75.15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r>
              <w:rPr>
                <w:rFonts w:hint="eastAsia" w:ascii="仿宋" w:hAnsi="仿宋" w:eastAsia="仿宋" w:cs="仿宋"/>
                <w:color w:val="auto"/>
                <w:szCs w:val="21"/>
              </w:rPr>
              <w:t xml:space="preserve">   (gf•cm/cm2)</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 xml:space="preserve">弹性回复率RC = </w:t>
            </w:r>
            <w:r>
              <w:rPr>
                <w:rFonts w:hint="eastAsia" w:ascii="仿宋" w:hAnsi="仿宋" w:eastAsia="仿宋" w:cs="仿宋"/>
                <w:color w:val="auto"/>
                <w:szCs w:val="21"/>
              </w:rPr>
              <w:object>
                <v:shape id="_x0000_i1030" o:spt="75" type="#_x0000_t75" style="height:30.7pt;width:51.9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r>
              <w:rPr>
                <w:rFonts w:hint="eastAsia" w:ascii="仿宋" w:hAnsi="仿宋" w:eastAsia="仿宋" w:cs="仿宋"/>
                <w:color w:val="auto"/>
                <w:szCs w:val="21"/>
              </w:rPr>
              <w:t xml:space="preserve"> (%)  压缩率 EMC = </w:t>
            </w:r>
            <w:r>
              <w:rPr>
                <w:rFonts w:hint="eastAsia" w:ascii="仿宋" w:hAnsi="仿宋" w:eastAsia="仿宋" w:cs="仿宋"/>
                <w:color w:val="auto"/>
                <w:szCs w:val="21"/>
              </w:rPr>
              <w:object>
                <v:shape id="_x0000_i1031" o:spt="75" type="#_x0000_t75" style="height:30.7pt;width:38.8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rFonts w:hint="eastAsia" w:ascii="仿宋" w:hAnsi="仿宋" w:eastAsia="仿宋" w:cs="仿宋"/>
                <w:color w:val="auto"/>
                <w:szCs w:val="21"/>
              </w:rPr>
              <w:t xml:space="preserve">  (%)</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WC′—回复功  (gf•cm/cm</w:t>
            </w:r>
            <w:r>
              <w:rPr>
                <w:rFonts w:hint="eastAsia" w:ascii="仿宋" w:hAnsi="仿宋" w:eastAsia="仿宋" w:cs="仿宋"/>
                <w:color w:val="auto"/>
                <w:szCs w:val="21"/>
                <w:vertAlign w:val="superscript"/>
              </w:rPr>
              <w:t>2</w:t>
            </w:r>
            <w:r>
              <w:rPr>
                <w:rFonts w:hint="eastAsia" w:ascii="仿宋" w:hAnsi="仿宋" w:eastAsia="仿宋" w:cs="仿宋"/>
                <w:color w:val="auto"/>
                <w:szCs w:val="21"/>
              </w:rPr>
              <w:t>)；</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TO   —起始厚度（mm）；TM   —最大压力处的厚度（mm）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INT  —压缩积分电压（v）；B-INT—回复积分电压  (v)</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h0    —压柱起始位置（mm）；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hm   —压柱在最大压力处的位置（mm）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hI    —起始隔距。压柱起始位置至试样表面的距离（mm）</w:t>
            </w:r>
          </w:p>
          <w:p>
            <w:pPr>
              <w:spacing w:line="360"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4．</w:t>
            </w:r>
            <w:bookmarkStart w:id="11" w:name="OLE_LINK14"/>
            <w:bookmarkStart w:id="12" w:name="OLE_LINK15"/>
            <w:r>
              <w:rPr>
                <w:rFonts w:hint="eastAsia" w:ascii="仿宋" w:hAnsi="仿宋" w:eastAsia="仿宋" w:cs="仿宋"/>
                <w:b/>
                <w:color w:val="auto"/>
                <w:szCs w:val="21"/>
              </w:rPr>
              <w:t>自动表面性能测试仪</w:t>
            </w:r>
            <w:bookmarkEnd w:id="11"/>
            <w:bookmarkEnd w:id="12"/>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4.1试验方法:试样用一定的初始张力固定并以1mm/sec的速度向前移动3cm,然后反向移动退回原点。试样移动时，测摩擦力、粗糙度的探头、探针开始工作，测出2cm区间内的摩擦力和粗糙度的积分电压（起始5mm和反向后起始5mm不计算），记录摩擦力、粗糙度的试验曲线，计算摩擦系数、平均粗糙度等指标。</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▲4.2仪器指标：试样张力：200g(10gf/cm)、400g(20gf/cm)、600g(30gf/cm)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试样移动速度：1mm/sec；移动距离：3cm（实际测试距离2cm）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摩擦试验：测试面积：5mm</w:t>
            </w:r>
            <w:r>
              <w:rPr>
                <w:rFonts w:hint="eastAsia" w:ascii="仿宋" w:hAnsi="仿宋" w:eastAsia="仿宋" w:cs="仿宋"/>
                <w:color w:val="auto"/>
                <w:szCs w:val="21"/>
              </w:rPr>
              <w:sym w:font="Symbol" w:char="F0B4"/>
            </w:r>
            <w:r>
              <w:rPr>
                <w:rFonts w:hint="eastAsia" w:ascii="仿宋" w:hAnsi="仿宋" w:eastAsia="仿宋" w:cs="仿宋"/>
                <w:color w:val="auto"/>
                <w:szCs w:val="21"/>
              </w:rPr>
              <w:t>5mm=25mm</w:t>
            </w:r>
            <w:r>
              <w:rPr>
                <w:rFonts w:hint="eastAsia" w:ascii="仿宋" w:hAnsi="仿宋" w:eastAsia="仿宋" w:cs="仿宋"/>
                <w:color w:val="auto"/>
                <w:szCs w:val="21"/>
                <w:vertAlign w:val="superscript"/>
              </w:rPr>
              <w:t>2</w:t>
            </w:r>
            <w:r>
              <w:rPr>
                <w:rFonts w:hint="eastAsia" w:ascii="仿宋" w:hAnsi="仿宋" w:eastAsia="仿宋" w:cs="仿宋"/>
                <w:color w:val="auto"/>
                <w:szCs w:val="21"/>
              </w:rPr>
              <w:t xml:space="preserve">；标准压力：P=50g  </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最大摩擦力：200gf、500gf ；精度：满负荷的</w:t>
            </w:r>
            <w:r>
              <w:rPr>
                <w:rFonts w:hint="eastAsia" w:ascii="仿宋" w:hAnsi="仿宋" w:eastAsia="仿宋" w:cs="仿宋"/>
                <w:color w:val="auto"/>
                <w:szCs w:val="21"/>
              </w:rPr>
              <w:sym w:font="Symbol" w:char="F0B1"/>
            </w:r>
            <w:r>
              <w:rPr>
                <w:rFonts w:hint="eastAsia" w:ascii="仿宋" w:hAnsi="仿宋" w:eastAsia="仿宋" w:cs="仿宋"/>
                <w:color w:val="auto"/>
                <w:szCs w:val="21"/>
              </w:rPr>
              <w:t>0.5%</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粗糙度：测试面积：d=0.5mm s</w:t>
            </w:r>
            <w:r>
              <w:rPr>
                <w:rFonts w:hint="eastAsia" w:ascii="仿宋" w:hAnsi="仿宋" w:eastAsia="仿宋" w:cs="仿宋"/>
                <w:color w:val="auto"/>
                <w:szCs w:val="21"/>
              </w:rPr>
              <w:sym w:font="Symbol" w:char="F0BB"/>
            </w:r>
            <w:r>
              <w:rPr>
                <w:rFonts w:hint="eastAsia" w:ascii="仿宋" w:hAnsi="仿宋" w:eastAsia="仿宋" w:cs="仿宋"/>
                <w:color w:val="auto"/>
                <w:szCs w:val="21"/>
              </w:rPr>
              <w:t>0.2mm</w:t>
            </w:r>
            <w:r>
              <w:rPr>
                <w:rFonts w:hint="eastAsia" w:ascii="仿宋" w:hAnsi="仿宋" w:eastAsia="仿宋" w:cs="仿宋"/>
                <w:color w:val="auto"/>
                <w:szCs w:val="21"/>
                <w:vertAlign w:val="superscript"/>
              </w:rPr>
              <w:t>2</w:t>
            </w:r>
            <w:r>
              <w:rPr>
                <w:rFonts w:hint="eastAsia" w:ascii="仿宋" w:hAnsi="仿宋" w:eastAsia="仿宋" w:cs="仿宋"/>
                <w:color w:val="auto"/>
                <w:szCs w:val="21"/>
              </w:rPr>
              <w:t>；接触压力: 10g</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最大厚度：0.4mm、1mm；精度：满负荷的</w:t>
            </w:r>
            <w:r>
              <w:rPr>
                <w:rFonts w:hint="eastAsia" w:ascii="仿宋" w:hAnsi="仿宋" w:eastAsia="仿宋" w:cs="仿宋"/>
                <w:color w:val="auto"/>
                <w:szCs w:val="21"/>
              </w:rPr>
              <w:sym w:font="Symbol" w:char="F0B1"/>
            </w:r>
            <w:r>
              <w:rPr>
                <w:rFonts w:hint="eastAsia" w:ascii="仿宋" w:hAnsi="仿宋" w:eastAsia="仿宋" w:cs="仿宋"/>
                <w:color w:val="auto"/>
                <w:szCs w:val="21"/>
              </w:rPr>
              <w:t>0.5%</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试验数据定义：</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摩擦系数μ</w:t>
            </w:r>
            <w:r>
              <w:rPr>
                <w:rFonts w:hint="eastAsia" w:ascii="仿宋" w:hAnsi="仿宋" w:eastAsia="仿宋" w:cs="仿宋"/>
                <w:color w:val="auto"/>
                <w:szCs w:val="21"/>
              </w:rPr>
              <w:object>
                <v:shape id="_x0000_i1032" o:spt="75" type="#_x0000_t75" style="height:33.8pt;width:60.7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rFonts w:hint="eastAsia" w:ascii="仿宋" w:hAnsi="仿宋" w:eastAsia="仿宋" w:cs="仿宋"/>
                <w:color w:val="auto"/>
                <w:szCs w:val="21"/>
              </w:rPr>
              <w:t>摩擦系数平均值MIU=</w:t>
            </w:r>
            <w:r>
              <w:rPr>
                <w:rFonts w:hint="eastAsia" w:ascii="仿宋" w:hAnsi="仿宋" w:eastAsia="仿宋" w:cs="仿宋"/>
                <w:color w:val="auto"/>
                <w:szCs w:val="21"/>
              </w:rPr>
              <w:object>
                <v:shape id="_x0000_i1033" o:spt="75" type="#_x0000_t75" style="height:31.3pt;width:77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摩擦系数标准差MMD=</w:t>
            </w:r>
            <w:r>
              <w:rPr>
                <w:rFonts w:hint="eastAsia" w:ascii="仿宋" w:hAnsi="仿宋" w:eastAsia="仿宋" w:cs="仿宋"/>
                <w:color w:val="auto"/>
                <w:szCs w:val="21"/>
              </w:rPr>
              <w:object>
                <v:shape id="_x0000_i1034" o:spt="75" type="#_x0000_t75" style="height:26.3pt;width:98.3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粗糙度标准差SMD=</w:t>
            </w:r>
            <w:r>
              <w:rPr>
                <w:rFonts w:hint="eastAsia" w:ascii="仿宋" w:hAnsi="仿宋" w:eastAsia="仿宋" w:cs="仿宋"/>
                <w:color w:val="auto"/>
                <w:szCs w:val="21"/>
              </w:rPr>
              <w:object>
                <v:shape id="_x0000_i1035" o:spt="75" type="#_x0000_t75" style="height:25.05pt;width:92.05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（其中</w:t>
            </w:r>
            <w:r>
              <w:rPr>
                <w:rFonts w:hint="eastAsia" w:ascii="仿宋" w:hAnsi="仿宋" w:eastAsia="仿宋" w:cs="仿宋"/>
                <w:color w:val="auto"/>
                <w:szCs w:val="21"/>
              </w:rPr>
              <w:object>
                <v:shape id="_x0000_i1036" o:spt="75" type="#_x0000_t75" style="height:17.55pt;width:29.4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r>
              <w:rPr>
                <w:rFonts w:hint="eastAsia" w:ascii="仿宋" w:hAnsi="仿宋" w:eastAsia="仿宋" w:cs="仿宋"/>
                <w:color w:val="auto"/>
                <w:szCs w:val="21"/>
              </w:rPr>
              <w:t>—积分区间；Z—厚度）</w:t>
            </w:r>
          </w:p>
          <w:p>
            <w:pPr>
              <w:spacing w:line="360" w:lineRule="auto"/>
              <w:ind w:firstLine="422" w:firstLineChars="200"/>
              <w:rPr>
                <w:rFonts w:ascii="仿宋" w:hAnsi="仿宋" w:eastAsia="仿宋" w:cs="仿宋"/>
                <w:b/>
                <w:color w:val="auto"/>
                <w:szCs w:val="21"/>
              </w:rPr>
            </w:pPr>
            <w:r>
              <w:rPr>
                <w:rFonts w:hint="eastAsia" w:ascii="仿宋" w:hAnsi="仿宋" w:eastAsia="仿宋" w:cs="仿宋"/>
                <w:b/>
                <w:color w:val="auto"/>
                <w:szCs w:val="21"/>
              </w:rPr>
              <w:t>5.瞬间热物性能测试仪</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5.1测试方法：在规定的试验环境条件下，将温度高于试样的热检测板与试样接触，测定热检测板温度随时间的变化，并计算其接触凉感系数（qmax），由此可表征试样的接触瞬间凉感性能。而接触凉感系数qmax是指将温度高于试样规定温差的热检测板以一定压力与试样接触，热检测板与试样接触后热量传递过程中热流密度的最大值，qmax数值越大表示皮肤感受到凉感程度越强，数值越小表示皮肤感受到凉感程度越弱。</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▲5.2仪器指标:测定纺织材料冷暖感评价值Q max，并由软件绘出热量流速曲线(软件可对Q值曲线可作连续30分钟的记录，并自动保存电脑数据。</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5.2.1.测定纺织材料热传导率；</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5.2.2.测定纺织材料保温率；</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5.2.3.测试材料厚度＜3mm；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5.2.4.测试速度及精度；</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5.2.5.瞬间接触冷暖感的测定，所用时间≤2分钟；</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5.2.6.持续热传导率的测定，所用时间≤3分钟；</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5.2.7.温度误差&lt;=0.1℃；</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5.2.8.设备由以下部分及其相应的控制系统构成：</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自动测温测热探头（检测温度，保持温度），探头自动控制机构，定温台。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5.2.9.测温测热探头规格：</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质量60克， 3×3cm，表面镀银</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温度设定范围：0—60℃</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5.2.10.热源板质量150g，5×5cm</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5.2.11.电子控制部：</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温度显示：精确到0.1℃，显示范围： 0—60℃；</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电压输出：30毫伏/度；</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加热器: 最大输出功率50瓦；</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6.配套电脑及打印机</w:t>
            </w:r>
          </w:p>
          <w:p>
            <w:pPr>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rPr>
              <w:t>配套电脑要满足CPU型号≥英特尔酷睿i7；</w:t>
            </w:r>
            <w:r>
              <w:rPr>
                <w:rFonts w:hint="eastAsia" w:ascii="仿宋" w:hAnsi="仿宋" w:eastAsia="仿宋" w:cs="仿宋"/>
                <w:color w:val="auto"/>
              </w:rPr>
              <w:t>处理器</w:t>
            </w:r>
            <w:r>
              <w:rPr>
                <w:rFonts w:hint="eastAsia" w:ascii="仿宋" w:hAnsi="仿宋" w:eastAsia="仿宋" w:cs="仿宋"/>
                <w:color w:val="auto"/>
                <w:szCs w:val="21"/>
              </w:rPr>
              <w:t>≥6</w:t>
            </w:r>
            <w:r>
              <w:rPr>
                <w:rFonts w:hint="eastAsia" w:ascii="仿宋" w:hAnsi="仿宋" w:eastAsia="仿宋" w:cs="仿宋"/>
                <w:color w:val="auto"/>
              </w:rPr>
              <w:t>核；</w:t>
            </w:r>
            <w:r>
              <w:rPr>
                <w:rFonts w:hint="eastAsia" w:ascii="仿宋" w:hAnsi="仿宋" w:eastAsia="仿宋" w:cs="仿宋"/>
                <w:color w:val="auto"/>
                <w:szCs w:val="21"/>
              </w:rPr>
              <w:t>内存≥16GB；硬盘≥128GB固态硬盘+1T机械硬盘；LCD显示器≥21.5英寸/1920*1080或以上功能配置要求的联想、惠普或戴尔品牌电脑，预装原装正版Windows 10及以上版本专业版软件；打印机为Epson L805、HP OfficeJet 200、Canon IP110或以上功能配置打印机；配套电脑与主机接入所需的线路。</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7.基本配置</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7.1．自动拉伸剪切测试仪 1台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7.2．自动弯曲测试仪 1台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7.3．自动压缩测试仪 1台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7.4．自动表面性能测试仪1台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7.5．瞬间热物性能测试仪 1台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7.6．配套电脑2台</w:t>
            </w:r>
          </w:p>
          <w:p>
            <w:pPr>
              <w:spacing w:line="360" w:lineRule="auto"/>
              <w:ind w:firstLine="420" w:firstLineChars="200"/>
              <w:rPr>
                <w:rFonts w:ascii="仿宋" w:hAnsi="仿宋" w:eastAsia="仿宋" w:cs="仿宋"/>
                <w:color w:val="auto"/>
                <w:szCs w:val="21"/>
              </w:rPr>
            </w:pPr>
            <w:r>
              <w:rPr>
                <w:rFonts w:hint="eastAsia" w:ascii="仿宋" w:hAnsi="仿宋" w:eastAsia="仿宋" w:cs="仿宋"/>
                <w:color w:val="auto"/>
                <w:szCs w:val="21"/>
              </w:rPr>
              <w:t>7.7．配套USB电源         2台</w:t>
            </w:r>
          </w:p>
          <w:p>
            <w:pPr>
              <w:spacing w:line="360" w:lineRule="auto"/>
              <w:ind w:firstLine="420" w:firstLineChars="200"/>
              <w:rPr>
                <w:rFonts w:ascii="仿宋" w:hAnsi="仿宋" w:eastAsia="仿宋" w:cs="仿宋"/>
                <w:b/>
                <w:bCs/>
                <w:color w:val="auto"/>
                <w:kern w:val="0"/>
                <w:szCs w:val="21"/>
              </w:rPr>
            </w:pPr>
            <w:r>
              <w:rPr>
                <w:rFonts w:hint="eastAsia" w:ascii="仿宋" w:hAnsi="仿宋" w:eastAsia="仿宋" w:cs="仿宋"/>
                <w:color w:val="auto"/>
                <w:szCs w:val="21"/>
              </w:rPr>
              <w:t>7.8. 配套打印机            1台</w:t>
            </w:r>
          </w:p>
        </w:tc>
        <w:tc>
          <w:tcPr>
            <w:tcW w:w="40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color w:val="auto"/>
                <w:kern w:val="0"/>
                <w:szCs w:val="21"/>
              </w:rPr>
            </w:pPr>
            <w:r>
              <w:rPr>
                <w:rFonts w:hint="eastAsia" w:ascii="仿宋" w:hAnsi="仿宋" w:eastAsia="仿宋" w:cs="仿宋"/>
                <w:b/>
                <w:color w:val="auto"/>
                <w:kern w:val="0"/>
                <w:szCs w:val="21"/>
              </w:rPr>
              <w:t>1</w:t>
            </w:r>
          </w:p>
        </w:tc>
        <w:tc>
          <w:tcPr>
            <w:tcW w:w="40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color w:val="auto"/>
                <w:kern w:val="0"/>
                <w:szCs w:val="21"/>
              </w:rPr>
            </w:pPr>
            <w:r>
              <w:rPr>
                <w:rFonts w:hint="eastAsia" w:ascii="仿宋" w:hAnsi="仿宋" w:eastAsia="仿宋" w:cs="仿宋"/>
                <w:b/>
                <w:color w:val="auto"/>
                <w:kern w:val="0"/>
                <w:szCs w:val="21"/>
              </w:rPr>
              <w:t>套</w:t>
            </w:r>
          </w:p>
        </w:tc>
      </w:tr>
    </w:tbl>
    <w:p>
      <w:pPr>
        <w:widowControl/>
        <w:spacing w:beforeLines="50" w:line="360" w:lineRule="auto"/>
        <w:ind w:firstLine="482" w:firstLineChars="200"/>
        <w:rPr>
          <w:rFonts w:ascii="仿宋" w:hAnsi="仿宋" w:eastAsia="仿宋" w:cs="仿宋"/>
          <w:b/>
          <w:bCs/>
          <w:color w:val="auto"/>
          <w:kern w:val="0"/>
          <w:sz w:val="24"/>
        </w:rPr>
      </w:pPr>
      <w:r>
        <w:rPr>
          <w:rFonts w:hint="eastAsia" w:ascii="仿宋" w:hAnsi="仿宋" w:eastAsia="仿宋" w:cs="仿宋"/>
          <w:b/>
          <w:bCs/>
          <w:color w:val="auto"/>
          <w:kern w:val="0"/>
          <w:sz w:val="24"/>
        </w:rPr>
        <w:t>二、其他要求：</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1、投标人应对每个指标项的偏离情况做应答，不得遗漏；投标文件中的技术参数指标必须真实。</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2、投标人投标提供的设备必须是厂商原装的、全新的，配置与装箱单相符；数量、质量及性能不低于本标书中提出的要求；应准确无误地表明设备型号、规格、制造厂及生产或出厂日期。</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报价:进口设备需报免税价及含税价，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人应付每单约300元笫三方代理手续费；如进口设备不能免税，含税价不得超过免税价17%。</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4、交货期:中标即日起</w:t>
      </w:r>
      <w:r>
        <w:rPr>
          <w:rFonts w:hint="eastAsia" w:ascii="仿宋" w:hAnsi="仿宋" w:eastAsia="仿宋" w:cs="仿宋"/>
          <w:color w:val="auto"/>
          <w:kern w:val="0"/>
          <w:sz w:val="24"/>
          <w:lang w:val="en-US" w:eastAsia="zh-CN"/>
        </w:rPr>
        <w:t>30</w:t>
      </w:r>
      <w:r>
        <w:rPr>
          <w:rFonts w:hint="eastAsia" w:ascii="仿宋" w:hAnsi="仿宋" w:eastAsia="仿宋" w:cs="仿宋"/>
          <w:color w:val="auto"/>
          <w:kern w:val="0"/>
          <w:sz w:val="24"/>
        </w:rPr>
        <w:t>天内中标人到使用单位签订合同，国产设备</w:t>
      </w:r>
      <w:r>
        <w:rPr>
          <w:rFonts w:hint="eastAsia" w:ascii="仿宋" w:hAnsi="仿宋" w:eastAsia="仿宋" w:cs="仿宋"/>
          <w:color w:val="auto"/>
          <w:kern w:val="0"/>
          <w:sz w:val="24"/>
          <w:lang w:eastAsia="zh-CN"/>
        </w:rPr>
        <w:t>合同签订后</w:t>
      </w:r>
      <w:r>
        <w:rPr>
          <w:rFonts w:hint="eastAsia" w:ascii="仿宋" w:hAnsi="仿宋" w:eastAsia="仿宋" w:cs="仿宋"/>
          <w:color w:val="auto"/>
          <w:kern w:val="0"/>
          <w:sz w:val="24"/>
        </w:rPr>
        <w:t>20天内到货；进口设备合同签订10天内中标单位必须落实外贸进出口公司并负责代理进口协议书3份、合同7份，外贸合同、形式发票、仪器结构与工作原理（书面说明）、提供能反映仪器真实外型的照片或彩页。签订合同后180天内到货，货到15天内完成仪器安装和调试。</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5、合同签订及付款说明：</w:t>
      </w:r>
      <w:r>
        <w:rPr>
          <w:rFonts w:ascii="仿宋" w:hAnsi="仿宋" w:eastAsia="仿宋" w:cs="仿宋"/>
          <w:color w:val="auto"/>
          <w:sz w:val="24"/>
        </w:rPr>
        <w:t>抗疫期间，按照浙财采监[2020]3号文件精神执行，采购单位应在合同生效以及具备实施条件后15日内支付政府采购预付款，其他部分支付由双方协商。</w:t>
      </w:r>
      <w:r>
        <w:rPr>
          <w:rFonts w:hint="eastAsia" w:ascii="仿宋" w:hAnsi="仿宋" w:eastAsia="仿宋" w:cs="仿宋"/>
          <w:color w:val="auto"/>
          <w:kern w:val="0"/>
          <w:sz w:val="24"/>
        </w:rPr>
        <w:t>合同签订后</w:t>
      </w:r>
      <w:r>
        <w:rPr>
          <w:rFonts w:hint="eastAsia" w:ascii="仿宋" w:hAnsi="仿宋" w:eastAsia="仿宋" w:cs="仿宋"/>
          <w:color w:val="auto"/>
          <w:kern w:val="0"/>
          <w:sz w:val="24"/>
          <w:lang w:eastAsia="zh-CN"/>
        </w:rPr>
        <w:t>中标人</w:t>
      </w:r>
      <w:r>
        <w:rPr>
          <w:rFonts w:hint="eastAsia" w:ascii="仿宋" w:hAnsi="仿宋" w:eastAsia="仿宋" w:cs="仿宋"/>
          <w:color w:val="auto"/>
          <w:kern w:val="0"/>
          <w:sz w:val="24"/>
        </w:rPr>
        <w:t>将中标价的5%交至使用单位账户上作为履约保证金（不计息）。验收合格正常运行15个工作日后付款100%；履约保证金自动转为质保金（不计息）。无质量问题1年后退还质保金，有质量问题延期退还质保金。</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6、中标人应派技术人员负责设备的安装、调试，调试所需专用工具、设施、物料等由中标人自备、自费运到现场，完工后自费搬走。并且提供相应的培训，产生的一切费用应包含在中标价格中，不得另行收费。</w:t>
      </w:r>
    </w:p>
    <w:p>
      <w:pPr>
        <w:pStyle w:val="48"/>
        <w:numPr>
          <w:ilvl w:val="0"/>
          <w:numId w:val="0"/>
        </w:numPr>
        <w:tabs>
          <w:tab w:val="clear" w:pos="360"/>
        </w:tabs>
        <w:ind w:firstLine="480" w:firstLineChars="200"/>
        <w:rPr>
          <w:rFonts w:ascii="仿宋" w:hAnsi="仿宋" w:eastAsia="仿宋" w:cs="仿宋"/>
          <w:color w:val="auto"/>
        </w:rPr>
      </w:pPr>
      <w:r>
        <w:rPr>
          <w:rFonts w:hint="eastAsia" w:ascii="仿宋" w:hAnsi="仿宋" w:eastAsia="仿宋" w:cs="仿宋"/>
          <w:color w:val="auto"/>
          <w:kern w:val="0"/>
          <w:sz w:val="24"/>
        </w:rPr>
        <w:t>7、至少提供1年质保期</w:t>
      </w:r>
    </w:p>
    <w:p>
      <w:pPr>
        <w:jc w:val="left"/>
        <w:rPr>
          <w:rFonts w:ascii="仿宋" w:hAnsi="仿宋" w:eastAsia="仿宋" w:cs="仿宋"/>
          <w:b/>
          <w:bCs/>
          <w:color w:val="auto"/>
          <w:sz w:val="24"/>
          <w:bdr w:val="single" w:color="auto" w:sz="4" w:space="0"/>
        </w:rPr>
      </w:pPr>
    </w:p>
    <w:p>
      <w:pPr>
        <w:ind w:right="-288" w:rightChars="-137"/>
        <w:jc w:val="center"/>
        <w:rPr>
          <w:rFonts w:ascii="仿宋" w:hAnsi="仿宋" w:eastAsia="仿宋" w:cs="仿宋"/>
          <w:b/>
          <w:color w:val="auto"/>
          <w:sz w:val="36"/>
          <w:szCs w:val="36"/>
        </w:rPr>
      </w:pPr>
      <w:r>
        <w:rPr>
          <w:rFonts w:hint="eastAsia" w:ascii="仿宋" w:hAnsi="仿宋" w:eastAsia="仿宋" w:cs="仿宋"/>
          <w:b/>
          <w:color w:val="auto"/>
          <w:sz w:val="36"/>
          <w:szCs w:val="36"/>
        </w:rPr>
        <w:t>第四部分 合同主要条款</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1.合同</w:t>
      </w:r>
      <w:bookmarkStart w:id="13" w:name="OLE_LINK1"/>
      <w:r>
        <w:rPr>
          <w:rFonts w:hint="eastAsia" w:ascii="仿宋" w:hAnsi="仿宋" w:eastAsia="仿宋" w:cs="仿宋"/>
          <w:b/>
          <w:color w:val="auto"/>
          <w:sz w:val="24"/>
        </w:rPr>
        <w:t>范围</w:t>
      </w:r>
      <w:bookmarkEnd w:id="13"/>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本合同条款适用与本次采购活动。项目实施范围详见附件——招标文件和投标文件及补充文件、采购设计图、承诺书等。</w:t>
      </w:r>
    </w:p>
    <w:p>
      <w:pPr>
        <w:pStyle w:val="75"/>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2.合同的签订</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cs="仿宋"/>
          <w:color w:val="auto"/>
        </w:rPr>
      </w:pPr>
      <w:r>
        <w:rPr>
          <w:rFonts w:hint="eastAsia" w:ascii="仿宋" w:hAnsi="仿宋" w:eastAsia="仿宋" w:cs="仿宋"/>
          <w:color w:val="auto"/>
        </w:rPr>
        <w:t>2.1.1交货地点：用户指定地点。</w:t>
      </w:r>
    </w:p>
    <w:p>
      <w:pPr>
        <w:pStyle w:val="12"/>
        <w:widowControl w:val="0"/>
        <w:tabs>
          <w:tab w:val="clear" w:pos="1697"/>
        </w:tabs>
        <w:spacing w:afterLines="0" w:line="440" w:lineRule="exact"/>
        <w:ind w:left="0" w:firstLine="0"/>
        <w:rPr>
          <w:rFonts w:ascii="仿宋" w:hAnsi="仿宋" w:eastAsia="仿宋" w:cs="仿宋"/>
          <w:color w:val="auto"/>
        </w:rPr>
      </w:pPr>
      <w:r>
        <w:rPr>
          <w:rFonts w:hint="eastAsia" w:ascii="仿宋" w:hAnsi="仿宋" w:eastAsia="仿宋" w:cs="仿宋"/>
          <w:color w:val="auto"/>
          <w:szCs w:val="24"/>
        </w:rPr>
        <w:t>2.1.2</w:t>
      </w:r>
      <w:r>
        <w:rPr>
          <w:rFonts w:hint="eastAsia" w:ascii="仿宋" w:hAnsi="仿宋" w:eastAsia="仿宋" w:cs="仿宋"/>
          <w:color w:val="auto"/>
        </w:rPr>
        <w:t>到货期：按标项内具体要求执行。</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b/>
          <w:color w:val="auto"/>
          <w:szCs w:val="24"/>
        </w:rPr>
        <w:t>3.付款方式：</w:t>
      </w:r>
      <w:r>
        <w:rPr>
          <w:rFonts w:hint="eastAsia" w:ascii="仿宋" w:hAnsi="仿宋" w:eastAsia="仿宋" w:cs="仿宋"/>
          <w:color w:val="auto"/>
        </w:rPr>
        <w:t>按标项内具体要求执行。</w:t>
      </w:r>
    </w:p>
    <w:p>
      <w:pPr>
        <w:tabs>
          <w:tab w:val="left" w:pos="7950"/>
        </w:tabs>
        <w:spacing w:line="440" w:lineRule="exact"/>
        <w:jc w:val="left"/>
        <w:rPr>
          <w:rFonts w:ascii="仿宋" w:hAnsi="仿宋" w:eastAsia="仿宋" w:cs="仿宋"/>
          <w:b/>
          <w:color w:val="auto"/>
          <w:sz w:val="24"/>
        </w:rPr>
      </w:pPr>
      <w:r>
        <w:rPr>
          <w:rFonts w:hint="eastAsia" w:ascii="仿宋" w:hAnsi="仿宋" w:eastAsia="仿宋" w:cs="仿宋"/>
          <w:b/>
          <w:color w:val="auto"/>
          <w:sz w:val="24"/>
        </w:rPr>
        <w:t>4.合同修改</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 质量标准和验收</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5.1中标人提供的产品及服务必须是经合法途径取得的。</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5.3验收由使用单位按规定组织相关人员或专家进行。</w:t>
      </w:r>
    </w:p>
    <w:p>
      <w:pPr>
        <w:spacing w:line="440" w:lineRule="exact"/>
        <w:ind w:hanging="2"/>
        <w:jc w:val="left"/>
        <w:rPr>
          <w:rFonts w:ascii="仿宋" w:hAnsi="仿宋" w:eastAsia="仿宋" w:cs="仿宋"/>
          <w:color w:val="auto"/>
          <w:sz w:val="24"/>
        </w:rPr>
      </w:pPr>
      <w:r>
        <w:rPr>
          <w:rFonts w:hint="eastAsia" w:ascii="仿宋" w:hAnsi="仿宋" w:eastAsia="仿宋" w:cs="仿宋"/>
          <w:color w:val="auto"/>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cs="仿宋"/>
          <w:b/>
          <w:color w:val="auto"/>
          <w:sz w:val="24"/>
        </w:rPr>
      </w:pPr>
      <w:r>
        <w:rPr>
          <w:rFonts w:hint="eastAsia" w:ascii="仿宋" w:hAnsi="仿宋" w:eastAsia="仿宋" w:cs="仿宋"/>
          <w:b/>
          <w:color w:val="auto"/>
          <w:sz w:val="24"/>
        </w:rPr>
        <w:t>6.违约责任</w:t>
      </w:r>
    </w:p>
    <w:p>
      <w:pPr>
        <w:pStyle w:val="19"/>
        <w:widowControl w:val="0"/>
        <w:tabs>
          <w:tab w:val="left" w:pos="1540"/>
          <w:tab w:val="clear" w:pos="482"/>
        </w:tabs>
        <w:spacing w:afterLines="0" w:line="440" w:lineRule="exact"/>
        <w:ind w:left="-2" w:leftChars="-1" w:firstLine="0"/>
        <w:rPr>
          <w:rFonts w:ascii="仿宋" w:hAnsi="仿宋" w:eastAsia="仿宋" w:cs="仿宋"/>
          <w:color w:val="auto"/>
          <w:szCs w:val="24"/>
        </w:rPr>
      </w:pPr>
      <w:r>
        <w:rPr>
          <w:rFonts w:hint="eastAsia" w:ascii="仿宋" w:hAnsi="仿宋" w:eastAsia="仿宋" w:cs="仿宋"/>
          <w:color w:val="auto"/>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cs="仿宋"/>
          <w:color w:val="auto"/>
          <w:szCs w:val="24"/>
        </w:rPr>
      </w:pPr>
      <w:r>
        <w:rPr>
          <w:rFonts w:hint="eastAsia" w:ascii="仿宋" w:hAnsi="仿宋" w:eastAsia="仿宋" w:cs="仿宋"/>
          <w:color w:val="auto"/>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cs="仿宋"/>
          <w:b/>
          <w:color w:val="auto"/>
          <w:szCs w:val="24"/>
        </w:rPr>
      </w:pPr>
      <w:r>
        <w:rPr>
          <w:rFonts w:hint="eastAsia" w:ascii="仿宋" w:hAnsi="仿宋" w:eastAsia="仿宋" w:cs="仿宋"/>
          <w:b/>
          <w:color w:val="auto"/>
          <w:szCs w:val="24"/>
        </w:rPr>
        <w:t>7．违约赔偿</w:t>
      </w:r>
    </w:p>
    <w:p>
      <w:pPr>
        <w:spacing w:line="440" w:lineRule="exact"/>
        <w:rPr>
          <w:rFonts w:ascii="仿宋" w:hAnsi="仿宋" w:eastAsia="仿宋" w:cs="仿宋"/>
          <w:color w:val="auto"/>
          <w:sz w:val="24"/>
        </w:rPr>
      </w:pPr>
      <w:r>
        <w:rPr>
          <w:rFonts w:hint="eastAsia" w:ascii="仿宋" w:hAnsi="仿宋" w:eastAsia="仿宋" w:cs="仿宋"/>
          <w:color w:val="auto"/>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cs="仿宋"/>
          <w:color w:val="auto"/>
          <w:sz w:val="24"/>
        </w:rPr>
      </w:pPr>
      <w:r>
        <w:rPr>
          <w:rFonts w:hint="eastAsia" w:ascii="仿宋" w:hAnsi="仿宋" w:eastAsia="仿宋" w:cs="仿宋"/>
          <w:color w:val="auto"/>
          <w:kern w:val="0"/>
          <w:sz w:val="24"/>
        </w:rPr>
        <w:t xml:space="preserve">7.2 </w:t>
      </w:r>
      <w:r>
        <w:rPr>
          <w:rFonts w:hint="eastAsia" w:ascii="仿宋" w:hAnsi="仿宋" w:eastAsia="仿宋" w:cs="仿宋"/>
          <w:color w:val="auto"/>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7.3招标人在规定时间无正当理由拒签合同者，以招标违约处理，并赔偿中标人由此造成的直接经济损失。</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8.不可抗力</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9.解决合同纠纷的方式</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cs="仿宋"/>
          <w:color w:val="auto"/>
          <w:szCs w:val="24"/>
        </w:rPr>
      </w:pPr>
      <w:r>
        <w:rPr>
          <w:rFonts w:hint="eastAsia" w:ascii="仿宋" w:hAnsi="仿宋" w:eastAsia="仿宋" w:cs="仿宋"/>
          <w:color w:val="auto"/>
          <w:szCs w:val="24"/>
        </w:rPr>
        <w:t>9.3在仲裁和诉讼期间，除正在进行裁定的部分外，本合同其他部分应继续执行。</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9.4合同应在双方签字盖章后开始生效。</w:t>
      </w:r>
    </w:p>
    <w:p>
      <w:pPr>
        <w:spacing w:line="440" w:lineRule="exact"/>
        <w:rPr>
          <w:rFonts w:ascii="仿宋" w:hAnsi="仿宋" w:eastAsia="仿宋" w:cs="仿宋"/>
          <w:color w:val="auto"/>
          <w:sz w:val="24"/>
        </w:rPr>
      </w:pPr>
      <w:r>
        <w:rPr>
          <w:rFonts w:hint="eastAsia" w:ascii="仿宋" w:hAnsi="仿宋" w:eastAsia="仿宋" w:cs="仿宋"/>
          <w:color w:val="auto"/>
          <w:sz w:val="24"/>
        </w:rPr>
        <w:t>（注：在正式签约时，根据上述精神应拟就更为详尽的合同书）</w:t>
      </w:r>
    </w:p>
    <w:p>
      <w:pPr>
        <w:pStyle w:val="21"/>
        <w:pageBreakBefore/>
        <w:spacing w:line="800" w:lineRule="exact"/>
        <w:ind w:firstLine="726"/>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p>
    <w:p>
      <w:pPr>
        <w:spacing w:line="440" w:lineRule="exact"/>
        <w:rPr>
          <w:rFonts w:ascii="仿宋" w:hAnsi="仿宋" w:eastAsia="仿宋" w:cs="仿宋"/>
          <w:b/>
          <w:bCs/>
          <w:iCs/>
          <w:color w:val="auto"/>
          <w:sz w:val="24"/>
        </w:rPr>
      </w:pPr>
      <w:r>
        <w:rPr>
          <w:rFonts w:hint="eastAsia" w:ascii="仿宋" w:hAnsi="仿宋" w:eastAsia="仿宋" w:cs="仿宋"/>
          <w:b/>
          <w:color w:val="auto"/>
          <w:sz w:val="24"/>
          <w:bdr w:val="single" w:color="auto" w:sz="4" w:space="0"/>
        </w:rPr>
        <w:t>01标</w:t>
      </w:r>
      <w:r>
        <w:rPr>
          <w:rFonts w:hint="eastAsia" w:ascii="仿宋" w:hAnsi="仿宋" w:eastAsia="仿宋" w:cs="仿宋"/>
          <w:b/>
          <w:bCs/>
          <w:iCs/>
          <w:color w:val="auto"/>
          <w:sz w:val="24"/>
        </w:rPr>
        <w:t xml:space="preserve"> 扫描电子显微镜设备（60分）</w:t>
      </w:r>
    </w:p>
    <w:tbl>
      <w:tblPr>
        <w:tblStyle w:val="39"/>
        <w:tblW w:w="5000" w:type="pct"/>
        <w:jc w:val="center"/>
        <w:tblLayout w:type="autofit"/>
        <w:tblCellMar>
          <w:top w:w="15" w:type="dxa"/>
          <w:left w:w="108" w:type="dxa"/>
          <w:bottom w:w="15" w:type="dxa"/>
          <w:right w:w="108" w:type="dxa"/>
        </w:tblCellMar>
      </w:tblPr>
      <w:tblGrid>
        <w:gridCol w:w="804"/>
        <w:gridCol w:w="1897"/>
        <w:gridCol w:w="6257"/>
      </w:tblGrid>
      <w:tr>
        <w:tblPrEx>
          <w:tblCellMar>
            <w:top w:w="15" w:type="dxa"/>
            <w:left w:w="108" w:type="dxa"/>
            <w:bottom w:w="15" w:type="dxa"/>
            <w:right w:w="108" w:type="dxa"/>
          </w:tblCellMar>
        </w:tblPrEx>
        <w:trPr>
          <w:trHeight w:val="697" w:hRule="atLeast"/>
          <w:jc w:val="center"/>
        </w:trPr>
        <w:tc>
          <w:tcPr>
            <w:tcW w:w="449" w:type="pct"/>
            <w:tcBorders>
              <w:top w:val="single" w:color="000000" w:sz="4" w:space="0"/>
              <w:left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序号</w:t>
            </w:r>
          </w:p>
        </w:tc>
        <w:tc>
          <w:tcPr>
            <w:tcW w:w="1059" w:type="pct"/>
            <w:tcBorders>
              <w:top w:val="single" w:color="000000" w:sz="4" w:space="0"/>
              <w:left w:val="single" w:color="000000" w:sz="4" w:space="0"/>
              <w:right w:val="single" w:color="auto" w:sz="4" w:space="0"/>
            </w:tcBorders>
            <w:vAlign w:val="center"/>
          </w:tcPr>
          <w:p>
            <w:pPr>
              <w:jc w:val="center"/>
              <w:rPr>
                <w:rFonts w:ascii="仿宋" w:hAnsi="仿宋" w:eastAsia="仿宋" w:cs="仿宋"/>
                <w:color w:val="auto"/>
              </w:rPr>
            </w:pPr>
            <w:r>
              <w:rPr>
                <w:rFonts w:hint="eastAsia" w:ascii="仿宋" w:hAnsi="仿宋" w:eastAsia="仿宋" w:cs="仿宋"/>
                <w:color w:val="auto"/>
              </w:rPr>
              <w:t>项目</w:t>
            </w:r>
          </w:p>
        </w:tc>
        <w:tc>
          <w:tcPr>
            <w:tcW w:w="3492" w:type="pct"/>
            <w:tcBorders>
              <w:top w:val="single" w:color="000000" w:sz="4" w:space="0"/>
              <w:left w:val="single" w:color="auto" w:sz="4" w:space="0"/>
              <w:right w:val="single" w:color="000000" w:sz="4" w:space="0"/>
            </w:tcBorders>
            <w:vAlign w:val="center"/>
          </w:tcPr>
          <w:p>
            <w:pPr>
              <w:jc w:val="center"/>
              <w:rPr>
                <w:rFonts w:ascii="仿宋" w:hAnsi="仿宋" w:eastAsia="仿宋" w:cs="仿宋"/>
                <w:color w:val="auto"/>
              </w:rPr>
            </w:pPr>
            <w:r>
              <w:rPr>
                <w:rFonts w:hint="eastAsia" w:ascii="仿宋" w:hAnsi="仿宋" w:eastAsia="仿宋" w:cs="仿宋"/>
                <w:color w:val="auto"/>
              </w:rPr>
              <w:t>评分标准</w:t>
            </w:r>
          </w:p>
        </w:tc>
      </w:tr>
      <w:tr>
        <w:tblPrEx>
          <w:tblCellMar>
            <w:top w:w="15" w:type="dxa"/>
            <w:left w:w="108" w:type="dxa"/>
            <w:bottom w:w="15" w:type="dxa"/>
            <w:right w:w="108" w:type="dxa"/>
          </w:tblCellMar>
        </w:tblPrEx>
        <w:trPr>
          <w:trHeight w:val="866" w:hRule="atLeast"/>
          <w:jc w:val="center"/>
        </w:trPr>
        <w:tc>
          <w:tcPr>
            <w:tcW w:w="449" w:type="pct"/>
            <w:tcBorders>
              <w:top w:val="single" w:color="000000" w:sz="4" w:space="0"/>
              <w:left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1</w:t>
            </w:r>
          </w:p>
        </w:tc>
        <w:tc>
          <w:tcPr>
            <w:tcW w:w="1059" w:type="pct"/>
            <w:tcBorders>
              <w:top w:val="single" w:color="000000" w:sz="4" w:space="0"/>
              <w:left w:val="single" w:color="000000" w:sz="4" w:space="0"/>
              <w:right w:val="single" w:color="000000" w:sz="4" w:space="0"/>
            </w:tcBorders>
            <w:vAlign w:val="center"/>
          </w:tcPr>
          <w:p>
            <w:pPr>
              <w:jc w:val="center"/>
              <w:rPr>
                <w:rFonts w:ascii="仿宋" w:hAnsi="仿宋" w:eastAsia="仿宋" w:cs="仿宋"/>
                <w:color w:val="auto"/>
              </w:rPr>
            </w:pPr>
            <w:r>
              <w:rPr>
                <w:rFonts w:hint="eastAsia" w:ascii="仿宋" w:hAnsi="仿宋" w:eastAsia="仿宋" w:cs="仿宋"/>
                <w:color w:val="auto"/>
              </w:rPr>
              <w:t>投标设备的性能及技术指标要求</w:t>
            </w:r>
          </w:p>
          <w:p>
            <w:pPr>
              <w:jc w:val="center"/>
              <w:rPr>
                <w:rFonts w:ascii="仿宋" w:hAnsi="仿宋" w:eastAsia="仿宋" w:cs="仿宋"/>
                <w:color w:val="auto"/>
              </w:rPr>
            </w:pPr>
            <w:r>
              <w:rPr>
                <w:rFonts w:hint="eastAsia" w:ascii="仿宋" w:hAnsi="仿宋" w:eastAsia="仿宋" w:cs="仿宋"/>
                <w:color w:val="auto"/>
              </w:rPr>
              <w:t>（30分）</w:t>
            </w:r>
          </w:p>
        </w:tc>
        <w:tc>
          <w:tcPr>
            <w:tcW w:w="3492" w:type="pct"/>
            <w:tcBorders>
              <w:top w:val="single" w:color="000000" w:sz="4" w:space="0"/>
              <w:left w:val="single" w:color="000000" w:sz="4" w:space="0"/>
              <w:right w:val="single" w:color="000000" w:sz="4" w:space="0"/>
            </w:tcBorders>
            <w:vAlign w:val="center"/>
          </w:tcPr>
          <w:p>
            <w:pPr>
              <w:rPr>
                <w:rFonts w:ascii="仿宋" w:hAnsi="仿宋" w:eastAsia="仿宋" w:cs="仿宋"/>
                <w:color w:val="auto"/>
              </w:rPr>
            </w:pPr>
            <w:r>
              <w:rPr>
                <w:rFonts w:hint="eastAsia" w:ascii="仿宋" w:hAnsi="仿宋" w:eastAsia="仿宋" w:cs="仿宋"/>
                <w:color w:val="auto"/>
              </w:rPr>
              <w:t>主要设备技术参数满足招标文件要求的得 30分，其中打“★”号的性能指标必须满足，如有负偏离作无效标处理。打“▲”号的性能指标每负偏离一项扣 4 分，其他项指标每负偏离一项扣 2 分，扣完为止。</w:t>
            </w:r>
          </w:p>
        </w:tc>
      </w:tr>
      <w:tr>
        <w:tblPrEx>
          <w:tblCellMar>
            <w:top w:w="15" w:type="dxa"/>
            <w:left w:w="108" w:type="dxa"/>
            <w:bottom w:w="15" w:type="dxa"/>
            <w:right w:w="108" w:type="dxa"/>
          </w:tblCellMar>
        </w:tblPrEx>
        <w:trPr>
          <w:trHeight w:val="866" w:hRule="atLeast"/>
          <w:jc w:val="center"/>
        </w:trPr>
        <w:tc>
          <w:tcPr>
            <w:tcW w:w="449" w:type="pct"/>
            <w:tcBorders>
              <w:top w:val="single" w:color="000000" w:sz="4" w:space="0"/>
              <w:left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2</w:t>
            </w:r>
          </w:p>
        </w:tc>
        <w:tc>
          <w:tcPr>
            <w:tcW w:w="1059" w:type="pct"/>
            <w:tcBorders>
              <w:top w:val="single" w:color="000000" w:sz="4" w:space="0"/>
              <w:left w:val="single" w:color="000000" w:sz="4" w:space="0"/>
              <w:right w:val="single" w:color="000000" w:sz="4" w:space="0"/>
            </w:tcBorders>
            <w:vAlign w:val="center"/>
          </w:tcPr>
          <w:p>
            <w:pPr>
              <w:jc w:val="center"/>
              <w:rPr>
                <w:rFonts w:ascii="仿宋" w:hAnsi="仿宋" w:eastAsia="仿宋" w:cs="仿宋"/>
                <w:color w:val="auto"/>
              </w:rPr>
            </w:pPr>
            <w:r>
              <w:rPr>
                <w:rFonts w:hint="eastAsia" w:ascii="仿宋" w:hAnsi="仿宋" w:eastAsia="仿宋" w:cs="仿宋"/>
                <w:color w:val="auto"/>
              </w:rPr>
              <w:t>销售业绩</w:t>
            </w:r>
          </w:p>
          <w:p>
            <w:pPr>
              <w:jc w:val="center"/>
              <w:rPr>
                <w:rFonts w:ascii="仿宋" w:hAnsi="仿宋" w:eastAsia="仿宋" w:cs="仿宋"/>
                <w:color w:val="auto"/>
              </w:rPr>
            </w:pPr>
            <w:r>
              <w:rPr>
                <w:rFonts w:hint="eastAsia" w:ascii="仿宋" w:hAnsi="仿宋" w:eastAsia="仿宋" w:cs="仿宋"/>
                <w:color w:val="auto"/>
              </w:rPr>
              <w:t>（1分）</w:t>
            </w:r>
          </w:p>
        </w:tc>
        <w:tc>
          <w:tcPr>
            <w:tcW w:w="3492" w:type="pct"/>
            <w:tcBorders>
              <w:top w:val="single" w:color="000000" w:sz="4" w:space="0"/>
              <w:left w:val="single" w:color="000000" w:sz="4" w:space="0"/>
              <w:right w:val="single" w:color="000000" w:sz="4" w:space="0"/>
            </w:tcBorders>
            <w:vAlign w:val="center"/>
          </w:tcPr>
          <w:p>
            <w:pPr>
              <w:rPr>
                <w:rFonts w:ascii="仿宋" w:hAnsi="仿宋" w:eastAsia="仿宋" w:cs="仿宋"/>
                <w:color w:val="auto"/>
              </w:rPr>
            </w:pPr>
            <w:r>
              <w:rPr>
                <w:rFonts w:hint="eastAsia" w:ascii="仿宋" w:hAnsi="仿宋" w:eastAsia="仿宋" w:cs="仿宋"/>
                <w:color w:val="auto"/>
              </w:rPr>
              <w:t>根据投标设备</w:t>
            </w:r>
            <w:r>
              <w:rPr>
                <w:rStyle w:val="47"/>
                <w:rFonts w:hint="eastAsia" w:ascii="仿宋" w:hAnsi="仿宋" w:eastAsia="仿宋" w:cs="仿宋"/>
                <w:color w:val="auto"/>
              </w:rPr>
              <w:t>在近</w:t>
            </w:r>
            <w:r>
              <w:rPr>
                <w:rFonts w:hint="eastAsia" w:ascii="仿宋" w:hAnsi="仿宋" w:eastAsia="仿宋" w:cs="仿宋"/>
                <w:color w:val="auto"/>
              </w:rPr>
              <w:t>三年(2017年11月30日开始)所提供的同类产品销售案例，每提供一份得0.5分，最高1分，提供合同复印件加盖</w:t>
            </w:r>
            <w:r>
              <w:rPr>
                <w:rFonts w:hint="eastAsia" w:ascii="仿宋" w:hAnsi="仿宋" w:eastAsia="仿宋" w:cs="仿宋"/>
                <w:color w:val="auto"/>
                <w:lang w:eastAsia="zh-CN"/>
              </w:rPr>
              <w:t>投标人</w:t>
            </w:r>
            <w:r>
              <w:rPr>
                <w:rFonts w:hint="eastAsia" w:ascii="仿宋" w:hAnsi="仿宋" w:eastAsia="仿宋" w:cs="仿宋"/>
                <w:color w:val="auto"/>
              </w:rPr>
              <w:t>公章，未提供不得分。</w:t>
            </w:r>
          </w:p>
        </w:tc>
      </w:tr>
      <w:tr>
        <w:tblPrEx>
          <w:tblCellMar>
            <w:top w:w="15" w:type="dxa"/>
            <w:left w:w="108" w:type="dxa"/>
            <w:bottom w:w="15" w:type="dxa"/>
            <w:right w:w="108" w:type="dxa"/>
          </w:tblCellMar>
        </w:tblPrEx>
        <w:trPr>
          <w:trHeight w:val="259"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3</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质量目标措施、安装进度、安全措施</w:t>
            </w:r>
          </w:p>
          <w:p>
            <w:pPr>
              <w:widowControl/>
              <w:jc w:val="center"/>
              <w:rPr>
                <w:rFonts w:ascii="仿宋" w:hAnsi="仿宋" w:eastAsia="仿宋" w:cs="仿宋"/>
                <w:color w:val="auto"/>
              </w:rPr>
            </w:pPr>
            <w:r>
              <w:rPr>
                <w:rFonts w:hint="eastAsia" w:ascii="仿宋" w:hAnsi="仿宋" w:eastAsia="仿宋" w:cs="仿宋"/>
                <w:color w:val="auto"/>
              </w:rPr>
              <w:t>（5分）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rPr>
            </w:pPr>
            <w:r>
              <w:rPr>
                <w:rFonts w:hint="eastAsia" w:ascii="仿宋" w:hAnsi="仿宋" w:eastAsia="仿宋" w:cs="仿宋"/>
                <w:color w:val="auto"/>
              </w:rPr>
              <w:t>对质量目标措施的可行性、供货安装进度的安排合理性、现场安全措施的可行性等方面进行综合评审，优得4.1-5.0分，良得2.1-4.0分，其他得0-2.0分。</w:t>
            </w:r>
          </w:p>
        </w:tc>
      </w:tr>
      <w:tr>
        <w:tblPrEx>
          <w:tblCellMar>
            <w:top w:w="15" w:type="dxa"/>
            <w:left w:w="108" w:type="dxa"/>
            <w:bottom w:w="15" w:type="dxa"/>
            <w:right w:w="108" w:type="dxa"/>
          </w:tblCellMar>
        </w:tblPrEx>
        <w:trPr>
          <w:trHeight w:val="683"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4</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设备稳定性、先进性（6分）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rPr>
            </w:pPr>
            <w:r>
              <w:rPr>
                <w:rFonts w:hint="eastAsia" w:ascii="仿宋" w:hAnsi="仿宋" w:eastAsia="仿宋" w:cs="仿宋"/>
                <w:color w:val="auto"/>
              </w:rPr>
              <w:t>根据投标设备的技术先进性、易用性、稳定性进行评价，考虑所投产品的成熟性、用户认可度，优得5.1-6.0分，良得4.1-5.0分，一般得2.1-4.0分，其他得0-2.0分。</w:t>
            </w:r>
          </w:p>
        </w:tc>
      </w:tr>
      <w:tr>
        <w:tblPrEx>
          <w:tblCellMar>
            <w:top w:w="15" w:type="dxa"/>
            <w:left w:w="108" w:type="dxa"/>
            <w:bottom w:w="15" w:type="dxa"/>
            <w:right w:w="108" w:type="dxa"/>
          </w:tblCellMar>
        </w:tblPrEx>
        <w:trPr>
          <w:trHeight w:val="455"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5</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质保期</w:t>
            </w:r>
          </w:p>
          <w:p>
            <w:pPr>
              <w:widowControl/>
              <w:jc w:val="center"/>
              <w:rPr>
                <w:rFonts w:ascii="仿宋" w:hAnsi="仿宋" w:eastAsia="仿宋" w:cs="仿宋"/>
                <w:color w:val="auto"/>
              </w:rPr>
            </w:pPr>
            <w:r>
              <w:rPr>
                <w:rFonts w:hint="eastAsia" w:ascii="仿宋" w:hAnsi="仿宋" w:eastAsia="仿宋" w:cs="仿宋"/>
                <w:color w:val="auto"/>
              </w:rPr>
              <w:t>（2分）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rPr>
            </w:pPr>
            <w:r>
              <w:rPr>
                <w:rFonts w:hint="eastAsia" w:ascii="仿宋" w:hAnsi="仿宋" w:eastAsia="仿宋" w:cs="仿宋"/>
                <w:color w:val="auto"/>
              </w:rPr>
              <w:t>在满足招标文件免费质保年限要求的基础上，每延长免费原厂质保期1年得1分，最高得2分。不满足招标文件基本要求的做无效投标处理。</w:t>
            </w:r>
          </w:p>
        </w:tc>
      </w:tr>
      <w:tr>
        <w:tblPrEx>
          <w:tblCellMar>
            <w:top w:w="15" w:type="dxa"/>
            <w:left w:w="108" w:type="dxa"/>
            <w:bottom w:w="15" w:type="dxa"/>
            <w:right w:w="108" w:type="dxa"/>
          </w:tblCellMar>
        </w:tblPrEx>
        <w:trPr>
          <w:trHeight w:val="911"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6</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技术支持及售后服务等（6分）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根据投标人及所投产品提供的技术支持和售后服务方案（包括售后服务承诺和履约保证、售后服务范围、维修保养具体内容、具体服务标准、人员配备，服务网点、优惠条件情况）等方面进行综合评审，优得4.1-6.0分，良得2.1-4.0分，其他0-2.0分。未提供的此项不得分。</w:t>
            </w:r>
          </w:p>
        </w:tc>
      </w:tr>
      <w:tr>
        <w:tblPrEx>
          <w:tblCellMar>
            <w:top w:w="15" w:type="dxa"/>
            <w:left w:w="108" w:type="dxa"/>
            <w:bottom w:w="15" w:type="dxa"/>
            <w:right w:w="108" w:type="dxa"/>
          </w:tblCellMar>
        </w:tblPrEx>
        <w:trPr>
          <w:trHeight w:val="683"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7</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配件及耗材优惠</w:t>
            </w:r>
          </w:p>
          <w:p>
            <w:pPr>
              <w:widowControl/>
              <w:jc w:val="center"/>
              <w:rPr>
                <w:rFonts w:ascii="仿宋" w:hAnsi="仿宋" w:eastAsia="仿宋" w:cs="仿宋"/>
                <w:color w:val="auto"/>
              </w:rPr>
            </w:pPr>
            <w:r>
              <w:rPr>
                <w:rFonts w:hint="eastAsia" w:ascii="仿宋" w:hAnsi="仿宋" w:eastAsia="仿宋" w:cs="仿宋"/>
                <w:color w:val="auto"/>
              </w:rPr>
              <w:t>（3分）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根据投标人提供的随机耗材、备品配件、易损件是否齐全，保修期内外选购价格是否合理进行综合评审，优得2.1-3.0分，良得1.1-2.0分，其他0-1.0分。</w:t>
            </w:r>
          </w:p>
        </w:tc>
      </w:tr>
      <w:tr>
        <w:tblPrEx>
          <w:tblCellMar>
            <w:top w:w="15" w:type="dxa"/>
            <w:left w:w="108" w:type="dxa"/>
            <w:bottom w:w="15" w:type="dxa"/>
            <w:right w:w="108" w:type="dxa"/>
          </w:tblCellMar>
        </w:tblPrEx>
        <w:trPr>
          <w:trHeight w:val="683"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8</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培训（4分）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根据投标人提供的相应产品的培训，培训方案、时间、内容、地点、人员数等，横向对比综合评审，优得3.1-4.0分，良得2.1-3.0分，一般0-2.0分，未提供此项不得分。</w:t>
            </w:r>
          </w:p>
        </w:tc>
      </w:tr>
      <w:tr>
        <w:tblPrEx>
          <w:tblCellMar>
            <w:top w:w="15" w:type="dxa"/>
            <w:left w:w="108" w:type="dxa"/>
            <w:bottom w:w="15" w:type="dxa"/>
            <w:right w:w="108" w:type="dxa"/>
          </w:tblCellMar>
        </w:tblPrEx>
        <w:trPr>
          <w:trHeight w:val="882"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9</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合理化建议（3分）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根据投标文件制作情况(包括商务、技术)，询标情况、合理化建议、服务质量用户反映等情况进行评审，优得2.1-3.0分，良得1.1-2.0分，其他0-1.0分。</w:t>
            </w:r>
          </w:p>
        </w:tc>
      </w:tr>
    </w:tbl>
    <w:p>
      <w:pPr>
        <w:spacing w:line="440" w:lineRule="exact"/>
        <w:rPr>
          <w:rFonts w:ascii="仿宋" w:hAnsi="仿宋" w:eastAsia="仿宋" w:cs="仿宋"/>
          <w:b/>
          <w:bCs/>
          <w:iCs/>
          <w:color w:val="auto"/>
          <w:sz w:val="24"/>
        </w:rPr>
      </w:pPr>
      <w:r>
        <w:rPr>
          <w:rFonts w:hint="eastAsia" w:ascii="仿宋" w:hAnsi="仿宋" w:eastAsia="仿宋" w:cs="仿宋"/>
          <w:b/>
          <w:color w:val="auto"/>
          <w:sz w:val="24"/>
          <w:bdr w:val="single" w:color="auto" w:sz="4" w:space="0"/>
        </w:rPr>
        <w:t>02标</w:t>
      </w:r>
      <w:r>
        <w:rPr>
          <w:rFonts w:hint="eastAsia" w:ascii="仿宋" w:hAnsi="仿宋" w:eastAsia="仿宋" w:cs="仿宋"/>
          <w:b/>
          <w:bCs/>
          <w:iCs/>
          <w:color w:val="auto"/>
          <w:sz w:val="24"/>
        </w:rPr>
        <w:t xml:space="preserve"> 织物风格手感测试系统设备（60分）</w:t>
      </w:r>
    </w:p>
    <w:tbl>
      <w:tblPr>
        <w:tblStyle w:val="39"/>
        <w:tblW w:w="5000" w:type="pct"/>
        <w:jc w:val="center"/>
        <w:tblLayout w:type="autofit"/>
        <w:tblCellMar>
          <w:top w:w="15" w:type="dxa"/>
          <w:left w:w="108" w:type="dxa"/>
          <w:bottom w:w="15" w:type="dxa"/>
          <w:right w:w="108" w:type="dxa"/>
        </w:tblCellMar>
      </w:tblPr>
      <w:tblGrid>
        <w:gridCol w:w="804"/>
        <w:gridCol w:w="1897"/>
        <w:gridCol w:w="6257"/>
      </w:tblGrid>
      <w:tr>
        <w:tblPrEx>
          <w:tblCellMar>
            <w:top w:w="15" w:type="dxa"/>
            <w:left w:w="108" w:type="dxa"/>
            <w:bottom w:w="15" w:type="dxa"/>
            <w:right w:w="108" w:type="dxa"/>
          </w:tblCellMar>
        </w:tblPrEx>
        <w:trPr>
          <w:trHeight w:val="697" w:hRule="atLeast"/>
          <w:jc w:val="center"/>
        </w:trPr>
        <w:tc>
          <w:tcPr>
            <w:tcW w:w="449" w:type="pct"/>
            <w:tcBorders>
              <w:top w:val="single" w:color="000000" w:sz="4" w:space="0"/>
              <w:left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序号</w:t>
            </w:r>
          </w:p>
        </w:tc>
        <w:tc>
          <w:tcPr>
            <w:tcW w:w="1059" w:type="pct"/>
            <w:tcBorders>
              <w:top w:val="single" w:color="000000" w:sz="4" w:space="0"/>
              <w:left w:val="single" w:color="000000" w:sz="4" w:space="0"/>
              <w:right w:val="single" w:color="auto" w:sz="4" w:space="0"/>
            </w:tcBorders>
            <w:vAlign w:val="center"/>
          </w:tcPr>
          <w:p>
            <w:pPr>
              <w:jc w:val="center"/>
              <w:rPr>
                <w:rFonts w:ascii="仿宋" w:hAnsi="仿宋" w:eastAsia="仿宋" w:cs="仿宋"/>
                <w:color w:val="auto"/>
              </w:rPr>
            </w:pPr>
            <w:r>
              <w:rPr>
                <w:rFonts w:hint="eastAsia" w:ascii="仿宋" w:hAnsi="仿宋" w:eastAsia="仿宋" w:cs="仿宋"/>
                <w:color w:val="auto"/>
              </w:rPr>
              <w:t>项目</w:t>
            </w:r>
          </w:p>
        </w:tc>
        <w:tc>
          <w:tcPr>
            <w:tcW w:w="3492" w:type="pct"/>
            <w:tcBorders>
              <w:top w:val="single" w:color="000000" w:sz="4" w:space="0"/>
              <w:left w:val="single" w:color="auto" w:sz="4" w:space="0"/>
              <w:right w:val="single" w:color="000000" w:sz="4" w:space="0"/>
            </w:tcBorders>
            <w:vAlign w:val="center"/>
          </w:tcPr>
          <w:p>
            <w:pPr>
              <w:jc w:val="center"/>
              <w:rPr>
                <w:rFonts w:ascii="仿宋" w:hAnsi="仿宋" w:eastAsia="仿宋" w:cs="仿宋"/>
                <w:color w:val="auto"/>
              </w:rPr>
            </w:pPr>
            <w:r>
              <w:rPr>
                <w:rFonts w:hint="eastAsia" w:ascii="仿宋" w:hAnsi="仿宋" w:eastAsia="仿宋" w:cs="仿宋"/>
                <w:color w:val="auto"/>
              </w:rPr>
              <w:t>评分标准</w:t>
            </w:r>
          </w:p>
        </w:tc>
      </w:tr>
      <w:tr>
        <w:tblPrEx>
          <w:tblCellMar>
            <w:top w:w="15" w:type="dxa"/>
            <w:left w:w="108" w:type="dxa"/>
            <w:bottom w:w="15" w:type="dxa"/>
            <w:right w:w="108" w:type="dxa"/>
          </w:tblCellMar>
        </w:tblPrEx>
        <w:trPr>
          <w:trHeight w:val="866" w:hRule="atLeast"/>
          <w:jc w:val="center"/>
        </w:trPr>
        <w:tc>
          <w:tcPr>
            <w:tcW w:w="449" w:type="pct"/>
            <w:tcBorders>
              <w:top w:val="single" w:color="000000" w:sz="4" w:space="0"/>
              <w:left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1</w:t>
            </w:r>
          </w:p>
        </w:tc>
        <w:tc>
          <w:tcPr>
            <w:tcW w:w="1059" w:type="pct"/>
            <w:tcBorders>
              <w:top w:val="single" w:color="000000" w:sz="4" w:space="0"/>
              <w:left w:val="single" w:color="000000" w:sz="4" w:space="0"/>
              <w:right w:val="single" w:color="000000" w:sz="4" w:space="0"/>
            </w:tcBorders>
            <w:vAlign w:val="center"/>
          </w:tcPr>
          <w:p>
            <w:pPr>
              <w:jc w:val="center"/>
              <w:rPr>
                <w:rFonts w:ascii="仿宋" w:hAnsi="仿宋" w:eastAsia="仿宋" w:cs="仿宋"/>
                <w:color w:val="auto"/>
              </w:rPr>
            </w:pPr>
            <w:r>
              <w:rPr>
                <w:rFonts w:hint="eastAsia" w:ascii="仿宋" w:hAnsi="仿宋" w:eastAsia="仿宋" w:cs="仿宋"/>
                <w:color w:val="auto"/>
              </w:rPr>
              <w:t>投标设备的性能及技术指标要求（30分）</w:t>
            </w:r>
          </w:p>
        </w:tc>
        <w:tc>
          <w:tcPr>
            <w:tcW w:w="3492" w:type="pct"/>
            <w:tcBorders>
              <w:top w:val="single" w:color="000000" w:sz="4" w:space="0"/>
              <w:left w:val="single" w:color="000000" w:sz="4" w:space="0"/>
              <w:right w:val="single" w:color="000000" w:sz="4" w:space="0"/>
            </w:tcBorders>
            <w:vAlign w:val="center"/>
          </w:tcPr>
          <w:p>
            <w:pPr>
              <w:rPr>
                <w:rFonts w:ascii="仿宋" w:hAnsi="仿宋" w:eastAsia="仿宋" w:cs="仿宋"/>
                <w:color w:val="auto"/>
              </w:rPr>
            </w:pPr>
            <w:r>
              <w:rPr>
                <w:rFonts w:hint="eastAsia" w:ascii="仿宋" w:hAnsi="仿宋" w:eastAsia="仿宋" w:cs="仿宋"/>
                <w:color w:val="auto"/>
              </w:rPr>
              <w:t>主要设备技术参数满足招标文件要求的得 30分，其中打“★”号的性能指标必须满足，如有负偏离作无效标处理。打“▲”号的性能指标每负偏离一项扣 4 分，其他项指标每负偏离一项扣 2 分，扣完为止。</w:t>
            </w:r>
          </w:p>
        </w:tc>
      </w:tr>
      <w:tr>
        <w:tblPrEx>
          <w:tblCellMar>
            <w:top w:w="15" w:type="dxa"/>
            <w:left w:w="108" w:type="dxa"/>
            <w:bottom w:w="15" w:type="dxa"/>
            <w:right w:w="108" w:type="dxa"/>
          </w:tblCellMar>
        </w:tblPrEx>
        <w:trPr>
          <w:trHeight w:val="866" w:hRule="atLeast"/>
          <w:jc w:val="center"/>
        </w:trPr>
        <w:tc>
          <w:tcPr>
            <w:tcW w:w="449" w:type="pct"/>
            <w:tcBorders>
              <w:top w:val="single" w:color="000000" w:sz="4" w:space="0"/>
              <w:left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2</w:t>
            </w:r>
          </w:p>
        </w:tc>
        <w:tc>
          <w:tcPr>
            <w:tcW w:w="1059" w:type="pct"/>
            <w:tcBorders>
              <w:top w:val="single" w:color="000000" w:sz="4" w:space="0"/>
              <w:left w:val="single" w:color="000000" w:sz="4" w:space="0"/>
              <w:right w:val="single" w:color="000000" w:sz="4" w:space="0"/>
            </w:tcBorders>
            <w:vAlign w:val="center"/>
          </w:tcPr>
          <w:p>
            <w:pPr>
              <w:jc w:val="center"/>
              <w:rPr>
                <w:rFonts w:ascii="仿宋" w:hAnsi="仿宋" w:eastAsia="仿宋" w:cs="仿宋"/>
                <w:color w:val="auto"/>
              </w:rPr>
            </w:pPr>
            <w:r>
              <w:rPr>
                <w:rFonts w:hint="eastAsia" w:ascii="仿宋" w:hAnsi="仿宋" w:eastAsia="仿宋" w:cs="仿宋"/>
                <w:color w:val="auto"/>
              </w:rPr>
              <w:t>销售业绩（1分）</w:t>
            </w:r>
          </w:p>
        </w:tc>
        <w:tc>
          <w:tcPr>
            <w:tcW w:w="3492" w:type="pct"/>
            <w:tcBorders>
              <w:top w:val="single" w:color="000000" w:sz="4" w:space="0"/>
              <w:left w:val="single" w:color="000000" w:sz="4" w:space="0"/>
              <w:right w:val="single" w:color="000000" w:sz="4" w:space="0"/>
            </w:tcBorders>
            <w:vAlign w:val="center"/>
          </w:tcPr>
          <w:p>
            <w:pPr>
              <w:rPr>
                <w:rFonts w:ascii="仿宋" w:hAnsi="仿宋" w:eastAsia="仿宋" w:cs="仿宋"/>
                <w:color w:val="auto"/>
              </w:rPr>
            </w:pPr>
            <w:r>
              <w:rPr>
                <w:rFonts w:hint="eastAsia" w:ascii="仿宋" w:hAnsi="仿宋" w:eastAsia="仿宋" w:cs="仿宋"/>
                <w:color w:val="auto"/>
              </w:rPr>
              <w:t>根据投标设备在近三年(2017年11月30日开始)所提供的同类产品销售案例，每提供一份得0.5分，最高1分，提供合同复印件加盖</w:t>
            </w:r>
            <w:r>
              <w:rPr>
                <w:rFonts w:hint="eastAsia" w:ascii="仿宋" w:hAnsi="仿宋" w:eastAsia="仿宋" w:cs="仿宋"/>
                <w:color w:val="auto"/>
                <w:lang w:eastAsia="zh-CN"/>
              </w:rPr>
              <w:t>投标人</w:t>
            </w:r>
            <w:r>
              <w:rPr>
                <w:rFonts w:hint="eastAsia" w:ascii="仿宋" w:hAnsi="仿宋" w:eastAsia="仿宋" w:cs="仿宋"/>
                <w:color w:val="auto"/>
              </w:rPr>
              <w:t>公章，未提供不得分。</w:t>
            </w:r>
          </w:p>
        </w:tc>
      </w:tr>
      <w:tr>
        <w:tblPrEx>
          <w:tblCellMar>
            <w:top w:w="15" w:type="dxa"/>
            <w:left w:w="108" w:type="dxa"/>
            <w:bottom w:w="15" w:type="dxa"/>
            <w:right w:w="108" w:type="dxa"/>
          </w:tblCellMar>
        </w:tblPrEx>
        <w:trPr>
          <w:trHeight w:val="259"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3</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质量目标措施、安装进度、安全措施</w:t>
            </w:r>
          </w:p>
          <w:p>
            <w:pPr>
              <w:widowControl/>
              <w:jc w:val="center"/>
              <w:rPr>
                <w:rFonts w:ascii="仿宋" w:hAnsi="仿宋" w:eastAsia="仿宋" w:cs="仿宋"/>
                <w:color w:val="auto"/>
              </w:rPr>
            </w:pPr>
            <w:r>
              <w:rPr>
                <w:rFonts w:hint="eastAsia" w:ascii="仿宋" w:hAnsi="仿宋" w:eastAsia="仿宋" w:cs="仿宋"/>
                <w:color w:val="auto"/>
              </w:rPr>
              <w:t>（5分）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rPr>
            </w:pPr>
            <w:r>
              <w:rPr>
                <w:rFonts w:hint="eastAsia" w:ascii="仿宋" w:hAnsi="仿宋" w:eastAsia="仿宋" w:cs="仿宋"/>
                <w:color w:val="auto"/>
              </w:rPr>
              <w:t>对质量目标措施的可行性、供货安装进度的安排合理性、现场安全措施的可行性等方面进行综合评审，优得4.1-5.0分，良得2.1-4.0分，其他得0-2.0分。</w:t>
            </w:r>
          </w:p>
        </w:tc>
      </w:tr>
      <w:tr>
        <w:trPr>
          <w:trHeight w:val="683"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4</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设备稳定性、先进性（6分）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rPr>
            </w:pPr>
            <w:r>
              <w:rPr>
                <w:rFonts w:hint="eastAsia" w:ascii="仿宋" w:hAnsi="仿宋" w:eastAsia="仿宋" w:cs="仿宋"/>
                <w:color w:val="auto"/>
              </w:rPr>
              <w:t>根据投标设备的技术先进性、易用性、稳定性进行评价，考虑所投产品的成熟性、用户认可度，优得5.1-6.0分，良得4.1-5.0分，一般得2.1-4.0分，其他得0-2.0分。</w:t>
            </w:r>
          </w:p>
        </w:tc>
      </w:tr>
      <w:tr>
        <w:tblPrEx>
          <w:tblCellMar>
            <w:top w:w="15" w:type="dxa"/>
            <w:left w:w="108" w:type="dxa"/>
            <w:bottom w:w="15" w:type="dxa"/>
            <w:right w:w="108" w:type="dxa"/>
          </w:tblCellMar>
        </w:tblPrEx>
        <w:trPr>
          <w:trHeight w:val="455"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5</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质保期（2分）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rPr>
            </w:pPr>
            <w:r>
              <w:rPr>
                <w:rFonts w:hint="eastAsia" w:ascii="仿宋" w:hAnsi="仿宋" w:eastAsia="仿宋" w:cs="仿宋"/>
                <w:color w:val="auto"/>
              </w:rPr>
              <w:t>在满足招标文件免费质保年限要求的基础上，每延长免费原厂质保期1年得1分，最高得2分。不满足招标文件基本要求的做无效投标处理。</w:t>
            </w:r>
          </w:p>
        </w:tc>
      </w:tr>
      <w:tr>
        <w:tblPrEx>
          <w:tblCellMar>
            <w:top w:w="15" w:type="dxa"/>
            <w:left w:w="108" w:type="dxa"/>
            <w:bottom w:w="15" w:type="dxa"/>
            <w:right w:w="108" w:type="dxa"/>
          </w:tblCellMar>
        </w:tblPrEx>
        <w:trPr>
          <w:trHeight w:val="911"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6</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技术支持及售后服务等（6分）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根据投标人及所投产品提供的技术支持和售后服务方案（包括售后服务承诺和履约保证、售后服务范围、维修保养具体内容、具体服务标准、人员配备，服务网点、优惠条件情况）等方面进行综合评审，优得4.1-6.0分，良得2.1-4.0分，其他0-2.0分。未提供此项不得分。</w:t>
            </w:r>
          </w:p>
        </w:tc>
      </w:tr>
      <w:tr>
        <w:tblPrEx>
          <w:tblCellMar>
            <w:top w:w="15" w:type="dxa"/>
            <w:left w:w="108" w:type="dxa"/>
            <w:bottom w:w="15" w:type="dxa"/>
            <w:right w:w="108" w:type="dxa"/>
          </w:tblCellMar>
        </w:tblPrEx>
        <w:trPr>
          <w:trHeight w:val="683"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7</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配件及耗材优惠</w:t>
            </w:r>
          </w:p>
          <w:p>
            <w:pPr>
              <w:widowControl/>
              <w:jc w:val="center"/>
              <w:rPr>
                <w:rFonts w:ascii="仿宋" w:hAnsi="仿宋" w:eastAsia="仿宋" w:cs="仿宋"/>
                <w:color w:val="auto"/>
              </w:rPr>
            </w:pPr>
            <w:r>
              <w:rPr>
                <w:rFonts w:hint="eastAsia" w:ascii="仿宋" w:hAnsi="仿宋" w:eastAsia="仿宋" w:cs="仿宋"/>
                <w:color w:val="auto"/>
              </w:rPr>
              <w:t>（3分）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根据投标人提供的随机耗材、备品配件、易损件是否齐全，保修期内外选购价格是否合理进行综合评审，优得2.1-3.0分，良得1.1-2.0分，其他0-1.0分。</w:t>
            </w:r>
          </w:p>
        </w:tc>
      </w:tr>
      <w:tr>
        <w:tblPrEx>
          <w:tblCellMar>
            <w:top w:w="15" w:type="dxa"/>
            <w:left w:w="108" w:type="dxa"/>
            <w:bottom w:w="15" w:type="dxa"/>
            <w:right w:w="108" w:type="dxa"/>
          </w:tblCellMar>
        </w:tblPrEx>
        <w:trPr>
          <w:trHeight w:val="683"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8</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培训</w:t>
            </w:r>
          </w:p>
          <w:p>
            <w:pPr>
              <w:widowControl/>
              <w:jc w:val="center"/>
              <w:rPr>
                <w:rFonts w:ascii="仿宋" w:hAnsi="仿宋" w:eastAsia="仿宋" w:cs="仿宋"/>
                <w:color w:val="auto"/>
              </w:rPr>
            </w:pPr>
            <w:r>
              <w:rPr>
                <w:rFonts w:hint="eastAsia" w:ascii="仿宋" w:hAnsi="仿宋" w:eastAsia="仿宋" w:cs="仿宋"/>
                <w:color w:val="auto"/>
              </w:rPr>
              <w:t>（4分）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根据投标人提供的相应产品的培训，培训方案、时间、内容、地点、人员数等，横向对比综合评审，优得3.1-4.0分，良得2.1-3.0分，一般0-2.0分，未提供此项不得分。</w:t>
            </w:r>
          </w:p>
        </w:tc>
      </w:tr>
      <w:tr>
        <w:tblPrEx>
          <w:tblCellMar>
            <w:top w:w="15" w:type="dxa"/>
            <w:left w:w="108" w:type="dxa"/>
            <w:bottom w:w="15" w:type="dxa"/>
            <w:right w:w="108" w:type="dxa"/>
          </w:tblCellMar>
        </w:tblPrEx>
        <w:trPr>
          <w:trHeight w:val="882" w:hRule="atLeast"/>
          <w:jc w:val="center"/>
        </w:trPr>
        <w:tc>
          <w:tcPr>
            <w:tcW w:w="44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9</w:t>
            </w:r>
          </w:p>
        </w:tc>
        <w:tc>
          <w:tcPr>
            <w:tcW w:w="1059"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color w:val="auto"/>
              </w:rPr>
            </w:pPr>
            <w:r>
              <w:rPr>
                <w:rFonts w:hint="eastAsia" w:ascii="仿宋" w:hAnsi="仿宋" w:eastAsia="仿宋" w:cs="仿宋"/>
                <w:color w:val="auto"/>
              </w:rPr>
              <w:t>合理化建议</w:t>
            </w:r>
          </w:p>
          <w:p>
            <w:pPr>
              <w:widowControl/>
              <w:jc w:val="center"/>
              <w:rPr>
                <w:rFonts w:ascii="仿宋" w:hAnsi="仿宋" w:eastAsia="仿宋" w:cs="仿宋"/>
                <w:color w:val="auto"/>
              </w:rPr>
            </w:pPr>
            <w:r>
              <w:rPr>
                <w:rFonts w:hint="eastAsia" w:ascii="仿宋" w:hAnsi="仿宋" w:eastAsia="仿宋" w:cs="仿宋"/>
                <w:color w:val="auto"/>
              </w:rPr>
              <w:t>（3分）</w:t>
            </w:r>
          </w:p>
        </w:tc>
        <w:tc>
          <w:tcPr>
            <w:tcW w:w="3492" w:type="pct"/>
            <w:tcBorders>
              <w:top w:val="single" w:color="000000" w:sz="4" w:space="0"/>
              <w:left w:val="single" w:color="000000" w:sz="4" w:space="0"/>
              <w:bottom w:val="single" w:color="000000" w:sz="4" w:space="0"/>
              <w:right w:val="single" w:color="000000" w:sz="4" w:space="0"/>
            </w:tcBorders>
            <w:vAlign w:val="center"/>
          </w:tcPr>
          <w:p>
            <w:pPr>
              <w:widowControl/>
              <w:rPr>
                <w:rFonts w:ascii="仿宋" w:hAnsi="仿宋" w:eastAsia="仿宋" w:cs="仿宋"/>
                <w:color w:val="auto"/>
                <w:kern w:val="0"/>
              </w:rPr>
            </w:pPr>
            <w:r>
              <w:rPr>
                <w:rFonts w:hint="eastAsia" w:ascii="仿宋" w:hAnsi="仿宋" w:eastAsia="仿宋" w:cs="仿宋"/>
                <w:color w:val="auto"/>
              </w:rPr>
              <w:t xml:space="preserve">根据投标文件制作情况(包括商务、技术)，询标情况、合理化建议、服务质量用户反映等情况进行比较评审，优得2.1-3.0分，良得1.1-2.0分，其他0-1.0分。 </w:t>
            </w:r>
          </w:p>
        </w:tc>
      </w:tr>
    </w:tbl>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2.2价格分4</w:t>
      </w:r>
      <w:r>
        <w:rPr>
          <w:rFonts w:hint="eastAsia" w:ascii="仿宋" w:hAnsi="仿宋" w:eastAsia="仿宋" w:cs="仿宋"/>
          <w:b/>
          <w:color w:val="auto"/>
          <w:sz w:val="24"/>
        </w:rPr>
        <w:t>0分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r>
        <w:rPr>
          <w:rFonts w:hint="eastAsia" w:ascii="仿宋" w:hAnsi="仿宋" w:eastAsia="仿宋" w:cs="仿宋"/>
          <w:color w:val="auto"/>
          <w:sz w:val="24"/>
        </w:rPr>
        <w:t>保留小数2位</w:t>
      </w:r>
      <w:r>
        <w:rPr>
          <w:rFonts w:hint="eastAsia" w:ascii="仿宋" w:hAnsi="仿宋" w:eastAsia="仿宋" w:cs="仿宋"/>
          <w:bCs/>
          <w:iCs/>
          <w:color w:val="auto"/>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rPr>
      </w:pPr>
      <w:r>
        <w:rPr>
          <w:rFonts w:hint="eastAsia" w:ascii="仿宋" w:hAnsi="仿宋" w:eastAsia="仿宋" w:cs="仿宋"/>
          <w:bCs/>
          <w:iCs/>
          <w:color w:val="auto"/>
          <w:sz w:val="24"/>
        </w:rPr>
        <w:t>即：投标报价得分=(评标基准价／投标报价)×40</w:t>
      </w:r>
    </w:p>
    <w:p>
      <w:pPr>
        <w:snapToGrid w:val="0"/>
        <w:rPr>
          <w:rFonts w:ascii="仿宋" w:hAnsi="仿宋" w:eastAsia="仿宋" w:cs="仿宋"/>
          <w:b/>
          <w:color w:val="auto"/>
          <w:sz w:val="24"/>
          <w:u w:val="single"/>
        </w:rPr>
      </w:pPr>
    </w:p>
    <w:p>
      <w:pPr>
        <w:snapToGrid w:val="0"/>
        <w:rPr>
          <w:rFonts w:ascii="仿宋" w:hAnsi="仿宋" w:eastAsia="仿宋" w:cs="仿宋"/>
          <w:b/>
          <w:color w:val="auto"/>
          <w:sz w:val="24"/>
          <w:u w:val="single"/>
        </w:rPr>
      </w:pPr>
    </w:p>
    <w:p>
      <w:pPr>
        <w:snapToGrid w:val="0"/>
        <w:rPr>
          <w:rFonts w:ascii="仿宋" w:hAnsi="仿宋" w:eastAsia="仿宋" w:cs="仿宋"/>
          <w:b/>
          <w:color w:val="auto"/>
          <w:sz w:val="24"/>
          <w:u w:val="single"/>
        </w:rPr>
      </w:pPr>
    </w:p>
    <w:p>
      <w:pPr>
        <w:snapToGrid w:val="0"/>
        <w:rPr>
          <w:rFonts w:ascii="仿宋" w:hAnsi="仿宋" w:eastAsia="仿宋" w:cs="仿宋"/>
          <w:b/>
          <w:color w:val="auto"/>
          <w:sz w:val="24"/>
          <w:u w:val="single"/>
        </w:rPr>
      </w:pPr>
    </w:p>
    <w:p>
      <w:pPr>
        <w:snapToGrid w:val="0"/>
        <w:rPr>
          <w:rFonts w:ascii="仿宋" w:hAnsi="仿宋" w:eastAsia="仿宋" w:cs="仿宋"/>
          <w:b/>
          <w:color w:val="auto"/>
          <w:sz w:val="24"/>
          <w:u w:val="single"/>
        </w:rPr>
      </w:pPr>
    </w:p>
    <w:bookmarkEnd w:id="7"/>
    <w:bookmarkEnd w:id="8"/>
    <w:bookmarkEnd w:id="9"/>
    <w:bookmarkEnd w:id="10"/>
    <w:p>
      <w:pPr>
        <w:pageBreakBefore/>
        <w:snapToGrid w:val="0"/>
        <w:spacing w:line="360" w:lineRule="auto"/>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pacing w:line="360" w:lineRule="auto"/>
        <w:ind w:firstLine="480" w:firstLineChars="200"/>
        <w:outlineLvl w:val="0"/>
        <w:rPr>
          <w:rFonts w:ascii="仿宋" w:hAnsi="仿宋" w:eastAsia="仿宋" w:cs="仿宋"/>
          <w:color w:val="auto"/>
          <w:sz w:val="24"/>
        </w:rPr>
      </w:pPr>
    </w:p>
    <w:p>
      <w:pPr>
        <w:snapToGrid w:val="0"/>
        <w:spacing w:line="360"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spacing w:line="360" w:lineRule="auto"/>
        <w:ind w:left="2" w:firstLine="480" w:firstLineChars="200"/>
        <w:rPr>
          <w:rFonts w:ascii="仿宋" w:hAnsi="仿宋" w:eastAsia="仿宋" w:cs="仿宋"/>
          <w:color w:val="auto"/>
          <w:kern w:val="0"/>
          <w:sz w:val="24"/>
        </w:rPr>
      </w:pPr>
    </w:p>
    <w:p>
      <w:pPr>
        <w:spacing w:line="360" w:lineRule="auto"/>
        <w:ind w:left="2" w:firstLine="480" w:firstLineChars="200"/>
        <w:rPr>
          <w:rFonts w:ascii="仿宋" w:hAnsi="仿宋" w:eastAsia="仿宋" w:cs="仿宋"/>
          <w:color w:val="auto"/>
          <w:kern w:val="0"/>
          <w:sz w:val="24"/>
        </w:rPr>
      </w:pPr>
    </w:p>
    <w:p>
      <w:pPr>
        <w:spacing w:line="360" w:lineRule="auto"/>
        <w:ind w:left="2" w:firstLine="480" w:firstLineChars="200"/>
        <w:rPr>
          <w:rFonts w:ascii="仿宋" w:hAnsi="仿宋" w:eastAsia="仿宋" w:cs="仿宋"/>
          <w:color w:val="auto"/>
          <w:kern w:val="0"/>
          <w:sz w:val="24"/>
        </w:rPr>
      </w:pPr>
    </w:p>
    <w:p>
      <w:pPr>
        <w:spacing w:line="360" w:lineRule="auto"/>
        <w:ind w:left="2" w:firstLine="480" w:firstLineChars="200"/>
        <w:rPr>
          <w:rFonts w:ascii="仿宋" w:hAnsi="仿宋" w:eastAsia="仿宋" w:cs="仿宋"/>
          <w:color w:val="auto"/>
          <w:sz w:val="24"/>
        </w:rPr>
      </w:pPr>
    </w:p>
    <w:p>
      <w:pPr>
        <w:pStyle w:val="18"/>
        <w:spacing w:line="800" w:lineRule="atLeast"/>
        <w:ind w:left="0" w:leftChars="0"/>
        <w:rPr>
          <w:rFonts w:ascii="仿宋" w:hAnsi="仿宋" w:eastAsia="仿宋" w:cs="仿宋"/>
          <w:b/>
          <w:color w:val="auto"/>
          <w:sz w:val="36"/>
          <w:szCs w:val="36"/>
        </w:rPr>
      </w:pPr>
    </w:p>
    <w:p>
      <w:pPr>
        <w:pStyle w:val="18"/>
        <w:spacing w:line="800" w:lineRule="atLeast"/>
        <w:ind w:left="0" w:leftChars="0"/>
        <w:rPr>
          <w:rFonts w:ascii="仿宋" w:hAnsi="仿宋" w:eastAsia="仿宋" w:cs="仿宋"/>
          <w:b/>
          <w:color w:val="auto"/>
          <w:sz w:val="36"/>
          <w:szCs w:val="36"/>
        </w:rPr>
      </w:pPr>
    </w:p>
    <w:p>
      <w:pPr>
        <w:pStyle w:val="18"/>
        <w:spacing w:line="800" w:lineRule="atLeast"/>
        <w:ind w:left="0" w:leftChars="0"/>
        <w:rPr>
          <w:rFonts w:ascii="仿宋" w:hAnsi="仿宋" w:eastAsia="仿宋" w:cs="仿宋"/>
          <w:b/>
          <w:color w:val="auto"/>
          <w:sz w:val="36"/>
          <w:szCs w:val="36"/>
        </w:rPr>
      </w:pPr>
    </w:p>
    <w:p>
      <w:pPr>
        <w:pStyle w:val="18"/>
        <w:spacing w:line="800" w:lineRule="atLeast"/>
        <w:ind w:left="0" w:leftChars="0"/>
        <w:rPr>
          <w:rFonts w:ascii="仿宋" w:hAnsi="仿宋" w:eastAsia="仿宋" w:cs="仿宋"/>
          <w:b/>
          <w:color w:val="auto"/>
          <w:sz w:val="36"/>
          <w:szCs w:val="36"/>
        </w:rPr>
      </w:pPr>
    </w:p>
    <w:p>
      <w:pPr>
        <w:rPr>
          <w:rFonts w:ascii="仿宋" w:hAnsi="仿宋" w:eastAsia="仿宋" w:cs="仿宋"/>
          <w:b/>
          <w:color w:val="auto"/>
          <w:sz w:val="30"/>
          <w:szCs w:val="30"/>
        </w:rPr>
      </w:pPr>
    </w:p>
    <w:p>
      <w:pPr>
        <w:pageBreakBefore/>
        <w:rPr>
          <w:rFonts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76"/>
        <w:spacing w:afterLines="0" w:line="440" w:lineRule="exact"/>
        <w:ind w:firstLine="0" w:firstLineChars="0"/>
        <w:rPr>
          <w:rFonts w:ascii="仿宋" w:hAnsi="仿宋" w:eastAsia="仿宋" w:cs="仿宋"/>
          <w:color w:val="auto"/>
          <w:szCs w:val="24"/>
        </w:rPr>
      </w:pPr>
    </w:p>
    <w:p>
      <w:pPr>
        <w:pStyle w:val="76"/>
        <w:spacing w:afterLines="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绍兴文理学院、泰宇建筑工程技术咨询有限公司 </w:t>
      </w:r>
    </w:p>
    <w:p>
      <w:pPr>
        <w:pStyle w:val="7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7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spacing w:afterLines="0" w:line="440" w:lineRule="exact"/>
        <w:ind w:left="0" w:firstLine="420" w:firstLineChars="175"/>
        <w:rPr>
          <w:rFonts w:ascii="仿宋" w:hAnsi="仿宋" w:eastAsia="仿宋" w:cs="仿宋"/>
          <w:color w:val="auto"/>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p>
    <w:p>
      <w:pPr>
        <w:pStyle w:val="12"/>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2.我方承诺已经具备《中华人民共和国政府采购法》中第二十二条规定的参加政府采购活动的供应商应当具备的条件。</w:t>
      </w:r>
    </w:p>
    <w:p>
      <w:pPr>
        <w:spacing w:line="440" w:lineRule="exact"/>
        <w:ind w:firstLine="420" w:firstLineChars="200"/>
        <w:rPr>
          <w:rFonts w:ascii="仿宋" w:hAnsi="仿宋" w:eastAsia="仿宋" w:cs="仿宋"/>
          <w:color w:val="auto"/>
          <w:sz w:val="24"/>
        </w:rPr>
      </w:pPr>
      <w:r>
        <w:rPr>
          <w:rFonts w:hint="eastAsia" w:ascii="仿宋" w:hAnsi="仿宋" w:eastAsia="仿宋" w:cs="仿宋"/>
          <w:color w:val="auto"/>
        </w:rPr>
        <w:t>3.</w:t>
      </w:r>
      <w:r>
        <w:rPr>
          <w:rFonts w:hint="eastAsia" w:ascii="仿宋" w:hAnsi="仿宋" w:eastAsia="仿宋" w:cs="仿宋"/>
          <w:color w:val="auto"/>
          <w:sz w:val="24"/>
        </w:rPr>
        <w:t>我方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7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2.我方理解贵方将不受你们所收到的最低报价的约束。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s="仿宋"/>
          <w:color w:val="auto"/>
          <w:szCs w:val="24"/>
        </w:rPr>
      </w:pPr>
      <w:r>
        <w:rPr>
          <w:rFonts w:hint="eastAsia" w:ascii="仿宋" w:hAnsi="仿宋" w:eastAsia="仿宋" w:cs="仿宋"/>
          <w:color w:val="auto"/>
        </w:rPr>
        <w:t>6.</w:t>
      </w:r>
      <w:r>
        <w:rPr>
          <w:rFonts w:hint="eastAsia" w:ascii="仿宋" w:hAnsi="仿宋" w:eastAsia="仿宋" w:cs="仿宋"/>
          <w:color w:val="auto"/>
          <w:szCs w:val="24"/>
        </w:rPr>
        <w:t>本投标自开标之日（投标截止之日）起90天内有效。</w:t>
      </w:r>
    </w:p>
    <w:p>
      <w:pPr>
        <w:pStyle w:val="76"/>
        <w:spacing w:afterLines="0" w:line="440" w:lineRule="exact"/>
        <w:ind w:firstLine="480"/>
        <w:rPr>
          <w:rFonts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sz w:val="24"/>
        </w:rPr>
        <w:t>供应商有前款第a)至e)项情形之一的，中标、成交无效。</w:t>
      </w:r>
    </w:p>
    <w:p>
      <w:pPr>
        <w:pStyle w:val="7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7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7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76"/>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76"/>
        <w:spacing w:afterLines="0" w:line="440" w:lineRule="exact"/>
        <w:ind w:firstLine="480"/>
        <w:rPr>
          <w:rFonts w:ascii="仿宋" w:hAnsi="仿宋" w:eastAsia="仿宋" w:cs="仿宋"/>
          <w:b/>
          <w:color w:val="auto"/>
        </w:rPr>
      </w:pPr>
      <w:r>
        <w:rPr>
          <w:rFonts w:hint="eastAsia" w:ascii="仿宋" w:hAnsi="仿宋" w:eastAsia="仿宋" w:cs="仿宋"/>
          <w:color w:val="auto"/>
          <w:szCs w:val="24"/>
        </w:rPr>
        <w:t xml:space="preserve">投标人(电子签章)：　　　　　　　　　日期：    </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ascii="仿宋" w:hAnsi="仿宋" w:eastAsia="仿宋" w:cs="仿宋"/>
          <w:color w:val="auto"/>
          <w:sz w:val="24"/>
        </w:rPr>
      </w:pPr>
    </w:p>
    <w:p>
      <w:pPr>
        <w:spacing w:line="400" w:lineRule="exact"/>
        <w:rPr>
          <w:rFonts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tcBorders>
              <w:top w:val="double" w:color="auto" w:sz="4" w:space="0"/>
            </w:tcBorders>
            <w:vAlign w:val="center"/>
          </w:tcPr>
          <w:p>
            <w:pPr>
              <w:tabs>
                <w:tab w:val="left" w:pos="540"/>
              </w:tabs>
              <w:adjustRightInd w:val="0"/>
              <w:snapToGrid w:val="0"/>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序号</w:t>
            </w:r>
          </w:p>
        </w:tc>
        <w:tc>
          <w:tcPr>
            <w:tcW w:w="1080" w:type="dxa"/>
            <w:tcBorders>
              <w:top w:val="double" w:color="auto" w:sz="4" w:space="0"/>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名称</w:t>
            </w:r>
          </w:p>
        </w:tc>
        <w:tc>
          <w:tcPr>
            <w:tcW w:w="1261" w:type="dxa"/>
            <w:tcBorders>
              <w:top w:val="double" w:color="auto" w:sz="4" w:space="0"/>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rPr>
            </w:pPr>
            <w:r>
              <w:rPr>
                <w:rFonts w:hint="eastAsia" w:ascii="仿宋" w:hAnsi="仿宋" w:eastAsia="仿宋" w:cs="仿宋"/>
                <w:color w:val="auto"/>
                <w:spacing w:val="20"/>
                <w:sz w:val="18"/>
                <w:szCs w:val="18"/>
              </w:rPr>
              <w:t>货物的制造商或服务的提供商</w:t>
            </w:r>
          </w:p>
        </w:tc>
        <w:tc>
          <w:tcPr>
            <w:tcW w:w="900" w:type="dxa"/>
            <w:tcBorders>
              <w:top w:val="double" w:color="auto" w:sz="4" w:space="0"/>
            </w:tcBorders>
            <w:vAlign w:val="center"/>
          </w:tcPr>
          <w:p>
            <w:pPr>
              <w:adjustRightInd w:val="0"/>
              <w:snapToGrid w:val="0"/>
              <w:ind w:left="-107" w:leftChars="-51" w:right="-107" w:rightChars="-51" w:firstLine="1"/>
              <w:rPr>
                <w:rFonts w:ascii="仿宋" w:hAnsi="仿宋" w:eastAsia="仿宋" w:cs="仿宋"/>
                <w:color w:val="auto"/>
                <w:spacing w:val="20"/>
                <w:sz w:val="18"/>
                <w:szCs w:val="18"/>
              </w:rPr>
            </w:pPr>
            <w:r>
              <w:rPr>
                <w:rFonts w:hint="eastAsia" w:ascii="仿宋" w:hAnsi="仿宋" w:eastAsia="仿宋" w:cs="仿宋"/>
                <w:color w:val="auto"/>
                <w:spacing w:val="20"/>
                <w:sz w:val="18"/>
                <w:szCs w:val="18"/>
              </w:rPr>
              <w:t>品牌（如有）</w:t>
            </w:r>
          </w:p>
        </w:tc>
        <w:tc>
          <w:tcPr>
            <w:tcW w:w="720" w:type="dxa"/>
            <w:tcBorders>
              <w:top w:val="double" w:color="auto" w:sz="4" w:space="0"/>
            </w:tcBorders>
            <w:vAlign w:val="center"/>
          </w:tcPr>
          <w:p>
            <w:pPr>
              <w:adjustRightInd w:val="0"/>
              <w:snapToGrid w:val="0"/>
              <w:ind w:left="-107" w:leftChars="-51" w:right="-107" w:rightChars="-5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数量</w:t>
            </w:r>
          </w:p>
        </w:tc>
        <w:tc>
          <w:tcPr>
            <w:tcW w:w="1440" w:type="dxa"/>
            <w:tcBorders>
              <w:top w:val="doub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型号和规格</w:t>
            </w:r>
            <w:r>
              <w:rPr>
                <w:rFonts w:hint="eastAsia" w:ascii="仿宋" w:hAnsi="仿宋" w:eastAsia="仿宋" w:cs="仿宋"/>
                <w:b/>
                <w:color w:val="auto"/>
                <w:sz w:val="18"/>
                <w:szCs w:val="18"/>
              </w:rPr>
              <w:t>（或具体服务）</w:t>
            </w:r>
          </w:p>
        </w:tc>
        <w:tc>
          <w:tcPr>
            <w:tcW w:w="540" w:type="dxa"/>
            <w:tcBorders>
              <w:top w:val="double" w:color="auto" w:sz="4" w:space="0"/>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单价</w:t>
            </w:r>
          </w:p>
        </w:tc>
        <w:tc>
          <w:tcPr>
            <w:tcW w:w="540" w:type="dxa"/>
            <w:tcBorders>
              <w:top w:val="double" w:color="auto" w:sz="4" w:space="0"/>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总价</w:t>
            </w:r>
          </w:p>
        </w:tc>
        <w:tc>
          <w:tcPr>
            <w:tcW w:w="720" w:type="dxa"/>
            <w:tcBorders>
              <w:top w:val="double" w:color="auto" w:sz="4" w:space="0"/>
            </w:tcBorders>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交货期</w:t>
            </w:r>
          </w:p>
        </w:tc>
        <w:tc>
          <w:tcPr>
            <w:tcW w:w="1078" w:type="dxa"/>
            <w:tcBorders>
              <w:top w:val="double" w:color="auto" w:sz="4" w:space="0"/>
            </w:tcBorders>
            <w:vAlign w:val="center"/>
          </w:tcPr>
          <w:p>
            <w:pPr>
              <w:tabs>
                <w:tab w:val="left" w:pos="1224"/>
              </w:tabs>
              <w:adjustRightInd w:val="0"/>
              <w:snapToGrid w:val="0"/>
              <w:ind w:right="-107" w:rightChars="-51"/>
              <w:rPr>
                <w:rFonts w:ascii="仿宋" w:hAnsi="仿宋" w:eastAsia="仿宋" w:cs="仿宋"/>
                <w:color w:val="auto"/>
                <w:spacing w:val="20"/>
                <w:sz w:val="18"/>
                <w:szCs w:val="18"/>
              </w:rPr>
            </w:pPr>
            <w:r>
              <w:rPr>
                <w:rFonts w:hint="eastAsia" w:ascii="仿宋" w:hAnsi="仿宋" w:eastAsia="仿宋" w:cs="仿宋"/>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仿宋" w:hAnsi="仿宋" w:eastAsia="仿宋" w:cs="仿宋"/>
                <w:color w:val="auto"/>
                <w:spacing w:val="20"/>
                <w:szCs w:val="21"/>
              </w:rPr>
            </w:pPr>
            <w:r>
              <w:rPr>
                <w:rFonts w:hint="eastAsia" w:ascii="仿宋" w:hAnsi="仿宋" w:eastAsia="仿宋" w:cs="仿宋"/>
                <w:b/>
                <w:color w:val="auto"/>
                <w:szCs w:val="21"/>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rPr>
            </w:pPr>
            <w:r>
              <w:rPr>
                <w:rFonts w:hint="eastAsia" w:ascii="仿宋" w:hAnsi="仿宋" w:eastAsia="仿宋" w:cs="仿宋"/>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rPr>
            </w:pPr>
            <w:r>
              <w:rPr>
                <w:rFonts w:hint="eastAsia" w:ascii="仿宋" w:hAnsi="仿宋" w:eastAsia="仿宋" w:cs="仿宋"/>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bottom w:val="double" w:color="auto" w:sz="4" w:space="0"/>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rPr>
            </w:pPr>
          </w:p>
        </w:tc>
        <w:tc>
          <w:tcPr>
            <w:tcW w:w="7199" w:type="dxa"/>
            <w:gridSpan w:val="8"/>
            <w:tcBorders>
              <w:top w:val="single" w:color="auto" w:sz="4" w:space="0"/>
              <w:left w:val="single" w:color="auto" w:sz="4" w:space="0"/>
              <w:bottom w:val="double" w:color="auto" w:sz="4" w:space="0"/>
            </w:tcBorders>
            <w:vAlign w:val="center"/>
          </w:tcPr>
          <w:p>
            <w:pPr>
              <w:adjustRightInd w:val="0"/>
              <w:snapToGrid w:val="0"/>
              <w:ind w:right="172" w:rightChars="82"/>
              <w:rPr>
                <w:rFonts w:ascii="仿宋" w:hAnsi="仿宋" w:eastAsia="仿宋" w:cs="仿宋"/>
                <w:color w:val="auto"/>
                <w:spacing w:val="20"/>
                <w:sz w:val="18"/>
                <w:szCs w:val="18"/>
              </w:rPr>
            </w:pPr>
            <w:r>
              <w:rPr>
                <w:rFonts w:hint="eastAsia" w:ascii="仿宋" w:hAnsi="仿宋" w:eastAsia="仿宋" w:cs="仿宋"/>
                <w:color w:val="auto"/>
                <w:spacing w:val="20"/>
                <w:sz w:val="18"/>
                <w:szCs w:val="18"/>
              </w:rPr>
              <w:t>大写：</w:t>
            </w:r>
          </w:p>
        </w:tc>
      </w:tr>
    </w:tbl>
    <w:p>
      <w:pPr>
        <w:snapToGrid w:val="0"/>
        <w:jc w:val="left"/>
        <w:rPr>
          <w:rFonts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ascii="仿宋" w:hAnsi="仿宋" w:eastAsia="仿宋" w:cs="仿宋"/>
          <w:color w:val="auto"/>
          <w:kern w:val="0"/>
          <w:sz w:val="24"/>
          <w:lang w:val="zh-CN"/>
        </w:rPr>
      </w:pPr>
      <w:r>
        <w:rPr>
          <w:rFonts w:hint="eastAsia" w:ascii="仿宋" w:hAnsi="仿宋" w:eastAsia="仿宋" w:cs="仿宋"/>
          <w:b/>
          <w:color w:val="auto"/>
          <w:sz w:val="24"/>
        </w:rPr>
        <w:t>6、</w:t>
      </w:r>
      <w:r>
        <w:rPr>
          <w:rFonts w:hint="eastAsia" w:ascii="仿宋" w:hAnsi="仿宋" w:eastAsia="仿宋" w:cs="仿宋"/>
          <w:color w:val="auto"/>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color w:val="auto"/>
          <w:sz w:val="24"/>
        </w:rPr>
        <w:t>投标人应如实填写是否可享受价格扣除，否则投标价格不可享受价格扣除。</w:t>
      </w:r>
    </w:p>
    <w:p>
      <w:pPr>
        <w:snapToGrid w:val="0"/>
        <w:ind w:firstLine="482" w:firstLineChars="200"/>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7.特别提示：采购机构将对</w:t>
      </w:r>
      <w:r>
        <w:rPr>
          <w:rFonts w:hint="eastAsia" w:ascii="仿宋" w:hAnsi="仿宋" w:eastAsia="仿宋" w:cs="仿宋"/>
          <w:b/>
          <w:color w:val="auto"/>
          <w:kern w:val="0"/>
          <w:sz w:val="24"/>
        </w:rPr>
        <w:t>项目名称和项目编号，中标供应商名称、地址和中标金额，主要中标标的的名称、规格型号、数量、单价、服务要求等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right="-817" w:rightChars="-389"/>
        <w:rPr>
          <w:rFonts w:ascii="仿宋" w:hAnsi="仿宋" w:eastAsia="仿宋" w:cs="仿宋"/>
          <w:color w:val="auto"/>
          <w:sz w:val="24"/>
        </w:rPr>
      </w:pPr>
    </w:p>
    <w:p>
      <w:pPr>
        <w:spacing w:line="360" w:lineRule="auto"/>
        <w:ind w:right="-817" w:rightChars="-389"/>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auto"/>
        <w:outlineLvl w:val="0"/>
        <w:rPr>
          <w:rFonts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ascii="仿宋_GB2312" w:hAnsi="仿宋_GB2312" w:eastAsia="仿宋_GB2312" w:cs="仿宋_GB2312"/>
          <w:b/>
          <w:color w:val="auto"/>
          <w:sz w:val="32"/>
          <w:szCs w:val="32"/>
          <w:highlight w:val="none"/>
        </w:rPr>
      </w:pPr>
      <w:r>
        <w:rPr>
          <w:rFonts w:hint="eastAsia" w:ascii="仿宋_GB2312" w:eastAsia="仿宋_GB2312"/>
          <w:b/>
          <w:color w:val="auto"/>
          <w:sz w:val="32"/>
          <w:szCs w:val="32"/>
          <w:highlight w:val="none"/>
        </w:rPr>
        <w:t>3、中小企业声明函（二选一）</w:t>
      </w: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绍兴</w:t>
      </w:r>
      <w:r>
        <w:rPr>
          <w:rFonts w:hint="eastAsia" w:ascii="仿宋_GB2312" w:hAnsi="仿宋_GB2312" w:eastAsia="仿宋_GB2312" w:cs="仿宋_GB2312"/>
          <w:color w:val="auto"/>
          <w:sz w:val="24"/>
          <w:highlight w:val="none"/>
          <w:u w:val="single"/>
          <w:lang w:eastAsia="zh-CN"/>
        </w:rPr>
        <w:t>文理学院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w:t>
      </w:r>
      <w:r>
        <w:rPr>
          <w:rFonts w:hint="eastAsia" w:ascii="仿宋_GB2312" w:hAnsi="仿宋_GB2312" w:eastAsia="仿宋_GB2312" w:cs="仿宋_GB2312"/>
          <w:color w:val="auto"/>
          <w:sz w:val="24"/>
          <w:highlight w:val="none"/>
          <w:u w:val="single"/>
        </w:rPr>
        <w:t xml:space="preserve"> 绍兴</w:t>
      </w:r>
      <w:r>
        <w:rPr>
          <w:rFonts w:hint="eastAsia" w:ascii="仿宋_GB2312" w:hAnsi="仿宋_GB2312" w:eastAsia="仿宋_GB2312" w:cs="仿宋_GB2312"/>
          <w:color w:val="auto"/>
          <w:sz w:val="24"/>
          <w:highlight w:val="none"/>
          <w:u w:val="single"/>
          <w:lang w:eastAsia="zh-CN"/>
        </w:rPr>
        <w:t>文理学院</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人，营业收入为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万元，资产总额为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1、投标人提供的中小企业声明函与实际情况不符的，视为投标人提供虚假材料投标，投标无效。</w:t>
      </w:r>
    </w:p>
    <w:p>
      <w:pPr>
        <w:rPr>
          <w:rFonts w:ascii="仿宋_GB2312" w:hAnsi="仿宋_GB2312" w:eastAsia="仿宋_GB2312" w:cs="仿宋_GB2312"/>
          <w:color w:val="auto"/>
          <w:sz w:val="24"/>
          <w:highlight w:val="none"/>
        </w:rPr>
      </w:pPr>
      <w:r>
        <w:rPr>
          <w:rFonts w:hint="eastAsia" w:ascii="仿宋" w:hAnsi="仿宋" w:eastAsia="仿宋"/>
          <w:b/>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spacing w:line="588" w:lineRule="exact"/>
        <w:rPr>
          <w:rFonts w:ascii="仿宋" w:hAnsi="仿宋" w:eastAsia="仿宋" w:cs="仿宋"/>
          <w:color w:val="auto"/>
          <w:sz w:val="24"/>
        </w:rPr>
      </w:pPr>
    </w:p>
    <w:p>
      <w:pPr>
        <w:pageBreakBefore/>
        <w:spacing w:line="588" w:lineRule="exac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ascii="仿宋" w:hAnsi="仿宋" w:eastAsia="仿宋" w:cs="仿宋"/>
          <w:b/>
          <w:color w:val="auto"/>
          <w:spacing w:val="6"/>
          <w:sz w:val="30"/>
          <w:szCs w:val="30"/>
        </w:rPr>
      </w:pP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rPr>
        <w:t>绍兴文理学院</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ascii="仿宋" w:hAnsi="仿宋" w:eastAsia="仿宋" w:cs="仿宋"/>
          <w:color w:val="auto"/>
          <w:sz w:val="24"/>
        </w:rPr>
      </w:pPr>
    </w:p>
    <w:p>
      <w:pPr>
        <w:spacing w:line="588" w:lineRule="exact"/>
        <w:ind w:firstLine="480" w:firstLineChars="200"/>
        <w:rPr>
          <w:rFonts w:ascii="仿宋" w:hAnsi="仿宋" w:eastAsia="仿宋" w:cs="仿宋"/>
          <w:color w:val="auto"/>
          <w:sz w:val="24"/>
        </w:rPr>
      </w:pPr>
    </w:p>
    <w:p>
      <w:pPr>
        <w:ind w:right="420"/>
        <w:jc w:val="right"/>
        <w:rPr>
          <w:rFonts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ascii="仿宋" w:hAnsi="仿宋" w:eastAsia="仿宋" w:cs="仿宋"/>
          <w:color w:val="auto"/>
        </w:rPr>
      </w:pPr>
    </w:p>
    <w:p>
      <w:pPr>
        <w:tabs>
          <w:tab w:val="left" w:pos="4860"/>
        </w:tabs>
        <w:spacing w:line="588" w:lineRule="exact"/>
        <w:ind w:right="1560" w:firstLine="480" w:firstLineChars="200"/>
        <w:jc w:val="center"/>
        <w:rPr>
          <w:rFonts w:ascii="仿宋" w:hAnsi="仿宋" w:eastAsia="仿宋" w:cs="仿宋"/>
          <w:color w:val="auto"/>
          <w:sz w:val="24"/>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ind w:firstLine="420" w:firstLineChars="200"/>
        <w:rPr>
          <w:rFonts w:ascii="仿宋" w:hAnsi="仿宋" w:eastAsia="仿宋" w:cs="仿宋"/>
          <w:color w:val="auto"/>
        </w:rPr>
      </w:pPr>
    </w:p>
    <w:p>
      <w:pPr>
        <w:rPr>
          <w:rFonts w:ascii="仿宋" w:hAnsi="仿宋" w:eastAsia="仿宋" w:cs="仿宋"/>
          <w:b/>
          <w:color w:val="auto"/>
          <w:sz w:val="24"/>
        </w:rPr>
      </w:pPr>
    </w:p>
    <w:p>
      <w:pPr>
        <w:spacing w:line="800" w:lineRule="exact"/>
        <w:rPr>
          <w:rFonts w:ascii="仿宋" w:hAnsi="仿宋" w:eastAsia="仿宋" w:cs="仿宋"/>
          <w:b/>
          <w:color w:val="auto"/>
          <w:sz w:val="24"/>
        </w:rPr>
      </w:pPr>
    </w:p>
    <w:p>
      <w:pPr>
        <w:pageBreakBefore/>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360" w:lineRule="auto"/>
        <w:jc w:val="center"/>
        <w:outlineLvl w:val="0"/>
        <w:rPr>
          <w:rFonts w:ascii="仿宋" w:hAnsi="仿宋" w:eastAsia="仿宋" w:cs="仿宋"/>
          <w:b/>
          <w:color w:val="auto"/>
          <w:kern w:val="0"/>
          <w:sz w:val="24"/>
        </w:rPr>
      </w:pPr>
    </w:p>
    <w:p>
      <w:pPr>
        <w:spacing w:line="360"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161"/>
        <w:spacing w:line="360" w:lineRule="auto"/>
        <w:ind w:left="0" w:firstLine="0" w:firstLineChars="0"/>
        <w:rPr>
          <w:rFonts w:ascii="仿宋" w:eastAsia="仿宋" w:cs="仿宋"/>
          <w:color w:val="auto"/>
        </w:rPr>
      </w:pPr>
      <w:r>
        <w:rPr>
          <w:rFonts w:hint="eastAsia" w:ascii="仿宋" w:eastAsia="仿宋" w:cs="仿宋"/>
          <w:color w:val="auto"/>
        </w:rPr>
        <w:t>（1）法定代表人授权书 …………………………………………………………（页码）</w:t>
      </w:r>
    </w:p>
    <w:p>
      <w:pPr>
        <w:pStyle w:val="161"/>
        <w:spacing w:line="360" w:lineRule="auto"/>
        <w:ind w:left="0" w:firstLine="0" w:firstLineChars="0"/>
        <w:rPr>
          <w:rFonts w:ascii="仿宋" w:eastAsia="仿宋" w:cs="仿宋"/>
          <w:color w:val="auto"/>
        </w:rPr>
      </w:pPr>
      <w:r>
        <w:rPr>
          <w:rFonts w:hint="eastAsia" w:ascii="仿宋" w:eastAsia="仿宋" w:cs="仿宋"/>
          <w:color w:val="auto"/>
        </w:rPr>
        <w:t>（2）授权代表社保证明（复印件）………………………………………………（页码）</w:t>
      </w:r>
    </w:p>
    <w:p>
      <w:pPr>
        <w:pStyle w:val="161"/>
        <w:spacing w:line="360" w:lineRule="auto"/>
        <w:ind w:left="0" w:firstLine="0" w:firstLineChars="0"/>
        <w:rPr>
          <w:rFonts w:ascii="仿宋" w:eastAsia="仿宋" w:cs="仿宋"/>
          <w:color w:val="auto"/>
        </w:rPr>
      </w:pPr>
      <w:r>
        <w:rPr>
          <w:rFonts w:hint="eastAsia" w:ascii="仿宋" w:eastAsia="仿宋" w:cs="仿宋"/>
          <w:color w:val="auto"/>
        </w:rPr>
        <w:t>（3）法定代表人及其授权代表的身份证（复印件）……………………………（页码）（4）法定代表人身份证明书………………………………………………………（页码）</w:t>
      </w:r>
    </w:p>
    <w:p>
      <w:pPr>
        <w:spacing w:line="360" w:lineRule="auto"/>
        <w:outlineLvl w:val="0"/>
        <w:rPr>
          <w:rFonts w:ascii="仿宋" w:hAnsi="仿宋" w:eastAsia="仿宋" w:cs="仿宋"/>
          <w:color w:val="auto"/>
          <w:sz w:val="24"/>
        </w:rPr>
      </w:pPr>
      <w:r>
        <w:rPr>
          <w:rFonts w:hint="eastAsia" w:ascii="仿宋" w:hAnsi="仿宋" w:eastAsia="仿宋" w:cs="仿宋"/>
          <w:color w:val="auto"/>
          <w:sz w:val="24"/>
        </w:rPr>
        <w:t>（5）营业执照(或事业法人登记证或其他登记证明材料)复印件</w:t>
      </w:r>
      <w:r>
        <w:rPr>
          <w:rFonts w:hint="eastAsia" w:ascii="仿宋" w:hAnsi="仿宋" w:eastAsia="仿宋" w:cs="仿宋"/>
          <w:color w:val="auto"/>
        </w:rPr>
        <w:t>…………………</w:t>
      </w:r>
      <w:r>
        <w:rPr>
          <w:rFonts w:hint="eastAsia" w:ascii="仿宋" w:hAnsi="仿宋" w:eastAsia="仿宋" w:cs="仿宋"/>
          <w:color w:val="auto"/>
          <w:kern w:val="0"/>
          <w:sz w:val="24"/>
        </w:rPr>
        <w:t>（页码）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（6）2019年度资产负债表等财务报表资料文件(新成立的公司，提供情况说明)</w:t>
      </w:r>
      <w:r>
        <w:rPr>
          <w:rFonts w:hint="eastAsia" w:ascii="仿宋" w:hAnsi="仿宋" w:eastAsia="仿宋" w:cs="仿宋"/>
          <w:color w:val="auto"/>
          <w:kern w:val="0"/>
          <w:sz w:val="24"/>
        </w:rPr>
        <w:t>…页码）</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（7）具有履</w:t>
      </w:r>
      <w:r>
        <w:rPr>
          <w:rFonts w:hint="eastAsia" w:ascii="仿宋" w:hAnsi="仿宋" w:eastAsia="仿宋" w:cs="仿宋"/>
          <w:color w:val="auto"/>
          <w:kern w:val="0"/>
          <w:sz w:val="24"/>
        </w:rPr>
        <w:t>行合同所必需的设备和专业技术能力的承诺函……………………（页码）</w:t>
      </w:r>
    </w:p>
    <w:p>
      <w:pPr>
        <w:pStyle w:val="161"/>
        <w:spacing w:line="360" w:lineRule="auto"/>
        <w:ind w:firstLine="0" w:firstLineChars="0"/>
        <w:rPr>
          <w:rFonts w:ascii="仿宋" w:eastAsia="仿宋" w:cs="仿宋"/>
          <w:color w:val="auto"/>
        </w:rPr>
      </w:pPr>
      <w:r>
        <w:rPr>
          <w:rFonts w:hint="eastAsia" w:ascii="仿宋" w:eastAsia="仿宋" w:cs="仿宋"/>
          <w:color w:val="auto"/>
        </w:rPr>
        <w:t>（8）重大违法记录的声明</w:t>
      </w:r>
      <w:r>
        <w:rPr>
          <w:rFonts w:hint="eastAsia" w:ascii="仿宋" w:eastAsia="仿宋" w:cs="仿宋"/>
          <w:color w:val="auto"/>
          <w:kern w:val="0"/>
        </w:rPr>
        <w:t xml:space="preserve"> …</w:t>
      </w:r>
      <w:r>
        <w:rPr>
          <w:rFonts w:hint="eastAsia" w:ascii="仿宋" w:eastAsia="仿宋" w:cs="仿宋"/>
          <w:color w:val="auto"/>
        </w:rPr>
        <w:t>……………………………………………………</w:t>
      </w:r>
      <w:r>
        <w:rPr>
          <w:rFonts w:hint="eastAsia" w:ascii="仿宋" w:eastAsia="仿宋" w:cs="仿宋"/>
          <w:color w:val="auto"/>
          <w:kern w:val="0"/>
        </w:rPr>
        <w:t>（页码）</w:t>
      </w:r>
      <w:r>
        <w:rPr>
          <w:rFonts w:hint="eastAsia" w:ascii="仿宋" w:eastAsia="仿宋" w:cs="仿宋"/>
          <w:color w:val="auto"/>
        </w:rPr>
        <w:t>（9）符合特定资格条件（如果项目要求）的有关证明材料（复印件）………（页码）</w:t>
      </w:r>
    </w:p>
    <w:p>
      <w:pPr>
        <w:pStyle w:val="161"/>
        <w:spacing w:line="360" w:lineRule="auto"/>
        <w:ind w:left="0" w:firstLine="0" w:firstLineChars="0"/>
        <w:rPr>
          <w:rFonts w:ascii="仿宋" w:eastAsia="仿宋" w:cs="仿宋"/>
          <w:color w:val="auto"/>
        </w:rPr>
      </w:pPr>
      <w:r>
        <w:rPr>
          <w:rFonts w:hint="eastAsia" w:ascii="仿宋" w:eastAsia="仿宋" w:cs="仿宋"/>
          <w:color w:val="auto"/>
        </w:rPr>
        <w:t>（10）</w:t>
      </w:r>
      <w:r>
        <w:rPr>
          <w:rFonts w:hint="eastAsia" w:ascii="仿宋" w:eastAsia="仿宋" w:cs="仿宋"/>
          <w:snapToGrid w:val="0"/>
          <w:color w:val="auto"/>
        </w:rPr>
        <w:t>非本地投标人售后服务机构证明材料</w:t>
      </w:r>
      <w:r>
        <w:rPr>
          <w:rFonts w:hint="eastAsia" w:ascii="仿宋" w:eastAsia="仿宋" w:cs="仿宋"/>
          <w:color w:val="auto"/>
        </w:rPr>
        <w:t>……………………………………（页码）</w:t>
      </w:r>
    </w:p>
    <w:p>
      <w:pPr>
        <w:pStyle w:val="161"/>
        <w:spacing w:line="360" w:lineRule="auto"/>
        <w:ind w:left="0" w:firstLine="0" w:firstLineChars="0"/>
        <w:rPr>
          <w:rFonts w:ascii="仿宋" w:eastAsia="仿宋" w:cs="仿宋"/>
          <w:color w:val="auto"/>
        </w:rPr>
      </w:pPr>
      <w:r>
        <w:rPr>
          <w:rFonts w:hint="eastAsia" w:ascii="仿宋" w:eastAsia="仿宋" w:cs="仿宋"/>
          <w:color w:val="auto"/>
        </w:rPr>
        <w:t>（11）所有与符合性审查有关的资信文件（复印件） ………………………（页码）</w:t>
      </w:r>
    </w:p>
    <w:p>
      <w:pPr>
        <w:pStyle w:val="161"/>
        <w:spacing w:line="360" w:lineRule="auto"/>
        <w:ind w:left="0" w:firstLine="0" w:firstLineChars="0"/>
        <w:rPr>
          <w:rFonts w:ascii="仿宋" w:eastAsia="仿宋" w:cs="仿宋"/>
          <w:color w:val="auto"/>
        </w:rPr>
      </w:pPr>
      <w:r>
        <w:rPr>
          <w:rFonts w:hint="eastAsia" w:ascii="仿宋" w:eastAsia="仿宋" w:cs="仿宋"/>
          <w:color w:val="auto"/>
        </w:rPr>
        <w:t>（12）</w:t>
      </w:r>
      <w:r>
        <w:rPr>
          <w:rFonts w:hint="eastAsia" w:ascii="仿宋" w:eastAsia="仿宋" w:cs="仿宋"/>
          <w:color w:val="auto"/>
          <w:lang w:val="zh-CN"/>
        </w:rPr>
        <w:t>主要业绩证明… ………………………………………………</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pPr>
        <w:pStyle w:val="161"/>
        <w:spacing w:line="360" w:lineRule="auto"/>
        <w:ind w:left="0" w:firstLine="0" w:firstLineChars="0"/>
        <w:rPr>
          <w:rFonts w:ascii="仿宋" w:eastAsia="仿宋" w:cs="仿宋"/>
          <w:color w:val="auto"/>
        </w:rPr>
      </w:pPr>
      <w:r>
        <w:rPr>
          <w:rFonts w:hint="eastAsia" w:ascii="仿宋" w:eastAsia="仿宋" w:cs="仿宋"/>
          <w:color w:val="auto"/>
        </w:rPr>
        <w:t>（13）廉政承诺书 …………………………………………………………………（页码）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（14）技术解决方案…………………………………………………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（15）技术偏离说明表………………………………………………</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（16）组织实施方案……………………………………………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（17）售后服务方案……………………………………………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（18）项目小组人员名单………………………………………</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（20）</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rPr>
        <w:t>（21）</w:t>
      </w:r>
      <w:r>
        <w:rPr>
          <w:rFonts w:hint="eastAsia" w:ascii="仿宋" w:hAnsi="仿宋" w:eastAsia="仿宋" w:cs="仿宋"/>
          <w:color w:val="auto"/>
          <w:kern w:val="0"/>
          <w:sz w:val="24"/>
          <w:lang w:val="zh-CN"/>
        </w:rPr>
        <w:t>消耗品、维修零配件购买价格清单…………………………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（22）培训计划………………………………………………………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（23）</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ascii="仿宋" w:hAnsi="仿宋" w:eastAsia="仿宋" w:cs="仿宋"/>
          <w:b/>
          <w:bCs/>
          <w:color w:val="auto"/>
          <w:sz w:val="24"/>
        </w:rPr>
      </w:pPr>
      <w:r>
        <w:rPr>
          <w:rFonts w:hint="eastAsia" w:ascii="仿宋" w:hAnsi="仿宋" w:eastAsia="仿宋" w:cs="仿宋"/>
          <w:color w:val="auto"/>
          <w:kern w:val="0"/>
          <w:sz w:val="24"/>
        </w:rPr>
        <w:t>（24）</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注：以上目录是基本格式要求，各投标人可根据自身情况进一步细化。</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绍兴文理学院、泰宇建筑工程技术咨询有限公司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ascii="仿宋" w:hAnsi="仿宋" w:eastAsia="仿宋" w:cs="仿宋"/>
          <w:color w:val="auto"/>
          <w:sz w:val="24"/>
        </w:rPr>
      </w:pPr>
    </w:p>
    <w:p>
      <w:pPr>
        <w:spacing w:line="800" w:lineRule="exact"/>
        <w:ind w:firstLine="4337" w:firstLineChars="1800"/>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                             （电子签章）</w:t>
      </w:r>
    </w:p>
    <w:p>
      <w:pPr>
        <w:spacing w:line="440" w:lineRule="exact"/>
        <w:ind w:right="480"/>
        <w:rPr>
          <w:rFonts w:ascii="仿宋" w:hAnsi="仿宋" w:eastAsia="仿宋" w:cs="仿宋"/>
          <w:color w:val="auto"/>
          <w:sz w:val="24"/>
        </w:rPr>
      </w:pPr>
    </w:p>
    <w:p>
      <w:pPr>
        <w:wordWrap w:val="0"/>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年月日</w:t>
      </w:r>
    </w:p>
    <w:p>
      <w:pPr>
        <w:spacing w:line="360" w:lineRule="auto"/>
        <w:jc w:val="center"/>
        <w:rPr>
          <w:rFonts w:ascii="仿宋" w:hAnsi="仿宋" w:eastAsia="仿宋" w:cs="仿宋"/>
          <w:b/>
          <w:color w:val="auto"/>
          <w:sz w:val="30"/>
          <w:szCs w:val="30"/>
        </w:rPr>
      </w:pPr>
    </w:p>
    <w:p>
      <w:pPr>
        <w:pageBreakBefore/>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5</w:t>
      </w:r>
      <w:r>
        <w:rPr>
          <w:rFonts w:hint="eastAsia" w:ascii="仿宋" w:hAnsi="仿宋" w:eastAsia="仿宋" w:cs="仿宋"/>
          <w:b/>
          <w:color w:val="auto"/>
          <w:kern w:val="0"/>
          <w:sz w:val="30"/>
          <w:szCs w:val="30"/>
          <w:lang w:val="zh-CN"/>
        </w:rPr>
        <w:t>、</w:t>
      </w:r>
      <w:r>
        <w:rPr>
          <w:rFonts w:hint="eastAsia" w:ascii="仿宋" w:hAnsi="仿宋" w:eastAsia="仿宋" w:cs="仿宋"/>
          <w:b/>
          <w:color w:val="auto"/>
          <w:sz w:val="30"/>
          <w:szCs w:val="30"/>
        </w:rPr>
        <w:t>营业执照（或事业法人登记证或其他登记证明材料）（复印件）</w:t>
      </w: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6、财务报表资料文件（2019年度资产负债表等财务报表资料文件(新成立的公司，提供情况说明，格式自拟)）</w:t>
      </w:r>
    </w:p>
    <w:p>
      <w:pPr>
        <w:spacing w:line="360" w:lineRule="auto"/>
        <w:rPr>
          <w:rFonts w:ascii="仿宋" w:hAnsi="仿宋" w:eastAsia="仿宋" w:cs="仿宋"/>
          <w:b/>
          <w:color w:val="auto"/>
          <w:sz w:val="30"/>
          <w:szCs w:val="30"/>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rPr>
          <w:rFonts w:ascii="仿宋" w:hAnsi="仿宋" w:eastAsia="仿宋" w:cs="仿宋"/>
          <w:b/>
          <w:color w:val="auto"/>
          <w:kern w:val="0"/>
          <w:sz w:val="32"/>
          <w:szCs w:val="32"/>
        </w:rPr>
      </w:pPr>
      <w:r>
        <w:rPr>
          <w:rFonts w:hint="eastAsia" w:ascii="仿宋" w:hAnsi="仿宋" w:eastAsia="仿宋" w:cs="仿宋"/>
          <w:b/>
          <w:color w:val="auto"/>
          <w:kern w:val="0"/>
          <w:sz w:val="32"/>
          <w:szCs w:val="32"/>
        </w:rPr>
        <w:t>7、具有履行合同所必需的设备和专业技术能力的承诺函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绍兴文理学院、泰宇建筑工程技术咨询有限公司</w:t>
      </w:r>
      <w:r>
        <w:rPr>
          <w:rFonts w:hint="eastAsia" w:ascii="仿宋" w:hAnsi="仿宋" w:eastAsia="仿宋" w:cs="仿宋"/>
          <w:color w:val="auto"/>
          <w:kern w:val="0"/>
          <w:sz w:val="24"/>
          <w:lang w:val="zh-CN"/>
        </w:rPr>
        <w:t>：</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我方郑重承诺，我方具有履行绍兴文理学院扫描电子显微镜设备和织物风格手感测试系统设备采购项目（招标编号:CGSHZJ-2020-N000483）合同所必需的设备和专业技术能力。如中标，我方将保证合同顺利履行。</w:t>
      </w:r>
    </w:p>
    <w:p>
      <w:pPr>
        <w:snapToGrid w:val="0"/>
        <w:spacing w:line="360" w:lineRule="auto"/>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lang w:val="zh-CN"/>
        </w:rPr>
      </w:pPr>
    </w:p>
    <w:p>
      <w:pPr>
        <w:snapToGrid w:val="0"/>
        <w:spacing w:line="360" w:lineRule="auto"/>
        <w:ind w:right="480" w:firstLine="480" w:firstLineChars="200"/>
        <w:jc w:val="center"/>
        <w:rPr>
          <w:rFonts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color w:val="auto"/>
          <w:kern w:val="0"/>
          <w:sz w:val="32"/>
          <w:szCs w:val="32"/>
        </w:rPr>
      </w:pPr>
    </w:p>
    <w:p>
      <w:pPr>
        <w:spacing w:line="360" w:lineRule="auto"/>
        <w:jc w:val="center"/>
        <w:rPr>
          <w:rFonts w:ascii="仿宋" w:hAnsi="仿宋" w:eastAsia="仿宋" w:cs="仿宋"/>
          <w:b/>
          <w:color w:val="auto"/>
          <w:kern w:val="0"/>
          <w:sz w:val="32"/>
          <w:szCs w:val="32"/>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rPr>
        <w:t>8、重大违法记录的声明</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绍兴文理学院、泰宇建筑工程技术咨询有限公司</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sz w:val="24"/>
          <w:szCs w:val="20"/>
        </w:rPr>
      </w:pP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声明参加本次政府采购活动前三年内，在</w:t>
      </w:r>
      <w:r>
        <w:rPr>
          <w:rFonts w:hint="eastAsia" w:ascii="仿宋" w:hAnsi="仿宋" w:eastAsia="仿宋" w:cs="仿宋"/>
          <w:color w:val="auto"/>
          <w:kern w:val="0"/>
          <w:sz w:val="24"/>
        </w:rPr>
        <w:t>经营活动中</w:t>
      </w:r>
      <w:r>
        <w:rPr>
          <w:rFonts w:hint="eastAsia" w:ascii="仿宋" w:hAnsi="仿宋" w:eastAsia="仿宋" w:cs="仿宋"/>
          <w:color w:val="auto"/>
          <w:sz w:val="24"/>
        </w:rPr>
        <w:t>没有重大违法记录；也</w:t>
      </w:r>
      <w:r>
        <w:rPr>
          <w:rFonts w:hint="eastAsia" w:ascii="仿宋" w:hAnsi="仿宋" w:eastAsia="仿宋" w:cs="仿宋"/>
          <w:color w:val="auto"/>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9、特定资格条件要求的资质文件（复印件）</w:t>
      </w:r>
    </w:p>
    <w:p>
      <w:pPr>
        <w:widowControl/>
        <w:spacing w:line="360" w:lineRule="auto"/>
        <w:ind w:firstLine="480" w:firstLineChars="200"/>
        <w:jc w:val="left"/>
        <w:rPr>
          <w:rFonts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（由投标人根据招标公告合格的投标人应具备的特定资格要求编制）</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10、非本地投标人售后服务机构证明材料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（由非本地投标人根据采购需求及招标文件要求编制）</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11、所有与符合性审查有关的资信文件（复印件）</w:t>
      </w:r>
    </w:p>
    <w:p>
      <w:pPr>
        <w:spacing w:line="360" w:lineRule="auto"/>
        <w:rPr>
          <w:rFonts w:ascii="仿宋" w:hAnsi="仿宋" w:eastAsia="仿宋" w:cs="仿宋"/>
          <w:b/>
          <w:bCs/>
          <w:color w:val="auto"/>
          <w:sz w:val="32"/>
          <w:szCs w:val="32"/>
        </w:rPr>
      </w:pPr>
      <w:r>
        <w:rPr>
          <w:rFonts w:hint="eastAsia" w:ascii="仿宋" w:hAnsi="仿宋" w:eastAsia="仿宋" w:cs="仿宋"/>
          <w:b/>
          <w:color w:val="auto"/>
          <w:sz w:val="24"/>
        </w:rPr>
        <w:t>（1. 提供依法缴纳税收和社会保障资金的良好记录证明，税收和社保证明打印时间不得早于投标截止时间前1个月；2.</w:t>
      </w:r>
      <w:r>
        <w:rPr>
          <w:rFonts w:hint="eastAsia" w:ascii="仿宋" w:hAnsi="仿宋" w:eastAsia="仿宋" w:cs="仿宋"/>
          <w:color w:val="auto"/>
          <w:sz w:val="24"/>
        </w:rPr>
        <w:t>其他资料由投标人根据采购需求及招标文件要求编制。</w:t>
      </w:r>
      <w:r>
        <w:rPr>
          <w:rFonts w:hint="eastAsia" w:ascii="仿宋" w:hAnsi="仿宋" w:eastAsia="仿宋" w:cs="仿宋"/>
          <w:b/>
          <w:color w:val="auto"/>
          <w:sz w:val="24"/>
        </w:rPr>
        <w:t>）</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12、</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3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62"/>
        <w:ind w:firstLine="0"/>
        <w:jc w:val="both"/>
        <w:rPr>
          <w:rFonts w:ascii="仿宋" w:eastAsia="仿宋" w:cs="仿宋"/>
          <w:color w:val="auto"/>
        </w:rPr>
      </w:pPr>
    </w:p>
    <w:p>
      <w:pPr>
        <w:pStyle w:val="162"/>
        <w:ind w:firstLine="0"/>
        <w:jc w:val="both"/>
        <w:rPr>
          <w:rFonts w:ascii="仿宋" w:eastAsia="仿宋" w:cs="仿宋"/>
          <w:color w:val="auto"/>
        </w:rPr>
      </w:pPr>
    </w:p>
    <w:p>
      <w:pPr>
        <w:pStyle w:val="162"/>
        <w:pageBreakBefore/>
        <w:ind w:firstLine="0"/>
        <w:jc w:val="both"/>
        <w:rPr>
          <w:rFonts w:ascii="仿宋" w:eastAsia="仿宋" w:cs="仿宋"/>
          <w:color w:val="auto"/>
        </w:rPr>
      </w:pPr>
      <w:r>
        <w:rPr>
          <w:rFonts w:hint="eastAsia" w:ascii="仿宋" w:eastAsia="仿宋" w:cs="仿宋"/>
          <w:color w:val="auto"/>
        </w:rPr>
        <w:t>13、廉政承诺书</w:t>
      </w:r>
    </w:p>
    <w:p>
      <w:pPr>
        <w:autoSpaceDE w:val="0"/>
        <w:autoSpaceDN w:val="0"/>
        <w:spacing w:line="360" w:lineRule="auto"/>
        <w:ind w:left="2"/>
        <w:jc w:val="left"/>
        <w:rPr>
          <w:rFonts w:ascii="仿宋" w:hAnsi="仿宋" w:eastAsia="仿宋" w:cs="仿宋"/>
          <w:color w:val="auto"/>
          <w:kern w:val="0"/>
          <w:sz w:val="24"/>
          <w:lang w:val="zh-CN"/>
        </w:rPr>
      </w:pPr>
      <w:r>
        <w:rPr>
          <w:rFonts w:hint="eastAsia" w:ascii="仿宋" w:hAnsi="仿宋" w:eastAsia="仿宋" w:cs="仿宋"/>
          <w:color w:val="auto"/>
          <w:sz w:val="24"/>
        </w:rPr>
        <w:t>绍兴文理学院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14、技术解决方案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37" o:spt="75" type="#_x0000_t75" style="height:41.3pt;width:440.15pt;" o:ole="t" filled="f" o:preferrelative="t" stroked="f" coordsize="21600,21600">
            <v:path/>
            <v:fill on="f" focussize="0,0"/>
            <v:stroke on="f" joinstyle="miter"/>
            <v:imagedata r:id="rId35" o:title=""/>
            <o:lock v:ext="edit" aspectratio="t"/>
            <w10:wrap type="none"/>
            <w10:anchorlock/>
          </v:shape>
          <o:OLEObject Type="Embed" ProgID="Package" ShapeID="_x0000_i1037" DrawAspect="Content" ObjectID="_1468075737" r:id="rId34">
            <o:LockedField>false</o:LockedField>
          </o:OLEObject>
        </w:object>
      </w:r>
      <w:r>
        <w:rPr>
          <w:rFonts w:hint="eastAsia" w:ascii="仿宋" w:hAnsi="仿宋" w:eastAsia="仿宋" w:cs="仿宋"/>
          <w:b/>
          <w:color w:val="auto"/>
          <w:kern w:val="0"/>
          <w:sz w:val="28"/>
          <w:szCs w:val="28"/>
        </w:rPr>
        <w:object>
          <v:shape id="_x0000_i1038" o:spt="75" type="#_x0000_t75" style="height:41.3pt;width:440.15pt;" o:ole="t" filled="f" o:preferrelative="t" stroked="f" coordsize="21600,21600">
            <v:path/>
            <v:fill on="f" focussize="0,0"/>
            <v:stroke on="f" joinstyle="miter"/>
            <v:imagedata r:id="rId37" o:title=""/>
            <o:lock v:ext="edit" aspectratio="t"/>
            <w10:wrap type="none"/>
            <w10:anchorlock/>
          </v:shape>
          <o:OLEObject Type="Embed" ProgID="Package" ShapeID="_x0000_i1038" DrawAspect="Content" ObjectID="_1468075738" r:id="rId36">
            <o:LockedField>false</o:LockedField>
          </o:OLEObject>
        </w:objec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15、技术偏离说明表</w:t>
      </w:r>
    </w:p>
    <w:p>
      <w:pPr>
        <w:spacing w:line="360" w:lineRule="auto"/>
        <w:rPr>
          <w:rFonts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3087" w:type="dxa"/>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招标文件要求</w:t>
            </w:r>
          </w:p>
        </w:tc>
        <w:tc>
          <w:tcPr>
            <w:tcW w:w="3818" w:type="dxa"/>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投标响应</w:t>
            </w:r>
          </w:p>
        </w:tc>
        <w:tc>
          <w:tcPr>
            <w:tcW w:w="1201" w:type="dxa"/>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(根据标内要求复制)</w:t>
            </w:r>
          </w:p>
        </w:tc>
        <w:tc>
          <w:tcPr>
            <w:tcW w:w="3818"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可自行添加行</w:t>
            </w: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详细参数可自行加行</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请填写售后服务要求</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请填写保修期要求</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请填写安装要求(如有)</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请填写付款方式要求</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请填写到货期要求</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3087" w:type="dxa"/>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vAlign w:val="center"/>
          </w:tcPr>
          <w:p>
            <w:pPr>
              <w:tabs>
                <w:tab w:val="left" w:pos="4905"/>
              </w:tabs>
              <w:spacing w:line="400" w:lineRule="exact"/>
              <w:rPr>
                <w:rFonts w:ascii="仿宋" w:hAnsi="仿宋" w:eastAsia="仿宋" w:cs="仿宋"/>
                <w:color w:val="auto"/>
                <w:sz w:val="24"/>
              </w:rPr>
            </w:pPr>
          </w:p>
        </w:tc>
        <w:tc>
          <w:tcPr>
            <w:tcW w:w="1201" w:type="dxa"/>
            <w:vAlign w:val="center"/>
          </w:tcPr>
          <w:p>
            <w:pPr>
              <w:tabs>
                <w:tab w:val="left" w:pos="4905"/>
              </w:tabs>
              <w:spacing w:line="400" w:lineRule="exact"/>
              <w:jc w:val="center"/>
              <w:rPr>
                <w:rFonts w:ascii="仿宋" w:hAnsi="仿宋" w:eastAsia="仿宋" w:cs="仿宋"/>
                <w:color w:val="auto"/>
                <w:sz w:val="24"/>
              </w:rPr>
            </w:pPr>
          </w:p>
        </w:tc>
      </w:tr>
    </w:tbl>
    <w:p>
      <w:pPr>
        <w:tabs>
          <w:tab w:val="left" w:pos="570"/>
        </w:tabs>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16、组织实施方案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17、售后服务方案</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18、项目小组人员名单</w:t>
      </w:r>
    </w:p>
    <w:p>
      <w:pPr>
        <w:spacing w:line="360" w:lineRule="auto"/>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39"/>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注：须随表提交相应的证书复印件并注明所在投标商务技术（资信）文件页码。</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39"/>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注：投标人可按上述的格式自行编制，须随表提交相应的证书复印件并注明所在投标商务技术（资信）文件页码。</w:t>
      </w:r>
    </w:p>
    <w:p>
      <w:pPr>
        <w:spacing w:line="360" w:lineRule="auto"/>
        <w:ind w:firstLine="482" w:firstLineChars="200"/>
        <w:rPr>
          <w:rFonts w:ascii="仿宋" w:hAnsi="仿宋" w:eastAsia="仿宋" w:cs="仿宋"/>
          <w:color w:val="auto"/>
          <w:sz w:val="24"/>
          <w:szCs w:val="20"/>
        </w:rPr>
      </w:pPr>
      <w:r>
        <w:rPr>
          <w:rFonts w:hint="eastAsia" w:ascii="仿宋" w:hAnsi="仿宋" w:eastAsia="仿宋" w:cs="仿宋"/>
          <w:b/>
          <w:color w:val="auto"/>
          <w:sz w:val="24"/>
        </w:rPr>
        <w:t>附表C:本项目的项目经理和小组人员提供近3个月交纳社保记录情况表</w:t>
      </w:r>
      <w:r>
        <w:rPr>
          <w:rFonts w:hint="eastAsia" w:ascii="仿宋" w:hAnsi="仿宋" w:eastAsia="仿宋" w:cs="仿宋"/>
          <w:color w:val="auto"/>
          <w:sz w:val="24"/>
        </w:rPr>
        <w:t>（以社保局缴纳凭证作附件）</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19、</w:t>
      </w:r>
      <w:r>
        <w:rPr>
          <w:rFonts w:hint="eastAsia" w:ascii="仿宋" w:hAnsi="仿宋" w:eastAsia="仿宋" w:cs="仿宋"/>
          <w:b/>
          <w:color w:val="auto"/>
          <w:kern w:val="0"/>
          <w:sz w:val="32"/>
          <w:szCs w:val="32"/>
          <w:lang w:val="zh-CN"/>
        </w:rPr>
        <w:t>优惠条件及特殊承诺</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18"/>
          <w:szCs w:val="18"/>
        </w:rPr>
      </w:pPr>
    </w:p>
    <w:p>
      <w:pPr>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20、</w:t>
      </w:r>
      <w:r>
        <w:rPr>
          <w:rFonts w:hint="eastAsia" w:ascii="仿宋" w:hAnsi="仿宋" w:eastAsia="仿宋" w:cs="仿宋"/>
          <w:b/>
          <w:color w:val="auto"/>
          <w:kern w:val="0"/>
          <w:sz w:val="32"/>
          <w:szCs w:val="32"/>
          <w:lang w:val="zh-CN"/>
        </w:rPr>
        <w:t>备品备件及供选择的配套零部件清单</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440" w:lineRule="exact"/>
        <w:rPr>
          <w:rFonts w:ascii="仿宋" w:hAnsi="仿宋" w:eastAsia="仿宋" w:cs="仿宋"/>
          <w:b/>
          <w:color w:val="auto"/>
          <w:spacing w:val="20"/>
          <w:sz w:val="24"/>
        </w:rPr>
      </w:pPr>
      <w:r>
        <w:rPr>
          <w:rFonts w:hint="eastAsia" w:ascii="仿宋" w:hAnsi="仿宋" w:eastAsia="仿宋" w:cs="仿宋"/>
          <w:b/>
          <w:color w:val="auto"/>
          <w:sz w:val="32"/>
          <w:szCs w:val="32"/>
        </w:rPr>
        <w:t>21、</w:t>
      </w:r>
      <w:r>
        <w:rPr>
          <w:rFonts w:hint="eastAsia" w:ascii="仿宋" w:hAnsi="仿宋" w:eastAsia="仿宋" w:cs="仿宋"/>
          <w:b/>
          <w:color w:val="auto"/>
          <w:spacing w:val="20"/>
          <w:sz w:val="32"/>
          <w:szCs w:val="32"/>
        </w:rPr>
        <w:t>消耗品、维修零配件购买价格清单</w:t>
      </w:r>
      <w:r>
        <w:rPr>
          <w:rFonts w:hint="eastAsia" w:ascii="仿宋" w:hAnsi="仿宋" w:eastAsia="仿宋" w:cs="仿宋"/>
          <w:b/>
          <w:color w:val="auto"/>
          <w:spacing w:val="20"/>
          <w:sz w:val="24"/>
        </w:rPr>
        <w:t>(如有</w:t>
      </w:r>
      <w:r>
        <w:rPr>
          <w:rFonts w:hint="eastAsia" w:ascii="仿宋" w:hAnsi="仿宋" w:eastAsia="仿宋" w:cs="仿宋"/>
          <w:b/>
          <w:color w:val="auto"/>
          <w:sz w:val="24"/>
        </w:rPr>
        <w:t>，放入“技术资料部分”</w:t>
      </w:r>
      <w:r>
        <w:rPr>
          <w:rFonts w:hint="eastAsia" w:ascii="仿宋" w:hAnsi="仿宋" w:eastAsia="仿宋" w:cs="仿宋"/>
          <w:b/>
          <w:color w:val="auto"/>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tcBorders>
            <w:vAlign w:val="center"/>
          </w:tcPr>
          <w:p>
            <w:pPr>
              <w:rPr>
                <w:rFonts w:ascii="仿宋" w:hAnsi="仿宋" w:eastAsia="仿宋" w:cs="仿宋"/>
                <w:color w:val="auto"/>
              </w:rPr>
            </w:pPr>
            <w:r>
              <w:rPr>
                <w:rFonts w:hint="eastAsia" w:ascii="仿宋" w:hAnsi="仿宋" w:eastAsia="仿宋" w:cs="仿宋"/>
                <w:color w:val="auto"/>
              </w:rPr>
              <w:t>序号</w:t>
            </w:r>
          </w:p>
        </w:tc>
        <w:tc>
          <w:tcPr>
            <w:tcW w:w="1260" w:type="dxa"/>
            <w:tcBorders>
              <w:top w:val="double" w:color="000000" w:sz="6" w:space="0"/>
            </w:tcBorders>
            <w:vAlign w:val="center"/>
          </w:tcPr>
          <w:p>
            <w:pPr>
              <w:rPr>
                <w:rFonts w:ascii="仿宋" w:hAnsi="仿宋" w:eastAsia="仿宋" w:cs="仿宋"/>
                <w:color w:val="auto"/>
              </w:rPr>
            </w:pPr>
            <w:r>
              <w:rPr>
                <w:rFonts w:hint="eastAsia" w:ascii="仿宋" w:hAnsi="仿宋" w:eastAsia="仿宋" w:cs="仿宋"/>
                <w:color w:val="auto"/>
              </w:rPr>
              <w:t>名称</w:t>
            </w:r>
          </w:p>
        </w:tc>
        <w:tc>
          <w:tcPr>
            <w:tcW w:w="1440" w:type="dxa"/>
            <w:tcBorders>
              <w:top w:val="double" w:color="000000" w:sz="6" w:space="0"/>
            </w:tcBorders>
            <w:vAlign w:val="center"/>
          </w:tcPr>
          <w:p>
            <w:pPr>
              <w:rPr>
                <w:rFonts w:ascii="仿宋" w:hAnsi="仿宋" w:eastAsia="仿宋" w:cs="仿宋"/>
                <w:color w:val="auto"/>
              </w:rPr>
            </w:pPr>
            <w:r>
              <w:rPr>
                <w:rFonts w:hint="eastAsia" w:ascii="仿宋" w:hAnsi="仿宋" w:eastAsia="仿宋" w:cs="仿宋"/>
                <w:color w:val="auto"/>
              </w:rPr>
              <w:t>品牌、型号和规格</w:t>
            </w:r>
          </w:p>
        </w:tc>
        <w:tc>
          <w:tcPr>
            <w:tcW w:w="720" w:type="dxa"/>
            <w:tcBorders>
              <w:top w:val="double" w:color="000000" w:sz="6" w:space="0"/>
            </w:tcBorders>
            <w:vAlign w:val="center"/>
          </w:tcPr>
          <w:p>
            <w:pPr>
              <w:rPr>
                <w:rFonts w:ascii="仿宋" w:hAnsi="仿宋" w:eastAsia="仿宋" w:cs="仿宋"/>
                <w:color w:val="auto"/>
              </w:rPr>
            </w:pPr>
            <w:r>
              <w:rPr>
                <w:rFonts w:hint="eastAsia" w:ascii="仿宋" w:hAnsi="仿宋" w:eastAsia="仿宋" w:cs="仿宋"/>
                <w:color w:val="auto"/>
              </w:rPr>
              <w:t>数量</w:t>
            </w:r>
          </w:p>
        </w:tc>
        <w:tc>
          <w:tcPr>
            <w:tcW w:w="1440" w:type="dxa"/>
            <w:tcBorders>
              <w:top w:val="double" w:color="000000" w:sz="6" w:space="0"/>
            </w:tcBorders>
            <w:vAlign w:val="center"/>
          </w:tcPr>
          <w:p>
            <w:pPr>
              <w:rPr>
                <w:rFonts w:ascii="仿宋" w:hAnsi="仿宋" w:eastAsia="仿宋" w:cs="仿宋"/>
                <w:color w:val="auto"/>
              </w:rPr>
            </w:pPr>
            <w:r>
              <w:rPr>
                <w:rFonts w:hint="eastAsia" w:ascii="仿宋" w:hAnsi="仿宋" w:eastAsia="仿宋" w:cs="仿宋"/>
                <w:color w:val="auto"/>
              </w:rPr>
              <w:t>原产地和制造商名称</w:t>
            </w:r>
          </w:p>
        </w:tc>
        <w:tc>
          <w:tcPr>
            <w:tcW w:w="900" w:type="dxa"/>
            <w:tcBorders>
              <w:top w:val="double" w:color="000000" w:sz="6" w:space="0"/>
            </w:tcBorders>
            <w:vAlign w:val="center"/>
          </w:tcPr>
          <w:p>
            <w:pPr>
              <w:rPr>
                <w:rFonts w:ascii="仿宋" w:hAnsi="仿宋" w:eastAsia="仿宋" w:cs="仿宋"/>
                <w:color w:val="auto"/>
              </w:rPr>
            </w:pPr>
            <w:r>
              <w:rPr>
                <w:rFonts w:hint="eastAsia" w:ascii="仿宋" w:hAnsi="仿宋" w:eastAsia="仿宋" w:cs="仿宋"/>
                <w:color w:val="auto"/>
              </w:rPr>
              <w:t>市场价</w:t>
            </w:r>
          </w:p>
        </w:tc>
        <w:tc>
          <w:tcPr>
            <w:tcW w:w="720" w:type="dxa"/>
            <w:tcBorders>
              <w:top w:val="double" w:color="000000" w:sz="6" w:space="0"/>
              <w:left w:val="single" w:color="auto" w:sz="4" w:space="0"/>
            </w:tcBorders>
            <w:vAlign w:val="center"/>
          </w:tcPr>
          <w:p>
            <w:pPr>
              <w:rPr>
                <w:rFonts w:ascii="仿宋" w:hAnsi="仿宋" w:eastAsia="仿宋" w:cs="仿宋"/>
                <w:color w:val="auto"/>
              </w:rPr>
            </w:pPr>
            <w:r>
              <w:rPr>
                <w:rFonts w:hint="eastAsia" w:ascii="仿宋" w:hAnsi="仿宋" w:eastAsia="仿宋" w:cs="仿宋"/>
                <w:color w:val="auto"/>
              </w:rPr>
              <w:t>报价</w:t>
            </w:r>
          </w:p>
        </w:tc>
        <w:tc>
          <w:tcPr>
            <w:tcW w:w="1440" w:type="dxa"/>
            <w:tcBorders>
              <w:top w:val="double" w:color="000000" w:sz="6" w:space="0"/>
            </w:tcBorders>
            <w:vAlign w:val="center"/>
          </w:tcPr>
          <w:p>
            <w:pPr>
              <w:rPr>
                <w:rFonts w:ascii="仿宋" w:hAnsi="仿宋" w:eastAsia="仿宋" w:cs="仿宋"/>
                <w:color w:val="auto"/>
              </w:rPr>
            </w:pPr>
            <w:r>
              <w:rPr>
                <w:rFonts w:hint="eastAsia" w:ascii="仿宋" w:hAnsi="仿宋" w:eastAsia="仿宋" w:cs="仿宋"/>
                <w:color w:val="auto"/>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vAlign w:val="center"/>
          </w:tcPr>
          <w:p>
            <w:pPr>
              <w:rPr>
                <w:rFonts w:ascii="仿宋" w:hAnsi="仿宋" w:eastAsia="仿宋" w:cs="仿宋"/>
                <w:color w:val="auto"/>
              </w:rPr>
            </w:pPr>
            <w:r>
              <w:rPr>
                <w:rFonts w:hint="eastAsia" w:ascii="仿宋" w:hAnsi="仿宋" w:eastAsia="仿宋" w:cs="仿宋"/>
                <w:color w:val="auto"/>
              </w:rPr>
              <w:t>1.</w:t>
            </w:r>
          </w:p>
        </w:tc>
        <w:tc>
          <w:tcPr>
            <w:tcW w:w="126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72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900" w:type="dxa"/>
            <w:vAlign w:val="center"/>
          </w:tcPr>
          <w:p>
            <w:pPr>
              <w:rPr>
                <w:rFonts w:ascii="仿宋" w:hAnsi="仿宋" w:eastAsia="仿宋" w:cs="仿宋"/>
                <w:color w:val="auto"/>
              </w:rPr>
            </w:pPr>
          </w:p>
        </w:tc>
        <w:tc>
          <w:tcPr>
            <w:tcW w:w="720" w:type="dxa"/>
            <w:tcBorders>
              <w:left w:val="single" w:color="auto" w:sz="4" w:space="0"/>
            </w:tcBorders>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vAlign w:val="center"/>
          </w:tcPr>
          <w:p>
            <w:pPr>
              <w:rPr>
                <w:rFonts w:ascii="仿宋" w:hAnsi="仿宋" w:eastAsia="仿宋" w:cs="仿宋"/>
                <w:color w:val="auto"/>
              </w:rPr>
            </w:pPr>
            <w:r>
              <w:rPr>
                <w:rFonts w:hint="eastAsia" w:ascii="仿宋" w:hAnsi="仿宋" w:eastAsia="仿宋" w:cs="仿宋"/>
                <w:color w:val="auto"/>
              </w:rPr>
              <w:t>2.</w:t>
            </w:r>
          </w:p>
        </w:tc>
        <w:tc>
          <w:tcPr>
            <w:tcW w:w="126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72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900" w:type="dxa"/>
            <w:vAlign w:val="center"/>
          </w:tcPr>
          <w:p>
            <w:pPr>
              <w:rPr>
                <w:rFonts w:ascii="仿宋" w:hAnsi="仿宋" w:eastAsia="仿宋" w:cs="仿宋"/>
                <w:color w:val="auto"/>
              </w:rPr>
            </w:pPr>
          </w:p>
        </w:tc>
        <w:tc>
          <w:tcPr>
            <w:tcW w:w="720" w:type="dxa"/>
            <w:tcBorders>
              <w:left w:val="single" w:color="auto" w:sz="4" w:space="0"/>
            </w:tcBorders>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vAlign w:val="center"/>
          </w:tcPr>
          <w:p>
            <w:pPr>
              <w:rPr>
                <w:rFonts w:ascii="仿宋" w:hAnsi="仿宋" w:eastAsia="仿宋" w:cs="仿宋"/>
                <w:color w:val="auto"/>
              </w:rPr>
            </w:pPr>
            <w:r>
              <w:rPr>
                <w:rFonts w:hint="eastAsia" w:ascii="仿宋" w:hAnsi="仿宋" w:eastAsia="仿宋" w:cs="仿宋"/>
                <w:color w:val="auto"/>
              </w:rPr>
              <w:t>3.</w:t>
            </w:r>
          </w:p>
        </w:tc>
        <w:tc>
          <w:tcPr>
            <w:tcW w:w="126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72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900" w:type="dxa"/>
            <w:vAlign w:val="center"/>
          </w:tcPr>
          <w:p>
            <w:pPr>
              <w:rPr>
                <w:rFonts w:ascii="仿宋" w:hAnsi="仿宋" w:eastAsia="仿宋" w:cs="仿宋"/>
                <w:color w:val="auto"/>
              </w:rPr>
            </w:pPr>
          </w:p>
        </w:tc>
        <w:tc>
          <w:tcPr>
            <w:tcW w:w="720" w:type="dxa"/>
            <w:tcBorders>
              <w:left w:val="single" w:color="auto" w:sz="4" w:space="0"/>
            </w:tcBorders>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vAlign w:val="center"/>
          </w:tcPr>
          <w:p>
            <w:pPr>
              <w:rPr>
                <w:rFonts w:ascii="仿宋" w:hAnsi="仿宋" w:eastAsia="仿宋" w:cs="仿宋"/>
                <w:color w:val="auto"/>
              </w:rPr>
            </w:pPr>
            <w:r>
              <w:rPr>
                <w:rFonts w:hint="eastAsia" w:ascii="仿宋" w:hAnsi="仿宋" w:eastAsia="仿宋" w:cs="仿宋"/>
                <w:color w:val="auto"/>
              </w:rPr>
              <w:t>4.</w:t>
            </w:r>
          </w:p>
        </w:tc>
        <w:tc>
          <w:tcPr>
            <w:tcW w:w="126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72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900" w:type="dxa"/>
            <w:vAlign w:val="center"/>
          </w:tcPr>
          <w:p>
            <w:pPr>
              <w:rPr>
                <w:rFonts w:ascii="仿宋" w:hAnsi="仿宋" w:eastAsia="仿宋" w:cs="仿宋"/>
                <w:color w:val="auto"/>
              </w:rPr>
            </w:pPr>
          </w:p>
        </w:tc>
        <w:tc>
          <w:tcPr>
            <w:tcW w:w="720" w:type="dxa"/>
            <w:tcBorders>
              <w:left w:val="single" w:color="auto" w:sz="4" w:space="0"/>
            </w:tcBorders>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vAlign w:val="center"/>
          </w:tcPr>
          <w:p>
            <w:pPr>
              <w:rPr>
                <w:rFonts w:ascii="仿宋" w:hAnsi="仿宋" w:eastAsia="仿宋" w:cs="仿宋"/>
                <w:color w:val="auto"/>
              </w:rPr>
            </w:pPr>
            <w:r>
              <w:rPr>
                <w:rFonts w:hint="eastAsia" w:ascii="仿宋" w:hAnsi="仿宋" w:eastAsia="仿宋" w:cs="仿宋"/>
                <w:color w:val="auto"/>
              </w:rPr>
              <w:t>5.</w:t>
            </w:r>
          </w:p>
        </w:tc>
        <w:tc>
          <w:tcPr>
            <w:tcW w:w="126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72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900" w:type="dxa"/>
            <w:vAlign w:val="center"/>
          </w:tcPr>
          <w:p>
            <w:pPr>
              <w:rPr>
                <w:rFonts w:ascii="仿宋" w:hAnsi="仿宋" w:eastAsia="仿宋" w:cs="仿宋"/>
                <w:color w:val="auto"/>
              </w:rPr>
            </w:pPr>
          </w:p>
        </w:tc>
        <w:tc>
          <w:tcPr>
            <w:tcW w:w="720" w:type="dxa"/>
            <w:tcBorders>
              <w:left w:val="single" w:color="auto" w:sz="4" w:space="0"/>
            </w:tcBorders>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vAlign w:val="center"/>
          </w:tcPr>
          <w:p>
            <w:pPr>
              <w:rPr>
                <w:rFonts w:ascii="仿宋" w:hAnsi="仿宋" w:eastAsia="仿宋" w:cs="仿宋"/>
                <w:color w:val="auto"/>
              </w:rPr>
            </w:pPr>
            <w:r>
              <w:rPr>
                <w:rFonts w:hint="eastAsia" w:ascii="仿宋" w:hAnsi="仿宋" w:eastAsia="仿宋" w:cs="仿宋"/>
                <w:color w:val="auto"/>
              </w:rPr>
              <w:t>6.</w:t>
            </w:r>
          </w:p>
        </w:tc>
        <w:tc>
          <w:tcPr>
            <w:tcW w:w="126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720" w:type="dxa"/>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c>
          <w:tcPr>
            <w:tcW w:w="900" w:type="dxa"/>
            <w:vAlign w:val="center"/>
          </w:tcPr>
          <w:p>
            <w:pPr>
              <w:rPr>
                <w:rFonts w:ascii="仿宋" w:hAnsi="仿宋" w:eastAsia="仿宋" w:cs="仿宋"/>
                <w:color w:val="auto"/>
              </w:rPr>
            </w:pPr>
          </w:p>
        </w:tc>
        <w:tc>
          <w:tcPr>
            <w:tcW w:w="720" w:type="dxa"/>
            <w:tcBorders>
              <w:left w:val="single" w:color="auto" w:sz="4" w:space="0"/>
            </w:tcBorders>
            <w:vAlign w:val="center"/>
          </w:tcPr>
          <w:p>
            <w:pPr>
              <w:rPr>
                <w:rFonts w:ascii="仿宋" w:hAnsi="仿宋" w:eastAsia="仿宋" w:cs="仿宋"/>
                <w:color w:val="auto"/>
              </w:rPr>
            </w:pPr>
          </w:p>
        </w:tc>
        <w:tc>
          <w:tcPr>
            <w:tcW w:w="1440" w:type="dxa"/>
            <w:vAlign w:val="center"/>
          </w:tcPr>
          <w:p>
            <w:pPr>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bottom w:val="double" w:color="000000" w:sz="6" w:space="0"/>
            </w:tcBorders>
            <w:vAlign w:val="center"/>
          </w:tcPr>
          <w:p>
            <w:pPr>
              <w:rPr>
                <w:rFonts w:ascii="仿宋" w:hAnsi="仿宋" w:eastAsia="仿宋" w:cs="仿宋"/>
                <w:color w:val="auto"/>
              </w:rPr>
            </w:pPr>
            <w:r>
              <w:rPr>
                <w:rFonts w:hint="eastAsia" w:ascii="仿宋" w:hAnsi="仿宋" w:eastAsia="仿宋" w:cs="仿宋"/>
                <w:color w:val="auto"/>
              </w:rPr>
              <w:t>7.</w:t>
            </w:r>
          </w:p>
        </w:tc>
        <w:tc>
          <w:tcPr>
            <w:tcW w:w="1260" w:type="dxa"/>
            <w:tcBorders>
              <w:bottom w:val="double" w:color="000000" w:sz="6" w:space="0"/>
            </w:tcBorders>
            <w:vAlign w:val="center"/>
          </w:tcPr>
          <w:p>
            <w:pPr>
              <w:rPr>
                <w:rFonts w:ascii="仿宋" w:hAnsi="仿宋" w:eastAsia="仿宋" w:cs="仿宋"/>
                <w:color w:val="auto"/>
              </w:rPr>
            </w:pPr>
          </w:p>
        </w:tc>
        <w:tc>
          <w:tcPr>
            <w:tcW w:w="1440" w:type="dxa"/>
            <w:tcBorders>
              <w:bottom w:val="double" w:color="000000" w:sz="6" w:space="0"/>
            </w:tcBorders>
            <w:vAlign w:val="center"/>
          </w:tcPr>
          <w:p>
            <w:pPr>
              <w:rPr>
                <w:rFonts w:ascii="仿宋" w:hAnsi="仿宋" w:eastAsia="仿宋" w:cs="仿宋"/>
                <w:color w:val="auto"/>
              </w:rPr>
            </w:pPr>
          </w:p>
        </w:tc>
        <w:tc>
          <w:tcPr>
            <w:tcW w:w="720" w:type="dxa"/>
            <w:tcBorders>
              <w:bottom w:val="double" w:color="000000" w:sz="6" w:space="0"/>
            </w:tcBorders>
            <w:vAlign w:val="center"/>
          </w:tcPr>
          <w:p>
            <w:pPr>
              <w:rPr>
                <w:rFonts w:ascii="仿宋" w:hAnsi="仿宋" w:eastAsia="仿宋" w:cs="仿宋"/>
                <w:color w:val="auto"/>
              </w:rPr>
            </w:pPr>
          </w:p>
        </w:tc>
        <w:tc>
          <w:tcPr>
            <w:tcW w:w="1440" w:type="dxa"/>
            <w:tcBorders>
              <w:bottom w:val="double" w:color="000000" w:sz="6" w:space="0"/>
            </w:tcBorders>
            <w:vAlign w:val="center"/>
          </w:tcPr>
          <w:p>
            <w:pPr>
              <w:rPr>
                <w:rFonts w:ascii="仿宋" w:hAnsi="仿宋" w:eastAsia="仿宋" w:cs="仿宋"/>
                <w:color w:val="auto"/>
              </w:rPr>
            </w:pPr>
          </w:p>
        </w:tc>
        <w:tc>
          <w:tcPr>
            <w:tcW w:w="900" w:type="dxa"/>
            <w:tcBorders>
              <w:bottom w:val="double" w:color="000000" w:sz="6" w:space="0"/>
            </w:tcBorders>
            <w:vAlign w:val="center"/>
          </w:tcPr>
          <w:p>
            <w:pPr>
              <w:rPr>
                <w:rFonts w:ascii="仿宋" w:hAnsi="仿宋" w:eastAsia="仿宋" w:cs="仿宋"/>
                <w:color w:val="auto"/>
              </w:rPr>
            </w:pPr>
          </w:p>
        </w:tc>
        <w:tc>
          <w:tcPr>
            <w:tcW w:w="720" w:type="dxa"/>
            <w:tcBorders>
              <w:left w:val="single" w:color="auto" w:sz="4" w:space="0"/>
              <w:bottom w:val="double" w:color="000000" w:sz="6" w:space="0"/>
            </w:tcBorders>
            <w:vAlign w:val="center"/>
          </w:tcPr>
          <w:p>
            <w:pPr>
              <w:rPr>
                <w:rFonts w:ascii="仿宋" w:hAnsi="仿宋" w:eastAsia="仿宋" w:cs="仿宋"/>
                <w:color w:val="auto"/>
              </w:rPr>
            </w:pPr>
          </w:p>
        </w:tc>
        <w:tc>
          <w:tcPr>
            <w:tcW w:w="1440" w:type="dxa"/>
            <w:tcBorders>
              <w:bottom w:val="double" w:color="000000" w:sz="6" w:space="0"/>
            </w:tcBorders>
            <w:vAlign w:val="center"/>
          </w:tcPr>
          <w:p>
            <w:pPr>
              <w:rPr>
                <w:rFonts w:ascii="仿宋" w:hAnsi="仿宋" w:eastAsia="仿宋" w:cs="仿宋"/>
                <w:color w:val="auto"/>
              </w:rPr>
            </w:pPr>
          </w:p>
        </w:tc>
      </w:tr>
    </w:tbl>
    <w:p>
      <w:pPr>
        <w:adjustRightInd w:val="0"/>
        <w:snapToGrid w:val="0"/>
        <w:ind w:right="172" w:rightChars="82"/>
        <w:rPr>
          <w:rFonts w:ascii="仿宋" w:hAnsi="仿宋" w:eastAsia="仿宋" w:cs="仿宋"/>
          <w:color w:val="auto"/>
          <w:szCs w:val="21"/>
        </w:rPr>
      </w:pPr>
      <w:r>
        <w:rPr>
          <w:rFonts w:hint="eastAsia" w:ascii="仿宋" w:hAnsi="仿宋" w:eastAsia="仿宋" w:cs="仿宋"/>
          <w:color w:val="auto"/>
          <w:szCs w:val="21"/>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r>
        <w:rPr>
          <w:rFonts w:hint="eastAsia" w:ascii="仿宋" w:hAnsi="仿宋" w:eastAsia="仿宋" w:cs="仿宋"/>
          <w:color w:val="auto"/>
          <w:sz w:val="24"/>
        </w:rPr>
        <w:tab/>
      </w:r>
    </w:p>
    <w:p>
      <w:pPr>
        <w:spacing w:line="440" w:lineRule="exact"/>
        <w:rPr>
          <w:rFonts w:ascii="仿宋" w:hAnsi="仿宋" w:eastAsia="仿宋" w:cs="仿宋"/>
          <w:b/>
          <w:color w:val="auto"/>
          <w:sz w:val="24"/>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22、</w:t>
      </w:r>
      <w:r>
        <w:rPr>
          <w:rFonts w:hint="eastAsia" w:ascii="仿宋" w:hAnsi="仿宋" w:eastAsia="仿宋" w:cs="仿宋"/>
          <w:b/>
          <w:color w:val="auto"/>
          <w:kern w:val="0"/>
          <w:sz w:val="32"/>
          <w:szCs w:val="32"/>
          <w:lang w:val="zh-CN"/>
        </w:rPr>
        <w:t>培训计划</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注：须随表提交相应的证书复印件并注明所在投标商务技术（资信）文件页码。</w:t>
      </w: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23、验收方案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24"/>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24、认为需要的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spacing w:line="360" w:lineRule="auto"/>
        <w:ind w:firstLine="480" w:firstLineChars="200"/>
        <w:rPr>
          <w:rFonts w:ascii="仿宋" w:hAnsi="仿宋" w:eastAsia="仿宋" w:cs="仿宋"/>
          <w:color w:val="auto"/>
          <w:sz w:val="24"/>
          <w:szCs w:val="20"/>
        </w:rPr>
      </w:pP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p>
      <w:pPr>
        <w:spacing w:line="360" w:lineRule="auto"/>
        <w:rPr>
          <w:rFonts w:ascii="仿宋" w:hAnsi="仿宋" w:eastAsia="仿宋" w:cs="仿宋"/>
          <w:color w:val="auto"/>
          <w:kern w:val="0"/>
          <w:sz w:val="24"/>
          <w:lang w:val="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28</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hint="eastAsia"/>
      </w:rPr>
      <w:t>泰宇建筑工程技术咨询有限公司招标文件</w:t>
    </w:r>
    <w:r>
      <w:t xml:space="preserve">                                </w:t>
    </w:r>
    <w:r>
      <w:rPr>
        <w:rFonts w:hint="eastAsia"/>
      </w:rPr>
      <w:t>招标编号</w:t>
    </w:r>
    <w:r>
      <w:t>:</w:t>
    </w:r>
    <w:r>
      <w:rPr>
        <w:rFonts w:hint="eastAsia"/>
      </w:rPr>
      <w:t>CGSHZJ-2020-N000483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hanging="360"/>
      </w:pPr>
      <w:rPr>
        <w:rFonts w:cs="Times New Roman"/>
      </w:r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pPr>
      <w:rPr>
        <w:rFonts w:cs="Times New Roman"/>
      </w:rPr>
    </w:lvl>
  </w:abstractNum>
  <w:abstractNum w:abstractNumId="2">
    <w:nsid w:val="00000002"/>
    <w:multiLevelType w:val="singleLevel"/>
    <w:tmpl w:val="00000002"/>
    <w:lvl w:ilvl="0" w:tentative="0">
      <w:start w:val="1"/>
      <w:numFmt w:val="decimal"/>
      <w:pStyle w:val="48"/>
      <w:lvlText w:val="%1."/>
      <w:lvlJc w:val="left"/>
      <w:pPr>
        <w:tabs>
          <w:tab w:val="left" w:pos="360"/>
        </w:tabs>
        <w:ind w:left="360" w:hanging="360"/>
      </w:pPr>
      <w:rPr>
        <w:rFonts w:cs="Times New Roman"/>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cs="Times New Roman"/>
      </w:rPr>
    </w:lvl>
    <w:lvl w:ilvl="1" w:tentative="0">
      <w:start w:val="1"/>
      <w:numFmt w:val="decimal"/>
      <w:isLgl/>
      <w:lvlText w:val="%1.%2"/>
      <w:lvlJc w:val="left"/>
      <w:pPr>
        <w:tabs>
          <w:tab w:val="left" w:pos="750"/>
        </w:tabs>
        <w:ind w:left="750" w:hanging="390"/>
      </w:pPr>
      <w:rPr>
        <w:rFonts w:hint="default" w:cs="Times New Roman"/>
      </w:rPr>
    </w:lvl>
    <w:lvl w:ilvl="2" w:tentative="0">
      <w:start w:val="1"/>
      <w:numFmt w:val="decimal"/>
      <w:isLgl/>
      <w:lvlText w:val="%1.%2.%3"/>
      <w:lvlJc w:val="left"/>
      <w:pPr>
        <w:tabs>
          <w:tab w:val="left" w:pos="1440"/>
        </w:tabs>
        <w:ind w:left="1440" w:hanging="720"/>
      </w:pPr>
      <w:rPr>
        <w:rFonts w:hint="default" w:cs="Times New Roman"/>
      </w:rPr>
    </w:lvl>
    <w:lvl w:ilvl="3" w:tentative="0">
      <w:start w:val="1"/>
      <w:numFmt w:val="decimal"/>
      <w:isLgl/>
      <w:lvlText w:val="%1.%2.%3.%4"/>
      <w:lvlJc w:val="left"/>
      <w:pPr>
        <w:tabs>
          <w:tab w:val="left" w:pos="1800"/>
        </w:tabs>
        <w:ind w:left="1800" w:hanging="720"/>
      </w:pPr>
      <w:rPr>
        <w:rFonts w:hint="default" w:cs="Times New Roman"/>
      </w:rPr>
    </w:lvl>
    <w:lvl w:ilvl="4" w:tentative="0">
      <w:start w:val="1"/>
      <w:numFmt w:val="decimal"/>
      <w:isLgl/>
      <w:lvlText w:val="%1.%2.%3.%4.%5"/>
      <w:lvlJc w:val="left"/>
      <w:pPr>
        <w:tabs>
          <w:tab w:val="left" w:pos="2520"/>
        </w:tabs>
        <w:ind w:left="2520" w:hanging="1080"/>
      </w:pPr>
      <w:rPr>
        <w:rFonts w:hint="default" w:cs="Times New Roman"/>
      </w:rPr>
    </w:lvl>
    <w:lvl w:ilvl="5" w:tentative="0">
      <w:start w:val="1"/>
      <w:numFmt w:val="decimal"/>
      <w:isLgl/>
      <w:lvlText w:val="%1.%2.%3.%4.%5.%6"/>
      <w:lvlJc w:val="left"/>
      <w:pPr>
        <w:tabs>
          <w:tab w:val="left" w:pos="2880"/>
        </w:tabs>
        <w:ind w:left="2880" w:hanging="1080"/>
      </w:pPr>
      <w:rPr>
        <w:rFonts w:hint="default" w:cs="Times New Roman"/>
      </w:rPr>
    </w:lvl>
    <w:lvl w:ilvl="6" w:tentative="0">
      <w:start w:val="1"/>
      <w:numFmt w:val="decimal"/>
      <w:isLgl/>
      <w:lvlText w:val="%1.%2.%3.%4.%5.%6.%7"/>
      <w:lvlJc w:val="left"/>
      <w:pPr>
        <w:tabs>
          <w:tab w:val="left" w:pos="3240"/>
        </w:tabs>
        <w:ind w:left="3240" w:hanging="1080"/>
      </w:pPr>
      <w:rPr>
        <w:rFonts w:hint="default" w:cs="Times New Roman"/>
      </w:rPr>
    </w:lvl>
    <w:lvl w:ilvl="7" w:tentative="0">
      <w:start w:val="1"/>
      <w:numFmt w:val="decimal"/>
      <w:isLgl/>
      <w:lvlText w:val="%1.%2.%3.%4.%5.%6.%7.%8"/>
      <w:lvlJc w:val="left"/>
      <w:pPr>
        <w:tabs>
          <w:tab w:val="left" w:pos="3960"/>
        </w:tabs>
        <w:ind w:left="3960" w:hanging="1440"/>
      </w:pPr>
      <w:rPr>
        <w:rFonts w:hint="default" w:cs="Times New Roman"/>
      </w:rPr>
    </w:lvl>
    <w:lvl w:ilvl="8" w:tentative="0">
      <w:start w:val="1"/>
      <w:numFmt w:val="decimal"/>
      <w:isLgl/>
      <w:lvlText w:val="%1.%2.%3.%4.%5.%6.%7.%8.%9"/>
      <w:lvlJc w:val="left"/>
      <w:pPr>
        <w:tabs>
          <w:tab w:val="left" w:pos="4320"/>
        </w:tabs>
        <w:ind w:left="4320" w:hanging="1440"/>
      </w:pPr>
      <w:rPr>
        <w:rFonts w:hint="default" w:cs="Times New Roman"/>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rPr>
        <w:rFonts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cs="Times New Roman"/>
      </w:rPr>
    </w:lvl>
    <w:lvl w:ilvl="3" w:tentative="0">
      <w:start w:val="1"/>
      <w:numFmt w:val="decimal"/>
      <w:pStyle w:val="134"/>
      <w:lvlText w:val="%4．"/>
      <w:lvlJc w:val="left"/>
      <w:pPr>
        <w:tabs>
          <w:tab w:val="left" w:pos="1620"/>
        </w:tabs>
        <w:ind w:left="1620" w:hanging="360"/>
      </w:pPr>
      <w:rPr>
        <w:rFonts w:hint="default" w:cs="Times New Roman"/>
      </w:rPr>
    </w:lvl>
    <w:lvl w:ilvl="4" w:tentative="0">
      <w:start w:val="1"/>
      <w:numFmt w:val="decimal"/>
      <w:lvlText w:val="%5）"/>
      <w:lvlJc w:val="left"/>
      <w:pPr>
        <w:tabs>
          <w:tab w:val="left" w:pos="2040"/>
        </w:tabs>
        <w:ind w:left="2040" w:hanging="360"/>
      </w:pPr>
      <w:rPr>
        <w:rFonts w:hint="default"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pStyle w:val="6"/>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rPr>
        <w:rFonts w:cs="Times New Roman"/>
      </w:rPr>
    </w:lvl>
  </w:abstractNum>
  <w:abstractNum w:abstractNumId="7">
    <w:nsid w:val="6CAC619C"/>
    <w:multiLevelType w:val="multilevel"/>
    <w:tmpl w:val="6CAC619C"/>
    <w:lvl w:ilvl="0" w:tentative="0">
      <w:start w:val="1"/>
      <w:numFmt w:val="bullet"/>
      <w:pStyle w:val="129"/>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cs="Times New Roman"/>
      </w:rPr>
    </w:lvl>
    <w:lvl w:ilvl="2" w:tentative="0">
      <w:start w:val="1"/>
      <w:numFmt w:val="none"/>
      <w:isLgl/>
      <w:suff w:val="space"/>
      <w:lvlText w:val="  2.2.1.3"/>
      <w:lvlJc w:val="left"/>
      <w:rPr>
        <w:rFonts w:hint="eastAsia" w:cs="Times New Roman"/>
      </w:rPr>
    </w:lvl>
    <w:lvl w:ilvl="3" w:tentative="0">
      <w:start w:val="1"/>
      <w:numFmt w:val="decimal"/>
      <w:isLgl/>
      <w:suff w:val="space"/>
      <w:lvlText w:val="%1.%2.%3.%4"/>
      <w:lvlJc w:val="left"/>
      <w:pPr>
        <w:ind w:left="851" w:hanging="851"/>
      </w:pPr>
      <w:rPr>
        <w:rFonts w:hint="eastAsia" w:cs="Times New Roman"/>
      </w:rPr>
    </w:lvl>
    <w:lvl w:ilvl="4" w:tentative="0">
      <w:start w:val="1"/>
      <w:numFmt w:val="decimal"/>
      <w:isLgl/>
      <w:suff w:val="space"/>
      <w:lvlText w:val="%1.%2.%3.%4.%5"/>
      <w:lvlJc w:val="left"/>
      <w:pPr>
        <w:ind w:left="992" w:hanging="992"/>
      </w:pPr>
      <w:rPr>
        <w:rFonts w:hint="eastAsia" w:cs="Times New Roman"/>
      </w:rPr>
    </w:lvl>
    <w:lvl w:ilvl="5" w:tentative="0">
      <w:start w:val="1"/>
      <w:numFmt w:val="decimal"/>
      <w:suff w:val="space"/>
      <w:lvlText w:val="%1.%2.%3.%4.%5.%6."/>
      <w:lvlJc w:val="left"/>
      <w:pPr>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5"/>
  </w:num>
  <w:num w:numId="2">
    <w:abstractNumId w:val="1"/>
  </w:num>
  <w:num w:numId="3">
    <w:abstractNumId w:val="0"/>
  </w:num>
  <w:num w:numId="4">
    <w:abstractNumId w:val="6"/>
  </w:num>
  <w:num w:numId="5">
    <w:abstractNumId w:val="2"/>
  </w:num>
  <w:num w:numId="6">
    <w:abstractNumId w:val="7"/>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7C8A"/>
    <w:rsid w:val="00000288"/>
    <w:rsid w:val="000013CE"/>
    <w:rsid w:val="0000145F"/>
    <w:rsid w:val="00014C26"/>
    <w:rsid w:val="000213BD"/>
    <w:rsid w:val="0002203D"/>
    <w:rsid w:val="00022E6E"/>
    <w:rsid w:val="0002468D"/>
    <w:rsid w:val="000263AF"/>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5248"/>
    <w:rsid w:val="0006557D"/>
    <w:rsid w:val="00065EFB"/>
    <w:rsid w:val="00067179"/>
    <w:rsid w:val="00074373"/>
    <w:rsid w:val="00077669"/>
    <w:rsid w:val="00083E93"/>
    <w:rsid w:val="00091214"/>
    <w:rsid w:val="000933A2"/>
    <w:rsid w:val="00094E92"/>
    <w:rsid w:val="00097868"/>
    <w:rsid w:val="000A1105"/>
    <w:rsid w:val="000A2858"/>
    <w:rsid w:val="000A4592"/>
    <w:rsid w:val="000A4F03"/>
    <w:rsid w:val="000A5AC0"/>
    <w:rsid w:val="000A6E1E"/>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0F67EA"/>
    <w:rsid w:val="00103567"/>
    <w:rsid w:val="00104663"/>
    <w:rsid w:val="00111C9B"/>
    <w:rsid w:val="00112B08"/>
    <w:rsid w:val="0011449B"/>
    <w:rsid w:val="00114B03"/>
    <w:rsid w:val="00114C81"/>
    <w:rsid w:val="00115E6F"/>
    <w:rsid w:val="00116D5A"/>
    <w:rsid w:val="00116DD6"/>
    <w:rsid w:val="00116EDA"/>
    <w:rsid w:val="0012018C"/>
    <w:rsid w:val="001218E0"/>
    <w:rsid w:val="0012458E"/>
    <w:rsid w:val="00130D54"/>
    <w:rsid w:val="00131F59"/>
    <w:rsid w:val="001345B3"/>
    <w:rsid w:val="0013565E"/>
    <w:rsid w:val="00136540"/>
    <w:rsid w:val="00137525"/>
    <w:rsid w:val="00142A1F"/>
    <w:rsid w:val="00150D5E"/>
    <w:rsid w:val="00157269"/>
    <w:rsid w:val="00161E6C"/>
    <w:rsid w:val="00162214"/>
    <w:rsid w:val="00165068"/>
    <w:rsid w:val="00165C06"/>
    <w:rsid w:val="00166E3E"/>
    <w:rsid w:val="00173659"/>
    <w:rsid w:val="001737BE"/>
    <w:rsid w:val="001751A8"/>
    <w:rsid w:val="00176D18"/>
    <w:rsid w:val="00182BCE"/>
    <w:rsid w:val="001841D9"/>
    <w:rsid w:val="00184C15"/>
    <w:rsid w:val="00187E3F"/>
    <w:rsid w:val="0019064E"/>
    <w:rsid w:val="00190DB7"/>
    <w:rsid w:val="00191263"/>
    <w:rsid w:val="00191EE1"/>
    <w:rsid w:val="00192A2F"/>
    <w:rsid w:val="00192CD1"/>
    <w:rsid w:val="00193494"/>
    <w:rsid w:val="001A0C24"/>
    <w:rsid w:val="001A15C0"/>
    <w:rsid w:val="001A40E8"/>
    <w:rsid w:val="001A5CA3"/>
    <w:rsid w:val="001A622E"/>
    <w:rsid w:val="001A6712"/>
    <w:rsid w:val="001A6DF8"/>
    <w:rsid w:val="001A75EF"/>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10619"/>
    <w:rsid w:val="00210CAC"/>
    <w:rsid w:val="00211374"/>
    <w:rsid w:val="00231CB7"/>
    <w:rsid w:val="00231D98"/>
    <w:rsid w:val="00233356"/>
    <w:rsid w:val="0023638E"/>
    <w:rsid w:val="00241007"/>
    <w:rsid w:val="002428D6"/>
    <w:rsid w:val="00247AB8"/>
    <w:rsid w:val="00250440"/>
    <w:rsid w:val="0025749B"/>
    <w:rsid w:val="00263D54"/>
    <w:rsid w:val="00264FFB"/>
    <w:rsid w:val="00266447"/>
    <w:rsid w:val="00274841"/>
    <w:rsid w:val="0028096B"/>
    <w:rsid w:val="002825DA"/>
    <w:rsid w:val="00283311"/>
    <w:rsid w:val="00283617"/>
    <w:rsid w:val="00285EAD"/>
    <w:rsid w:val="002860D2"/>
    <w:rsid w:val="00286495"/>
    <w:rsid w:val="002945E5"/>
    <w:rsid w:val="00296B7D"/>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1C"/>
    <w:rsid w:val="002F1672"/>
    <w:rsid w:val="002F1C08"/>
    <w:rsid w:val="002F2363"/>
    <w:rsid w:val="002F34ED"/>
    <w:rsid w:val="002F3755"/>
    <w:rsid w:val="002F72E9"/>
    <w:rsid w:val="003006C3"/>
    <w:rsid w:val="00302514"/>
    <w:rsid w:val="00307917"/>
    <w:rsid w:val="003103BE"/>
    <w:rsid w:val="00310479"/>
    <w:rsid w:val="0031459C"/>
    <w:rsid w:val="00315E77"/>
    <w:rsid w:val="00316329"/>
    <w:rsid w:val="00322404"/>
    <w:rsid w:val="003263C0"/>
    <w:rsid w:val="00327008"/>
    <w:rsid w:val="0032789C"/>
    <w:rsid w:val="00327BE3"/>
    <w:rsid w:val="00334AE8"/>
    <w:rsid w:val="00335134"/>
    <w:rsid w:val="00342B06"/>
    <w:rsid w:val="00346756"/>
    <w:rsid w:val="0036433A"/>
    <w:rsid w:val="00365E4D"/>
    <w:rsid w:val="003676AE"/>
    <w:rsid w:val="00367EAB"/>
    <w:rsid w:val="00371214"/>
    <w:rsid w:val="00372122"/>
    <w:rsid w:val="00372A03"/>
    <w:rsid w:val="0037368A"/>
    <w:rsid w:val="00375107"/>
    <w:rsid w:val="0037517D"/>
    <w:rsid w:val="00375265"/>
    <w:rsid w:val="00381405"/>
    <w:rsid w:val="003819A2"/>
    <w:rsid w:val="00383216"/>
    <w:rsid w:val="00384E3C"/>
    <w:rsid w:val="0039130B"/>
    <w:rsid w:val="00393589"/>
    <w:rsid w:val="00393A4C"/>
    <w:rsid w:val="003A2040"/>
    <w:rsid w:val="003A25EB"/>
    <w:rsid w:val="003A74F5"/>
    <w:rsid w:val="003B2B02"/>
    <w:rsid w:val="003B2E46"/>
    <w:rsid w:val="003B6368"/>
    <w:rsid w:val="003B6B82"/>
    <w:rsid w:val="003C0638"/>
    <w:rsid w:val="003C1069"/>
    <w:rsid w:val="003C2D53"/>
    <w:rsid w:val="003C4BA8"/>
    <w:rsid w:val="003C637D"/>
    <w:rsid w:val="003C7D51"/>
    <w:rsid w:val="003D1A22"/>
    <w:rsid w:val="003D27B1"/>
    <w:rsid w:val="003D2AE6"/>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7B2"/>
    <w:rsid w:val="00431F99"/>
    <w:rsid w:val="004350B7"/>
    <w:rsid w:val="00440EFA"/>
    <w:rsid w:val="00442935"/>
    <w:rsid w:val="00442A29"/>
    <w:rsid w:val="0044374C"/>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19C4"/>
    <w:rsid w:val="004A236E"/>
    <w:rsid w:val="004A5A3A"/>
    <w:rsid w:val="004A7A78"/>
    <w:rsid w:val="004B31E0"/>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611C0"/>
    <w:rsid w:val="005617C1"/>
    <w:rsid w:val="00570271"/>
    <w:rsid w:val="0057066B"/>
    <w:rsid w:val="00572BAD"/>
    <w:rsid w:val="00573BCB"/>
    <w:rsid w:val="00576529"/>
    <w:rsid w:val="00577014"/>
    <w:rsid w:val="00585E68"/>
    <w:rsid w:val="00586C3A"/>
    <w:rsid w:val="00587796"/>
    <w:rsid w:val="005879E7"/>
    <w:rsid w:val="00590E09"/>
    <w:rsid w:val="00591584"/>
    <w:rsid w:val="00592D8D"/>
    <w:rsid w:val="005930F0"/>
    <w:rsid w:val="00594CDD"/>
    <w:rsid w:val="005A0348"/>
    <w:rsid w:val="005A32FB"/>
    <w:rsid w:val="005A38C6"/>
    <w:rsid w:val="005A3E6E"/>
    <w:rsid w:val="005A7973"/>
    <w:rsid w:val="005A7A4A"/>
    <w:rsid w:val="005B280F"/>
    <w:rsid w:val="005B3224"/>
    <w:rsid w:val="005B5915"/>
    <w:rsid w:val="005B744B"/>
    <w:rsid w:val="005C1CD8"/>
    <w:rsid w:val="005C3154"/>
    <w:rsid w:val="005C3A22"/>
    <w:rsid w:val="005C54A7"/>
    <w:rsid w:val="005C6F10"/>
    <w:rsid w:val="005C7DDA"/>
    <w:rsid w:val="005D2C66"/>
    <w:rsid w:val="005D2F62"/>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96F"/>
    <w:rsid w:val="006120C0"/>
    <w:rsid w:val="00615A32"/>
    <w:rsid w:val="006200D9"/>
    <w:rsid w:val="00625435"/>
    <w:rsid w:val="00625BC2"/>
    <w:rsid w:val="0063038E"/>
    <w:rsid w:val="006329C9"/>
    <w:rsid w:val="006351A3"/>
    <w:rsid w:val="006366FE"/>
    <w:rsid w:val="00637E45"/>
    <w:rsid w:val="00651C90"/>
    <w:rsid w:val="00652DBA"/>
    <w:rsid w:val="00655480"/>
    <w:rsid w:val="00655744"/>
    <w:rsid w:val="00656E00"/>
    <w:rsid w:val="00660A99"/>
    <w:rsid w:val="00666BFB"/>
    <w:rsid w:val="00667E4E"/>
    <w:rsid w:val="0067526F"/>
    <w:rsid w:val="0067549B"/>
    <w:rsid w:val="00675C4B"/>
    <w:rsid w:val="006839B6"/>
    <w:rsid w:val="006854BE"/>
    <w:rsid w:val="00694B34"/>
    <w:rsid w:val="0069533C"/>
    <w:rsid w:val="00697E44"/>
    <w:rsid w:val="006A1906"/>
    <w:rsid w:val="006A294F"/>
    <w:rsid w:val="006A69A8"/>
    <w:rsid w:val="006A6E74"/>
    <w:rsid w:val="006B183A"/>
    <w:rsid w:val="006B1AA2"/>
    <w:rsid w:val="006B456B"/>
    <w:rsid w:val="006B4C67"/>
    <w:rsid w:val="006B502C"/>
    <w:rsid w:val="006B6B67"/>
    <w:rsid w:val="006C02F5"/>
    <w:rsid w:val="006C5FEF"/>
    <w:rsid w:val="006E110F"/>
    <w:rsid w:val="006E64A5"/>
    <w:rsid w:val="006E6C77"/>
    <w:rsid w:val="006E797A"/>
    <w:rsid w:val="006F0A0C"/>
    <w:rsid w:val="006F10EE"/>
    <w:rsid w:val="006F2510"/>
    <w:rsid w:val="006F26FB"/>
    <w:rsid w:val="006F4B5F"/>
    <w:rsid w:val="007014C0"/>
    <w:rsid w:val="00702458"/>
    <w:rsid w:val="0070332B"/>
    <w:rsid w:val="00703A32"/>
    <w:rsid w:val="00705E50"/>
    <w:rsid w:val="00707395"/>
    <w:rsid w:val="007079AE"/>
    <w:rsid w:val="007122EB"/>
    <w:rsid w:val="00712857"/>
    <w:rsid w:val="0071292E"/>
    <w:rsid w:val="00714248"/>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6751B"/>
    <w:rsid w:val="0077137D"/>
    <w:rsid w:val="00771C6C"/>
    <w:rsid w:val="00771CBC"/>
    <w:rsid w:val="00772AC2"/>
    <w:rsid w:val="00775269"/>
    <w:rsid w:val="0077587F"/>
    <w:rsid w:val="00775B00"/>
    <w:rsid w:val="00777C1A"/>
    <w:rsid w:val="00780334"/>
    <w:rsid w:val="007805D3"/>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1150"/>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0248"/>
    <w:rsid w:val="008730BE"/>
    <w:rsid w:val="008737A3"/>
    <w:rsid w:val="0088347A"/>
    <w:rsid w:val="00885770"/>
    <w:rsid w:val="00886234"/>
    <w:rsid w:val="008863A7"/>
    <w:rsid w:val="008863D4"/>
    <w:rsid w:val="00886634"/>
    <w:rsid w:val="00887B85"/>
    <w:rsid w:val="008901B1"/>
    <w:rsid w:val="00890DCD"/>
    <w:rsid w:val="00896FB1"/>
    <w:rsid w:val="00897356"/>
    <w:rsid w:val="008A357F"/>
    <w:rsid w:val="008A5161"/>
    <w:rsid w:val="008A5F55"/>
    <w:rsid w:val="008B1F5C"/>
    <w:rsid w:val="008B43D4"/>
    <w:rsid w:val="008C4974"/>
    <w:rsid w:val="008C4A9E"/>
    <w:rsid w:val="008C4E5B"/>
    <w:rsid w:val="008C6DCD"/>
    <w:rsid w:val="008C6F04"/>
    <w:rsid w:val="008C7BFE"/>
    <w:rsid w:val="008D18FD"/>
    <w:rsid w:val="008D1CE8"/>
    <w:rsid w:val="008D1F65"/>
    <w:rsid w:val="008D2080"/>
    <w:rsid w:val="008D23C5"/>
    <w:rsid w:val="008D4AB1"/>
    <w:rsid w:val="008D69B8"/>
    <w:rsid w:val="008D71A8"/>
    <w:rsid w:val="008D7398"/>
    <w:rsid w:val="008D7B31"/>
    <w:rsid w:val="008E0F6F"/>
    <w:rsid w:val="008E19EE"/>
    <w:rsid w:val="008E253E"/>
    <w:rsid w:val="008E316D"/>
    <w:rsid w:val="008E5F0C"/>
    <w:rsid w:val="008E612F"/>
    <w:rsid w:val="008E7A5B"/>
    <w:rsid w:val="008F03D5"/>
    <w:rsid w:val="008F07DF"/>
    <w:rsid w:val="008F08A0"/>
    <w:rsid w:val="008F1219"/>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373E4"/>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25C"/>
    <w:rsid w:val="009924D5"/>
    <w:rsid w:val="009953BD"/>
    <w:rsid w:val="00995623"/>
    <w:rsid w:val="00995FD6"/>
    <w:rsid w:val="009A266F"/>
    <w:rsid w:val="009A2D5B"/>
    <w:rsid w:val="009A5E9D"/>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7183"/>
    <w:rsid w:val="009D744F"/>
    <w:rsid w:val="009E19CE"/>
    <w:rsid w:val="009E24B0"/>
    <w:rsid w:val="009E3626"/>
    <w:rsid w:val="009E6D86"/>
    <w:rsid w:val="009E7112"/>
    <w:rsid w:val="009F0A92"/>
    <w:rsid w:val="009F5CDD"/>
    <w:rsid w:val="009F6F5D"/>
    <w:rsid w:val="00A0299D"/>
    <w:rsid w:val="00A079EA"/>
    <w:rsid w:val="00A12612"/>
    <w:rsid w:val="00A140B8"/>
    <w:rsid w:val="00A15C91"/>
    <w:rsid w:val="00A16161"/>
    <w:rsid w:val="00A2031E"/>
    <w:rsid w:val="00A20F2A"/>
    <w:rsid w:val="00A216B1"/>
    <w:rsid w:val="00A21F10"/>
    <w:rsid w:val="00A23D3B"/>
    <w:rsid w:val="00A26379"/>
    <w:rsid w:val="00A27EE2"/>
    <w:rsid w:val="00A3186A"/>
    <w:rsid w:val="00A32EA8"/>
    <w:rsid w:val="00A41EAC"/>
    <w:rsid w:val="00A41EDA"/>
    <w:rsid w:val="00A42B9E"/>
    <w:rsid w:val="00A4718E"/>
    <w:rsid w:val="00A5012D"/>
    <w:rsid w:val="00A546F9"/>
    <w:rsid w:val="00A551BB"/>
    <w:rsid w:val="00A55AF4"/>
    <w:rsid w:val="00A55F87"/>
    <w:rsid w:val="00A56E2E"/>
    <w:rsid w:val="00A62C6F"/>
    <w:rsid w:val="00A714BB"/>
    <w:rsid w:val="00A7154B"/>
    <w:rsid w:val="00A733D2"/>
    <w:rsid w:val="00A81059"/>
    <w:rsid w:val="00A81E8D"/>
    <w:rsid w:val="00A82EA6"/>
    <w:rsid w:val="00A85417"/>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2CD5"/>
    <w:rsid w:val="00AB370A"/>
    <w:rsid w:val="00AB38A1"/>
    <w:rsid w:val="00AB39F3"/>
    <w:rsid w:val="00AC2B19"/>
    <w:rsid w:val="00AC346A"/>
    <w:rsid w:val="00AC4A89"/>
    <w:rsid w:val="00AD212B"/>
    <w:rsid w:val="00AD5414"/>
    <w:rsid w:val="00AD5F30"/>
    <w:rsid w:val="00AD626D"/>
    <w:rsid w:val="00AE169F"/>
    <w:rsid w:val="00AE2286"/>
    <w:rsid w:val="00AE2ED6"/>
    <w:rsid w:val="00AE7E12"/>
    <w:rsid w:val="00AF039F"/>
    <w:rsid w:val="00AF4A99"/>
    <w:rsid w:val="00AF65F7"/>
    <w:rsid w:val="00B00F7A"/>
    <w:rsid w:val="00B012D5"/>
    <w:rsid w:val="00B01A6C"/>
    <w:rsid w:val="00B01CAF"/>
    <w:rsid w:val="00B0332B"/>
    <w:rsid w:val="00B10421"/>
    <w:rsid w:val="00B127DA"/>
    <w:rsid w:val="00B12ECD"/>
    <w:rsid w:val="00B138A5"/>
    <w:rsid w:val="00B14C0B"/>
    <w:rsid w:val="00B2146D"/>
    <w:rsid w:val="00B22071"/>
    <w:rsid w:val="00B3313A"/>
    <w:rsid w:val="00B34302"/>
    <w:rsid w:val="00B36043"/>
    <w:rsid w:val="00B37781"/>
    <w:rsid w:val="00B37BCC"/>
    <w:rsid w:val="00B475BB"/>
    <w:rsid w:val="00B51DCE"/>
    <w:rsid w:val="00B54A1C"/>
    <w:rsid w:val="00B55791"/>
    <w:rsid w:val="00B56FBC"/>
    <w:rsid w:val="00B61CB2"/>
    <w:rsid w:val="00B63318"/>
    <w:rsid w:val="00B64D5E"/>
    <w:rsid w:val="00B66525"/>
    <w:rsid w:val="00B729E1"/>
    <w:rsid w:val="00B80348"/>
    <w:rsid w:val="00B80D7D"/>
    <w:rsid w:val="00B8314C"/>
    <w:rsid w:val="00B84B87"/>
    <w:rsid w:val="00B850D2"/>
    <w:rsid w:val="00B91124"/>
    <w:rsid w:val="00B91C47"/>
    <w:rsid w:val="00B936D8"/>
    <w:rsid w:val="00B94480"/>
    <w:rsid w:val="00BA093C"/>
    <w:rsid w:val="00BA1AF6"/>
    <w:rsid w:val="00BA4929"/>
    <w:rsid w:val="00BC02D7"/>
    <w:rsid w:val="00BC108C"/>
    <w:rsid w:val="00BC3D6F"/>
    <w:rsid w:val="00BC4DE1"/>
    <w:rsid w:val="00BC5B55"/>
    <w:rsid w:val="00BC6117"/>
    <w:rsid w:val="00BC61AC"/>
    <w:rsid w:val="00BC7E9B"/>
    <w:rsid w:val="00BD0550"/>
    <w:rsid w:val="00BD0AEE"/>
    <w:rsid w:val="00BD0EBD"/>
    <w:rsid w:val="00BD123A"/>
    <w:rsid w:val="00BD312A"/>
    <w:rsid w:val="00BD4F3D"/>
    <w:rsid w:val="00BD504E"/>
    <w:rsid w:val="00BD5BF9"/>
    <w:rsid w:val="00BD6622"/>
    <w:rsid w:val="00BD72D6"/>
    <w:rsid w:val="00BE6FA5"/>
    <w:rsid w:val="00BF28ED"/>
    <w:rsid w:val="00BF35B6"/>
    <w:rsid w:val="00BF63C6"/>
    <w:rsid w:val="00C00FA5"/>
    <w:rsid w:val="00C0150B"/>
    <w:rsid w:val="00C01E03"/>
    <w:rsid w:val="00C0230C"/>
    <w:rsid w:val="00C036EC"/>
    <w:rsid w:val="00C03B02"/>
    <w:rsid w:val="00C0598F"/>
    <w:rsid w:val="00C11F4F"/>
    <w:rsid w:val="00C13CEC"/>
    <w:rsid w:val="00C13CF5"/>
    <w:rsid w:val="00C1781A"/>
    <w:rsid w:val="00C17DB8"/>
    <w:rsid w:val="00C20683"/>
    <w:rsid w:val="00C20DC8"/>
    <w:rsid w:val="00C256B4"/>
    <w:rsid w:val="00C31EB2"/>
    <w:rsid w:val="00C329C3"/>
    <w:rsid w:val="00C40CD1"/>
    <w:rsid w:val="00C53F0E"/>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5AE"/>
    <w:rsid w:val="00CA6080"/>
    <w:rsid w:val="00CA627A"/>
    <w:rsid w:val="00CA6806"/>
    <w:rsid w:val="00CA70BF"/>
    <w:rsid w:val="00CA7348"/>
    <w:rsid w:val="00CB16E8"/>
    <w:rsid w:val="00CB7229"/>
    <w:rsid w:val="00CB73F3"/>
    <w:rsid w:val="00CC1D36"/>
    <w:rsid w:val="00CD1CAB"/>
    <w:rsid w:val="00CD3E5C"/>
    <w:rsid w:val="00CD62C7"/>
    <w:rsid w:val="00CD6DE5"/>
    <w:rsid w:val="00CE0061"/>
    <w:rsid w:val="00CE10A2"/>
    <w:rsid w:val="00CE3AD7"/>
    <w:rsid w:val="00CE50F5"/>
    <w:rsid w:val="00CE5EE3"/>
    <w:rsid w:val="00CF33C3"/>
    <w:rsid w:val="00CF3431"/>
    <w:rsid w:val="00CF37D2"/>
    <w:rsid w:val="00CF7251"/>
    <w:rsid w:val="00CF7F2A"/>
    <w:rsid w:val="00CF7F8F"/>
    <w:rsid w:val="00D01299"/>
    <w:rsid w:val="00D026F7"/>
    <w:rsid w:val="00D0319D"/>
    <w:rsid w:val="00D056AF"/>
    <w:rsid w:val="00D056B2"/>
    <w:rsid w:val="00D05BBB"/>
    <w:rsid w:val="00D10648"/>
    <w:rsid w:val="00D1373D"/>
    <w:rsid w:val="00D200E4"/>
    <w:rsid w:val="00D2049A"/>
    <w:rsid w:val="00D212FB"/>
    <w:rsid w:val="00D23BFA"/>
    <w:rsid w:val="00D24803"/>
    <w:rsid w:val="00D275A5"/>
    <w:rsid w:val="00D353FF"/>
    <w:rsid w:val="00D369AC"/>
    <w:rsid w:val="00D40795"/>
    <w:rsid w:val="00D41C06"/>
    <w:rsid w:val="00D460AD"/>
    <w:rsid w:val="00D47043"/>
    <w:rsid w:val="00D51479"/>
    <w:rsid w:val="00D54BBA"/>
    <w:rsid w:val="00D56345"/>
    <w:rsid w:val="00D56B35"/>
    <w:rsid w:val="00D570F6"/>
    <w:rsid w:val="00D625F8"/>
    <w:rsid w:val="00D643EF"/>
    <w:rsid w:val="00D71AFA"/>
    <w:rsid w:val="00D72324"/>
    <w:rsid w:val="00D73693"/>
    <w:rsid w:val="00D74A49"/>
    <w:rsid w:val="00D75066"/>
    <w:rsid w:val="00D832F2"/>
    <w:rsid w:val="00D840D8"/>
    <w:rsid w:val="00D91884"/>
    <w:rsid w:val="00D93A13"/>
    <w:rsid w:val="00D97508"/>
    <w:rsid w:val="00DA1E37"/>
    <w:rsid w:val="00DA2DFC"/>
    <w:rsid w:val="00DA3FC7"/>
    <w:rsid w:val="00DA4EC4"/>
    <w:rsid w:val="00DA55DB"/>
    <w:rsid w:val="00DA5D11"/>
    <w:rsid w:val="00DA68FB"/>
    <w:rsid w:val="00DA7361"/>
    <w:rsid w:val="00DA7BFE"/>
    <w:rsid w:val="00DB3061"/>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B41"/>
    <w:rsid w:val="00E17D79"/>
    <w:rsid w:val="00E20A02"/>
    <w:rsid w:val="00E21681"/>
    <w:rsid w:val="00E21FFA"/>
    <w:rsid w:val="00E239A5"/>
    <w:rsid w:val="00E27A41"/>
    <w:rsid w:val="00E30390"/>
    <w:rsid w:val="00E35D90"/>
    <w:rsid w:val="00E3742A"/>
    <w:rsid w:val="00E41FB0"/>
    <w:rsid w:val="00E42DE4"/>
    <w:rsid w:val="00E4356C"/>
    <w:rsid w:val="00E45756"/>
    <w:rsid w:val="00E45909"/>
    <w:rsid w:val="00E46623"/>
    <w:rsid w:val="00E47EEF"/>
    <w:rsid w:val="00E517A3"/>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3654"/>
    <w:rsid w:val="00EA37AB"/>
    <w:rsid w:val="00EA4736"/>
    <w:rsid w:val="00EA62B8"/>
    <w:rsid w:val="00EA6B0D"/>
    <w:rsid w:val="00EB0AE3"/>
    <w:rsid w:val="00EB1F10"/>
    <w:rsid w:val="00EB72A5"/>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2519"/>
    <w:rsid w:val="00EE2C53"/>
    <w:rsid w:val="00EE54FE"/>
    <w:rsid w:val="00EE5E15"/>
    <w:rsid w:val="00EF0070"/>
    <w:rsid w:val="00EF0648"/>
    <w:rsid w:val="00EF0988"/>
    <w:rsid w:val="00EF394B"/>
    <w:rsid w:val="00EF40B3"/>
    <w:rsid w:val="00F01C96"/>
    <w:rsid w:val="00F0661F"/>
    <w:rsid w:val="00F07BDA"/>
    <w:rsid w:val="00F12CBB"/>
    <w:rsid w:val="00F1355C"/>
    <w:rsid w:val="00F15F80"/>
    <w:rsid w:val="00F17A0E"/>
    <w:rsid w:val="00F2566F"/>
    <w:rsid w:val="00F26477"/>
    <w:rsid w:val="00F27259"/>
    <w:rsid w:val="00F33527"/>
    <w:rsid w:val="00F33DF7"/>
    <w:rsid w:val="00F35DF7"/>
    <w:rsid w:val="00F360DB"/>
    <w:rsid w:val="00F36E16"/>
    <w:rsid w:val="00F37C1A"/>
    <w:rsid w:val="00F405B5"/>
    <w:rsid w:val="00F41632"/>
    <w:rsid w:val="00F42267"/>
    <w:rsid w:val="00F454C9"/>
    <w:rsid w:val="00F515FC"/>
    <w:rsid w:val="00F5295B"/>
    <w:rsid w:val="00F54935"/>
    <w:rsid w:val="00F57CCC"/>
    <w:rsid w:val="00F62709"/>
    <w:rsid w:val="00F63771"/>
    <w:rsid w:val="00F63922"/>
    <w:rsid w:val="00F65BA4"/>
    <w:rsid w:val="00F6668D"/>
    <w:rsid w:val="00F70C83"/>
    <w:rsid w:val="00F76826"/>
    <w:rsid w:val="00F76A15"/>
    <w:rsid w:val="00F777A0"/>
    <w:rsid w:val="00F77CA1"/>
    <w:rsid w:val="00F8068F"/>
    <w:rsid w:val="00F82E38"/>
    <w:rsid w:val="00F9250E"/>
    <w:rsid w:val="00F95492"/>
    <w:rsid w:val="00FA4846"/>
    <w:rsid w:val="00FB1EB6"/>
    <w:rsid w:val="00FB2714"/>
    <w:rsid w:val="00FB28F5"/>
    <w:rsid w:val="00FB466D"/>
    <w:rsid w:val="00FB4E10"/>
    <w:rsid w:val="00FB57EB"/>
    <w:rsid w:val="00FB5905"/>
    <w:rsid w:val="00FB5FF6"/>
    <w:rsid w:val="00FB6FF9"/>
    <w:rsid w:val="00FC066F"/>
    <w:rsid w:val="00FC16C6"/>
    <w:rsid w:val="00FC3901"/>
    <w:rsid w:val="00FC5B79"/>
    <w:rsid w:val="00FC7E58"/>
    <w:rsid w:val="00FD43F3"/>
    <w:rsid w:val="00FD65DA"/>
    <w:rsid w:val="00FD714E"/>
    <w:rsid w:val="00FE228D"/>
    <w:rsid w:val="00FE5780"/>
    <w:rsid w:val="00FE5E89"/>
    <w:rsid w:val="00FE6153"/>
    <w:rsid w:val="00FE7260"/>
    <w:rsid w:val="00FF0866"/>
    <w:rsid w:val="00FF21AE"/>
    <w:rsid w:val="00FF26F0"/>
    <w:rsid w:val="00FF724C"/>
    <w:rsid w:val="00FF7A04"/>
    <w:rsid w:val="00FF7BD2"/>
    <w:rsid w:val="016F607C"/>
    <w:rsid w:val="02677A1A"/>
    <w:rsid w:val="0D5022C7"/>
    <w:rsid w:val="0DE243CB"/>
    <w:rsid w:val="10226414"/>
    <w:rsid w:val="10A22558"/>
    <w:rsid w:val="11D40AF1"/>
    <w:rsid w:val="1342317C"/>
    <w:rsid w:val="1C2F5EE0"/>
    <w:rsid w:val="1FE45C31"/>
    <w:rsid w:val="24A31350"/>
    <w:rsid w:val="2944547A"/>
    <w:rsid w:val="2A813D95"/>
    <w:rsid w:val="2E591FCF"/>
    <w:rsid w:val="2E7A4E78"/>
    <w:rsid w:val="2EF10217"/>
    <w:rsid w:val="334E10E4"/>
    <w:rsid w:val="375D2DFF"/>
    <w:rsid w:val="3B690C7C"/>
    <w:rsid w:val="3D857CC1"/>
    <w:rsid w:val="407B11D7"/>
    <w:rsid w:val="43F060A9"/>
    <w:rsid w:val="48BE5245"/>
    <w:rsid w:val="48D9100F"/>
    <w:rsid w:val="4A3F3002"/>
    <w:rsid w:val="4C372D1E"/>
    <w:rsid w:val="4F5A7BC2"/>
    <w:rsid w:val="50B46D4B"/>
    <w:rsid w:val="51421D62"/>
    <w:rsid w:val="5350501B"/>
    <w:rsid w:val="57EC78AC"/>
    <w:rsid w:val="58C74325"/>
    <w:rsid w:val="61CE1F00"/>
    <w:rsid w:val="62E00B5C"/>
    <w:rsid w:val="63061156"/>
    <w:rsid w:val="683C7ADA"/>
    <w:rsid w:val="68C01C29"/>
    <w:rsid w:val="697444ED"/>
    <w:rsid w:val="6F4665E4"/>
    <w:rsid w:val="730A3DEE"/>
    <w:rsid w:val="76706D5C"/>
    <w:rsid w:val="76A806CA"/>
    <w:rsid w:val="78A04F42"/>
    <w:rsid w:val="78E14324"/>
    <w:rsid w:val="7D3E2BB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qFormat="1" w:unhideWhenUsed="0" w:uiPriority="9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99" w:semiHidden="0" w:name="List Number 2"/>
    <w:lsdException w:qFormat="1" w:unhideWhenUsed="0"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qFormat="1" w:unhideWhenUsed="0" w:uiPriority="99"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0"/>
    <w:qFormat/>
    <w:uiPriority w:val="99"/>
    <w:pPr>
      <w:keepNext/>
      <w:keepLines/>
      <w:numPr>
        <w:ilvl w:val="0"/>
        <w:numId w:val="2"/>
      </w:numPr>
      <w:tabs>
        <w:tab w:val="left" w:pos="1145"/>
        <w:tab w:val="clear" w:pos="360"/>
      </w:tabs>
      <w:spacing w:before="260" w:after="260" w:line="416" w:lineRule="auto"/>
      <w:ind w:left="992" w:hanging="567"/>
      <w:outlineLvl w:val="1"/>
    </w:pPr>
    <w:rPr>
      <w:rFonts w:ascii="Arial" w:hAnsi="Arial" w:eastAsia="黑体"/>
      <w:b/>
      <w:sz w:val="32"/>
      <w:szCs w:val="20"/>
    </w:rPr>
  </w:style>
  <w:style w:type="paragraph" w:styleId="5">
    <w:name w:val="heading 3"/>
    <w:basedOn w:val="1"/>
    <w:next w:val="4"/>
    <w:link w:val="51"/>
    <w:qFormat/>
    <w:uiPriority w:val="99"/>
    <w:pPr>
      <w:keepNext/>
      <w:keepLines/>
      <w:numPr>
        <w:ilvl w:val="0"/>
        <w:numId w:val="3"/>
      </w:numPr>
      <w:tabs>
        <w:tab w:val="left" w:pos="2651"/>
        <w:tab w:val="clear" w:pos="1200"/>
      </w:tabs>
      <w:spacing w:before="260" w:after="260" w:line="416" w:lineRule="auto"/>
      <w:ind w:left="1418" w:hanging="567"/>
      <w:outlineLvl w:val="2"/>
    </w:pPr>
    <w:rPr>
      <w:rFonts w:eastAsia="仿宋_GB2312"/>
      <w:b/>
      <w:sz w:val="32"/>
      <w:szCs w:val="20"/>
    </w:rPr>
  </w:style>
  <w:style w:type="paragraph" w:styleId="6">
    <w:name w:val="heading 4"/>
    <w:basedOn w:val="1"/>
    <w:next w:val="4"/>
    <w:link w:val="52"/>
    <w:qFormat/>
    <w:uiPriority w:val="99"/>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3"/>
    <w:qFormat/>
    <w:uiPriority w:val="99"/>
    <w:pPr>
      <w:keepNext/>
      <w:widowControl/>
      <w:numPr>
        <w:ilvl w:val="0"/>
        <w:numId w:val="4"/>
      </w:numPr>
      <w:jc w:val="left"/>
      <w:outlineLvl w:val="4"/>
    </w:pPr>
    <w:rPr>
      <w:kern w:val="0"/>
      <w:sz w:val="24"/>
      <w:szCs w:val="20"/>
    </w:rPr>
  </w:style>
  <w:style w:type="paragraph" w:styleId="8">
    <w:name w:val="heading 6"/>
    <w:basedOn w:val="1"/>
    <w:next w:val="1"/>
    <w:link w:val="54"/>
    <w:qFormat/>
    <w:uiPriority w:val="99"/>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5"/>
    <w:qFormat/>
    <w:uiPriority w:val="99"/>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6"/>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57"/>
    <w:qFormat/>
    <w:uiPriority w:val="99"/>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74"/>
    <w:qFormat/>
    <w:uiPriority w:val="99"/>
    <w:pPr>
      <w:ind w:firstLine="420" w:firstLineChars="200"/>
    </w:pPr>
  </w:style>
  <w:style w:type="paragraph" w:styleId="12">
    <w:name w:val="List Number 2"/>
    <w:basedOn w:val="1"/>
    <w:qFormat/>
    <w:uiPriority w:val="99"/>
    <w:pPr>
      <w:widowControl/>
      <w:tabs>
        <w:tab w:val="left" w:pos="1697"/>
      </w:tabs>
      <w:spacing w:afterLines="50"/>
      <w:ind w:left="1697" w:hanging="420"/>
      <w:jc w:val="left"/>
    </w:pPr>
    <w:rPr>
      <w:kern w:val="0"/>
      <w:sz w:val="24"/>
      <w:szCs w:val="20"/>
    </w:rPr>
  </w:style>
  <w:style w:type="paragraph" w:styleId="13">
    <w:name w:val="List Number"/>
    <w:basedOn w:val="1"/>
    <w:qFormat/>
    <w:uiPriority w:val="99"/>
    <w:pPr>
      <w:widowControl/>
      <w:tabs>
        <w:tab w:val="left" w:pos="454"/>
      </w:tabs>
      <w:spacing w:afterLines="50"/>
      <w:ind w:left="454" w:hanging="284"/>
      <w:jc w:val="left"/>
    </w:pPr>
    <w:rPr>
      <w:kern w:val="0"/>
      <w:sz w:val="24"/>
      <w:szCs w:val="20"/>
    </w:rPr>
  </w:style>
  <w:style w:type="paragraph" w:styleId="14">
    <w:name w:val="caption"/>
    <w:basedOn w:val="1"/>
    <w:next w:val="1"/>
    <w:qFormat/>
    <w:uiPriority w:val="99"/>
    <w:pPr>
      <w:spacing w:line="360" w:lineRule="auto"/>
      <w:jc w:val="center"/>
    </w:pPr>
    <w:rPr>
      <w:rFonts w:ascii="Calibri" w:hAnsi="Calibri"/>
      <w:sz w:val="20"/>
      <w:szCs w:val="20"/>
    </w:rPr>
  </w:style>
  <w:style w:type="paragraph" w:styleId="15">
    <w:name w:val="Document Map"/>
    <w:basedOn w:val="1"/>
    <w:link w:val="58"/>
    <w:semiHidden/>
    <w:qFormat/>
    <w:uiPriority w:val="99"/>
    <w:pPr>
      <w:shd w:val="clear" w:color="auto" w:fill="000080"/>
    </w:pPr>
  </w:style>
  <w:style w:type="paragraph" w:styleId="16">
    <w:name w:val="annotation text"/>
    <w:basedOn w:val="1"/>
    <w:link w:val="59"/>
    <w:qFormat/>
    <w:uiPriority w:val="0"/>
    <w:pPr>
      <w:jc w:val="left"/>
    </w:pPr>
  </w:style>
  <w:style w:type="paragraph" w:styleId="17">
    <w:name w:val="Body Text"/>
    <w:basedOn w:val="1"/>
    <w:link w:val="60"/>
    <w:qFormat/>
    <w:uiPriority w:val="99"/>
    <w:pPr>
      <w:spacing w:line="360" w:lineRule="auto"/>
    </w:pPr>
    <w:rPr>
      <w:rFonts w:eastAsia="仿宋_GB2312"/>
      <w:sz w:val="28"/>
    </w:rPr>
  </w:style>
  <w:style w:type="paragraph" w:styleId="18">
    <w:name w:val="Body Text Indent"/>
    <w:basedOn w:val="1"/>
    <w:link w:val="61"/>
    <w:qFormat/>
    <w:uiPriority w:val="99"/>
    <w:pPr>
      <w:spacing w:after="120"/>
      <w:ind w:left="420" w:leftChars="200"/>
    </w:pPr>
  </w:style>
  <w:style w:type="paragraph" w:styleId="19">
    <w:name w:val="List Number 3"/>
    <w:basedOn w:val="1"/>
    <w:qFormat/>
    <w:uiPriority w:val="99"/>
    <w:pPr>
      <w:widowControl/>
      <w:tabs>
        <w:tab w:val="left" w:pos="482"/>
      </w:tabs>
      <w:spacing w:afterLines="50"/>
      <w:ind w:left="482" w:hanging="340"/>
      <w:jc w:val="left"/>
    </w:pPr>
    <w:rPr>
      <w:kern w:val="0"/>
      <w:sz w:val="24"/>
      <w:szCs w:val="20"/>
    </w:rPr>
  </w:style>
  <w:style w:type="paragraph" w:styleId="20">
    <w:name w:val="Block Text"/>
    <w:basedOn w:val="1"/>
    <w:qFormat/>
    <w:uiPriority w:val="99"/>
    <w:pPr>
      <w:spacing w:before="120" w:line="360" w:lineRule="auto"/>
      <w:ind w:left="824" w:right="202"/>
    </w:pPr>
    <w:rPr>
      <w:rFonts w:ascii="宋体" w:hAnsi="宋体"/>
      <w:sz w:val="24"/>
      <w:szCs w:val="21"/>
    </w:rPr>
  </w:style>
  <w:style w:type="paragraph" w:styleId="21">
    <w:name w:val="Plain Text"/>
    <w:basedOn w:val="1"/>
    <w:link w:val="62"/>
    <w:qFormat/>
    <w:uiPriority w:val="99"/>
    <w:rPr>
      <w:rFonts w:ascii="宋体" w:hAnsi="Courier New"/>
      <w:szCs w:val="20"/>
    </w:rPr>
  </w:style>
  <w:style w:type="paragraph" w:styleId="22">
    <w:name w:val="Date"/>
    <w:basedOn w:val="1"/>
    <w:next w:val="1"/>
    <w:link w:val="63"/>
    <w:qFormat/>
    <w:uiPriority w:val="99"/>
    <w:rPr>
      <w:rFonts w:ascii="楷体_GB2312" w:eastAsia="楷体_GB2312"/>
      <w:b/>
      <w:sz w:val="28"/>
      <w:szCs w:val="20"/>
    </w:rPr>
  </w:style>
  <w:style w:type="paragraph" w:styleId="23">
    <w:name w:val="Body Text Indent 2"/>
    <w:basedOn w:val="1"/>
    <w:link w:val="64"/>
    <w:qFormat/>
    <w:uiPriority w:val="99"/>
    <w:pPr>
      <w:spacing w:after="120" w:line="480" w:lineRule="auto"/>
      <w:ind w:left="420" w:leftChars="200"/>
    </w:pPr>
  </w:style>
  <w:style w:type="paragraph" w:styleId="24">
    <w:name w:val="Balloon Text"/>
    <w:basedOn w:val="1"/>
    <w:link w:val="65"/>
    <w:qFormat/>
    <w:uiPriority w:val="99"/>
    <w:rPr>
      <w:sz w:val="18"/>
      <w:szCs w:val="18"/>
    </w:rPr>
  </w:style>
  <w:style w:type="paragraph" w:styleId="25">
    <w:name w:val="footer"/>
    <w:basedOn w:val="1"/>
    <w:link w:val="66"/>
    <w:qFormat/>
    <w:uiPriority w:val="99"/>
    <w:pPr>
      <w:tabs>
        <w:tab w:val="center" w:pos="4153"/>
        <w:tab w:val="right" w:pos="8306"/>
      </w:tabs>
      <w:snapToGrid w:val="0"/>
      <w:jc w:val="left"/>
    </w:pPr>
    <w:rPr>
      <w:sz w:val="18"/>
      <w:szCs w:val="18"/>
    </w:rPr>
  </w:style>
  <w:style w:type="paragraph" w:styleId="26">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99"/>
  </w:style>
  <w:style w:type="paragraph" w:styleId="28">
    <w:name w:val="toc 4"/>
    <w:basedOn w:val="1"/>
    <w:next w:val="1"/>
    <w:semiHidden/>
    <w:qFormat/>
    <w:uiPriority w:val="99"/>
    <w:pPr>
      <w:tabs>
        <w:tab w:val="right" w:leader="dot" w:pos="8314"/>
      </w:tabs>
      <w:ind w:firstLine="588" w:firstLineChars="245"/>
    </w:pPr>
  </w:style>
  <w:style w:type="paragraph" w:styleId="29">
    <w:name w:val="Body Text Indent 3"/>
    <w:basedOn w:val="1"/>
    <w:link w:val="68"/>
    <w:qFormat/>
    <w:uiPriority w:val="99"/>
    <w:pPr>
      <w:spacing w:after="120"/>
      <w:ind w:left="420" w:leftChars="200"/>
    </w:pPr>
    <w:rPr>
      <w:sz w:val="16"/>
      <w:szCs w:val="16"/>
    </w:rPr>
  </w:style>
  <w:style w:type="paragraph" w:styleId="30">
    <w:name w:val="toc 2"/>
    <w:basedOn w:val="1"/>
    <w:next w:val="1"/>
    <w:semiHidden/>
    <w:qFormat/>
    <w:uiPriority w:val="99"/>
    <w:pPr>
      <w:ind w:left="420" w:leftChars="200"/>
    </w:pPr>
  </w:style>
  <w:style w:type="paragraph" w:styleId="31">
    <w:name w:val="Body Text 2"/>
    <w:basedOn w:val="1"/>
    <w:link w:val="69"/>
    <w:qFormat/>
    <w:uiPriority w:val="99"/>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99"/>
    <w:pPr>
      <w:spacing w:after="120"/>
      <w:ind w:left="840" w:leftChars="400"/>
    </w:pPr>
  </w:style>
  <w:style w:type="paragraph" w:styleId="33">
    <w:name w:val="HTML Preformatted"/>
    <w:basedOn w:val="1"/>
    <w:link w:val="7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99"/>
    <w:pPr>
      <w:widowControl/>
      <w:spacing w:before="100" w:beforeAutospacing="1" w:after="100" w:afterAutospacing="1"/>
      <w:jc w:val="left"/>
    </w:pPr>
    <w:rPr>
      <w:rFonts w:ascii="Arial Unicode MS" w:hAnsi="Arial Unicode MS" w:cs="Arial Unicode MS"/>
      <w:color w:val="000000"/>
      <w:kern w:val="0"/>
      <w:sz w:val="19"/>
      <w:szCs w:val="19"/>
    </w:rPr>
  </w:style>
  <w:style w:type="paragraph" w:styleId="35">
    <w:name w:val="index 1"/>
    <w:basedOn w:val="1"/>
    <w:next w:val="1"/>
    <w:semiHidden/>
    <w:qFormat/>
    <w:uiPriority w:val="99"/>
    <w:pPr>
      <w:spacing w:line="320" w:lineRule="exact"/>
    </w:pPr>
    <w:rPr>
      <w:b/>
      <w:color w:val="FF6600"/>
      <w:kern w:val="0"/>
      <w:sz w:val="18"/>
      <w:szCs w:val="21"/>
    </w:rPr>
  </w:style>
  <w:style w:type="paragraph" w:styleId="36">
    <w:name w:val="annotation subject"/>
    <w:basedOn w:val="16"/>
    <w:next w:val="16"/>
    <w:link w:val="71"/>
    <w:qFormat/>
    <w:uiPriority w:val="99"/>
    <w:pPr>
      <w:widowControl/>
      <w:spacing w:afterLines="50"/>
    </w:pPr>
    <w:rPr>
      <w:b/>
      <w:bCs/>
      <w:kern w:val="0"/>
      <w:sz w:val="24"/>
      <w:szCs w:val="20"/>
    </w:rPr>
  </w:style>
  <w:style w:type="paragraph" w:styleId="37">
    <w:name w:val="Body Text First Indent"/>
    <w:basedOn w:val="17"/>
    <w:link w:val="72"/>
    <w:qFormat/>
    <w:uiPriority w:val="99"/>
    <w:pPr>
      <w:spacing w:after="120" w:line="240" w:lineRule="auto"/>
      <w:ind w:firstLine="420" w:firstLineChars="100"/>
    </w:pPr>
    <w:rPr>
      <w:rFonts w:eastAsia="宋体"/>
      <w:sz w:val="21"/>
    </w:rPr>
  </w:style>
  <w:style w:type="paragraph" w:styleId="38">
    <w:name w:val="Body Text First Indent 2"/>
    <w:basedOn w:val="18"/>
    <w:link w:val="73"/>
    <w:qFormat/>
    <w:uiPriority w:val="99"/>
    <w:pPr>
      <w:ind w:firstLine="420" w:firstLineChars="200"/>
    </w:pPr>
  </w:style>
  <w:style w:type="table" w:styleId="40">
    <w:name w:val="Table Grid"/>
    <w:basedOn w:val="3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99"/>
    <w:rPr>
      <w:rFonts w:cs="Times New Roman"/>
      <w:b/>
      <w:bCs/>
    </w:rPr>
  </w:style>
  <w:style w:type="character" w:styleId="43">
    <w:name w:val="page number"/>
    <w:basedOn w:val="41"/>
    <w:qFormat/>
    <w:uiPriority w:val="99"/>
    <w:rPr>
      <w:rFonts w:cs="Times New Roman"/>
    </w:rPr>
  </w:style>
  <w:style w:type="character" w:styleId="44">
    <w:name w:val="FollowedHyperlink"/>
    <w:basedOn w:val="41"/>
    <w:qFormat/>
    <w:uiPriority w:val="99"/>
    <w:rPr>
      <w:rFonts w:cs="Times New Roman"/>
      <w:color w:val="800080"/>
      <w:u w:val="single"/>
    </w:rPr>
  </w:style>
  <w:style w:type="character" w:styleId="45">
    <w:name w:val="Emphasis"/>
    <w:basedOn w:val="41"/>
    <w:qFormat/>
    <w:uiPriority w:val="99"/>
    <w:rPr>
      <w:rFonts w:cs="Times New Roman"/>
      <w:color w:val="CC0000"/>
    </w:rPr>
  </w:style>
  <w:style w:type="character" w:styleId="46">
    <w:name w:val="Hyperlink"/>
    <w:basedOn w:val="41"/>
    <w:qFormat/>
    <w:uiPriority w:val="99"/>
    <w:rPr>
      <w:rFonts w:cs="Times New Roman"/>
      <w:color w:val="0000FF"/>
      <w:u w:val="single"/>
    </w:rPr>
  </w:style>
  <w:style w:type="character" w:styleId="47">
    <w:name w:val="annotation reference"/>
    <w:basedOn w:val="41"/>
    <w:qFormat/>
    <w:uiPriority w:val="99"/>
    <w:rPr>
      <w:rFonts w:cs="Times New Roman"/>
      <w:sz w:val="21"/>
      <w:szCs w:val="21"/>
    </w:rPr>
  </w:style>
  <w:style w:type="paragraph" w:customStyle="1" w:styleId="48">
    <w:name w:val="首行缩进"/>
    <w:basedOn w:val="1"/>
    <w:qFormat/>
    <w:uiPriority w:val="99"/>
    <w:pPr>
      <w:widowControl/>
      <w:numPr>
        <w:ilvl w:val="0"/>
        <w:numId w:val="5"/>
      </w:numPr>
      <w:tabs>
        <w:tab w:val="left" w:pos="822"/>
        <w:tab w:val="left" w:pos="2940"/>
      </w:tabs>
      <w:adjustRightInd w:val="0"/>
      <w:snapToGrid w:val="0"/>
      <w:spacing w:before="40" w:after="40" w:line="300" w:lineRule="atLeast"/>
    </w:pPr>
    <w:rPr>
      <w:rFonts w:ascii="Arial" w:hAnsi="Arial"/>
    </w:rPr>
  </w:style>
  <w:style w:type="character" w:customStyle="1" w:styleId="49">
    <w:name w:val="标题 1 Char"/>
    <w:basedOn w:val="41"/>
    <w:link w:val="2"/>
    <w:qFormat/>
    <w:locked/>
    <w:uiPriority w:val="99"/>
    <w:rPr>
      <w:rFonts w:eastAsia="仿宋_GB2312"/>
      <w:b/>
      <w:kern w:val="44"/>
      <w:sz w:val="44"/>
      <w:szCs w:val="20"/>
    </w:rPr>
  </w:style>
  <w:style w:type="character" w:customStyle="1" w:styleId="50">
    <w:name w:val="标题 2 Char"/>
    <w:basedOn w:val="41"/>
    <w:link w:val="3"/>
    <w:qFormat/>
    <w:locked/>
    <w:uiPriority w:val="99"/>
    <w:rPr>
      <w:rFonts w:ascii="Arial" w:hAnsi="Arial" w:eastAsia="黑体" w:cs="Times New Roman"/>
      <w:b/>
      <w:kern w:val="2"/>
      <w:sz w:val="32"/>
      <w:lang w:val="en-US" w:eastAsia="zh-CN"/>
    </w:rPr>
  </w:style>
  <w:style w:type="character" w:customStyle="1" w:styleId="51">
    <w:name w:val="标题 3 Char"/>
    <w:basedOn w:val="41"/>
    <w:link w:val="5"/>
    <w:qFormat/>
    <w:locked/>
    <w:uiPriority w:val="99"/>
    <w:rPr>
      <w:rFonts w:eastAsia="仿宋_GB2312" w:cs="Times New Roman"/>
      <w:b/>
      <w:kern w:val="2"/>
      <w:sz w:val="32"/>
      <w:lang w:val="en-US" w:eastAsia="zh-CN"/>
    </w:rPr>
  </w:style>
  <w:style w:type="character" w:customStyle="1" w:styleId="52">
    <w:name w:val="标题 4 Char"/>
    <w:basedOn w:val="41"/>
    <w:link w:val="6"/>
    <w:qFormat/>
    <w:locked/>
    <w:uiPriority w:val="99"/>
    <w:rPr>
      <w:rFonts w:ascii="Arial" w:hAnsi="Arial" w:eastAsia="黑体"/>
      <w:b/>
      <w:sz w:val="28"/>
      <w:szCs w:val="20"/>
    </w:rPr>
  </w:style>
  <w:style w:type="character" w:customStyle="1" w:styleId="53">
    <w:name w:val="标题 5 Char"/>
    <w:basedOn w:val="41"/>
    <w:link w:val="7"/>
    <w:qFormat/>
    <w:locked/>
    <w:uiPriority w:val="99"/>
    <w:rPr>
      <w:kern w:val="0"/>
      <w:sz w:val="24"/>
      <w:szCs w:val="20"/>
    </w:rPr>
  </w:style>
  <w:style w:type="character" w:customStyle="1" w:styleId="54">
    <w:name w:val="标题 6 Char"/>
    <w:basedOn w:val="41"/>
    <w:link w:val="8"/>
    <w:qFormat/>
    <w:locked/>
    <w:uiPriority w:val="99"/>
    <w:rPr>
      <w:rFonts w:ascii="宋体" w:hAnsi="Arial" w:eastAsia="宋体" w:cs="Times New Roman"/>
      <w:sz w:val="24"/>
      <w:lang w:val="en-US" w:eastAsia="zh-CN"/>
    </w:rPr>
  </w:style>
  <w:style w:type="character" w:customStyle="1" w:styleId="55">
    <w:name w:val="标题 7 Char"/>
    <w:basedOn w:val="41"/>
    <w:link w:val="9"/>
    <w:qFormat/>
    <w:locked/>
    <w:uiPriority w:val="99"/>
    <w:rPr>
      <w:rFonts w:ascii="宋体" w:hAnsi="Arial" w:eastAsia="宋体" w:cs="Times New Roman"/>
      <w:b/>
      <w:sz w:val="24"/>
      <w:lang w:val="en-US" w:eastAsia="zh-CN"/>
    </w:rPr>
  </w:style>
  <w:style w:type="character" w:customStyle="1" w:styleId="56">
    <w:name w:val="标题 8 Char"/>
    <w:basedOn w:val="41"/>
    <w:link w:val="10"/>
    <w:qFormat/>
    <w:locked/>
    <w:uiPriority w:val="99"/>
    <w:rPr>
      <w:rFonts w:ascii="Arial" w:hAnsi="Arial" w:eastAsia="黑体" w:cs="Times New Roman"/>
      <w:sz w:val="24"/>
      <w:lang w:val="en-US" w:eastAsia="zh-CN"/>
    </w:rPr>
  </w:style>
  <w:style w:type="character" w:customStyle="1" w:styleId="57">
    <w:name w:val="标题 9 Char"/>
    <w:basedOn w:val="41"/>
    <w:link w:val="11"/>
    <w:qFormat/>
    <w:locked/>
    <w:uiPriority w:val="99"/>
    <w:rPr>
      <w:rFonts w:ascii="Arial" w:hAnsi="Arial" w:eastAsia="黑体" w:cs="Times New Roman"/>
      <w:sz w:val="24"/>
      <w:lang w:val="en-US" w:eastAsia="zh-CN"/>
    </w:rPr>
  </w:style>
  <w:style w:type="character" w:customStyle="1" w:styleId="58">
    <w:name w:val="文档结构图 Char"/>
    <w:basedOn w:val="41"/>
    <w:link w:val="15"/>
    <w:semiHidden/>
    <w:qFormat/>
    <w:locked/>
    <w:uiPriority w:val="99"/>
    <w:rPr>
      <w:rFonts w:eastAsia="宋体" w:cs="Times New Roman"/>
      <w:kern w:val="2"/>
      <w:sz w:val="24"/>
      <w:lang w:val="en-US" w:eastAsia="zh-CN"/>
    </w:rPr>
  </w:style>
  <w:style w:type="character" w:customStyle="1" w:styleId="59">
    <w:name w:val="批注文字 Char"/>
    <w:basedOn w:val="41"/>
    <w:link w:val="16"/>
    <w:qFormat/>
    <w:locked/>
    <w:uiPriority w:val="99"/>
    <w:rPr>
      <w:rFonts w:eastAsia="宋体" w:cs="Times New Roman"/>
      <w:kern w:val="2"/>
      <w:sz w:val="24"/>
      <w:lang w:val="en-US" w:eastAsia="zh-CN"/>
    </w:rPr>
  </w:style>
  <w:style w:type="character" w:customStyle="1" w:styleId="60">
    <w:name w:val="正文文本 Char"/>
    <w:basedOn w:val="41"/>
    <w:link w:val="17"/>
    <w:qFormat/>
    <w:locked/>
    <w:uiPriority w:val="99"/>
    <w:rPr>
      <w:rFonts w:eastAsia="仿宋_GB2312" w:cs="Times New Roman"/>
      <w:kern w:val="2"/>
      <w:sz w:val="24"/>
      <w:lang w:val="en-US" w:eastAsia="zh-CN"/>
    </w:rPr>
  </w:style>
  <w:style w:type="character" w:customStyle="1" w:styleId="61">
    <w:name w:val="正文文本缩进 Char"/>
    <w:basedOn w:val="41"/>
    <w:link w:val="18"/>
    <w:qFormat/>
    <w:locked/>
    <w:uiPriority w:val="99"/>
    <w:rPr>
      <w:rFonts w:eastAsia="宋体" w:cs="Times New Roman"/>
      <w:kern w:val="2"/>
      <w:sz w:val="24"/>
      <w:lang w:val="en-US" w:eastAsia="zh-CN"/>
    </w:rPr>
  </w:style>
  <w:style w:type="character" w:customStyle="1" w:styleId="62">
    <w:name w:val="纯文本 Char"/>
    <w:basedOn w:val="41"/>
    <w:link w:val="21"/>
    <w:qFormat/>
    <w:locked/>
    <w:uiPriority w:val="99"/>
    <w:rPr>
      <w:rFonts w:ascii="宋体" w:hAnsi="Courier New" w:eastAsia="宋体" w:cs="Times New Roman"/>
      <w:kern w:val="2"/>
      <w:sz w:val="21"/>
      <w:lang w:val="en-US" w:eastAsia="zh-CN" w:bidi="ar-SA"/>
    </w:rPr>
  </w:style>
  <w:style w:type="character" w:customStyle="1" w:styleId="63">
    <w:name w:val="日期 Char"/>
    <w:basedOn w:val="41"/>
    <w:link w:val="22"/>
    <w:qFormat/>
    <w:locked/>
    <w:uiPriority w:val="99"/>
    <w:rPr>
      <w:rFonts w:ascii="楷体_GB2312" w:eastAsia="楷体_GB2312" w:cs="Times New Roman"/>
      <w:b/>
      <w:kern w:val="2"/>
      <w:sz w:val="28"/>
      <w:lang w:val="en-US" w:eastAsia="zh-CN"/>
    </w:rPr>
  </w:style>
  <w:style w:type="character" w:customStyle="1" w:styleId="64">
    <w:name w:val="正文文本缩进 2 Char"/>
    <w:basedOn w:val="41"/>
    <w:link w:val="23"/>
    <w:qFormat/>
    <w:locked/>
    <w:uiPriority w:val="99"/>
    <w:rPr>
      <w:rFonts w:eastAsia="宋体" w:cs="Times New Roman"/>
      <w:kern w:val="2"/>
      <w:sz w:val="24"/>
      <w:lang w:val="en-US" w:eastAsia="zh-CN"/>
    </w:rPr>
  </w:style>
  <w:style w:type="character" w:customStyle="1" w:styleId="65">
    <w:name w:val="批注框文本 Char"/>
    <w:basedOn w:val="41"/>
    <w:link w:val="24"/>
    <w:qFormat/>
    <w:locked/>
    <w:uiPriority w:val="99"/>
    <w:rPr>
      <w:rFonts w:cs="Times New Roman"/>
      <w:kern w:val="2"/>
      <w:sz w:val="18"/>
    </w:rPr>
  </w:style>
  <w:style w:type="character" w:customStyle="1" w:styleId="66">
    <w:name w:val="页脚 Char"/>
    <w:basedOn w:val="41"/>
    <w:link w:val="25"/>
    <w:qFormat/>
    <w:locked/>
    <w:uiPriority w:val="99"/>
    <w:rPr>
      <w:rFonts w:cs="Times New Roman"/>
      <w:kern w:val="2"/>
      <w:sz w:val="18"/>
    </w:rPr>
  </w:style>
  <w:style w:type="character" w:customStyle="1" w:styleId="67">
    <w:name w:val="页眉 Char"/>
    <w:basedOn w:val="41"/>
    <w:link w:val="26"/>
    <w:qFormat/>
    <w:locked/>
    <w:uiPriority w:val="99"/>
    <w:rPr>
      <w:rFonts w:eastAsia="宋体" w:cs="Times New Roman"/>
      <w:kern w:val="2"/>
      <w:sz w:val="18"/>
      <w:lang w:val="en-US" w:eastAsia="zh-CN"/>
    </w:rPr>
  </w:style>
  <w:style w:type="character" w:customStyle="1" w:styleId="68">
    <w:name w:val="正文文本缩进 3 Char"/>
    <w:basedOn w:val="41"/>
    <w:link w:val="29"/>
    <w:semiHidden/>
    <w:qFormat/>
    <w:locked/>
    <w:uiPriority w:val="99"/>
    <w:rPr>
      <w:rFonts w:cs="Times New Roman"/>
      <w:sz w:val="16"/>
      <w:szCs w:val="16"/>
    </w:rPr>
  </w:style>
  <w:style w:type="character" w:customStyle="1" w:styleId="69">
    <w:name w:val="正文文本 2 Char"/>
    <w:basedOn w:val="41"/>
    <w:link w:val="31"/>
    <w:qFormat/>
    <w:locked/>
    <w:uiPriority w:val="99"/>
    <w:rPr>
      <w:rFonts w:ascii="隶书" w:eastAsia="隶书" w:cs="Times New Roman"/>
      <w:sz w:val="84"/>
      <w:lang w:val="en-US" w:eastAsia="zh-CN"/>
    </w:rPr>
  </w:style>
  <w:style w:type="character" w:customStyle="1" w:styleId="70">
    <w:name w:val="HTML 预设格式 Char"/>
    <w:basedOn w:val="41"/>
    <w:link w:val="33"/>
    <w:semiHidden/>
    <w:qFormat/>
    <w:locked/>
    <w:uiPriority w:val="99"/>
    <w:rPr>
      <w:rFonts w:ascii="Courier New" w:hAnsi="Courier New" w:cs="Courier New"/>
      <w:sz w:val="20"/>
      <w:szCs w:val="20"/>
    </w:rPr>
  </w:style>
  <w:style w:type="character" w:customStyle="1" w:styleId="71">
    <w:name w:val="批注主题 Char"/>
    <w:basedOn w:val="59"/>
    <w:link w:val="36"/>
    <w:qFormat/>
    <w:locked/>
    <w:uiPriority w:val="99"/>
    <w:rPr>
      <w:b/>
      <w:bCs/>
      <w:szCs w:val="24"/>
      <w:lang w:bidi="ar-SA"/>
    </w:rPr>
  </w:style>
  <w:style w:type="character" w:customStyle="1" w:styleId="72">
    <w:name w:val="正文首行缩进 Char"/>
    <w:basedOn w:val="60"/>
    <w:link w:val="37"/>
    <w:semiHidden/>
    <w:qFormat/>
    <w:locked/>
    <w:uiPriority w:val="99"/>
    <w:rPr>
      <w:szCs w:val="24"/>
    </w:rPr>
  </w:style>
  <w:style w:type="character" w:customStyle="1" w:styleId="73">
    <w:name w:val="正文首行缩进 2 Char"/>
    <w:basedOn w:val="61"/>
    <w:link w:val="38"/>
    <w:semiHidden/>
    <w:qFormat/>
    <w:locked/>
    <w:uiPriority w:val="99"/>
    <w:rPr>
      <w:szCs w:val="24"/>
    </w:rPr>
  </w:style>
  <w:style w:type="character" w:customStyle="1" w:styleId="74">
    <w:name w:val="正文缩进 Char"/>
    <w:basedOn w:val="41"/>
    <w:link w:val="4"/>
    <w:qFormat/>
    <w:locked/>
    <w:uiPriority w:val="99"/>
    <w:rPr>
      <w:rFonts w:eastAsia="宋体" w:cs="Times New Roman"/>
      <w:kern w:val="2"/>
      <w:sz w:val="24"/>
      <w:szCs w:val="24"/>
      <w:lang w:val="en-US" w:eastAsia="zh-CN" w:bidi="ar-SA"/>
    </w:rPr>
  </w:style>
  <w:style w:type="paragraph" w:customStyle="1" w:styleId="75">
    <w:name w:val="表正文"/>
    <w:basedOn w:val="1"/>
    <w:next w:val="21"/>
    <w:qFormat/>
    <w:uiPriority w:val="99"/>
    <w:rPr>
      <w:rFonts w:ascii="宋体" w:hAnsi="Courier New"/>
      <w:szCs w:val="20"/>
    </w:rPr>
  </w:style>
  <w:style w:type="paragraph" w:customStyle="1" w:styleId="76">
    <w:name w:val="正文段"/>
    <w:basedOn w:val="1"/>
    <w:link w:val="158"/>
    <w:qFormat/>
    <w:uiPriority w:val="99"/>
    <w:pPr>
      <w:widowControl/>
      <w:snapToGrid w:val="0"/>
      <w:spacing w:afterLines="50"/>
      <w:ind w:firstLine="200" w:firstLineChars="200"/>
    </w:pPr>
    <w:rPr>
      <w:rFonts w:ascii="Calibri" w:hAnsi="Calibri"/>
      <w:kern w:val="0"/>
      <w:sz w:val="24"/>
      <w:szCs w:val="20"/>
    </w:rPr>
  </w:style>
  <w:style w:type="paragraph" w:customStyle="1" w:styleId="77">
    <w:name w:val="Char"/>
    <w:basedOn w:val="1"/>
    <w:qFormat/>
    <w:uiPriority w:val="99"/>
    <w:rPr>
      <w:rFonts w:ascii="仿宋_GB2312" w:eastAsia="仿宋_GB2312"/>
      <w:b/>
      <w:sz w:val="32"/>
      <w:szCs w:val="32"/>
    </w:rPr>
  </w:style>
  <w:style w:type="paragraph" w:customStyle="1" w:styleId="78">
    <w:name w:val="Table Text"/>
    <w:link w:val="79"/>
    <w:qFormat/>
    <w:uiPriority w:val="99"/>
    <w:pPr>
      <w:snapToGrid w:val="0"/>
      <w:spacing w:before="80" w:after="80"/>
    </w:pPr>
    <w:rPr>
      <w:rFonts w:ascii="Arial" w:hAnsi="Arial" w:eastAsia="宋体" w:cs="Times New Roman"/>
      <w:sz w:val="18"/>
      <w:lang w:val="en-US" w:eastAsia="zh-CN" w:bidi="ar-SA"/>
    </w:rPr>
  </w:style>
  <w:style w:type="character" w:customStyle="1" w:styleId="79">
    <w:name w:val="Table Text Char1"/>
    <w:basedOn w:val="41"/>
    <w:link w:val="78"/>
    <w:qFormat/>
    <w:locked/>
    <w:uiPriority w:val="99"/>
    <w:rPr>
      <w:rFonts w:ascii="Arial" w:hAnsi="Arial" w:eastAsia="宋体" w:cs="Times New Roman"/>
      <w:sz w:val="18"/>
      <w:lang w:val="en-US" w:eastAsia="zh-CN" w:bidi="ar-SA"/>
    </w:rPr>
  </w:style>
  <w:style w:type="character" w:customStyle="1" w:styleId="80">
    <w:name w:val="正文（缩进2汉字） Char"/>
    <w:basedOn w:val="41"/>
    <w:link w:val="81"/>
    <w:qFormat/>
    <w:locked/>
    <w:uiPriority w:val="99"/>
    <w:rPr>
      <w:rFonts w:ascii="宋体" w:cs="Times New Roman"/>
      <w:kern w:val="2"/>
      <w:sz w:val="21"/>
      <w:lang w:bidi="ar-SA"/>
    </w:rPr>
  </w:style>
  <w:style w:type="paragraph" w:customStyle="1" w:styleId="81">
    <w:name w:val="正文（缩进2汉字）"/>
    <w:basedOn w:val="1"/>
    <w:link w:val="80"/>
    <w:qFormat/>
    <w:uiPriority w:val="99"/>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82">
    <w:name w:val="Char11"/>
    <w:basedOn w:val="1"/>
    <w:qFormat/>
    <w:uiPriority w:val="99"/>
    <w:pPr>
      <w:tabs>
        <w:tab w:val="left" w:pos="432"/>
      </w:tabs>
      <w:spacing w:beforeLines="50" w:afterLines="50"/>
      <w:ind w:left="432" w:hanging="432"/>
      <w:jc w:val="center"/>
    </w:pPr>
    <w:rPr>
      <w:sz w:val="24"/>
    </w:rPr>
  </w:style>
  <w:style w:type="paragraph" w:customStyle="1" w:styleId="83">
    <w:name w:val="模板普通正文"/>
    <w:basedOn w:val="18"/>
    <w:qFormat/>
    <w:uiPriority w:val="99"/>
    <w:pPr>
      <w:spacing w:beforeLines="50" w:after="10" w:line="360" w:lineRule="auto"/>
      <w:ind w:left="0" w:leftChars="0" w:firstLine="175" w:firstLineChars="175"/>
      <w:jc w:val="left"/>
    </w:pPr>
    <w:rPr>
      <w:sz w:val="24"/>
    </w:rPr>
  </w:style>
  <w:style w:type="paragraph" w:customStyle="1" w:styleId="84">
    <w:name w:val="缺省文本"/>
    <w:basedOn w:val="1"/>
    <w:qFormat/>
    <w:uiPriority w:val="99"/>
    <w:pPr>
      <w:autoSpaceDE w:val="0"/>
      <w:autoSpaceDN w:val="0"/>
      <w:adjustRightInd w:val="0"/>
      <w:jc w:val="left"/>
    </w:pPr>
    <w:rPr>
      <w:kern w:val="0"/>
      <w:sz w:val="24"/>
    </w:rPr>
  </w:style>
  <w:style w:type="paragraph" w:customStyle="1" w:styleId="85">
    <w:name w:val="WW-正文文字缩进 2"/>
    <w:basedOn w:val="1"/>
    <w:qFormat/>
    <w:uiPriority w:val="99"/>
    <w:pPr>
      <w:suppressAutoHyphens/>
      <w:ind w:firstLine="420"/>
    </w:pPr>
    <w:rPr>
      <w:kern w:val="1"/>
      <w:szCs w:val="20"/>
    </w:rPr>
  </w:style>
  <w:style w:type="paragraph" w:customStyle="1" w:styleId="86">
    <w:name w:val="默认段落字体 Para Char Char Char Char Char Char Char Char Char1 Char Char Char Char"/>
    <w:basedOn w:val="1"/>
    <w:qFormat/>
    <w:uiPriority w:val="99"/>
    <w:rPr>
      <w:rFonts w:ascii="Tahoma" w:hAnsi="Tahoma"/>
      <w:sz w:val="24"/>
      <w:szCs w:val="20"/>
    </w:rPr>
  </w:style>
  <w:style w:type="paragraph" w:customStyle="1" w:styleId="87">
    <w:name w:val="项目排列"/>
    <w:basedOn w:val="1"/>
    <w:link w:val="88"/>
    <w:qFormat/>
    <w:uiPriority w:val="99"/>
    <w:pPr>
      <w:tabs>
        <w:tab w:val="left" w:pos="900"/>
      </w:tabs>
      <w:spacing w:beforeLines="50" w:afterLines="50" w:line="300" w:lineRule="auto"/>
      <w:ind w:left="900" w:hanging="420"/>
    </w:pPr>
    <w:rPr>
      <w:sz w:val="24"/>
    </w:rPr>
  </w:style>
  <w:style w:type="character" w:customStyle="1" w:styleId="88">
    <w:name w:val="项目排列 Char"/>
    <w:basedOn w:val="41"/>
    <w:link w:val="87"/>
    <w:qFormat/>
    <w:locked/>
    <w:uiPriority w:val="99"/>
    <w:rPr>
      <w:rFonts w:cs="Times New Roman"/>
      <w:kern w:val="2"/>
      <w:sz w:val="24"/>
      <w:szCs w:val="24"/>
    </w:rPr>
  </w:style>
  <w:style w:type="character" w:customStyle="1" w:styleId="89">
    <w:name w:val="style21"/>
    <w:basedOn w:val="41"/>
    <w:qFormat/>
    <w:uiPriority w:val="99"/>
    <w:rPr>
      <w:rFonts w:cs="Times New Roman"/>
      <w:sz w:val="15"/>
      <w:szCs w:val="15"/>
    </w:rPr>
  </w:style>
  <w:style w:type="paragraph" w:customStyle="1" w:styleId="90">
    <w:name w:val="blue"/>
    <w:basedOn w:val="1"/>
    <w:qFormat/>
    <w:uiPriority w:val="99"/>
    <w:pPr>
      <w:widowControl/>
      <w:spacing w:before="100" w:beforeAutospacing="1" w:after="100" w:afterAutospacing="1"/>
      <w:jc w:val="left"/>
    </w:pPr>
    <w:rPr>
      <w:rFonts w:ascii="Arial Unicode MS" w:hAnsi="Arial Unicode MS"/>
      <w:kern w:val="0"/>
      <w:sz w:val="24"/>
      <w:szCs w:val="20"/>
    </w:rPr>
  </w:style>
  <w:style w:type="paragraph" w:styleId="91">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99"/>
    <w:rPr>
      <w:szCs w:val="20"/>
    </w:rPr>
  </w:style>
  <w:style w:type="paragraph" w:customStyle="1" w:styleId="93">
    <w:name w:val="列出段落1"/>
    <w:basedOn w:val="1"/>
    <w:qFormat/>
    <w:uiPriority w:val="99"/>
    <w:pPr>
      <w:ind w:firstLine="420" w:firstLineChars="200"/>
    </w:pPr>
    <w:rPr>
      <w:rFonts w:ascii="Calibri" w:hAnsi="Calibri"/>
      <w:szCs w:val="22"/>
    </w:rPr>
  </w:style>
  <w:style w:type="paragraph" w:customStyle="1" w:styleId="94">
    <w:name w:val="默认段落字体 Para Char Char Char Char"/>
    <w:basedOn w:val="1"/>
    <w:qFormat/>
    <w:uiPriority w:val="99"/>
  </w:style>
  <w:style w:type="paragraph" w:customStyle="1" w:styleId="95">
    <w:name w:val="Char Char Char1 Char Char Char1 Char Char Char Char"/>
    <w:basedOn w:val="1"/>
    <w:qFormat/>
    <w:uiPriority w:val="99"/>
  </w:style>
  <w:style w:type="character" w:customStyle="1" w:styleId="96">
    <w:name w:val="font1"/>
    <w:basedOn w:val="41"/>
    <w:qFormat/>
    <w:uiPriority w:val="99"/>
    <w:rPr>
      <w:rFonts w:cs="Times New Roman"/>
      <w:color w:val="999999"/>
      <w:sz w:val="18"/>
      <w:szCs w:val="18"/>
      <w:u w:val="none"/>
    </w:rPr>
  </w:style>
  <w:style w:type="paragraph" w:customStyle="1" w:styleId="97">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99"/>
    <w:rPr>
      <w:rFonts w:ascii="Tahoma" w:hAnsi="Tahoma"/>
      <w:sz w:val="24"/>
      <w:szCs w:val="20"/>
    </w:rPr>
  </w:style>
  <w:style w:type="character" w:customStyle="1" w:styleId="99">
    <w:name w:val="apple-style-span"/>
    <w:basedOn w:val="41"/>
    <w:qFormat/>
    <w:uiPriority w:val="99"/>
    <w:rPr>
      <w:rFonts w:cs="Times New Roman"/>
    </w:rPr>
  </w:style>
  <w:style w:type="paragraph" w:customStyle="1" w:styleId="100">
    <w:name w:val="正文无缩进"/>
    <w:basedOn w:val="1"/>
    <w:link w:val="101"/>
    <w:qFormat/>
    <w:uiPriority w:val="99"/>
    <w:pPr>
      <w:spacing w:line="360" w:lineRule="auto"/>
    </w:pPr>
    <w:rPr>
      <w:rFonts w:ascii="宋体"/>
      <w:color w:val="000000"/>
      <w:sz w:val="24"/>
    </w:rPr>
  </w:style>
  <w:style w:type="character" w:customStyle="1" w:styleId="101">
    <w:name w:val="正文无缩进 Char"/>
    <w:basedOn w:val="41"/>
    <w:link w:val="100"/>
    <w:qFormat/>
    <w:locked/>
    <w:uiPriority w:val="99"/>
    <w:rPr>
      <w:rFonts w:ascii="宋体" w:eastAsia="宋体" w:cs="Times New Roman"/>
      <w:color w:val="000000"/>
      <w:kern w:val="2"/>
      <w:sz w:val="24"/>
      <w:szCs w:val="24"/>
      <w:lang w:val="en-US" w:eastAsia="zh-CN" w:bidi="ar-SA"/>
    </w:rPr>
  </w:style>
  <w:style w:type="paragraph" w:customStyle="1" w:styleId="102">
    <w:name w:val="正文1"/>
    <w:qFormat/>
    <w:uiPriority w:val="99"/>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1"/>
    <w:qFormat/>
    <w:uiPriority w:val="99"/>
    <w:rPr>
      <w:rFonts w:cs="Times New Roman"/>
    </w:rPr>
  </w:style>
  <w:style w:type="paragraph" w:customStyle="1" w:styleId="104">
    <w:name w:val="Char Char1 Char Char Char Char1 Char Char Char"/>
    <w:basedOn w:val="1"/>
    <w:qFormat/>
    <w:uiPriority w:val="99"/>
    <w:pPr>
      <w:adjustRightInd w:val="0"/>
      <w:spacing w:line="360" w:lineRule="atLeast"/>
    </w:pPr>
    <w:rPr>
      <w:rFonts w:ascii="Tahoma" w:hAnsi="Tahoma"/>
      <w:sz w:val="24"/>
      <w:szCs w:val="20"/>
    </w:rPr>
  </w:style>
  <w:style w:type="character" w:customStyle="1" w:styleId="105">
    <w:name w:val="表格 Char Char"/>
    <w:link w:val="106"/>
    <w:qFormat/>
    <w:locked/>
    <w:uiPriority w:val="99"/>
    <w:rPr>
      <w:rFonts w:ascii="宋体" w:hAnsi="宋体" w:eastAsia="宋体"/>
      <w:lang w:val="en-US" w:eastAsia="zh-CN"/>
    </w:rPr>
  </w:style>
  <w:style w:type="paragraph" w:customStyle="1" w:styleId="106">
    <w:name w:val="表格"/>
    <w:basedOn w:val="1"/>
    <w:link w:val="105"/>
    <w:qFormat/>
    <w:uiPriority w:val="99"/>
    <w:pPr>
      <w:snapToGrid w:val="0"/>
      <w:ind w:firstLine="42" w:firstLineChars="21"/>
    </w:pPr>
    <w:rPr>
      <w:rFonts w:ascii="宋体" w:hAnsi="宋体"/>
      <w:kern w:val="0"/>
      <w:sz w:val="20"/>
      <w:szCs w:val="20"/>
    </w:rPr>
  </w:style>
  <w:style w:type="paragraph" w:customStyle="1" w:styleId="107">
    <w:name w:val="xl32"/>
    <w:basedOn w:val="1"/>
    <w:qFormat/>
    <w:uiPriority w:val="99"/>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99"/>
    <w:pPr>
      <w:widowControl/>
      <w:spacing w:after="160" w:line="240" w:lineRule="exact"/>
      <w:jc w:val="left"/>
    </w:pPr>
  </w:style>
  <w:style w:type="character" w:customStyle="1" w:styleId="109">
    <w:name w:val="Char Char"/>
    <w:qFormat/>
    <w:uiPriority w:val="99"/>
    <w:rPr>
      <w:rFonts w:ascii="宋体" w:hAnsi="Courier New" w:eastAsia="宋体"/>
      <w:kern w:val="2"/>
      <w:sz w:val="21"/>
      <w:lang w:val="en-US" w:eastAsia="zh-CN"/>
    </w:rPr>
  </w:style>
  <w:style w:type="character" w:customStyle="1" w:styleId="110">
    <w:name w:val="style51"/>
    <w:basedOn w:val="41"/>
    <w:qFormat/>
    <w:uiPriority w:val="99"/>
    <w:rPr>
      <w:rFonts w:cs="Times New Roman"/>
      <w:sz w:val="21"/>
      <w:szCs w:val="21"/>
    </w:rPr>
  </w:style>
  <w:style w:type="paragraph" w:customStyle="1" w:styleId="111">
    <w:name w:val="标书_正文"/>
    <w:basedOn w:val="1"/>
    <w:qFormat/>
    <w:uiPriority w:val="99"/>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99"/>
    <w:pPr>
      <w:spacing w:line="360" w:lineRule="auto"/>
      <w:ind w:firstLine="480" w:firstLineChars="200"/>
    </w:pPr>
    <w:rPr>
      <w:rFonts w:cs="宋体"/>
      <w:sz w:val="24"/>
      <w:szCs w:val="20"/>
    </w:rPr>
  </w:style>
  <w:style w:type="character" w:customStyle="1" w:styleId="113">
    <w:name w:val="标准文本 Char"/>
    <w:basedOn w:val="41"/>
    <w:link w:val="112"/>
    <w:qFormat/>
    <w:locked/>
    <w:uiPriority w:val="99"/>
    <w:rPr>
      <w:rFonts w:eastAsia="宋体" w:cs="宋体"/>
      <w:kern w:val="2"/>
      <w:sz w:val="24"/>
      <w:lang w:val="en-US" w:eastAsia="zh-CN" w:bidi="ar-SA"/>
    </w:rPr>
  </w:style>
  <w:style w:type="paragraph" w:customStyle="1" w:styleId="114">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99"/>
    <w:pPr>
      <w:spacing w:line="480" w:lineRule="exact"/>
      <w:ind w:firstLine="200" w:firstLineChars="200"/>
      <w:jc w:val="left"/>
    </w:pPr>
    <w:rPr>
      <w:rFonts w:ascii="仿宋_GB2312" w:eastAsia="仿宋_GB2312"/>
      <w:sz w:val="28"/>
    </w:rPr>
  </w:style>
  <w:style w:type="character" w:customStyle="1" w:styleId="116">
    <w:name w:val="自定义正文 Char"/>
    <w:basedOn w:val="41"/>
    <w:link w:val="115"/>
    <w:qFormat/>
    <w:locked/>
    <w:uiPriority w:val="99"/>
    <w:rPr>
      <w:rFonts w:ascii="仿宋_GB2312" w:eastAsia="仿宋_GB2312" w:cs="Times New Roman"/>
      <w:kern w:val="2"/>
      <w:sz w:val="24"/>
      <w:szCs w:val="24"/>
      <w:lang w:val="en-US" w:eastAsia="zh-CN" w:bidi="ar-SA"/>
    </w:rPr>
  </w:style>
  <w:style w:type="paragraph" w:customStyle="1" w:styleId="117">
    <w:name w:val="样式 小四 行距: 1.5 倍行距 首行缩进:  2 字符"/>
    <w:basedOn w:val="1"/>
    <w:qFormat/>
    <w:uiPriority w:val="99"/>
    <w:pPr>
      <w:spacing w:line="360" w:lineRule="auto"/>
      <w:ind w:firstLine="480" w:firstLineChars="200"/>
    </w:pPr>
    <w:rPr>
      <w:rFonts w:cs="宋体"/>
      <w:sz w:val="24"/>
      <w:szCs w:val="20"/>
    </w:rPr>
  </w:style>
  <w:style w:type="paragraph" w:customStyle="1" w:styleId="118">
    <w:name w:val="自定义表格文字"/>
    <w:basedOn w:val="1"/>
    <w:qFormat/>
    <w:uiPriority w:val="99"/>
    <w:pPr>
      <w:spacing w:before="60" w:after="60" w:line="320" w:lineRule="exact"/>
      <w:jc w:val="left"/>
    </w:pPr>
    <w:rPr>
      <w:rFonts w:ascii="宋体" w:eastAsia="楷体_GB2312"/>
    </w:rPr>
  </w:style>
  <w:style w:type="paragraph" w:customStyle="1" w:styleId="119">
    <w:name w:val="Char Char Char1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
    <w:basedOn w:val="1"/>
    <w:qFormat/>
    <w:uiPriority w:val="99"/>
    <w:pPr>
      <w:widowControl/>
      <w:spacing w:after="160" w:line="240" w:lineRule="exact"/>
      <w:jc w:val="left"/>
    </w:pPr>
    <w:rPr>
      <w:rFonts w:ascii="Verdana" w:hAnsi="Verdana" w:eastAsia="仿宋_GB2312"/>
      <w:kern w:val="0"/>
      <w:sz w:val="24"/>
      <w:szCs w:val="20"/>
      <w:lang w:eastAsia="en-US"/>
    </w:rPr>
  </w:style>
  <w:style w:type="character" w:customStyle="1" w:styleId="121">
    <w:name w:val="Char Char1"/>
    <w:qFormat/>
    <w:uiPriority w:val="99"/>
    <w:rPr>
      <w:rFonts w:ascii="宋体" w:hAnsi="Courier New" w:eastAsia="宋体"/>
      <w:kern w:val="2"/>
      <w:sz w:val="21"/>
      <w:lang w:val="en-US" w:eastAsia="zh-CN"/>
    </w:rPr>
  </w:style>
  <w:style w:type="paragraph" w:customStyle="1" w:styleId="122">
    <w:name w:val="Char Char Char Char1"/>
    <w:basedOn w:val="1"/>
    <w:qFormat/>
    <w:uiPriority w:val="99"/>
    <w:rPr>
      <w:rFonts w:ascii="Tahoma" w:hAnsi="Tahoma"/>
      <w:sz w:val="24"/>
      <w:szCs w:val="20"/>
    </w:rPr>
  </w:style>
  <w:style w:type="character" w:customStyle="1" w:styleId="123">
    <w:name w:val="H4 Char"/>
    <w:qFormat/>
    <w:uiPriority w:val="99"/>
    <w:rPr>
      <w:rFonts w:ascii="宋体" w:hAnsi="宋体" w:eastAsia="黑体"/>
      <w:b/>
      <w:color w:val="000000"/>
      <w:spacing w:val="-4"/>
      <w:kern w:val="2"/>
      <w:sz w:val="30"/>
      <w:lang w:val="en-US" w:eastAsia="zh-CN"/>
    </w:rPr>
  </w:style>
  <w:style w:type="character" w:customStyle="1" w:styleId="124">
    <w:name w:val="H5 Char"/>
    <w:qFormat/>
    <w:uiPriority w:val="99"/>
    <w:rPr>
      <w:rFonts w:ascii="Arial" w:hAnsi="Arial" w:eastAsia="宋体"/>
      <w:sz w:val="24"/>
      <w:lang w:val="en-US" w:eastAsia="zh-CN"/>
    </w:rPr>
  </w:style>
  <w:style w:type="character" w:customStyle="1" w:styleId="125">
    <w:name w:val="Char Char8"/>
    <w:qFormat/>
    <w:uiPriority w:val="99"/>
    <w:rPr>
      <w:rFonts w:ascii="宋体" w:eastAsia="宋体"/>
      <w:kern w:val="2"/>
      <w:sz w:val="28"/>
      <w:lang w:val="en-US" w:eastAsia="zh-CN"/>
    </w:rPr>
  </w:style>
  <w:style w:type="character" w:customStyle="1" w:styleId="126">
    <w:name w:val="Char Char7"/>
    <w:qFormat/>
    <w:uiPriority w:val="99"/>
    <w:rPr>
      <w:rFonts w:eastAsia="仿宋_GB2312"/>
      <w:kern w:val="2"/>
      <w:sz w:val="24"/>
      <w:lang w:val="en-US" w:eastAsia="zh-CN"/>
    </w:rPr>
  </w:style>
  <w:style w:type="paragraph" w:customStyle="1" w:styleId="127">
    <w:name w:val="表内文字"/>
    <w:basedOn w:val="1"/>
    <w:qFormat/>
    <w:uiPriority w:val="99"/>
    <w:pPr>
      <w:jc w:val="center"/>
    </w:pPr>
    <w:rPr>
      <w:color w:val="FF0000"/>
      <w:kern w:val="0"/>
      <w:sz w:val="24"/>
    </w:rPr>
  </w:style>
  <w:style w:type="character" w:customStyle="1" w:styleId="128">
    <w:name w:val="Char Char3"/>
    <w:qFormat/>
    <w:uiPriority w:val="99"/>
    <w:rPr>
      <w:rFonts w:eastAsia="仿宋_GB2312"/>
      <w:kern w:val="2"/>
      <w:sz w:val="24"/>
      <w:lang w:val="en-US" w:eastAsia="zh-CN"/>
    </w:rPr>
  </w:style>
  <w:style w:type="paragraph" w:customStyle="1" w:styleId="129">
    <w:name w:val="xl25"/>
    <w:basedOn w:val="1"/>
    <w:qFormat/>
    <w:uiPriority w:val="99"/>
    <w:pPr>
      <w:widowControl/>
      <w:numPr>
        <w:ilvl w:val="0"/>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30">
    <w:name w:val="font7"/>
    <w:basedOn w:val="1"/>
    <w:qFormat/>
    <w:uiPriority w:val="99"/>
    <w:pPr>
      <w:widowControl/>
      <w:spacing w:before="100" w:beforeAutospacing="1" w:after="100" w:afterAutospacing="1"/>
      <w:jc w:val="left"/>
    </w:pPr>
    <w:rPr>
      <w:rFonts w:ascii="宋体" w:hAnsi="宋体"/>
      <w:kern w:val="0"/>
      <w:szCs w:val="21"/>
    </w:rPr>
  </w:style>
  <w:style w:type="paragraph" w:customStyle="1" w:styleId="131">
    <w:name w:val="font5"/>
    <w:basedOn w:val="1"/>
    <w:qFormat/>
    <w:uiPriority w:val="99"/>
    <w:pPr>
      <w:widowControl/>
      <w:spacing w:before="100" w:beforeAutospacing="1" w:after="100" w:afterAutospacing="1"/>
      <w:jc w:val="left"/>
    </w:pPr>
    <w:rPr>
      <w:rFonts w:ascii="宋体" w:hAnsi="宋体"/>
      <w:kern w:val="0"/>
      <w:sz w:val="24"/>
    </w:rPr>
  </w:style>
  <w:style w:type="paragraph" w:customStyle="1" w:styleId="132">
    <w:name w:val="font6"/>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133">
    <w:name w:val="项目1"/>
    <w:basedOn w:val="1"/>
    <w:qFormat/>
    <w:uiPriority w:val="99"/>
    <w:pPr>
      <w:tabs>
        <w:tab w:val="left" w:pos="840"/>
      </w:tabs>
      <w:spacing w:after="60"/>
      <w:ind w:left="840" w:hanging="420"/>
    </w:pPr>
    <w:rPr>
      <w:rFonts w:ascii="宋体"/>
      <w:spacing w:val="4"/>
      <w:szCs w:val="20"/>
    </w:rPr>
  </w:style>
  <w:style w:type="paragraph" w:customStyle="1" w:styleId="134">
    <w:name w:val="编10号"/>
    <w:basedOn w:val="1"/>
    <w:qFormat/>
    <w:uiPriority w:val="99"/>
    <w:pPr>
      <w:numPr>
        <w:ilvl w:val="3"/>
        <w:numId w:val="7"/>
      </w:numPr>
    </w:pPr>
  </w:style>
  <w:style w:type="paragraph" w:customStyle="1" w:styleId="135">
    <w:name w:val="段"/>
    <w:basedOn w:val="1"/>
    <w:qFormat/>
    <w:uiPriority w:val="99"/>
    <w:pPr>
      <w:ind w:firstLine="425"/>
    </w:pPr>
    <w:rPr>
      <w:rFonts w:ascii="宋体"/>
      <w:szCs w:val="20"/>
    </w:rPr>
  </w:style>
  <w:style w:type="paragraph" w:customStyle="1" w:styleId="136">
    <w:name w:val="Char Char Char Char"/>
    <w:basedOn w:val="1"/>
    <w:qFormat/>
    <w:uiPriority w:val="99"/>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99"/>
    <w:rPr>
      <w:rFonts w:ascii="宋体" w:hAnsi="宋体" w:eastAsia="宋体"/>
      <w:sz w:val="18"/>
    </w:rPr>
  </w:style>
  <w:style w:type="paragraph" w:customStyle="1" w:styleId="139">
    <w:name w:val="Char1 Char Char Char Char Char Char"/>
    <w:basedOn w:val="1"/>
    <w:qFormat/>
    <w:uiPriority w:val="99"/>
    <w:rPr>
      <w:rFonts w:ascii="Tahoma" w:hAnsi="Tahoma"/>
      <w:sz w:val="24"/>
      <w:szCs w:val="20"/>
    </w:rPr>
  </w:style>
  <w:style w:type="paragraph" w:customStyle="1" w:styleId="140">
    <w:name w:val="Char Char2 Char Char Char Char"/>
    <w:basedOn w:val="15"/>
    <w:qFormat/>
    <w:uiPriority w:val="99"/>
    <w:rPr>
      <w:rFonts w:ascii="Tahoma" w:hAnsi="Tahoma"/>
      <w:sz w:val="24"/>
    </w:rPr>
  </w:style>
  <w:style w:type="paragraph" w:customStyle="1" w:styleId="141">
    <w:name w:val="Char Char Char"/>
    <w:basedOn w:val="15"/>
    <w:qFormat/>
    <w:uiPriority w:val="99"/>
    <w:rPr>
      <w:rFonts w:ascii="Tahoma" w:hAnsi="Tahoma"/>
      <w:sz w:val="24"/>
    </w:rPr>
  </w:style>
  <w:style w:type="paragraph" w:customStyle="1" w:styleId="142">
    <w:name w:val="正文缩进 New"/>
    <w:basedOn w:val="1"/>
    <w:qFormat/>
    <w:uiPriority w:val="99"/>
    <w:pPr>
      <w:ind w:firstLine="420" w:firstLineChars="200"/>
    </w:pPr>
    <w:rPr>
      <w:szCs w:val="20"/>
    </w:rPr>
  </w:style>
  <w:style w:type="paragraph" w:customStyle="1" w:styleId="143">
    <w:name w:val="正文 New New New New New New New New New New New New New New New New New New New New New New New New New"/>
    <w:qFormat/>
    <w:uiPriority w:val="99"/>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99"/>
    <w:rPr>
      <w:sz w:val="20"/>
    </w:rPr>
  </w:style>
  <w:style w:type="character" w:customStyle="1" w:styleId="145">
    <w:name w:val="Char Char11"/>
    <w:qFormat/>
    <w:uiPriority w:val="99"/>
    <w:rPr>
      <w:b/>
      <w:kern w:val="44"/>
      <w:sz w:val="44"/>
    </w:rPr>
  </w:style>
  <w:style w:type="character" w:customStyle="1" w:styleId="146">
    <w:name w:val="Char Char10"/>
    <w:qFormat/>
    <w:uiPriority w:val="99"/>
    <w:rPr>
      <w:b/>
      <w:kern w:val="2"/>
      <w:sz w:val="28"/>
    </w:rPr>
  </w:style>
  <w:style w:type="character" w:customStyle="1" w:styleId="147">
    <w:name w:val="Char Char9"/>
    <w:qFormat/>
    <w:uiPriority w:val="99"/>
    <w:rPr>
      <w:b/>
      <w:kern w:val="2"/>
      <w:sz w:val="24"/>
    </w:rPr>
  </w:style>
  <w:style w:type="paragraph" w:customStyle="1" w:styleId="148">
    <w:name w:val="Char Char Char 字元 字元"/>
    <w:basedOn w:val="1"/>
    <w:qFormat/>
    <w:uiPriority w:val="99"/>
    <w:pPr>
      <w:spacing w:line="360" w:lineRule="auto"/>
      <w:ind w:firstLine="200" w:firstLineChars="200"/>
    </w:pPr>
    <w:rPr>
      <w:szCs w:val="20"/>
    </w:rPr>
  </w:style>
  <w:style w:type="paragraph" w:customStyle="1" w:styleId="149">
    <w:name w:val="正文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99"/>
    <w:pPr>
      <w:widowControl w:val="0"/>
      <w:jc w:val="both"/>
    </w:pPr>
    <w:rPr>
      <w:rFonts w:ascii="Times New Roman" w:hAnsi="Times New Roman" w:eastAsia="宋体" w:cs="Times New Roman"/>
      <w:kern w:val="2"/>
      <w:sz w:val="21"/>
      <w:lang w:val="en-US" w:eastAsia="zh-CN" w:bidi="ar-SA"/>
    </w:rPr>
  </w:style>
  <w:style w:type="character" w:customStyle="1" w:styleId="151">
    <w:name w:val="style11"/>
    <w:basedOn w:val="41"/>
    <w:qFormat/>
    <w:uiPriority w:val="99"/>
    <w:rPr>
      <w:rFonts w:cs="Times New Roman"/>
      <w:b/>
      <w:bCs/>
      <w:color w:val="FF0000"/>
    </w:rPr>
  </w:style>
  <w:style w:type="character" w:customStyle="1" w:styleId="152">
    <w:name w:val="info"/>
    <w:basedOn w:val="41"/>
    <w:qFormat/>
    <w:uiPriority w:val="99"/>
    <w:rPr>
      <w:rFonts w:cs="Times New Roman"/>
    </w:rPr>
  </w:style>
  <w:style w:type="paragraph" w:customStyle="1" w:styleId="153">
    <w:name w:val="样式 正文缩进 + 首行缩进:  2 字符"/>
    <w:basedOn w:val="4"/>
    <w:link w:val="154"/>
    <w:qFormat/>
    <w:uiPriority w:val="99"/>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99"/>
    <w:rPr>
      <w:rFonts w:ascii="宋体" w:hAnsi="宋体" w:eastAsia="宋体"/>
      <w:color w:val="000000"/>
      <w:sz w:val="24"/>
    </w:rPr>
  </w:style>
  <w:style w:type="paragraph" w:customStyle="1" w:styleId="155">
    <w:name w:val="正文2"/>
    <w:basedOn w:val="1"/>
    <w:link w:val="156"/>
    <w:qFormat/>
    <w:uiPriority w:val="99"/>
    <w:pPr>
      <w:spacing w:before="156" w:line="360" w:lineRule="auto"/>
      <w:ind w:firstLine="510" w:firstLineChars="200"/>
    </w:pPr>
    <w:rPr>
      <w:rFonts w:ascii="Calibri" w:hAnsi="Calibri"/>
      <w:sz w:val="24"/>
      <w:szCs w:val="20"/>
    </w:rPr>
  </w:style>
  <w:style w:type="character" w:customStyle="1" w:styleId="156">
    <w:name w:val="正文2 Char"/>
    <w:link w:val="155"/>
    <w:qFormat/>
    <w:locked/>
    <w:uiPriority w:val="99"/>
    <w:rPr>
      <w:rFonts w:eastAsia="宋体"/>
      <w:kern w:val="2"/>
      <w:sz w:val="24"/>
      <w:lang w:val="en-US" w:eastAsia="zh-CN"/>
    </w:rPr>
  </w:style>
  <w:style w:type="paragraph" w:customStyle="1" w:styleId="157">
    <w:name w:val="p0"/>
    <w:basedOn w:val="1"/>
    <w:qFormat/>
    <w:uiPriority w:val="99"/>
    <w:pPr>
      <w:widowControl/>
    </w:pPr>
    <w:rPr>
      <w:kern w:val="0"/>
      <w:szCs w:val="21"/>
    </w:rPr>
  </w:style>
  <w:style w:type="character" w:customStyle="1" w:styleId="158">
    <w:name w:val="正文段 Char"/>
    <w:link w:val="76"/>
    <w:qFormat/>
    <w:locked/>
    <w:uiPriority w:val="99"/>
    <w:rPr>
      <w:rFonts w:eastAsia="宋体"/>
      <w:sz w:val="24"/>
      <w:lang w:val="en-US" w:eastAsia="zh-CN"/>
    </w:rPr>
  </w:style>
  <w:style w:type="paragraph" w:customStyle="1" w:styleId="159">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160">
    <w:name w:val="列出段落11"/>
    <w:basedOn w:val="1"/>
    <w:qFormat/>
    <w:uiPriority w:val="99"/>
    <w:pPr>
      <w:adjustRightInd w:val="0"/>
      <w:spacing w:line="360" w:lineRule="auto"/>
      <w:ind w:firstLine="200" w:firstLineChars="200"/>
    </w:pPr>
    <w:rPr>
      <w:rFonts w:eastAsia="楷体_GB2312" w:cs="Lucida Sans"/>
      <w:sz w:val="24"/>
    </w:rPr>
  </w:style>
  <w:style w:type="paragraph" w:customStyle="1" w:styleId="161">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162">
    <w:name w:val="样式4"/>
    <w:basedOn w:val="1"/>
    <w:qFormat/>
    <w:uiPriority w:val="99"/>
    <w:pPr>
      <w:adjustRightInd w:val="0"/>
      <w:spacing w:line="360" w:lineRule="auto"/>
      <w:ind w:firstLine="420"/>
      <w:jc w:val="center"/>
      <w:outlineLvl w:val="2"/>
    </w:pPr>
    <w:rPr>
      <w:rFonts w:ascii="仿宋_GB2312" w:hAnsi="仿宋" w:eastAsia="仿宋_GB2312"/>
      <w:b/>
      <w:sz w:val="32"/>
      <w:szCs w:val="32"/>
    </w:rPr>
  </w:style>
  <w:style w:type="character" w:customStyle="1" w:styleId="163">
    <w:name w:val="日期 Char2"/>
    <w:qFormat/>
    <w:uiPriority w:val="99"/>
    <w:rPr>
      <w:rFonts w:ascii="楷体_GB2312" w:eastAsia="楷体_GB2312"/>
      <w:b/>
      <w:kern w:val="2"/>
      <w:sz w:val="28"/>
      <w:lang w:val="en-US" w:eastAsia="zh-CN"/>
    </w:rPr>
  </w:style>
  <w:style w:type="character" w:customStyle="1" w:styleId="164">
    <w:name w:val="正文文本 2 Char1"/>
    <w:qFormat/>
    <w:uiPriority w:val="99"/>
    <w:rPr>
      <w:rFonts w:ascii="隶书" w:eastAsia="隶书"/>
      <w:sz w:val="84"/>
      <w:lang w:val="en-US" w:eastAsia="zh-CN"/>
    </w:rPr>
  </w:style>
  <w:style w:type="character" w:customStyle="1" w:styleId="165">
    <w:name w:val="普通文字 Char Char Char2"/>
    <w:qFormat/>
    <w:uiPriority w:val="99"/>
    <w:rPr>
      <w:rFonts w:ascii="宋体" w:hAnsi="Courier New" w:eastAsia="宋体"/>
      <w:kern w:val="2"/>
      <w:sz w:val="21"/>
      <w:lang w:val="en-US" w:eastAsia="zh-CN"/>
    </w:rPr>
  </w:style>
  <w:style w:type="paragraph" w:customStyle="1" w:styleId="166">
    <w:name w:val="_Style 2"/>
    <w:basedOn w:val="1"/>
    <w:qFormat/>
    <w:uiPriority w:val="99"/>
    <w:pPr>
      <w:widowControl/>
      <w:ind w:firstLine="420"/>
    </w:pPr>
    <w:rPr>
      <w:rFonts w:ascii="Calibri" w:hAnsi="Calibri"/>
      <w:kern w:val="0"/>
      <w:sz w:val="20"/>
      <w:szCs w:val="20"/>
    </w:rPr>
  </w:style>
  <w:style w:type="paragraph" w:styleId="167">
    <w:name w:val="Intense Quote"/>
    <w:basedOn w:val="1"/>
    <w:next w:val="1"/>
    <w:link w:val="168"/>
    <w:qFormat/>
    <w:uiPriority w:val="99"/>
    <w:pPr>
      <w:pBdr>
        <w:top w:val="single" w:color="4472C4" w:sz="4" w:space="10"/>
        <w:bottom w:val="single" w:color="4472C4" w:sz="4" w:space="10"/>
      </w:pBdr>
      <w:spacing w:before="360" w:after="360"/>
      <w:ind w:left="864" w:right="864"/>
      <w:jc w:val="center"/>
    </w:pPr>
    <w:rPr>
      <w:i/>
      <w:iCs/>
      <w:color w:val="4472C4"/>
    </w:rPr>
  </w:style>
  <w:style w:type="character" w:customStyle="1" w:styleId="168">
    <w:name w:val="明显引用 Char"/>
    <w:basedOn w:val="41"/>
    <w:link w:val="167"/>
    <w:qFormat/>
    <w:locked/>
    <w:uiPriority w:val="99"/>
    <w:rPr>
      <w:rFonts w:cs="Times New Roman"/>
      <w:b/>
      <w:bCs/>
      <w:i/>
      <w:iCs/>
      <w:color w:val="4F81BD"/>
      <w:sz w:val="24"/>
      <w:szCs w:val="24"/>
    </w:rPr>
  </w:style>
  <w:style w:type="paragraph" w:styleId="169">
    <w:name w:val="No Spacing"/>
    <w:qFormat/>
    <w:uiPriority w:val="99"/>
    <w:pPr>
      <w:adjustRightInd w:val="0"/>
      <w:snapToGrid w:val="0"/>
    </w:pPr>
    <w:rPr>
      <w:rFonts w:ascii="Tahoma" w:hAnsi="Tahoma" w:eastAsia="微软雅黑"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4.emf"/><Relationship Id="rId36" Type="http://schemas.openxmlformats.org/officeDocument/2006/relationships/oleObject" Target="embeddings/oleObject14.bin"/><Relationship Id="rId35" Type="http://schemas.openxmlformats.org/officeDocument/2006/relationships/image" Target="media/image13.e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 Type="http://schemas.openxmlformats.org/officeDocument/2006/relationships/image" Target="media/image8.wmf"/><Relationship Id="rId24" Type="http://schemas.openxmlformats.org/officeDocument/2006/relationships/oleObject" Target="embeddings/oleObject8.bin"/><Relationship Id="rId23" Type="http://schemas.openxmlformats.org/officeDocument/2006/relationships/image" Target="media/image7.wmf"/><Relationship Id="rId22" Type="http://schemas.openxmlformats.org/officeDocument/2006/relationships/oleObject" Target="embeddings/oleObject7.bin"/><Relationship Id="rId21" Type="http://schemas.openxmlformats.org/officeDocument/2006/relationships/image" Target="media/image6.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5.bin"/><Relationship Id="rId17" Type="http://schemas.openxmlformats.org/officeDocument/2006/relationships/image" Target="media/image4.w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62</Pages>
  <Words>6189</Words>
  <Characters>35282</Characters>
  <Lines>294</Lines>
  <Paragraphs>82</Paragraphs>
  <TotalTime>21</TotalTime>
  <ScaleCrop>false</ScaleCrop>
  <LinksUpToDate>false</LinksUpToDate>
  <CharactersWithSpaces>41389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2020-04-17T08:35:00Z</dcterms:created>
  <dc:creator>USER</dc:creator>
  <cp:lastModifiedBy>kk</cp:lastModifiedBy>
  <cp:lastPrinted>2013-09-24T01:34:00Z</cp:lastPrinted>
  <dcterms:modified xsi:type="dcterms:W3CDTF">2021-01-05T08:41:45Z</dcterms:modified>
  <dc:title>绍兴文理学院计算机机房设备及录播系统供货项目</dc:title>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