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6FF80C">
      <w:pPr>
        <w:adjustRightInd/>
        <w:spacing w:line="360" w:lineRule="auto"/>
        <w:rPr>
          <w:rFonts w:ascii="宋体" w:hAnsi="宋体" w:cs="宋体"/>
          <w:b/>
          <w:color w:val="000000" w:themeColor="text1"/>
          <w:sz w:val="48"/>
          <w:szCs w:val="48"/>
          <w:highlight w:val="none"/>
          <w14:textFill>
            <w14:solidFill>
              <w14:schemeClr w14:val="tx1"/>
            </w14:solidFill>
          </w14:textFill>
        </w:rPr>
      </w:pPr>
    </w:p>
    <w:p w14:paraId="01BD7CE1">
      <w:pPr>
        <w:adjustRightInd/>
        <w:spacing w:line="360" w:lineRule="auto"/>
        <w:jc w:val="center"/>
        <w:rPr>
          <w:rFonts w:hint="eastAsia" w:ascii="仿宋" w:hAnsi="仿宋" w:eastAsia="仿宋" w:cs="仿宋"/>
          <w:b/>
          <w:bCs/>
          <w:color w:val="000000" w:themeColor="text1"/>
          <w:sz w:val="56"/>
          <w:szCs w:val="56"/>
          <w:highlight w:val="none"/>
          <w:lang w:eastAsia="zh-CN"/>
          <w14:textFill>
            <w14:solidFill>
              <w14:schemeClr w14:val="tx1"/>
            </w14:solidFill>
          </w14:textFill>
        </w:rPr>
      </w:pPr>
      <w:r>
        <w:rPr>
          <w:rFonts w:hint="eastAsia" w:ascii="仿宋" w:hAnsi="仿宋" w:eastAsia="仿宋" w:cs="仿宋"/>
          <w:b/>
          <w:bCs/>
          <w:color w:val="000000" w:themeColor="text1"/>
          <w:sz w:val="56"/>
          <w:szCs w:val="56"/>
          <w:highlight w:val="none"/>
          <w:lang w:eastAsia="zh-CN"/>
          <w14:textFill>
            <w14:solidFill>
              <w14:schemeClr w14:val="tx1"/>
            </w14:solidFill>
          </w14:textFill>
        </w:rPr>
        <w:t>杨汛桥街道机关、派出所食堂服务外包项目</w:t>
      </w:r>
    </w:p>
    <w:p w14:paraId="4650BE36">
      <w:pPr>
        <w:jc w:val="center"/>
        <w:outlineLvl w:val="0"/>
        <w:rPr>
          <w:rFonts w:ascii="仿宋" w:hAnsi="仿宋" w:eastAsia="仿宋" w:cs="仿宋"/>
          <w:b/>
          <w:color w:val="000000" w:themeColor="text1"/>
          <w:sz w:val="72"/>
          <w:szCs w:val="72"/>
          <w:highlight w:val="none"/>
          <w14:textFill>
            <w14:solidFill>
              <w14:schemeClr w14:val="tx1"/>
            </w14:solidFill>
          </w14:textFill>
        </w:rPr>
      </w:pPr>
    </w:p>
    <w:p w14:paraId="33695FD8">
      <w:pPr>
        <w:jc w:val="center"/>
        <w:outlineLvl w:val="0"/>
        <w:rPr>
          <w:rFonts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公</w:t>
      </w:r>
    </w:p>
    <w:p w14:paraId="7F0AC563">
      <w:pPr>
        <w:jc w:val="center"/>
        <w:outlineLvl w:val="0"/>
        <w:rPr>
          <w:rFonts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开</w:t>
      </w:r>
    </w:p>
    <w:p w14:paraId="27F057C2">
      <w:pPr>
        <w:jc w:val="center"/>
        <w:outlineLvl w:val="0"/>
        <w:rPr>
          <w:rFonts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招</w:t>
      </w:r>
    </w:p>
    <w:p w14:paraId="5369D1E5">
      <w:pPr>
        <w:jc w:val="center"/>
        <w:outlineLvl w:val="0"/>
        <w:rPr>
          <w:rFonts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标</w:t>
      </w:r>
    </w:p>
    <w:p w14:paraId="489F4F85">
      <w:pPr>
        <w:jc w:val="center"/>
        <w:outlineLvl w:val="0"/>
        <w:rPr>
          <w:rFonts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文</w:t>
      </w:r>
    </w:p>
    <w:p w14:paraId="77F91755">
      <w:pPr>
        <w:jc w:val="center"/>
        <w:outlineLvl w:val="0"/>
        <w:rPr>
          <w:rFonts w:ascii="仿宋" w:hAnsi="仿宋" w:eastAsia="仿宋" w:cs="仿宋"/>
          <w:color w:val="000000" w:themeColor="text1"/>
          <w:sz w:val="44"/>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件</w:t>
      </w:r>
    </w:p>
    <w:p w14:paraId="1B8A4431">
      <w:pPr>
        <w:adjustRightInd/>
        <w:spacing w:line="360" w:lineRule="auto"/>
        <w:jc w:val="center"/>
        <w:rPr>
          <w:rFonts w:ascii="仿宋" w:hAnsi="仿宋" w:eastAsia="仿宋" w:cs="仿宋"/>
          <w:b/>
          <w:color w:val="000000" w:themeColor="text1"/>
          <w:sz w:val="44"/>
          <w:szCs w:val="44"/>
          <w:highlight w:val="none"/>
          <w14:textFill>
            <w14:solidFill>
              <w14:schemeClr w14:val="tx1"/>
            </w14:solidFill>
          </w14:textFill>
        </w:rPr>
      </w:pPr>
      <w:r>
        <w:rPr>
          <w:rFonts w:hint="eastAsia" w:ascii="仿宋" w:hAnsi="仿宋" w:eastAsia="仿宋" w:cs="仿宋"/>
          <w:b/>
          <w:color w:val="000000" w:themeColor="text1"/>
          <w:sz w:val="44"/>
          <w:szCs w:val="44"/>
          <w:highlight w:val="none"/>
          <w14:textFill>
            <w14:solidFill>
              <w14:schemeClr w14:val="tx1"/>
            </w14:solidFill>
          </w14:textFill>
        </w:rPr>
        <w:t>（电子招投标）</w:t>
      </w:r>
    </w:p>
    <w:p w14:paraId="4820A0BC">
      <w:pPr>
        <w:spacing w:line="360" w:lineRule="auto"/>
        <w:rPr>
          <w:rFonts w:ascii="仿宋" w:hAnsi="仿宋" w:eastAsia="仿宋" w:cs="仿宋"/>
          <w:b/>
          <w:color w:val="000000" w:themeColor="text1"/>
          <w:sz w:val="44"/>
          <w:szCs w:val="44"/>
          <w:highlight w:val="none"/>
          <w14:textFill>
            <w14:solidFill>
              <w14:schemeClr w14:val="tx1"/>
            </w14:solidFill>
          </w14:textFill>
        </w:rPr>
      </w:pPr>
    </w:p>
    <w:p w14:paraId="4A12191E">
      <w:pPr>
        <w:jc w:val="center"/>
        <w:rPr>
          <w:rFonts w:hint="eastAsia" w:ascii="仿宋" w:hAnsi="仿宋" w:eastAsia="仿宋" w:cs="仿宋"/>
          <w:b/>
          <w:color w:val="000000" w:themeColor="text1"/>
          <w:sz w:val="28"/>
          <w:szCs w:val="28"/>
          <w:highlight w:val="none"/>
          <w:lang w:eastAsia="zh-CN"/>
          <w14:textFill>
            <w14:solidFill>
              <w14:schemeClr w14:val="tx1"/>
            </w14:solidFill>
          </w14:textFill>
        </w:rPr>
      </w:pPr>
      <w:r>
        <w:rPr>
          <w:rFonts w:hint="eastAsia" w:ascii="仿宋" w:hAnsi="仿宋" w:eastAsia="仿宋" w:cs="仿宋"/>
          <w:b/>
          <w:color w:val="000000" w:themeColor="text1"/>
          <w:sz w:val="28"/>
          <w:szCs w:val="28"/>
          <w:highlight w:val="none"/>
          <w14:textFill>
            <w14:solidFill>
              <w14:schemeClr w14:val="tx1"/>
            </w14:solidFill>
          </w14:textFill>
        </w:rPr>
        <w:t>招标编号：</w:t>
      </w:r>
      <w:r>
        <w:rPr>
          <w:rFonts w:hint="eastAsia" w:ascii="仿宋" w:hAnsi="仿宋" w:eastAsia="仿宋" w:cs="仿宋"/>
          <w:b/>
          <w:color w:val="000000" w:themeColor="text1"/>
          <w:sz w:val="28"/>
          <w:szCs w:val="28"/>
          <w:highlight w:val="none"/>
          <w:lang w:eastAsia="zh-CN"/>
          <w14:textFill>
            <w14:solidFill>
              <w14:schemeClr w14:val="tx1"/>
            </w14:solidFill>
          </w14:textFill>
        </w:rPr>
        <w:t>绍柯采[2025]1143号</w:t>
      </w:r>
    </w:p>
    <w:tbl>
      <w:tblPr>
        <w:tblStyle w:val="62"/>
        <w:tblW w:w="7801" w:type="dxa"/>
        <w:jc w:val="center"/>
        <w:tblLayout w:type="fixed"/>
        <w:tblCellMar>
          <w:top w:w="0" w:type="dxa"/>
          <w:left w:w="108" w:type="dxa"/>
          <w:bottom w:w="0" w:type="dxa"/>
          <w:right w:w="108" w:type="dxa"/>
        </w:tblCellMar>
      </w:tblPr>
      <w:tblGrid>
        <w:gridCol w:w="2356"/>
        <w:gridCol w:w="5445"/>
      </w:tblGrid>
      <w:tr w14:paraId="44B22D56">
        <w:tblPrEx>
          <w:tblCellMar>
            <w:top w:w="0" w:type="dxa"/>
            <w:left w:w="108" w:type="dxa"/>
            <w:bottom w:w="0" w:type="dxa"/>
            <w:right w:w="108" w:type="dxa"/>
          </w:tblCellMar>
        </w:tblPrEx>
        <w:trPr>
          <w:trHeight w:val="443" w:hRule="atLeast"/>
          <w:jc w:val="center"/>
        </w:trPr>
        <w:tc>
          <w:tcPr>
            <w:tcW w:w="2356" w:type="dxa"/>
          </w:tcPr>
          <w:p w14:paraId="1E36D2A2">
            <w:pPr>
              <w:spacing w:after="100" w:afterAutospacing="1" w:line="440" w:lineRule="exact"/>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93"/>
                <w:kern w:val="0"/>
                <w:sz w:val="28"/>
                <w:szCs w:val="28"/>
                <w:highlight w:val="none"/>
                <w14:textFill>
                  <w14:solidFill>
                    <w14:schemeClr w14:val="tx1"/>
                  </w14:solidFill>
                </w14:textFill>
              </w:rPr>
              <w:t>采购单</w:t>
            </w:r>
            <w:r>
              <w:rPr>
                <w:rFonts w:hint="eastAsia" w:ascii="仿宋" w:hAnsi="仿宋" w:eastAsia="仿宋" w:cs="仿宋"/>
                <w:color w:val="000000" w:themeColor="text1"/>
                <w:spacing w:val="1"/>
                <w:kern w:val="0"/>
                <w:sz w:val="28"/>
                <w:szCs w:val="28"/>
                <w:highlight w:val="none"/>
                <w14:textFill>
                  <w14:solidFill>
                    <w14:schemeClr w14:val="tx1"/>
                  </w14:solidFill>
                </w14:textFill>
              </w:rPr>
              <w:t>位</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vAlign w:val="center"/>
          </w:tcPr>
          <w:p w14:paraId="3A7A3E25">
            <w:pPr>
              <w:spacing w:line="320" w:lineRule="exact"/>
              <w:outlineLvl w:val="0"/>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绍兴市柯桥区</w:t>
            </w:r>
            <w:r>
              <w:rPr>
                <w:rFonts w:hint="eastAsia" w:ascii="仿宋" w:hAnsi="仿宋" w:eastAsia="仿宋" w:cs="仿宋"/>
                <w:color w:val="000000" w:themeColor="text1"/>
                <w:sz w:val="28"/>
                <w:szCs w:val="28"/>
                <w:highlight w:val="none"/>
                <w:lang w:eastAsia="zh-CN"/>
                <w14:textFill>
                  <w14:solidFill>
                    <w14:schemeClr w14:val="tx1"/>
                  </w14:solidFill>
                </w14:textFill>
              </w:rPr>
              <w:t>杨汛桥</w:t>
            </w:r>
            <w:r>
              <w:rPr>
                <w:rFonts w:hint="eastAsia" w:ascii="仿宋" w:hAnsi="仿宋" w:eastAsia="仿宋" w:cs="仿宋"/>
                <w:color w:val="000000" w:themeColor="text1"/>
                <w:sz w:val="28"/>
                <w:szCs w:val="28"/>
                <w:highlight w:val="none"/>
                <w14:textFill>
                  <w14:solidFill>
                    <w14:schemeClr w14:val="tx1"/>
                  </w14:solidFill>
                </w14:textFill>
              </w:rPr>
              <w:t>街道办事处</w:t>
            </w:r>
          </w:p>
        </w:tc>
      </w:tr>
      <w:tr w14:paraId="62A9A2C1">
        <w:tblPrEx>
          <w:tblCellMar>
            <w:top w:w="0" w:type="dxa"/>
            <w:left w:w="108" w:type="dxa"/>
            <w:bottom w:w="0" w:type="dxa"/>
            <w:right w:w="108" w:type="dxa"/>
          </w:tblCellMar>
        </w:tblPrEx>
        <w:trPr>
          <w:trHeight w:val="494" w:hRule="atLeast"/>
          <w:jc w:val="center"/>
        </w:trPr>
        <w:tc>
          <w:tcPr>
            <w:tcW w:w="2356" w:type="dxa"/>
          </w:tcPr>
          <w:p w14:paraId="0400520A">
            <w:pPr>
              <w:spacing w:after="100" w:afterAutospacing="1" w:line="440" w:lineRule="exact"/>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kern w:val="0"/>
                <w:sz w:val="28"/>
                <w:szCs w:val="28"/>
                <w:highlight w:val="none"/>
                <w14:textFill>
                  <w14:solidFill>
                    <w14:schemeClr w14:val="tx1"/>
                  </w14:solidFill>
                </w14:textFill>
              </w:rPr>
              <w:t>采购代理机构</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tcPr>
          <w:p w14:paraId="0C63167A">
            <w:pPr>
              <w:spacing w:after="100" w:afterAutospacing="1" w:line="440" w:lineRule="exact"/>
              <w:rPr>
                <w:rFonts w:hint="eastAsia" w:ascii="仿宋" w:hAnsi="仿宋" w:eastAsia="仿宋" w:cs="仿宋"/>
                <w:color w:val="000000" w:themeColor="text1"/>
                <w:sz w:val="28"/>
                <w:szCs w:val="28"/>
                <w:highlight w:val="none"/>
                <w:lang w:eastAsia="zh-CN"/>
                <w14:textFill>
                  <w14:solidFill>
                    <w14:schemeClr w14:val="tx1"/>
                  </w14:solidFill>
                </w14:textFill>
              </w:rPr>
            </w:pPr>
            <w:r>
              <w:rPr>
                <w:rFonts w:hint="eastAsia" w:ascii="仿宋" w:hAnsi="仿宋" w:eastAsia="仿宋" w:cs="仿宋"/>
                <w:color w:val="000000" w:themeColor="text1"/>
                <w:sz w:val="28"/>
                <w:szCs w:val="28"/>
                <w:highlight w:val="none"/>
                <w:lang w:eastAsia="zh-CN"/>
                <w14:textFill>
                  <w14:solidFill>
                    <w14:schemeClr w14:val="tx1"/>
                  </w14:solidFill>
                </w14:textFill>
              </w:rPr>
              <w:t>浙江景成工程管理有限公司</w:t>
            </w:r>
          </w:p>
        </w:tc>
      </w:tr>
      <w:tr w14:paraId="0D224699">
        <w:tblPrEx>
          <w:tblCellMar>
            <w:top w:w="0" w:type="dxa"/>
            <w:left w:w="108" w:type="dxa"/>
            <w:bottom w:w="0" w:type="dxa"/>
            <w:right w:w="108" w:type="dxa"/>
          </w:tblCellMar>
        </w:tblPrEx>
        <w:trPr>
          <w:trHeight w:val="397" w:hRule="atLeast"/>
          <w:jc w:val="center"/>
        </w:trPr>
        <w:tc>
          <w:tcPr>
            <w:tcW w:w="2356" w:type="dxa"/>
            <w:vAlign w:val="center"/>
          </w:tcPr>
          <w:p w14:paraId="0D0B4D27">
            <w:pPr>
              <w:spacing w:after="100" w:afterAutospacing="1" w:line="440" w:lineRule="exact"/>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93"/>
                <w:kern w:val="0"/>
                <w:sz w:val="28"/>
                <w:szCs w:val="28"/>
                <w:highlight w:val="none"/>
                <w:fitText w:val="1680" w:id="158997721"/>
                <w14:textFill>
                  <w14:solidFill>
                    <w14:schemeClr w14:val="tx1"/>
                  </w14:solidFill>
                </w14:textFill>
              </w:rPr>
              <w:t>监督单</w:t>
            </w:r>
            <w:r>
              <w:rPr>
                <w:rFonts w:hint="eastAsia" w:ascii="仿宋" w:hAnsi="仿宋" w:eastAsia="仿宋" w:cs="仿宋"/>
                <w:color w:val="000000" w:themeColor="text1"/>
                <w:spacing w:val="1"/>
                <w:kern w:val="0"/>
                <w:sz w:val="28"/>
                <w:szCs w:val="28"/>
                <w:highlight w:val="none"/>
                <w:fitText w:val="1680" w:id="158997721"/>
                <w14:textFill>
                  <w14:solidFill>
                    <w14:schemeClr w14:val="tx1"/>
                  </w14:solidFill>
                </w14:textFill>
              </w:rPr>
              <w:t>位</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tcPr>
          <w:p w14:paraId="07E4B572">
            <w:pPr>
              <w:spacing w:after="100" w:afterAutospacing="1" w:line="440" w:lineRule="exact"/>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绍兴市柯桥区财政局</w:t>
            </w:r>
          </w:p>
        </w:tc>
      </w:tr>
      <w:tr w14:paraId="0604B186">
        <w:tblPrEx>
          <w:tblCellMar>
            <w:top w:w="0" w:type="dxa"/>
            <w:left w:w="108" w:type="dxa"/>
            <w:bottom w:w="0" w:type="dxa"/>
            <w:right w:w="108" w:type="dxa"/>
          </w:tblCellMar>
        </w:tblPrEx>
        <w:trPr>
          <w:trHeight w:val="333" w:hRule="atLeast"/>
          <w:jc w:val="center"/>
        </w:trPr>
        <w:tc>
          <w:tcPr>
            <w:tcW w:w="7801" w:type="dxa"/>
            <w:gridSpan w:val="2"/>
          </w:tcPr>
          <w:p w14:paraId="505D31F8">
            <w:pPr>
              <w:spacing w:after="100" w:afterAutospacing="1" w:line="440" w:lineRule="exact"/>
              <w:jc w:val="center"/>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二〇二五年</w:t>
            </w:r>
            <w:r>
              <w:rPr>
                <w:rFonts w:hint="eastAsia" w:ascii="仿宋" w:hAnsi="仿宋" w:eastAsia="仿宋" w:cs="仿宋"/>
                <w:color w:val="000000" w:themeColor="text1"/>
                <w:sz w:val="28"/>
                <w:szCs w:val="28"/>
                <w:highlight w:val="none"/>
                <w:lang w:val="en-US" w:eastAsia="zh-CN"/>
                <w14:textFill>
                  <w14:solidFill>
                    <w14:schemeClr w14:val="tx1"/>
                  </w14:solidFill>
                </w14:textFill>
              </w:rPr>
              <w:t>七</w:t>
            </w:r>
            <w:r>
              <w:rPr>
                <w:rFonts w:hint="eastAsia" w:ascii="仿宋" w:hAnsi="仿宋" w:eastAsia="仿宋" w:cs="仿宋"/>
                <w:color w:val="000000" w:themeColor="text1"/>
                <w:sz w:val="28"/>
                <w:szCs w:val="28"/>
                <w:highlight w:val="none"/>
                <w14:textFill>
                  <w14:solidFill>
                    <w14:schemeClr w14:val="tx1"/>
                  </w14:solidFill>
                </w14:textFill>
              </w:rPr>
              <w:t>月</w:t>
            </w:r>
          </w:p>
        </w:tc>
      </w:tr>
    </w:tbl>
    <w:p w14:paraId="03CD2563">
      <w:pPr>
        <w:pStyle w:val="636"/>
        <w:rPr>
          <w:rFonts w:ascii="仿宋" w:hAnsi="仿宋" w:eastAsia="仿宋" w:cs="仿宋"/>
          <w:color w:val="000000" w:themeColor="text1"/>
          <w:highlight w:val="none"/>
          <w14:textFill>
            <w14:solidFill>
              <w14:schemeClr w14:val="tx1"/>
            </w14:solidFill>
          </w14:textFill>
        </w:rPr>
        <w:sectPr>
          <w:headerReference r:id="rId5" w:type="first"/>
          <w:headerReference r:id="rId3" w:type="default"/>
          <w:headerReference r:id="rId4" w:type="even"/>
          <w:footerReference r:id="rId6" w:type="even"/>
          <w:pgSz w:w="11906" w:h="16838"/>
          <w:pgMar w:top="1474" w:right="1814" w:bottom="1474" w:left="1814" w:header="851" w:footer="992" w:gutter="0"/>
          <w:cols w:space="720" w:num="1"/>
          <w:titlePg/>
          <w:docGrid w:linePitch="312" w:charSpace="0"/>
        </w:sectPr>
      </w:pPr>
    </w:p>
    <w:p w14:paraId="2ACDBB06">
      <w:pPr>
        <w:pStyle w:val="636"/>
        <w:spacing w:before="0" w:after="0" w:line="360" w:lineRule="auto"/>
        <w:ind w:left="0" w:firstLine="0"/>
        <w:rPr>
          <w:rFonts w:ascii="仿宋" w:hAnsi="仿宋" w:eastAsia="仿宋" w:cs="仿宋"/>
          <w:color w:val="000000" w:themeColor="text1"/>
          <w:highlight w:val="none"/>
          <w14:textFill>
            <w14:solidFill>
              <w14:schemeClr w14:val="tx1"/>
            </w14:solidFill>
          </w14:textFill>
        </w:rPr>
      </w:pPr>
    </w:p>
    <w:p w14:paraId="41B0D7AC">
      <w:pPr>
        <w:spacing w:line="360" w:lineRule="auto"/>
        <w:jc w:val="center"/>
        <w:rPr>
          <w:rFonts w:ascii="仿宋" w:hAnsi="仿宋" w:eastAsia="仿宋" w:cs="仿宋"/>
          <w:b/>
          <w:color w:val="000000" w:themeColor="text1"/>
          <w:sz w:val="44"/>
          <w:szCs w:val="44"/>
          <w:highlight w:val="none"/>
          <w14:textFill>
            <w14:solidFill>
              <w14:schemeClr w14:val="tx1"/>
            </w14:solidFill>
          </w14:textFill>
        </w:rPr>
      </w:pPr>
      <w:bookmarkStart w:id="0" w:name="_Hlt91233176"/>
      <w:bookmarkEnd w:id="0"/>
      <w:bookmarkStart w:id="1" w:name="_Toc91899869"/>
      <w:r>
        <w:rPr>
          <w:rFonts w:hint="eastAsia" w:ascii="仿宋" w:hAnsi="仿宋" w:eastAsia="仿宋" w:cs="仿宋"/>
          <w:b/>
          <w:color w:val="000000" w:themeColor="text1"/>
          <w:sz w:val="44"/>
          <w:szCs w:val="44"/>
          <w:highlight w:val="none"/>
          <w14:textFill>
            <w14:solidFill>
              <w14:schemeClr w14:val="tx1"/>
            </w14:solidFill>
          </w14:textFill>
        </w:rPr>
        <w:t>目录</w:t>
      </w:r>
    </w:p>
    <w:p w14:paraId="245D5BA5">
      <w:pPr>
        <w:spacing w:line="360" w:lineRule="auto"/>
        <w:jc w:val="center"/>
        <w:rPr>
          <w:rFonts w:ascii="仿宋" w:hAnsi="仿宋" w:eastAsia="仿宋" w:cs="仿宋"/>
          <w:b/>
          <w:color w:val="000000" w:themeColor="text1"/>
          <w:sz w:val="44"/>
          <w:szCs w:val="44"/>
          <w:highlight w:val="none"/>
          <w14:textFill>
            <w14:solidFill>
              <w14:schemeClr w14:val="tx1"/>
            </w14:solidFill>
          </w14:textFill>
        </w:rPr>
      </w:pPr>
    </w:p>
    <w:p w14:paraId="392DC038">
      <w:pPr>
        <w:spacing w:line="360" w:lineRule="auto"/>
        <w:jc w:val="center"/>
        <w:rPr>
          <w:rFonts w:ascii="仿宋" w:hAnsi="仿宋" w:eastAsia="仿宋" w:cs="仿宋"/>
          <w:color w:val="000000" w:themeColor="text1"/>
          <w:highlight w:val="none"/>
          <w14:textFill>
            <w14:solidFill>
              <w14:schemeClr w14:val="tx1"/>
            </w14:solidFill>
          </w14:textFill>
        </w:rPr>
      </w:pPr>
    </w:p>
    <w:p w14:paraId="4B34E564">
      <w:pPr>
        <w:snapToGrid w:val="0"/>
        <w:spacing w:line="360" w:lineRule="auto"/>
        <w:ind w:firstLine="1807" w:firstLineChars="500"/>
        <w:jc w:val="left"/>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第一部分    招标公告</w:t>
      </w:r>
    </w:p>
    <w:p w14:paraId="41C64500">
      <w:pPr>
        <w:snapToGrid w:val="0"/>
        <w:spacing w:line="360" w:lineRule="auto"/>
        <w:ind w:firstLine="1807" w:firstLineChars="500"/>
        <w:jc w:val="left"/>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第二部分    投标须知</w:t>
      </w:r>
    </w:p>
    <w:p w14:paraId="238ECFA5">
      <w:pPr>
        <w:snapToGrid w:val="0"/>
        <w:spacing w:line="360" w:lineRule="auto"/>
        <w:ind w:firstLine="1807" w:firstLineChars="500"/>
        <w:jc w:val="left"/>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p w14:paraId="044BBD39">
      <w:pPr>
        <w:snapToGrid w:val="0"/>
        <w:spacing w:line="360" w:lineRule="auto"/>
        <w:ind w:firstLine="1807" w:firstLineChars="500"/>
        <w:jc w:val="left"/>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第四部分    合同的主要条款</w:t>
      </w:r>
    </w:p>
    <w:p w14:paraId="03A273C4">
      <w:pPr>
        <w:snapToGrid w:val="0"/>
        <w:spacing w:line="360" w:lineRule="auto"/>
        <w:ind w:firstLine="1807" w:firstLineChars="500"/>
        <w:jc w:val="left"/>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14:paraId="6549594D">
      <w:pPr>
        <w:snapToGrid w:val="0"/>
        <w:spacing w:line="360" w:lineRule="auto"/>
        <w:ind w:firstLine="1807" w:firstLineChars="500"/>
        <w:jc w:val="left"/>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第六部分    投标文件及其附件格式</w:t>
      </w:r>
    </w:p>
    <w:p w14:paraId="3E88559B">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14:paraId="2AA8BC54">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14:paraId="2E70A0C2">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14:paraId="48FB8980">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14:paraId="6A324B1E">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14:paraId="07C7DFA9">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14:paraId="4C3A52C5">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14:paraId="3F648F45">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14:paraId="79A0C7B2">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14:paraId="5D2B2B61">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14:paraId="3DA8135F">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14:paraId="05BDABB0">
      <w:pPr>
        <w:spacing w:line="360" w:lineRule="auto"/>
        <w:rPr>
          <w:rFonts w:ascii="仿宋" w:hAnsi="仿宋" w:eastAsia="仿宋" w:cs="仿宋"/>
          <w:color w:val="000000" w:themeColor="text1"/>
          <w:sz w:val="24"/>
          <w:highlight w:val="none"/>
          <w14:textFill>
            <w14:solidFill>
              <w14:schemeClr w14:val="tx1"/>
            </w14:solidFill>
          </w14:textFill>
        </w:rPr>
      </w:pPr>
    </w:p>
    <w:bookmarkEnd w:id="1"/>
    <w:p w14:paraId="15494F96">
      <w:pPr>
        <w:adjustRightInd/>
        <w:spacing w:line="360" w:lineRule="auto"/>
        <w:jc w:val="center"/>
        <w:outlineLvl w:val="0"/>
        <w:rPr>
          <w:rFonts w:ascii="仿宋" w:hAnsi="仿宋" w:eastAsia="仿宋" w:cs="仿宋"/>
          <w:b/>
          <w:color w:val="000000" w:themeColor="text1"/>
          <w:sz w:val="36"/>
          <w:szCs w:val="20"/>
          <w:highlight w:val="none"/>
          <w14:textFill>
            <w14:solidFill>
              <w14:schemeClr w14:val="tx1"/>
            </w14:solidFill>
          </w14:textFill>
        </w:rPr>
      </w:pPr>
      <w:bookmarkStart w:id="2" w:name="第二部分"/>
      <w:bookmarkStart w:id="3" w:name="_Toc91899870"/>
      <w:bookmarkStart w:id="4" w:name="_Toc91899871"/>
    </w:p>
    <w:p w14:paraId="025838D3">
      <w:pPr>
        <w:adjustRightInd/>
        <w:spacing w:line="360" w:lineRule="auto"/>
        <w:jc w:val="center"/>
        <w:outlineLvl w:val="0"/>
        <w:rPr>
          <w:rFonts w:ascii="仿宋" w:hAnsi="仿宋" w:eastAsia="仿宋" w:cs="仿宋"/>
          <w:b/>
          <w:color w:val="000000" w:themeColor="text1"/>
          <w:sz w:val="36"/>
          <w:szCs w:val="20"/>
          <w:highlight w:val="none"/>
          <w14:textFill>
            <w14:solidFill>
              <w14:schemeClr w14:val="tx1"/>
            </w14:solidFill>
          </w14:textFill>
        </w:rPr>
      </w:pPr>
    </w:p>
    <w:p w14:paraId="44C0A4CA">
      <w:pPr>
        <w:adjustRightInd/>
        <w:spacing w:line="360" w:lineRule="auto"/>
        <w:jc w:val="center"/>
        <w:outlineLvl w:val="0"/>
        <w:rPr>
          <w:rFonts w:ascii="仿宋" w:hAnsi="仿宋" w:eastAsia="仿宋" w:cs="仿宋"/>
          <w:b/>
          <w:color w:val="000000" w:themeColor="text1"/>
          <w:sz w:val="36"/>
          <w:szCs w:val="20"/>
          <w:highlight w:val="none"/>
          <w14:textFill>
            <w14:solidFill>
              <w14:schemeClr w14:val="tx1"/>
            </w14:solidFill>
          </w14:textFill>
        </w:rPr>
        <w:sectPr>
          <w:footerReference r:id="rId7" w:type="default"/>
          <w:pgSz w:w="11906" w:h="16838"/>
          <w:pgMar w:top="1474" w:right="1814" w:bottom="1474" w:left="1814" w:header="851" w:footer="992" w:gutter="0"/>
          <w:pgNumType w:start="1"/>
          <w:cols w:space="720" w:num="1"/>
          <w:docGrid w:linePitch="312" w:charSpace="0"/>
        </w:sectPr>
      </w:pPr>
    </w:p>
    <w:p w14:paraId="077F9A8B">
      <w:pPr>
        <w:adjustRightInd/>
        <w:spacing w:line="360" w:lineRule="auto"/>
        <w:jc w:val="center"/>
        <w:outlineLvl w:val="0"/>
        <w:rPr>
          <w:rFonts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第一部分 招标公告</w:t>
      </w:r>
    </w:p>
    <w:p w14:paraId="279370A7">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项目概况：</w:t>
      </w:r>
    </w:p>
    <w:p w14:paraId="3F70DCAA">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olor w:val="000000" w:themeColor="text1"/>
          <w:sz w:val="24"/>
          <w:szCs w:val="28"/>
          <w:highlight w:val="none"/>
          <w:u w:val="single"/>
          <w:lang w:eastAsia="zh-CN"/>
          <w14:textFill>
            <w14:solidFill>
              <w14:schemeClr w14:val="tx1"/>
            </w14:solidFill>
          </w14:textFill>
        </w:rPr>
        <w:t>杨汛桥街道机关、派出所食堂服务外包项目</w:t>
      </w:r>
      <w:r>
        <w:rPr>
          <w:rFonts w:hint="eastAsia" w:ascii="仿宋" w:hAnsi="仿宋" w:eastAsia="仿宋" w:cs="仿宋"/>
          <w:color w:val="000000" w:themeColor="text1"/>
          <w:sz w:val="24"/>
          <w:highlight w:val="none"/>
          <w14:textFill>
            <w14:solidFill>
              <w14:schemeClr w14:val="tx1"/>
            </w14:solidFill>
          </w14:textFill>
        </w:rPr>
        <w:t>招标项目的潜在投标人应在政采云平台（</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"https://www.zcygov.cn/）获取（下载）招标文件，并于202%20年%20月%20日%20点%20分00秒" </w:instrText>
      </w:r>
      <w:r>
        <w:rPr>
          <w:color w:val="000000" w:themeColor="text1"/>
          <w:highlight w:val="none"/>
          <w14:textFill>
            <w14:solidFill>
              <w14:schemeClr w14:val="tx1"/>
            </w14:solidFill>
          </w14:textFill>
        </w:rPr>
        <w:fldChar w:fldCharType="separate"/>
      </w:r>
      <w:r>
        <w:rPr>
          <w:rStyle w:val="76"/>
          <w:rFonts w:hint="eastAsia" w:ascii="仿宋" w:hAnsi="仿宋" w:eastAsia="仿宋" w:cs="仿宋"/>
          <w:snapToGrid/>
          <w:color w:val="000000" w:themeColor="text1"/>
          <w:kern w:val="2"/>
          <w:sz w:val="24"/>
          <w:szCs w:val="24"/>
          <w:highlight w:val="none"/>
          <w14:textFill>
            <w14:solidFill>
              <w14:schemeClr w14:val="tx1"/>
            </w14:solidFill>
          </w14:textFill>
        </w:rPr>
        <w:t>https://www.zcygov.cn/）获取（下载）招标文件，并于</w:t>
      </w:r>
      <w:r>
        <w:rPr>
          <w:rStyle w:val="76"/>
          <w:rFonts w:hint="eastAsia" w:ascii="仿宋" w:hAnsi="仿宋" w:eastAsia="仿宋" w:cs="仿宋"/>
          <w:snapToGrid/>
          <w:color w:val="000000" w:themeColor="text1"/>
          <w:kern w:val="2"/>
          <w:sz w:val="24"/>
          <w:szCs w:val="24"/>
          <w:highlight w:val="none"/>
          <w:u w:val="single"/>
          <w14:textFill>
            <w14:solidFill>
              <w14:schemeClr w14:val="tx1"/>
            </w14:solidFill>
          </w14:textFill>
        </w:rPr>
        <w:t>2025年</w:t>
      </w:r>
      <w:r>
        <w:rPr>
          <w:rStyle w:val="76"/>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07</w:t>
      </w:r>
      <w:r>
        <w:rPr>
          <w:rStyle w:val="76"/>
          <w:rFonts w:hint="eastAsia" w:ascii="仿宋" w:hAnsi="仿宋" w:eastAsia="仿宋" w:cs="仿宋"/>
          <w:snapToGrid/>
          <w:color w:val="000000" w:themeColor="text1"/>
          <w:kern w:val="2"/>
          <w:sz w:val="24"/>
          <w:szCs w:val="24"/>
          <w:highlight w:val="none"/>
          <w:u w:val="single"/>
          <w14:textFill>
            <w14:solidFill>
              <w14:schemeClr w14:val="tx1"/>
            </w14:solidFill>
          </w14:textFill>
        </w:rPr>
        <w:t>月</w:t>
      </w:r>
      <w:r>
        <w:rPr>
          <w:rStyle w:val="76"/>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31</w:t>
      </w:r>
      <w:r>
        <w:rPr>
          <w:rStyle w:val="76"/>
          <w:rFonts w:hint="eastAsia" w:ascii="仿宋" w:hAnsi="仿宋" w:eastAsia="仿宋" w:cs="仿宋"/>
          <w:snapToGrid/>
          <w:color w:val="000000" w:themeColor="text1"/>
          <w:kern w:val="2"/>
          <w:sz w:val="24"/>
          <w:szCs w:val="24"/>
          <w:highlight w:val="none"/>
          <w:u w:val="single"/>
          <w14:textFill>
            <w14:solidFill>
              <w14:schemeClr w14:val="tx1"/>
            </w14:solidFill>
          </w14:textFill>
        </w:rPr>
        <w:t>日</w:t>
      </w:r>
      <w:r>
        <w:rPr>
          <w:rStyle w:val="76"/>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09</w:t>
      </w:r>
      <w:r>
        <w:rPr>
          <w:rStyle w:val="76"/>
          <w:rFonts w:hint="eastAsia" w:ascii="仿宋" w:hAnsi="仿宋" w:eastAsia="仿宋" w:cs="仿宋"/>
          <w:snapToGrid/>
          <w:color w:val="000000" w:themeColor="text1"/>
          <w:kern w:val="2"/>
          <w:sz w:val="24"/>
          <w:szCs w:val="24"/>
          <w:highlight w:val="none"/>
          <w:u w:val="single"/>
          <w14:textFill>
            <w14:solidFill>
              <w14:schemeClr w14:val="tx1"/>
            </w14:solidFill>
          </w14:textFill>
        </w:rPr>
        <w:t>点30分</w:t>
      </w:r>
      <w:r>
        <w:rPr>
          <w:rStyle w:val="76"/>
          <w:rFonts w:hint="eastAsia" w:ascii="仿宋" w:hAnsi="仿宋" w:eastAsia="仿宋" w:cs="仿宋"/>
          <w:bCs/>
          <w:snapToGrid/>
          <w:color w:val="000000" w:themeColor="text1"/>
          <w:kern w:val="2"/>
          <w:sz w:val="24"/>
          <w:szCs w:val="24"/>
          <w:highlight w:val="none"/>
          <w:u w:val="single"/>
          <w14:textFill>
            <w14:solidFill>
              <w14:schemeClr w14:val="tx1"/>
            </w14:solidFill>
          </w14:textFill>
        </w:rPr>
        <w:t>00秒</w:t>
      </w:r>
      <w:r>
        <w:rPr>
          <w:rStyle w:val="76"/>
          <w:rFonts w:hint="eastAsia" w:ascii="仿宋" w:hAnsi="仿宋" w:eastAsia="仿宋" w:cs="仿宋"/>
          <w:bCs/>
          <w:snapToGrid/>
          <w:color w:val="000000" w:themeColor="text1"/>
          <w:kern w:val="2"/>
          <w:sz w:val="24"/>
          <w:szCs w:val="24"/>
          <w:highlight w:val="none"/>
          <w:u w:val="single"/>
          <w14:textFill>
            <w14:solidFill>
              <w14:schemeClr w14:val="tx1"/>
            </w14:solidFill>
          </w14:textFill>
        </w:rPr>
        <w:fldChar w:fldCharType="end"/>
      </w:r>
      <w:r>
        <w:rPr>
          <w:rFonts w:hint="eastAsia" w:ascii="仿宋" w:hAnsi="仿宋" w:eastAsia="仿宋" w:cs="仿宋"/>
          <w:bCs/>
          <w:color w:val="000000" w:themeColor="text1"/>
          <w:sz w:val="24"/>
          <w:highlight w:val="none"/>
          <w14:textFill>
            <w14:solidFill>
              <w14:schemeClr w14:val="tx1"/>
            </w14:solidFill>
          </w14:textFill>
        </w:rPr>
        <w:t>（北京时间）前</w:t>
      </w:r>
      <w:r>
        <w:rPr>
          <w:rFonts w:hint="eastAsia" w:ascii="仿宋" w:hAnsi="仿宋" w:eastAsia="仿宋" w:cs="仿宋"/>
          <w:color w:val="000000" w:themeColor="text1"/>
          <w:sz w:val="24"/>
          <w:highlight w:val="none"/>
          <w14:textFill>
            <w14:solidFill>
              <w14:schemeClr w14:val="tx1"/>
            </w14:solidFill>
          </w14:textFill>
        </w:rPr>
        <w:t>递交（上传）投标文件。</w:t>
      </w:r>
    </w:p>
    <w:p w14:paraId="0A1524CF">
      <w:pPr>
        <w:spacing w:line="360" w:lineRule="auto"/>
        <w:ind w:firstLine="480" w:firstLineChars="200"/>
        <w:rPr>
          <w:rFonts w:ascii="仿宋" w:hAnsi="仿宋" w:eastAsia="仿宋" w:cs="仿宋"/>
          <w:b/>
          <w:color w:val="000000" w:themeColor="text1"/>
          <w:sz w:val="24"/>
          <w:highlight w:val="none"/>
          <w14:textFill>
            <w14:solidFill>
              <w14:schemeClr w14:val="tx1"/>
            </w14:solidFill>
          </w14:textFill>
        </w:rPr>
      </w:pPr>
      <w:r>
        <w:rPr>
          <w:rFonts w:hint="eastAsia" w:ascii="黑体" w:hAnsi="黑体" w:eastAsia="黑体" w:cs="黑体"/>
          <w:bCs/>
          <w:color w:val="000000" w:themeColor="text1"/>
          <w:sz w:val="24"/>
          <w:highlight w:val="none"/>
          <w14:textFill>
            <w14:solidFill>
              <w14:schemeClr w14:val="tx1"/>
            </w14:solidFill>
          </w14:textFill>
        </w:rPr>
        <w:t xml:space="preserve">一、项目基本情况  </w:t>
      </w:r>
    </w:p>
    <w:p w14:paraId="1A476E08">
      <w:pPr>
        <w:spacing w:line="360" w:lineRule="auto"/>
        <w:ind w:firstLine="482" w:firstLineChars="200"/>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项目编号：</w:t>
      </w:r>
      <w:r>
        <w:rPr>
          <w:rFonts w:hint="eastAsia" w:ascii="仿宋" w:hAnsi="仿宋" w:eastAsia="仿宋" w:cs="仿宋"/>
          <w:b/>
          <w:color w:val="000000" w:themeColor="text1"/>
          <w:sz w:val="24"/>
          <w:highlight w:val="none"/>
          <w:lang w:eastAsia="zh-CN"/>
          <w14:textFill>
            <w14:solidFill>
              <w14:schemeClr w14:val="tx1"/>
            </w14:solidFill>
          </w14:textFill>
        </w:rPr>
        <w:t>绍柯采[2025]1143号</w:t>
      </w:r>
    </w:p>
    <w:p w14:paraId="63E0D37E">
      <w:pPr>
        <w:spacing w:line="360" w:lineRule="auto"/>
        <w:ind w:firstLine="482" w:firstLineChars="200"/>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项目名称：</w:t>
      </w:r>
      <w:r>
        <w:rPr>
          <w:rFonts w:hint="eastAsia" w:ascii="仿宋" w:hAnsi="仿宋" w:eastAsia="仿宋"/>
          <w:color w:val="000000" w:themeColor="text1"/>
          <w:sz w:val="24"/>
          <w:szCs w:val="28"/>
          <w:highlight w:val="none"/>
          <w:u w:val="single"/>
          <w:lang w:eastAsia="zh-CN"/>
          <w14:textFill>
            <w14:solidFill>
              <w14:schemeClr w14:val="tx1"/>
            </w14:solidFill>
          </w14:textFill>
        </w:rPr>
        <w:t>杨汛桥街道机关、派出所食堂服务外包项目</w:t>
      </w:r>
    </w:p>
    <w:p w14:paraId="55726D80">
      <w:pPr>
        <w:spacing w:line="360" w:lineRule="auto"/>
        <w:ind w:firstLine="482" w:firstLineChars="200"/>
        <w:rPr>
          <w:rFonts w:hint="eastAsia" w:ascii="仿宋" w:hAnsi="仿宋" w:eastAsia="仿宋" w:cs="仿宋"/>
          <w:b/>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预算金额（元）：</w:t>
      </w:r>
      <w:r>
        <w:rPr>
          <w:rFonts w:hint="eastAsia" w:ascii="仿宋" w:hAnsi="仿宋" w:eastAsia="仿宋"/>
          <w:color w:val="000000" w:themeColor="text1"/>
          <w:sz w:val="24"/>
          <w:szCs w:val="28"/>
          <w:highlight w:val="none"/>
          <w:lang w:eastAsia="zh-CN"/>
          <w14:textFill>
            <w14:solidFill>
              <w14:schemeClr w14:val="tx1"/>
            </w14:solidFill>
          </w14:textFill>
        </w:rPr>
        <w:t>1</w:t>
      </w:r>
      <w:r>
        <w:rPr>
          <w:rFonts w:hint="eastAsia" w:ascii="仿宋" w:hAnsi="仿宋" w:eastAsia="仿宋"/>
          <w:color w:val="000000" w:themeColor="text1"/>
          <w:sz w:val="24"/>
          <w:szCs w:val="28"/>
          <w:highlight w:val="none"/>
          <w:lang w:val="en-US" w:eastAsia="zh-CN"/>
          <w14:textFill>
            <w14:solidFill>
              <w14:schemeClr w14:val="tx1"/>
            </w14:solidFill>
          </w14:textFill>
        </w:rPr>
        <w:t>7</w:t>
      </w:r>
      <w:r>
        <w:rPr>
          <w:rFonts w:hint="eastAsia" w:ascii="仿宋" w:hAnsi="仿宋" w:eastAsia="仿宋"/>
          <w:color w:val="000000" w:themeColor="text1"/>
          <w:sz w:val="24"/>
          <w:szCs w:val="28"/>
          <w:highlight w:val="none"/>
          <w:lang w:eastAsia="zh-CN"/>
          <w14:textFill>
            <w14:solidFill>
              <w14:schemeClr w14:val="tx1"/>
            </w14:solidFill>
          </w14:textFill>
        </w:rPr>
        <w:t>00000</w:t>
      </w:r>
    </w:p>
    <w:p w14:paraId="0ECF1583">
      <w:pPr>
        <w:spacing w:line="360" w:lineRule="auto"/>
        <w:ind w:firstLine="482" w:firstLineChars="200"/>
        <w:rPr>
          <w:rFonts w:hint="eastAsia" w:ascii="仿宋" w:hAnsi="仿宋" w:eastAsia="仿宋" w:cs="仿宋"/>
          <w:b/>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最高限价（元）：</w:t>
      </w:r>
      <w:r>
        <w:rPr>
          <w:rFonts w:hint="eastAsia" w:ascii="仿宋" w:hAnsi="仿宋" w:eastAsia="仿宋"/>
          <w:color w:val="000000" w:themeColor="text1"/>
          <w:sz w:val="24"/>
          <w:szCs w:val="28"/>
          <w:highlight w:val="none"/>
          <w:lang w:eastAsia="zh-CN"/>
          <w14:textFill>
            <w14:solidFill>
              <w14:schemeClr w14:val="tx1"/>
            </w14:solidFill>
          </w14:textFill>
        </w:rPr>
        <w:t>1</w:t>
      </w:r>
      <w:r>
        <w:rPr>
          <w:rFonts w:hint="eastAsia" w:ascii="仿宋" w:hAnsi="仿宋" w:eastAsia="仿宋"/>
          <w:color w:val="000000" w:themeColor="text1"/>
          <w:sz w:val="24"/>
          <w:szCs w:val="28"/>
          <w:highlight w:val="none"/>
          <w:lang w:val="en-US" w:eastAsia="zh-CN"/>
          <w14:textFill>
            <w14:solidFill>
              <w14:schemeClr w14:val="tx1"/>
            </w14:solidFill>
          </w14:textFill>
        </w:rPr>
        <w:t>7</w:t>
      </w:r>
      <w:r>
        <w:rPr>
          <w:rFonts w:hint="eastAsia" w:ascii="仿宋" w:hAnsi="仿宋" w:eastAsia="仿宋"/>
          <w:color w:val="000000" w:themeColor="text1"/>
          <w:sz w:val="24"/>
          <w:szCs w:val="28"/>
          <w:highlight w:val="none"/>
          <w:lang w:eastAsia="zh-CN"/>
          <w14:textFill>
            <w14:solidFill>
              <w14:schemeClr w14:val="tx1"/>
            </w14:solidFill>
          </w14:textFill>
        </w:rPr>
        <w:t>00000</w:t>
      </w:r>
    </w:p>
    <w:p w14:paraId="11ABE10B">
      <w:pPr>
        <w:spacing w:line="360" w:lineRule="auto"/>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采购需求：</w:t>
      </w:r>
    </w:p>
    <w:p w14:paraId="28229688">
      <w:pPr>
        <w:spacing w:line="360" w:lineRule="auto"/>
        <w:ind w:firstLine="480" w:firstLineChars="2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标项一：</w:t>
      </w:r>
    </w:p>
    <w:p w14:paraId="7B00DBB5">
      <w:pPr>
        <w:spacing w:line="360" w:lineRule="auto"/>
        <w:ind w:firstLine="480" w:firstLineChars="200"/>
        <w:rPr>
          <w:rFonts w:hint="eastAsia" w:ascii="仿宋" w:hAnsi="仿宋" w:eastAsia="仿宋" w:cs="仿宋"/>
          <w:bCs/>
          <w:color w:val="000000" w:themeColor="text1"/>
          <w:sz w:val="24"/>
          <w:highlight w:val="none"/>
          <w:lang w:eastAsia="zh-CN"/>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标项名称：</w:t>
      </w:r>
      <w:r>
        <w:rPr>
          <w:rFonts w:hint="eastAsia" w:ascii="仿宋" w:hAnsi="仿宋" w:eastAsia="仿宋"/>
          <w:color w:val="000000" w:themeColor="text1"/>
          <w:sz w:val="24"/>
          <w:szCs w:val="28"/>
          <w:highlight w:val="none"/>
          <w:u w:val="single"/>
          <w:lang w:eastAsia="zh-CN"/>
          <w14:textFill>
            <w14:solidFill>
              <w14:schemeClr w14:val="tx1"/>
            </w14:solidFill>
          </w14:textFill>
        </w:rPr>
        <w:t>杨汛桥街道机关、派出所食堂服务外包项目</w:t>
      </w:r>
    </w:p>
    <w:p w14:paraId="10DDFA4F">
      <w:pPr>
        <w:spacing w:line="360" w:lineRule="auto"/>
        <w:ind w:firstLine="480" w:firstLineChars="2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数量：1项</w:t>
      </w:r>
    </w:p>
    <w:p w14:paraId="70935B92">
      <w:pPr>
        <w:spacing w:line="360" w:lineRule="auto"/>
        <w:ind w:firstLine="480" w:firstLineChars="200"/>
        <w:rPr>
          <w:rFonts w:hint="eastAsia" w:ascii="仿宋" w:hAnsi="仿宋" w:eastAsia="仿宋" w:cs="仿宋"/>
          <w:bCs/>
          <w:color w:val="000000" w:themeColor="text1"/>
          <w:sz w:val="24"/>
          <w:highlight w:val="none"/>
          <w:lang w:eastAsia="zh-CN"/>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预算金额（元）：</w:t>
      </w:r>
      <w:r>
        <w:rPr>
          <w:rFonts w:hint="eastAsia" w:ascii="仿宋" w:hAnsi="仿宋" w:eastAsia="仿宋"/>
          <w:color w:val="000000" w:themeColor="text1"/>
          <w:sz w:val="24"/>
          <w:szCs w:val="28"/>
          <w:highlight w:val="none"/>
          <w:lang w:eastAsia="zh-CN"/>
          <w14:textFill>
            <w14:solidFill>
              <w14:schemeClr w14:val="tx1"/>
            </w14:solidFill>
          </w14:textFill>
        </w:rPr>
        <w:t>1</w:t>
      </w:r>
      <w:r>
        <w:rPr>
          <w:rFonts w:hint="eastAsia" w:ascii="仿宋" w:hAnsi="仿宋" w:eastAsia="仿宋"/>
          <w:color w:val="000000" w:themeColor="text1"/>
          <w:sz w:val="24"/>
          <w:szCs w:val="28"/>
          <w:highlight w:val="none"/>
          <w:lang w:val="en-US" w:eastAsia="zh-CN"/>
          <w14:textFill>
            <w14:solidFill>
              <w14:schemeClr w14:val="tx1"/>
            </w14:solidFill>
          </w14:textFill>
        </w:rPr>
        <w:t>7</w:t>
      </w:r>
      <w:r>
        <w:rPr>
          <w:rFonts w:hint="eastAsia" w:ascii="仿宋" w:hAnsi="仿宋" w:eastAsia="仿宋"/>
          <w:color w:val="000000" w:themeColor="text1"/>
          <w:sz w:val="24"/>
          <w:szCs w:val="28"/>
          <w:highlight w:val="none"/>
          <w:lang w:eastAsia="zh-CN"/>
          <w14:textFill>
            <w14:solidFill>
              <w14:schemeClr w14:val="tx1"/>
            </w14:solidFill>
          </w14:textFill>
        </w:rPr>
        <w:t>00000</w:t>
      </w:r>
    </w:p>
    <w:p w14:paraId="16FBBED8">
      <w:pPr>
        <w:spacing w:line="360" w:lineRule="auto"/>
        <w:ind w:firstLine="480"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主要内容：</w:t>
      </w:r>
      <w:r>
        <w:rPr>
          <w:rFonts w:hint="eastAsia" w:ascii="仿宋" w:hAnsi="仿宋" w:eastAsia="仿宋"/>
          <w:color w:val="000000" w:themeColor="text1"/>
          <w:sz w:val="24"/>
          <w:szCs w:val="28"/>
          <w:highlight w:val="none"/>
          <w:u w:val="single"/>
          <w14:textFill>
            <w14:solidFill>
              <w14:schemeClr w14:val="tx1"/>
            </w14:solidFill>
          </w14:textFill>
        </w:rPr>
        <w:t>本项目为</w:t>
      </w:r>
      <w:r>
        <w:rPr>
          <w:rFonts w:hint="eastAsia" w:ascii="仿宋" w:hAnsi="仿宋" w:eastAsia="仿宋"/>
          <w:color w:val="000000" w:themeColor="text1"/>
          <w:sz w:val="24"/>
          <w:szCs w:val="28"/>
          <w:highlight w:val="none"/>
          <w:u w:val="single"/>
          <w:lang w:eastAsia="zh-CN"/>
          <w14:textFill>
            <w14:solidFill>
              <w14:schemeClr w14:val="tx1"/>
            </w14:solidFill>
          </w14:textFill>
        </w:rPr>
        <w:t>杨汛桥街道机关、派出所食堂服务外包项目</w:t>
      </w:r>
      <w:r>
        <w:rPr>
          <w:rFonts w:hint="eastAsia" w:ascii="仿宋" w:hAnsi="仿宋" w:eastAsia="仿宋" w:cs="仿宋"/>
          <w:bCs/>
          <w:color w:val="000000" w:themeColor="text1"/>
          <w:sz w:val="24"/>
          <w:highlight w:val="none"/>
          <w:u w:val="single"/>
          <w14:textFill>
            <w14:solidFill>
              <w14:schemeClr w14:val="tx1"/>
            </w14:solidFill>
          </w14:textFill>
        </w:rPr>
        <w:t>。</w:t>
      </w:r>
      <w:r>
        <w:rPr>
          <w:rFonts w:hint="eastAsia" w:ascii="仿宋" w:hAnsi="仿宋" w:eastAsia="仿宋" w:cs="仿宋"/>
          <w:b/>
          <w:color w:val="000000" w:themeColor="text1"/>
          <w:sz w:val="24"/>
          <w:highlight w:val="none"/>
          <w:u w:val="single"/>
          <w14:textFill>
            <w14:solidFill>
              <w14:schemeClr w14:val="tx1"/>
            </w14:solidFill>
          </w14:textFill>
        </w:rPr>
        <w:t>详见招标文件。</w:t>
      </w:r>
    </w:p>
    <w:p w14:paraId="5D7124E1">
      <w:pPr>
        <w:spacing w:line="360" w:lineRule="auto"/>
        <w:ind w:firstLine="482"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合同履行期限</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olor w:val="000000" w:themeColor="text1"/>
          <w:sz w:val="24"/>
          <w:szCs w:val="28"/>
          <w:highlight w:val="none"/>
          <w14:textFill>
            <w14:solidFill>
              <w14:schemeClr w14:val="tx1"/>
            </w14:solidFill>
          </w14:textFill>
        </w:rPr>
        <w:t>详见招标文件</w:t>
      </w:r>
    </w:p>
    <w:p w14:paraId="0C1C55FF">
      <w:pPr>
        <w:spacing w:line="360" w:lineRule="auto"/>
        <w:ind w:firstLine="482" w:firstLineChars="200"/>
        <w:rPr>
          <w:rFonts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本项目接受联合体投标：☐是，☑否。</w:t>
      </w:r>
    </w:p>
    <w:p w14:paraId="09DA5A78">
      <w:pPr>
        <w:spacing w:line="360" w:lineRule="auto"/>
        <w:ind w:firstLine="480" w:firstLineChars="200"/>
        <w:rPr>
          <w:rFonts w:ascii="黑体" w:hAnsi="黑体" w:eastAsia="黑体" w:cs="黑体"/>
          <w:bCs/>
          <w:color w:val="000000" w:themeColor="text1"/>
          <w:sz w:val="24"/>
          <w:highlight w:val="none"/>
          <w14:textFill>
            <w14:solidFill>
              <w14:schemeClr w14:val="tx1"/>
            </w14:solidFill>
          </w14:textFill>
        </w:rPr>
      </w:pPr>
      <w:r>
        <w:rPr>
          <w:rFonts w:hint="eastAsia" w:ascii="黑体" w:hAnsi="黑体" w:eastAsia="黑体" w:cs="黑体"/>
          <w:bCs/>
          <w:color w:val="000000" w:themeColor="text1"/>
          <w:sz w:val="24"/>
          <w:highlight w:val="none"/>
          <w14:textFill>
            <w14:solidFill>
              <w14:schemeClr w14:val="tx1"/>
            </w14:solidFill>
          </w14:textFill>
        </w:rPr>
        <w:t>二、申请人的资格要求</w:t>
      </w:r>
    </w:p>
    <w:p w14:paraId="4DABEE55">
      <w:pPr>
        <w:spacing w:line="360" w:lineRule="auto"/>
        <w:ind w:firstLine="480" w:firstLineChars="200"/>
        <w:rPr>
          <w:rFonts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1. 满足《中华人民共和国政府采购法》第二十二条规定；未被“信用中国”（www.creditchina.gov.cn）、中国政府采购网（www.ccgp.gov.cn）列入失信被执行人、重大税收违法失信主体、政府采购严重违法失信行为记录名单；</w:t>
      </w:r>
    </w:p>
    <w:p w14:paraId="1C02D144">
      <w:pPr>
        <w:spacing w:line="360" w:lineRule="auto"/>
        <w:ind w:firstLine="480" w:firstLineChars="200"/>
        <w:rPr>
          <w:rFonts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2.以联合体形式投标的，提供联合协议（本项目不接受联合体投标或者投标人不以联合体形式投标的，则不需要提供） ；</w:t>
      </w:r>
    </w:p>
    <w:p w14:paraId="566BF0AF">
      <w:pPr>
        <w:spacing w:line="360" w:lineRule="auto"/>
        <w:ind w:firstLine="480" w:firstLineChars="200"/>
        <w:rPr>
          <w:rFonts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3.落实政府采购政策需满足的资格要求：</w:t>
      </w:r>
    </w:p>
    <w:p w14:paraId="05B7E49F">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无</w:t>
      </w:r>
      <w:r>
        <w:rPr>
          <w:rFonts w:hint="eastAsia" w:ascii="仿宋" w:hAnsi="仿宋" w:eastAsia="仿宋" w:cs="仿宋"/>
          <w:snapToGrid w:val="0"/>
          <w:color w:val="000000" w:themeColor="text1"/>
          <w:kern w:val="28"/>
          <w:sz w:val="24"/>
          <w:szCs w:val="20"/>
          <w:highlight w:val="none"/>
          <w14:textFill>
            <w14:solidFill>
              <w14:schemeClr w14:val="tx1"/>
            </w14:solidFill>
          </w14:textFill>
        </w:rPr>
        <w:t>（注：不得限制大中型企业与小微企业组成联合体参与投标）；</w:t>
      </w:r>
    </w:p>
    <w:p w14:paraId="6D392F8F">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☑专</w:t>
      </w:r>
      <w:r>
        <w:rPr>
          <w:rFonts w:hint="eastAsia" w:ascii="仿宋" w:hAnsi="仿宋" w:eastAsia="仿宋" w:cs="仿宋"/>
          <w:color w:val="000000" w:themeColor="text1"/>
          <w:sz w:val="24"/>
          <w:highlight w:val="none"/>
          <w14:textFill>
            <w14:solidFill>
              <w14:schemeClr w14:val="tx1"/>
            </w14:solidFill>
          </w14:textFill>
        </w:rPr>
        <w:t>门面向中小企业</w:t>
      </w:r>
    </w:p>
    <w:p w14:paraId="05DE09B3">
      <w:pPr>
        <w:spacing w:line="360" w:lineRule="auto"/>
        <w:ind w:firstLine="960" w:firstLineChars="4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☑服务全部由符合政策要求的中小企业承接，提供中小企业声明函；</w:t>
      </w:r>
    </w:p>
    <w:p w14:paraId="2C6D324E">
      <w:pPr>
        <w:spacing w:line="360" w:lineRule="auto"/>
        <w:ind w:firstLine="960" w:firstLineChars="4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服务全部由符合政策要求的小微企业承接，提供中小企业声明函；</w:t>
      </w:r>
    </w:p>
    <w:p w14:paraId="050616CA">
      <w:pPr>
        <w:spacing w:line="360" w:lineRule="auto"/>
        <w:ind w:firstLine="960" w:firstLineChars="4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要求以联合体形式参加，提供联合协议和中小企业声明函，联合协议中中小企业合同金额应当达到%，其中小微企业合同金额应当达到%；</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highlight w:val="none"/>
          <w14:textFill>
            <w14:solidFill>
              <w14:schemeClr w14:val="tx1"/>
            </w14:solidFill>
          </w14:textFill>
        </w:rPr>
        <w:t>；</w:t>
      </w:r>
    </w:p>
    <w:p w14:paraId="28C8BD15">
      <w:pPr>
        <w:spacing w:line="360" w:lineRule="auto"/>
        <w:ind w:firstLine="960" w:firstLineChars="4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要求合同分包，提供分包意向协议和中小企业声明函，分包意向协议中中小企业合同金额应当达到% ，其中小微企业合同金额应当达到% ；</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highlight w:val="none"/>
          <w14:textFill>
            <w14:solidFill>
              <w14:schemeClr w14:val="tx1"/>
            </w14:solidFill>
          </w14:textFill>
        </w:rPr>
        <w:t>；</w:t>
      </w:r>
    </w:p>
    <w:p w14:paraId="35F3157B">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4.本项目的特定资格要求：无；</w:t>
      </w:r>
    </w:p>
    <w:p w14:paraId="66C26221">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F0F7837">
      <w:pPr>
        <w:spacing w:line="360" w:lineRule="auto"/>
        <w:ind w:firstLine="480" w:firstLineChars="200"/>
        <w:rPr>
          <w:rFonts w:ascii="黑体" w:hAnsi="黑体" w:eastAsia="黑体" w:cs="黑体"/>
          <w:bCs/>
          <w:color w:val="000000" w:themeColor="text1"/>
          <w:sz w:val="24"/>
          <w:highlight w:val="none"/>
          <w14:textFill>
            <w14:solidFill>
              <w14:schemeClr w14:val="tx1"/>
            </w14:solidFill>
          </w14:textFill>
        </w:rPr>
      </w:pPr>
      <w:r>
        <w:rPr>
          <w:rFonts w:hint="eastAsia" w:ascii="黑体" w:hAnsi="黑体" w:eastAsia="黑体" w:cs="黑体"/>
          <w:bCs/>
          <w:color w:val="000000" w:themeColor="text1"/>
          <w:sz w:val="24"/>
          <w:highlight w:val="none"/>
          <w14:textFill>
            <w14:solidFill>
              <w14:schemeClr w14:val="tx1"/>
            </w14:solidFill>
          </w14:textFill>
        </w:rPr>
        <w:t xml:space="preserve">三、获取招标文件 </w:t>
      </w:r>
    </w:p>
    <w:p w14:paraId="4E6CC2C0">
      <w:pPr>
        <w:spacing w:line="360" w:lineRule="auto"/>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14:textFill>
            <w14:solidFill>
              <w14:schemeClr w14:val="tx1"/>
            </w14:solidFill>
          </w14:textFill>
        </w:rPr>
        <w:t>/至</w:t>
      </w:r>
      <w:r>
        <w:rPr>
          <w:rStyle w:val="76"/>
          <w:rFonts w:hint="eastAsia" w:ascii="仿宋" w:hAnsi="仿宋" w:eastAsia="仿宋" w:cs="仿宋"/>
          <w:snapToGrid/>
          <w:color w:val="000000" w:themeColor="text1"/>
          <w:kern w:val="2"/>
          <w:sz w:val="24"/>
          <w:szCs w:val="24"/>
          <w:highlight w:val="none"/>
          <w:u w:val="single"/>
          <w14:textFill>
            <w14:solidFill>
              <w14:schemeClr w14:val="tx1"/>
            </w14:solidFill>
          </w14:textFill>
        </w:rPr>
        <w:t>2025年</w:t>
      </w:r>
      <w:r>
        <w:rPr>
          <w:rStyle w:val="76"/>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07</w:t>
      </w:r>
      <w:r>
        <w:rPr>
          <w:rStyle w:val="76"/>
          <w:rFonts w:hint="eastAsia" w:ascii="仿宋" w:hAnsi="仿宋" w:eastAsia="仿宋" w:cs="仿宋"/>
          <w:snapToGrid/>
          <w:color w:val="000000" w:themeColor="text1"/>
          <w:kern w:val="2"/>
          <w:sz w:val="24"/>
          <w:szCs w:val="24"/>
          <w:highlight w:val="none"/>
          <w:u w:val="single"/>
          <w14:textFill>
            <w14:solidFill>
              <w14:schemeClr w14:val="tx1"/>
            </w14:solidFill>
          </w14:textFill>
        </w:rPr>
        <w:t>月</w:t>
      </w:r>
      <w:r>
        <w:rPr>
          <w:rStyle w:val="76"/>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31</w:t>
      </w:r>
      <w:r>
        <w:rPr>
          <w:rStyle w:val="76"/>
          <w:rFonts w:hint="eastAsia" w:ascii="仿宋" w:hAnsi="仿宋" w:eastAsia="仿宋" w:cs="仿宋"/>
          <w:snapToGrid/>
          <w:color w:val="000000" w:themeColor="text1"/>
          <w:kern w:val="2"/>
          <w:sz w:val="24"/>
          <w:szCs w:val="24"/>
          <w:highlight w:val="none"/>
          <w:u w:val="single"/>
          <w14:textFill>
            <w14:solidFill>
              <w14:schemeClr w14:val="tx1"/>
            </w14:solidFill>
          </w14:textFill>
        </w:rPr>
        <w:t>日</w:t>
      </w:r>
      <w:r>
        <w:rPr>
          <w:rFonts w:hint="eastAsia" w:ascii="仿宋" w:hAnsi="仿宋" w:eastAsia="仿宋" w:cs="仿宋"/>
          <w:color w:val="000000" w:themeColor="text1"/>
          <w:sz w:val="24"/>
          <w:highlight w:val="none"/>
          <w14:textFill>
            <w14:solidFill>
              <w14:schemeClr w14:val="tx1"/>
            </w14:solidFill>
          </w14:textFill>
        </w:rPr>
        <w:t>，每天上午00:00至12:00 ，下午12:00至23:59（北京时间，线上获取法定节假日均可，线下获取文件法定节假日除外）</w:t>
      </w:r>
    </w:p>
    <w:p w14:paraId="3191BA54">
      <w:pPr>
        <w:spacing w:line="360" w:lineRule="auto"/>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14:paraId="4FD0E141">
      <w:pPr>
        <w:spacing w:line="360" w:lineRule="auto"/>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方式：</w:t>
      </w:r>
      <w:r>
        <w:rPr>
          <w:rFonts w:hint="eastAsia" w:ascii="仿宋" w:hAnsi="仿宋" w:eastAsia="仿宋" w:cs="仿宋"/>
          <w:color w:val="000000" w:themeColor="text1"/>
          <w:sz w:val="24"/>
          <w:highlight w:val="none"/>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0B69302A">
      <w:pPr>
        <w:spacing w:line="360" w:lineRule="auto"/>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售价（元）：</w:t>
      </w:r>
      <w:r>
        <w:rPr>
          <w:rFonts w:hint="eastAsia" w:ascii="仿宋" w:hAnsi="仿宋" w:eastAsia="仿宋" w:cs="仿宋"/>
          <w:color w:val="000000" w:themeColor="text1"/>
          <w:sz w:val="24"/>
          <w:highlight w:val="none"/>
          <w14:textFill>
            <w14:solidFill>
              <w14:schemeClr w14:val="tx1"/>
            </w14:solidFill>
          </w14:textFill>
        </w:rPr>
        <w:t xml:space="preserve">0 </w:t>
      </w:r>
      <w:r>
        <w:rPr>
          <w:rFonts w:hint="eastAsia" w:ascii="仿宋" w:hAnsi="仿宋" w:eastAsia="仿宋" w:cs="仿宋"/>
          <w:color w:val="000000" w:themeColor="text1"/>
          <w:sz w:val="24"/>
          <w:highlight w:val="none"/>
          <w14:textFill>
            <w14:solidFill>
              <w14:schemeClr w14:val="tx1"/>
            </w14:solidFill>
          </w14:textFill>
        </w:rPr>
        <w:tab/>
      </w:r>
    </w:p>
    <w:p w14:paraId="0B5AD6D1">
      <w:pPr>
        <w:spacing w:line="360" w:lineRule="auto"/>
        <w:ind w:firstLine="480" w:firstLineChars="200"/>
        <w:rPr>
          <w:rFonts w:ascii="黑体" w:hAnsi="黑体" w:eastAsia="黑体" w:cs="黑体"/>
          <w:bCs/>
          <w:color w:val="000000" w:themeColor="text1"/>
          <w:sz w:val="24"/>
          <w:highlight w:val="none"/>
          <w14:textFill>
            <w14:solidFill>
              <w14:schemeClr w14:val="tx1"/>
            </w14:solidFill>
          </w14:textFill>
        </w:rPr>
      </w:pPr>
      <w:r>
        <w:rPr>
          <w:rFonts w:hint="eastAsia" w:ascii="黑体" w:hAnsi="黑体" w:eastAsia="黑体" w:cs="黑体"/>
          <w:bCs/>
          <w:color w:val="000000" w:themeColor="text1"/>
          <w:sz w:val="24"/>
          <w:highlight w:val="none"/>
          <w14:textFill>
            <w14:solidFill>
              <w14:schemeClr w14:val="tx1"/>
            </w14:solidFill>
          </w14:textFill>
        </w:rPr>
        <w:t>四、提交投标文件截止时间、开标时间和地点</w:t>
      </w:r>
    </w:p>
    <w:p w14:paraId="56BA5A47">
      <w:pPr>
        <w:spacing w:line="360" w:lineRule="auto"/>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提交投标文件截止时间：</w:t>
      </w:r>
      <w:r>
        <w:rPr>
          <w:rStyle w:val="76"/>
          <w:rFonts w:hint="eastAsia" w:ascii="仿宋" w:hAnsi="仿宋" w:eastAsia="仿宋" w:cs="仿宋"/>
          <w:snapToGrid/>
          <w:color w:val="000000" w:themeColor="text1"/>
          <w:kern w:val="2"/>
          <w:sz w:val="24"/>
          <w:szCs w:val="24"/>
          <w:highlight w:val="none"/>
          <w:u w:val="single"/>
          <w14:textFill>
            <w14:solidFill>
              <w14:schemeClr w14:val="tx1"/>
            </w14:solidFill>
          </w14:textFill>
        </w:rPr>
        <w:t>2025年</w:t>
      </w:r>
      <w:r>
        <w:rPr>
          <w:rStyle w:val="76"/>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07</w:t>
      </w:r>
      <w:r>
        <w:rPr>
          <w:rStyle w:val="76"/>
          <w:rFonts w:hint="eastAsia" w:ascii="仿宋" w:hAnsi="仿宋" w:eastAsia="仿宋" w:cs="仿宋"/>
          <w:snapToGrid/>
          <w:color w:val="000000" w:themeColor="text1"/>
          <w:kern w:val="2"/>
          <w:sz w:val="24"/>
          <w:szCs w:val="24"/>
          <w:highlight w:val="none"/>
          <w:u w:val="single"/>
          <w14:textFill>
            <w14:solidFill>
              <w14:schemeClr w14:val="tx1"/>
            </w14:solidFill>
          </w14:textFill>
        </w:rPr>
        <w:t>月</w:t>
      </w:r>
      <w:r>
        <w:rPr>
          <w:rStyle w:val="76"/>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31</w:t>
      </w:r>
      <w:r>
        <w:rPr>
          <w:rStyle w:val="76"/>
          <w:rFonts w:hint="eastAsia" w:ascii="仿宋" w:hAnsi="仿宋" w:eastAsia="仿宋" w:cs="仿宋"/>
          <w:snapToGrid/>
          <w:color w:val="000000" w:themeColor="text1"/>
          <w:kern w:val="2"/>
          <w:sz w:val="24"/>
          <w:szCs w:val="24"/>
          <w:highlight w:val="none"/>
          <w:u w:val="single"/>
          <w14:textFill>
            <w14:solidFill>
              <w14:schemeClr w14:val="tx1"/>
            </w14:solidFill>
          </w14:textFill>
        </w:rPr>
        <w:t>日</w:t>
      </w:r>
      <w:r>
        <w:rPr>
          <w:rStyle w:val="76"/>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09</w:t>
      </w:r>
      <w:r>
        <w:rPr>
          <w:rStyle w:val="76"/>
          <w:rFonts w:hint="eastAsia" w:ascii="仿宋" w:hAnsi="仿宋" w:eastAsia="仿宋" w:cs="仿宋"/>
          <w:snapToGrid/>
          <w:color w:val="000000" w:themeColor="text1"/>
          <w:kern w:val="2"/>
          <w:sz w:val="24"/>
          <w:szCs w:val="24"/>
          <w:highlight w:val="none"/>
          <w:u w:val="single"/>
          <w14:textFill>
            <w14:solidFill>
              <w14:schemeClr w14:val="tx1"/>
            </w14:solidFill>
          </w14:textFill>
        </w:rPr>
        <w:t>点30分</w:t>
      </w:r>
      <w:r>
        <w:rPr>
          <w:rFonts w:hint="eastAsia" w:ascii="仿宋" w:hAnsi="仿宋" w:eastAsia="仿宋" w:cs="仿宋"/>
          <w:color w:val="000000" w:themeColor="text1"/>
          <w:sz w:val="24"/>
          <w:highlight w:val="none"/>
          <w:u w:val="single"/>
          <w14:textFill>
            <w14:solidFill>
              <w14:schemeClr w14:val="tx1"/>
            </w14:solidFill>
          </w14:textFill>
        </w:rPr>
        <w:t>00秒</w:t>
      </w:r>
      <w:r>
        <w:rPr>
          <w:rFonts w:hint="eastAsia" w:ascii="仿宋" w:hAnsi="仿宋" w:eastAsia="仿宋" w:cs="仿宋"/>
          <w:color w:val="000000" w:themeColor="text1"/>
          <w:sz w:val="24"/>
          <w:highlight w:val="none"/>
          <w14:textFill>
            <w14:solidFill>
              <w14:schemeClr w14:val="tx1"/>
            </w14:solidFill>
          </w14:textFill>
        </w:rPr>
        <w:t>（北京时间）</w:t>
      </w:r>
    </w:p>
    <w:p w14:paraId="647BC93E">
      <w:pPr>
        <w:spacing w:line="360" w:lineRule="auto"/>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14:paraId="6571C45A">
      <w:pPr>
        <w:spacing w:line="360" w:lineRule="auto"/>
        <w:ind w:firstLine="482" w:firstLineChars="200"/>
        <w:rPr>
          <w:rFonts w:ascii="仿宋" w:hAnsi="仿宋" w:eastAsia="仿宋" w:cs="仿宋"/>
          <w:bCs/>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开标时间：</w:t>
      </w:r>
      <w:r>
        <w:rPr>
          <w:rStyle w:val="76"/>
          <w:rFonts w:hint="eastAsia" w:ascii="仿宋" w:hAnsi="仿宋" w:eastAsia="仿宋" w:cs="仿宋"/>
          <w:snapToGrid/>
          <w:color w:val="000000" w:themeColor="text1"/>
          <w:kern w:val="2"/>
          <w:sz w:val="24"/>
          <w:szCs w:val="24"/>
          <w:highlight w:val="none"/>
          <w:u w:val="single"/>
          <w14:textFill>
            <w14:solidFill>
              <w14:schemeClr w14:val="tx1"/>
            </w14:solidFill>
          </w14:textFill>
        </w:rPr>
        <w:t>2025年</w:t>
      </w:r>
      <w:r>
        <w:rPr>
          <w:rStyle w:val="76"/>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07</w:t>
      </w:r>
      <w:r>
        <w:rPr>
          <w:rStyle w:val="76"/>
          <w:rFonts w:hint="eastAsia" w:ascii="仿宋" w:hAnsi="仿宋" w:eastAsia="仿宋" w:cs="仿宋"/>
          <w:snapToGrid/>
          <w:color w:val="000000" w:themeColor="text1"/>
          <w:kern w:val="2"/>
          <w:sz w:val="24"/>
          <w:szCs w:val="24"/>
          <w:highlight w:val="none"/>
          <w:u w:val="single"/>
          <w14:textFill>
            <w14:solidFill>
              <w14:schemeClr w14:val="tx1"/>
            </w14:solidFill>
          </w14:textFill>
        </w:rPr>
        <w:t>月</w:t>
      </w:r>
      <w:r>
        <w:rPr>
          <w:rStyle w:val="76"/>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31</w:t>
      </w:r>
      <w:bookmarkStart w:id="178" w:name="_GoBack"/>
      <w:bookmarkEnd w:id="178"/>
      <w:r>
        <w:rPr>
          <w:rStyle w:val="76"/>
          <w:rFonts w:hint="eastAsia" w:ascii="仿宋" w:hAnsi="仿宋" w:eastAsia="仿宋" w:cs="仿宋"/>
          <w:snapToGrid/>
          <w:color w:val="000000" w:themeColor="text1"/>
          <w:kern w:val="2"/>
          <w:sz w:val="24"/>
          <w:szCs w:val="24"/>
          <w:highlight w:val="none"/>
          <w:u w:val="single"/>
          <w14:textFill>
            <w14:solidFill>
              <w14:schemeClr w14:val="tx1"/>
            </w14:solidFill>
          </w14:textFill>
        </w:rPr>
        <w:t>日</w:t>
      </w:r>
      <w:r>
        <w:rPr>
          <w:rStyle w:val="76"/>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09</w:t>
      </w:r>
      <w:r>
        <w:rPr>
          <w:rStyle w:val="76"/>
          <w:rFonts w:hint="eastAsia" w:ascii="仿宋" w:hAnsi="仿宋" w:eastAsia="仿宋" w:cs="仿宋"/>
          <w:snapToGrid/>
          <w:color w:val="000000" w:themeColor="text1"/>
          <w:kern w:val="2"/>
          <w:sz w:val="24"/>
          <w:szCs w:val="24"/>
          <w:highlight w:val="none"/>
          <w:u w:val="single"/>
          <w14:textFill>
            <w14:solidFill>
              <w14:schemeClr w14:val="tx1"/>
            </w14:solidFill>
          </w14:textFill>
        </w:rPr>
        <w:t>点30分</w:t>
      </w:r>
      <w:r>
        <w:rPr>
          <w:rFonts w:hint="eastAsia" w:ascii="仿宋" w:hAnsi="仿宋" w:eastAsia="仿宋" w:cs="仿宋"/>
          <w:color w:val="000000" w:themeColor="text1"/>
          <w:sz w:val="24"/>
          <w:highlight w:val="none"/>
          <w:u w:val="single"/>
          <w14:textFill>
            <w14:solidFill>
              <w14:schemeClr w14:val="tx1"/>
            </w14:solidFill>
          </w14:textFill>
        </w:rPr>
        <w:t>00秒</w:t>
      </w:r>
    </w:p>
    <w:p w14:paraId="412BA8D4">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olor w:val="000000" w:themeColor="text1"/>
          <w:sz w:val="24"/>
          <w:szCs w:val="28"/>
          <w:highlight w:val="none"/>
          <w14:textFill>
            <w14:solidFill>
              <w14:schemeClr w14:val="tx1"/>
            </w14:solidFill>
          </w14:textFill>
        </w:rPr>
        <w:t>开标地点（网址）：</w:t>
      </w:r>
      <w:r>
        <w:rPr>
          <w:rFonts w:hint="eastAsia" w:ascii="仿宋" w:hAnsi="仿宋" w:eastAsia="仿宋"/>
          <w:strike w:val="0"/>
          <w:dstrike w:val="0"/>
          <w:color w:val="auto"/>
          <w:sz w:val="24"/>
          <w:szCs w:val="28"/>
          <w:highlight w:val="none"/>
        </w:rPr>
        <w:t>柯桥区杨汛桥街道文化活动中心二楼开标室（杨汛桥街道办事处隔壁）</w:t>
      </w:r>
      <w:r>
        <w:rPr>
          <w:rFonts w:hint="eastAsia" w:ascii="仿宋" w:hAnsi="仿宋" w:eastAsia="仿宋"/>
          <w:color w:val="000000" w:themeColor="text1"/>
          <w:sz w:val="24"/>
          <w:szCs w:val="28"/>
          <w:highlight w:val="none"/>
          <w14:textFill>
            <w14:solidFill>
              <w14:schemeClr w14:val="tx1"/>
            </w14:solidFill>
          </w14:textFill>
        </w:rPr>
        <w:t>通过政府采购云平台（https://www.zcygov.cn）在线开标</w:t>
      </w:r>
    </w:p>
    <w:p w14:paraId="61619900">
      <w:pPr>
        <w:spacing w:line="360" w:lineRule="auto"/>
        <w:ind w:firstLine="480" w:firstLineChars="200"/>
        <w:rPr>
          <w:rFonts w:ascii="黑体" w:hAnsi="黑体" w:eastAsia="黑体" w:cs="黑体"/>
          <w:bCs/>
          <w:color w:val="000000" w:themeColor="text1"/>
          <w:sz w:val="24"/>
          <w:highlight w:val="none"/>
          <w14:textFill>
            <w14:solidFill>
              <w14:schemeClr w14:val="tx1"/>
            </w14:solidFill>
          </w14:textFill>
        </w:rPr>
      </w:pPr>
      <w:r>
        <w:rPr>
          <w:rFonts w:hint="eastAsia" w:ascii="黑体" w:hAnsi="黑体" w:eastAsia="黑体" w:cs="黑体"/>
          <w:bCs/>
          <w:color w:val="000000" w:themeColor="text1"/>
          <w:sz w:val="24"/>
          <w:highlight w:val="none"/>
          <w14:textFill>
            <w14:solidFill>
              <w14:schemeClr w14:val="tx1"/>
            </w14:solidFill>
          </w14:textFill>
        </w:rPr>
        <w:t xml:space="preserve">五、公告期限 </w:t>
      </w:r>
    </w:p>
    <w:p w14:paraId="62517563">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自本公告发布之日起5个工作日。</w:t>
      </w:r>
    </w:p>
    <w:p w14:paraId="63E7CC57">
      <w:pPr>
        <w:spacing w:line="360" w:lineRule="auto"/>
        <w:ind w:firstLine="480" w:firstLineChars="200"/>
        <w:rPr>
          <w:rFonts w:ascii="黑体" w:hAnsi="黑体" w:eastAsia="黑体" w:cs="黑体"/>
          <w:bCs/>
          <w:color w:val="000000" w:themeColor="text1"/>
          <w:sz w:val="24"/>
          <w:highlight w:val="none"/>
          <w14:textFill>
            <w14:solidFill>
              <w14:schemeClr w14:val="tx1"/>
            </w14:solidFill>
          </w14:textFill>
        </w:rPr>
      </w:pPr>
      <w:r>
        <w:rPr>
          <w:rFonts w:hint="eastAsia" w:ascii="黑体" w:hAnsi="黑体" w:eastAsia="黑体" w:cs="黑体"/>
          <w:bCs/>
          <w:color w:val="000000" w:themeColor="text1"/>
          <w:sz w:val="24"/>
          <w:highlight w:val="none"/>
          <w14:textFill>
            <w14:solidFill>
              <w14:schemeClr w14:val="tx1"/>
            </w14:solidFill>
          </w14:textFill>
        </w:rPr>
        <w:t>六、其他补充事宜</w:t>
      </w:r>
    </w:p>
    <w:p w14:paraId="77D26B50">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（浙财采监〔2022〕8号）已分别于2022年1月29日、2022年2月1日和2022年7月1日开始实施，此前有关规定与上述文件内容不一致的，按上述文件要求执行（政策落实根据财政部门要求更新）。</w:t>
      </w:r>
    </w:p>
    <w:p w14:paraId="517835C9">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6B154801">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48F9835">
      <w:pPr>
        <w:spacing w:line="360" w:lineRule="auto"/>
        <w:ind w:firstLine="480" w:firstLineChars="200"/>
        <w:rPr>
          <w:rFonts w:ascii="黑体" w:hAnsi="黑体" w:eastAsia="黑体" w:cs="黑体"/>
          <w:bCs/>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1D88A4E3">
      <w:pPr>
        <w:spacing w:line="360" w:lineRule="auto"/>
        <w:ind w:firstLine="480" w:firstLineChars="200"/>
        <w:rPr>
          <w:rFonts w:ascii="黑体" w:hAnsi="黑体" w:eastAsia="黑体" w:cs="黑体"/>
          <w:bCs/>
          <w:color w:val="000000" w:themeColor="text1"/>
          <w:sz w:val="24"/>
          <w:highlight w:val="none"/>
          <w14:textFill>
            <w14:solidFill>
              <w14:schemeClr w14:val="tx1"/>
            </w14:solidFill>
          </w14:textFill>
        </w:rPr>
      </w:pPr>
      <w:r>
        <w:rPr>
          <w:rFonts w:hint="eastAsia" w:ascii="黑体" w:hAnsi="黑体" w:eastAsia="黑体" w:cs="黑体"/>
          <w:bCs/>
          <w:color w:val="000000" w:themeColor="text1"/>
          <w:sz w:val="24"/>
          <w:highlight w:val="none"/>
          <w14:textFill>
            <w14:solidFill>
              <w14:schemeClr w14:val="tx1"/>
            </w14:solidFill>
          </w14:textFill>
        </w:rPr>
        <w:t>七、对本次采购提出询问、质疑、投诉，请按以下方式联系</w:t>
      </w:r>
    </w:p>
    <w:p w14:paraId="20B50862">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strike w:val="0"/>
          <w:dstrike w:val="0"/>
          <w:color w:val="auto"/>
          <w:sz w:val="24"/>
          <w:szCs w:val="24"/>
          <w:highlight w:val="none"/>
        </w:rPr>
      </w:pPr>
      <w:bookmarkStart w:id="5" w:name="_Toc35393637"/>
      <w:bookmarkStart w:id="6" w:name="_Toc28359019"/>
      <w:bookmarkStart w:id="7" w:name="_Toc28359096"/>
      <w:bookmarkStart w:id="8" w:name="_Toc35393806"/>
      <w:bookmarkStart w:id="9" w:name="_Toc28359021"/>
      <w:bookmarkStart w:id="10" w:name="_Toc35393639"/>
      <w:bookmarkStart w:id="11" w:name="_Toc35393808"/>
      <w:bookmarkStart w:id="12" w:name="_Toc28359098"/>
      <w:r>
        <w:rPr>
          <w:rFonts w:hint="eastAsia" w:ascii="仿宋" w:hAnsi="仿宋" w:eastAsia="仿宋" w:cs="仿宋"/>
          <w:strike w:val="0"/>
          <w:dstrike w:val="0"/>
          <w:color w:val="auto"/>
          <w:sz w:val="24"/>
          <w:szCs w:val="24"/>
          <w:highlight w:val="none"/>
        </w:rPr>
        <w:t>1.采购人信息</w:t>
      </w:r>
      <w:bookmarkEnd w:id="5"/>
      <w:bookmarkEnd w:id="6"/>
      <w:bookmarkEnd w:id="7"/>
      <w:bookmarkEnd w:id="8"/>
      <w:r>
        <w:rPr>
          <w:rFonts w:hint="eastAsia" w:ascii="仿宋" w:hAnsi="仿宋" w:eastAsia="仿宋" w:cs="仿宋"/>
          <w:strike w:val="0"/>
          <w:dstrike w:val="0"/>
          <w:color w:val="auto"/>
          <w:sz w:val="24"/>
          <w:szCs w:val="24"/>
          <w:highlight w:val="none"/>
        </w:rPr>
        <w:t>：</w:t>
      </w:r>
    </w:p>
    <w:p w14:paraId="1BA100A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名 称：绍兴市柯桥区杨汛桥街道办事处</w:t>
      </w:r>
    </w:p>
    <w:p w14:paraId="480B421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地 址：柯桥区杨汛桥街道</w:t>
      </w:r>
    </w:p>
    <w:p w14:paraId="456A006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传 真：/</w:t>
      </w:r>
    </w:p>
    <w:p w14:paraId="3637A8F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trike w:val="0"/>
          <w:dstrike w:val="0"/>
          <w:color w:val="auto"/>
          <w:sz w:val="24"/>
          <w:highlight w:val="none"/>
          <w:lang w:val="en-US" w:eastAsia="zh-CN"/>
        </w:rPr>
      </w:pPr>
      <w:r>
        <w:rPr>
          <w:rFonts w:hint="eastAsia" w:ascii="仿宋" w:hAnsi="仿宋" w:eastAsia="仿宋" w:cs="仿宋"/>
          <w:strike w:val="0"/>
          <w:dstrike w:val="0"/>
          <w:color w:val="auto"/>
          <w:sz w:val="24"/>
          <w:highlight w:val="none"/>
        </w:rPr>
        <w:t>项目联系人（询问）：李</w:t>
      </w:r>
      <w:r>
        <w:rPr>
          <w:rFonts w:hint="eastAsia" w:ascii="仿宋" w:hAnsi="仿宋" w:eastAsia="仿宋" w:cs="仿宋"/>
          <w:strike w:val="0"/>
          <w:dstrike w:val="0"/>
          <w:color w:val="auto"/>
          <w:sz w:val="24"/>
          <w:highlight w:val="none"/>
          <w:lang w:val="en-US" w:eastAsia="zh-CN"/>
        </w:rPr>
        <w:t>先生</w:t>
      </w:r>
    </w:p>
    <w:p w14:paraId="51FB4C86">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strike w:val="0"/>
          <w:dstrike w:val="0"/>
          <w:color w:val="auto"/>
          <w:sz w:val="24"/>
          <w:highlight w:val="none"/>
          <w:lang w:val="en-US" w:eastAsia="zh-CN"/>
        </w:rPr>
      </w:pPr>
      <w:r>
        <w:rPr>
          <w:rFonts w:hint="eastAsia" w:ascii="仿宋" w:hAnsi="仿宋" w:eastAsia="仿宋" w:cs="仿宋"/>
          <w:strike w:val="0"/>
          <w:dstrike w:val="0"/>
          <w:color w:val="auto"/>
          <w:sz w:val="24"/>
          <w:highlight w:val="none"/>
        </w:rPr>
        <w:t>项目联系方式（询问）：0575-85516688</w:t>
      </w:r>
    </w:p>
    <w:p w14:paraId="1E57EE0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质疑联系人：傅雅利</w:t>
      </w:r>
    </w:p>
    <w:p w14:paraId="47CC2E7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质疑联系方式：0575-84575866</w:t>
      </w:r>
    </w:p>
    <w:p w14:paraId="638CD327">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strike w:val="0"/>
          <w:dstrike w:val="0"/>
          <w:color w:val="auto"/>
          <w:sz w:val="24"/>
          <w:highlight w:val="none"/>
        </w:rPr>
      </w:pPr>
      <w:bookmarkStart w:id="13" w:name="_Toc35393638"/>
      <w:bookmarkStart w:id="14" w:name="_Toc28359097"/>
      <w:bookmarkStart w:id="15" w:name="_Toc28359020"/>
      <w:bookmarkStart w:id="16" w:name="_Toc35393807"/>
      <w:r>
        <w:rPr>
          <w:rFonts w:hint="eastAsia" w:ascii="仿宋" w:hAnsi="仿宋" w:eastAsia="仿宋" w:cs="仿宋"/>
          <w:strike w:val="0"/>
          <w:dstrike w:val="0"/>
          <w:color w:val="auto"/>
          <w:sz w:val="24"/>
          <w:szCs w:val="24"/>
          <w:highlight w:val="none"/>
        </w:rPr>
        <w:t>2.采购代理机构信息</w:t>
      </w:r>
      <w:bookmarkEnd w:id="13"/>
      <w:bookmarkEnd w:id="14"/>
      <w:bookmarkEnd w:id="15"/>
      <w:bookmarkEnd w:id="16"/>
      <w:r>
        <w:rPr>
          <w:rFonts w:hint="eastAsia" w:ascii="仿宋" w:hAnsi="仿宋" w:eastAsia="仿宋" w:cs="仿宋"/>
          <w:strike w:val="0"/>
          <w:dstrike w:val="0"/>
          <w:color w:val="auto"/>
          <w:sz w:val="24"/>
          <w:szCs w:val="24"/>
          <w:highlight w:val="none"/>
        </w:rPr>
        <w:t>：</w:t>
      </w:r>
    </w:p>
    <w:p w14:paraId="51821AC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名称：浙江景成工程管理有限公司</w:t>
      </w:r>
    </w:p>
    <w:p w14:paraId="37C9941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 地址：柯桥区外贸大厦10楼D座</w:t>
      </w:r>
    </w:p>
    <w:p w14:paraId="13DE52A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 传真：0575-85288099</w:t>
      </w:r>
    </w:p>
    <w:p w14:paraId="298CFD8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 项目联系人（询问）：何丹娜</w:t>
      </w:r>
    </w:p>
    <w:p w14:paraId="73572F7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项目联系方式（询问）：15968507340</w:t>
      </w:r>
    </w:p>
    <w:p w14:paraId="425096C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质疑联系人：姚东</w:t>
      </w:r>
    </w:p>
    <w:p w14:paraId="7A9AD194">
      <w:pPr>
        <w:widowControl/>
        <w:spacing w:line="360" w:lineRule="auto"/>
        <w:ind w:firstLine="480" w:firstLineChars="200"/>
        <w:jc w:val="left"/>
        <w:rPr>
          <w:rFonts w:ascii="仿宋" w:hAnsi="仿宋" w:eastAsia="仿宋" w:cs="宋体"/>
          <w:color w:val="000000" w:themeColor="text1"/>
          <w:sz w:val="24"/>
          <w:szCs w:val="28"/>
          <w:highlight w:val="none"/>
          <w14:textFill>
            <w14:solidFill>
              <w14:schemeClr w14:val="tx1"/>
            </w14:solidFill>
          </w14:textFill>
        </w:rPr>
      </w:pPr>
      <w:r>
        <w:rPr>
          <w:rFonts w:hint="eastAsia" w:ascii="仿宋" w:hAnsi="仿宋" w:eastAsia="仿宋" w:cs="仿宋"/>
          <w:strike w:val="0"/>
          <w:dstrike w:val="0"/>
          <w:color w:val="auto"/>
          <w:sz w:val="24"/>
          <w:highlight w:val="none"/>
        </w:rPr>
        <w:t>质疑联系方式：</w:t>
      </w:r>
      <w:r>
        <w:rPr>
          <w:rFonts w:hint="eastAsia" w:ascii="仿宋" w:hAnsi="仿宋" w:eastAsia="仿宋" w:cs="仿宋"/>
          <w:strike w:val="0"/>
          <w:dstrike w:val="0"/>
          <w:color w:val="auto"/>
          <w:sz w:val="24"/>
          <w:highlight w:val="none"/>
          <w:lang w:val="en-US" w:eastAsia="zh-CN"/>
        </w:rPr>
        <w:t>13777319199</w:t>
      </w:r>
    </w:p>
    <w:p w14:paraId="2D44FF2C">
      <w:pPr>
        <w:spacing w:line="360" w:lineRule="auto"/>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3.</w:t>
      </w:r>
      <w:r>
        <w:rPr>
          <w:rFonts w:hint="eastAsia" w:ascii="仿宋" w:hAnsi="仿宋" w:eastAsia="仿宋" w:cs="仿宋"/>
          <w:b/>
          <w:color w:val="000000" w:themeColor="text1"/>
          <w:sz w:val="24"/>
          <w:highlight w:val="none"/>
          <w14:textFill>
            <w14:solidFill>
              <w14:schemeClr w14:val="tx1"/>
            </w14:solidFill>
          </w14:textFill>
        </w:rPr>
        <w:t>同级政府采购监督管理部门</w:t>
      </w:r>
    </w:p>
    <w:bookmarkEnd w:id="9"/>
    <w:bookmarkEnd w:id="10"/>
    <w:bookmarkEnd w:id="11"/>
    <w:bookmarkEnd w:id="12"/>
    <w:p w14:paraId="33D80836">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名称：绍兴市柯桥区财政局</w:t>
      </w:r>
    </w:p>
    <w:p w14:paraId="2F609BA7">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地址：绍兴市柯桥区育才路财税大楼</w:t>
      </w:r>
    </w:p>
    <w:p w14:paraId="6BDBDB18">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传真：/</w:t>
      </w:r>
    </w:p>
    <w:p w14:paraId="3A7699E2">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联系人：王涛</w:t>
      </w:r>
    </w:p>
    <w:p w14:paraId="039E610A">
      <w:pPr>
        <w:spacing w:line="360" w:lineRule="auto"/>
        <w:ind w:firstLine="480" w:firstLineChars="200"/>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监督投诉电话：0575-</w:t>
      </w:r>
      <w:r>
        <w:rPr>
          <w:rFonts w:hint="eastAsia" w:ascii="仿宋" w:hAnsi="仿宋" w:eastAsia="仿宋" w:cs="仿宋"/>
          <w:color w:val="000000" w:themeColor="text1"/>
          <w:sz w:val="24"/>
          <w:highlight w:val="none"/>
          <w:lang w:val="en-US" w:eastAsia="zh-CN"/>
          <w14:textFill>
            <w14:solidFill>
              <w14:schemeClr w14:val="tx1"/>
            </w14:solidFill>
          </w14:textFill>
        </w:rPr>
        <w:t>85672135</w:t>
      </w:r>
    </w:p>
    <w:p w14:paraId="1F4B3970">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27FDC6BD">
      <w:pPr>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14:paraId="103FE813">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CA问题联系电话（人工）：汇信CA 400-888-4636；天谷CA 400-087-8198。</w:t>
      </w:r>
    </w:p>
    <w:p w14:paraId="2E7F594B">
      <w:pPr>
        <w:widowControl/>
        <w:adjustRightInd/>
        <w:jc w:val="left"/>
        <w:rPr>
          <w:rFonts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br w:type="page"/>
      </w:r>
    </w:p>
    <w:p w14:paraId="1A11F0A9">
      <w:pPr>
        <w:adjustRightInd/>
        <w:spacing w:line="360" w:lineRule="auto"/>
        <w:jc w:val="center"/>
        <w:outlineLvl w:val="0"/>
        <w:rPr>
          <w:rFonts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第二部分</w:t>
      </w:r>
      <w:bookmarkEnd w:id="2"/>
      <w:r>
        <w:rPr>
          <w:rFonts w:hint="eastAsia" w:ascii="仿宋" w:hAnsi="仿宋" w:eastAsia="仿宋" w:cs="仿宋"/>
          <w:b/>
          <w:color w:val="000000" w:themeColor="text1"/>
          <w:sz w:val="36"/>
          <w:szCs w:val="20"/>
          <w:highlight w:val="none"/>
          <w14:textFill>
            <w14:solidFill>
              <w14:schemeClr w14:val="tx1"/>
            </w14:solidFill>
          </w14:textFill>
        </w:rPr>
        <w:t xml:space="preserve"> 投标须知</w:t>
      </w:r>
      <w:bookmarkEnd w:id="3"/>
    </w:p>
    <w:p w14:paraId="5A6C8961">
      <w:pPr>
        <w:adjustRightInd/>
        <w:spacing w:line="360" w:lineRule="auto"/>
        <w:ind w:firstLine="3845" w:firstLineChars="1197"/>
        <w:outlineLvl w:val="0"/>
        <w:rPr>
          <w:rFonts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color w:val="000000" w:themeColor="text1"/>
          <w:sz w:val="32"/>
          <w:szCs w:val="20"/>
          <w:highlight w:val="none"/>
          <w14:textFill>
            <w14:solidFill>
              <w14:schemeClr w14:val="tx1"/>
            </w14:solidFill>
          </w14:textFill>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785"/>
        <w:gridCol w:w="6585"/>
      </w:tblGrid>
      <w:tr w14:paraId="090E6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A04FD1E">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8370" w:type="dxa"/>
            <w:gridSpan w:val="2"/>
            <w:vAlign w:val="center"/>
          </w:tcPr>
          <w:p w14:paraId="75AF5035">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内　　　　容</w:t>
            </w:r>
          </w:p>
        </w:tc>
      </w:tr>
      <w:tr w14:paraId="6B67B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2FAF472">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8370" w:type="dxa"/>
            <w:gridSpan w:val="2"/>
            <w:vAlign w:val="center"/>
          </w:tcPr>
          <w:p w14:paraId="265BC7A9">
            <w:pPr>
              <w:snapToGrid w:val="0"/>
              <w:spacing w:line="440" w:lineRule="exact"/>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投标人按照项目要求特许资格、资信证明文件（如有）：</w:t>
            </w:r>
          </w:p>
          <w:p w14:paraId="7582443A">
            <w:pPr>
              <w:spacing w:line="440" w:lineRule="exact"/>
              <w:ind w:firstLine="480"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3BA1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8" w:hRule="atLeast"/>
          <w:jc w:val="center"/>
        </w:trPr>
        <w:tc>
          <w:tcPr>
            <w:tcW w:w="870" w:type="dxa"/>
            <w:vAlign w:val="center"/>
          </w:tcPr>
          <w:p w14:paraId="1D0C97DC">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8370" w:type="dxa"/>
            <w:gridSpan w:val="2"/>
            <w:vAlign w:val="center"/>
          </w:tcPr>
          <w:p w14:paraId="73E26111">
            <w:pPr>
              <w:spacing w:line="440" w:lineRule="exact"/>
              <w:jc w:val="left"/>
              <w:rPr>
                <w:rFonts w:ascii="仿宋" w:hAnsi="仿宋" w:eastAsia="仿宋" w:cs="仿宋_GB2312"/>
                <w:b/>
                <w:color w:val="000000" w:themeColor="text1"/>
                <w:sz w:val="24"/>
                <w:highlight w:val="none"/>
                <w14:textFill>
                  <w14:solidFill>
                    <w14:schemeClr w14:val="tx1"/>
                  </w14:solidFill>
                </w14:textFill>
              </w:rPr>
            </w:pPr>
            <w:r>
              <w:rPr>
                <w:rFonts w:hint="eastAsia" w:ascii="仿宋" w:hAnsi="仿宋" w:eastAsia="仿宋" w:cs="仿宋_GB2312"/>
                <w:b/>
                <w:color w:val="000000" w:themeColor="text1"/>
                <w:sz w:val="24"/>
                <w:highlight w:val="none"/>
                <w14:textFill>
                  <w14:solidFill>
                    <w14:schemeClr w14:val="tx1"/>
                  </w14:solidFill>
                </w14:textFill>
              </w:rPr>
              <w:t>报价要求：</w:t>
            </w:r>
          </w:p>
          <w:p w14:paraId="7B6A7425">
            <w:pPr>
              <w:spacing w:line="360" w:lineRule="auto"/>
              <w:rPr>
                <w:rFonts w:ascii="仿宋" w:hAnsi="仿宋" w:eastAsia="仿宋" w:cs="宋体"/>
                <w:b/>
                <w:color w:val="000000" w:themeColor="text1"/>
                <w:kern w:val="0"/>
                <w:sz w:val="24"/>
                <w:highlight w:val="none"/>
                <w:lang w:val="zh-CN"/>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有关本项目开展所需的人员工资、福利、工具、机械、仪器、设备、利润、税金、保险及不可预见费用等费用均计入报价。</w:t>
            </w:r>
            <w:r>
              <w:rPr>
                <w:rFonts w:hint="eastAsia" w:ascii="宋体" w:hAnsi="宋体" w:cs="宋体"/>
                <w:b/>
                <w:color w:val="000000" w:themeColor="text1"/>
                <w:kern w:val="0"/>
                <w:sz w:val="24"/>
                <w:highlight w:val="none"/>
                <w:lang w:val="zh-CN"/>
                <w14:textFill>
                  <w14:solidFill>
                    <w14:schemeClr w14:val="tx1"/>
                  </w14:solidFill>
                </w14:textFill>
              </w:rPr>
              <w:t>投标文件</w:t>
            </w:r>
            <w:r>
              <w:rPr>
                <w:rFonts w:hint="eastAsia" w:ascii="宋体" w:hAnsi="宋体" w:cs="宋体"/>
                <w:b/>
                <w:color w:val="000000" w:themeColor="text1"/>
                <w:sz w:val="24"/>
                <w:highlight w:val="none"/>
                <w14:textFill>
                  <w14:solidFill>
                    <w14:schemeClr w14:val="tx1"/>
                  </w14:solidFill>
                </w14:textFill>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olor w:val="000000" w:themeColor="text1"/>
                <w:sz w:val="24"/>
                <w:highlight w:val="none"/>
                <w14:textFill>
                  <w14:solidFill>
                    <w14:schemeClr w14:val="tx1"/>
                  </w14:solidFill>
                </w14:textFill>
              </w:rPr>
              <w:t>投标文件中价格全部采用人民币报价。招标文件未列明，而投标人认为必需的费用也需列入报价。</w:t>
            </w:r>
            <w:r>
              <w:rPr>
                <w:rFonts w:hint="eastAsia" w:ascii="仿宋" w:hAnsi="仿宋" w:eastAsia="仿宋" w:cs="宋体"/>
                <w:b/>
                <w:color w:val="000000" w:themeColor="text1"/>
                <w:kern w:val="0"/>
                <w:sz w:val="24"/>
                <w:highlight w:val="none"/>
                <w:lang w:val="zh-CN"/>
                <w14:textFill>
                  <w14:solidFill>
                    <w14:schemeClr w14:val="tx1"/>
                  </w14:solidFill>
                </w14:textFill>
              </w:rPr>
              <w:t>提醒：验收时检测费用由采购人承担，不包含在投标总价中；</w:t>
            </w:r>
          </w:p>
          <w:p w14:paraId="1D5FF43B">
            <w:pPr>
              <w:spacing w:line="360" w:lineRule="auto"/>
              <w:rPr>
                <w:rFonts w:ascii="宋体" w:hAnsi="宋体" w:cs="宋体"/>
                <w:b/>
                <w:color w:val="000000" w:themeColor="text1"/>
                <w:sz w:val="24"/>
                <w:highlight w:val="none"/>
                <w:lang w:val="zh-CN"/>
                <w14:textFill>
                  <w14:solidFill>
                    <w14:schemeClr w14:val="tx1"/>
                  </w14:solidFill>
                </w14:textFill>
              </w:rPr>
            </w:pPr>
            <w:r>
              <w:rPr>
                <w:rFonts w:hint="eastAsia" w:ascii="宋体" w:hAnsi="宋体" w:cs="宋体"/>
                <w:b/>
                <w:color w:val="000000" w:themeColor="text1"/>
                <w:sz w:val="24"/>
                <w:highlight w:val="none"/>
                <w:lang w:val="zh-CN"/>
                <w14:textFill>
                  <w14:solidFill>
                    <w14:schemeClr w14:val="tx1"/>
                  </w14:solidFill>
                </w14:textFill>
              </w:rPr>
              <w:t>投标报价出现下列情形的，投标无效：</w:t>
            </w:r>
          </w:p>
          <w:p w14:paraId="688F39BD">
            <w:pPr>
              <w:spacing w:line="360" w:lineRule="auto"/>
              <w:rPr>
                <w:rFonts w:ascii="宋体" w:hAnsi="宋体" w:cs="宋体"/>
                <w:b/>
                <w:color w:val="000000" w:themeColor="text1"/>
                <w:sz w:val="24"/>
                <w:highlight w:val="none"/>
                <w:lang w:val="zh-CN"/>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b/>
                <w:color w:val="000000" w:themeColor="text1"/>
                <w:sz w:val="24"/>
                <w:highlight w:val="none"/>
                <w:lang w:val="zh-CN"/>
                <w14:textFill>
                  <w14:solidFill>
                    <w14:schemeClr w14:val="tx1"/>
                  </w14:solidFill>
                </w14:textFill>
              </w:rPr>
              <w:t>投标文</w:t>
            </w:r>
            <w:bookmarkStart w:id="17" w:name="OLE_LINK21"/>
            <w:r>
              <w:rPr>
                <w:rFonts w:hint="eastAsia" w:ascii="宋体" w:hAnsi="宋体" w:cs="宋体"/>
                <w:b/>
                <w:color w:val="000000" w:themeColor="text1"/>
                <w:sz w:val="24"/>
                <w:highlight w:val="none"/>
                <w:lang w:val="zh-CN"/>
                <w14:textFill>
                  <w14:solidFill>
                    <w14:schemeClr w14:val="tx1"/>
                  </w14:solidFill>
                </w14:textFill>
              </w:rPr>
              <w:t>件出现不是唯一的</w:t>
            </w:r>
            <w:bookmarkEnd w:id="17"/>
            <w:r>
              <w:rPr>
                <w:rFonts w:hint="eastAsia" w:ascii="宋体" w:hAnsi="宋体" w:cs="宋体"/>
                <w:b/>
                <w:color w:val="000000" w:themeColor="text1"/>
                <w:sz w:val="24"/>
                <w:highlight w:val="none"/>
                <w:lang w:val="zh-CN"/>
                <w14:textFill>
                  <w14:solidFill>
                    <w14:schemeClr w14:val="tx1"/>
                  </w14:solidFill>
                </w14:textFill>
              </w:rPr>
              <w:t>、有选择性投标报价的；</w:t>
            </w:r>
          </w:p>
          <w:p w14:paraId="420BEEBE">
            <w:pPr>
              <w:spacing w:line="360" w:lineRule="auto"/>
              <w:rPr>
                <w:rFonts w:ascii="宋体" w:hAnsi="宋体" w:cs="宋体"/>
                <w:b/>
                <w:color w:val="000000" w:themeColor="text1"/>
                <w:sz w:val="24"/>
                <w:highlight w:val="none"/>
                <w:lang w:val="zh-CN"/>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★投标</w:t>
            </w:r>
            <w:r>
              <w:rPr>
                <w:rFonts w:hint="eastAsia" w:ascii="宋体" w:hAnsi="宋体" w:cs="宋体"/>
                <w:b/>
                <w:color w:val="000000" w:themeColor="text1"/>
                <w:sz w:val="24"/>
                <w:highlight w:val="none"/>
                <w:lang w:val="zh-CN"/>
                <w14:textFill>
                  <w14:solidFill>
                    <w14:schemeClr w14:val="tx1"/>
                  </w14:solidFill>
                </w14:textFill>
              </w:rPr>
              <w:t>报价超过招标文件中规定的预算金额或最高限价的;</w:t>
            </w:r>
          </w:p>
          <w:p w14:paraId="50B4B747">
            <w:pPr>
              <w:spacing w:line="360" w:lineRule="auto"/>
              <w:rPr>
                <w:rFonts w:ascii="宋体" w:hAnsi="宋体" w:cs="宋体"/>
                <w:b/>
                <w:color w:val="000000" w:themeColor="text1"/>
                <w:sz w:val="24"/>
                <w:highlight w:val="none"/>
                <w:lang w:val="zh-CN"/>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b/>
                <w:color w:val="000000" w:themeColor="text1"/>
                <w:sz w:val="24"/>
                <w:highlight w:val="none"/>
                <w:lang w:val="zh-CN"/>
                <w14:textFill>
                  <w14:solidFill>
                    <w14:schemeClr w14:val="tx1"/>
                  </w14:solidFill>
                </w14:textFill>
              </w:rPr>
              <w:t>评标委员会认为报价明显低于其他通过符合性审查投标人的报价，有可能影响产品质量或者不能诚信履约的，未能按要求提供书面说明或者提交相关证明材料，不</w:t>
            </w:r>
            <w:bookmarkStart w:id="18" w:name="OLE_LINK28"/>
            <w:r>
              <w:rPr>
                <w:rFonts w:hint="eastAsia" w:ascii="宋体" w:hAnsi="宋体" w:cs="宋体"/>
                <w:b/>
                <w:color w:val="000000" w:themeColor="text1"/>
                <w:sz w:val="24"/>
                <w:highlight w:val="none"/>
                <w:lang w:val="zh-CN"/>
                <w14:textFill>
                  <w14:solidFill>
                    <w14:schemeClr w14:val="tx1"/>
                  </w14:solidFill>
                </w14:textFill>
              </w:rPr>
              <w:t>能证明其报价合理性的</w:t>
            </w:r>
            <w:bookmarkEnd w:id="18"/>
            <w:r>
              <w:rPr>
                <w:rFonts w:hint="eastAsia" w:ascii="宋体" w:hAnsi="宋体" w:cs="宋体"/>
                <w:b/>
                <w:color w:val="000000" w:themeColor="text1"/>
                <w:sz w:val="24"/>
                <w:highlight w:val="none"/>
                <w:lang w:val="zh-CN"/>
                <w14:textFill>
                  <w14:solidFill>
                    <w14:schemeClr w14:val="tx1"/>
                  </w14:solidFill>
                </w14:textFill>
              </w:rPr>
              <w:t>；</w:t>
            </w:r>
          </w:p>
          <w:p w14:paraId="219814FD">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b/>
                <w:color w:val="000000" w:themeColor="text1"/>
                <w:sz w:val="24"/>
                <w:highlight w:val="none"/>
                <w:lang w:val="zh-CN"/>
                <w14:textFill>
                  <w14:solidFill>
                    <w14:schemeClr w14:val="tx1"/>
                  </w14:solidFill>
                </w14:textFill>
              </w:rPr>
              <w:t>报价低于项目预算50%</w:t>
            </w:r>
            <w:r>
              <w:rPr>
                <w:rFonts w:hint="eastAsia" w:ascii="宋体" w:hAnsi="宋体" w:cs="宋体"/>
                <w:b/>
                <w:color w:val="000000" w:themeColor="text1"/>
                <w:sz w:val="24"/>
                <w:highlight w:val="none"/>
                <w14:textFill>
                  <w14:solidFill>
                    <w14:schemeClr w14:val="tx1"/>
                  </w14:solidFill>
                </w14:textFill>
              </w:rPr>
              <w:t>的投标报价，投标人应在投标文件中提供成本测算资料，未在投标文件中提供成本测算资料的，将被视为投标人</w:t>
            </w:r>
            <w:bookmarkStart w:id="19" w:name="OLE_LINK23"/>
            <w:r>
              <w:rPr>
                <w:rFonts w:hint="eastAsia" w:ascii="宋体" w:hAnsi="宋体" w:cs="宋体"/>
                <w:b/>
                <w:color w:val="000000" w:themeColor="text1"/>
                <w:sz w:val="24"/>
                <w:highlight w:val="none"/>
                <w14:textFill>
                  <w14:solidFill>
                    <w14:schemeClr w14:val="tx1"/>
                  </w14:solidFill>
                </w14:textFill>
              </w:rPr>
              <w:t>不能证明其报价合理性；</w:t>
            </w:r>
          </w:p>
          <w:bookmarkEnd w:id="19"/>
          <w:p w14:paraId="0BB5D40D">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★《开标一览表（报价表）》填写不完整或字迹不能辨认或有漏项的,经评标委员会认定属于</w:t>
            </w:r>
            <w:bookmarkStart w:id="20" w:name="OLE_LINK29"/>
            <w:r>
              <w:rPr>
                <w:rFonts w:hint="eastAsia" w:ascii="宋体" w:hAnsi="宋体" w:cs="宋体"/>
                <w:b/>
                <w:color w:val="000000" w:themeColor="text1"/>
                <w:sz w:val="24"/>
                <w:highlight w:val="none"/>
                <w14:textFill>
                  <w14:solidFill>
                    <w14:schemeClr w14:val="tx1"/>
                  </w14:solidFill>
                </w14:textFill>
              </w:rPr>
              <w:t>重大偏差</w:t>
            </w:r>
            <w:bookmarkEnd w:id="20"/>
            <w:r>
              <w:rPr>
                <w:rFonts w:hint="eastAsia" w:ascii="宋体" w:hAnsi="宋体" w:cs="宋体"/>
                <w:b/>
                <w:color w:val="000000" w:themeColor="text1"/>
                <w:sz w:val="24"/>
                <w:highlight w:val="none"/>
                <w14:textFill>
                  <w14:solidFill>
                    <w14:schemeClr w14:val="tx1"/>
                  </w14:solidFill>
                </w14:textFill>
              </w:rPr>
              <w:t>的；</w:t>
            </w:r>
          </w:p>
          <w:p w14:paraId="69AA0324">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★投标人对根据修正原则修</w:t>
            </w:r>
            <w:bookmarkStart w:id="21" w:name="OLE_LINK30"/>
            <w:r>
              <w:rPr>
                <w:rFonts w:hint="eastAsia" w:ascii="宋体" w:hAnsi="宋体" w:cs="宋体"/>
                <w:b/>
                <w:color w:val="000000" w:themeColor="text1"/>
                <w:sz w:val="24"/>
                <w:highlight w:val="none"/>
                <w14:textFill>
                  <w14:solidFill>
                    <w14:schemeClr w14:val="tx1"/>
                  </w14:solidFill>
                </w14:textFill>
              </w:rPr>
              <w:t>正后的报价不</w:t>
            </w:r>
            <w:bookmarkEnd w:id="21"/>
            <w:r>
              <w:rPr>
                <w:rFonts w:hint="eastAsia" w:ascii="宋体" w:hAnsi="宋体" w:cs="宋体"/>
                <w:b/>
                <w:color w:val="000000" w:themeColor="text1"/>
                <w:sz w:val="24"/>
                <w:highlight w:val="none"/>
                <w14:textFill>
                  <w14:solidFill>
                    <w14:schemeClr w14:val="tx1"/>
                  </w14:solidFill>
                </w14:textFill>
              </w:rPr>
              <w:t>确认的。</w:t>
            </w:r>
          </w:p>
        </w:tc>
      </w:tr>
      <w:tr w14:paraId="16839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37F5C78">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8370" w:type="dxa"/>
            <w:gridSpan w:val="2"/>
            <w:vAlign w:val="center"/>
          </w:tcPr>
          <w:p w14:paraId="212A2C11">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资格审查方式：</w:t>
            </w:r>
          </w:p>
          <w:p w14:paraId="393B7A74">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1.资格后审。</w:t>
            </w:r>
          </w:p>
          <w:p w14:paraId="5060749C">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65D7D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BD302D9">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8370" w:type="dxa"/>
            <w:gridSpan w:val="2"/>
            <w:vAlign w:val="center"/>
          </w:tcPr>
          <w:p w14:paraId="5199F7C6">
            <w:pPr>
              <w:autoSpaceDE w:val="0"/>
              <w:autoSpaceDN w:val="0"/>
              <w:spacing w:line="440" w:lineRule="exact"/>
              <w:textAlignment w:val="bottom"/>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投标有效期：</w:t>
            </w:r>
            <w:r>
              <w:rPr>
                <w:rFonts w:hint="eastAsia" w:ascii="仿宋" w:hAnsi="仿宋" w:eastAsia="仿宋" w:cs="仿宋"/>
                <w:color w:val="000000" w:themeColor="text1"/>
                <w:sz w:val="24"/>
                <w:highlight w:val="none"/>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highlight w:val="none"/>
                <w14:textFill>
                  <w14:solidFill>
                    <w14:schemeClr w14:val="tx1"/>
                  </w14:solidFill>
                </w14:textFill>
              </w:rPr>
              <w:t>投标人的投标文件中承</w:t>
            </w:r>
            <w:r>
              <w:rPr>
                <w:rFonts w:hint="eastAsia" w:ascii="仿宋" w:hAnsi="仿宋" w:eastAsia="仿宋" w:cs="仿宋"/>
                <w:b/>
                <w:color w:val="000000" w:themeColor="text1"/>
                <w:sz w:val="24"/>
                <w:szCs w:val="21"/>
                <w:highlight w:val="none"/>
                <w14:textFill>
                  <w14:solidFill>
                    <w14:schemeClr w14:val="tx1"/>
                  </w14:solidFill>
                </w14:textFill>
              </w:rPr>
              <w:t>诺的投标有效期少于招标文件中载明的投标有效期的，投标无效。</w:t>
            </w:r>
          </w:p>
        </w:tc>
      </w:tr>
      <w:tr w14:paraId="52119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AB83079">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8370" w:type="dxa"/>
            <w:gridSpan w:val="2"/>
            <w:vAlign w:val="center"/>
          </w:tcPr>
          <w:p w14:paraId="2E7433CD">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转包：</w:t>
            </w:r>
            <w:r>
              <w:rPr>
                <w:rFonts w:hint="eastAsia" w:ascii="仿宋" w:hAnsi="仿宋" w:eastAsia="仿宋" w:cs="仿宋"/>
                <w:color w:val="000000" w:themeColor="text1"/>
                <w:sz w:val="24"/>
                <w:highlight w:val="none"/>
                <w14:textFill>
                  <w14:solidFill>
                    <w14:schemeClr w14:val="tx1"/>
                  </w14:solidFill>
                </w14:textFill>
              </w:rPr>
              <w:t>本项目不得转包。</w:t>
            </w:r>
          </w:p>
        </w:tc>
      </w:tr>
      <w:tr w14:paraId="4B8B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5C1D022">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8370" w:type="dxa"/>
            <w:gridSpan w:val="2"/>
            <w:vAlign w:val="center"/>
          </w:tcPr>
          <w:p w14:paraId="44F7A002">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分包：</w:t>
            </w:r>
            <w:r>
              <w:rPr>
                <w:rFonts w:hint="eastAsia" w:ascii="仿宋" w:hAnsi="仿宋" w:eastAsia="仿宋" w:cs="仿宋"/>
                <w:color w:val="000000" w:themeColor="text1"/>
                <w:kern w:val="0"/>
                <w:sz w:val="24"/>
                <w:highlight w:val="none"/>
                <w14:textFill>
                  <w14:solidFill>
                    <w14:schemeClr w14:val="tx1"/>
                  </w14:solidFill>
                </w14:textFill>
              </w:rPr>
              <w:t>☐ A</w:t>
            </w:r>
            <w:r>
              <w:rPr>
                <w:rFonts w:hint="eastAsia" w:ascii="仿宋" w:hAnsi="仿宋" w:eastAsia="仿宋" w:cs="仿宋"/>
                <w:color w:val="000000" w:themeColor="text1"/>
                <w:sz w:val="24"/>
                <w:highlight w:val="none"/>
                <w14:textFill>
                  <w14:solidFill>
                    <w14:schemeClr w14:val="tx1"/>
                  </w14:solidFill>
                </w14:textFill>
              </w:rPr>
              <w:t>同意将非主体、非关键性的工作分包。</w:t>
            </w:r>
          </w:p>
          <w:p w14:paraId="2CB87251">
            <w:pPr>
              <w:spacing w:line="440" w:lineRule="exact"/>
              <w:ind w:firstLine="720" w:firstLineChars="3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 B</w:t>
            </w:r>
            <w:r>
              <w:rPr>
                <w:rFonts w:hint="eastAsia" w:ascii="仿宋" w:hAnsi="仿宋" w:eastAsia="仿宋" w:cs="仿宋"/>
                <w:color w:val="000000" w:themeColor="text1"/>
                <w:sz w:val="24"/>
                <w:highlight w:val="none"/>
                <w14:textFill>
                  <w14:solidFill>
                    <w14:schemeClr w14:val="tx1"/>
                  </w14:solidFill>
                </w14:textFill>
              </w:rPr>
              <w:t>不同意分包。</w:t>
            </w:r>
          </w:p>
        </w:tc>
      </w:tr>
      <w:tr w14:paraId="5FB56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0B901B5">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w:t>
            </w:r>
          </w:p>
        </w:tc>
        <w:tc>
          <w:tcPr>
            <w:tcW w:w="8370" w:type="dxa"/>
            <w:gridSpan w:val="2"/>
            <w:vAlign w:val="center"/>
          </w:tcPr>
          <w:p w14:paraId="322AD12B">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投标文件份数：</w:t>
            </w:r>
            <w:r>
              <w:rPr>
                <w:rFonts w:hint="eastAsia" w:ascii="仿宋" w:hAnsi="仿宋" w:eastAsia="仿宋" w:cs="仿宋"/>
                <w:color w:val="000000" w:themeColor="text1"/>
                <w:sz w:val="24"/>
                <w:highlight w:val="none"/>
                <w14:textFill>
                  <w14:solidFill>
                    <w14:schemeClr w14:val="tx1"/>
                  </w14:solidFill>
                </w14:textFill>
              </w:rPr>
              <w:t>本项目实行网上投标，供应商于“政采云”上提供电子投标文件。</w:t>
            </w:r>
          </w:p>
        </w:tc>
      </w:tr>
      <w:tr w14:paraId="75901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069F170">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p>
        </w:tc>
        <w:tc>
          <w:tcPr>
            <w:tcW w:w="8370" w:type="dxa"/>
            <w:gridSpan w:val="2"/>
            <w:vAlign w:val="center"/>
          </w:tcPr>
          <w:p w14:paraId="0E9A3EC5">
            <w:pPr>
              <w:autoSpaceDE w:val="0"/>
              <w:autoSpaceDN w:val="0"/>
              <w:spacing w:line="440" w:lineRule="exact"/>
              <w:textAlignment w:val="bottom"/>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开标前答疑会或现场考察：</w:t>
            </w:r>
          </w:p>
          <w:p w14:paraId="52CB6C7F">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不组织。</w:t>
            </w:r>
          </w:p>
          <w:p w14:paraId="2F349568">
            <w:pPr>
              <w:autoSpaceDE w:val="0"/>
              <w:autoSpaceDN w:val="0"/>
              <w:spacing w:line="440" w:lineRule="exact"/>
              <w:textAlignment w:val="bottom"/>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□B组织，</w:t>
            </w:r>
            <w:r>
              <w:rPr>
                <w:rFonts w:hint="eastAsia" w:ascii="仿宋" w:hAnsi="仿宋" w:eastAsia="仿宋" w:cs="仿宋"/>
                <w:color w:val="000000" w:themeColor="text1"/>
                <w:sz w:val="24"/>
                <w:highlight w:val="none"/>
                <w14:textFill>
                  <w14:solidFill>
                    <w14:schemeClr w14:val="tx1"/>
                  </w14:solidFill>
                </w14:textFill>
              </w:rPr>
              <w:t>时间：,地点：，联系人：，联系方式：</w:t>
            </w:r>
            <w:r>
              <w:rPr>
                <w:rFonts w:hint="eastAsia" w:ascii="仿宋" w:hAnsi="仿宋" w:eastAsia="仿宋" w:cs="仿宋"/>
                <w:color w:val="000000" w:themeColor="text1"/>
                <w:sz w:val="24"/>
                <w:szCs w:val="20"/>
                <w:highlight w:val="none"/>
                <w14:textFill>
                  <w14:solidFill>
                    <w14:schemeClr w14:val="tx1"/>
                  </w14:solidFill>
                </w14:textFill>
              </w:rPr>
              <w:t>。</w:t>
            </w:r>
          </w:p>
        </w:tc>
      </w:tr>
      <w:tr w14:paraId="5E65C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2BFCD59">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w:t>
            </w:r>
          </w:p>
        </w:tc>
        <w:tc>
          <w:tcPr>
            <w:tcW w:w="8370" w:type="dxa"/>
            <w:gridSpan w:val="2"/>
            <w:vAlign w:val="center"/>
          </w:tcPr>
          <w:p w14:paraId="7E550D04">
            <w:pPr>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样品提供：</w:t>
            </w:r>
          </w:p>
          <w:p w14:paraId="5417EE15">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不要求提供。</w:t>
            </w:r>
          </w:p>
          <w:p w14:paraId="0E228AB0">
            <w:pPr>
              <w:spacing w:line="44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□B要求提供，</w:t>
            </w:r>
          </w:p>
          <w:p w14:paraId="0DD937D7">
            <w:pPr>
              <w:spacing w:line="44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snapToGrid w:val="0"/>
                <w:color w:val="000000" w:themeColor="text1"/>
                <w:kern w:val="28"/>
                <w:sz w:val="24"/>
                <w:highlight w:val="none"/>
                <w14:textFill>
                  <w14:solidFill>
                    <w14:schemeClr w14:val="tx1"/>
                  </w14:solidFill>
                </w14:textFill>
              </w:rPr>
              <w:t>样品：</w:t>
            </w:r>
            <w:r>
              <w:rPr>
                <w:rFonts w:hint="eastAsia" w:ascii="仿宋" w:hAnsi="仿宋" w:eastAsia="仿宋" w:cs="仿宋"/>
                <w:color w:val="000000" w:themeColor="text1"/>
                <w:kern w:val="0"/>
                <w:sz w:val="24"/>
                <w:highlight w:val="none"/>
                <w14:textFill>
                  <w14:solidFill>
                    <w14:schemeClr w14:val="tx1"/>
                  </w14:solidFill>
                </w14:textFill>
              </w:rPr>
              <w:t>；</w:t>
            </w:r>
          </w:p>
          <w:p w14:paraId="3577874B">
            <w:pPr>
              <w:spacing w:line="44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r>
              <w:rPr>
                <w:rFonts w:hint="eastAsia" w:ascii="仿宋" w:hAnsi="仿宋" w:eastAsia="仿宋" w:cs="仿宋"/>
                <w:snapToGrid w:val="0"/>
                <w:color w:val="000000" w:themeColor="text1"/>
                <w:kern w:val="28"/>
                <w:sz w:val="24"/>
                <w:highlight w:val="none"/>
                <w14:textFill>
                  <w14:solidFill>
                    <w14:schemeClr w14:val="tx1"/>
                  </w14:solidFill>
                </w14:textFill>
              </w:rPr>
              <w:t>样品制作的标准和要求：</w:t>
            </w:r>
            <w:r>
              <w:rPr>
                <w:rFonts w:hint="eastAsia" w:ascii="仿宋" w:hAnsi="仿宋" w:eastAsia="仿宋" w:cs="仿宋"/>
                <w:color w:val="000000" w:themeColor="text1"/>
                <w:kern w:val="0"/>
                <w:sz w:val="24"/>
                <w:highlight w:val="none"/>
                <w14:textFill>
                  <w14:solidFill>
                    <w14:schemeClr w14:val="tx1"/>
                  </w14:solidFill>
                </w14:textFill>
              </w:rPr>
              <w:t>；</w:t>
            </w:r>
          </w:p>
          <w:p w14:paraId="1B1AB2B6">
            <w:pPr>
              <w:spacing w:line="44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highlight w:val="none"/>
                <w14:textFill>
                  <w14:solidFill>
                    <w14:schemeClr w14:val="tx1"/>
                  </w14:solidFill>
                </w14:textFill>
              </w:rPr>
              <w:t>：详见</w:t>
            </w:r>
            <w:r>
              <w:rPr>
                <w:rFonts w:hint="eastAsia" w:ascii="仿宋" w:hAnsi="仿宋" w:eastAsia="仿宋" w:cs="仿宋"/>
                <w:color w:val="000000" w:themeColor="text1"/>
                <w:sz w:val="24"/>
                <w:highlight w:val="none"/>
                <w:u w:val="single"/>
                <w14:textFill>
                  <w14:solidFill>
                    <w14:schemeClr w14:val="tx1"/>
                  </w14:solidFill>
                </w14:textFill>
              </w:rPr>
              <w:t>评标办法</w:t>
            </w:r>
            <w:r>
              <w:rPr>
                <w:rFonts w:hint="eastAsia" w:ascii="仿宋" w:hAnsi="仿宋" w:eastAsia="仿宋" w:cs="仿宋"/>
                <w:color w:val="000000" w:themeColor="text1"/>
                <w:kern w:val="0"/>
                <w:sz w:val="24"/>
                <w:highlight w:val="none"/>
                <w14:textFill>
                  <w14:solidFill>
                    <w14:schemeClr w14:val="tx1"/>
                  </w14:solidFill>
                </w14:textFill>
              </w:rPr>
              <w:t>；</w:t>
            </w:r>
          </w:p>
          <w:p w14:paraId="579C0A99">
            <w:pPr>
              <w:spacing w:line="44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（4）是否需要随样品提交检测报告：□否；□是，检测机构的要求</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；检测内容</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p>
          <w:p w14:paraId="03E1BE93">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（5）提供样品的时间：</w:t>
            </w:r>
            <w:r>
              <w:rPr>
                <w:rFonts w:hint="eastAsia" w:ascii="仿宋" w:hAnsi="仿宋" w:eastAsia="仿宋" w:cs="仿宋"/>
                <w:color w:val="000000" w:themeColor="text1"/>
                <w:kern w:val="0"/>
                <w:sz w:val="24"/>
                <w:highlight w:val="none"/>
                <w14:textFill>
                  <w14:solidFill>
                    <w14:schemeClr w14:val="tx1"/>
                  </w14:solidFill>
                </w14:textFill>
              </w:rPr>
              <w:t>；地点：；联系人</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28"/>
                <w:sz w:val="24"/>
                <w:highlight w:val="none"/>
                <w14:textFill>
                  <w14:solidFill>
                    <w14:schemeClr w14:val="tx1"/>
                  </w14:solidFill>
                </w14:textFill>
              </w:rPr>
              <w:t>联系电话：</w:t>
            </w:r>
            <w:r>
              <w:rPr>
                <w:rFonts w:hint="eastAsia" w:ascii="仿宋" w:hAnsi="仿宋" w:eastAsia="仿宋" w:cs="仿宋"/>
                <w:color w:val="000000" w:themeColor="text1"/>
                <w:sz w:val="24"/>
                <w:highlight w:val="none"/>
                <w14:textFill>
                  <w14:solidFill>
                    <w14:schemeClr w14:val="tx1"/>
                  </w14:solidFill>
                </w14:textFill>
              </w:rPr>
              <w:t>。请投标人在上述时间内提供样品并按规定位置安装完毕。超过截止时间的，采购人或采购代理机构将不予接收，并将清场并封闭样品现场。</w:t>
            </w:r>
          </w:p>
          <w:p w14:paraId="1100A4EE">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ascii="仿宋" w:hAnsi="仿宋" w:eastAsia="仿宋" w:cs="仿宋"/>
                <w:color w:val="000000" w:themeColor="text1"/>
                <w:sz w:val="24"/>
                <w:highlight w:val="none"/>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8D705D2">
            <w:pPr>
              <w:autoSpaceDE w:val="0"/>
              <w:autoSpaceDN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（7）制作、运输、安装和保管样品所发生的一切费用由投标人自理。</w:t>
            </w:r>
          </w:p>
          <w:p w14:paraId="45176F54">
            <w:pPr>
              <w:autoSpaceDE w:val="0"/>
              <w:autoSpaceDN w:val="0"/>
              <w:spacing w:line="440" w:lineRule="exact"/>
              <w:jc w:val="left"/>
              <w:rPr>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ascii="仿宋" w:hAnsi="仿宋" w:eastAsia="仿宋" w:cs="仿宋"/>
                <w:color w:val="000000" w:themeColor="text1"/>
                <w:sz w:val="24"/>
                <w:highlight w:val="none"/>
                <w14:textFill>
                  <w14:solidFill>
                    <w14:schemeClr w14:val="tx1"/>
                  </w14:solidFill>
                </w14:textFill>
              </w:rPr>
              <w:t>8</w:t>
            </w:r>
            <w:r>
              <w:rPr>
                <w:rFonts w:hint="eastAsia" w:ascii="仿宋" w:hAnsi="仿宋" w:eastAsia="仿宋" w:cs="仿宋"/>
                <w:color w:val="000000" w:themeColor="text1"/>
                <w:sz w:val="24"/>
                <w:highlight w:val="none"/>
                <w14:textFill>
                  <w14:solidFill>
                    <w14:schemeClr w14:val="tx1"/>
                  </w14:solidFill>
                </w14:textFill>
              </w:rPr>
              <w:t>）未按招标文件要求提供样品或提供样品不满足采购需求实质性条件的，投标无效。</w:t>
            </w:r>
          </w:p>
        </w:tc>
      </w:tr>
      <w:tr w14:paraId="1660D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BDD34BA">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10</w:t>
            </w:r>
          </w:p>
        </w:tc>
        <w:tc>
          <w:tcPr>
            <w:tcW w:w="8370" w:type="dxa"/>
            <w:gridSpan w:val="2"/>
            <w:vAlign w:val="center"/>
          </w:tcPr>
          <w:p w14:paraId="537EB1BA">
            <w:pPr>
              <w:spacing w:line="440" w:lineRule="exac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方案讲解演示：</w:t>
            </w:r>
          </w:p>
          <w:p w14:paraId="46948FE3">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☑A无方案讲解演示。</w:t>
            </w:r>
          </w:p>
          <w:p w14:paraId="316DF70F">
            <w:pPr>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□B有方案讲解演示：</w:t>
            </w:r>
          </w:p>
          <w:p w14:paraId="5FD469F4">
            <w:pPr>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highlight w:val="none"/>
                <w:u w:val="single"/>
                <w14:textFill>
                  <w14:solidFill>
                    <w14:schemeClr w14:val="tx1"/>
                  </w14:solidFill>
                </w14:textFill>
              </w:rPr>
              <w:t xml:space="preserve">20 </w:t>
            </w:r>
            <w:r>
              <w:rPr>
                <w:rFonts w:hint="eastAsia" w:ascii="仿宋" w:hAnsi="仿宋" w:eastAsia="仿宋" w:cs="仿宋"/>
                <w:color w:val="000000" w:themeColor="text1"/>
                <w:sz w:val="24"/>
                <w:highlight w:val="none"/>
                <w:lang w:val="zh-CN"/>
                <w14:textFill>
                  <w14:solidFill>
                    <w14:schemeClr w14:val="tx1"/>
                  </w14:solidFill>
                </w14:textFill>
              </w:rPr>
              <w:t>分钟（编制时可根据项目情况进行调整），讲解次序以投标文件解密时间先后次序为准。讲解演示结束后按要求解答评标委员会提问。</w:t>
            </w:r>
          </w:p>
          <w:p w14:paraId="3CDBF6CD">
            <w:pPr>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（2）方案讲解演示可选择以下其中一种方式：</w:t>
            </w:r>
          </w:p>
          <w:p w14:paraId="54B89C95">
            <w:pPr>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方式一：政采云平台在线讲解演示。政采云平台在线讲解需供应商根据政采云平台操作要求做好准备工作，提前完善软硬件配置环境。</w:t>
            </w:r>
          </w:p>
          <w:p w14:paraId="06C9408F">
            <w:pPr>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方式二：现场讲解演示。现场讲解地点为，</w:t>
            </w:r>
            <w:r>
              <w:rPr>
                <w:rFonts w:hint="eastAsia" w:ascii="仿宋" w:hAnsi="仿宋" w:eastAsia="仿宋" w:cs="仿宋"/>
                <w:color w:val="000000" w:themeColor="text1"/>
                <w:kern w:val="0"/>
                <w:sz w:val="24"/>
                <w:highlight w:val="none"/>
                <w:lang w:val="zh-CN"/>
                <w14:textFill>
                  <w14:solidFill>
                    <w14:schemeClr w14:val="tx1"/>
                  </w14:solidFill>
                </w14:textFill>
              </w:rPr>
              <w:t>讲解演示人员不超过</w:t>
            </w:r>
            <w:r>
              <w:rPr>
                <w:rFonts w:hint="eastAsia" w:ascii="仿宋" w:hAnsi="仿宋" w:eastAsia="仿宋" w:cs="仿宋"/>
                <w:color w:val="000000" w:themeColor="text1"/>
                <w:kern w:val="0"/>
                <w:sz w:val="24"/>
                <w:highlight w:val="none"/>
                <w:u w:val="single"/>
                <w14:textFill>
                  <w14:solidFill>
                    <w14:schemeClr w14:val="tx1"/>
                  </w14:solidFill>
                </w14:textFill>
              </w:rPr>
              <w:t>3</w:t>
            </w:r>
            <w:r>
              <w:rPr>
                <w:rFonts w:hint="eastAsia" w:ascii="仿宋" w:hAnsi="仿宋" w:eastAsia="仿宋" w:cs="仿宋"/>
                <w:color w:val="000000" w:themeColor="text1"/>
                <w:kern w:val="0"/>
                <w:sz w:val="24"/>
                <w:highlight w:val="none"/>
                <w:lang w:val="zh-CN"/>
                <w14:textFill>
                  <w14:solidFill>
                    <w14:schemeClr w14:val="tx1"/>
                  </w14:solidFill>
                </w14:textFill>
              </w:rPr>
              <w:t>人（编制时可根据项目情况进行调整）。</w:t>
            </w:r>
            <w:r>
              <w:rPr>
                <w:rFonts w:hint="eastAsia" w:ascii="仿宋" w:hAnsi="仿宋" w:eastAsia="仿宋" w:cs="仿宋"/>
                <w:color w:val="000000" w:themeColor="text1"/>
                <w:sz w:val="24"/>
                <w:highlight w:val="none"/>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14:paraId="39A99826">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14:paraId="46460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33AD0AA">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w:t>
            </w:r>
          </w:p>
        </w:tc>
        <w:tc>
          <w:tcPr>
            <w:tcW w:w="1785" w:type="dxa"/>
            <w:vAlign w:val="center"/>
          </w:tcPr>
          <w:p w14:paraId="2F129F87">
            <w:pPr>
              <w:snapToGrid w:val="0"/>
              <w:spacing w:line="440" w:lineRule="exact"/>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进口产品</w:t>
            </w:r>
          </w:p>
        </w:tc>
        <w:tc>
          <w:tcPr>
            <w:tcW w:w="6585" w:type="dxa"/>
            <w:vAlign w:val="center"/>
          </w:tcPr>
          <w:p w14:paraId="3EE9555B">
            <w:pPr>
              <w:spacing w:line="44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☑本项目不允许采购进口产品。</w:t>
            </w:r>
          </w:p>
          <w:p w14:paraId="6B2489AA">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1165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8DF3AEF">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w:t>
            </w:r>
          </w:p>
        </w:tc>
        <w:tc>
          <w:tcPr>
            <w:tcW w:w="1785" w:type="dxa"/>
            <w:vAlign w:val="center"/>
          </w:tcPr>
          <w:p w14:paraId="5848381B">
            <w:pPr>
              <w:snapToGrid w:val="0"/>
              <w:spacing w:line="440" w:lineRule="exact"/>
              <w:ind w:left="14" w:hanging="14" w:hangingChars="7"/>
              <w:rPr>
                <w:rFonts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项目属性与核心产品</w:t>
            </w:r>
          </w:p>
        </w:tc>
        <w:tc>
          <w:tcPr>
            <w:tcW w:w="6585" w:type="dxa"/>
            <w:vAlign w:val="center"/>
          </w:tcPr>
          <w:p w14:paraId="52FEFFC3">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货物类，单一产品或</w:t>
            </w:r>
            <w:r>
              <w:rPr>
                <w:rFonts w:hint="eastAsia" w:ascii="仿宋" w:hAnsi="仿宋" w:eastAsia="仿宋" w:cs="仿宋"/>
                <w:color w:val="000000" w:themeColor="text1"/>
                <w:kern w:val="0"/>
                <w:sz w:val="24"/>
                <w:highlight w:val="none"/>
                <w14:textFill>
                  <w14:solidFill>
                    <w14:schemeClr w14:val="tx1"/>
                  </w14:solidFill>
                </w14:textFill>
              </w:rPr>
              <w:t>核心产品为：</w:t>
            </w:r>
            <w:r>
              <w:rPr>
                <w:rFonts w:hint="eastAsia" w:ascii="仿宋" w:hAnsi="仿宋" w:eastAsia="仿宋" w:cs="仿宋"/>
                <w:color w:val="000000" w:themeColor="text1"/>
                <w:sz w:val="24"/>
                <w:highlight w:val="none"/>
                <w14:textFill>
                  <w14:solidFill>
                    <w14:schemeClr w14:val="tx1"/>
                  </w14:solidFill>
                </w14:textFill>
              </w:rPr>
              <w:t>。</w:t>
            </w:r>
          </w:p>
          <w:p w14:paraId="50760CB9">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服务类。</w:t>
            </w:r>
          </w:p>
        </w:tc>
      </w:tr>
      <w:tr w14:paraId="69B40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20735583">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w:t>
            </w:r>
          </w:p>
        </w:tc>
        <w:tc>
          <w:tcPr>
            <w:tcW w:w="1785" w:type="dxa"/>
            <w:vAlign w:val="center"/>
          </w:tcPr>
          <w:p w14:paraId="6EC6FF23">
            <w:pPr>
              <w:snapToGrid w:val="0"/>
              <w:spacing w:line="440" w:lineRule="exact"/>
              <w:ind w:hanging="1"/>
              <w:jc w:val="center"/>
              <w:rPr>
                <w:rFonts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采购标的对应的中小企业划分标准所属行业</w:t>
            </w:r>
          </w:p>
        </w:tc>
        <w:tc>
          <w:tcPr>
            <w:tcW w:w="6585" w:type="dxa"/>
            <w:vAlign w:val="center"/>
          </w:tcPr>
          <w:p w14:paraId="136AFD84">
            <w:pPr>
              <w:snapToGrid w:val="0"/>
              <w:spacing w:line="44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（1）标的：</w:t>
            </w:r>
            <w:r>
              <w:rPr>
                <w:rFonts w:hint="eastAsia" w:ascii="仿宋" w:hAnsi="仿宋" w:eastAsia="仿宋"/>
                <w:color w:val="000000" w:themeColor="text1"/>
                <w:sz w:val="24"/>
                <w:szCs w:val="28"/>
                <w:highlight w:val="none"/>
                <w:u w:val="single"/>
                <w:lang w:eastAsia="zh-CN"/>
                <w14:textFill>
                  <w14:solidFill>
                    <w14:schemeClr w14:val="tx1"/>
                  </w14:solidFill>
                </w14:textFill>
              </w:rPr>
              <w:t>杨汛桥街道机关、派出所食堂服务外包项目</w:t>
            </w:r>
            <w:r>
              <w:rPr>
                <w:rFonts w:hint="eastAsia" w:ascii="仿宋" w:hAnsi="仿宋" w:eastAsia="仿宋" w:cs="仿宋"/>
                <w:color w:val="000000" w:themeColor="text1"/>
                <w:kern w:val="0"/>
                <w:sz w:val="24"/>
                <w:highlight w:val="none"/>
                <w14:textFill>
                  <w14:solidFill>
                    <w14:schemeClr w14:val="tx1"/>
                  </w14:solidFill>
                </w14:textFill>
              </w:rPr>
              <w:t>，属于</w:t>
            </w:r>
            <w:r>
              <w:rPr>
                <w:rFonts w:hint="eastAsia" w:ascii="仿宋" w:eastAsia="仿宋"/>
                <w:b/>
                <w:bCs/>
                <w:color w:val="000000" w:themeColor="text1"/>
                <w:sz w:val="24"/>
                <w:highlight w:val="none"/>
                <w:u w:val="single"/>
                <w14:textFill>
                  <w14:solidFill>
                    <w14:schemeClr w14:val="tx1"/>
                  </w14:solidFill>
                </w14:textFill>
              </w:rPr>
              <w:t>餐饮业</w:t>
            </w:r>
            <w:r>
              <w:rPr>
                <w:rFonts w:hint="eastAsia" w:ascii="仿宋" w:hAnsi="仿宋" w:eastAsia="仿宋" w:cs="仿宋"/>
                <w:color w:val="000000" w:themeColor="text1"/>
                <w:kern w:val="0"/>
                <w:sz w:val="24"/>
                <w:highlight w:val="none"/>
                <w14:textFill>
                  <w14:solidFill>
                    <w14:schemeClr w14:val="tx1"/>
                  </w14:solidFill>
                </w14:textFill>
              </w:rPr>
              <w:t>行业；</w:t>
            </w:r>
          </w:p>
        </w:tc>
      </w:tr>
      <w:tr w14:paraId="490C4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0B39DC9">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w:t>
            </w:r>
          </w:p>
        </w:tc>
        <w:tc>
          <w:tcPr>
            <w:tcW w:w="1785" w:type="dxa"/>
            <w:vMerge w:val="restart"/>
            <w:vAlign w:val="center"/>
          </w:tcPr>
          <w:p w14:paraId="4B0D1463">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投标人信用信息事项</w:t>
            </w:r>
          </w:p>
        </w:tc>
        <w:tc>
          <w:tcPr>
            <w:tcW w:w="6585" w:type="dxa"/>
            <w:vAlign w:val="center"/>
          </w:tcPr>
          <w:p w14:paraId="49378F5B">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信用信息查询渠道及截止时间：</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highlight w:val="none"/>
                <w14:textFill>
                  <w14:solidFill>
                    <w14:schemeClr w14:val="tx1"/>
                  </w14:solidFill>
                </w14:textFill>
              </w:rPr>
              <w:t>开标当天</w:t>
            </w:r>
            <w:r>
              <w:rPr>
                <w:rFonts w:hint="eastAsia" w:ascii="仿宋" w:hAnsi="仿宋" w:eastAsia="仿宋" w:cs="仿宋"/>
                <w:color w:val="000000" w:themeColor="text1"/>
                <w:sz w:val="24"/>
                <w:highlight w:val="none"/>
                <w14:textFill>
                  <w14:solidFill>
                    <w14:schemeClr w14:val="tx1"/>
                  </w14:solidFill>
                </w14:textFill>
              </w:rPr>
              <w:t>的信用记录。</w:t>
            </w:r>
          </w:p>
        </w:tc>
      </w:tr>
      <w:tr w14:paraId="37E09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2B3791C">
            <w:pPr>
              <w:spacing w:line="440" w:lineRule="exact"/>
              <w:jc w:val="center"/>
              <w:rPr>
                <w:rFonts w:ascii="仿宋" w:hAnsi="仿宋" w:eastAsia="仿宋" w:cs="仿宋"/>
                <w:color w:val="000000" w:themeColor="text1"/>
                <w:sz w:val="24"/>
                <w:highlight w:val="none"/>
                <w14:textFill>
                  <w14:solidFill>
                    <w14:schemeClr w14:val="tx1"/>
                  </w14:solidFill>
                </w14:textFill>
              </w:rPr>
            </w:pPr>
          </w:p>
        </w:tc>
        <w:tc>
          <w:tcPr>
            <w:tcW w:w="1785" w:type="dxa"/>
            <w:vMerge w:val="continue"/>
            <w:vAlign w:val="center"/>
          </w:tcPr>
          <w:p w14:paraId="51C3C165">
            <w:pPr>
              <w:snapToGrid w:val="0"/>
              <w:spacing w:line="440" w:lineRule="exact"/>
              <w:rPr>
                <w:rFonts w:ascii="仿宋" w:hAnsi="仿宋" w:eastAsia="仿宋" w:cs="仿宋"/>
                <w:b/>
                <w:color w:val="000000" w:themeColor="text1"/>
                <w:sz w:val="24"/>
                <w:highlight w:val="none"/>
                <w14:textFill>
                  <w14:solidFill>
                    <w14:schemeClr w14:val="tx1"/>
                  </w14:solidFill>
                </w14:textFill>
              </w:rPr>
            </w:pPr>
          </w:p>
        </w:tc>
        <w:tc>
          <w:tcPr>
            <w:tcW w:w="6585" w:type="dxa"/>
            <w:vAlign w:val="center"/>
          </w:tcPr>
          <w:p w14:paraId="7EE29134">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信用信息查询记录和证据留存的具体方式：</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采购人或采购人委托的评审小组或采购代理机构现场查询投标人的信用记录，查询结果经确认后与采购文件一起存档。</w:t>
            </w:r>
          </w:p>
        </w:tc>
      </w:tr>
      <w:tr w14:paraId="16F75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B73D613">
            <w:pPr>
              <w:spacing w:line="440" w:lineRule="exact"/>
              <w:jc w:val="center"/>
              <w:rPr>
                <w:rFonts w:ascii="仿宋" w:hAnsi="仿宋" w:eastAsia="仿宋" w:cs="仿宋"/>
                <w:color w:val="000000" w:themeColor="text1"/>
                <w:sz w:val="24"/>
                <w:highlight w:val="none"/>
                <w14:textFill>
                  <w14:solidFill>
                    <w14:schemeClr w14:val="tx1"/>
                  </w14:solidFill>
                </w14:textFill>
              </w:rPr>
            </w:pPr>
          </w:p>
        </w:tc>
        <w:tc>
          <w:tcPr>
            <w:tcW w:w="1785" w:type="dxa"/>
            <w:vMerge w:val="continue"/>
            <w:vAlign w:val="center"/>
          </w:tcPr>
          <w:p w14:paraId="0F7EE28F">
            <w:pPr>
              <w:snapToGrid w:val="0"/>
              <w:spacing w:line="440" w:lineRule="exact"/>
              <w:rPr>
                <w:rFonts w:ascii="仿宋" w:hAnsi="仿宋" w:eastAsia="仿宋" w:cs="仿宋"/>
                <w:b/>
                <w:color w:val="000000" w:themeColor="text1"/>
                <w:sz w:val="24"/>
                <w:highlight w:val="none"/>
                <w14:textFill>
                  <w14:solidFill>
                    <w14:schemeClr w14:val="tx1"/>
                  </w14:solidFill>
                </w14:textFill>
              </w:rPr>
            </w:pPr>
          </w:p>
        </w:tc>
        <w:tc>
          <w:tcPr>
            <w:tcW w:w="6585" w:type="dxa"/>
            <w:vAlign w:val="center"/>
          </w:tcPr>
          <w:p w14:paraId="66C51611">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信用信息的使用规则：</w:t>
            </w:r>
            <w:r>
              <w:rPr>
                <w:rFonts w:hint="eastAsia" w:ascii="仿宋" w:hAnsi="仿宋" w:eastAsia="仿宋" w:cs="仿宋"/>
                <w:color w:val="000000" w:themeColor="text1"/>
                <w:sz w:val="24"/>
                <w:highlight w:val="none"/>
                <w14:textFill>
                  <w14:solidFill>
                    <w14:schemeClr w14:val="tx1"/>
                  </w14:solidFill>
                </w14:textFill>
              </w:rPr>
              <w:t>经查询列入失信被执行人名单、重大税收违法失信主体、政府采购严重违法失信行为记录名单的投标人将被拒绝参与政府采购活动。</w:t>
            </w:r>
          </w:p>
          <w:p w14:paraId="2E5694BC">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E929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30B8558">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w:t>
            </w:r>
          </w:p>
        </w:tc>
        <w:tc>
          <w:tcPr>
            <w:tcW w:w="8370" w:type="dxa"/>
            <w:gridSpan w:val="2"/>
            <w:vAlign w:val="center"/>
          </w:tcPr>
          <w:p w14:paraId="74D0DDE0">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需要落实的政府采购政策：包括保护环境、节约能源、促进中小企业发展等。详见招标文件第二部分总则。</w:t>
            </w:r>
          </w:p>
        </w:tc>
      </w:tr>
      <w:tr w14:paraId="6E912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F25FB7F">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w:t>
            </w:r>
          </w:p>
        </w:tc>
        <w:tc>
          <w:tcPr>
            <w:tcW w:w="8370" w:type="dxa"/>
            <w:gridSpan w:val="2"/>
            <w:vAlign w:val="center"/>
          </w:tcPr>
          <w:p w14:paraId="34E3DD8D">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更正补充公告请自行登录浙江政府采购网查看下载。</w:t>
            </w:r>
          </w:p>
        </w:tc>
      </w:tr>
      <w:tr w14:paraId="2746B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A4574B8">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w:t>
            </w:r>
          </w:p>
        </w:tc>
        <w:tc>
          <w:tcPr>
            <w:tcW w:w="8370" w:type="dxa"/>
            <w:gridSpan w:val="2"/>
            <w:vAlign w:val="center"/>
          </w:tcPr>
          <w:p w14:paraId="674E3FE9">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投标与开标注意事项：</w:t>
            </w:r>
          </w:p>
          <w:p w14:paraId="1FEAD192">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1.本项目实行网上投标，采用电子投标文件。若供应商参与投标，自行承担投标一切费用。</w:t>
            </w:r>
          </w:p>
          <w:p w14:paraId="25896F0A">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D49ACBF">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注：供应商CA相关操作可参考政采云平台</w:t>
            </w:r>
            <w:r>
              <w:rPr>
                <w:rFonts w:hint="eastAsia" w:ascii="仿宋" w:hAnsi="仿宋" w:eastAsia="仿宋" w:cs="仿宋"/>
                <w:color w:val="000000" w:themeColor="text1"/>
                <w:highlight w:val="none"/>
                <w14:textFill>
                  <w14:solidFill>
                    <w14:schemeClr w14:val="tx1"/>
                  </w14:solidFill>
                </w14:textFill>
              </w:rPr>
              <w:t>https://www.zcygov.cn/</w:t>
            </w:r>
            <w:r>
              <w:rPr>
                <w:rFonts w:hint="eastAsia" w:ascii="仿宋" w:hAnsi="仿宋" w:eastAsia="仿宋" w:cs="仿宋"/>
                <w:color w:val="000000" w:themeColor="text1"/>
                <w:sz w:val="24"/>
                <w:highlight w:val="none"/>
                <w14:textFill>
                  <w14:solidFill>
                    <w14:schemeClr w14:val="tx1"/>
                  </w14:solidFill>
                </w14:textFill>
              </w:rPr>
              <w:t>《CA申领操作指南》和《CA管理操作指南》。完成CA数字证书办理在资料齐全的情况下预计7个工作日左右，建议供应商获取招标文件后立即办理。</w:t>
            </w:r>
          </w:p>
          <w:p w14:paraId="18E290D0">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3.投标文件制作、递交、解密：</w:t>
            </w:r>
          </w:p>
          <w:p w14:paraId="453BAADB">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14:paraId="066AD4D6">
            <w:pPr>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3.2投标人通过“政采云”平台制作电子投标文件，投标文件制作详见“供应商-政府采购项目电子交易操作指南。</w:t>
            </w:r>
          </w:p>
          <w:p w14:paraId="3AAC3EDB">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highlight w:val="none"/>
                <w:u w:val="single"/>
                <w14:textFill>
                  <w14:solidFill>
                    <w14:schemeClr w14:val="tx1"/>
                  </w14:solidFill>
                </w14:textFill>
              </w:rPr>
              <w:t>未按时解密的</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u w:val="single"/>
                <w14:textFill>
                  <w14:solidFill>
                    <w14:schemeClr w14:val="tx1"/>
                  </w14:solidFill>
                </w14:textFill>
              </w:rPr>
              <w:t>视为投标文件撤回</w:t>
            </w:r>
            <w:r>
              <w:rPr>
                <w:rFonts w:hint="eastAsia" w:ascii="仿宋" w:hAnsi="仿宋" w:eastAsia="仿宋" w:cs="仿宋"/>
                <w:color w:val="000000" w:themeColor="text1"/>
                <w:sz w:val="24"/>
                <w:highlight w:val="none"/>
                <w14:textFill>
                  <w14:solidFill>
                    <w14:schemeClr w14:val="tx1"/>
                  </w14:solidFill>
                </w14:textFill>
              </w:rPr>
              <w:t>。</w:t>
            </w:r>
          </w:p>
        </w:tc>
      </w:tr>
      <w:tr w14:paraId="101AA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27B3372">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w:t>
            </w:r>
          </w:p>
        </w:tc>
        <w:tc>
          <w:tcPr>
            <w:tcW w:w="8370" w:type="dxa"/>
            <w:gridSpan w:val="2"/>
            <w:vAlign w:val="center"/>
          </w:tcPr>
          <w:p w14:paraId="60875D22">
            <w:pPr>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w:t>
            </w:r>
          </w:p>
          <w:p w14:paraId="068E21F1">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highlight w:val="none"/>
                <w14:textFill>
                  <w14:solidFill>
                    <w14:schemeClr w14:val="tx1"/>
                  </w14:solidFill>
                </w14:textFill>
              </w:rPr>
              <w:t>。</w:t>
            </w:r>
          </w:p>
        </w:tc>
      </w:tr>
      <w:tr w14:paraId="451E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7B3753A">
            <w:pPr>
              <w:spacing w:line="440" w:lineRule="exact"/>
              <w:rPr>
                <w:rFonts w:ascii="仿宋" w:hAnsi="仿宋" w:eastAsia="仿宋" w:cs="仿宋"/>
                <w:color w:val="000000" w:themeColor="text1"/>
                <w:sz w:val="24"/>
                <w:highlight w:val="none"/>
                <w14:textFill>
                  <w14:solidFill>
                    <w14:schemeClr w14:val="tx1"/>
                  </w14:solidFill>
                </w14:textFill>
              </w:rPr>
            </w:pPr>
          </w:p>
        </w:tc>
        <w:tc>
          <w:tcPr>
            <w:tcW w:w="8370" w:type="dxa"/>
            <w:gridSpan w:val="2"/>
            <w:vAlign w:val="center"/>
          </w:tcPr>
          <w:p w14:paraId="667F706D">
            <w:pPr>
              <w:spacing w:line="440" w:lineRule="exact"/>
              <w:rPr>
                <w:rFonts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联合体投标的，联合体各方均需按招标文件第五部分评标标准要求提供资信证明文件，否则视为不符合相关要求。</w:t>
            </w:r>
          </w:p>
          <w:p w14:paraId="6D1B9087">
            <w:pPr>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联合体投标的，联合体中有一方或者联合体成员根据分工按招标文件第五部分评标标准要求提供资信证明文件的，视为符合了相关要求。</w:t>
            </w:r>
          </w:p>
        </w:tc>
      </w:tr>
      <w:tr w14:paraId="27511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4AEA58B">
            <w:pPr>
              <w:snapToGrid w:val="0"/>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19</w:t>
            </w:r>
          </w:p>
        </w:tc>
        <w:tc>
          <w:tcPr>
            <w:tcW w:w="8370" w:type="dxa"/>
            <w:gridSpan w:val="2"/>
            <w:vAlign w:val="center"/>
          </w:tcPr>
          <w:p w14:paraId="1B6B3292">
            <w:pP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_GB2312"/>
                <w:b/>
                <w:color w:val="000000" w:themeColor="text1"/>
                <w:sz w:val="24"/>
                <w:highlight w:val="none"/>
                <w14:textFill>
                  <w14:solidFill>
                    <w14:schemeClr w14:val="tx1"/>
                  </w14:solidFill>
                </w14:textFill>
              </w:rPr>
              <w:t>履约保证金金额：无。</w:t>
            </w:r>
          </w:p>
        </w:tc>
      </w:tr>
      <w:tr w14:paraId="7E09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59E0B36">
            <w:pPr>
              <w:snapToGrid w:val="0"/>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20</w:t>
            </w:r>
          </w:p>
        </w:tc>
        <w:tc>
          <w:tcPr>
            <w:tcW w:w="8370" w:type="dxa"/>
            <w:gridSpan w:val="2"/>
            <w:vAlign w:val="center"/>
          </w:tcPr>
          <w:p w14:paraId="3779BC70">
            <w:pP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采购代理服务费：费用由采购人支付，具体以双方签订的合同为准。</w:t>
            </w:r>
          </w:p>
        </w:tc>
      </w:tr>
      <w:tr w14:paraId="53529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5E5471B">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解释：凡涉及本招标文件的解释权属于采购人。</w:t>
            </w:r>
          </w:p>
        </w:tc>
      </w:tr>
      <w:tr w14:paraId="42249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089DD90">
            <w:pPr>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注：中标人放弃中标资格或因质疑、投诉被取消中标资格或不能履行合同的，本项目重新组织采购。</w:t>
            </w:r>
          </w:p>
        </w:tc>
      </w:tr>
      <w:bookmarkEnd w:id="4"/>
    </w:tbl>
    <w:p w14:paraId="6215EF88">
      <w:pPr>
        <w:rPr>
          <w:rFonts w:ascii="仿宋" w:hAnsi="仿宋" w:eastAsia="仿宋" w:cs="仿宋"/>
          <w:b/>
          <w:color w:val="000000" w:themeColor="text1"/>
          <w:sz w:val="32"/>
          <w:szCs w:val="32"/>
          <w:highlight w:val="none"/>
          <w14:textFill>
            <w14:solidFill>
              <w14:schemeClr w14:val="tx1"/>
            </w14:solidFill>
          </w14:textFill>
        </w:rPr>
      </w:pPr>
      <w:bookmarkStart w:id="22" w:name="第三部分"/>
      <w:bookmarkStart w:id="23" w:name="_Toc164416483"/>
      <w:r>
        <w:rPr>
          <w:rFonts w:hint="eastAsia" w:ascii="仿宋" w:hAnsi="仿宋" w:eastAsia="仿宋" w:cs="仿宋"/>
          <w:b/>
          <w:color w:val="000000" w:themeColor="text1"/>
          <w:sz w:val="32"/>
          <w:szCs w:val="32"/>
          <w:highlight w:val="none"/>
          <w14:textFill>
            <w14:solidFill>
              <w14:schemeClr w14:val="tx1"/>
            </w14:solidFill>
          </w14:textFill>
        </w:rPr>
        <w:br w:type="page"/>
      </w:r>
    </w:p>
    <w:p w14:paraId="42EC8512">
      <w:pPr>
        <w:adjustRightInd/>
        <w:spacing w:line="360" w:lineRule="auto"/>
        <w:jc w:val="center"/>
        <w:outlineLvl w:val="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一、总则</w:t>
      </w:r>
    </w:p>
    <w:p w14:paraId="398FEC98">
      <w:pPr>
        <w:snapToGrid w:val="0"/>
        <w:spacing w:line="440" w:lineRule="exact"/>
        <w:ind w:firstLine="482" w:firstLineChars="200"/>
        <w:jc w:val="left"/>
        <w:outlineLvl w:val="1"/>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1.适用范围</w:t>
      </w:r>
    </w:p>
    <w:p w14:paraId="4160B3E4">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本招标文件适用于该项目的招标、投标、开标、资格审查及信用信息查询、评标、定标、合同、验收等行为（法律、法规另有规定的，从其规定）。</w:t>
      </w:r>
    </w:p>
    <w:p w14:paraId="090601D5">
      <w:pPr>
        <w:adjustRightInd/>
        <w:spacing w:line="44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2.定义</w:t>
      </w:r>
    </w:p>
    <w:p w14:paraId="655104C1">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 “采购人”系指招标公告中载明的本项目的采购人。</w:t>
      </w:r>
    </w:p>
    <w:p w14:paraId="7DA457C9">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 “采购代理机构”系指招标公告中载明的本项目的采购代理机构。</w:t>
      </w:r>
    </w:p>
    <w:p w14:paraId="16530F8A">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 “投标人”“供应商”系指是指响应招标、参加投标竞争的法人、其他组织或者自然人。</w:t>
      </w:r>
    </w:p>
    <w:p w14:paraId="3F3E6B5A">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2.4“监督单位”系指政府采购法定义监督管理部门。</w:t>
      </w:r>
    </w:p>
    <w:p w14:paraId="3E3D9E81">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 “负责人”系指法人企业的法定负责人，或其他组织为法律、行政法规规定代表单位行使职权的主要负责人，或自然人本人。</w:t>
      </w:r>
    </w:p>
    <w:p w14:paraId="31F9799F">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16604A55">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2.7“电子交易平台”系指本项目政府采购活动所依托的政府采购云平台（https://www.zcygov.cn/）。</w:t>
      </w:r>
    </w:p>
    <w:p w14:paraId="68BE1699">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”系指适用本项目的要求，“☐”系指不适用本项目的要求。</w:t>
      </w:r>
    </w:p>
    <w:p w14:paraId="747ECC83">
      <w:pPr>
        <w:spacing w:line="440" w:lineRule="exact"/>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3.采购项目需要落实的政府采购政策</w:t>
      </w:r>
    </w:p>
    <w:p w14:paraId="299E9D0C">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E7AA9EC">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 支持绿色发展</w:t>
      </w:r>
    </w:p>
    <w:p w14:paraId="6B51DF8A">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43E0372">
      <w:pPr>
        <w:spacing w:line="440" w:lineRule="exact"/>
        <w:ind w:firstLine="480"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3.2.2采</w:t>
      </w:r>
      <w:r>
        <w:rPr>
          <w:rFonts w:hint="eastAsia" w:ascii="仿宋" w:hAnsi="仿宋" w:eastAsia="仿宋" w:cs="仿宋"/>
          <w:b/>
          <w:color w:val="000000" w:themeColor="text1"/>
          <w:sz w:val="24"/>
          <w:highlight w:val="none"/>
          <w14:textFill>
            <w14:solidFill>
              <w14:schemeClr w14:val="tx1"/>
            </w14:solidFill>
          </w14:textFill>
        </w:rPr>
        <w:t>购人拟采购的产品属于政府强制采购的节能产品品目清单范围的，投标人未按招标文件要求提供国家确定的认证机构出具的、处于有效期之内的节能产品认证证书，投标无效。</w:t>
      </w:r>
    </w:p>
    <w:p w14:paraId="76471BB8">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3.2.3 纳入政府采购管理的修缮、装修类项目采购建材的，采购单位应将绿色建材性能、指标等作为实质性条件纳入采购文件和合同，具体性能指标要求按照相关绿色建材政府采购需求标准执行。</w:t>
      </w:r>
    </w:p>
    <w:p w14:paraId="01F244B2">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2BB68CD">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7BAA308">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w:t>
      </w:r>
      <w:r>
        <w:rPr>
          <w:rFonts w:hint="eastAsia" w:ascii="仿宋" w:hAnsi="仿宋" w:eastAsia="仿宋" w:cs="仿宋"/>
          <w:bCs/>
          <w:color w:val="000000" w:themeColor="text1"/>
          <w:sz w:val="24"/>
          <w:highlight w:val="none"/>
          <w14:textFill>
            <w14:solidFill>
              <w14:schemeClr w14:val="tx1"/>
            </w14:solidFill>
          </w14:textFill>
        </w:rPr>
        <w:t>小微</w:t>
      </w:r>
      <w:r>
        <w:rPr>
          <w:rFonts w:hint="eastAsia" w:ascii="仿宋" w:hAnsi="仿宋" w:eastAsia="仿宋" w:cs="仿宋"/>
          <w:color w:val="000000" w:themeColor="text1"/>
          <w:sz w:val="24"/>
          <w:highlight w:val="none"/>
          <w14:textFill>
            <w14:solidFill>
              <w14:schemeClr w14:val="tx1"/>
            </w14:solidFill>
          </w14:textFill>
        </w:rPr>
        <w:t>企业价格扣除（按财库〔2022〕19号文件规定执行）</w:t>
      </w:r>
    </w:p>
    <w:p w14:paraId="5E03EA99">
      <w:pPr>
        <w:spacing w:line="440" w:lineRule="exact"/>
        <w:ind w:firstLine="480" w:firstLineChars="2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3.3.1小微企业是指</w:t>
      </w:r>
      <w:r>
        <w:rPr>
          <w:rFonts w:hint="eastAsia" w:ascii="仿宋" w:hAnsi="仿宋" w:eastAsia="仿宋" w:cs="仿宋"/>
          <w:bCs/>
          <w:color w:val="000000" w:themeColor="text1"/>
          <w:sz w:val="24"/>
          <w:highlight w:val="none"/>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14:paraId="404F2BC8">
      <w:pPr>
        <w:spacing w:line="440" w:lineRule="exact"/>
        <w:ind w:firstLine="480" w:firstLineChars="2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符合中小企业划分标准的个体工商户，在政府采购活动中视同中小企业。</w:t>
      </w:r>
    </w:p>
    <w:p w14:paraId="0619811B">
      <w:pPr>
        <w:spacing w:line="440" w:lineRule="exact"/>
        <w:ind w:firstLine="480" w:firstLineChars="2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highlight w:val="none"/>
          <w14:textFill>
            <w14:solidFill>
              <w14:schemeClr w14:val="tx1"/>
            </w14:solidFill>
          </w14:textFill>
        </w:rPr>
        <w:t>供应商提供的货物既有中小企业制造货物，也有大型企业制造货物的，不享受中小企业扶持政策。</w:t>
      </w:r>
    </w:p>
    <w:p w14:paraId="2D4F99F9">
      <w:pPr>
        <w:spacing w:line="440" w:lineRule="exact"/>
        <w:ind w:firstLine="480" w:firstLineChars="2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3.3.3在服务采购项目中，服务由小微企业承接，即提供服务的人员为小微企业依照《中华人民共和国劳动合同法》订立劳动合同的从业人员。</w:t>
      </w:r>
    </w:p>
    <w:p w14:paraId="0877B4AC">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3.3.4小微企业应按照招标文件格式要求提供《中小企业声明函》。</w:t>
      </w:r>
    </w:p>
    <w:p w14:paraId="7ACEB903">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46BB4880">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58F5052">
      <w:pPr>
        <w:spacing w:line="440" w:lineRule="exact"/>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以联合体形式参加政府采购活动，联合体各方均为中小企业的，联合体视同中小企业。其中，联合体各方均为小微企业的，联合体视同小微企业。</w:t>
      </w:r>
    </w:p>
    <w:p w14:paraId="2C03BA71">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3.3.7符合《关于促进残疾人就业政府采购政策的通知》（财库〔2017〕141号）规定的条件并提供《残疾人福利性单位声明函》的残疾人福利性单位视同小微企业；</w:t>
      </w:r>
    </w:p>
    <w:p w14:paraId="517A4CC1">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0B245D7">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3.4</w:t>
      </w:r>
      <w:r>
        <w:rPr>
          <w:rFonts w:hint="eastAsia" w:ascii="仿宋" w:hAnsi="仿宋" w:eastAsia="仿宋" w:cs="仿宋"/>
          <w:bCs/>
          <w:color w:val="000000" w:themeColor="text1"/>
          <w:sz w:val="24"/>
          <w:highlight w:val="none"/>
          <w14:textFill>
            <w14:solidFill>
              <w14:schemeClr w14:val="tx1"/>
            </w14:solidFill>
          </w14:textFill>
        </w:rPr>
        <w:t>支持科技创新发展</w:t>
      </w:r>
    </w:p>
    <w:p w14:paraId="05C9746E">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对省级以上主管部门认定的首台套产品，自纳入《省推广应用指导目录》起三年内参加政府采购活动，视同已具备相应销售业绩，业绩分为满分。</w:t>
      </w:r>
    </w:p>
    <w:p w14:paraId="2DFD37F6">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3.5平等对待内外资企业和符合条件的破产重整企业</w:t>
      </w:r>
    </w:p>
    <w:p w14:paraId="7C525D1D">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平等对待内外资企业和符合条件的破产重整企业，切实保障企业公平竞争，平等维护企业的合法利益。</w:t>
      </w:r>
    </w:p>
    <w:p w14:paraId="232230D7">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★4.特别说明：</w:t>
      </w:r>
    </w:p>
    <w:p w14:paraId="6AF4AC97">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4.1供应商投标所使用的资格、信誉、荣誉与企业认证必须为投标单位所拥有。供应商投标所使用的采购项目实施人员必须为投标单位正式员工。</w:t>
      </w:r>
    </w:p>
    <w:p w14:paraId="4BF5573F">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4.2供应商应仔细阅读招标文件的所有内容，按照招标文件的要求提交投标文件，并对所提供的全部资料的真实性承担法律责任。</w:t>
      </w:r>
    </w:p>
    <w:p w14:paraId="064A7CA5">
      <w:pPr>
        <w:spacing w:line="440" w:lineRule="exact"/>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19AD746">
      <w:pPr>
        <w:adjustRightInd/>
        <w:spacing w:line="360" w:lineRule="auto"/>
        <w:jc w:val="center"/>
        <w:outlineLvl w:val="0"/>
        <w:rPr>
          <w:rFonts w:ascii="仿宋" w:hAnsi="仿宋" w:eastAsia="仿宋" w:cs="仿宋"/>
          <w:b/>
          <w:color w:val="000000" w:themeColor="text1"/>
          <w:sz w:val="32"/>
          <w:szCs w:val="32"/>
          <w:highlight w:val="none"/>
          <w14:textFill>
            <w14:solidFill>
              <w14:schemeClr w14:val="tx1"/>
            </w14:solidFill>
          </w14:textFill>
        </w:rPr>
      </w:pPr>
    </w:p>
    <w:p w14:paraId="20E7621B">
      <w:pPr>
        <w:adjustRightInd/>
        <w:spacing w:line="360" w:lineRule="auto"/>
        <w:jc w:val="center"/>
        <w:outlineLvl w:val="0"/>
        <w:rPr>
          <w:rFonts w:ascii="仿宋" w:hAnsi="仿宋" w:eastAsia="仿宋" w:cs="仿宋"/>
          <w:b/>
          <w:color w:val="000000" w:themeColor="text1"/>
          <w:sz w:val="32"/>
          <w:szCs w:val="32"/>
          <w:highlight w:val="none"/>
          <w14:textFill>
            <w14:solidFill>
              <w14:schemeClr w14:val="tx1"/>
            </w14:solidFill>
          </w14:textFill>
        </w:rPr>
      </w:pPr>
    </w:p>
    <w:p w14:paraId="5F1D7F42">
      <w:pPr>
        <w:adjustRightInd/>
        <w:spacing w:line="360" w:lineRule="auto"/>
        <w:jc w:val="center"/>
        <w:outlineLvl w:val="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br w:type="textWrapping"/>
      </w:r>
      <w:r>
        <w:rPr>
          <w:rFonts w:hint="eastAsia" w:ascii="仿宋" w:hAnsi="仿宋" w:eastAsia="仿宋" w:cs="仿宋"/>
          <w:b/>
          <w:color w:val="000000" w:themeColor="text1"/>
          <w:sz w:val="32"/>
          <w:szCs w:val="32"/>
          <w:highlight w:val="none"/>
          <w14:textFill>
            <w14:solidFill>
              <w14:schemeClr w14:val="tx1"/>
            </w14:solidFill>
          </w14:textFill>
        </w:rPr>
        <w:t>二、招标文件</w:t>
      </w:r>
    </w:p>
    <w:p w14:paraId="293A8768">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1．招标方式</w:t>
      </w:r>
    </w:p>
    <w:p w14:paraId="40784026">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 本次招标采用公开招标方式进行。</w:t>
      </w:r>
    </w:p>
    <w:p w14:paraId="0BB71ACC">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如某一标项投标人或实质性响应招标文件的投标人不足三家时，由采购人重新组织招标或按有关规定实施。</w:t>
      </w:r>
    </w:p>
    <w:p w14:paraId="76095C29">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本次招标设定限价，即招标公告中公布的各标项预算金额或最高限价（各标项之间的预算金额不能互相调整）。</w:t>
      </w:r>
    </w:p>
    <w:p w14:paraId="5CCA52A1">
      <w:pPr>
        <w:pStyle w:val="25"/>
        <w:snapToGrid w:val="0"/>
        <w:spacing w:line="440" w:lineRule="exact"/>
        <w:ind w:firstLine="482"/>
        <w:jc w:val="left"/>
        <w:rPr>
          <w:rFonts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2.授权委托</w:t>
      </w:r>
    </w:p>
    <w:p w14:paraId="0011C02C">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本项目为电子投标项目，投标人的法定代表人或其授权代表或个体工商户不需要参加现场投标和开标。</w:t>
      </w:r>
    </w:p>
    <w:p w14:paraId="2BC81FEB">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3.投标费用</w:t>
      </w:r>
    </w:p>
    <w:p w14:paraId="273565D4">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投标人应自行承担编制投标文件及参加本次投标所涉及的一切费用。不管投标结果如何，采购人对上述费用不负任何责任。</w:t>
      </w:r>
    </w:p>
    <w:p w14:paraId="543ECFCF">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4.招标文件的修改</w:t>
      </w:r>
    </w:p>
    <w:p w14:paraId="15FFE585">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4.1招标文件包括本招标文件及所有的招标答疑记录（澄清、修改）和发出的补充通知。</w:t>
      </w:r>
    </w:p>
    <w:p w14:paraId="474C1C97">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4.2招标文件的澄清 </w:t>
      </w:r>
    </w:p>
    <w:p w14:paraId="4F6C4468">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01F67805">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4.3招标文件的修改</w:t>
      </w:r>
    </w:p>
    <w:p w14:paraId="2DB23133">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AC29D02">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47AD6753">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5.参考品牌</w:t>
      </w:r>
    </w:p>
    <w:p w14:paraId="4C041996">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招标文件如涉及各类品牌、型号，则所述品牌、型号是结合实际现有情况的推荐性参考方案，投标方也可根据招标文件的要求推荐性能相当或高于、服务条款相等或高于、符合招标方实际业务需求其他同档次优质品牌的产品，进行方案优化。</w:t>
      </w:r>
    </w:p>
    <w:p w14:paraId="67C1EBC8">
      <w:pPr>
        <w:pStyle w:val="3"/>
        <w:rPr>
          <w:color w:val="000000" w:themeColor="text1"/>
          <w:highlight w:val="none"/>
          <w:lang w:val="en-US"/>
          <w14:textFill>
            <w14:solidFill>
              <w14:schemeClr w14:val="tx1"/>
            </w14:solidFill>
          </w14:textFill>
        </w:rPr>
      </w:pPr>
    </w:p>
    <w:p w14:paraId="439F6E0F">
      <w:pPr>
        <w:adjustRightInd/>
        <w:spacing w:line="360" w:lineRule="auto"/>
        <w:jc w:val="center"/>
        <w:outlineLvl w:val="0"/>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三、投标文件</w:t>
      </w:r>
    </w:p>
    <w:p w14:paraId="37A61305">
      <w:pPr>
        <w:snapToGrid w:val="0"/>
        <w:spacing w:line="440" w:lineRule="exact"/>
        <w:ind w:firstLine="482" w:firstLineChars="200"/>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1.投标文件的语言、计量单位、形式及效力</w:t>
      </w:r>
    </w:p>
    <w:p w14:paraId="523982D7">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1.1投标人应仔细阅读招标文件中的所有内容，按照招标文件要求，详细编制投标文件，并保证投标文件的正确性和真实性。</w:t>
      </w:r>
    </w:p>
    <w:p w14:paraId="3F5E0602">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投标文件以及投标方与招标方就有关投标事宜的所有来往函电，均应以中文书写（技术术语除外）。</w:t>
      </w:r>
    </w:p>
    <w:p w14:paraId="6B42D0E9">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投标计量单位，除招标文件中有特殊要求外，应采用中华人民共和国法定计量单位，货币单位：人民币元。</w:t>
      </w:r>
    </w:p>
    <w:p w14:paraId="6E43EC9C">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1.4不按招标文件的要求提供的投标文件可能导致被拒绝。</w:t>
      </w:r>
    </w:p>
    <w:p w14:paraId="4980DE2A">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1.5投标文件的形式和效力</w:t>
      </w:r>
    </w:p>
    <w:p w14:paraId="2B0AC18F">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1.5.1投标文件为电子投标文件，电子投标文件按“政采云供应商项目采购-电子招投标操作指南”及本招标文件要求制作、加密传输。</w:t>
      </w:r>
    </w:p>
    <w:p w14:paraId="4280D107">
      <w:pPr>
        <w:snapToGrid w:val="0"/>
        <w:spacing w:line="440" w:lineRule="exact"/>
        <w:ind w:firstLine="482" w:firstLineChars="200"/>
        <w:jc w:val="left"/>
        <w:rPr>
          <w:rFonts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1.5.2投标文件的效力：</w:t>
      </w:r>
    </w:p>
    <w:p w14:paraId="3B27B939">
      <w:pPr>
        <w:snapToGrid w:val="0"/>
        <w:spacing w:line="440" w:lineRule="exact"/>
        <w:ind w:firstLine="482" w:firstLineChars="200"/>
        <w:jc w:val="left"/>
        <w:rPr>
          <w:rFonts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投标文件未在投标截止时间前完成传输的，视为投标文件撤回；投标文件未按时解密，亦视为投标文件撤回。</w:t>
      </w:r>
    </w:p>
    <w:p w14:paraId="37CAF180">
      <w:pPr>
        <w:pStyle w:val="33"/>
        <w:spacing w:line="440" w:lineRule="exact"/>
        <w:ind w:firstLine="482" w:firstLineChars="200"/>
        <w:rPr>
          <w:rFonts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2.投标文件的组成</w:t>
      </w:r>
    </w:p>
    <w:p w14:paraId="521D076A">
      <w:pPr>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投标文件由“资格文件”、“商务技术文件”、“报价文件”三部分组成，其中</w:t>
      </w:r>
      <w:r>
        <w:rPr>
          <w:rFonts w:hint="eastAsia" w:ascii="仿宋" w:hAnsi="仿宋" w:eastAsia="仿宋" w:cs="仿宋"/>
          <w:b/>
          <w:color w:val="000000" w:themeColor="text1"/>
          <w:sz w:val="24"/>
          <w:highlight w:val="none"/>
          <w14:textFill>
            <w14:solidFill>
              <w14:schemeClr w14:val="tx1"/>
            </w14:solidFill>
          </w14:textFill>
        </w:rPr>
        <w:t>电子投标文件中所须加盖公章部分均应采用电子签章。</w:t>
      </w:r>
    </w:p>
    <w:p w14:paraId="3B5D94E0">
      <w:pPr>
        <w:snapToGrid w:val="0"/>
        <w:spacing w:line="440" w:lineRule="exact"/>
        <w:ind w:firstLine="482" w:firstLineChars="200"/>
        <w:rPr>
          <w:rFonts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w:t>
      </w:r>
      <w:r>
        <w:rPr>
          <w:rFonts w:hint="eastAsia" w:ascii="仿宋" w:hAnsi="仿宋" w:eastAsia="仿宋" w:cs="仿宋"/>
          <w:b/>
          <w:color w:val="000000" w:themeColor="text1"/>
          <w:sz w:val="24"/>
          <w:highlight w:val="none"/>
          <w:lang w:val="zh-CN"/>
          <w14:textFill>
            <w14:solidFill>
              <w14:schemeClr w14:val="tx1"/>
            </w14:solidFill>
          </w14:textFill>
        </w:rPr>
        <w:t>.1资格文件：</w:t>
      </w:r>
    </w:p>
    <w:p w14:paraId="182E83A7">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2.1.1符合参加政府采购活动应当具备的一般条件的承诺函；</w:t>
      </w:r>
    </w:p>
    <w:p w14:paraId="5EA34676">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2.1.2联合协议（如果有)；</w:t>
      </w:r>
    </w:p>
    <w:p w14:paraId="7CCBA782">
      <w:pPr>
        <w:snapToGrid w:val="0"/>
        <w:spacing w:line="440" w:lineRule="exact"/>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2.1.3分包意向协议</w:t>
      </w:r>
      <w:r>
        <w:rPr>
          <w:rFonts w:hint="eastAsia" w:ascii="仿宋" w:hAnsi="仿宋" w:eastAsia="仿宋" w:cs="仿宋"/>
          <w:snapToGrid w:val="0"/>
          <w:color w:val="000000" w:themeColor="text1"/>
          <w:kern w:val="28"/>
          <w:sz w:val="24"/>
          <w:szCs w:val="20"/>
          <w:highlight w:val="none"/>
          <w14:textFill>
            <w14:solidFill>
              <w14:schemeClr w14:val="tx1"/>
            </w14:solidFill>
          </w14:textFill>
        </w:rPr>
        <w:t>（如果有)</w:t>
      </w:r>
      <w:r>
        <w:rPr>
          <w:rFonts w:hint="eastAsia" w:ascii="仿宋" w:hAnsi="仿宋" w:eastAsia="仿宋" w:cs="仿宋"/>
          <w:color w:val="000000" w:themeColor="text1"/>
          <w:sz w:val="24"/>
          <w:highlight w:val="none"/>
          <w14:textFill>
            <w14:solidFill>
              <w14:schemeClr w14:val="tx1"/>
            </w14:solidFill>
          </w14:textFill>
        </w:rPr>
        <w:t>；</w:t>
      </w:r>
    </w:p>
    <w:p w14:paraId="49B72CE2">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2.1.4落实政府采购政策需满足的资格要求；</w:t>
      </w:r>
    </w:p>
    <w:p w14:paraId="7A78AC8C">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2.1.5本项目的特定资格要求。</w:t>
      </w:r>
    </w:p>
    <w:p w14:paraId="5C493E31">
      <w:pPr>
        <w:snapToGrid w:val="0"/>
        <w:spacing w:line="440" w:lineRule="exact"/>
        <w:ind w:firstLine="482" w:firstLineChars="200"/>
        <w:rPr>
          <w:rFonts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2.</w:t>
      </w:r>
      <w:r>
        <w:rPr>
          <w:rFonts w:hint="eastAsia" w:ascii="仿宋" w:hAnsi="仿宋" w:eastAsia="仿宋" w:cs="仿宋"/>
          <w:b/>
          <w:color w:val="000000" w:themeColor="text1"/>
          <w:sz w:val="24"/>
          <w:highlight w:val="none"/>
          <w14:textFill>
            <w14:solidFill>
              <w14:schemeClr w14:val="tx1"/>
            </w14:solidFill>
          </w14:textFill>
        </w:rPr>
        <w:t>2商务技术</w:t>
      </w:r>
      <w:r>
        <w:rPr>
          <w:rFonts w:hint="eastAsia" w:ascii="仿宋" w:hAnsi="仿宋" w:eastAsia="仿宋" w:cs="仿宋"/>
          <w:b/>
          <w:color w:val="000000" w:themeColor="text1"/>
          <w:sz w:val="24"/>
          <w:highlight w:val="none"/>
          <w:lang w:val="zh-CN"/>
          <w14:textFill>
            <w14:solidFill>
              <w14:schemeClr w14:val="tx1"/>
            </w14:solidFill>
          </w14:textFill>
        </w:rPr>
        <w:t>文件：</w:t>
      </w:r>
    </w:p>
    <w:p w14:paraId="732DAE1C">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2.2.1投标函；</w:t>
      </w:r>
    </w:p>
    <w:p w14:paraId="6AA4269B">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2.2.2法定代表人授权委托书；</w:t>
      </w:r>
    </w:p>
    <w:p w14:paraId="4BB6A342">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2.2.3法定代表人及其授权代表身份证复印件；</w:t>
      </w:r>
    </w:p>
    <w:p w14:paraId="67D91B67">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2.2.4授权代表社保证明；</w:t>
      </w:r>
    </w:p>
    <w:p w14:paraId="15156459">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2.2.5法定代表人身份证明书；</w:t>
      </w:r>
    </w:p>
    <w:p w14:paraId="51BE97A8">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153CD8D">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2.2.7廉政承诺书（格式见第六部分附件）；</w:t>
      </w:r>
    </w:p>
    <w:p w14:paraId="2FE2C4BB">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w:t>
      </w:r>
      <w:r>
        <w:rPr>
          <w:rFonts w:hint="eastAsia" w:ascii="仿宋" w:hAnsi="仿宋" w:eastAsia="仿宋" w:cs="仿宋"/>
          <w:b/>
          <w:bCs/>
          <w:color w:val="000000" w:themeColor="text1"/>
          <w:sz w:val="24"/>
          <w:highlight w:val="none"/>
          <w14:textFill>
            <w14:solidFill>
              <w14:schemeClr w14:val="tx1"/>
            </w14:solidFill>
          </w14:textFill>
        </w:rPr>
        <w:t>必须为投标分公司本身所具有，</w:t>
      </w:r>
      <w:r>
        <w:rPr>
          <w:rFonts w:hint="eastAsia" w:ascii="仿宋" w:hAnsi="仿宋" w:eastAsia="仿宋" w:cs="仿宋"/>
          <w:color w:val="000000" w:themeColor="text1"/>
          <w:sz w:val="24"/>
          <w:highlight w:val="none"/>
          <w14:textFill>
            <w14:solidFill>
              <w14:schemeClr w14:val="tx1"/>
            </w14:solidFill>
          </w14:textFill>
        </w:rPr>
        <w:t>总公司或其他分公司的人员、业绩、荣誉、知识产权、项目案例等，不能作为该投标分公司的文件予以确认）；</w:t>
      </w:r>
    </w:p>
    <w:p w14:paraId="4B5FCCBD">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2.2.9供应商应提供针对项目的完整技术解决方案：</w:t>
      </w:r>
    </w:p>
    <w:p w14:paraId="429A542E">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13CF415C">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7D25FF0">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364A1A7B">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2.2.10针对本项目建设的详细实施计划。本项目详细工作实施组织方案，包括(但不限于)以下内容：组织机构、工作时间进度表、工作程序和步骤、管理和协调方法、关键步骤的思路和要点。</w:t>
      </w:r>
    </w:p>
    <w:p w14:paraId="6D30DBFD">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2.2.11项目验收之前、验收之后的维护方案；针对本项目的维护方案，</w:t>
      </w:r>
      <w:r>
        <w:rPr>
          <w:rFonts w:hint="eastAsia" w:ascii="仿宋" w:hAnsi="仿宋" w:eastAsia="仿宋" w:cs="仿宋"/>
          <w:b/>
          <w:bCs/>
          <w:color w:val="000000" w:themeColor="text1"/>
          <w:sz w:val="24"/>
          <w:highlight w:val="none"/>
          <w14:textFill>
            <w14:solidFill>
              <w14:schemeClr w14:val="tx1"/>
            </w14:solidFill>
          </w14:textFill>
        </w:rPr>
        <w:t>包括售后服务机构及人员情况等</w:t>
      </w:r>
      <w:r>
        <w:rPr>
          <w:rFonts w:hint="eastAsia" w:ascii="仿宋" w:hAnsi="仿宋" w:eastAsia="仿宋" w:cs="仿宋"/>
          <w:color w:val="000000" w:themeColor="text1"/>
          <w:sz w:val="24"/>
          <w:highlight w:val="none"/>
          <w14:textFill>
            <w14:solidFill>
              <w14:schemeClr w14:val="tx1"/>
            </w14:solidFill>
          </w14:textFill>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EFD8DFE">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2.2.12供应商售后服务证明材料：</w:t>
      </w:r>
      <w:r>
        <w:rPr>
          <w:rFonts w:hint="eastAsia" w:ascii="仿宋" w:hAnsi="仿宋" w:eastAsia="仿宋" w:cs="仿宋"/>
          <w:b/>
          <w:bCs/>
          <w:color w:val="000000" w:themeColor="text1"/>
          <w:sz w:val="24"/>
          <w:highlight w:val="none"/>
          <w14:textFill>
            <w14:solidFill>
              <w14:schemeClr w14:val="tx1"/>
            </w14:solidFill>
          </w14:textFill>
        </w:rPr>
        <w:t>由供应商根据本项目要求提供相应的售后服务证明材料或售后服务承诺</w:t>
      </w:r>
      <w:r>
        <w:rPr>
          <w:rFonts w:hint="eastAsia" w:ascii="仿宋" w:hAnsi="仿宋" w:eastAsia="仿宋" w:cs="仿宋"/>
          <w:color w:val="000000" w:themeColor="text1"/>
          <w:sz w:val="24"/>
          <w:highlight w:val="none"/>
          <w14:textFill>
            <w14:solidFill>
              <w14:schemeClr w14:val="tx1"/>
            </w14:solidFill>
          </w14:textFill>
        </w:rPr>
        <w:t>；</w:t>
      </w:r>
    </w:p>
    <w:p w14:paraId="75D8AD15">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78F3D77">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89DF60D">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2.2.15备品备件清单（含随机自带的备品备件和质保期后供采购人选择的备品备件及配套零部件，明细备品备件及价格，且供货价格不高于成交价格；成交货物设备应提供易损部件的备件和整机备品）；（如有）</w:t>
      </w:r>
    </w:p>
    <w:p w14:paraId="63863F28">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2.2.16培训计划（如有）；</w:t>
      </w:r>
    </w:p>
    <w:p w14:paraId="13F80911">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2.2.17验收方案；</w:t>
      </w:r>
    </w:p>
    <w:p w14:paraId="29BCC89B">
      <w:pPr>
        <w:snapToGrid w:val="0"/>
        <w:spacing w:line="440" w:lineRule="exact"/>
        <w:ind w:firstLine="480" w:firstLineChars="200"/>
        <w:rPr>
          <w:rFonts w:ascii="仿宋" w:hAnsi="仿宋" w:eastAsia="仿宋" w:cs="仿宋"/>
          <w:color w:val="000000" w:themeColor="text1"/>
          <w:sz w:val="24"/>
          <w:highlight w:val="none"/>
          <w:u w:val="wav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2.2.18</w:t>
      </w:r>
      <w:r>
        <w:rPr>
          <w:rFonts w:hint="eastAsia" w:ascii="仿宋" w:hAnsi="仿宋" w:eastAsia="仿宋" w:cs="仿宋"/>
          <w:color w:val="000000" w:themeColor="text1"/>
          <w:sz w:val="24"/>
          <w:highlight w:val="none"/>
          <w:u w:val="wave"/>
          <w14:textFill>
            <w14:solidFill>
              <w14:schemeClr w14:val="tx1"/>
            </w14:solidFill>
          </w14:textFill>
        </w:rPr>
        <w:t>未尽事宜请各投标单位按评分标准和相对应标项相关要求制作；</w:t>
      </w:r>
    </w:p>
    <w:p w14:paraId="55DE8B7C">
      <w:pPr>
        <w:snapToGrid w:val="0"/>
        <w:spacing w:line="440" w:lineRule="exact"/>
        <w:ind w:firstLine="480" w:firstLineChars="200"/>
        <w:rPr>
          <w:rFonts w:ascii="仿宋" w:hAnsi="仿宋" w:eastAsia="仿宋" w:cs="仿宋"/>
          <w:color w:val="000000" w:themeColor="text1"/>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2.2.19投标人需要说明的其他文件和说明（格式自拟）。</w:t>
      </w:r>
    </w:p>
    <w:p w14:paraId="1AA11252">
      <w:pPr>
        <w:snapToGrid w:val="0"/>
        <w:spacing w:line="440" w:lineRule="exact"/>
        <w:ind w:firstLine="482" w:firstLineChars="200"/>
        <w:rPr>
          <w:rFonts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 xml:space="preserve">2.3报价文件： </w:t>
      </w:r>
    </w:p>
    <w:p w14:paraId="52F10079">
      <w:pPr>
        <w:pStyle w:val="2"/>
        <w:autoSpaceDE/>
        <w:autoSpaceDN/>
        <w:snapToGrid w:val="0"/>
        <w:spacing w:line="440" w:lineRule="exact"/>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2.3.1开标一览表（报价表）；</w:t>
      </w:r>
    </w:p>
    <w:p w14:paraId="6D2D56C1">
      <w:pPr>
        <w:pStyle w:val="2"/>
        <w:autoSpaceDE/>
        <w:autoSpaceDN/>
        <w:snapToGrid w:val="0"/>
        <w:spacing w:line="440" w:lineRule="exact"/>
        <w:ind w:firstLine="482" w:firstLineChars="200"/>
        <w:rPr>
          <w:rFonts w:ascii="仿宋" w:hAnsi="仿宋" w:eastAsia="仿宋" w:cs="仿宋"/>
          <w:b/>
          <w:bCs/>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lang w:val="en-US"/>
          <w14:textFill>
            <w14:solidFill>
              <w14:schemeClr w14:val="tx1"/>
            </w14:solidFill>
          </w14:textFill>
        </w:rPr>
        <w:t>3.投标报价</w:t>
      </w:r>
    </w:p>
    <w:p w14:paraId="610E8BC5">
      <w:pPr>
        <w:pStyle w:val="2"/>
        <w:autoSpaceDE/>
        <w:autoSpaceDN/>
        <w:snapToGrid w:val="0"/>
        <w:spacing w:line="440" w:lineRule="exact"/>
        <w:ind w:firstLine="480" w:firstLineChars="200"/>
        <w:rPr>
          <w:rFonts w:ascii="仿宋" w:hAnsi="仿宋" w:eastAsia="仿宋" w:cs="仿宋"/>
          <w:color w:val="000000" w:themeColor="text1"/>
          <w:highlight w:val="none"/>
          <w:lang w:val="en-US"/>
          <w14:textFill>
            <w14:solidFill>
              <w14:schemeClr w14:val="tx1"/>
            </w14:solidFill>
          </w14:textFill>
        </w:rPr>
      </w:pPr>
      <w:r>
        <w:rPr>
          <w:rFonts w:hint="eastAsia" w:ascii="仿宋" w:hAnsi="仿宋" w:eastAsia="仿宋" w:cs="仿宋"/>
          <w:color w:val="000000" w:themeColor="text1"/>
          <w:highlight w:val="none"/>
          <w:lang w:val="en-US"/>
          <w14:textFill>
            <w14:solidFill>
              <w14:schemeClr w14:val="tx1"/>
            </w14:solidFill>
          </w14:textFill>
        </w:rPr>
        <w:t>3.1供应商应按招标文件中</w:t>
      </w:r>
      <w:r>
        <w:rPr>
          <w:rFonts w:hint="eastAsia" w:ascii="仿宋" w:hAnsi="仿宋" w:eastAsia="仿宋" w:cs="仿宋"/>
          <w:color w:val="000000" w:themeColor="text1"/>
          <w:highlight w:val="none"/>
          <w14:textFill>
            <w14:solidFill>
              <w14:schemeClr w14:val="tx1"/>
            </w14:solidFill>
          </w14:textFill>
        </w:rPr>
        <w:t>《开标一览表》（报价表）</w:t>
      </w:r>
      <w:r>
        <w:rPr>
          <w:rFonts w:hint="eastAsia" w:ascii="仿宋" w:hAnsi="仿宋" w:eastAsia="仿宋" w:cs="仿宋"/>
          <w:color w:val="000000" w:themeColor="text1"/>
          <w:highlight w:val="none"/>
          <w:lang w:val="en-US"/>
          <w14:textFill>
            <w14:solidFill>
              <w14:schemeClr w14:val="tx1"/>
            </w14:solidFill>
          </w14:textFill>
        </w:rPr>
        <w:t>等附表要求填写。</w:t>
      </w:r>
    </w:p>
    <w:p w14:paraId="5C4C8FDE">
      <w:pPr>
        <w:pStyle w:val="2"/>
        <w:autoSpaceDE/>
        <w:autoSpaceDN/>
        <w:snapToGrid w:val="0"/>
        <w:spacing w:line="440" w:lineRule="exact"/>
        <w:ind w:firstLine="480" w:firstLineChars="200"/>
        <w:rPr>
          <w:rFonts w:ascii="仿宋" w:hAnsi="仿宋" w:eastAsia="仿宋" w:cs="仿宋"/>
          <w:color w:val="000000" w:themeColor="text1"/>
          <w:highlight w:val="none"/>
          <w:lang w:val="en-US"/>
          <w14:textFill>
            <w14:solidFill>
              <w14:schemeClr w14:val="tx1"/>
            </w14:solidFill>
          </w14:textFill>
        </w:rPr>
      </w:pPr>
      <w:r>
        <w:rPr>
          <w:rFonts w:hint="eastAsia" w:ascii="仿宋" w:hAnsi="仿宋" w:eastAsia="仿宋" w:cs="仿宋"/>
          <w:color w:val="000000" w:themeColor="text1"/>
          <w:highlight w:val="none"/>
          <w:lang w:val="en-US"/>
          <w14:textFill>
            <w14:solidFill>
              <w14:schemeClr w14:val="tx1"/>
            </w14:solidFill>
          </w14:textFill>
        </w:rPr>
        <w:t>3.2报价为采购人可以合格使用产品的价格，包括货款、包装、运输、保险、货到就位以及安装、调试、培训、保修及产品知识产权等一切费用。</w:t>
      </w:r>
    </w:p>
    <w:p w14:paraId="09C28133">
      <w:pPr>
        <w:pStyle w:val="2"/>
        <w:autoSpaceDE/>
        <w:autoSpaceDN/>
        <w:snapToGrid w:val="0"/>
        <w:spacing w:line="440" w:lineRule="exact"/>
        <w:ind w:firstLine="480" w:firstLineChars="200"/>
        <w:rPr>
          <w:rFonts w:ascii="仿宋" w:hAnsi="仿宋" w:eastAsia="仿宋" w:cs="仿宋"/>
          <w:color w:val="000000" w:themeColor="text1"/>
          <w:highlight w:val="none"/>
          <w:lang w:val="en-US"/>
          <w14:textFill>
            <w14:solidFill>
              <w14:schemeClr w14:val="tx1"/>
            </w14:solidFill>
          </w14:textFill>
        </w:rPr>
      </w:pPr>
      <w:r>
        <w:rPr>
          <w:rFonts w:hint="eastAsia" w:ascii="仿宋" w:hAnsi="仿宋" w:eastAsia="仿宋" w:cs="仿宋"/>
          <w:color w:val="000000" w:themeColor="text1"/>
          <w:highlight w:val="none"/>
          <w:lang w:val="en-US"/>
          <w14:textFill>
            <w14:solidFill>
              <w14:schemeClr w14:val="tx1"/>
            </w14:solidFill>
          </w14:textFill>
        </w:rPr>
        <w:t>3.3招标文件未列明，而供应商认为必需的费用也需列入报价。</w:t>
      </w:r>
    </w:p>
    <w:p w14:paraId="65B23764">
      <w:pPr>
        <w:pStyle w:val="2"/>
        <w:autoSpaceDE/>
        <w:autoSpaceDN/>
        <w:snapToGrid w:val="0"/>
        <w:spacing w:line="440" w:lineRule="exact"/>
        <w:ind w:left="479" w:leftChars="228" w:firstLine="0"/>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bCs/>
          <w:color w:val="000000" w:themeColor="text1"/>
          <w:highlight w:val="none"/>
          <w:lang w:val="en-US"/>
          <w14:textFill>
            <w14:solidFill>
              <w14:schemeClr w14:val="tx1"/>
            </w14:solidFill>
          </w14:textFill>
        </w:rPr>
        <w:t>3.4投标报价只允许有一个报价，有选择的报价将不予接受（除指定外）。</w:t>
      </w:r>
      <w:r>
        <w:rPr>
          <w:rFonts w:hint="eastAsia" w:ascii="仿宋" w:hAnsi="仿宋" w:eastAsia="仿宋" w:cs="仿宋"/>
          <w:b/>
          <w:color w:val="000000" w:themeColor="text1"/>
          <w:kern w:val="0"/>
          <w:szCs w:val="24"/>
          <w:highlight w:val="none"/>
          <w14:textFill>
            <w14:solidFill>
              <w14:schemeClr w14:val="tx1"/>
            </w14:solidFill>
          </w14:textFill>
        </w:rPr>
        <w:t>4.</w:t>
      </w:r>
      <w:r>
        <w:rPr>
          <w:rFonts w:hint="eastAsia" w:ascii="仿宋" w:hAnsi="仿宋" w:eastAsia="仿宋" w:cs="仿宋"/>
          <w:b/>
          <w:color w:val="000000" w:themeColor="text1"/>
          <w:szCs w:val="24"/>
          <w:highlight w:val="none"/>
          <w14:textFill>
            <w14:solidFill>
              <w14:schemeClr w14:val="tx1"/>
            </w14:solidFill>
          </w14:textFill>
        </w:rPr>
        <w:t>投标文件的编制和</w:t>
      </w:r>
      <w:r>
        <w:rPr>
          <w:rFonts w:hint="eastAsia" w:ascii="仿宋" w:hAnsi="仿宋" w:eastAsia="仿宋" w:cs="仿宋"/>
          <w:b/>
          <w:color w:val="000000" w:themeColor="text1"/>
          <w:highlight w:val="none"/>
          <w14:textFill>
            <w14:solidFill>
              <w14:schemeClr w14:val="tx1"/>
            </w14:solidFill>
          </w14:textFill>
        </w:rPr>
        <w:t>签署</w:t>
      </w:r>
    </w:p>
    <w:p w14:paraId="11B3EB20">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4889184">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14:paraId="0FB4BD77">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58588AFF">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4.4</w:t>
      </w:r>
      <w:r>
        <w:rPr>
          <w:rFonts w:hint="eastAsia" w:ascii="仿宋" w:hAnsi="仿宋" w:eastAsia="仿宋" w:cs="仿宋"/>
          <w:color w:val="000000" w:themeColor="text1"/>
          <w:sz w:val="24"/>
          <w:highlight w:val="none"/>
          <w:lang w:val="zh-CN"/>
          <w14:textFill>
            <w14:solidFill>
              <w14:schemeClr w14:val="tx1"/>
            </w14:solidFill>
          </w14:textFill>
        </w:rPr>
        <w:t>投标文件按照招标文件第六部分格式要求进行签署、盖章。投标人的投标文件未按照招标文件要求签署、盖章的，其投标无效。</w:t>
      </w:r>
    </w:p>
    <w:p w14:paraId="68C7BC71">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4.5</w:t>
      </w:r>
      <w:r>
        <w:rPr>
          <w:rFonts w:hint="eastAsia" w:ascii="仿宋" w:hAnsi="仿宋" w:eastAsia="仿宋" w:cs="仿宋"/>
          <w:color w:val="000000" w:themeColor="text1"/>
          <w:sz w:val="24"/>
          <w:highlight w:val="none"/>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14:paraId="1D08D73D">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4.6</w:t>
      </w:r>
      <w:r>
        <w:rPr>
          <w:rFonts w:hint="eastAsia" w:ascii="仿宋" w:hAnsi="仿宋" w:eastAsia="仿宋" w:cs="仿宋"/>
          <w:color w:val="000000" w:themeColor="text1"/>
          <w:sz w:val="24"/>
          <w:highlight w:val="none"/>
          <w:lang w:val="zh-CN"/>
          <w14:textFill>
            <w14:solidFill>
              <w14:schemeClr w14:val="tx1"/>
            </w14:solidFill>
          </w14:textFill>
        </w:rPr>
        <w:t>招标文件对投标文件签署、盖章的要求适用于电子签名。</w:t>
      </w:r>
    </w:p>
    <w:p w14:paraId="24EE9A2D">
      <w:pPr>
        <w:pStyle w:val="131"/>
        <w:spacing w:before="0" w:line="440" w:lineRule="exact"/>
        <w:ind w:firstLine="482"/>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5.投标文件的提交、补充、修改、撤回</w:t>
      </w:r>
    </w:p>
    <w:p w14:paraId="6D5BE49F">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6AED72B">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5.2电子交易平台收到投标文件，将妥善保存并即时向供应商发出确认回执通知。在投标截止时间前，除供应商补充、修改或者撤回投标文件外，任何单位和个人不得解密或提取投标文件。</w:t>
      </w:r>
    </w:p>
    <w:p w14:paraId="6359556F">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5.3采购人、采购代理机构可以视情况延长投标文件提交的截止时间。在上述情况下，采购代理机构与投标人以前在投标截止期方面的全部权利、责任和义务，将适用于延长至新的投标截止期。</w:t>
      </w:r>
    </w:p>
    <w:p w14:paraId="40C58931">
      <w:pPr>
        <w:spacing w:line="440" w:lineRule="exact"/>
        <w:ind w:firstLine="482" w:firstLineChars="200"/>
        <w:rPr>
          <w:rFonts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6.投标有效期</w:t>
      </w:r>
    </w:p>
    <w:p w14:paraId="6AD7F073">
      <w:pPr>
        <w:snapToGrid w:val="0"/>
        <w:spacing w:line="440" w:lineRule="exact"/>
        <w:ind w:firstLine="480" w:firstLineChars="200"/>
        <w:jc w:val="left"/>
        <w:rPr>
          <w:rFonts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6.1投标有效期为从提交投标文件的截止之日起90天。投标人的投标文件中承诺的投标有效期少于招标文件中载明的投标有效期的，投标无效。</w:t>
      </w:r>
    </w:p>
    <w:p w14:paraId="27D2143B">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6.2投标文件合格投递后，自投标截止日期起，在投标有效期内有效。</w:t>
      </w:r>
    </w:p>
    <w:p w14:paraId="18B09E47">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6.3在原定投标有效期满之前，如果出现特殊情况，采购代理机构可以以书面形式通知投标人延长投标有效期。投标人同意延长的，不得要求或被允许修改其投标文件，投标人拒绝延长的，其投标无效。</w:t>
      </w:r>
    </w:p>
    <w:p w14:paraId="0BD9BA14">
      <w:pPr>
        <w:pStyle w:val="131"/>
        <w:spacing w:before="0"/>
        <w:ind w:firstLine="643"/>
        <w:rPr>
          <w:rFonts w:ascii="仿宋" w:hAnsi="仿宋" w:eastAsia="仿宋" w:cs="仿宋"/>
          <w:b/>
          <w:color w:val="000000" w:themeColor="text1"/>
          <w:sz w:val="32"/>
          <w:highlight w:val="none"/>
          <w14:textFill>
            <w14:solidFill>
              <w14:schemeClr w14:val="tx1"/>
            </w14:solidFill>
          </w14:textFill>
        </w:rPr>
      </w:pPr>
    </w:p>
    <w:p w14:paraId="23BDF37C">
      <w:pPr>
        <w:spacing w:line="360" w:lineRule="auto"/>
        <w:jc w:val="center"/>
        <w:rPr>
          <w:rFonts w:ascii="仿宋" w:hAnsi="仿宋" w:eastAsia="仿宋" w:cs="仿宋"/>
          <w:b/>
          <w:color w:val="000000" w:themeColor="text1"/>
          <w:sz w:val="32"/>
          <w:szCs w:val="32"/>
          <w:highlight w:val="none"/>
          <w14:textFill>
            <w14:solidFill>
              <w14:schemeClr w14:val="tx1"/>
            </w14:solidFill>
          </w14:textFill>
        </w:rPr>
      </w:pPr>
      <w:bookmarkStart w:id="24" w:name="_Toc91899903"/>
      <w:r>
        <w:rPr>
          <w:rFonts w:hint="eastAsia" w:ascii="仿宋" w:hAnsi="仿宋" w:eastAsia="仿宋" w:cs="仿宋"/>
          <w:b/>
          <w:color w:val="000000" w:themeColor="text1"/>
          <w:sz w:val="32"/>
          <w:szCs w:val="32"/>
          <w:highlight w:val="none"/>
          <w14:textFill>
            <w14:solidFill>
              <w14:schemeClr w14:val="tx1"/>
            </w14:solidFill>
          </w14:textFill>
        </w:rPr>
        <w:t>四、开标和评标</w:t>
      </w:r>
    </w:p>
    <w:p w14:paraId="2DD768D8">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1．电子招投标开标及评审程序</w:t>
      </w:r>
    </w:p>
    <w:p w14:paraId="570C55B0">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1.1投标截止时间后，主持人宣布开标会开始。</w:t>
      </w:r>
    </w:p>
    <w:p w14:paraId="4DFCC9FC">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1.2投标人登录政采云平台，用“项目采购-开标评标”功能对电子投标文件进行在线解密。在线解密电子投标文件时间为开标时间起30分钟内。</w:t>
      </w:r>
    </w:p>
    <w:p w14:paraId="38997DFC">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1.3采购人或采购代理机构对投标人进行资格审查。</w:t>
      </w:r>
    </w:p>
    <w:p w14:paraId="6F97B1B3">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1.4评标委员会对商务技术响应文件进行评审。</w:t>
      </w:r>
    </w:p>
    <w:p w14:paraId="3FF52845">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1.5主持人宣布商务技术得分及无效（废）投标情形（如有），公布经商务技术（资信）评审符合招标文件要求的投标人名单及其商务技术得分。</w:t>
      </w:r>
    </w:p>
    <w:p w14:paraId="28DD9757">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1.6启封报价文件资料，主持人宣读投标人名称、投标价格和投标文件的其他内容。未宣读的投标报价和招标文件未允许提供的备选投标方案等实质性内容，评标时不予承认。</w:t>
      </w:r>
    </w:p>
    <w:p w14:paraId="7472A137">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1.7评标委员会对投标文件报价文件资料进行评审，核准投标报价及计算价格分，汇总商务技术分、价格分，根据得分排序确定中标候选人。</w:t>
      </w:r>
    </w:p>
    <w:p w14:paraId="57B2950E">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1.8主持人公布评标结果。</w:t>
      </w:r>
    </w:p>
    <w:p w14:paraId="40485248">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特别说明：政采云公司如对电子化开标及评审程序有调整的，按调整后的程序操作。</w:t>
      </w:r>
    </w:p>
    <w:p w14:paraId="609F9731">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79049434">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2.1电子交易平台发生故障而无法登录访问的； </w:t>
      </w:r>
    </w:p>
    <w:p w14:paraId="3956F957">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2.2电子交易平台应用或数据库出现错误，不能进行正常操作的；</w:t>
      </w:r>
    </w:p>
    <w:p w14:paraId="31D0B14A">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2.3电子交易平台发现严重安全漏洞，有潜在泄密危险的；</w:t>
      </w:r>
    </w:p>
    <w:p w14:paraId="026860DA">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2.4病毒发作导致不能进行正常操作的； </w:t>
      </w:r>
    </w:p>
    <w:p w14:paraId="339E7A01">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2.5其他无法保证电子交易的公平、公正和安全的情况。</w:t>
      </w:r>
    </w:p>
    <w:p w14:paraId="00B715CE">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05724ED4">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3．评标</w:t>
      </w:r>
    </w:p>
    <w:p w14:paraId="4EC1D532">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3.1评标委员会由招标采购单位依法组建，负责评标活动。评标委员会遵循公开、公平、公正、科学合理、竞争择优的原则。</w:t>
      </w:r>
    </w:p>
    <w:p w14:paraId="2441A9FA">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3.2评标委员会由采购人代表和有关方面的专家组成，成员人数为五人以上单数。</w:t>
      </w:r>
    </w:p>
    <w:p w14:paraId="504F78BC">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3.3评标委员会可以要求投标人对其投标文件中含义不明确的内容作必要的澄清或者说明，但澄清或者说明不得超过投标文件的范围或者改变投标文件的实质性内容。</w:t>
      </w:r>
    </w:p>
    <w:p w14:paraId="171F4125">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B074F3A">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供应商通过政采云平台交换的数据电文必须进行电子签章。</w:t>
      </w:r>
    </w:p>
    <w:p w14:paraId="2DF7685E">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81DA131">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3.5评标委员会对投标文件的判定，只依据投标文件和招标文件内容本身，不依据任何外来证明。</w:t>
      </w:r>
    </w:p>
    <w:p w14:paraId="203C68F1">
      <w:pPr>
        <w:snapToGrid w:val="0"/>
        <w:spacing w:line="440" w:lineRule="exact"/>
        <w:ind w:firstLine="480" w:firstLineChars="200"/>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3.6评标委员会不向落标方解释落标的原因。</w:t>
      </w:r>
    </w:p>
    <w:p w14:paraId="68DE9E8F">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4．投标文件的初审鉴定</w:t>
      </w:r>
    </w:p>
    <w:p w14:paraId="2BBD0ED6">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4.1资格性审查</w:t>
      </w:r>
    </w:p>
    <w:p w14:paraId="206693C5">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4.1.1依据法律、法规和招标文件规定，采购人或采购人代表对投标人进行资格审查，以确定投标人是否具备投标资格。</w:t>
      </w:r>
    </w:p>
    <w:p w14:paraId="6DA8AABD">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4.2符合性审查</w:t>
      </w:r>
    </w:p>
    <w:p w14:paraId="63B0B94F">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5BDFA9C">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14:paraId="07D6D37F">
      <w:pPr>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 xml:space="preserve">5. </w:t>
      </w:r>
      <w:r>
        <w:rPr>
          <w:rFonts w:hint="eastAsia" w:ascii="仿宋" w:hAnsi="仿宋" w:eastAsia="仿宋" w:cs="仿宋"/>
          <w:b/>
          <w:color w:val="000000" w:themeColor="text1"/>
          <w:sz w:val="24"/>
          <w:highlight w:val="none"/>
          <w14:textFill>
            <w14:solidFill>
              <w14:schemeClr w14:val="tx1"/>
            </w14:solidFill>
          </w14:textFill>
        </w:rPr>
        <w:t>投标文件报价出现前后不一致的，按照下列规定修正：</w:t>
      </w:r>
    </w:p>
    <w:p w14:paraId="3B51A761">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5.1投标文件中开标一览表（报价表）内容与投标文件中相应内容不一致的，以开标一览表（报价表）为准；</w:t>
      </w:r>
    </w:p>
    <w:p w14:paraId="2DB7CD20">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5.2大写金额和小写金额不一致的，以大写金额为准；</w:t>
      </w:r>
    </w:p>
    <w:p w14:paraId="154934E1">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5.3单价金额小数点或者百分比有明显错位的，以《开标一览表》（报价表）的总价为准，并修改单价；</w:t>
      </w:r>
    </w:p>
    <w:p w14:paraId="568182E6">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5.4总价金额与按单价汇总金额不一致的，以单价金额计算结果为准。</w:t>
      </w:r>
    </w:p>
    <w:p w14:paraId="71D0ED7D">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135C3EC">
      <w:pPr>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6.投标文件的评审、比较和否决</w:t>
      </w:r>
    </w:p>
    <w:p w14:paraId="69BD77A7">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6.1评标委员会将对在实质上响应招标文件要求的投标文件进行评估和比较。</w:t>
      </w:r>
    </w:p>
    <w:p w14:paraId="4F469239">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1F72932">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6.3在评标过程中，如发现与招标文件要求相偏离的，评标委员会可对其偏离情形进行必要的核实。</w:t>
      </w:r>
    </w:p>
    <w:p w14:paraId="63983DA8">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14:paraId="43E3110F">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6.5比较与评价。评标委员会应当按照评标标准，对符合性审查合格的投标文件进行商务和技术评估，综合比较与评价。</w:t>
      </w:r>
    </w:p>
    <w:p w14:paraId="05A8195A">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6.6汇总（商务技术得分情况）。评标委员会各成员应当独立对每个投标人的商务技术文件进行评价，并汇总商务技术得分情况。</w:t>
      </w:r>
    </w:p>
    <w:p w14:paraId="5CCABFD4">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6.7 报价审核。对符合采购需求且通过商务技术（资信）评审的投标人的报价的合理性、准确性等进行审查核实。</w:t>
      </w:r>
    </w:p>
    <w:p w14:paraId="66227C0E">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D591EB1">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14:paraId="4703C4D0">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6.7.3如需投标价格修正，按财政部87号令第五十九条的规定对投标价格进行修正。</w:t>
      </w:r>
    </w:p>
    <w:p w14:paraId="32F388D3">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14:paraId="2C9FDBEE">
      <w:pPr>
        <w:pStyle w:val="33"/>
        <w:snapToGrid w:val="0"/>
        <w:spacing w:line="440" w:lineRule="exact"/>
        <w:ind w:firstLine="482" w:firstLineChars="200"/>
        <w:jc w:val="left"/>
        <w:rPr>
          <w:rFonts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7.投标文件的澄清</w:t>
      </w:r>
    </w:p>
    <w:p w14:paraId="60A4652E">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4908F736">
      <w:pPr>
        <w:pStyle w:val="33"/>
        <w:snapToGrid w:val="0"/>
        <w:spacing w:line="440" w:lineRule="exact"/>
        <w:ind w:firstLine="482" w:firstLineChars="200"/>
        <w:jc w:val="left"/>
        <w:rPr>
          <w:rFonts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8.无效投标的情形</w:t>
      </w:r>
    </w:p>
    <w:p w14:paraId="659A6D29">
      <w:pPr>
        <w:tabs>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投标文件有下列情形之一的作无效投标处理：</w:t>
      </w:r>
    </w:p>
    <w:p w14:paraId="73072706">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8.1未按照招标文件规定要求电子签章、签字或盖章的；</w:t>
      </w:r>
    </w:p>
    <w:p w14:paraId="34A775CC">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8.2单位负责人为同一人或者存在直接控股、管理关系的不同供应商参加同一合同项下的政府采购活动的（均无效）；</w:t>
      </w:r>
    </w:p>
    <w:p w14:paraId="6612851F">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8.3为采购项目提供整体设计、规范编制或者项目管理、监理、检测等服务的供应商参加该采购项目的其他采购活动的； </w:t>
      </w:r>
    </w:p>
    <w:p w14:paraId="2185DDB0">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14:paraId="40A5BE78">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8.5《法定代表人身份证明书》与提供的身份证复印件信息不符的；《法定代表人授权委托书》与提供的身份证复印件信息不符的；</w:t>
      </w:r>
    </w:p>
    <w:p w14:paraId="7A9F04D6">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8.6《法定代表人授权委托书》或《法定代表人身份证明书》填写不全、错误、未电子签章(《法定代表人授权委托书》要求“电子签章”和“签字或盖章”缺一不可）的；</w:t>
      </w:r>
    </w:p>
    <w:p w14:paraId="5A8EFE9E">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14:paraId="0ECDCF7B">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8.8投标文件中的投标函无投标人的电子签章或填写不全的；</w:t>
      </w:r>
    </w:p>
    <w:p w14:paraId="3372E004">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8.9报价一经涂改，未在涂改处加盖投标单位公章或者未经法定代表人或其授权代表签字或盖章的；</w:t>
      </w:r>
    </w:p>
    <w:p w14:paraId="223FCF72">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8.10未按招标文件规定的格式填写，或对招标服务或技术或产品等要求未详细应答或应答内容不全、有缺失的,经评标委员会认定为无法评审的；</w:t>
      </w:r>
    </w:p>
    <w:p w14:paraId="07E08797">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8.11出现同一标的物或本次招标产品(服务)内的主要产品(重要组成部分)出现商务技术文件、报价文件描述不一致或前后描述不一致，经评标委员会认定后为无法评审的；</w:t>
      </w:r>
    </w:p>
    <w:p w14:paraId="35C01A87">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8.12《技术偏离说明表》不真实填写或弄虚作假的；</w:t>
      </w:r>
    </w:p>
    <w:p w14:paraId="436FF3DD">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8.13投标文件含有采购人不能接受的附加条件；</w:t>
      </w:r>
    </w:p>
    <w:p w14:paraId="0BC1736B">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14:paraId="10D578E4">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8.15报价超过招标文件中规定的预算金额或最高限价的；</w:t>
      </w:r>
    </w:p>
    <w:p w14:paraId="0F792084">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8.16投标文件“商务技术文件”部分中出现《开标一览表》（报价表）相关内容的；</w:t>
      </w:r>
    </w:p>
    <w:p w14:paraId="6712AD5B">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14:paraId="132A1AD9">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8.18《开标一览表》（报价表）填写不完整或字迹不能辨认或有漏项的，经评标委员会认定属于重大偏差的；</w:t>
      </w:r>
    </w:p>
    <w:p w14:paraId="128926D6">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8.19投标人对根据修正原则修正后的报价不确认的；</w:t>
      </w:r>
    </w:p>
    <w:p w14:paraId="6988812C">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8.20投标人提供虚假材料投标的（包括但不限于以下情节）；</w:t>
      </w:r>
    </w:p>
    <w:p w14:paraId="263423DA">
      <w:pPr>
        <w:tabs>
          <w:tab w:val="left" w:pos="3870"/>
          <w:tab w:val="left" w:pos="4085"/>
        </w:tabs>
        <w:snapToGrid w:val="0"/>
        <w:spacing w:line="440" w:lineRule="exact"/>
        <w:ind w:left="479" w:leftChars="228"/>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8.20.1使用伪造、变造的许可证件；</w:t>
      </w:r>
    </w:p>
    <w:p w14:paraId="4D2B6AB4">
      <w:pPr>
        <w:tabs>
          <w:tab w:val="left" w:pos="3870"/>
          <w:tab w:val="left" w:pos="4085"/>
        </w:tabs>
        <w:snapToGrid w:val="0"/>
        <w:spacing w:line="440" w:lineRule="exact"/>
        <w:ind w:left="479" w:leftChars="228"/>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8.20.2提供虚假的财务状况或者业绩；</w:t>
      </w:r>
    </w:p>
    <w:p w14:paraId="75E0C263">
      <w:pPr>
        <w:tabs>
          <w:tab w:val="left" w:pos="3870"/>
          <w:tab w:val="left" w:pos="4085"/>
        </w:tabs>
        <w:snapToGrid w:val="0"/>
        <w:spacing w:line="440" w:lineRule="exact"/>
        <w:ind w:left="479" w:leftChars="228"/>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8.20.3提供虚假的项目负责人或者主要技术人员简历、劳动关系证明；</w:t>
      </w:r>
    </w:p>
    <w:p w14:paraId="20B6B5F2">
      <w:pPr>
        <w:tabs>
          <w:tab w:val="left" w:pos="3870"/>
          <w:tab w:val="left" w:pos="4085"/>
        </w:tabs>
        <w:snapToGrid w:val="0"/>
        <w:spacing w:line="440" w:lineRule="exact"/>
        <w:ind w:left="479" w:leftChars="228"/>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8.20.4提供虚假的信用状况；</w:t>
      </w:r>
    </w:p>
    <w:p w14:paraId="50FD654C">
      <w:pPr>
        <w:tabs>
          <w:tab w:val="left" w:pos="3870"/>
          <w:tab w:val="left" w:pos="4085"/>
        </w:tabs>
        <w:snapToGrid w:val="0"/>
        <w:spacing w:line="440" w:lineRule="exact"/>
        <w:ind w:left="479" w:leftChars="228"/>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8.20.5其他弄虚作假的行为。</w:t>
      </w:r>
    </w:p>
    <w:p w14:paraId="6E360954">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8.21下列情形之一的，视为投标人串通投标，其投标无效：</w:t>
      </w:r>
    </w:p>
    <w:p w14:paraId="689B7AE8">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8.21.1不同投标人的投标文件由同一单位或者个人编制；</w:t>
      </w:r>
    </w:p>
    <w:p w14:paraId="4203C9D6">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8.21.2不同投标人委托同一单位或者个人办理投标事宜；</w:t>
      </w:r>
    </w:p>
    <w:p w14:paraId="04B9D16B">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8.21.3不同投标人的投标文件载明的项目管理成员或者联系人员为同一人；</w:t>
      </w:r>
    </w:p>
    <w:p w14:paraId="1EACD9A4">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8.21.4不同投标人的投标文件异常一致或者投标报价呈规律性差异；</w:t>
      </w:r>
    </w:p>
    <w:p w14:paraId="2C9B51BC">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8.21.5不同投标人的投标文件相互混装；</w:t>
      </w:r>
    </w:p>
    <w:p w14:paraId="4575097E">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14:paraId="2EFE4346">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8.22有下列情形之一的，属于恶意串通，其投标无效：</w:t>
      </w:r>
    </w:p>
    <w:p w14:paraId="3598B639">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8.22.1供应商直接或者间接从采购人或者采购机构处获得其他供应商的相关情况并修改其投标文件或者响应文件；</w:t>
      </w:r>
    </w:p>
    <w:p w14:paraId="26DCCF25">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8.22.2供应商按照采购人或者采购机构的授意撤换、修改投标文件或者响应文件；</w:t>
      </w:r>
    </w:p>
    <w:p w14:paraId="4B33D223">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8.22.3供应商之间协商报价、技术方案等投标文件或者响应文件的实质性内容；</w:t>
      </w:r>
    </w:p>
    <w:p w14:paraId="7D0017B4">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8.22.4属于同一集团、协会、商会等组织成员的供应商按照该组织要求协同参加政府采购活动；</w:t>
      </w:r>
    </w:p>
    <w:p w14:paraId="4C92C47F">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8.22.5供应商之间事先约定由某一特定供应商中标、成交；</w:t>
      </w:r>
    </w:p>
    <w:p w14:paraId="3E52C073">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8.22.6供应商之间商定部分供应商放弃参加政府采购活动或者放弃中标、成交；</w:t>
      </w:r>
    </w:p>
    <w:p w14:paraId="193DCAEC">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8.22.7供应商与采购人或者采购机构之间、供应商相互之间，为谋求特定供应商中标、成交或者排斥其他供应商的其他串通行为。</w:t>
      </w:r>
    </w:p>
    <w:p w14:paraId="14C99D1B">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8.23评标委员会认定有重大偏差或实质性不响应招标文件要求的；</w:t>
      </w:r>
    </w:p>
    <w:p w14:paraId="5052D428">
      <w:pPr>
        <w:tabs>
          <w:tab w:val="left" w:pos="3870"/>
          <w:tab w:val="left" w:pos="4085"/>
        </w:tabs>
        <w:snapToGrid w:val="0"/>
        <w:spacing w:line="440" w:lineRule="exact"/>
        <w:ind w:firstLine="482" w:firstLineChars="200"/>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8.24投标文件出现不是唯一的、有选择性投标报价的；</w:t>
      </w:r>
    </w:p>
    <w:p w14:paraId="69093DE6">
      <w:pPr>
        <w:snapToGrid w:val="0"/>
        <w:spacing w:line="440" w:lineRule="exact"/>
        <w:ind w:firstLine="482" w:firstLineChars="200"/>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8.25未按招标文件要求提供样品或提供样品不满足采购需求实质性条件的；</w:t>
      </w:r>
    </w:p>
    <w:p w14:paraId="3E38D7F6">
      <w:pPr>
        <w:snapToGrid w:val="0"/>
        <w:spacing w:line="440" w:lineRule="exact"/>
        <w:ind w:firstLine="482" w:firstLineChars="200"/>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8.26参与同一个采购包(标段)的供应商存在下列情形之一且无法合理解释的，其投标(响应)文件无效:</w:t>
      </w:r>
    </w:p>
    <w:p w14:paraId="6CA19466">
      <w:pPr>
        <w:snapToGrid w:val="0"/>
        <w:spacing w:line="440" w:lineRule="exact"/>
        <w:ind w:firstLine="480" w:firstLineChars="2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8.26.1不同供应商的电子投标(响应)文件上传计算机的网卡MAC地址或硬盘序列号等硬件信息相同的;</w:t>
      </w:r>
    </w:p>
    <w:p w14:paraId="5371BF9A">
      <w:pPr>
        <w:snapToGrid w:val="0"/>
        <w:spacing w:line="440" w:lineRule="exact"/>
        <w:ind w:firstLine="480" w:firstLineChars="2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8.26.2上传的电子投标(响应)文件若出现使用本项目其他投标(响应)供应商的数字证书加密的，或者加盖本项目其他投标(响应)供应商的电子印章的;</w:t>
      </w:r>
    </w:p>
    <w:p w14:paraId="52FAEF46">
      <w:pPr>
        <w:snapToGrid w:val="0"/>
        <w:spacing w:line="440" w:lineRule="exact"/>
        <w:ind w:firstLine="480" w:firstLineChars="2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8.26.3不同供应商的投标(响应)文件的内容存在3处(含)以上错误一致的;</w:t>
      </w:r>
    </w:p>
    <w:p w14:paraId="36B62D43">
      <w:pPr>
        <w:snapToGrid w:val="0"/>
        <w:spacing w:line="440" w:lineRule="exact"/>
        <w:ind w:firstLine="480" w:firstLineChars="2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8.26.4不同供应商联系人为同一人或不同联系人的联系电话一致的。</w:t>
      </w:r>
    </w:p>
    <w:p w14:paraId="6AF1D7DE">
      <w:pPr>
        <w:snapToGrid w:val="0"/>
        <w:spacing w:line="440" w:lineRule="exact"/>
        <w:ind w:firstLine="482" w:firstLineChars="2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w:t>
      </w:r>
      <w:r>
        <w:rPr>
          <w:rFonts w:ascii="仿宋" w:hAnsi="仿宋" w:eastAsia="仿宋" w:cs="仿宋"/>
          <w:b/>
          <w:color w:val="000000" w:themeColor="text1"/>
          <w:sz w:val="24"/>
          <w:highlight w:val="none"/>
          <w14:textFill>
            <w14:solidFill>
              <w14:schemeClr w14:val="tx1"/>
            </w14:solidFill>
          </w14:textFill>
        </w:rPr>
        <w:t>7</w:t>
      </w:r>
      <w:r>
        <w:rPr>
          <w:rFonts w:hint="eastAsia" w:ascii="仿宋" w:hAnsi="仿宋" w:eastAsia="仿宋" w:cs="仿宋"/>
          <w:b/>
          <w:color w:val="000000" w:themeColor="text1"/>
          <w:sz w:val="24"/>
          <w:highlight w:val="none"/>
          <w14:textFill>
            <w14:solidFill>
              <w14:schemeClr w14:val="tx1"/>
            </w14:solidFill>
          </w14:textFill>
        </w:rPr>
        <w:t>其他违反法律、法规的情形。</w:t>
      </w:r>
    </w:p>
    <w:p w14:paraId="280CDCAE">
      <w:pPr>
        <w:snapToGrid w:val="0"/>
        <w:spacing w:line="440" w:lineRule="exact"/>
        <w:ind w:firstLine="482" w:firstLineChars="200"/>
        <w:rPr>
          <w:rFonts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9.评标过程保密</w:t>
      </w:r>
    </w:p>
    <w:p w14:paraId="5428A1C5">
      <w:pPr>
        <w:snapToGrid w:val="0"/>
        <w:spacing w:line="440" w:lineRule="exact"/>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9.1</w:t>
      </w:r>
      <w:r>
        <w:rPr>
          <w:rFonts w:hint="eastAsia" w:ascii="仿宋" w:hAnsi="仿宋" w:eastAsia="仿宋" w:cs="仿宋"/>
          <w:color w:val="000000" w:themeColor="text1"/>
          <w:sz w:val="24"/>
          <w:highlight w:val="none"/>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4B1CD16">
      <w:pPr>
        <w:snapToGrid w:val="0"/>
        <w:spacing w:line="440" w:lineRule="exact"/>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9.2 在评标期间，投标人企图影响</w:t>
      </w:r>
      <w:r>
        <w:rPr>
          <w:rFonts w:hint="eastAsia" w:ascii="仿宋" w:hAnsi="仿宋" w:eastAsia="仿宋" w:cs="仿宋"/>
          <w:color w:val="000000" w:themeColor="text1"/>
          <w:sz w:val="24"/>
          <w:highlight w:val="none"/>
          <w14:textFill>
            <w14:solidFill>
              <w14:schemeClr w14:val="tx1"/>
            </w14:solidFill>
          </w14:textFill>
        </w:rPr>
        <w:t>采购人</w:t>
      </w:r>
      <w:r>
        <w:rPr>
          <w:rFonts w:hint="eastAsia" w:ascii="仿宋" w:hAnsi="仿宋" w:eastAsia="仿宋" w:cs="仿宋"/>
          <w:color w:val="000000" w:themeColor="text1"/>
          <w:kern w:val="0"/>
          <w:sz w:val="24"/>
          <w:highlight w:val="none"/>
          <w14:textFill>
            <w14:solidFill>
              <w14:schemeClr w14:val="tx1"/>
            </w14:solidFill>
          </w14:textFill>
        </w:rPr>
        <w:t>或</w:t>
      </w:r>
      <w:r>
        <w:rPr>
          <w:rFonts w:hint="eastAsia" w:ascii="仿宋" w:hAnsi="仿宋" w:eastAsia="仿宋" w:cs="仿宋"/>
          <w:color w:val="000000" w:themeColor="text1"/>
          <w:sz w:val="24"/>
          <w:highlight w:val="none"/>
          <w14:textFill>
            <w14:solidFill>
              <w14:schemeClr w14:val="tx1"/>
            </w14:solidFill>
          </w14:textFill>
        </w:rPr>
        <w:t>评标委员会</w:t>
      </w:r>
      <w:r>
        <w:rPr>
          <w:rFonts w:hint="eastAsia" w:ascii="仿宋" w:hAnsi="仿宋" w:eastAsia="仿宋" w:cs="仿宋"/>
          <w:color w:val="000000" w:themeColor="text1"/>
          <w:kern w:val="0"/>
          <w:sz w:val="24"/>
          <w:highlight w:val="none"/>
          <w14:textFill>
            <w14:solidFill>
              <w14:schemeClr w14:val="tx1"/>
            </w14:solidFill>
          </w14:textFill>
        </w:rPr>
        <w:t>的任何活动，都将导致投标被拒绝，并由其承担相应的法律责任。</w:t>
      </w:r>
    </w:p>
    <w:p w14:paraId="6B73CC14">
      <w:pPr>
        <w:snapToGrid w:val="0"/>
        <w:spacing w:line="440" w:lineRule="exact"/>
        <w:ind w:firstLine="482" w:firstLineChars="150"/>
        <w:jc w:val="center"/>
        <w:rPr>
          <w:rFonts w:ascii="仿宋" w:hAnsi="仿宋" w:eastAsia="仿宋" w:cs="仿宋"/>
          <w:b/>
          <w:color w:val="000000" w:themeColor="text1"/>
          <w:sz w:val="32"/>
          <w:highlight w:val="none"/>
          <w14:textFill>
            <w14:solidFill>
              <w14:schemeClr w14:val="tx1"/>
            </w14:solidFill>
          </w14:textFill>
        </w:rPr>
      </w:pPr>
    </w:p>
    <w:bookmarkEnd w:id="24"/>
    <w:p w14:paraId="36530736">
      <w:pPr>
        <w:pStyle w:val="33"/>
        <w:spacing w:line="440" w:lineRule="exact"/>
        <w:ind w:firstLine="726"/>
        <w:jc w:val="center"/>
        <w:rPr>
          <w:rFonts w:ascii="仿宋" w:hAnsi="仿宋" w:eastAsia="仿宋" w:cs="仿宋"/>
          <w:b/>
          <w:bCs/>
          <w:color w:val="000000" w:themeColor="text1"/>
          <w:sz w:val="24"/>
          <w:highlight w:val="none"/>
          <w14:textFill>
            <w14:solidFill>
              <w14:schemeClr w14:val="tx1"/>
            </w14:solidFill>
          </w14:textFill>
        </w:rPr>
      </w:pPr>
      <w:bookmarkStart w:id="25" w:name="_Hlt75236011"/>
      <w:bookmarkEnd w:id="25"/>
      <w:bookmarkStart w:id="26" w:name="_Hlt74714665"/>
      <w:bookmarkEnd w:id="26"/>
      <w:bookmarkStart w:id="27" w:name="_Hlt74730295"/>
      <w:bookmarkEnd w:id="27"/>
      <w:bookmarkStart w:id="28" w:name="_Hlt75236101"/>
      <w:bookmarkEnd w:id="28"/>
      <w:bookmarkStart w:id="29" w:name="_Hlt68072990"/>
      <w:bookmarkEnd w:id="29"/>
      <w:bookmarkStart w:id="30" w:name="_Hlt68073093"/>
      <w:bookmarkEnd w:id="30"/>
      <w:bookmarkStart w:id="31" w:name="_Hlt74707468"/>
      <w:bookmarkEnd w:id="31"/>
      <w:bookmarkStart w:id="32" w:name="_Hlt75236290"/>
      <w:bookmarkEnd w:id="32"/>
      <w:bookmarkStart w:id="33" w:name="_Hlt68072998"/>
      <w:bookmarkEnd w:id="33"/>
      <w:bookmarkStart w:id="34" w:name="_Hlt74729768"/>
      <w:bookmarkEnd w:id="34"/>
      <w:bookmarkStart w:id="35" w:name="_Hlt68057669"/>
      <w:bookmarkEnd w:id="35"/>
      <w:bookmarkStart w:id="36" w:name="_Hlt68403820"/>
      <w:bookmarkEnd w:id="36"/>
      <w:bookmarkStart w:id="37" w:name="_Toc84325929"/>
      <w:bookmarkStart w:id="38" w:name="_Toc81372776"/>
      <w:bookmarkStart w:id="39" w:name="_Toc81372953"/>
      <w:r>
        <w:rPr>
          <w:rFonts w:hint="eastAsia" w:ascii="仿宋" w:hAnsi="仿宋" w:eastAsia="仿宋" w:cs="仿宋"/>
          <w:b/>
          <w:color w:val="000000" w:themeColor="text1"/>
          <w:sz w:val="32"/>
          <w:szCs w:val="32"/>
          <w:highlight w:val="none"/>
          <w14:textFill>
            <w14:solidFill>
              <w14:schemeClr w14:val="tx1"/>
            </w14:solidFill>
          </w14:textFill>
        </w:rPr>
        <w:t>五、授予合同</w:t>
      </w:r>
      <w:bookmarkEnd w:id="37"/>
      <w:bookmarkEnd w:id="38"/>
      <w:bookmarkEnd w:id="39"/>
    </w:p>
    <w:p w14:paraId="2AED924B">
      <w:pPr>
        <w:snapToGrid w:val="0"/>
        <w:spacing w:line="360" w:lineRule="exact"/>
        <w:ind w:firstLine="482" w:firstLineChars="200"/>
        <w:rPr>
          <w:rFonts w:ascii="仿宋" w:hAnsi="仿宋" w:eastAsia="仿宋" w:cs="仿宋"/>
          <w:b/>
          <w:bCs/>
          <w:color w:val="000000" w:themeColor="text1"/>
          <w:sz w:val="24"/>
          <w:highlight w:val="none"/>
          <w14:textFill>
            <w14:solidFill>
              <w14:schemeClr w14:val="tx1"/>
            </w14:solidFill>
          </w14:textFill>
        </w:rPr>
      </w:pPr>
    </w:p>
    <w:p w14:paraId="446F6619">
      <w:pPr>
        <w:pStyle w:val="17"/>
        <w:tabs>
          <w:tab w:val="clear" w:pos="390"/>
          <w:tab w:val="clear" w:pos="454"/>
        </w:tabs>
        <w:spacing w:after="120" w:line="440" w:lineRule="exact"/>
        <w:ind w:left="0" w:firstLine="482" w:firstLineChars="200"/>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1.中标条件</w:t>
      </w:r>
    </w:p>
    <w:p w14:paraId="4F8244DD">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1.1投标文件基本符合招标文件要求；</w:t>
      </w:r>
    </w:p>
    <w:p w14:paraId="3EECF579">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1.2投标人有很好的执行合同的能力；</w:t>
      </w:r>
    </w:p>
    <w:p w14:paraId="0B6A9468">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1.3实施方案最合理并对采购人最为有利，最大限度满足招标文件的要求；</w:t>
      </w:r>
    </w:p>
    <w:p w14:paraId="6F7ABE51">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1.4投标人能够提供质量技术、商务经济占综合优势的系统及服务。</w:t>
      </w:r>
    </w:p>
    <w:p w14:paraId="233ECAC3">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1.5采购人将把中标通知书授予最佳投标者，但最低价不是中标的绝对保证。</w:t>
      </w:r>
    </w:p>
    <w:p w14:paraId="1AEF828E">
      <w:pPr>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2.中标确认</w:t>
      </w:r>
    </w:p>
    <w:p w14:paraId="7A63C5F9">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2.1采购人应当自收到评标报告之日起5个工作日内，在评标报告确定的中标候选人名单中按顺序确定中标人。</w:t>
      </w:r>
    </w:p>
    <w:p w14:paraId="3B89C110">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7E106B8A">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2.3采购人应在确认中标人前再次对资格条件和相关证件材料进一步查验核实。</w:t>
      </w:r>
    </w:p>
    <w:p w14:paraId="1CA177C7">
      <w:pPr>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3．中标通知</w:t>
      </w:r>
    </w:p>
    <w:p w14:paraId="7DC423FF">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3.1采购代理机构对中标结果在指定媒体（浙江政府采购网</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"http://www.zjzfcg.gov.cn"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 w:val="24"/>
          <w:highlight w:val="none"/>
          <w14:textFill>
            <w14:solidFill>
              <w14:schemeClr w14:val="tx1"/>
            </w14:solidFill>
          </w14:textFill>
        </w:rPr>
        <w:t>http://zfcg.czt.zj.gov.cn/</w:t>
      </w:r>
      <w:r>
        <w:rPr>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）发布中标公告，中标公告期限为1个工作日。</w:t>
      </w:r>
    </w:p>
    <w:p w14:paraId="2493F0FE">
      <w:pPr>
        <w:snapToGrid w:val="0"/>
        <w:spacing w:line="440" w:lineRule="exact"/>
        <w:ind w:firstLine="480" w:firstLineChars="200"/>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highlight w:val="none"/>
          <w:lang w:val="zh-CN"/>
          <w14:textFill>
            <w14:solidFill>
              <w14:schemeClr w14:val="tx1"/>
            </w14:solidFill>
          </w14:textFill>
        </w:rPr>
        <w:t>。</w:t>
      </w:r>
    </w:p>
    <w:p w14:paraId="15B9B771">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3.3采购代理机构对中标结果不作任何说明和解释，也不回答任何提问。</w:t>
      </w:r>
    </w:p>
    <w:p w14:paraId="5D0D952D">
      <w:pPr>
        <w:pStyle w:val="25"/>
        <w:tabs>
          <w:tab w:val="left" w:pos="2760"/>
        </w:tabs>
        <w:spacing w:line="360" w:lineRule="auto"/>
        <w:ind w:firstLine="482"/>
        <w:rPr>
          <w:rFonts w:ascii="仿宋" w:hAnsi="仿宋" w:eastAsia="仿宋" w:cs="仿宋_GB2312"/>
          <w:b/>
          <w:color w:val="000000" w:themeColor="text1"/>
          <w:highlight w:val="none"/>
          <w14:textFill>
            <w14:solidFill>
              <w14:schemeClr w14:val="tx1"/>
            </w14:solidFill>
          </w14:textFill>
        </w:rPr>
      </w:pPr>
      <w:r>
        <w:rPr>
          <w:rFonts w:hint="eastAsia" w:ascii="仿宋" w:hAnsi="仿宋" w:eastAsia="仿宋" w:cs="仿宋_GB2312"/>
          <w:b/>
          <w:color w:val="000000" w:themeColor="text1"/>
          <w:highlight w:val="none"/>
          <w14:textFill>
            <w14:solidFill>
              <w14:schemeClr w14:val="tx1"/>
            </w14:solidFill>
          </w14:textFill>
        </w:rPr>
        <w:t>4. 履约保证金</w:t>
      </w:r>
      <w:r>
        <w:rPr>
          <w:rFonts w:ascii="仿宋" w:hAnsi="仿宋" w:eastAsia="仿宋" w:cs="仿宋_GB2312"/>
          <w:b/>
          <w:color w:val="000000" w:themeColor="text1"/>
          <w:highlight w:val="none"/>
          <w14:textFill>
            <w14:solidFill>
              <w14:schemeClr w14:val="tx1"/>
            </w14:solidFill>
          </w14:textFill>
        </w:rPr>
        <w:tab/>
      </w:r>
    </w:p>
    <w:p w14:paraId="7B08665B">
      <w:pPr>
        <w:tabs>
          <w:tab w:val="left" w:pos="0"/>
        </w:tabs>
        <w:spacing w:line="360" w:lineRule="auto"/>
        <w:ind w:firstLine="482"/>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Helvetica"/>
          <w:color w:val="000000" w:themeColor="text1"/>
          <w:kern w:val="0"/>
          <w:sz w:val="24"/>
          <w:highlight w:val="none"/>
          <w14:textFill>
            <w14:solidFill>
              <w14:schemeClr w14:val="tx1"/>
            </w14:solidFill>
          </w14:textFill>
        </w:rPr>
        <w:t>拟签订的合同文本要求中标供应商提交履约保证金的，供应商应当以支票、汇票、本票或者金融机构、担保机构出具的保函等非现金形式提交</w:t>
      </w:r>
      <w:r>
        <w:rPr>
          <w:rFonts w:hint="eastAsia" w:ascii="仿宋" w:hAnsi="仿宋" w:eastAsia="仿宋"/>
          <w:color w:val="000000" w:themeColor="text1"/>
          <w:sz w:val="24"/>
          <w:highlight w:val="none"/>
          <w14:textFill>
            <w14:solidFill>
              <w14:schemeClr w14:val="tx1"/>
            </w14:solidFill>
          </w14:textFill>
        </w:rPr>
        <w:t>。履约保证金的数额不得超过政府采购合同金额的</w:t>
      </w:r>
      <w:r>
        <w:rPr>
          <w:rFonts w:hint="eastAsia" w:ascii="仿宋" w:hAnsi="仿宋" w:eastAsia="仿宋"/>
          <w:b/>
          <w:color w:val="000000" w:themeColor="text1"/>
          <w:sz w:val="24"/>
          <w:highlight w:val="none"/>
          <w14:textFill>
            <w14:solidFill>
              <w14:schemeClr w14:val="tx1"/>
            </w14:solidFill>
          </w14:textFill>
        </w:rPr>
        <w:t>0.5</w:t>
      </w:r>
      <w:r>
        <w:rPr>
          <w:rFonts w:hint="eastAsia" w:ascii="仿宋" w:hAnsi="仿宋" w:eastAsia="仿宋"/>
          <w:color w:val="000000" w:themeColor="text1"/>
          <w:sz w:val="24"/>
          <w:highlight w:val="none"/>
          <w14:textFill>
            <w14:solidFill>
              <w14:schemeClr w14:val="tx1"/>
            </w14:solidFill>
          </w14:textFill>
        </w:rPr>
        <w:t>%，</w:t>
      </w:r>
      <w:r>
        <w:rPr>
          <w:rFonts w:hint="eastAsia" w:ascii="仿宋" w:hAnsi="仿宋" w:eastAsia="仿宋" w:cs="宋体"/>
          <w:color w:val="000000" w:themeColor="text1"/>
          <w:sz w:val="24"/>
          <w:highlight w:val="none"/>
          <w14:textFill>
            <w14:solidFill>
              <w14:schemeClr w14:val="tx1"/>
            </w14:solidFill>
          </w14:textFill>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000000" w:themeColor="text1"/>
          <w:sz w:val="24"/>
          <w:highlight w:val="none"/>
          <w14:textFill>
            <w14:solidFill>
              <w14:schemeClr w14:val="tx1"/>
            </w14:solidFill>
          </w14:textFill>
        </w:rPr>
        <w:t>延迟退还的，应当按照合同约定和法律规定承担相应的赔偿责任</w:t>
      </w:r>
      <w:r>
        <w:rPr>
          <w:rFonts w:hint="eastAsia" w:ascii="仿宋" w:hAnsi="仿宋" w:eastAsia="仿宋" w:cs="宋体"/>
          <w:color w:val="000000" w:themeColor="text1"/>
          <w:sz w:val="24"/>
          <w:highlight w:val="none"/>
          <w14:textFill>
            <w14:solidFill>
              <w14:schemeClr w14:val="tx1"/>
            </w14:solidFill>
          </w14:textFill>
        </w:rPr>
        <w:t>。</w:t>
      </w:r>
    </w:p>
    <w:p w14:paraId="109B060E">
      <w:pPr>
        <w:tabs>
          <w:tab w:val="left" w:pos="0"/>
        </w:tabs>
        <w:spacing w:line="360" w:lineRule="auto"/>
        <w:ind w:firstLine="482"/>
        <w:rPr>
          <w:rFonts w:ascii="仿宋" w:eastAsia="仿宋" w:cs="宋体"/>
          <w:snapToGrid w:val="0"/>
          <w:color w:val="000000" w:themeColor="text1"/>
          <w:kern w:val="28"/>
          <w:sz w:val="24"/>
          <w:highlight w:val="none"/>
          <w14:textFill>
            <w14:solidFill>
              <w14:schemeClr w14:val="tx1"/>
            </w14:solidFill>
          </w14:textFill>
        </w:rPr>
      </w:pPr>
      <w:r>
        <w:rPr>
          <w:rFonts w:hint="eastAsia" w:ascii="仿宋" w:eastAsia="仿宋" w:cs="宋体"/>
          <w:snapToGrid w:val="0"/>
          <w:color w:val="000000" w:themeColor="text1"/>
          <w:kern w:val="28"/>
          <w:sz w:val="24"/>
          <w:highlight w:val="none"/>
          <w14:textFill>
            <w14:solidFill>
              <w14:schemeClr w14:val="tx1"/>
            </w14:solidFill>
          </w14:textFill>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446710A4">
      <w:pPr>
        <w:tabs>
          <w:tab w:val="left" w:pos="0"/>
        </w:tabs>
        <w:spacing w:line="360" w:lineRule="auto"/>
        <w:ind w:firstLine="482"/>
        <w:rPr>
          <w:rFonts w:ascii="仿宋" w:eastAsia="仿宋" w:cs="宋体"/>
          <w:b/>
          <w:bCs/>
          <w:snapToGrid w:val="0"/>
          <w:color w:val="000000" w:themeColor="text1"/>
          <w:kern w:val="28"/>
          <w:sz w:val="24"/>
          <w:highlight w:val="none"/>
          <w:lang w:val="zh-CN"/>
          <w14:textFill>
            <w14:solidFill>
              <w14:schemeClr w14:val="tx1"/>
            </w14:solidFill>
          </w14:textFill>
        </w:rPr>
      </w:pPr>
      <w:r>
        <w:rPr>
          <w:rFonts w:hint="eastAsia" w:ascii="仿宋" w:eastAsia="仿宋" w:cs="宋体"/>
          <w:b/>
          <w:bCs/>
          <w:snapToGrid w:val="0"/>
          <w:color w:val="000000" w:themeColor="text1"/>
          <w:kern w:val="28"/>
          <w:sz w:val="24"/>
          <w:highlight w:val="none"/>
          <w14:textFill>
            <w14:solidFill>
              <w14:schemeClr w14:val="tx1"/>
            </w14:solidFill>
          </w14:textFill>
        </w:rPr>
        <w:t>5.</w:t>
      </w:r>
      <w:r>
        <w:rPr>
          <w:rFonts w:hint="eastAsia" w:ascii="仿宋" w:eastAsia="仿宋" w:cs="宋体"/>
          <w:b/>
          <w:bCs/>
          <w:snapToGrid w:val="0"/>
          <w:color w:val="000000" w:themeColor="text1"/>
          <w:kern w:val="28"/>
          <w:sz w:val="24"/>
          <w:highlight w:val="none"/>
          <w:lang w:val="zh-CN"/>
          <w14:textFill>
            <w14:solidFill>
              <w14:schemeClr w14:val="tx1"/>
            </w14:solidFill>
          </w14:textFill>
        </w:rPr>
        <w:t>预付款</w:t>
      </w:r>
      <w:bookmarkStart w:id="40" w:name="OLE_LINK10"/>
    </w:p>
    <w:p w14:paraId="301C7D56">
      <w:pPr>
        <w:tabs>
          <w:tab w:val="left" w:pos="0"/>
        </w:tabs>
        <w:spacing w:line="360" w:lineRule="auto"/>
        <w:ind w:firstLine="482"/>
        <w:rPr>
          <w:rFonts w:ascii="仿宋" w:eastAsia="仿宋" w:cs="宋体"/>
          <w:snapToGrid w:val="0"/>
          <w:color w:val="000000" w:themeColor="text1"/>
          <w:kern w:val="28"/>
          <w:sz w:val="24"/>
          <w:highlight w:val="none"/>
          <w:lang w:val="zh-CN"/>
          <w14:textFill>
            <w14:solidFill>
              <w14:schemeClr w14:val="tx1"/>
            </w14:solidFill>
          </w14:textFill>
        </w:rPr>
      </w:pPr>
      <w:r>
        <w:rPr>
          <w:rFonts w:hint="eastAsia" w:ascii="仿宋" w:eastAsia="仿宋" w:cs="宋体"/>
          <w:snapToGrid w:val="0"/>
          <w:color w:val="000000" w:themeColor="text1"/>
          <w:kern w:val="28"/>
          <w:sz w:val="24"/>
          <w:highlight w:val="none"/>
          <w:lang w:val="zh-CN"/>
          <w14:textFill>
            <w14:solidFill>
              <w14:schemeClr w14:val="tx1"/>
            </w14:solidFill>
          </w14:textFill>
        </w:rPr>
        <w:t>采购单位应当在政府采购合同中约定预付款，</w:t>
      </w:r>
      <w:bookmarkEnd w:id="40"/>
      <w:r>
        <w:rPr>
          <w:rFonts w:hint="eastAsia" w:ascii="仿宋" w:eastAsia="仿宋" w:cs="宋体"/>
          <w:snapToGrid w:val="0"/>
          <w:color w:val="000000" w:themeColor="text1"/>
          <w:kern w:val="28"/>
          <w:sz w:val="24"/>
          <w:highlight w:val="none"/>
          <w:lang w:val="zh-CN"/>
          <w14:textFill>
            <w14:solidFill>
              <w14:schemeClr w14:val="tx1"/>
            </w14:solidFill>
          </w14:textFill>
        </w:rPr>
        <w:t>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eastAsia="仿宋" w:cs="宋体"/>
          <w:snapToGrid w:val="0"/>
          <w:color w:val="000000" w:themeColor="text1"/>
          <w:kern w:val="28"/>
          <w:sz w:val="24"/>
          <w:highlight w:val="none"/>
          <w14:textFill>
            <w14:solidFill>
              <w14:schemeClr w14:val="tx1"/>
            </w14:solidFill>
          </w14:textFill>
        </w:rPr>
        <w:t>7</w:t>
      </w:r>
      <w:r>
        <w:rPr>
          <w:rFonts w:hint="eastAsia" w:ascii="仿宋" w:eastAsia="仿宋" w:cs="宋体"/>
          <w:snapToGrid w:val="0"/>
          <w:color w:val="000000" w:themeColor="text1"/>
          <w:kern w:val="28"/>
          <w:sz w:val="24"/>
          <w:highlight w:val="none"/>
          <w:lang w:val="zh-CN"/>
          <w14:textFill>
            <w14:solidFill>
              <w14:schemeClr w14:val="tx1"/>
            </w14:solidFill>
          </w14:textFill>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298C1BA8">
      <w:pPr>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6．合同签订及备案</w:t>
      </w:r>
    </w:p>
    <w:p w14:paraId="6A333E6C">
      <w:pPr>
        <w:snapToGrid w:val="0"/>
        <w:spacing w:line="440" w:lineRule="exact"/>
        <w:ind w:firstLine="480" w:firstLineChars="200"/>
        <w:rPr>
          <w:rFonts w:ascii="仿宋" w:hAnsi="仿宋" w:eastAsia="仿宋" w:cs="宋体"/>
          <w:snapToGrid w:val="0"/>
          <w:color w:val="000000" w:themeColor="text1"/>
          <w:kern w:val="28"/>
          <w:sz w:val="24"/>
          <w:szCs w:val="32"/>
          <w:highlight w:val="none"/>
          <w14:textFill>
            <w14:solidFill>
              <w14:schemeClr w14:val="tx1"/>
            </w14:solidFill>
          </w14:textFill>
        </w:rPr>
      </w:pPr>
      <w:r>
        <w:rPr>
          <w:rFonts w:hint="eastAsia" w:ascii="仿宋" w:hAnsi="仿宋" w:eastAsia="仿宋" w:cs="宋体"/>
          <w:snapToGrid w:val="0"/>
          <w:color w:val="000000" w:themeColor="text1"/>
          <w:kern w:val="28"/>
          <w:sz w:val="24"/>
          <w:szCs w:val="32"/>
          <w:highlight w:val="none"/>
          <w14:textFill>
            <w14:solidFill>
              <w14:schemeClr w14:val="tx1"/>
            </w14:solidFill>
          </w14:textFill>
        </w:rPr>
        <w:t>6.1中标人应当在中标通知书发出之日起30天内与采购人签订合同，自采购合同签订之日起2个工作日内，通过电子交易平台进行备案。</w:t>
      </w:r>
    </w:p>
    <w:p w14:paraId="2604A0FB">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6.2如中标人为联合体的，由联合体成员各方法定代表人或其授权代表与采购人代表签订合同。</w:t>
      </w:r>
    </w:p>
    <w:p w14:paraId="08BC7C43">
      <w:pPr>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7.验收</w:t>
      </w:r>
    </w:p>
    <w:p w14:paraId="30ED5B66">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4ED5391">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7.2采购人可以邀请参加本项目的其他投标人或者第三方机构参与验收。参与验收的投标人或者第三方机构的意见作为验收书的参考资料一并存档。</w:t>
      </w:r>
    </w:p>
    <w:p w14:paraId="4E40BC18">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7.3 采购人负责加强对中标人的履约管理，并按照采购合同约定，及时向中标人支付采购资金。对于中标人违反采购合同约定的行为，采购人应当及时处理，依法追究其违约责任。</w:t>
      </w:r>
    </w:p>
    <w:p w14:paraId="2E03EFF7">
      <w:pPr>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8.售后服务考核</w:t>
      </w:r>
    </w:p>
    <w:p w14:paraId="753B9013">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3E4E418C">
      <w:pPr>
        <w:tabs>
          <w:tab w:val="left" w:pos="0"/>
        </w:tabs>
        <w:spacing w:line="360" w:lineRule="auto"/>
        <w:ind w:firstLine="480"/>
        <w:rPr>
          <w:rFonts w:ascii="仿宋" w:hAnsi="仿宋" w:eastAsia="仿宋" w:cs="仿宋"/>
          <w:color w:val="000000" w:themeColor="text1"/>
          <w:kern w:val="0"/>
          <w:sz w:val="24"/>
          <w:highlight w:val="none"/>
          <w14:textFill>
            <w14:solidFill>
              <w14:schemeClr w14:val="tx1"/>
            </w14:solidFill>
          </w14:textFill>
        </w:rPr>
      </w:pPr>
    </w:p>
    <w:p w14:paraId="4CA38C98">
      <w:pPr>
        <w:adjustRightInd/>
        <w:spacing w:line="440" w:lineRule="exact"/>
        <w:jc w:val="center"/>
        <w:outlineLvl w:val="0"/>
        <w:rPr>
          <w:rFonts w:ascii="仿宋" w:hAnsi="仿宋" w:eastAsia="仿宋" w:cs="仿宋"/>
          <w:b/>
          <w:bCs/>
          <w:color w:val="000000" w:themeColor="text1"/>
          <w:sz w:val="24"/>
          <w:szCs w:val="20"/>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六、</w:t>
      </w:r>
      <w:r>
        <w:rPr>
          <w:rFonts w:ascii="仿宋" w:hAnsi="仿宋" w:eastAsia="仿宋" w:cs="仿宋"/>
          <w:b/>
          <w:bCs/>
          <w:color w:val="000000" w:themeColor="text1"/>
          <w:sz w:val="32"/>
          <w:szCs w:val="20"/>
          <w:highlight w:val="none"/>
          <w14:textFill>
            <w14:solidFill>
              <w14:schemeClr w14:val="tx1"/>
            </w14:solidFill>
          </w14:textFill>
        </w:rPr>
        <w:t>询问、质疑与投诉</w:t>
      </w:r>
    </w:p>
    <w:p w14:paraId="336D6C8F">
      <w:pPr>
        <w:spacing w:line="440" w:lineRule="exact"/>
        <w:ind w:firstLine="482"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b/>
          <w:bCs/>
          <w:color w:val="000000" w:themeColor="text1"/>
          <w:sz w:val="24"/>
          <w:szCs w:val="20"/>
          <w:highlight w:val="none"/>
          <w14:textFill>
            <w14:solidFill>
              <w14:schemeClr w14:val="tx1"/>
            </w14:solidFill>
          </w14:textFill>
        </w:rPr>
        <w:t>1.在线询问、质疑、投诉</w:t>
      </w:r>
    </w:p>
    <w:p w14:paraId="28C664F4">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根据《浙江省财政厅关于进一步促进政府采购公平竞争打造最优营商环境的通知》（浙财采监</w:t>
      </w:r>
      <w:r>
        <w:rPr>
          <w:rFonts w:hint="eastAsia" w:ascii="仿宋" w:hAnsi="仿宋" w:eastAsia="仿宋" w:cs="仿宋"/>
          <w:color w:val="000000" w:themeColor="text1"/>
          <w:sz w:val="24"/>
          <w:highlight w:val="none"/>
          <w14:textFill>
            <w14:solidFill>
              <w14:schemeClr w14:val="tx1"/>
            </w14:solidFill>
          </w14:textFill>
        </w:rPr>
        <w:t>〔2021〕</w:t>
      </w:r>
      <w:r>
        <w:rPr>
          <w:rFonts w:ascii="仿宋" w:hAnsi="仿宋" w:eastAsia="仿宋" w:cs="仿宋"/>
          <w:color w:val="000000" w:themeColor="text1"/>
          <w:sz w:val="24"/>
          <w:szCs w:val="20"/>
          <w:highlight w:val="none"/>
          <w14:textFill>
            <w14:solidFill>
              <w14:schemeClr w14:val="tx1"/>
            </w14:solidFill>
          </w14:textFill>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000000" w:themeColor="text1"/>
          <w:sz w:val="24"/>
          <w:szCs w:val="20"/>
          <w:highlight w:val="none"/>
          <w14:textFill>
            <w14:solidFill>
              <w14:schemeClr w14:val="tx1"/>
            </w14:solidFill>
          </w14:textFill>
        </w:rPr>
        <w:t>政务</w:t>
      </w:r>
      <w:r>
        <w:rPr>
          <w:rFonts w:ascii="仿宋" w:hAnsi="仿宋" w:eastAsia="仿宋" w:cs="仿宋"/>
          <w:color w:val="000000" w:themeColor="text1"/>
          <w:sz w:val="24"/>
          <w:szCs w:val="20"/>
          <w:highlight w:val="none"/>
          <w14:textFill>
            <w14:solidFill>
              <w14:schemeClr w14:val="tx1"/>
            </w14:solidFill>
          </w14:textFill>
        </w:rPr>
        <w:t>服务网-政府采购投诉处理-在线办理。</w:t>
      </w:r>
    </w:p>
    <w:p w14:paraId="428413FE">
      <w:pPr>
        <w:spacing w:line="440" w:lineRule="exact"/>
        <w:ind w:firstLine="482"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b/>
          <w:bCs/>
          <w:color w:val="000000" w:themeColor="text1"/>
          <w:sz w:val="24"/>
          <w:highlight w:val="none"/>
          <w14:textFill>
            <w14:solidFill>
              <w14:schemeClr w14:val="tx1"/>
            </w14:solidFill>
          </w14:textFill>
        </w:rPr>
        <w:t>2. 供应商询问</w:t>
      </w:r>
    </w:p>
    <w:p w14:paraId="2EC5A565">
      <w:pPr>
        <w:autoSpaceDE w:val="0"/>
        <w:autoSpaceDN w:val="0"/>
        <w:spacing w:line="440" w:lineRule="exact"/>
        <w:ind w:firstLine="480" w:firstLineChars="200"/>
        <w:jc w:val="left"/>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kern w:val="0"/>
          <w:sz w:val="24"/>
          <w:highlight w:val="none"/>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E77CCAD">
      <w:pPr>
        <w:spacing w:line="440" w:lineRule="exact"/>
        <w:ind w:firstLine="482"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b/>
          <w:bCs/>
          <w:color w:val="000000" w:themeColor="text1"/>
          <w:sz w:val="24"/>
          <w:highlight w:val="none"/>
          <w14:textFill>
            <w14:solidFill>
              <w14:schemeClr w14:val="tx1"/>
            </w14:solidFill>
          </w14:textFill>
        </w:rPr>
        <w:t>3. 供应商质疑</w:t>
      </w:r>
    </w:p>
    <w:p w14:paraId="5FB97038">
      <w:pPr>
        <w:spacing w:line="440" w:lineRule="exact"/>
        <w:ind w:firstLine="482"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b/>
          <w:bCs/>
          <w:color w:val="000000" w:themeColor="text1"/>
          <w:kern w:val="0"/>
          <w:sz w:val="24"/>
          <w:szCs w:val="20"/>
          <w:highlight w:val="none"/>
          <w:lang w:val="zh-CN"/>
          <w14:textFill>
            <w14:solidFill>
              <w14:schemeClr w14:val="tx1"/>
            </w14:solidFill>
          </w14:textFill>
        </w:rPr>
        <w:t>3</w:t>
      </w:r>
      <w:r>
        <w:rPr>
          <w:rFonts w:ascii="仿宋" w:hAnsi="仿宋" w:eastAsia="仿宋" w:cs="仿宋"/>
          <w:b/>
          <w:bCs/>
          <w:color w:val="000000" w:themeColor="text1"/>
          <w:sz w:val="24"/>
          <w:szCs w:val="20"/>
          <w:highlight w:val="none"/>
          <w14:textFill>
            <w14:solidFill>
              <w14:schemeClr w14:val="tx1"/>
            </w14:solidFill>
          </w14:textFill>
        </w:rPr>
        <w:t>.1质疑提出时效</w:t>
      </w:r>
    </w:p>
    <w:p w14:paraId="0204EA06">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3.1.1提出质疑的供应商应当是参与所质疑项目采购活动的供应商。潜在供应商已依法获取其可质疑的采购文件的，可以对该文件提出质疑。</w:t>
      </w:r>
    </w:p>
    <w:p w14:paraId="189CC832">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kern w:val="0"/>
          <w:sz w:val="24"/>
          <w:szCs w:val="20"/>
          <w:highlight w:val="none"/>
          <w:lang w:val="zh-CN"/>
          <w14:textFill>
            <w14:solidFill>
              <w14:schemeClr w14:val="tx1"/>
            </w14:solidFill>
          </w14:textFill>
        </w:rPr>
        <w:t>3</w:t>
      </w:r>
      <w:r>
        <w:rPr>
          <w:rFonts w:ascii="仿宋" w:hAnsi="仿宋" w:eastAsia="仿宋" w:cs="仿宋"/>
          <w:color w:val="000000" w:themeColor="text1"/>
          <w:sz w:val="24"/>
          <w:szCs w:val="20"/>
          <w:highlight w:val="none"/>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B5C78BF">
      <w:pPr>
        <w:widowControl/>
        <w:snapToGrid w:val="0"/>
        <w:spacing w:line="440" w:lineRule="exact"/>
        <w:ind w:firstLine="434" w:firstLineChars="181"/>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59FCB99A">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3.1.2.2对采购过程提出质疑的，质疑期限为各采购程序环节结束之日起计算。</w:t>
      </w:r>
    </w:p>
    <w:p w14:paraId="136BADBC">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3.1.2.3对采购结果提出质疑的，质疑期限自采购结果公告期限届满之日起计算。</w:t>
      </w:r>
    </w:p>
    <w:p w14:paraId="67D3E331">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3.1.2.4对同一采购程序环节的质疑，供应商须一次性提出。</w:t>
      </w:r>
    </w:p>
    <w:p w14:paraId="7D691F35">
      <w:pPr>
        <w:spacing w:line="440" w:lineRule="exact"/>
        <w:ind w:firstLine="482"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b/>
          <w:bCs/>
          <w:color w:val="000000" w:themeColor="text1"/>
          <w:kern w:val="0"/>
          <w:sz w:val="24"/>
          <w:szCs w:val="20"/>
          <w:highlight w:val="none"/>
          <w:lang w:val="zh-CN"/>
          <w14:textFill>
            <w14:solidFill>
              <w14:schemeClr w14:val="tx1"/>
            </w14:solidFill>
          </w14:textFill>
        </w:rPr>
        <w:t>3.</w:t>
      </w:r>
      <w:r>
        <w:rPr>
          <w:rFonts w:ascii="仿宋" w:hAnsi="仿宋" w:eastAsia="仿宋" w:cs="仿宋"/>
          <w:b/>
          <w:bCs/>
          <w:color w:val="000000" w:themeColor="text1"/>
          <w:kern w:val="0"/>
          <w:sz w:val="24"/>
          <w:szCs w:val="20"/>
          <w:highlight w:val="none"/>
          <w14:textFill>
            <w14:solidFill>
              <w14:schemeClr w14:val="tx1"/>
            </w14:solidFill>
          </w14:textFill>
        </w:rPr>
        <w:t>2</w:t>
      </w:r>
      <w:r>
        <w:rPr>
          <w:rFonts w:ascii="仿宋" w:hAnsi="仿宋" w:eastAsia="仿宋" w:cs="仿宋"/>
          <w:b/>
          <w:bCs/>
          <w:color w:val="000000" w:themeColor="text1"/>
          <w:kern w:val="0"/>
          <w:sz w:val="24"/>
          <w:szCs w:val="20"/>
          <w:highlight w:val="none"/>
          <w:lang w:val="zh-CN"/>
          <w14:textFill>
            <w14:solidFill>
              <w14:schemeClr w14:val="tx1"/>
            </w14:solidFill>
          </w14:textFill>
        </w:rPr>
        <w:t>质疑函</w:t>
      </w:r>
    </w:p>
    <w:p w14:paraId="38F79AEF">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3.2.1供应商提出质疑应当提交质疑函和必要的证明材料。质疑函应当包括下列内容：</w:t>
      </w:r>
    </w:p>
    <w:p w14:paraId="7576DC5E">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供应商的姓名或者名称、地址、邮编、联系人及联系电话；</w:t>
      </w:r>
    </w:p>
    <w:p w14:paraId="662FBA73">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质疑项目的名称、编号；</w:t>
      </w:r>
    </w:p>
    <w:p w14:paraId="4D6B95AB">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具体、明确的质疑事项和与质疑事项相关的请求；</w:t>
      </w:r>
    </w:p>
    <w:p w14:paraId="69FFD753">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事实依据；</w:t>
      </w:r>
    </w:p>
    <w:p w14:paraId="7CB80E2E">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必要的法律依据；</w:t>
      </w:r>
    </w:p>
    <w:p w14:paraId="7CD71DCE">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提出质疑的日期。</w:t>
      </w:r>
    </w:p>
    <w:p w14:paraId="7758E923">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35807ED1">
      <w:pPr>
        <w:spacing w:line="440" w:lineRule="exact"/>
        <w:ind w:firstLine="482"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b/>
          <w:bCs/>
          <w:color w:val="000000" w:themeColor="text1"/>
          <w:sz w:val="24"/>
          <w:szCs w:val="20"/>
          <w:highlight w:val="none"/>
          <w14:textFill>
            <w14:solidFill>
              <w14:schemeClr w14:val="tx1"/>
            </w14:solidFill>
          </w14:textFill>
        </w:rPr>
        <w:t>质疑函范本及制作说明详见附件1。</w:t>
      </w:r>
    </w:p>
    <w:p w14:paraId="504E4CF8">
      <w:pPr>
        <w:spacing w:line="440" w:lineRule="exact"/>
        <w:ind w:firstLine="482"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b/>
          <w:bCs/>
          <w:color w:val="000000" w:themeColor="text1"/>
          <w:sz w:val="24"/>
          <w:highlight w:val="none"/>
          <w14:textFill>
            <w14:solidFill>
              <w14:schemeClr w14:val="tx1"/>
            </w14:solidFill>
          </w14:textFill>
        </w:rPr>
        <w:t>4.供应商投诉</w:t>
      </w:r>
    </w:p>
    <w:p w14:paraId="0E17D085">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2776DBD1">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4.2供应商投诉的事项不得超出已质疑事项的范围，基于质疑答复内容提出的投诉事项除外。</w:t>
      </w:r>
    </w:p>
    <w:p w14:paraId="4D8CA4ED">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4.3供应商投诉应当有明确的请求和必要的证明材料。</w:t>
      </w:r>
    </w:p>
    <w:p w14:paraId="682F6D52">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4.4以联合体形式参加政府采购活动的，其投诉应当由组成联合体的所有供应商共同提出。</w:t>
      </w:r>
    </w:p>
    <w:p w14:paraId="56EF363B">
      <w:pPr>
        <w:snapToGrid w:val="0"/>
        <w:spacing w:line="440" w:lineRule="exact"/>
        <w:ind w:firstLine="482" w:firstLineChars="200"/>
        <w:jc w:val="left"/>
        <w:outlineLvl w:val="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b/>
          <w:bCs/>
          <w:color w:val="000000" w:themeColor="text1"/>
          <w:sz w:val="24"/>
          <w:szCs w:val="20"/>
          <w:highlight w:val="none"/>
          <w14:textFill>
            <w14:solidFill>
              <w14:schemeClr w14:val="tx1"/>
            </w14:solidFill>
          </w14:textFill>
        </w:rPr>
        <w:t>投诉书范本及制作说明详见附件2。</w:t>
      </w:r>
    </w:p>
    <w:p w14:paraId="6B0EB333">
      <w:pPr>
        <w:pStyle w:val="3"/>
        <w:spacing w:line="440" w:lineRule="exact"/>
        <w:ind w:firstLine="480" w:firstLineChars="200"/>
        <w:rPr>
          <w:rFonts w:ascii="仿宋" w:hAnsi="仿宋" w:eastAsia="仿宋" w:cs="仿宋"/>
          <w:color w:val="000000" w:themeColor="text1"/>
          <w:highlight w:val="none"/>
          <w14:textFill>
            <w14:solidFill>
              <w14:schemeClr w14:val="tx1"/>
            </w14:solidFill>
          </w14:textFill>
        </w:rPr>
        <w:sectPr>
          <w:footerReference r:id="rId8" w:type="default"/>
          <w:pgSz w:w="11906" w:h="16838"/>
          <w:pgMar w:top="1474" w:right="1814" w:bottom="1474" w:left="1814" w:header="851" w:footer="992" w:gutter="0"/>
          <w:pgNumType w:start="1"/>
          <w:cols w:space="720" w:num="1"/>
          <w:docGrid w:linePitch="312" w:charSpace="0"/>
        </w:sectPr>
      </w:pPr>
    </w:p>
    <w:bookmarkEnd w:id="22"/>
    <w:bookmarkEnd w:id="23"/>
    <w:p w14:paraId="46CFC11D">
      <w:pPr>
        <w:spacing w:line="420" w:lineRule="exact"/>
        <w:jc w:val="center"/>
        <w:outlineLvl w:val="0"/>
        <w:rPr>
          <w:rFonts w:ascii="仿宋" w:hAnsi="仿宋" w:eastAsia="仿宋" w:cs="仿宋"/>
          <w:b/>
          <w:color w:val="000000" w:themeColor="text1"/>
          <w:sz w:val="36"/>
          <w:szCs w:val="36"/>
          <w:highlight w:val="none"/>
          <w14:textFill>
            <w14:solidFill>
              <w14:schemeClr w14:val="tx1"/>
            </w14:solidFill>
          </w14:textFill>
        </w:rPr>
      </w:pPr>
      <w:bookmarkStart w:id="41" w:name="第四部分"/>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bookmarkEnd w:id="41"/>
    <w:p w14:paraId="3F0C488E">
      <w:pPr>
        <w:pStyle w:val="5"/>
        <w:numPr>
          <w:ilvl w:val="1"/>
          <w:numId w:val="0"/>
        </w:numPr>
        <w:spacing w:line="420" w:lineRule="exact"/>
        <w:ind w:firstLine="643" w:firstLineChars="200"/>
        <w:jc w:val="center"/>
        <w:rPr>
          <w:rFonts w:ascii="仿宋" w:eastAsia="仿宋" w:cs="仿宋_GB2312"/>
          <w:color w:val="000000" w:themeColor="text1"/>
          <w:highlight w:val="none"/>
          <w:lang w:val="en-US"/>
          <w14:textFill>
            <w14:solidFill>
              <w14:schemeClr w14:val="tx1"/>
            </w14:solidFill>
          </w14:textFill>
        </w:rPr>
      </w:pPr>
      <w:bookmarkStart w:id="42" w:name="_Toc86217003"/>
      <w:bookmarkStart w:id="43" w:name="第五部分"/>
      <w:r>
        <w:rPr>
          <w:rFonts w:hint="eastAsia" w:ascii="仿宋" w:eastAsia="仿宋" w:cs="仿宋_GB2312"/>
          <w:color w:val="000000" w:themeColor="text1"/>
          <w:highlight w:val="none"/>
          <w:lang w:val="en-US"/>
          <w14:textFill>
            <w14:solidFill>
              <w14:schemeClr w14:val="tx1"/>
            </w14:solidFill>
          </w14:textFill>
        </w:rPr>
        <w:t>一、</w:t>
      </w:r>
      <w:r>
        <w:rPr>
          <w:rFonts w:hint="eastAsia" w:ascii="仿宋" w:eastAsia="仿宋" w:cs="仿宋_GB2312"/>
          <w:color w:val="000000" w:themeColor="text1"/>
          <w:highlight w:val="none"/>
          <w14:textFill>
            <w14:solidFill>
              <w14:schemeClr w14:val="tx1"/>
            </w14:solidFill>
          </w14:textFill>
        </w:rPr>
        <w:t>服务清单及要求</w:t>
      </w:r>
    </w:p>
    <w:p w14:paraId="3D51E715">
      <w:pPr>
        <w:spacing w:line="360" w:lineRule="auto"/>
        <w:ind w:firstLine="480" w:firstLineChars="200"/>
        <w:rPr>
          <w:rFonts w:hint="eastAsia" w:ascii="仿宋" w:hAnsi="仿宋" w:eastAsia="仿宋" w:cs="Times New Roman"/>
          <w:sz w:val="24"/>
        </w:rPr>
      </w:pPr>
      <w:r>
        <w:rPr>
          <w:rFonts w:hint="eastAsia" w:ascii="仿宋" w:hAnsi="仿宋" w:eastAsia="仿宋" w:cs="Times New Roman"/>
          <w:sz w:val="24"/>
          <w:lang w:val="en-US" w:eastAsia="zh-CN"/>
        </w:rPr>
        <w:t>一、</w:t>
      </w:r>
      <w:r>
        <w:rPr>
          <w:rFonts w:hint="eastAsia" w:ascii="仿宋" w:hAnsi="仿宋" w:eastAsia="仿宋" w:cs="Times New Roman"/>
          <w:sz w:val="24"/>
        </w:rPr>
        <w:t xml:space="preserve">项目概况： </w:t>
      </w:r>
    </w:p>
    <w:p w14:paraId="4B8B204C">
      <w:pPr>
        <w:spacing w:line="360" w:lineRule="auto"/>
        <w:ind w:firstLine="480" w:firstLineChars="200"/>
        <w:rPr>
          <w:rFonts w:hint="eastAsia" w:ascii="仿宋" w:hAnsi="仿宋" w:eastAsia="仿宋" w:cs="Times New Roman"/>
          <w:sz w:val="24"/>
        </w:rPr>
      </w:pPr>
      <w:r>
        <w:rPr>
          <w:rFonts w:hint="eastAsia" w:ascii="仿宋" w:hAnsi="仿宋" w:eastAsia="仿宋" w:cs="Times New Roman"/>
          <w:sz w:val="24"/>
        </w:rPr>
        <w:t xml:space="preserve">1.1 </w:t>
      </w:r>
      <w:r>
        <w:rPr>
          <w:rFonts w:hint="eastAsia" w:ascii="仿宋" w:hAnsi="仿宋" w:eastAsia="仿宋" w:cs="Times New Roman"/>
          <w:sz w:val="24"/>
          <w:lang w:eastAsia="zh-CN"/>
        </w:rPr>
        <w:t>202</w:t>
      </w:r>
      <w:r>
        <w:rPr>
          <w:rFonts w:hint="eastAsia" w:ascii="仿宋" w:hAnsi="仿宋" w:eastAsia="仿宋" w:cs="Times New Roman"/>
          <w:sz w:val="24"/>
          <w:lang w:val="en-US" w:eastAsia="zh-CN"/>
        </w:rPr>
        <w:t>5</w:t>
      </w:r>
      <w:r>
        <w:rPr>
          <w:rFonts w:hint="eastAsia" w:ascii="仿宋" w:hAnsi="仿宋" w:eastAsia="仿宋" w:cs="Times New Roman"/>
          <w:sz w:val="24"/>
          <w:lang w:eastAsia="zh-CN"/>
        </w:rPr>
        <w:t>柯桥区杨汛桥街道机关、派出所食堂管理服务外包项目</w:t>
      </w:r>
      <w:r>
        <w:rPr>
          <w:rFonts w:hint="eastAsia" w:ascii="仿宋" w:hAnsi="仿宋" w:eastAsia="仿宋" w:cs="Times New Roman"/>
          <w:sz w:val="24"/>
        </w:rPr>
        <w:t>食堂餐饮委外服务实行包清工的模式。</w:t>
      </w:r>
    </w:p>
    <w:p w14:paraId="186B75F0">
      <w:pPr>
        <w:spacing w:line="360" w:lineRule="auto"/>
        <w:ind w:firstLine="480" w:firstLineChars="200"/>
        <w:rPr>
          <w:rFonts w:hint="eastAsia" w:ascii="仿宋" w:hAnsi="仿宋" w:eastAsia="仿宋" w:cs="Times New Roman"/>
          <w:sz w:val="24"/>
        </w:rPr>
      </w:pPr>
      <w:r>
        <w:rPr>
          <w:rFonts w:hint="eastAsia" w:ascii="仿宋" w:hAnsi="仿宋" w:eastAsia="仿宋" w:cs="Times New Roman"/>
          <w:sz w:val="24"/>
        </w:rPr>
        <w:t>1.2 采购人无偿提供食堂的厨房操作场地和就餐场地，供应商须做到厨房设备的文明使用。</w:t>
      </w:r>
    </w:p>
    <w:p w14:paraId="208F65A3">
      <w:pPr>
        <w:spacing w:line="360" w:lineRule="auto"/>
        <w:ind w:firstLine="480" w:firstLineChars="200"/>
        <w:rPr>
          <w:rFonts w:hint="eastAsia" w:ascii="仿宋" w:hAnsi="仿宋" w:eastAsia="仿宋" w:cs="Times New Roman"/>
          <w:color w:val="auto"/>
          <w:sz w:val="24"/>
        </w:rPr>
      </w:pPr>
      <w:r>
        <w:rPr>
          <w:rFonts w:hint="eastAsia" w:ascii="仿宋" w:hAnsi="仿宋" w:eastAsia="仿宋" w:cs="Times New Roman"/>
          <w:sz w:val="24"/>
        </w:rPr>
        <w:t>1.3 采购人免费提供供应商工作期间的</w:t>
      </w:r>
      <w:r>
        <w:rPr>
          <w:rFonts w:hint="eastAsia" w:ascii="仿宋" w:hAnsi="仿宋" w:eastAsia="仿宋" w:cs="Times New Roman"/>
          <w:color w:val="auto"/>
          <w:sz w:val="24"/>
        </w:rPr>
        <w:t>正常用餐。</w:t>
      </w:r>
    </w:p>
    <w:p w14:paraId="4D9CEC04">
      <w:pPr>
        <w:spacing w:line="360" w:lineRule="auto"/>
        <w:ind w:firstLine="480" w:firstLineChars="200"/>
        <w:rPr>
          <w:rFonts w:hint="eastAsia" w:ascii="仿宋" w:hAnsi="仿宋" w:eastAsia="仿宋" w:cs="Times New Roman"/>
          <w:color w:val="auto"/>
          <w:sz w:val="24"/>
        </w:rPr>
      </w:pPr>
      <w:r>
        <w:rPr>
          <w:rFonts w:hint="eastAsia" w:ascii="仿宋" w:hAnsi="仿宋" w:eastAsia="仿宋" w:cs="Times New Roman"/>
          <w:color w:val="auto"/>
          <w:sz w:val="24"/>
        </w:rPr>
        <w:t>1.4 采购人负责菜肴制作所需的原材料供应和进行成本核算。</w:t>
      </w:r>
    </w:p>
    <w:p w14:paraId="44F0B366">
      <w:pPr>
        <w:spacing w:line="360" w:lineRule="auto"/>
        <w:ind w:firstLine="480" w:firstLineChars="200"/>
        <w:rPr>
          <w:rFonts w:hint="eastAsia" w:ascii="仿宋" w:hAnsi="仿宋" w:eastAsia="仿宋" w:cs="Times New Roman"/>
          <w:sz w:val="24"/>
          <w:highlight w:val="none"/>
        </w:rPr>
      </w:pPr>
      <w:r>
        <w:rPr>
          <w:rFonts w:hint="eastAsia" w:ascii="仿宋" w:hAnsi="仿宋" w:eastAsia="仿宋" w:cs="Times New Roman"/>
          <w:color w:val="auto"/>
          <w:sz w:val="24"/>
        </w:rPr>
        <w:t>1.5</w:t>
      </w:r>
      <w:r>
        <w:rPr>
          <w:rFonts w:hint="eastAsia" w:ascii="仿宋" w:hAnsi="仿宋" w:eastAsia="仿宋" w:cs="Times New Roman"/>
          <w:color w:val="auto"/>
          <w:sz w:val="24"/>
          <w:highlight w:val="none"/>
        </w:rPr>
        <w:t xml:space="preserve"> 采购人负责餐饮服务外包有关工作的考核和</w:t>
      </w:r>
      <w:r>
        <w:rPr>
          <w:rFonts w:hint="eastAsia" w:ascii="仿宋" w:hAnsi="仿宋" w:eastAsia="仿宋" w:cs="Times New Roman"/>
          <w:sz w:val="24"/>
          <w:highlight w:val="none"/>
        </w:rPr>
        <w:t>服务费用的支付。</w:t>
      </w:r>
    </w:p>
    <w:p w14:paraId="3E542339">
      <w:pPr>
        <w:spacing w:line="360" w:lineRule="auto"/>
        <w:ind w:firstLine="480" w:firstLineChars="200"/>
        <w:rPr>
          <w:rFonts w:hint="eastAsia" w:ascii="仿宋" w:hAnsi="仿宋" w:eastAsia="仿宋" w:cs="Times New Roman"/>
          <w:sz w:val="24"/>
          <w:highlight w:val="none"/>
        </w:rPr>
      </w:pPr>
      <w:r>
        <w:rPr>
          <w:rFonts w:hint="eastAsia" w:ascii="仿宋" w:hAnsi="仿宋" w:eastAsia="仿宋" w:cs="Times New Roman"/>
          <w:sz w:val="24"/>
          <w:highlight w:val="none"/>
        </w:rPr>
        <w:t>1.6 供应商负责服务人员的组织、分配、使用和操作管理，为采购人的餐饮做好加工制作、就餐供应和服务保障。</w:t>
      </w:r>
    </w:p>
    <w:p w14:paraId="7CCB6BAD">
      <w:pPr>
        <w:spacing w:line="360" w:lineRule="auto"/>
        <w:ind w:firstLine="480" w:firstLineChars="200"/>
        <w:rPr>
          <w:rFonts w:hint="eastAsia" w:ascii="仿宋" w:hAnsi="仿宋" w:eastAsia="仿宋" w:cs="Times New Roman"/>
          <w:sz w:val="24"/>
          <w:highlight w:val="none"/>
        </w:rPr>
      </w:pPr>
      <w:r>
        <w:rPr>
          <w:rFonts w:hint="eastAsia" w:ascii="仿宋" w:hAnsi="仿宋" w:eastAsia="仿宋" w:cs="Times New Roman"/>
          <w:sz w:val="24"/>
          <w:highlight w:val="none"/>
          <w:lang w:val="en-US" w:eastAsia="zh-CN"/>
        </w:rPr>
        <w:t>二、</w:t>
      </w:r>
      <w:r>
        <w:rPr>
          <w:rFonts w:hint="eastAsia" w:ascii="仿宋" w:hAnsi="仿宋" w:eastAsia="仿宋" w:cs="Times New Roman"/>
          <w:sz w:val="24"/>
          <w:highlight w:val="none"/>
        </w:rPr>
        <w:t xml:space="preserve"> 服务要求、服务范围：</w:t>
      </w:r>
    </w:p>
    <w:p w14:paraId="15626D12">
      <w:pPr>
        <w:spacing w:line="360" w:lineRule="auto"/>
        <w:ind w:firstLine="480" w:firstLineChars="200"/>
        <w:rPr>
          <w:rFonts w:hint="eastAsia" w:ascii="仿宋" w:hAnsi="仿宋" w:eastAsia="仿宋" w:cs="Times New Roman"/>
          <w:sz w:val="24"/>
          <w:highlight w:val="none"/>
        </w:rPr>
      </w:pPr>
      <w:r>
        <w:rPr>
          <w:rFonts w:hint="eastAsia" w:ascii="仿宋" w:hAnsi="仿宋" w:eastAsia="仿宋" w:cs="Times New Roman"/>
          <w:sz w:val="24"/>
          <w:highlight w:val="none"/>
        </w:rPr>
        <w:t>2.1 服务区域：</w:t>
      </w:r>
    </w:p>
    <w:p w14:paraId="56DAC925">
      <w:pPr>
        <w:spacing w:line="360" w:lineRule="auto"/>
        <w:ind w:firstLine="480" w:firstLineChars="200"/>
        <w:rPr>
          <w:rFonts w:hint="eastAsia" w:ascii="仿宋" w:hAnsi="仿宋" w:eastAsia="仿宋" w:cs="Times New Roman"/>
          <w:sz w:val="24"/>
          <w:highlight w:val="none"/>
        </w:rPr>
      </w:pPr>
      <w:r>
        <w:rPr>
          <w:rFonts w:hint="eastAsia" w:ascii="仿宋" w:hAnsi="仿宋" w:eastAsia="仿宋" w:cs="Times New Roman"/>
          <w:sz w:val="24"/>
          <w:highlight w:val="none"/>
        </w:rPr>
        <w:t>服务包含202</w:t>
      </w:r>
      <w:r>
        <w:rPr>
          <w:rFonts w:hint="eastAsia" w:ascii="仿宋" w:hAnsi="仿宋" w:eastAsia="仿宋" w:cs="Times New Roman"/>
          <w:sz w:val="24"/>
          <w:highlight w:val="none"/>
          <w:lang w:val="en-US" w:eastAsia="zh-CN"/>
        </w:rPr>
        <w:t>5</w:t>
      </w:r>
      <w:r>
        <w:rPr>
          <w:rFonts w:hint="eastAsia" w:ascii="仿宋" w:hAnsi="仿宋" w:eastAsia="仿宋" w:cs="Times New Roman"/>
          <w:sz w:val="24"/>
          <w:highlight w:val="none"/>
        </w:rPr>
        <w:t>年度</w:t>
      </w:r>
      <w:r>
        <w:rPr>
          <w:rFonts w:hint="eastAsia" w:ascii="仿宋" w:hAnsi="仿宋" w:eastAsia="仿宋" w:cs="Times New Roman"/>
          <w:sz w:val="24"/>
          <w:highlight w:val="none"/>
          <w:lang w:eastAsia="zh-CN"/>
        </w:rPr>
        <w:t>绍兴市柯桥区杨汛桥街道办事处</w:t>
      </w:r>
      <w:r>
        <w:rPr>
          <w:rFonts w:hint="eastAsia" w:ascii="仿宋" w:hAnsi="仿宋" w:eastAsia="仿宋" w:cs="Times New Roman"/>
          <w:sz w:val="24"/>
          <w:highlight w:val="none"/>
        </w:rPr>
        <w:t>、</w:t>
      </w:r>
      <w:r>
        <w:rPr>
          <w:rFonts w:hint="eastAsia" w:ascii="仿宋" w:hAnsi="仿宋" w:eastAsia="仿宋" w:cs="Times New Roman"/>
          <w:sz w:val="24"/>
          <w:highlight w:val="none"/>
          <w:lang w:eastAsia="zh-CN"/>
        </w:rPr>
        <w:t>派出所</w:t>
      </w:r>
      <w:r>
        <w:rPr>
          <w:rFonts w:hint="eastAsia" w:ascii="仿宋" w:hAnsi="仿宋" w:eastAsia="仿宋" w:cs="Times New Roman"/>
          <w:sz w:val="24"/>
          <w:highlight w:val="none"/>
          <w:lang w:val="en-US" w:eastAsia="zh-CN"/>
        </w:rPr>
        <w:t>二</w:t>
      </w:r>
      <w:r>
        <w:rPr>
          <w:rFonts w:hint="eastAsia" w:ascii="仿宋" w:hAnsi="仿宋" w:eastAsia="仿宋" w:cs="Times New Roman"/>
          <w:sz w:val="24"/>
          <w:highlight w:val="none"/>
        </w:rPr>
        <w:t>处食堂劳务外包服务采购餐厅食堂和公务接待用餐；</w:t>
      </w:r>
    </w:p>
    <w:p w14:paraId="43083D29">
      <w:pPr>
        <w:spacing w:line="360" w:lineRule="auto"/>
        <w:ind w:firstLine="480" w:firstLineChars="200"/>
        <w:rPr>
          <w:rFonts w:hint="eastAsia" w:ascii="仿宋" w:hAnsi="仿宋" w:eastAsia="仿宋" w:cs="Times New Roman"/>
          <w:sz w:val="24"/>
          <w:highlight w:val="none"/>
        </w:rPr>
      </w:pPr>
      <w:r>
        <w:rPr>
          <w:rFonts w:hint="eastAsia" w:ascii="仿宋" w:hAnsi="仿宋" w:eastAsia="仿宋" w:cs="Times New Roman"/>
          <w:sz w:val="24"/>
          <w:highlight w:val="none"/>
        </w:rPr>
        <w:t>2.2 服务内容：</w:t>
      </w:r>
    </w:p>
    <w:p w14:paraId="4E139EFE">
      <w:pPr>
        <w:spacing w:line="360" w:lineRule="auto"/>
        <w:ind w:firstLine="480" w:firstLineChars="200"/>
        <w:rPr>
          <w:rFonts w:hint="eastAsia" w:ascii="仿宋" w:hAnsi="仿宋" w:eastAsia="仿宋" w:cs="Times New Roman"/>
          <w:sz w:val="24"/>
          <w:highlight w:val="none"/>
        </w:rPr>
      </w:pPr>
      <w:r>
        <w:rPr>
          <w:rFonts w:hint="eastAsia" w:ascii="仿宋" w:hAnsi="仿宋" w:eastAsia="仿宋" w:cs="Times New Roman"/>
          <w:sz w:val="24"/>
          <w:highlight w:val="none"/>
        </w:rPr>
        <w:t>2.2.1食</w:t>
      </w:r>
      <w:r>
        <w:rPr>
          <w:rFonts w:hint="eastAsia" w:ascii="仿宋" w:hAnsi="仿宋" w:eastAsia="仿宋" w:cs="Times New Roman"/>
          <w:sz w:val="24"/>
          <w:highlight w:val="none"/>
          <w:lang w:eastAsia="zh-CN"/>
        </w:rPr>
        <w:t>堂主要保障杨汛桥街道办事处</w:t>
      </w:r>
      <w:r>
        <w:rPr>
          <w:rFonts w:hint="eastAsia" w:ascii="仿宋" w:hAnsi="仿宋" w:eastAsia="仿宋" w:cs="Times New Roman"/>
          <w:sz w:val="24"/>
          <w:highlight w:val="none"/>
          <w:lang w:val="en-US" w:eastAsia="zh-CN"/>
        </w:rPr>
        <w:t>及</w:t>
      </w:r>
      <w:r>
        <w:rPr>
          <w:rFonts w:hint="eastAsia" w:ascii="仿宋" w:hAnsi="仿宋" w:eastAsia="仿宋" w:cs="Times New Roman"/>
          <w:sz w:val="24"/>
          <w:highlight w:val="none"/>
          <w:lang w:eastAsia="zh-CN"/>
        </w:rPr>
        <w:t>杨汛桥街道派出所工作人员一周七天的早、中、晚三</w:t>
      </w:r>
      <w:r>
        <w:rPr>
          <w:rFonts w:hint="eastAsia" w:ascii="仿宋" w:hAnsi="仿宋" w:eastAsia="仿宋" w:cs="Times New Roman"/>
          <w:sz w:val="24"/>
          <w:highlight w:val="none"/>
        </w:rPr>
        <w:t>餐的就餐。食堂供餐人数：</w:t>
      </w:r>
      <w:r>
        <w:rPr>
          <w:rFonts w:hint="eastAsia" w:ascii="仿宋" w:hAnsi="仿宋" w:eastAsia="仿宋" w:cs="Times New Roman"/>
          <w:sz w:val="24"/>
          <w:highlight w:val="none"/>
          <w:lang w:eastAsia="zh-CN"/>
        </w:rPr>
        <w:t>杨汛桥街道</w:t>
      </w:r>
      <w:r>
        <w:rPr>
          <w:rFonts w:hint="eastAsia" w:ascii="仿宋" w:hAnsi="仿宋" w:eastAsia="仿宋" w:cs="Times New Roman"/>
          <w:sz w:val="24"/>
          <w:highlight w:val="none"/>
        </w:rPr>
        <w:t>办事处约</w:t>
      </w:r>
      <w:r>
        <w:rPr>
          <w:rFonts w:hint="eastAsia" w:ascii="仿宋" w:hAnsi="仿宋" w:eastAsia="仿宋" w:cs="Times New Roman"/>
          <w:sz w:val="24"/>
          <w:highlight w:val="none"/>
          <w:lang w:val="en-US" w:eastAsia="zh-CN"/>
        </w:rPr>
        <w:t>20</w:t>
      </w:r>
      <w:r>
        <w:rPr>
          <w:rFonts w:hint="eastAsia" w:ascii="仿宋" w:hAnsi="仿宋" w:eastAsia="仿宋" w:cs="Times New Roman"/>
          <w:sz w:val="24"/>
          <w:highlight w:val="none"/>
        </w:rPr>
        <w:t>0人</w:t>
      </w:r>
      <w:r>
        <w:rPr>
          <w:rFonts w:hint="eastAsia" w:ascii="仿宋" w:hAnsi="仿宋" w:eastAsia="仿宋" w:cs="Times New Roman"/>
          <w:sz w:val="24"/>
          <w:highlight w:val="none"/>
          <w:lang w:eastAsia="zh-CN"/>
        </w:rPr>
        <w:t>次</w:t>
      </w:r>
      <w:r>
        <w:rPr>
          <w:rFonts w:hint="eastAsia" w:ascii="仿宋" w:hAnsi="仿宋" w:eastAsia="仿宋" w:cs="Times New Roman"/>
          <w:sz w:val="24"/>
          <w:highlight w:val="none"/>
        </w:rPr>
        <w:t>、</w:t>
      </w:r>
      <w:r>
        <w:rPr>
          <w:rFonts w:hint="eastAsia" w:ascii="仿宋" w:hAnsi="仿宋" w:eastAsia="仿宋" w:cs="Times New Roman"/>
          <w:sz w:val="24"/>
          <w:highlight w:val="none"/>
          <w:lang w:eastAsia="zh-CN"/>
        </w:rPr>
        <w:t>派出所</w:t>
      </w:r>
      <w:r>
        <w:rPr>
          <w:rFonts w:hint="eastAsia" w:ascii="仿宋" w:hAnsi="仿宋" w:eastAsia="仿宋" w:cs="Times New Roman"/>
          <w:sz w:val="24"/>
          <w:highlight w:val="none"/>
        </w:rPr>
        <w:t>约</w:t>
      </w:r>
      <w:r>
        <w:rPr>
          <w:rFonts w:hint="eastAsia" w:ascii="仿宋" w:hAnsi="仿宋" w:eastAsia="仿宋" w:cs="Times New Roman"/>
          <w:sz w:val="24"/>
          <w:highlight w:val="none"/>
          <w:lang w:val="en-US" w:eastAsia="zh-CN"/>
        </w:rPr>
        <w:t>100</w:t>
      </w:r>
      <w:r>
        <w:rPr>
          <w:rFonts w:hint="eastAsia" w:ascii="仿宋" w:hAnsi="仿宋" w:eastAsia="仿宋" w:cs="Times New Roman"/>
          <w:sz w:val="24"/>
          <w:highlight w:val="none"/>
        </w:rPr>
        <w:t>人</w:t>
      </w:r>
      <w:r>
        <w:rPr>
          <w:rFonts w:hint="eastAsia" w:ascii="仿宋" w:hAnsi="仿宋" w:eastAsia="仿宋" w:cs="Times New Roman"/>
          <w:sz w:val="24"/>
          <w:highlight w:val="none"/>
          <w:lang w:eastAsia="zh-CN"/>
        </w:rPr>
        <w:t>次</w:t>
      </w:r>
      <w:r>
        <w:rPr>
          <w:rFonts w:hint="eastAsia" w:ascii="仿宋" w:hAnsi="仿宋" w:eastAsia="仿宋" w:cs="Times New Roman"/>
          <w:sz w:val="24"/>
          <w:highlight w:val="none"/>
        </w:rPr>
        <w:t>。食堂实行自选餐的供餐模式。就餐人员排队刷卡就餐。早餐就餐时间为：07:00-8:30，中餐就餐时间为：11:30-13:00，晚餐就餐时间为：17:00-18:30。开餐时间如需调整按照甲方规定实行。</w:t>
      </w:r>
    </w:p>
    <w:p w14:paraId="0A620B87">
      <w:pPr>
        <w:spacing w:line="360" w:lineRule="auto"/>
        <w:ind w:firstLine="480" w:firstLineChars="200"/>
        <w:rPr>
          <w:rFonts w:hint="eastAsia" w:ascii="仿宋" w:hAnsi="仿宋" w:eastAsia="仿宋" w:cs="Times New Roman"/>
          <w:sz w:val="24"/>
          <w:highlight w:val="none"/>
        </w:rPr>
      </w:pPr>
      <w:r>
        <w:rPr>
          <w:rFonts w:hint="eastAsia" w:ascii="仿宋" w:hAnsi="仿宋" w:eastAsia="仿宋" w:cs="Times New Roman"/>
          <w:sz w:val="24"/>
          <w:highlight w:val="none"/>
        </w:rPr>
        <w:t>2.3其他：</w:t>
      </w:r>
    </w:p>
    <w:p w14:paraId="5939D59B">
      <w:pPr>
        <w:spacing w:line="360" w:lineRule="auto"/>
        <w:ind w:firstLine="480" w:firstLineChars="200"/>
        <w:rPr>
          <w:rFonts w:hint="eastAsia" w:ascii="仿宋" w:hAnsi="仿宋" w:eastAsia="仿宋" w:cs="Times New Roman"/>
          <w:sz w:val="24"/>
          <w:highlight w:val="none"/>
        </w:rPr>
      </w:pPr>
      <w:r>
        <w:rPr>
          <w:rFonts w:hint="eastAsia" w:ascii="仿宋" w:hAnsi="仿宋" w:eastAsia="仿宋" w:cs="Times New Roman"/>
          <w:sz w:val="24"/>
          <w:highlight w:val="none"/>
        </w:rPr>
        <w:t xml:space="preserve">遇突发事件或安全检查时，承包方必须配合有关部门执行任务（包括双休日及法定节假日），并指定专职人员协助工作，直至完成。 </w:t>
      </w:r>
    </w:p>
    <w:p w14:paraId="315FE83D">
      <w:pPr>
        <w:spacing w:line="360" w:lineRule="auto"/>
        <w:ind w:firstLine="482" w:firstLineChars="200"/>
        <w:rPr>
          <w:rFonts w:hint="eastAsia" w:ascii="仿宋" w:hAnsi="仿宋" w:eastAsia="仿宋" w:cs="Times New Roman"/>
          <w:b/>
          <w:bCs/>
          <w:sz w:val="24"/>
          <w:highlight w:val="none"/>
        </w:rPr>
      </w:pPr>
      <w:r>
        <w:rPr>
          <w:rFonts w:hint="eastAsia" w:ascii="仿宋" w:hAnsi="仿宋" w:eastAsia="仿宋" w:cs="Times New Roman"/>
          <w:b/>
          <w:bCs/>
          <w:sz w:val="24"/>
          <w:highlight w:val="none"/>
          <w:lang w:val="en-US" w:eastAsia="zh-CN"/>
        </w:rPr>
        <w:t>三、</w:t>
      </w:r>
      <w:r>
        <w:rPr>
          <w:rFonts w:hint="eastAsia" w:ascii="仿宋" w:hAnsi="仿宋" w:eastAsia="仿宋" w:cs="Times New Roman"/>
          <w:b/>
          <w:bCs/>
          <w:sz w:val="24"/>
          <w:highlight w:val="none"/>
        </w:rPr>
        <w:t xml:space="preserve"> 菜肴品质方面</w:t>
      </w:r>
    </w:p>
    <w:p w14:paraId="6033A572">
      <w:pPr>
        <w:spacing w:line="360" w:lineRule="auto"/>
        <w:ind w:firstLine="480" w:firstLineChars="200"/>
        <w:rPr>
          <w:rFonts w:hint="eastAsia" w:ascii="仿宋" w:hAnsi="仿宋" w:eastAsia="仿宋" w:cs="Times New Roman"/>
          <w:color w:val="auto"/>
          <w:sz w:val="24"/>
          <w:highlight w:val="none"/>
          <w:shd w:val="clear" w:color="auto" w:fill="auto"/>
        </w:rPr>
      </w:pPr>
      <w:r>
        <w:rPr>
          <w:rFonts w:hint="eastAsia" w:ascii="仿宋" w:hAnsi="仿宋" w:eastAsia="仿宋" w:cs="Times New Roman"/>
          <w:sz w:val="24"/>
          <w:highlight w:val="none"/>
        </w:rPr>
        <w:t>3.1 丰富菜肴品种，不断推陈出新，菜肴精致可口，适合机关干部口味。公务接待按照要求以绍兴特色家常菜为主，保证采购食材的优质，烧制口味的鲜美，供应菜品的多样，全力做好就餐接待</w:t>
      </w:r>
      <w:r>
        <w:rPr>
          <w:rFonts w:hint="eastAsia" w:ascii="仿宋" w:hAnsi="仿宋" w:eastAsia="仿宋" w:cs="Times New Roman"/>
          <w:color w:val="auto"/>
          <w:sz w:val="24"/>
          <w:highlight w:val="none"/>
          <w:shd w:val="clear" w:color="auto" w:fill="auto"/>
        </w:rPr>
        <w:t>服务。配合甲方做好特质菜品的采购，实地考察形成“优质菜品采购圈”，保证随时供应。</w:t>
      </w:r>
    </w:p>
    <w:p w14:paraId="6E326EF8">
      <w:pPr>
        <w:spacing w:line="360" w:lineRule="auto"/>
        <w:ind w:firstLine="480" w:firstLineChars="200"/>
        <w:rPr>
          <w:rFonts w:hint="eastAsia" w:ascii="仿宋" w:hAnsi="仿宋" w:eastAsia="仿宋" w:cs="Times New Roman"/>
          <w:sz w:val="24"/>
          <w:highlight w:val="none"/>
        </w:rPr>
      </w:pPr>
      <w:r>
        <w:rPr>
          <w:rFonts w:hint="eastAsia" w:ascii="仿宋" w:hAnsi="仿宋" w:eastAsia="仿宋" w:cs="Times New Roman"/>
          <w:color w:val="auto"/>
          <w:sz w:val="24"/>
          <w:highlight w:val="none"/>
          <w:shd w:val="clear" w:color="auto" w:fill="auto"/>
        </w:rPr>
        <w:t>3.2 早餐品种不得少于10种；中餐菜肴品种在开制“周菜单”时保证菜品每周重复率不高于30%；保证晚餐、周末供应菜品的新鲜度，菜单与中餐菜单区分开，单独开制、保证新鲜。早餐与中、晚餐的菜肴做到勤变换，按季节及时调整时令菜品，定期推出特色菜或新菜，每餐菜肴要求</w:t>
      </w:r>
      <w:r>
        <w:rPr>
          <w:rFonts w:hint="eastAsia" w:ascii="仿宋" w:hAnsi="仿宋" w:eastAsia="仿宋" w:cs="Times New Roman"/>
          <w:sz w:val="24"/>
          <w:highlight w:val="none"/>
        </w:rPr>
        <w:t>荤素搭配均衡、营养安排合理。</w:t>
      </w:r>
    </w:p>
    <w:p w14:paraId="5E7A28EC">
      <w:pPr>
        <w:spacing w:line="360" w:lineRule="auto"/>
        <w:ind w:firstLine="480" w:firstLineChars="200"/>
        <w:rPr>
          <w:rFonts w:hint="eastAsia" w:ascii="仿宋" w:hAnsi="仿宋" w:eastAsia="仿宋" w:cs="Times New Roman"/>
          <w:sz w:val="24"/>
          <w:highlight w:val="none"/>
        </w:rPr>
      </w:pPr>
      <w:bookmarkStart w:id="44" w:name="_Toc416098592"/>
      <w:bookmarkStart w:id="45" w:name="_Toc416098593"/>
      <w:r>
        <w:rPr>
          <w:rFonts w:hint="eastAsia" w:ascii="仿宋" w:hAnsi="仿宋" w:eastAsia="仿宋" w:cs="Times New Roman"/>
          <w:sz w:val="24"/>
          <w:highlight w:val="none"/>
          <w:lang w:val="en-US" w:eastAsia="zh-CN"/>
        </w:rPr>
        <w:t>四、</w:t>
      </w:r>
      <w:r>
        <w:rPr>
          <w:rFonts w:hint="eastAsia" w:ascii="仿宋" w:hAnsi="仿宋" w:eastAsia="仿宋" w:cs="Times New Roman"/>
          <w:sz w:val="24"/>
          <w:highlight w:val="none"/>
        </w:rPr>
        <w:t>人员配备</w:t>
      </w:r>
      <w:bookmarkEnd w:id="44"/>
      <w:r>
        <w:rPr>
          <w:rFonts w:hint="eastAsia" w:ascii="仿宋" w:hAnsi="仿宋" w:eastAsia="仿宋" w:cs="Times New Roman"/>
          <w:sz w:val="24"/>
          <w:highlight w:val="none"/>
        </w:rPr>
        <w:t>方面</w:t>
      </w:r>
    </w:p>
    <w:p w14:paraId="6A81C08D">
      <w:pPr>
        <w:spacing w:line="360" w:lineRule="auto"/>
        <w:ind w:firstLine="480" w:firstLineChars="200"/>
        <w:rPr>
          <w:rFonts w:hint="eastAsia" w:ascii="仿宋" w:hAnsi="仿宋" w:eastAsia="仿宋" w:cs="Times New Roman"/>
          <w:b/>
          <w:bCs/>
          <w:sz w:val="24"/>
          <w:highlight w:val="none"/>
        </w:rPr>
      </w:pPr>
      <w:r>
        <w:rPr>
          <w:rFonts w:hint="eastAsia" w:ascii="仿宋" w:hAnsi="仿宋" w:eastAsia="仿宋" w:cs="Times New Roman"/>
          <w:sz w:val="24"/>
          <w:highlight w:val="none"/>
        </w:rPr>
        <w:t>4.1 为保证餐厅和包厢的菜肴品种、质量，乙方必须选派高水平的厨师长、高素质的服务员、管理骨干和厨师人员，服务人数与就餐人数配备比例合理。</w:t>
      </w:r>
      <w:r>
        <w:rPr>
          <w:rFonts w:hint="eastAsia" w:ascii="仿宋" w:hAnsi="仿宋" w:eastAsia="仿宋" w:cs="Times New Roman"/>
          <w:b/>
          <w:bCs/>
          <w:sz w:val="24"/>
          <w:highlight w:val="none"/>
        </w:rPr>
        <w:t>实际人数应结合自身实际情况提供，但不得低于1</w:t>
      </w:r>
      <w:r>
        <w:rPr>
          <w:rFonts w:hint="eastAsia" w:ascii="仿宋" w:hAnsi="仿宋" w:eastAsia="仿宋" w:cs="Times New Roman"/>
          <w:b/>
          <w:bCs/>
          <w:sz w:val="24"/>
          <w:highlight w:val="none"/>
          <w:lang w:val="en-US" w:eastAsia="zh-CN"/>
        </w:rPr>
        <w:t>2</w:t>
      </w:r>
      <w:r>
        <w:rPr>
          <w:rFonts w:hint="eastAsia" w:ascii="仿宋" w:hAnsi="仿宋" w:eastAsia="仿宋" w:cs="Times New Roman"/>
          <w:b/>
          <w:bCs/>
          <w:sz w:val="24"/>
          <w:highlight w:val="none"/>
        </w:rPr>
        <w:t>人的总人数要求。</w:t>
      </w:r>
    </w:p>
    <w:p w14:paraId="58563800">
      <w:pPr>
        <w:spacing w:line="360" w:lineRule="auto"/>
        <w:ind w:firstLine="482" w:firstLineChars="200"/>
        <w:rPr>
          <w:rFonts w:hint="eastAsia" w:ascii="仿宋" w:hAnsi="仿宋" w:eastAsia="仿宋" w:cs="Times New Roman"/>
          <w:sz w:val="24"/>
          <w:highlight w:val="none"/>
        </w:rPr>
      </w:pPr>
      <w:r>
        <w:rPr>
          <w:rFonts w:hint="eastAsia" w:ascii="仿宋" w:hAnsi="仿宋" w:eastAsia="仿宋" w:cs="Times New Roman"/>
          <w:b/>
          <w:bCs/>
          <w:sz w:val="24"/>
          <w:highlight w:val="none"/>
        </w:rPr>
        <w:t>4.2 乙方工作人员必须进行岗前培训，并取得“预防性健康体检合格证”后，方可上岗。</w:t>
      </w:r>
    </w:p>
    <w:p w14:paraId="5EF94B66">
      <w:pPr>
        <w:spacing w:line="360" w:lineRule="auto"/>
        <w:ind w:firstLine="480" w:firstLineChars="200"/>
        <w:rPr>
          <w:rFonts w:hint="eastAsia" w:ascii="仿宋" w:hAnsi="仿宋" w:eastAsia="仿宋" w:cs="Times New Roman"/>
          <w:sz w:val="24"/>
          <w:highlight w:val="none"/>
        </w:rPr>
      </w:pPr>
      <w:r>
        <w:rPr>
          <w:rFonts w:hint="eastAsia" w:ascii="仿宋" w:hAnsi="仿宋" w:eastAsia="仿宋" w:cs="Times New Roman"/>
          <w:sz w:val="24"/>
          <w:highlight w:val="none"/>
        </w:rPr>
        <w:t>4.3 乙方在开始营业前必须向甲方递交食堂工作人员花名册、岗位分工情况表、员工劳动合同复印件、健康证复印件等证件。</w:t>
      </w:r>
    </w:p>
    <w:p w14:paraId="54CF8EF6">
      <w:pPr>
        <w:spacing w:line="360" w:lineRule="auto"/>
        <w:ind w:firstLine="480" w:firstLineChars="200"/>
        <w:rPr>
          <w:rFonts w:hint="eastAsia" w:ascii="仿宋" w:hAnsi="仿宋" w:eastAsia="仿宋" w:cs="Times New Roman"/>
          <w:sz w:val="24"/>
          <w:highlight w:val="none"/>
        </w:rPr>
      </w:pPr>
      <w:r>
        <w:rPr>
          <w:rFonts w:hint="eastAsia" w:ascii="仿宋" w:hAnsi="仿宋" w:eastAsia="仿宋" w:cs="Times New Roman"/>
          <w:sz w:val="24"/>
          <w:highlight w:val="none"/>
        </w:rPr>
        <w:t>4.4 具体人员配备要求如下（参考要求）：</w:t>
      </w:r>
    </w:p>
    <w:p w14:paraId="511E882C">
      <w:pPr>
        <w:spacing w:line="360" w:lineRule="auto"/>
        <w:ind w:firstLine="480" w:firstLineChars="200"/>
        <w:rPr>
          <w:rFonts w:hint="eastAsia" w:ascii="仿宋" w:hAnsi="仿宋" w:eastAsia="仿宋" w:cs="Times New Roman"/>
          <w:color w:val="auto"/>
          <w:sz w:val="24"/>
          <w:highlight w:val="none"/>
        </w:rPr>
      </w:pPr>
      <w:r>
        <w:rPr>
          <w:rFonts w:hint="eastAsia" w:ascii="仿宋" w:hAnsi="仿宋" w:eastAsia="仿宋" w:cs="Times New Roman"/>
          <w:sz w:val="24"/>
          <w:highlight w:val="none"/>
          <w:lang w:eastAsia="zh-CN"/>
        </w:rPr>
        <w:t>杨汛桥街道</w:t>
      </w:r>
      <w:r>
        <w:rPr>
          <w:rFonts w:hint="eastAsia" w:ascii="仿宋" w:hAnsi="仿宋" w:eastAsia="仿宋" w:cs="Times New Roman"/>
          <w:sz w:val="24"/>
          <w:highlight w:val="none"/>
        </w:rPr>
        <w:t>办事处食堂</w:t>
      </w:r>
      <w:r>
        <w:rPr>
          <w:rFonts w:hint="eastAsia" w:ascii="仿宋" w:hAnsi="仿宋" w:eastAsia="仿宋" w:cs="Times New Roman"/>
          <w:sz w:val="24"/>
          <w:highlight w:val="none"/>
          <w:lang w:eastAsia="zh-CN"/>
        </w:rPr>
        <w:t>（</w:t>
      </w:r>
      <w:r>
        <w:rPr>
          <w:rFonts w:hint="eastAsia" w:ascii="仿宋" w:hAnsi="仿宋" w:eastAsia="仿宋" w:cs="Times New Roman"/>
          <w:sz w:val="24"/>
          <w:highlight w:val="none"/>
          <w:lang w:val="en-US" w:eastAsia="zh-CN"/>
        </w:rPr>
        <w:t>不少于8人</w:t>
      </w:r>
      <w:r>
        <w:rPr>
          <w:rFonts w:hint="eastAsia" w:ascii="仿宋" w:hAnsi="仿宋" w:eastAsia="仿宋" w:cs="Times New Roman"/>
          <w:sz w:val="24"/>
          <w:highlight w:val="none"/>
          <w:lang w:eastAsia="zh-CN"/>
        </w:rPr>
        <w:t>）</w:t>
      </w:r>
      <w:r>
        <w:rPr>
          <w:rFonts w:hint="eastAsia" w:ascii="仿宋" w:hAnsi="仿宋" w:eastAsia="仿宋" w:cs="Times New Roman"/>
          <w:sz w:val="24"/>
          <w:highlight w:val="none"/>
        </w:rPr>
        <w:t>：</w:t>
      </w:r>
      <w:r>
        <w:rPr>
          <w:rFonts w:hint="eastAsia" w:ascii="仿宋" w:hAnsi="仿宋" w:eastAsia="仿宋" w:cs="Times New Roman"/>
          <w:sz w:val="24"/>
          <w:highlight w:val="none"/>
          <w:lang w:val="en-US" w:eastAsia="zh-CN"/>
        </w:rPr>
        <w:t>主厨</w:t>
      </w:r>
      <w:r>
        <w:rPr>
          <w:rFonts w:hint="eastAsia" w:ascii="仿宋" w:hAnsi="仿宋" w:eastAsia="仿宋" w:cs="Times New Roman"/>
          <w:sz w:val="24"/>
          <w:highlight w:val="none"/>
        </w:rPr>
        <w:t>1人，</w:t>
      </w:r>
      <w:r>
        <w:rPr>
          <w:rFonts w:hint="eastAsia" w:ascii="仿宋" w:hAnsi="仿宋" w:eastAsia="仿宋" w:cs="Times New Roman"/>
          <w:sz w:val="24"/>
          <w:highlight w:val="none"/>
          <w:lang w:val="en-US" w:eastAsia="zh-CN"/>
        </w:rPr>
        <w:t>副厨1</w:t>
      </w:r>
      <w:r>
        <w:rPr>
          <w:rFonts w:hint="eastAsia" w:ascii="仿宋" w:hAnsi="仿宋" w:eastAsia="仿宋" w:cs="Times New Roman"/>
          <w:sz w:val="24"/>
          <w:highlight w:val="none"/>
        </w:rPr>
        <w:t>人，</w:t>
      </w:r>
      <w:r>
        <w:rPr>
          <w:rFonts w:hint="eastAsia" w:ascii="仿宋" w:hAnsi="仿宋" w:eastAsia="仿宋" w:cs="Times New Roman"/>
          <w:sz w:val="24"/>
          <w:highlight w:val="none"/>
          <w:lang w:val="en-US" w:eastAsia="zh-CN"/>
        </w:rPr>
        <w:t>点心师</w:t>
      </w:r>
      <w:r>
        <w:rPr>
          <w:rFonts w:hint="eastAsia" w:ascii="仿宋" w:hAnsi="仿宋" w:eastAsia="仿宋" w:cs="Times New Roman"/>
          <w:sz w:val="24"/>
          <w:highlight w:val="none"/>
        </w:rPr>
        <w:t>1人，服务员不少于</w:t>
      </w:r>
      <w:r>
        <w:rPr>
          <w:rFonts w:hint="eastAsia" w:ascii="仿宋" w:hAnsi="仿宋" w:eastAsia="仿宋" w:cs="Times New Roman"/>
          <w:sz w:val="24"/>
          <w:highlight w:val="none"/>
          <w:lang w:val="en-US" w:eastAsia="zh-CN"/>
        </w:rPr>
        <w:t>5</w:t>
      </w:r>
      <w:r>
        <w:rPr>
          <w:rFonts w:hint="eastAsia" w:ascii="仿宋" w:hAnsi="仿宋" w:eastAsia="仿宋" w:cs="Times New Roman"/>
          <w:sz w:val="24"/>
          <w:highlight w:val="none"/>
        </w:rPr>
        <w:t>人；</w:t>
      </w:r>
    </w:p>
    <w:p w14:paraId="2B015B2E">
      <w:pPr>
        <w:spacing w:line="360" w:lineRule="auto"/>
        <w:ind w:firstLine="480" w:firstLineChars="200"/>
        <w:rPr>
          <w:rFonts w:hint="eastAsia" w:ascii="仿宋" w:hAnsi="仿宋" w:eastAsia="仿宋" w:cs="Times New Roman"/>
          <w:color w:val="auto"/>
          <w:sz w:val="24"/>
          <w:highlight w:val="none"/>
        </w:rPr>
      </w:pPr>
      <w:r>
        <w:rPr>
          <w:rFonts w:hint="eastAsia" w:ascii="仿宋" w:hAnsi="仿宋" w:eastAsia="仿宋" w:cs="Times New Roman"/>
          <w:color w:val="auto"/>
          <w:sz w:val="24"/>
          <w:highlight w:val="none"/>
          <w:lang w:eastAsia="zh-CN"/>
        </w:rPr>
        <w:t>杨汛桥街道</w:t>
      </w:r>
      <w:r>
        <w:rPr>
          <w:rFonts w:hint="eastAsia" w:ascii="仿宋" w:hAnsi="仿宋" w:eastAsia="仿宋" w:cs="Times New Roman"/>
          <w:color w:val="auto"/>
          <w:sz w:val="24"/>
          <w:highlight w:val="none"/>
          <w:lang w:val="en-US" w:eastAsia="zh-CN"/>
        </w:rPr>
        <w:t>派出所</w:t>
      </w:r>
      <w:r>
        <w:rPr>
          <w:rFonts w:hint="eastAsia" w:ascii="仿宋" w:hAnsi="仿宋" w:eastAsia="仿宋" w:cs="Times New Roman"/>
          <w:color w:val="auto"/>
          <w:sz w:val="24"/>
          <w:highlight w:val="none"/>
        </w:rPr>
        <w:t>食堂</w:t>
      </w:r>
      <w:r>
        <w:rPr>
          <w:rFonts w:hint="eastAsia" w:ascii="仿宋" w:hAnsi="仿宋" w:eastAsia="仿宋" w:cs="Times New Roman"/>
          <w:color w:val="auto"/>
          <w:sz w:val="24"/>
          <w:highlight w:val="none"/>
          <w:lang w:eastAsia="zh-CN"/>
        </w:rPr>
        <w:t>（</w:t>
      </w:r>
      <w:r>
        <w:rPr>
          <w:rFonts w:hint="eastAsia" w:ascii="仿宋" w:hAnsi="仿宋" w:eastAsia="仿宋" w:cs="Times New Roman"/>
          <w:color w:val="auto"/>
          <w:sz w:val="24"/>
          <w:highlight w:val="none"/>
          <w:lang w:val="en-US" w:eastAsia="zh-CN"/>
        </w:rPr>
        <w:t>不少于4人</w:t>
      </w:r>
      <w:r>
        <w:rPr>
          <w:rFonts w:hint="eastAsia" w:ascii="仿宋" w:hAnsi="仿宋" w:eastAsia="仿宋" w:cs="Times New Roman"/>
          <w:color w:val="auto"/>
          <w:sz w:val="24"/>
          <w:highlight w:val="none"/>
          <w:lang w:eastAsia="zh-CN"/>
        </w:rPr>
        <w:t>）</w:t>
      </w:r>
      <w:r>
        <w:rPr>
          <w:rFonts w:hint="eastAsia" w:ascii="仿宋" w:hAnsi="仿宋" w:eastAsia="仿宋" w:cs="Times New Roman"/>
          <w:color w:val="auto"/>
          <w:sz w:val="24"/>
          <w:highlight w:val="none"/>
        </w:rPr>
        <w:t>：</w:t>
      </w:r>
      <w:r>
        <w:rPr>
          <w:rFonts w:hint="eastAsia" w:ascii="仿宋" w:hAnsi="仿宋" w:eastAsia="仿宋" w:cs="Times New Roman"/>
          <w:color w:val="auto"/>
          <w:sz w:val="24"/>
          <w:highlight w:val="none"/>
          <w:lang w:val="en-US" w:eastAsia="zh-CN"/>
        </w:rPr>
        <w:t>主厨</w:t>
      </w:r>
      <w:r>
        <w:rPr>
          <w:rFonts w:hint="eastAsia" w:ascii="仿宋" w:hAnsi="仿宋" w:eastAsia="仿宋" w:cs="Times New Roman"/>
          <w:color w:val="auto"/>
          <w:sz w:val="24"/>
          <w:highlight w:val="none"/>
        </w:rPr>
        <w:t>1人，</w:t>
      </w:r>
      <w:r>
        <w:rPr>
          <w:rFonts w:hint="eastAsia" w:ascii="仿宋" w:hAnsi="仿宋" w:eastAsia="仿宋" w:cs="Times New Roman"/>
          <w:color w:val="auto"/>
          <w:sz w:val="24"/>
          <w:highlight w:val="none"/>
          <w:lang w:val="en-US" w:eastAsia="zh-CN"/>
        </w:rPr>
        <w:t>副厨1</w:t>
      </w:r>
      <w:r>
        <w:rPr>
          <w:rFonts w:hint="eastAsia" w:ascii="仿宋" w:hAnsi="仿宋" w:eastAsia="仿宋" w:cs="Times New Roman"/>
          <w:color w:val="auto"/>
          <w:sz w:val="24"/>
          <w:highlight w:val="none"/>
        </w:rPr>
        <w:t>人</w:t>
      </w:r>
      <w:r>
        <w:rPr>
          <w:rFonts w:hint="eastAsia" w:ascii="仿宋" w:hAnsi="仿宋" w:eastAsia="仿宋" w:cs="Times New Roman"/>
          <w:color w:val="auto"/>
          <w:sz w:val="24"/>
          <w:highlight w:val="none"/>
          <w:lang w:eastAsia="zh-CN"/>
        </w:rPr>
        <w:t>，</w:t>
      </w:r>
      <w:r>
        <w:rPr>
          <w:rFonts w:hint="eastAsia" w:ascii="仿宋" w:hAnsi="仿宋" w:eastAsia="仿宋" w:cs="Times New Roman"/>
          <w:color w:val="auto"/>
          <w:sz w:val="24"/>
          <w:highlight w:val="none"/>
        </w:rPr>
        <w:t>服务员不少于</w:t>
      </w:r>
      <w:r>
        <w:rPr>
          <w:rFonts w:hint="eastAsia" w:ascii="仿宋" w:hAnsi="仿宋" w:eastAsia="仿宋" w:cs="Times New Roman"/>
          <w:color w:val="auto"/>
          <w:sz w:val="24"/>
          <w:highlight w:val="none"/>
          <w:lang w:val="en-US" w:eastAsia="zh-CN"/>
        </w:rPr>
        <w:t>2</w:t>
      </w:r>
      <w:r>
        <w:rPr>
          <w:rFonts w:hint="eastAsia" w:ascii="仿宋" w:hAnsi="仿宋" w:eastAsia="仿宋" w:cs="Times New Roman"/>
          <w:color w:val="auto"/>
          <w:sz w:val="24"/>
          <w:highlight w:val="none"/>
        </w:rPr>
        <w:t>人。</w:t>
      </w:r>
    </w:p>
    <w:p w14:paraId="437AD2E5">
      <w:pPr>
        <w:spacing w:line="360" w:lineRule="auto"/>
        <w:ind w:firstLine="482" w:firstLineChars="200"/>
        <w:rPr>
          <w:rFonts w:hint="eastAsia" w:ascii="仿宋" w:hAnsi="仿宋" w:eastAsia="仿宋" w:cs="Times New Roman"/>
          <w:color w:val="auto"/>
          <w:sz w:val="24"/>
          <w:highlight w:val="none"/>
        </w:rPr>
      </w:pPr>
      <w:r>
        <w:rPr>
          <w:rFonts w:hint="eastAsia" w:ascii="仿宋" w:hAnsi="仿宋" w:eastAsia="仿宋" w:cs="Times New Roman"/>
          <w:b/>
          <w:bCs/>
          <w:color w:val="auto"/>
          <w:sz w:val="24"/>
          <w:highlight w:val="none"/>
          <w:u w:val="single"/>
        </w:rPr>
        <w:t>4.5 外包服务的交接同时伴随现有食堂所有员工关系的转接，为确保平稳过渡原食堂工作人员在符合中标单位用工条件的情况下，请中标单位考虑优先聘用。且为保证食堂服务工作正常运行，重要岗位人员在短期内不宜进行大幅度变动。</w:t>
      </w:r>
    </w:p>
    <w:p w14:paraId="7C16606C">
      <w:pPr>
        <w:spacing w:line="360" w:lineRule="auto"/>
        <w:ind w:firstLine="482" w:firstLineChars="200"/>
        <w:rPr>
          <w:rFonts w:hint="eastAsia" w:ascii="仿宋" w:hAnsi="仿宋" w:eastAsia="仿宋" w:cs="Times New Roman"/>
          <w:b/>
          <w:bCs/>
          <w:sz w:val="24"/>
          <w:highlight w:val="none"/>
          <w:lang w:eastAsia="zh-CN"/>
        </w:rPr>
      </w:pPr>
      <w:r>
        <w:rPr>
          <w:rFonts w:hint="eastAsia" w:ascii="仿宋" w:hAnsi="仿宋" w:eastAsia="仿宋" w:cs="Times New Roman"/>
          <w:b/>
          <w:bCs/>
          <w:sz w:val="24"/>
          <w:highlight w:val="none"/>
          <w:lang w:eastAsia="zh-CN"/>
        </w:rPr>
        <w:t>4.6 员工中有外来务工人员的，必须具有公安部门核发的临时居住证等相关证件。</w:t>
      </w:r>
    </w:p>
    <w:p w14:paraId="66AC2027">
      <w:pPr>
        <w:spacing w:line="360" w:lineRule="auto"/>
        <w:ind w:firstLine="482" w:firstLineChars="200"/>
        <w:rPr>
          <w:rFonts w:hint="eastAsia" w:ascii="仿宋" w:hAnsi="仿宋" w:eastAsia="仿宋" w:cs="Times New Roman"/>
          <w:b/>
          <w:bCs/>
          <w:sz w:val="24"/>
          <w:highlight w:val="none"/>
          <w:lang w:eastAsia="zh-CN"/>
        </w:rPr>
      </w:pPr>
      <w:r>
        <w:rPr>
          <w:rFonts w:hint="eastAsia" w:ascii="仿宋" w:hAnsi="仿宋" w:eastAsia="仿宋" w:cs="Times New Roman"/>
          <w:b/>
          <w:bCs/>
          <w:sz w:val="24"/>
          <w:highlight w:val="none"/>
          <w:lang w:val="en-US" w:eastAsia="zh-CN"/>
        </w:rPr>
        <w:t>五、</w:t>
      </w:r>
      <w:r>
        <w:rPr>
          <w:rFonts w:hint="eastAsia" w:ascii="仿宋" w:hAnsi="仿宋" w:eastAsia="仿宋" w:cs="Times New Roman"/>
          <w:b/>
          <w:bCs/>
          <w:sz w:val="24"/>
          <w:highlight w:val="none"/>
          <w:lang w:eastAsia="zh-CN"/>
        </w:rPr>
        <w:t>管理要求</w:t>
      </w:r>
      <w:bookmarkEnd w:id="45"/>
      <w:r>
        <w:rPr>
          <w:rFonts w:hint="eastAsia" w:ascii="仿宋" w:hAnsi="仿宋" w:eastAsia="仿宋" w:cs="Times New Roman"/>
          <w:b/>
          <w:bCs/>
          <w:sz w:val="24"/>
          <w:highlight w:val="none"/>
          <w:lang w:eastAsia="zh-CN"/>
        </w:rPr>
        <w:t>方面</w:t>
      </w:r>
    </w:p>
    <w:p w14:paraId="6A62D5A1">
      <w:pPr>
        <w:spacing w:line="360" w:lineRule="auto"/>
        <w:ind w:firstLine="482" w:firstLineChars="200"/>
        <w:rPr>
          <w:rFonts w:hint="eastAsia" w:ascii="仿宋" w:hAnsi="仿宋" w:eastAsia="仿宋" w:cs="Times New Roman"/>
          <w:b/>
          <w:bCs/>
          <w:sz w:val="24"/>
          <w:highlight w:val="none"/>
          <w:lang w:eastAsia="zh-CN"/>
        </w:rPr>
      </w:pPr>
      <w:r>
        <w:rPr>
          <w:rFonts w:hint="eastAsia" w:ascii="仿宋" w:hAnsi="仿宋" w:eastAsia="仿宋" w:cs="Times New Roman"/>
          <w:b/>
          <w:bCs/>
          <w:sz w:val="24"/>
          <w:highlight w:val="none"/>
          <w:lang w:eastAsia="zh-CN"/>
        </w:rPr>
        <w:t>5.1.人事管理：</w:t>
      </w:r>
    </w:p>
    <w:p w14:paraId="4BC67935">
      <w:pPr>
        <w:spacing w:line="360" w:lineRule="auto"/>
        <w:ind w:firstLine="480" w:firstLineChars="200"/>
        <w:rPr>
          <w:rFonts w:hint="eastAsia" w:ascii="仿宋" w:hAnsi="仿宋" w:eastAsia="仿宋" w:cs="Times New Roman"/>
          <w:sz w:val="24"/>
          <w:highlight w:val="none"/>
          <w:lang w:eastAsia="zh-CN"/>
        </w:rPr>
      </w:pPr>
      <w:r>
        <w:rPr>
          <w:rFonts w:hint="eastAsia" w:ascii="仿宋" w:hAnsi="仿宋" w:eastAsia="仿宋" w:cs="Times New Roman"/>
          <w:sz w:val="24"/>
          <w:highlight w:val="none"/>
          <w:lang w:eastAsia="zh-CN"/>
        </w:rPr>
        <w:t>5.1.1抓好队伍组建。建立合适的人力组织结构体系,明确岗位名称、职级、人员配置、工作职责范围、工作质量标准，理顺各部门人员之间的隶属关系；</w:t>
      </w:r>
    </w:p>
    <w:p w14:paraId="7622F539">
      <w:pPr>
        <w:spacing w:line="360" w:lineRule="auto"/>
        <w:ind w:firstLine="480" w:firstLineChars="200"/>
        <w:rPr>
          <w:rFonts w:hint="eastAsia" w:ascii="仿宋" w:hAnsi="仿宋" w:eastAsia="仿宋" w:cs="Times New Roman"/>
          <w:sz w:val="24"/>
          <w:highlight w:val="none"/>
          <w:lang w:eastAsia="zh-CN"/>
        </w:rPr>
      </w:pPr>
      <w:r>
        <w:rPr>
          <w:rFonts w:hint="eastAsia" w:ascii="仿宋" w:hAnsi="仿宋" w:eastAsia="仿宋" w:cs="Times New Roman"/>
          <w:sz w:val="24"/>
          <w:highlight w:val="none"/>
          <w:lang w:eastAsia="zh-CN"/>
        </w:rPr>
        <w:t>5.1.2加强专业培训。有计划开展培训，不断提高员工的工作责任意识和服务保障意识，确保各岗位的操作和服务规范有序；</w:t>
      </w:r>
    </w:p>
    <w:p w14:paraId="2A41AC14">
      <w:pPr>
        <w:spacing w:line="360" w:lineRule="auto"/>
        <w:ind w:firstLine="480" w:firstLineChars="200"/>
        <w:rPr>
          <w:rFonts w:hint="eastAsia" w:ascii="仿宋" w:hAnsi="仿宋" w:eastAsia="仿宋" w:cs="Times New Roman"/>
          <w:sz w:val="24"/>
          <w:highlight w:val="none"/>
          <w:lang w:eastAsia="zh-CN"/>
        </w:rPr>
      </w:pPr>
      <w:r>
        <w:rPr>
          <w:rFonts w:hint="eastAsia" w:ascii="仿宋" w:hAnsi="仿宋" w:eastAsia="仿宋" w:cs="Times New Roman"/>
          <w:sz w:val="24"/>
          <w:highlight w:val="none"/>
          <w:lang w:eastAsia="zh-CN"/>
        </w:rPr>
        <w:t>5.1.3严格考核机制。结合每一岗位的工作情况，落实相应的奖惩激励措施。</w:t>
      </w:r>
    </w:p>
    <w:p w14:paraId="5A9BB8DB">
      <w:pPr>
        <w:spacing w:line="360" w:lineRule="auto"/>
        <w:ind w:firstLine="482" w:firstLineChars="200"/>
        <w:rPr>
          <w:rFonts w:hint="eastAsia" w:ascii="仿宋" w:hAnsi="仿宋" w:eastAsia="仿宋" w:cs="Times New Roman"/>
          <w:b/>
          <w:bCs/>
          <w:sz w:val="24"/>
          <w:highlight w:val="none"/>
          <w:lang w:eastAsia="zh-CN"/>
        </w:rPr>
      </w:pPr>
      <w:r>
        <w:rPr>
          <w:rFonts w:hint="eastAsia" w:ascii="仿宋" w:hAnsi="仿宋" w:eastAsia="仿宋" w:cs="Times New Roman"/>
          <w:b/>
          <w:bCs/>
          <w:sz w:val="24"/>
          <w:highlight w:val="none"/>
          <w:lang w:eastAsia="zh-CN"/>
        </w:rPr>
        <w:t>5.2.安全管理：</w:t>
      </w:r>
    </w:p>
    <w:p w14:paraId="5655A026">
      <w:pPr>
        <w:spacing w:line="360" w:lineRule="auto"/>
        <w:ind w:firstLine="480" w:firstLineChars="200"/>
        <w:rPr>
          <w:rFonts w:hint="eastAsia" w:ascii="仿宋" w:hAnsi="仿宋" w:eastAsia="仿宋" w:cs="Times New Roman"/>
          <w:sz w:val="24"/>
          <w:highlight w:val="none"/>
          <w:lang w:eastAsia="zh-CN"/>
        </w:rPr>
      </w:pPr>
      <w:r>
        <w:rPr>
          <w:rFonts w:hint="eastAsia" w:ascii="仿宋" w:hAnsi="仿宋" w:eastAsia="仿宋" w:cs="Times New Roman"/>
          <w:sz w:val="24"/>
          <w:highlight w:val="none"/>
          <w:lang w:eastAsia="zh-CN"/>
        </w:rPr>
        <w:t>5.2.1树立防范意识。抓好食品安全和生产安全教育、培训、制度、监督、考核等管理工作，确保安全零事故，承担安全管理责任；</w:t>
      </w:r>
    </w:p>
    <w:p w14:paraId="535CFC4C">
      <w:pPr>
        <w:spacing w:line="360" w:lineRule="auto"/>
        <w:ind w:firstLine="480" w:firstLineChars="200"/>
        <w:rPr>
          <w:rFonts w:hint="eastAsia" w:ascii="仿宋" w:hAnsi="仿宋" w:eastAsia="仿宋" w:cs="Times New Roman"/>
          <w:sz w:val="24"/>
          <w:highlight w:val="none"/>
          <w:lang w:eastAsia="zh-CN"/>
        </w:rPr>
      </w:pPr>
      <w:r>
        <w:rPr>
          <w:rFonts w:hint="eastAsia" w:ascii="仿宋" w:hAnsi="仿宋" w:eastAsia="仿宋" w:cs="Times New Roman"/>
          <w:sz w:val="24"/>
          <w:highlight w:val="none"/>
          <w:lang w:eastAsia="zh-CN"/>
        </w:rPr>
        <w:t>5.2.2重视食品安全。从原料验收、洗刷切配、烹饪加工、生熟隔离、冷鲜处理、半成品存储、成品保护等各环节着手，杜绝食品安全事故的发生。严格执行索证制度，农药测试制度，预防食物中毒发生。因供应商方管理不善造成用餐人员食物中毒，由供应商负全部责任。</w:t>
      </w:r>
    </w:p>
    <w:p w14:paraId="22E6F054">
      <w:pPr>
        <w:spacing w:line="360" w:lineRule="auto"/>
        <w:ind w:firstLine="480" w:firstLineChars="200"/>
        <w:rPr>
          <w:rFonts w:hint="eastAsia" w:ascii="仿宋" w:hAnsi="仿宋" w:eastAsia="仿宋" w:cs="仿宋"/>
          <w:sz w:val="24"/>
          <w:highlight w:val="none"/>
        </w:rPr>
      </w:pPr>
      <w:r>
        <w:rPr>
          <w:rFonts w:hint="eastAsia" w:ascii="仿宋" w:hAnsi="仿宋" w:eastAsia="仿宋" w:cs="Times New Roman"/>
          <w:sz w:val="24"/>
          <w:highlight w:val="none"/>
          <w:lang w:eastAsia="zh-CN"/>
        </w:rPr>
        <w:t>5.2.3强化安全生产。严格遵守设备操作规程，防止发生人身设备安全事故。加强日常规范管理，防止割伤、跌伤、撞伤、扭伤、烧烫伤、触电等常见事故的发生，防止电器失火、烹调起火、抽烟失火、管道起火、加热设备起火以及其它人为因素造成的火灾等事故的发生。下班后和设备使用完后落实关气、关电、关水、关门检查制度，预防火灾、偷盗事件发生。定期邀请消防、安监、市场监督管理局等部门进行食堂安全检查，查看操作是否符合要求。</w:t>
      </w:r>
    </w:p>
    <w:p w14:paraId="1140461E">
      <w:pPr>
        <w:spacing w:line="360" w:lineRule="auto"/>
        <w:ind w:firstLine="482" w:firstLineChars="200"/>
        <w:rPr>
          <w:rFonts w:hint="eastAsia" w:ascii="仿宋" w:hAnsi="仿宋" w:eastAsia="仿宋" w:cs="Times New Roman"/>
          <w:b/>
          <w:bCs/>
          <w:sz w:val="24"/>
          <w:highlight w:val="none"/>
          <w:lang w:eastAsia="zh-CN"/>
        </w:rPr>
      </w:pPr>
      <w:r>
        <w:rPr>
          <w:rFonts w:hint="eastAsia" w:ascii="仿宋" w:hAnsi="仿宋" w:eastAsia="仿宋" w:cs="Times New Roman"/>
          <w:b/>
          <w:bCs/>
          <w:sz w:val="24"/>
          <w:highlight w:val="none"/>
          <w:lang w:eastAsia="zh-CN"/>
        </w:rPr>
        <w:t>5.3.卫生管理：</w:t>
      </w:r>
    </w:p>
    <w:p w14:paraId="163DECEE">
      <w:pPr>
        <w:spacing w:line="360" w:lineRule="auto"/>
        <w:ind w:firstLine="480" w:firstLineChars="200"/>
        <w:rPr>
          <w:rFonts w:hint="eastAsia" w:ascii="仿宋" w:hAnsi="仿宋" w:eastAsia="仿宋" w:cs="Times New Roman"/>
          <w:sz w:val="24"/>
          <w:highlight w:val="none"/>
          <w:lang w:eastAsia="zh-CN"/>
        </w:rPr>
      </w:pPr>
      <w:r>
        <w:rPr>
          <w:rFonts w:hint="eastAsia" w:ascii="仿宋" w:hAnsi="仿宋" w:eastAsia="仿宋" w:cs="Times New Roman"/>
          <w:sz w:val="24"/>
          <w:highlight w:val="none"/>
          <w:lang w:eastAsia="zh-CN"/>
        </w:rPr>
        <w:t>5.3.1抓好环境卫生。落实环境通风、四害消杀、垃圾处理等措施，厨房内部、售餐间和餐厅等各区域卫生保洁要做到定时清扫和随时保洁相结合，每天拖、洗地面三次，每周进行一次大扫除。卫生、服务、餐饮质量达到酒店三星级标准，自觉接受卫生管理部门和招标管理人员对食堂工作检查、监督。</w:t>
      </w:r>
    </w:p>
    <w:p w14:paraId="52BD1F34">
      <w:pPr>
        <w:spacing w:line="360" w:lineRule="auto"/>
        <w:ind w:firstLine="480" w:firstLineChars="200"/>
        <w:rPr>
          <w:rFonts w:hint="eastAsia" w:ascii="仿宋" w:hAnsi="仿宋" w:eastAsia="仿宋" w:cs="Times New Roman"/>
          <w:sz w:val="24"/>
          <w:highlight w:val="none"/>
          <w:lang w:eastAsia="zh-CN"/>
        </w:rPr>
      </w:pPr>
      <w:r>
        <w:rPr>
          <w:rFonts w:hint="eastAsia" w:ascii="仿宋" w:hAnsi="仿宋" w:eastAsia="仿宋" w:cs="Times New Roman"/>
          <w:sz w:val="24"/>
          <w:highlight w:val="none"/>
          <w:lang w:eastAsia="zh-CN"/>
        </w:rPr>
        <w:t>5.3.2抓好作业卫生。落实炉灶作业、配菜间、冷菜间、点心间、粗加工间、洗涤间等区域的卫生管理，做好洗、切、配等各道程序的作业卫生工作；</w:t>
      </w:r>
    </w:p>
    <w:p w14:paraId="5EFB1600">
      <w:pPr>
        <w:spacing w:line="360" w:lineRule="auto"/>
        <w:ind w:firstLine="480" w:firstLineChars="200"/>
        <w:rPr>
          <w:rFonts w:hint="eastAsia" w:ascii="仿宋" w:hAnsi="仿宋" w:eastAsia="仿宋" w:cs="Times New Roman"/>
          <w:sz w:val="24"/>
          <w:highlight w:val="none"/>
          <w:lang w:eastAsia="zh-CN"/>
        </w:rPr>
      </w:pPr>
      <w:r>
        <w:rPr>
          <w:rFonts w:hint="eastAsia" w:ascii="仿宋" w:hAnsi="仿宋" w:eastAsia="仿宋" w:cs="Times New Roman"/>
          <w:sz w:val="24"/>
          <w:highlight w:val="none"/>
          <w:lang w:eastAsia="zh-CN"/>
        </w:rPr>
        <w:t>5.3.3抓好个人卫生。工作人员必须有良好的卫生习惯，每年必须参加体检，持证上岗。工作期间，工作衣、帽整洁统一，工号、口罩佩戴到位。</w:t>
      </w:r>
    </w:p>
    <w:p w14:paraId="77C6ADA9">
      <w:pPr>
        <w:spacing w:line="360" w:lineRule="auto"/>
        <w:ind w:firstLine="480" w:firstLineChars="200"/>
        <w:rPr>
          <w:rFonts w:hint="eastAsia" w:ascii="仿宋" w:hAnsi="仿宋" w:eastAsia="仿宋" w:cs="Times New Roman"/>
          <w:sz w:val="24"/>
          <w:highlight w:val="none"/>
          <w:lang w:eastAsia="zh-CN"/>
        </w:rPr>
      </w:pPr>
      <w:r>
        <w:rPr>
          <w:rFonts w:hint="eastAsia" w:ascii="仿宋" w:hAnsi="仿宋" w:eastAsia="仿宋" w:cs="Times New Roman"/>
          <w:sz w:val="24"/>
          <w:highlight w:val="none"/>
          <w:lang w:eastAsia="zh-CN"/>
        </w:rPr>
        <w:t>5.3.4做好食堂垃圾分类及垃圾处理工作，按指定地点分类设置，不得随意放置。</w:t>
      </w:r>
    </w:p>
    <w:p w14:paraId="7F895BF4">
      <w:pPr>
        <w:spacing w:line="360" w:lineRule="auto"/>
        <w:ind w:firstLine="482" w:firstLineChars="200"/>
        <w:rPr>
          <w:rFonts w:hint="eastAsia" w:ascii="仿宋" w:hAnsi="仿宋" w:eastAsia="仿宋" w:cs="Times New Roman"/>
          <w:b/>
          <w:bCs/>
          <w:sz w:val="24"/>
          <w:highlight w:val="none"/>
          <w:lang w:eastAsia="zh-CN"/>
        </w:rPr>
      </w:pPr>
      <w:r>
        <w:rPr>
          <w:rFonts w:hint="eastAsia" w:ascii="仿宋" w:hAnsi="仿宋" w:eastAsia="仿宋" w:cs="Times New Roman"/>
          <w:b/>
          <w:bCs/>
          <w:sz w:val="24"/>
          <w:highlight w:val="none"/>
          <w:lang w:eastAsia="zh-CN"/>
        </w:rPr>
        <w:t>5.4.成本管理：</w:t>
      </w:r>
    </w:p>
    <w:p w14:paraId="2AD3E5A9">
      <w:pPr>
        <w:spacing w:line="360" w:lineRule="auto"/>
        <w:ind w:firstLine="480" w:firstLineChars="200"/>
        <w:rPr>
          <w:rFonts w:hint="eastAsia" w:ascii="仿宋" w:hAnsi="仿宋" w:eastAsia="仿宋" w:cs="Times New Roman"/>
          <w:sz w:val="24"/>
          <w:highlight w:val="none"/>
          <w:lang w:eastAsia="zh-CN"/>
        </w:rPr>
      </w:pPr>
      <w:r>
        <w:rPr>
          <w:rFonts w:hint="eastAsia" w:ascii="仿宋" w:hAnsi="仿宋" w:eastAsia="仿宋" w:cs="Times New Roman"/>
          <w:sz w:val="24"/>
          <w:highlight w:val="none"/>
          <w:lang w:eastAsia="zh-CN"/>
        </w:rPr>
        <w:t>5.4.1加强成本核算。抓好餐饮原料、物料和能耗的综合管理工作，配合采购人做好成本核算；</w:t>
      </w:r>
    </w:p>
    <w:p w14:paraId="5271254D">
      <w:pPr>
        <w:spacing w:line="360" w:lineRule="auto"/>
        <w:ind w:firstLine="480" w:firstLineChars="200"/>
        <w:rPr>
          <w:rFonts w:hint="eastAsia" w:ascii="仿宋" w:hAnsi="仿宋" w:eastAsia="仿宋" w:cs="Times New Roman"/>
          <w:sz w:val="24"/>
          <w:highlight w:val="none"/>
          <w:lang w:eastAsia="zh-CN"/>
        </w:rPr>
      </w:pPr>
      <w:r>
        <w:rPr>
          <w:rFonts w:hint="eastAsia" w:ascii="仿宋" w:hAnsi="仿宋" w:eastAsia="仿宋" w:cs="Times New Roman"/>
          <w:sz w:val="24"/>
          <w:highlight w:val="none"/>
          <w:lang w:eastAsia="zh-CN"/>
        </w:rPr>
        <w:t>5.4.2精准数量统计。做好每日各品种菜肴的原料消耗数量、成品数量、销售数量的统计；</w:t>
      </w:r>
    </w:p>
    <w:p w14:paraId="77C4698B">
      <w:pPr>
        <w:spacing w:line="360" w:lineRule="auto"/>
        <w:ind w:firstLine="480" w:firstLineChars="200"/>
        <w:rPr>
          <w:rFonts w:hint="eastAsia" w:ascii="仿宋" w:hAnsi="仿宋" w:eastAsia="仿宋" w:cs="Times New Roman"/>
          <w:sz w:val="24"/>
          <w:highlight w:val="none"/>
          <w:lang w:eastAsia="zh-CN"/>
        </w:rPr>
      </w:pPr>
      <w:r>
        <w:rPr>
          <w:rFonts w:hint="eastAsia" w:ascii="仿宋" w:hAnsi="仿宋" w:eastAsia="仿宋" w:cs="Times New Roman"/>
          <w:sz w:val="24"/>
          <w:highlight w:val="none"/>
          <w:lang w:eastAsia="zh-CN"/>
        </w:rPr>
        <w:t>5.4.3控制损耗浪费。结合食堂具体情况，在做好保障的基础上，抓好原材料损耗和能源消耗等加工成本的管控，抓好供需配比和成品浪费等成品和半成品的控制，努力降低损耗，提高绩效，力争代购代销食品无损耗，加工制作食品少损耗，全年实现食堂收支平衡。</w:t>
      </w:r>
    </w:p>
    <w:p w14:paraId="17C8302D">
      <w:pPr>
        <w:spacing w:line="360" w:lineRule="auto"/>
        <w:ind w:firstLine="480" w:firstLineChars="200"/>
        <w:rPr>
          <w:rFonts w:hint="eastAsia" w:ascii="仿宋" w:hAnsi="仿宋" w:eastAsia="仿宋" w:cs="Times New Roman"/>
          <w:sz w:val="24"/>
          <w:highlight w:val="none"/>
          <w:lang w:eastAsia="zh-CN"/>
        </w:rPr>
      </w:pPr>
      <w:r>
        <w:rPr>
          <w:rFonts w:hint="eastAsia" w:ascii="仿宋" w:hAnsi="仿宋" w:eastAsia="仿宋" w:cs="Times New Roman"/>
          <w:sz w:val="24"/>
          <w:highlight w:val="none"/>
          <w:lang w:eastAsia="zh-CN"/>
        </w:rPr>
        <w:t>5.5 服务管理：着眼机关食堂服务保障特点，立足餐饮行业的服务规范要求，从服务形象、服务品质、服务规范上不断维护、创新、改进，做好群体性服务和个性化服务的有机统一，努力提高机关干部对餐饮服务的满意率。</w:t>
      </w:r>
    </w:p>
    <w:p w14:paraId="2D669FF9">
      <w:pPr>
        <w:spacing w:line="360" w:lineRule="auto"/>
        <w:ind w:firstLine="480" w:firstLineChars="200"/>
        <w:rPr>
          <w:rFonts w:hint="eastAsia" w:ascii="仿宋" w:hAnsi="仿宋" w:eastAsia="仿宋" w:cs="仿宋"/>
          <w:sz w:val="24"/>
        </w:rPr>
      </w:pPr>
      <w:r>
        <w:rPr>
          <w:rFonts w:hint="eastAsia" w:ascii="仿宋" w:hAnsi="仿宋" w:eastAsia="仿宋" w:cs="Times New Roman"/>
          <w:sz w:val="24"/>
          <w:highlight w:val="none"/>
          <w:lang w:eastAsia="zh-CN"/>
        </w:rPr>
        <w:t>5.6 设备管理：抓好设施设备的使用管理，</w:t>
      </w:r>
      <w:r>
        <w:rPr>
          <w:rFonts w:hint="eastAsia" w:ascii="仿宋" w:hAnsi="仿宋" w:eastAsia="仿宋" w:cs="Times New Roman"/>
          <w:color w:val="auto"/>
          <w:sz w:val="24"/>
          <w:highlight w:val="none"/>
          <w:lang w:eastAsia="zh-CN"/>
        </w:rPr>
        <w:t>严格落实设施设备的安全操作和正常维护措施，高效使用现有设施设备，确保设施设备的正常运行。正常损耗、维修费用由甲方承担；非正常损坏，维修费用由乙方承担，不能修复的按折旧价赔偿。餐具的正常年度破损率控制在3%以内，超过破损率乙方负责赔偿。</w:t>
      </w:r>
    </w:p>
    <w:p w14:paraId="06FC8BC2">
      <w:pPr>
        <w:spacing w:line="360" w:lineRule="auto"/>
        <w:ind w:firstLine="482" w:firstLineChars="200"/>
        <w:rPr>
          <w:rFonts w:hint="eastAsia" w:ascii="仿宋" w:hAnsi="仿宋" w:eastAsia="仿宋" w:cs="Times New Roman"/>
          <w:sz w:val="24"/>
          <w:highlight w:val="none"/>
          <w:lang w:eastAsia="zh-CN"/>
        </w:rPr>
      </w:pPr>
      <w:bookmarkStart w:id="46" w:name="_Toc416098594"/>
      <w:r>
        <w:rPr>
          <w:rFonts w:hint="eastAsia" w:ascii="仿宋" w:hAnsi="仿宋" w:eastAsia="仿宋" w:cs="Times New Roman"/>
          <w:b/>
          <w:bCs/>
          <w:sz w:val="24"/>
          <w:highlight w:val="none"/>
          <w:lang w:val="en-US" w:eastAsia="zh-CN"/>
        </w:rPr>
        <w:t>六、</w:t>
      </w:r>
      <w:r>
        <w:rPr>
          <w:rFonts w:hint="eastAsia" w:ascii="仿宋" w:hAnsi="仿宋" w:eastAsia="仿宋" w:cs="Times New Roman"/>
          <w:b/>
          <w:bCs/>
          <w:sz w:val="24"/>
          <w:highlight w:val="none"/>
          <w:lang w:eastAsia="zh-CN"/>
        </w:rPr>
        <w:t>监督考评</w:t>
      </w:r>
      <w:bookmarkEnd w:id="46"/>
      <w:r>
        <w:rPr>
          <w:rFonts w:hint="eastAsia" w:ascii="仿宋" w:hAnsi="仿宋" w:eastAsia="仿宋" w:cs="Times New Roman"/>
          <w:b/>
          <w:bCs/>
          <w:sz w:val="24"/>
          <w:highlight w:val="none"/>
          <w:lang w:eastAsia="zh-CN"/>
        </w:rPr>
        <w:t>方面</w:t>
      </w:r>
    </w:p>
    <w:p w14:paraId="293C51A7">
      <w:pPr>
        <w:spacing w:line="360" w:lineRule="auto"/>
        <w:ind w:firstLine="480" w:firstLineChars="200"/>
        <w:rPr>
          <w:rFonts w:hint="eastAsia" w:ascii="仿宋" w:hAnsi="仿宋" w:eastAsia="仿宋" w:cs="Times New Roman"/>
          <w:sz w:val="24"/>
          <w:highlight w:val="none"/>
          <w:lang w:eastAsia="zh-CN"/>
        </w:rPr>
      </w:pPr>
      <w:r>
        <w:rPr>
          <w:rFonts w:hint="eastAsia" w:ascii="仿宋" w:hAnsi="仿宋" w:eastAsia="仿宋" w:cs="Times New Roman"/>
          <w:sz w:val="24"/>
          <w:highlight w:val="none"/>
          <w:lang w:eastAsia="zh-CN"/>
        </w:rPr>
        <w:t>6.1 采购人对供应商实行监督考核，餐务涉及的所有区域和操作过程都属于监管范围。</w:t>
      </w:r>
    </w:p>
    <w:p w14:paraId="5712DC78">
      <w:pPr>
        <w:spacing w:line="360" w:lineRule="auto"/>
        <w:ind w:firstLine="480" w:firstLineChars="200"/>
        <w:rPr>
          <w:rFonts w:hint="eastAsia" w:ascii="仿宋" w:hAnsi="仿宋" w:eastAsia="仿宋" w:cs="Times New Roman"/>
          <w:sz w:val="24"/>
          <w:highlight w:val="none"/>
          <w:lang w:eastAsia="zh-CN"/>
        </w:rPr>
      </w:pPr>
      <w:r>
        <w:rPr>
          <w:rFonts w:hint="eastAsia" w:ascii="仿宋" w:hAnsi="仿宋" w:eastAsia="仿宋" w:cs="Times New Roman"/>
          <w:sz w:val="24"/>
          <w:highlight w:val="none"/>
          <w:lang w:eastAsia="zh-CN"/>
        </w:rPr>
        <w:t>6.2 采购人从供餐质量、服务质量、卫生标准、设备使用、成本管控、安全生产、日常管理、先进荣誉等方面定期对供应商进行检查和突击抽查，并根据检查、测评情况对乙方进行相应的奖励、处罚甚至中止托管合同。</w:t>
      </w:r>
    </w:p>
    <w:p w14:paraId="0AB8D5FF">
      <w:pPr>
        <w:spacing w:line="360" w:lineRule="auto"/>
        <w:ind w:firstLine="480" w:firstLineChars="200"/>
        <w:rPr>
          <w:rFonts w:hint="eastAsia" w:ascii="仿宋" w:hAnsi="仿宋" w:eastAsia="仿宋" w:cs="Times New Roman"/>
          <w:sz w:val="24"/>
          <w:highlight w:val="none"/>
          <w:lang w:eastAsia="zh-CN"/>
        </w:rPr>
      </w:pPr>
      <w:r>
        <w:rPr>
          <w:rFonts w:hint="eastAsia" w:ascii="仿宋" w:hAnsi="仿宋" w:eastAsia="仿宋" w:cs="Times New Roman"/>
          <w:sz w:val="24"/>
          <w:highlight w:val="none"/>
          <w:lang w:eastAsia="zh-CN"/>
        </w:rPr>
        <w:t>6.3 供应商须根据行业规范抓好日常管理，确保采购人食堂原有荣誉续存，争创行业新荣誉。</w:t>
      </w:r>
    </w:p>
    <w:p w14:paraId="27E66549">
      <w:pPr>
        <w:spacing w:line="360" w:lineRule="auto"/>
        <w:ind w:firstLine="480" w:firstLineChars="200"/>
        <w:rPr>
          <w:rFonts w:hint="eastAsia" w:ascii="仿宋" w:hAnsi="仿宋" w:eastAsia="仿宋" w:cs="Times New Roman"/>
          <w:sz w:val="24"/>
          <w:highlight w:val="none"/>
          <w:lang w:eastAsia="zh-CN"/>
        </w:rPr>
      </w:pPr>
      <w:r>
        <w:rPr>
          <w:rFonts w:hint="eastAsia" w:ascii="仿宋" w:hAnsi="仿宋" w:eastAsia="仿宋" w:cs="Times New Roman"/>
          <w:sz w:val="24"/>
          <w:highlight w:val="none"/>
          <w:lang w:eastAsia="zh-CN"/>
        </w:rPr>
        <w:t>6.4 供应商不得以任何形式转租、转让、抵押承包区域，在承包区域只从事采购人认可的服务工作。在承包期间，供应商的任何股份配置变动应通知采购人。未经采购人书面批准，任何占有支配地位的股份转让者将视为供应商出租、转让的行为。一经发现，采购人有权取消其受托资格，并给予经济处罚或诉讼法律。</w:t>
      </w:r>
    </w:p>
    <w:p w14:paraId="5DAC72FA">
      <w:pPr>
        <w:spacing w:line="360" w:lineRule="auto"/>
        <w:ind w:firstLine="480" w:firstLineChars="200"/>
        <w:rPr>
          <w:rFonts w:hint="eastAsia" w:ascii="仿宋" w:hAnsi="仿宋" w:eastAsia="仿宋" w:cs="仿宋"/>
          <w:sz w:val="24"/>
          <w:highlight w:val="none"/>
        </w:rPr>
      </w:pPr>
      <w:r>
        <w:rPr>
          <w:rFonts w:hint="eastAsia" w:ascii="仿宋" w:hAnsi="仿宋" w:eastAsia="仿宋" w:cs="Times New Roman"/>
          <w:sz w:val="24"/>
          <w:highlight w:val="none"/>
          <w:lang w:eastAsia="zh-CN"/>
        </w:rPr>
        <w:t>6.5 供应商不得经营餐饮之外的任何业务，如果超范围经营，需经双方协商。</w:t>
      </w:r>
    </w:p>
    <w:p w14:paraId="4EFB47A0">
      <w:pPr>
        <w:spacing w:line="360" w:lineRule="auto"/>
        <w:ind w:firstLine="482" w:firstLineChars="200"/>
        <w:rPr>
          <w:rFonts w:hint="eastAsia" w:ascii="仿宋" w:hAnsi="仿宋" w:eastAsia="仿宋" w:cs="Times New Roman"/>
          <w:sz w:val="24"/>
          <w:highlight w:val="none"/>
          <w:lang w:eastAsia="zh-CN"/>
        </w:rPr>
      </w:pPr>
      <w:bookmarkStart w:id="47" w:name="_Toc416098595"/>
      <w:r>
        <w:rPr>
          <w:rFonts w:hint="eastAsia" w:ascii="仿宋" w:hAnsi="仿宋" w:eastAsia="仿宋" w:cs="Times New Roman"/>
          <w:b/>
          <w:bCs/>
          <w:sz w:val="24"/>
          <w:highlight w:val="none"/>
          <w:lang w:val="en-US" w:eastAsia="zh-CN"/>
        </w:rPr>
        <w:t>七、</w:t>
      </w:r>
      <w:r>
        <w:rPr>
          <w:rFonts w:hint="eastAsia" w:ascii="仿宋" w:hAnsi="仿宋" w:eastAsia="仿宋" w:cs="Times New Roman"/>
          <w:b/>
          <w:bCs/>
          <w:sz w:val="24"/>
          <w:highlight w:val="none"/>
          <w:lang w:eastAsia="zh-CN"/>
        </w:rPr>
        <w:t>服务费用</w:t>
      </w:r>
      <w:bookmarkEnd w:id="47"/>
      <w:r>
        <w:rPr>
          <w:rFonts w:hint="eastAsia" w:ascii="仿宋" w:hAnsi="仿宋" w:eastAsia="仿宋" w:cs="Times New Roman"/>
          <w:b/>
          <w:bCs/>
          <w:sz w:val="24"/>
          <w:highlight w:val="none"/>
          <w:lang w:eastAsia="zh-CN"/>
        </w:rPr>
        <w:t>方面</w:t>
      </w:r>
    </w:p>
    <w:p w14:paraId="2D9842DC">
      <w:pPr>
        <w:spacing w:line="360" w:lineRule="auto"/>
        <w:ind w:firstLine="480" w:firstLineChars="200"/>
        <w:rPr>
          <w:rFonts w:hint="eastAsia" w:ascii="仿宋" w:hAnsi="仿宋" w:eastAsia="仿宋" w:cs="Times New Roman"/>
          <w:sz w:val="24"/>
          <w:highlight w:val="none"/>
          <w:lang w:eastAsia="zh-CN"/>
        </w:rPr>
      </w:pPr>
      <w:r>
        <w:rPr>
          <w:rFonts w:hint="eastAsia" w:ascii="仿宋" w:hAnsi="仿宋" w:eastAsia="仿宋" w:cs="Times New Roman"/>
          <w:sz w:val="24"/>
          <w:highlight w:val="none"/>
          <w:lang w:eastAsia="zh-CN"/>
        </w:rPr>
        <w:t>7.1 本项目投标报价为</w:t>
      </w:r>
      <w:r>
        <w:rPr>
          <w:rFonts w:hint="eastAsia" w:ascii="仿宋" w:hAnsi="仿宋" w:eastAsia="仿宋" w:cs="Times New Roman"/>
          <w:sz w:val="24"/>
          <w:highlight w:val="none"/>
          <w:lang w:val="en-US" w:eastAsia="zh-CN"/>
        </w:rPr>
        <w:t>一</w:t>
      </w:r>
      <w:r>
        <w:rPr>
          <w:rFonts w:hint="eastAsia" w:ascii="仿宋" w:hAnsi="仿宋" w:eastAsia="仿宋" w:cs="Times New Roman"/>
          <w:sz w:val="24"/>
          <w:highlight w:val="none"/>
          <w:lang w:eastAsia="zh-CN"/>
        </w:rPr>
        <w:t>年服务劳务报价及</w:t>
      </w:r>
      <w:r>
        <w:rPr>
          <w:rFonts w:hint="eastAsia" w:ascii="仿宋" w:hAnsi="仿宋" w:eastAsia="仿宋" w:cs="Times New Roman"/>
          <w:color w:val="auto"/>
          <w:sz w:val="24"/>
          <w:highlight w:val="none"/>
          <w:lang w:eastAsia="zh-CN"/>
        </w:rPr>
        <w:t>管理费报价。供应商的劳务报价应包括为完成本项目配置的所有工作人员的一切费用，包括工资（含相应的税金）、加班费（含节假日加班等。特殊情况如拆迁、疫情防控、大型活动加班除外）、福利及社会保险及可能向员工提供的交通费用；供应商的管理费报价应包括完成本项目投入的间接人员的费用、管理资源投入费用、办公费用、利润以及款项支付过程产生的</w:t>
      </w:r>
      <w:r>
        <w:rPr>
          <w:rFonts w:hint="eastAsia" w:ascii="仿宋" w:hAnsi="仿宋" w:eastAsia="仿宋" w:cs="Times New Roman"/>
          <w:sz w:val="24"/>
          <w:highlight w:val="none"/>
          <w:lang w:eastAsia="zh-CN"/>
        </w:rPr>
        <w:t>税金等。供应商对合法用工及用工风险全面承包。</w:t>
      </w:r>
    </w:p>
    <w:p w14:paraId="619B5ABB">
      <w:pPr>
        <w:spacing w:line="360" w:lineRule="auto"/>
        <w:ind w:firstLine="480" w:firstLineChars="200"/>
        <w:rPr>
          <w:rFonts w:hint="eastAsia" w:ascii="仿宋" w:hAnsi="仿宋" w:eastAsia="仿宋" w:cs="Times New Roman"/>
          <w:sz w:val="24"/>
          <w:highlight w:val="none"/>
          <w:lang w:eastAsia="zh-CN"/>
        </w:rPr>
      </w:pPr>
      <w:r>
        <w:rPr>
          <w:rFonts w:hint="eastAsia" w:ascii="仿宋" w:hAnsi="仿宋" w:eastAsia="仿宋" w:cs="Times New Roman"/>
          <w:sz w:val="24"/>
          <w:highlight w:val="none"/>
          <w:lang w:eastAsia="zh-CN"/>
        </w:rPr>
        <w:t>7.2 采购人根据合同支付供应商的餐饮劳务外包服务费。</w:t>
      </w:r>
    </w:p>
    <w:p w14:paraId="75CCA32D">
      <w:pPr>
        <w:spacing w:line="360" w:lineRule="auto"/>
        <w:ind w:firstLine="480" w:firstLineChars="200"/>
        <w:rPr>
          <w:rFonts w:hint="eastAsia" w:ascii="仿宋" w:hAnsi="仿宋" w:eastAsia="仿宋" w:cs="Times New Roman"/>
          <w:sz w:val="24"/>
          <w:highlight w:val="none"/>
          <w:lang w:eastAsia="zh-CN"/>
        </w:rPr>
      </w:pPr>
      <w:r>
        <w:rPr>
          <w:rFonts w:hint="eastAsia" w:ascii="仿宋" w:hAnsi="仿宋" w:eastAsia="仿宋" w:cs="Times New Roman"/>
          <w:sz w:val="24"/>
          <w:highlight w:val="none"/>
          <w:lang w:eastAsia="zh-CN"/>
        </w:rPr>
        <w:t>7.3 供应商所涉及的员工聘用、工资福利、考勤考核、劳资纠纷等所有内部管理事务由供应商自行负责。</w:t>
      </w:r>
    </w:p>
    <w:p w14:paraId="623A2C33">
      <w:pPr>
        <w:spacing w:line="360" w:lineRule="auto"/>
        <w:ind w:firstLine="480" w:firstLineChars="200"/>
        <w:rPr>
          <w:rFonts w:hint="eastAsia" w:ascii="仿宋" w:hAnsi="仿宋" w:eastAsia="仿宋" w:cs="Times New Roman"/>
          <w:sz w:val="24"/>
          <w:highlight w:val="yellow"/>
          <w:lang w:eastAsia="zh-CN"/>
        </w:rPr>
      </w:pPr>
      <w:r>
        <w:rPr>
          <w:rFonts w:hint="eastAsia" w:ascii="仿宋" w:hAnsi="仿宋" w:eastAsia="仿宋" w:cs="Times New Roman"/>
          <w:sz w:val="24"/>
          <w:highlight w:val="none"/>
          <w:lang w:eastAsia="zh-CN"/>
        </w:rPr>
        <w:t>7.4 如食堂有特殊接待任务，供应商务必配备相应数量及专业的服务人员以满足食堂运行的正常需要。投标单位应考虑节假日、工作日加班、公务接待、政府重大活动、防台抗寒等突发性应急处置期间加班费用，采购人不再另行支付。</w:t>
      </w:r>
    </w:p>
    <w:p w14:paraId="755BB6E4">
      <w:pPr>
        <w:adjustRightInd/>
        <w:spacing w:line="520" w:lineRule="exact"/>
        <w:ind w:firstLine="470" w:firstLineChars="196"/>
        <w:jc w:val="center"/>
        <w:rPr>
          <w:rFonts w:hint="eastAsia" w:ascii="仿宋" w:hAnsi="仿宋" w:eastAsia="仿宋" w:cs="仿宋"/>
          <w:sz w:val="24"/>
        </w:rPr>
      </w:pPr>
      <w:r>
        <w:rPr>
          <w:rFonts w:hint="eastAsia" w:ascii="仿宋" w:hAnsi="仿宋" w:eastAsia="仿宋" w:cs="仿宋"/>
          <w:sz w:val="24"/>
        </w:rPr>
        <w:t>附《每月考核内容》</w:t>
      </w:r>
    </w:p>
    <w:tbl>
      <w:tblPr>
        <w:tblStyle w:val="62"/>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237"/>
        <w:gridCol w:w="2126"/>
      </w:tblGrid>
      <w:tr w14:paraId="6C74C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trPr>
        <w:tc>
          <w:tcPr>
            <w:tcW w:w="851" w:type="dxa"/>
            <w:tcBorders>
              <w:top w:val="single" w:color="auto" w:sz="4" w:space="0"/>
              <w:left w:val="single" w:color="auto" w:sz="4" w:space="0"/>
              <w:bottom w:val="single" w:color="auto" w:sz="4" w:space="0"/>
              <w:right w:val="single" w:color="auto" w:sz="4" w:space="0"/>
            </w:tcBorders>
            <w:noWrap w:val="0"/>
            <w:vAlign w:val="center"/>
          </w:tcPr>
          <w:p w14:paraId="749947A0">
            <w:pPr>
              <w:adjustRightInd/>
              <w:jc w:val="center"/>
              <w:rPr>
                <w:rFonts w:hint="eastAsia" w:ascii="仿宋" w:hAnsi="仿宋" w:eastAsia="仿宋" w:cs="仿宋"/>
                <w:sz w:val="24"/>
              </w:rPr>
            </w:pPr>
            <w:r>
              <w:rPr>
                <w:rFonts w:hint="eastAsia" w:ascii="仿宋" w:hAnsi="仿宋" w:eastAsia="仿宋" w:cs="仿宋"/>
                <w:sz w:val="24"/>
              </w:rPr>
              <w:t>序号</w:t>
            </w:r>
          </w:p>
        </w:tc>
        <w:tc>
          <w:tcPr>
            <w:tcW w:w="6237" w:type="dxa"/>
            <w:tcBorders>
              <w:top w:val="single" w:color="auto" w:sz="4" w:space="0"/>
              <w:left w:val="single" w:color="auto" w:sz="4" w:space="0"/>
              <w:bottom w:val="single" w:color="auto" w:sz="4" w:space="0"/>
              <w:right w:val="single" w:color="auto" w:sz="4" w:space="0"/>
            </w:tcBorders>
            <w:noWrap w:val="0"/>
            <w:vAlign w:val="center"/>
          </w:tcPr>
          <w:p w14:paraId="4C0D419E">
            <w:pPr>
              <w:adjustRightInd/>
              <w:jc w:val="center"/>
              <w:rPr>
                <w:rFonts w:hint="eastAsia" w:ascii="仿宋" w:hAnsi="仿宋" w:eastAsia="仿宋" w:cs="仿宋"/>
                <w:sz w:val="24"/>
              </w:rPr>
            </w:pPr>
            <w:r>
              <w:rPr>
                <w:rFonts w:hint="eastAsia" w:ascii="仿宋" w:hAnsi="仿宋" w:eastAsia="仿宋" w:cs="仿宋"/>
                <w:sz w:val="24"/>
              </w:rPr>
              <w:t>考核内容</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29635472">
            <w:pPr>
              <w:adjustRightInd/>
              <w:jc w:val="center"/>
              <w:rPr>
                <w:rFonts w:hint="eastAsia" w:ascii="仿宋" w:hAnsi="仿宋" w:eastAsia="仿宋" w:cs="仿宋"/>
                <w:sz w:val="24"/>
              </w:rPr>
            </w:pPr>
            <w:r>
              <w:rPr>
                <w:rFonts w:hint="eastAsia" w:ascii="仿宋" w:hAnsi="仿宋" w:eastAsia="仿宋" w:cs="仿宋"/>
                <w:sz w:val="24"/>
              </w:rPr>
              <w:t>扣、奖</w:t>
            </w:r>
          </w:p>
        </w:tc>
      </w:tr>
      <w:tr w14:paraId="16E87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851" w:type="dxa"/>
            <w:tcBorders>
              <w:top w:val="single" w:color="auto" w:sz="4" w:space="0"/>
              <w:left w:val="single" w:color="auto" w:sz="4" w:space="0"/>
              <w:bottom w:val="single" w:color="auto" w:sz="4" w:space="0"/>
              <w:right w:val="single" w:color="auto" w:sz="4" w:space="0"/>
            </w:tcBorders>
            <w:noWrap w:val="0"/>
            <w:vAlign w:val="center"/>
          </w:tcPr>
          <w:p w14:paraId="3399CC20">
            <w:pPr>
              <w:adjustRightInd/>
              <w:spacing w:line="300" w:lineRule="exact"/>
              <w:jc w:val="center"/>
              <w:rPr>
                <w:rFonts w:hint="eastAsia" w:ascii="仿宋" w:hAnsi="仿宋" w:eastAsia="仿宋" w:cs="仿宋"/>
                <w:sz w:val="24"/>
              </w:rPr>
            </w:pPr>
            <w:r>
              <w:rPr>
                <w:rFonts w:hint="eastAsia" w:ascii="仿宋" w:hAnsi="仿宋" w:eastAsia="仿宋" w:cs="仿宋"/>
                <w:sz w:val="24"/>
              </w:rPr>
              <w:t>1</w:t>
            </w:r>
          </w:p>
        </w:tc>
        <w:tc>
          <w:tcPr>
            <w:tcW w:w="6237" w:type="dxa"/>
            <w:tcBorders>
              <w:top w:val="single" w:color="auto" w:sz="4" w:space="0"/>
              <w:left w:val="single" w:color="auto" w:sz="4" w:space="0"/>
              <w:bottom w:val="single" w:color="auto" w:sz="4" w:space="0"/>
              <w:right w:val="single" w:color="auto" w:sz="4" w:space="0"/>
            </w:tcBorders>
            <w:noWrap w:val="0"/>
            <w:vAlign w:val="center"/>
          </w:tcPr>
          <w:p w14:paraId="39746C4B">
            <w:pPr>
              <w:adjustRightInd/>
              <w:spacing w:line="300" w:lineRule="exact"/>
              <w:rPr>
                <w:rFonts w:hint="eastAsia" w:ascii="仿宋" w:hAnsi="仿宋" w:eastAsia="仿宋" w:cs="仿宋"/>
                <w:sz w:val="24"/>
              </w:rPr>
            </w:pPr>
            <w:r>
              <w:rPr>
                <w:rFonts w:hint="eastAsia" w:ascii="仿宋" w:hAnsi="仿宋" w:eastAsia="仿宋" w:cs="仿宋"/>
                <w:sz w:val="24"/>
              </w:rPr>
              <w:t>未按规定穿戴上岗或工作服明显不洁</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0350BBC2">
            <w:pPr>
              <w:adjustRightInd/>
              <w:jc w:val="center"/>
              <w:rPr>
                <w:rFonts w:hint="eastAsia" w:ascii="仿宋" w:hAnsi="仿宋" w:eastAsia="仿宋" w:cs="仿宋"/>
                <w:sz w:val="24"/>
              </w:rPr>
            </w:pPr>
            <w:r>
              <w:rPr>
                <w:rFonts w:hint="eastAsia" w:ascii="仿宋" w:hAnsi="仿宋" w:eastAsia="仿宋" w:cs="仿宋"/>
                <w:sz w:val="24"/>
                <w:lang w:val="en-US" w:eastAsia="zh-CN"/>
              </w:rPr>
              <w:t>扣</w:t>
            </w:r>
            <w:r>
              <w:rPr>
                <w:rFonts w:hint="eastAsia" w:ascii="仿宋" w:hAnsi="仿宋" w:eastAsia="仿宋" w:cs="仿宋"/>
                <w:sz w:val="24"/>
              </w:rPr>
              <w:t>50元/人次</w:t>
            </w:r>
          </w:p>
        </w:tc>
      </w:tr>
      <w:tr w14:paraId="7ECD9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exact"/>
        </w:trPr>
        <w:tc>
          <w:tcPr>
            <w:tcW w:w="851" w:type="dxa"/>
            <w:tcBorders>
              <w:top w:val="single" w:color="auto" w:sz="4" w:space="0"/>
              <w:left w:val="single" w:color="auto" w:sz="4" w:space="0"/>
              <w:bottom w:val="single" w:color="auto" w:sz="4" w:space="0"/>
              <w:right w:val="single" w:color="auto" w:sz="4" w:space="0"/>
            </w:tcBorders>
            <w:noWrap w:val="0"/>
            <w:vAlign w:val="center"/>
          </w:tcPr>
          <w:p w14:paraId="67C21250">
            <w:pPr>
              <w:adjustRightInd/>
              <w:spacing w:line="300" w:lineRule="exact"/>
              <w:jc w:val="center"/>
              <w:rPr>
                <w:rFonts w:hint="eastAsia" w:ascii="仿宋" w:hAnsi="仿宋" w:eastAsia="仿宋" w:cs="仿宋"/>
                <w:sz w:val="24"/>
              </w:rPr>
            </w:pPr>
            <w:r>
              <w:rPr>
                <w:rFonts w:hint="eastAsia" w:ascii="仿宋" w:hAnsi="仿宋" w:eastAsia="仿宋" w:cs="仿宋"/>
                <w:sz w:val="24"/>
              </w:rPr>
              <w:t>2</w:t>
            </w:r>
          </w:p>
        </w:tc>
        <w:tc>
          <w:tcPr>
            <w:tcW w:w="6237" w:type="dxa"/>
            <w:tcBorders>
              <w:top w:val="single" w:color="auto" w:sz="4" w:space="0"/>
              <w:left w:val="single" w:color="auto" w:sz="4" w:space="0"/>
              <w:bottom w:val="single" w:color="auto" w:sz="4" w:space="0"/>
              <w:right w:val="single" w:color="auto" w:sz="4" w:space="0"/>
            </w:tcBorders>
            <w:noWrap w:val="0"/>
            <w:vAlign w:val="center"/>
          </w:tcPr>
          <w:p w14:paraId="30C65305">
            <w:pPr>
              <w:adjustRightInd/>
              <w:spacing w:line="300" w:lineRule="exact"/>
              <w:rPr>
                <w:rFonts w:hint="eastAsia" w:ascii="仿宋" w:hAnsi="仿宋" w:eastAsia="仿宋" w:cs="仿宋"/>
                <w:sz w:val="24"/>
              </w:rPr>
            </w:pPr>
            <w:r>
              <w:rPr>
                <w:rFonts w:hint="eastAsia" w:ascii="仿宋" w:hAnsi="仿宋" w:eastAsia="仿宋" w:cs="仿宋"/>
                <w:sz w:val="24"/>
              </w:rPr>
              <w:t>工作人员及非工作人员在食堂区域内吸烟，在休息场所打牌</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1EFA7C06">
            <w:pPr>
              <w:adjustRightInd/>
              <w:jc w:val="center"/>
              <w:rPr>
                <w:rFonts w:hint="eastAsia" w:ascii="仿宋" w:hAnsi="仿宋" w:eastAsia="仿宋" w:cs="仿宋"/>
                <w:sz w:val="24"/>
              </w:rPr>
            </w:pPr>
            <w:r>
              <w:rPr>
                <w:rFonts w:hint="eastAsia" w:ascii="仿宋" w:hAnsi="仿宋" w:eastAsia="仿宋" w:cs="仿宋"/>
                <w:sz w:val="24"/>
                <w:lang w:val="en-US" w:eastAsia="zh-CN"/>
              </w:rPr>
              <w:t>扣</w:t>
            </w:r>
            <w:r>
              <w:rPr>
                <w:rFonts w:hint="eastAsia" w:ascii="仿宋" w:hAnsi="仿宋" w:eastAsia="仿宋" w:cs="仿宋"/>
                <w:sz w:val="24"/>
              </w:rPr>
              <w:t>50元/人次</w:t>
            </w:r>
          </w:p>
        </w:tc>
      </w:tr>
      <w:tr w14:paraId="621E8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exact"/>
        </w:trPr>
        <w:tc>
          <w:tcPr>
            <w:tcW w:w="851" w:type="dxa"/>
            <w:tcBorders>
              <w:top w:val="single" w:color="auto" w:sz="4" w:space="0"/>
              <w:left w:val="single" w:color="auto" w:sz="4" w:space="0"/>
              <w:bottom w:val="single" w:color="auto" w:sz="4" w:space="0"/>
              <w:right w:val="single" w:color="auto" w:sz="4" w:space="0"/>
            </w:tcBorders>
            <w:noWrap w:val="0"/>
            <w:vAlign w:val="center"/>
          </w:tcPr>
          <w:p w14:paraId="4E6D127E">
            <w:pPr>
              <w:adjustRightInd/>
              <w:spacing w:line="300" w:lineRule="exact"/>
              <w:jc w:val="center"/>
              <w:rPr>
                <w:rFonts w:hint="eastAsia" w:ascii="仿宋" w:hAnsi="仿宋" w:eastAsia="仿宋" w:cs="仿宋"/>
                <w:sz w:val="24"/>
              </w:rPr>
            </w:pPr>
            <w:r>
              <w:rPr>
                <w:rFonts w:hint="eastAsia" w:ascii="仿宋" w:hAnsi="仿宋" w:eastAsia="仿宋" w:cs="仿宋"/>
                <w:sz w:val="24"/>
              </w:rPr>
              <w:t>3</w:t>
            </w:r>
          </w:p>
        </w:tc>
        <w:tc>
          <w:tcPr>
            <w:tcW w:w="6237" w:type="dxa"/>
            <w:tcBorders>
              <w:top w:val="single" w:color="auto" w:sz="4" w:space="0"/>
              <w:left w:val="single" w:color="auto" w:sz="4" w:space="0"/>
              <w:bottom w:val="single" w:color="auto" w:sz="4" w:space="0"/>
              <w:right w:val="single" w:color="auto" w:sz="4" w:space="0"/>
            </w:tcBorders>
            <w:noWrap w:val="0"/>
            <w:vAlign w:val="center"/>
          </w:tcPr>
          <w:p w14:paraId="4F414DD4">
            <w:pPr>
              <w:adjustRightInd/>
              <w:spacing w:line="300" w:lineRule="exact"/>
              <w:rPr>
                <w:rFonts w:hint="eastAsia" w:ascii="仿宋" w:hAnsi="仿宋" w:eastAsia="仿宋" w:cs="仿宋"/>
                <w:sz w:val="24"/>
              </w:rPr>
            </w:pPr>
            <w:r>
              <w:rPr>
                <w:rFonts w:hint="eastAsia" w:ascii="仿宋" w:hAnsi="仿宋" w:eastAsia="仿宋" w:cs="仿宋"/>
                <w:sz w:val="24"/>
              </w:rPr>
              <w:t>下班后没有及时关灯</w:t>
            </w:r>
          </w:p>
          <w:p w14:paraId="43EE10DF">
            <w:pPr>
              <w:adjustRightInd/>
              <w:spacing w:line="300" w:lineRule="exact"/>
              <w:rPr>
                <w:rFonts w:hint="eastAsia" w:ascii="仿宋" w:hAnsi="仿宋" w:eastAsia="仿宋" w:cs="仿宋"/>
                <w:sz w:val="24"/>
              </w:rPr>
            </w:pPr>
            <w:r>
              <w:rPr>
                <w:rFonts w:hint="eastAsia" w:ascii="仿宋" w:hAnsi="仿宋" w:eastAsia="仿宋" w:cs="仿宋"/>
                <w:sz w:val="24"/>
              </w:rPr>
              <w:t>离开岗位没有关煤气、水龙头且未造成其他影响</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53BEBDB4">
            <w:pPr>
              <w:adjustRightInd/>
              <w:jc w:val="center"/>
              <w:rPr>
                <w:rFonts w:hint="eastAsia" w:ascii="仿宋" w:hAnsi="仿宋" w:eastAsia="仿宋" w:cs="仿宋"/>
                <w:sz w:val="24"/>
              </w:rPr>
            </w:pPr>
            <w:r>
              <w:rPr>
                <w:rFonts w:hint="eastAsia" w:ascii="仿宋" w:hAnsi="仿宋" w:eastAsia="仿宋" w:cs="仿宋"/>
                <w:sz w:val="24"/>
                <w:lang w:val="en-US" w:eastAsia="zh-CN"/>
              </w:rPr>
              <w:t>扣</w:t>
            </w:r>
            <w:r>
              <w:rPr>
                <w:rFonts w:hint="eastAsia" w:ascii="仿宋" w:hAnsi="仿宋" w:eastAsia="仿宋" w:cs="仿宋"/>
                <w:sz w:val="24"/>
              </w:rPr>
              <w:t>50元/次</w:t>
            </w:r>
          </w:p>
        </w:tc>
      </w:tr>
      <w:tr w14:paraId="1B50C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exact"/>
        </w:trPr>
        <w:tc>
          <w:tcPr>
            <w:tcW w:w="851" w:type="dxa"/>
            <w:tcBorders>
              <w:top w:val="single" w:color="auto" w:sz="4" w:space="0"/>
              <w:left w:val="single" w:color="auto" w:sz="4" w:space="0"/>
              <w:bottom w:val="single" w:color="auto" w:sz="4" w:space="0"/>
              <w:right w:val="single" w:color="auto" w:sz="4" w:space="0"/>
            </w:tcBorders>
            <w:noWrap w:val="0"/>
            <w:vAlign w:val="center"/>
          </w:tcPr>
          <w:p w14:paraId="5362921C">
            <w:pPr>
              <w:adjustRightInd/>
              <w:spacing w:line="300" w:lineRule="exact"/>
              <w:jc w:val="center"/>
              <w:rPr>
                <w:rFonts w:hint="eastAsia" w:ascii="仿宋" w:hAnsi="仿宋" w:eastAsia="仿宋" w:cs="仿宋"/>
                <w:sz w:val="24"/>
              </w:rPr>
            </w:pPr>
            <w:r>
              <w:rPr>
                <w:rFonts w:hint="eastAsia" w:ascii="仿宋" w:hAnsi="仿宋" w:eastAsia="仿宋" w:cs="仿宋"/>
                <w:sz w:val="24"/>
              </w:rPr>
              <w:t>4</w:t>
            </w:r>
          </w:p>
        </w:tc>
        <w:tc>
          <w:tcPr>
            <w:tcW w:w="6237" w:type="dxa"/>
            <w:tcBorders>
              <w:top w:val="single" w:color="auto" w:sz="4" w:space="0"/>
              <w:left w:val="single" w:color="auto" w:sz="4" w:space="0"/>
              <w:bottom w:val="single" w:color="auto" w:sz="4" w:space="0"/>
              <w:right w:val="single" w:color="auto" w:sz="4" w:space="0"/>
            </w:tcBorders>
            <w:noWrap w:val="0"/>
            <w:vAlign w:val="center"/>
          </w:tcPr>
          <w:p w14:paraId="20126F26">
            <w:pPr>
              <w:adjustRightInd/>
              <w:spacing w:line="300" w:lineRule="exact"/>
              <w:rPr>
                <w:rFonts w:hint="eastAsia" w:ascii="仿宋" w:hAnsi="仿宋" w:eastAsia="仿宋" w:cs="仿宋"/>
                <w:sz w:val="24"/>
              </w:rPr>
            </w:pPr>
            <w:r>
              <w:rPr>
                <w:rFonts w:hint="eastAsia" w:ascii="仿宋" w:hAnsi="仿宋" w:eastAsia="仿宋" w:cs="仿宋"/>
                <w:sz w:val="24"/>
              </w:rPr>
              <w:t>碗、筷、盘等餐具留有食物残渣或不洁</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23D7ACD5">
            <w:pPr>
              <w:adjustRightInd/>
              <w:jc w:val="center"/>
              <w:rPr>
                <w:rFonts w:hint="eastAsia" w:ascii="仿宋" w:hAnsi="仿宋" w:eastAsia="仿宋" w:cs="仿宋"/>
                <w:sz w:val="24"/>
              </w:rPr>
            </w:pPr>
            <w:r>
              <w:rPr>
                <w:rFonts w:hint="eastAsia" w:ascii="仿宋" w:hAnsi="仿宋" w:eastAsia="仿宋" w:cs="仿宋"/>
                <w:sz w:val="24"/>
                <w:lang w:val="en-US" w:eastAsia="zh-CN"/>
              </w:rPr>
              <w:t>扣</w:t>
            </w:r>
            <w:r>
              <w:rPr>
                <w:rFonts w:hint="eastAsia" w:ascii="仿宋" w:hAnsi="仿宋" w:eastAsia="仿宋" w:cs="仿宋"/>
                <w:sz w:val="24"/>
              </w:rPr>
              <w:t>100元/次</w:t>
            </w:r>
          </w:p>
        </w:tc>
      </w:tr>
      <w:tr w14:paraId="3732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exact"/>
        </w:trPr>
        <w:tc>
          <w:tcPr>
            <w:tcW w:w="851" w:type="dxa"/>
            <w:tcBorders>
              <w:top w:val="single" w:color="auto" w:sz="4" w:space="0"/>
              <w:left w:val="single" w:color="auto" w:sz="4" w:space="0"/>
              <w:bottom w:val="single" w:color="auto" w:sz="4" w:space="0"/>
              <w:right w:val="single" w:color="auto" w:sz="4" w:space="0"/>
            </w:tcBorders>
            <w:noWrap w:val="0"/>
            <w:vAlign w:val="center"/>
          </w:tcPr>
          <w:p w14:paraId="337E7216">
            <w:pPr>
              <w:adjustRightInd/>
              <w:spacing w:line="300" w:lineRule="exact"/>
              <w:jc w:val="center"/>
              <w:rPr>
                <w:rFonts w:hint="eastAsia" w:ascii="仿宋" w:hAnsi="仿宋" w:eastAsia="仿宋" w:cs="仿宋"/>
                <w:sz w:val="24"/>
              </w:rPr>
            </w:pPr>
            <w:r>
              <w:rPr>
                <w:rFonts w:hint="eastAsia" w:ascii="仿宋" w:hAnsi="仿宋" w:eastAsia="仿宋" w:cs="仿宋"/>
                <w:sz w:val="24"/>
              </w:rPr>
              <w:t>5</w:t>
            </w:r>
          </w:p>
        </w:tc>
        <w:tc>
          <w:tcPr>
            <w:tcW w:w="6237" w:type="dxa"/>
            <w:tcBorders>
              <w:top w:val="single" w:color="auto" w:sz="4" w:space="0"/>
              <w:left w:val="single" w:color="auto" w:sz="4" w:space="0"/>
              <w:bottom w:val="single" w:color="auto" w:sz="4" w:space="0"/>
              <w:right w:val="single" w:color="auto" w:sz="4" w:space="0"/>
            </w:tcBorders>
            <w:noWrap w:val="0"/>
            <w:vAlign w:val="center"/>
          </w:tcPr>
          <w:p w14:paraId="5C2AC23D">
            <w:pPr>
              <w:adjustRightInd/>
              <w:spacing w:line="300" w:lineRule="exact"/>
              <w:rPr>
                <w:rFonts w:hint="eastAsia" w:ascii="仿宋" w:hAnsi="仿宋" w:eastAsia="仿宋" w:cs="仿宋"/>
                <w:sz w:val="24"/>
              </w:rPr>
            </w:pPr>
            <w:r>
              <w:rPr>
                <w:rFonts w:hint="eastAsia" w:ascii="仿宋" w:hAnsi="仿宋" w:eastAsia="仿宋" w:cs="仿宋"/>
                <w:sz w:val="24"/>
              </w:rPr>
              <w:t>没有及时清理餐桌与地面卫生</w:t>
            </w:r>
          </w:p>
          <w:p w14:paraId="1F5AAC6A">
            <w:pPr>
              <w:adjustRightInd/>
              <w:spacing w:line="300" w:lineRule="exact"/>
              <w:rPr>
                <w:rFonts w:hint="eastAsia" w:ascii="仿宋" w:hAnsi="仿宋" w:eastAsia="仿宋" w:cs="仿宋"/>
                <w:sz w:val="24"/>
              </w:rPr>
            </w:pPr>
            <w:r>
              <w:rPr>
                <w:rFonts w:hint="eastAsia" w:ascii="仿宋" w:hAnsi="仿宋" w:eastAsia="仿宋" w:cs="仿宋"/>
                <w:sz w:val="24"/>
              </w:rPr>
              <w:t>操作间乱堆乱放、地面积水较重</w:t>
            </w:r>
          </w:p>
          <w:p w14:paraId="1D51F099">
            <w:pPr>
              <w:adjustRightInd/>
              <w:spacing w:line="300" w:lineRule="exact"/>
              <w:rPr>
                <w:rFonts w:hint="eastAsia" w:ascii="仿宋" w:hAnsi="仿宋" w:eastAsia="仿宋" w:cs="仿宋"/>
                <w:sz w:val="24"/>
              </w:rPr>
            </w:pPr>
            <w:r>
              <w:rPr>
                <w:rFonts w:hint="eastAsia" w:ascii="仿宋" w:hAnsi="仿宋" w:eastAsia="仿宋" w:cs="仿宋"/>
                <w:sz w:val="24"/>
              </w:rPr>
              <w:t>区域卫生没有及时打扫</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63AFAB11">
            <w:pPr>
              <w:adjustRightInd/>
              <w:jc w:val="center"/>
              <w:rPr>
                <w:rFonts w:hint="eastAsia" w:ascii="仿宋" w:hAnsi="仿宋" w:eastAsia="仿宋" w:cs="仿宋"/>
                <w:sz w:val="24"/>
              </w:rPr>
            </w:pPr>
            <w:r>
              <w:rPr>
                <w:rFonts w:hint="eastAsia" w:ascii="仿宋" w:hAnsi="仿宋" w:eastAsia="仿宋" w:cs="仿宋"/>
                <w:sz w:val="24"/>
                <w:lang w:val="en-US" w:eastAsia="zh-CN"/>
              </w:rPr>
              <w:t>扣2</w:t>
            </w:r>
            <w:r>
              <w:rPr>
                <w:rFonts w:hint="eastAsia" w:ascii="仿宋" w:hAnsi="仿宋" w:eastAsia="仿宋" w:cs="仿宋"/>
                <w:sz w:val="24"/>
              </w:rPr>
              <w:t>00元/次</w:t>
            </w:r>
          </w:p>
        </w:tc>
      </w:tr>
      <w:tr w14:paraId="52624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51" w:type="dxa"/>
            <w:tcBorders>
              <w:top w:val="single" w:color="auto" w:sz="4" w:space="0"/>
              <w:left w:val="single" w:color="auto" w:sz="4" w:space="0"/>
              <w:bottom w:val="single" w:color="auto" w:sz="4" w:space="0"/>
              <w:right w:val="single" w:color="auto" w:sz="4" w:space="0"/>
            </w:tcBorders>
            <w:noWrap w:val="0"/>
            <w:vAlign w:val="center"/>
          </w:tcPr>
          <w:p w14:paraId="1AABB4AC">
            <w:pPr>
              <w:adjustRightInd/>
              <w:spacing w:line="300" w:lineRule="exact"/>
              <w:jc w:val="center"/>
              <w:rPr>
                <w:rFonts w:hint="eastAsia" w:ascii="仿宋" w:hAnsi="仿宋" w:eastAsia="仿宋" w:cs="仿宋"/>
                <w:sz w:val="24"/>
              </w:rPr>
            </w:pPr>
            <w:r>
              <w:rPr>
                <w:rFonts w:hint="eastAsia" w:ascii="仿宋" w:hAnsi="仿宋" w:eastAsia="仿宋" w:cs="仿宋"/>
                <w:sz w:val="24"/>
              </w:rPr>
              <w:t>6</w:t>
            </w:r>
          </w:p>
        </w:tc>
        <w:tc>
          <w:tcPr>
            <w:tcW w:w="6237" w:type="dxa"/>
            <w:tcBorders>
              <w:top w:val="single" w:color="auto" w:sz="4" w:space="0"/>
              <w:left w:val="single" w:color="auto" w:sz="4" w:space="0"/>
              <w:bottom w:val="single" w:color="auto" w:sz="4" w:space="0"/>
              <w:right w:val="single" w:color="auto" w:sz="4" w:space="0"/>
            </w:tcBorders>
            <w:noWrap w:val="0"/>
            <w:vAlign w:val="center"/>
          </w:tcPr>
          <w:p w14:paraId="54B6554C">
            <w:pPr>
              <w:adjustRightInd/>
              <w:spacing w:line="300" w:lineRule="exact"/>
              <w:rPr>
                <w:rFonts w:hint="eastAsia" w:ascii="仿宋" w:hAnsi="仿宋" w:eastAsia="仿宋" w:cs="仿宋"/>
                <w:sz w:val="24"/>
              </w:rPr>
            </w:pPr>
            <w:r>
              <w:rPr>
                <w:rFonts w:hint="eastAsia" w:ascii="仿宋" w:hAnsi="仿宋" w:eastAsia="仿宋" w:cs="仿宋"/>
                <w:sz w:val="24"/>
              </w:rPr>
              <w:t>不按要求留样</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1D335695">
            <w:pPr>
              <w:adjustRightInd/>
              <w:jc w:val="center"/>
              <w:rPr>
                <w:rFonts w:hint="eastAsia" w:ascii="仿宋" w:hAnsi="仿宋" w:eastAsia="仿宋" w:cs="仿宋"/>
                <w:sz w:val="24"/>
              </w:rPr>
            </w:pPr>
            <w:r>
              <w:rPr>
                <w:rFonts w:hint="eastAsia" w:ascii="仿宋" w:hAnsi="仿宋" w:eastAsia="仿宋" w:cs="仿宋"/>
                <w:sz w:val="24"/>
                <w:lang w:val="en-US" w:eastAsia="zh-CN"/>
              </w:rPr>
              <w:t>扣</w:t>
            </w:r>
            <w:r>
              <w:rPr>
                <w:rFonts w:hint="eastAsia" w:ascii="仿宋" w:hAnsi="仿宋" w:eastAsia="仿宋" w:cs="仿宋"/>
                <w:sz w:val="24"/>
              </w:rPr>
              <w:t>100元/次</w:t>
            </w:r>
          </w:p>
        </w:tc>
      </w:tr>
      <w:tr w14:paraId="126C0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exact"/>
        </w:trPr>
        <w:tc>
          <w:tcPr>
            <w:tcW w:w="851" w:type="dxa"/>
            <w:tcBorders>
              <w:top w:val="single" w:color="auto" w:sz="4" w:space="0"/>
              <w:left w:val="single" w:color="auto" w:sz="4" w:space="0"/>
              <w:bottom w:val="single" w:color="auto" w:sz="4" w:space="0"/>
              <w:right w:val="single" w:color="auto" w:sz="4" w:space="0"/>
            </w:tcBorders>
            <w:noWrap w:val="0"/>
            <w:vAlign w:val="center"/>
          </w:tcPr>
          <w:p w14:paraId="78B8C8A8">
            <w:pPr>
              <w:adjustRightInd/>
              <w:spacing w:line="300" w:lineRule="exact"/>
              <w:jc w:val="center"/>
              <w:rPr>
                <w:rFonts w:hint="eastAsia" w:ascii="仿宋" w:hAnsi="仿宋" w:eastAsia="仿宋" w:cs="仿宋"/>
                <w:sz w:val="24"/>
              </w:rPr>
            </w:pPr>
            <w:r>
              <w:rPr>
                <w:rFonts w:hint="eastAsia" w:ascii="仿宋" w:hAnsi="仿宋" w:eastAsia="仿宋" w:cs="仿宋"/>
                <w:sz w:val="24"/>
              </w:rPr>
              <w:t>7</w:t>
            </w:r>
          </w:p>
        </w:tc>
        <w:tc>
          <w:tcPr>
            <w:tcW w:w="6237" w:type="dxa"/>
            <w:tcBorders>
              <w:top w:val="single" w:color="auto" w:sz="4" w:space="0"/>
              <w:left w:val="single" w:color="auto" w:sz="4" w:space="0"/>
              <w:bottom w:val="single" w:color="auto" w:sz="4" w:space="0"/>
              <w:right w:val="single" w:color="auto" w:sz="4" w:space="0"/>
            </w:tcBorders>
            <w:noWrap w:val="0"/>
            <w:vAlign w:val="center"/>
          </w:tcPr>
          <w:p w14:paraId="102244BE">
            <w:pPr>
              <w:adjustRightInd/>
              <w:spacing w:line="300" w:lineRule="exact"/>
              <w:rPr>
                <w:rFonts w:hint="eastAsia" w:ascii="仿宋" w:hAnsi="仿宋" w:eastAsia="仿宋" w:cs="仿宋"/>
                <w:sz w:val="24"/>
              </w:rPr>
            </w:pPr>
            <w:r>
              <w:rPr>
                <w:rFonts w:hint="eastAsia" w:ascii="仿宋" w:hAnsi="仿宋" w:eastAsia="仿宋" w:cs="仿宋"/>
                <w:sz w:val="24"/>
              </w:rPr>
              <w:t>隔餐饭菜未按规定处理方法上柜供应且未造成其他影响，工作日晚餐蔬菜与中餐重复，双休出现隔夜菜</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5CC4C929">
            <w:pPr>
              <w:adjustRightInd/>
              <w:jc w:val="center"/>
              <w:rPr>
                <w:rFonts w:hint="eastAsia" w:ascii="仿宋" w:hAnsi="仿宋" w:eastAsia="仿宋" w:cs="仿宋"/>
                <w:sz w:val="24"/>
              </w:rPr>
            </w:pPr>
            <w:r>
              <w:rPr>
                <w:rFonts w:hint="eastAsia" w:ascii="仿宋" w:hAnsi="仿宋" w:eastAsia="仿宋" w:cs="仿宋"/>
                <w:sz w:val="24"/>
                <w:lang w:val="en-US" w:eastAsia="zh-CN"/>
              </w:rPr>
              <w:t>扣</w:t>
            </w:r>
            <w:r>
              <w:rPr>
                <w:rFonts w:hint="eastAsia" w:ascii="仿宋" w:hAnsi="仿宋" w:eastAsia="仿宋" w:cs="仿宋"/>
                <w:sz w:val="24"/>
              </w:rPr>
              <w:t>100元/次</w:t>
            </w:r>
          </w:p>
        </w:tc>
      </w:tr>
      <w:tr w14:paraId="62669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51" w:type="dxa"/>
            <w:tcBorders>
              <w:top w:val="single" w:color="auto" w:sz="4" w:space="0"/>
              <w:left w:val="single" w:color="auto" w:sz="4" w:space="0"/>
              <w:bottom w:val="single" w:color="auto" w:sz="4" w:space="0"/>
              <w:right w:val="single" w:color="auto" w:sz="4" w:space="0"/>
            </w:tcBorders>
            <w:noWrap w:val="0"/>
            <w:vAlign w:val="center"/>
          </w:tcPr>
          <w:p w14:paraId="3FFDD64D">
            <w:pPr>
              <w:adjustRightInd/>
              <w:spacing w:line="300" w:lineRule="exact"/>
              <w:jc w:val="center"/>
              <w:rPr>
                <w:rFonts w:hint="eastAsia" w:ascii="仿宋" w:hAnsi="仿宋" w:eastAsia="仿宋" w:cs="仿宋"/>
                <w:sz w:val="24"/>
              </w:rPr>
            </w:pPr>
            <w:r>
              <w:rPr>
                <w:rFonts w:hint="eastAsia" w:ascii="仿宋" w:hAnsi="仿宋" w:eastAsia="仿宋" w:cs="仿宋"/>
                <w:sz w:val="24"/>
              </w:rPr>
              <w:t>8</w:t>
            </w:r>
          </w:p>
        </w:tc>
        <w:tc>
          <w:tcPr>
            <w:tcW w:w="6237" w:type="dxa"/>
            <w:tcBorders>
              <w:top w:val="single" w:color="auto" w:sz="4" w:space="0"/>
              <w:left w:val="single" w:color="auto" w:sz="4" w:space="0"/>
              <w:bottom w:val="single" w:color="auto" w:sz="4" w:space="0"/>
              <w:right w:val="single" w:color="auto" w:sz="4" w:space="0"/>
            </w:tcBorders>
            <w:noWrap w:val="0"/>
            <w:vAlign w:val="center"/>
          </w:tcPr>
          <w:p w14:paraId="1AA9FEB3">
            <w:pPr>
              <w:adjustRightInd/>
              <w:spacing w:line="300" w:lineRule="exact"/>
              <w:rPr>
                <w:rFonts w:hint="eastAsia" w:ascii="仿宋" w:hAnsi="仿宋" w:eastAsia="仿宋" w:cs="仿宋"/>
                <w:sz w:val="24"/>
              </w:rPr>
            </w:pPr>
            <w:r>
              <w:rPr>
                <w:rFonts w:hint="eastAsia" w:ascii="仿宋" w:hAnsi="仿宋" w:eastAsia="仿宋" w:cs="仿宋"/>
                <w:sz w:val="24"/>
              </w:rPr>
              <w:t>餐具、炊具未按程序清洗、消毒、存放</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7EF697C2">
            <w:pPr>
              <w:adjustRightInd/>
              <w:jc w:val="center"/>
              <w:rPr>
                <w:rFonts w:hint="eastAsia" w:ascii="仿宋" w:hAnsi="仿宋" w:eastAsia="仿宋" w:cs="仿宋"/>
                <w:sz w:val="24"/>
              </w:rPr>
            </w:pPr>
            <w:r>
              <w:rPr>
                <w:rFonts w:hint="eastAsia" w:ascii="仿宋" w:hAnsi="仿宋" w:eastAsia="仿宋" w:cs="仿宋"/>
                <w:sz w:val="24"/>
                <w:lang w:val="en-US" w:eastAsia="zh-CN"/>
              </w:rPr>
              <w:t>扣2</w:t>
            </w:r>
            <w:r>
              <w:rPr>
                <w:rFonts w:hint="eastAsia" w:ascii="仿宋" w:hAnsi="仿宋" w:eastAsia="仿宋" w:cs="仿宋"/>
                <w:sz w:val="24"/>
              </w:rPr>
              <w:t>00元/次</w:t>
            </w:r>
          </w:p>
        </w:tc>
      </w:tr>
      <w:tr w14:paraId="6DC15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51" w:type="dxa"/>
            <w:tcBorders>
              <w:top w:val="single" w:color="auto" w:sz="4" w:space="0"/>
              <w:left w:val="single" w:color="auto" w:sz="4" w:space="0"/>
              <w:bottom w:val="single" w:color="auto" w:sz="4" w:space="0"/>
              <w:right w:val="single" w:color="auto" w:sz="4" w:space="0"/>
            </w:tcBorders>
            <w:noWrap w:val="0"/>
            <w:vAlign w:val="center"/>
          </w:tcPr>
          <w:p w14:paraId="43A39245">
            <w:pPr>
              <w:adjustRightInd/>
              <w:spacing w:line="300" w:lineRule="exact"/>
              <w:jc w:val="center"/>
              <w:rPr>
                <w:rFonts w:hint="eastAsia" w:ascii="仿宋" w:hAnsi="仿宋" w:eastAsia="仿宋" w:cs="仿宋"/>
                <w:sz w:val="24"/>
              </w:rPr>
            </w:pPr>
            <w:r>
              <w:rPr>
                <w:rFonts w:hint="eastAsia" w:ascii="仿宋" w:hAnsi="仿宋" w:eastAsia="仿宋" w:cs="仿宋"/>
                <w:sz w:val="24"/>
              </w:rPr>
              <w:t>9</w:t>
            </w:r>
          </w:p>
        </w:tc>
        <w:tc>
          <w:tcPr>
            <w:tcW w:w="6237" w:type="dxa"/>
            <w:tcBorders>
              <w:top w:val="single" w:color="auto" w:sz="4" w:space="0"/>
              <w:left w:val="single" w:color="auto" w:sz="4" w:space="0"/>
              <w:bottom w:val="single" w:color="auto" w:sz="4" w:space="0"/>
              <w:right w:val="single" w:color="auto" w:sz="4" w:space="0"/>
            </w:tcBorders>
            <w:noWrap w:val="0"/>
            <w:vAlign w:val="center"/>
          </w:tcPr>
          <w:p w14:paraId="58745F95">
            <w:pPr>
              <w:adjustRightInd/>
              <w:spacing w:line="300" w:lineRule="exact"/>
              <w:rPr>
                <w:rFonts w:hint="eastAsia" w:ascii="仿宋" w:hAnsi="仿宋" w:eastAsia="仿宋" w:cs="仿宋"/>
                <w:sz w:val="24"/>
              </w:rPr>
            </w:pPr>
            <w:r>
              <w:rPr>
                <w:rFonts w:hint="eastAsia" w:ascii="仿宋" w:hAnsi="仿宋" w:eastAsia="仿宋" w:cs="仿宋"/>
                <w:sz w:val="24"/>
              </w:rPr>
              <w:t>与就餐人员、同事等发生争吵</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12EEEDBF">
            <w:pPr>
              <w:adjustRightInd/>
              <w:jc w:val="center"/>
              <w:rPr>
                <w:rFonts w:hint="eastAsia" w:ascii="仿宋" w:hAnsi="仿宋" w:eastAsia="仿宋" w:cs="仿宋"/>
                <w:sz w:val="24"/>
              </w:rPr>
            </w:pPr>
            <w:r>
              <w:rPr>
                <w:rFonts w:hint="eastAsia" w:ascii="仿宋" w:hAnsi="仿宋" w:eastAsia="仿宋" w:cs="仿宋"/>
                <w:sz w:val="24"/>
                <w:lang w:val="en-US" w:eastAsia="zh-CN"/>
              </w:rPr>
              <w:t>扣</w:t>
            </w:r>
            <w:r>
              <w:rPr>
                <w:rFonts w:hint="eastAsia" w:ascii="仿宋" w:hAnsi="仿宋" w:eastAsia="仿宋" w:cs="仿宋"/>
                <w:sz w:val="24"/>
              </w:rPr>
              <w:t>100元/次</w:t>
            </w:r>
          </w:p>
        </w:tc>
      </w:tr>
      <w:tr w14:paraId="7EFE8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exact"/>
        </w:trPr>
        <w:tc>
          <w:tcPr>
            <w:tcW w:w="851" w:type="dxa"/>
            <w:tcBorders>
              <w:top w:val="single" w:color="auto" w:sz="4" w:space="0"/>
              <w:left w:val="single" w:color="auto" w:sz="4" w:space="0"/>
              <w:bottom w:val="single" w:color="auto" w:sz="4" w:space="0"/>
              <w:right w:val="single" w:color="auto" w:sz="4" w:space="0"/>
            </w:tcBorders>
            <w:noWrap w:val="0"/>
            <w:vAlign w:val="center"/>
          </w:tcPr>
          <w:p w14:paraId="53A2CAE9">
            <w:pPr>
              <w:adjustRightInd/>
              <w:spacing w:line="300" w:lineRule="exact"/>
              <w:jc w:val="center"/>
              <w:rPr>
                <w:rFonts w:hint="eastAsia" w:ascii="仿宋" w:hAnsi="仿宋" w:eastAsia="仿宋" w:cs="仿宋"/>
                <w:sz w:val="24"/>
              </w:rPr>
            </w:pPr>
            <w:r>
              <w:rPr>
                <w:rFonts w:hint="eastAsia" w:ascii="仿宋" w:hAnsi="仿宋" w:eastAsia="仿宋" w:cs="仿宋"/>
                <w:sz w:val="24"/>
              </w:rPr>
              <w:t>10</w:t>
            </w:r>
          </w:p>
        </w:tc>
        <w:tc>
          <w:tcPr>
            <w:tcW w:w="6237" w:type="dxa"/>
            <w:tcBorders>
              <w:top w:val="single" w:color="auto" w:sz="4" w:space="0"/>
              <w:left w:val="single" w:color="auto" w:sz="4" w:space="0"/>
              <w:bottom w:val="single" w:color="auto" w:sz="4" w:space="0"/>
              <w:right w:val="single" w:color="auto" w:sz="4" w:space="0"/>
            </w:tcBorders>
            <w:noWrap w:val="0"/>
            <w:vAlign w:val="center"/>
          </w:tcPr>
          <w:p w14:paraId="56BB695E">
            <w:pPr>
              <w:adjustRightInd/>
              <w:spacing w:line="300" w:lineRule="exact"/>
              <w:rPr>
                <w:rFonts w:hint="eastAsia" w:ascii="仿宋" w:hAnsi="仿宋" w:eastAsia="仿宋" w:cs="仿宋"/>
                <w:sz w:val="24"/>
              </w:rPr>
            </w:pPr>
            <w:r>
              <w:rPr>
                <w:rFonts w:hint="eastAsia" w:ascii="仿宋" w:hAnsi="仿宋" w:eastAsia="仿宋" w:cs="仿宋"/>
                <w:sz w:val="24"/>
              </w:rPr>
              <w:t>不按时烹调，影响色泽口味，人为贻误开饭时间10分钟以上</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0C377E3D">
            <w:pPr>
              <w:adjustRightInd/>
              <w:jc w:val="center"/>
              <w:rPr>
                <w:rFonts w:hint="eastAsia" w:ascii="仿宋" w:hAnsi="仿宋" w:eastAsia="仿宋" w:cs="仿宋"/>
                <w:sz w:val="24"/>
              </w:rPr>
            </w:pPr>
            <w:r>
              <w:rPr>
                <w:rFonts w:hint="eastAsia" w:ascii="仿宋" w:hAnsi="仿宋" w:eastAsia="仿宋" w:cs="仿宋"/>
                <w:sz w:val="24"/>
                <w:lang w:val="en-US" w:eastAsia="zh-CN"/>
              </w:rPr>
              <w:t>扣</w:t>
            </w:r>
            <w:r>
              <w:rPr>
                <w:rFonts w:hint="eastAsia" w:ascii="仿宋" w:hAnsi="仿宋" w:eastAsia="仿宋" w:cs="仿宋"/>
                <w:sz w:val="24"/>
              </w:rPr>
              <w:t>1000元/次</w:t>
            </w:r>
          </w:p>
        </w:tc>
      </w:tr>
      <w:tr w14:paraId="451A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51" w:type="dxa"/>
            <w:tcBorders>
              <w:top w:val="single" w:color="auto" w:sz="4" w:space="0"/>
              <w:left w:val="single" w:color="auto" w:sz="4" w:space="0"/>
              <w:bottom w:val="single" w:color="auto" w:sz="4" w:space="0"/>
              <w:right w:val="single" w:color="auto" w:sz="4" w:space="0"/>
            </w:tcBorders>
            <w:noWrap w:val="0"/>
            <w:vAlign w:val="center"/>
          </w:tcPr>
          <w:p w14:paraId="253ABE1A">
            <w:pPr>
              <w:adjustRightInd/>
              <w:spacing w:line="300" w:lineRule="exact"/>
              <w:jc w:val="center"/>
              <w:rPr>
                <w:rFonts w:hint="eastAsia" w:ascii="仿宋" w:hAnsi="仿宋" w:eastAsia="仿宋" w:cs="仿宋"/>
                <w:sz w:val="24"/>
              </w:rPr>
            </w:pPr>
            <w:r>
              <w:rPr>
                <w:rFonts w:hint="eastAsia" w:ascii="仿宋" w:hAnsi="仿宋" w:eastAsia="仿宋" w:cs="仿宋"/>
                <w:sz w:val="24"/>
              </w:rPr>
              <w:t>11</w:t>
            </w:r>
          </w:p>
        </w:tc>
        <w:tc>
          <w:tcPr>
            <w:tcW w:w="6237" w:type="dxa"/>
            <w:tcBorders>
              <w:top w:val="single" w:color="auto" w:sz="4" w:space="0"/>
              <w:left w:val="single" w:color="auto" w:sz="4" w:space="0"/>
              <w:bottom w:val="single" w:color="auto" w:sz="4" w:space="0"/>
              <w:right w:val="single" w:color="auto" w:sz="4" w:space="0"/>
            </w:tcBorders>
            <w:noWrap w:val="0"/>
            <w:vAlign w:val="center"/>
          </w:tcPr>
          <w:p w14:paraId="63C17CA8">
            <w:pPr>
              <w:adjustRightInd/>
              <w:spacing w:line="300" w:lineRule="exact"/>
              <w:rPr>
                <w:rFonts w:hint="eastAsia" w:ascii="仿宋" w:hAnsi="仿宋" w:eastAsia="仿宋" w:cs="仿宋"/>
                <w:sz w:val="24"/>
              </w:rPr>
            </w:pPr>
            <w:r>
              <w:rPr>
                <w:rFonts w:hint="eastAsia" w:ascii="仿宋" w:hAnsi="仿宋" w:eastAsia="仿宋" w:cs="仿宋"/>
                <w:sz w:val="24"/>
              </w:rPr>
              <w:t>擅离工作岗位，工作失职造成一定影响</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3B1FF277">
            <w:pPr>
              <w:adjustRightInd/>
              <w:jc w:val="center"/>
              <w:rPr>
                <w:rFonts w:hint="eastAsia" w:ascii="仿宋" w:hAnsi="仿宋" w:eastAsia="仿宋" w:cs="仿宋"/>
                <w:sz w:val="24"/>
              </w:rPr>
            </w:pPr>
            <w:r>
              <w:rPr>
                <w:rFonts w:hint="eastAsia" w:ascii="仿宋" w:hAnsi="仿宋" w:eastAsia="仿宋" w:cs="仿宋"/>
                <w:sz w:val="24"/>
                <w:lang w:val="en-US" w:eastAsia="zh-CN"/>
              </w:rPr>
              <w:t>扣</w:t>
            </w:r>
            <w:r>
              <w:rPr>
                <w:rFonts w:hint="eastAsia" w:ascii="仿宋" w:hAnsi="仿宋" w:eastAsia="仿宋" w:cs="仿宋"/>
                <w:sz w:val="24"/>
              </w:rPr>
              <w:t>200元/次</w:t>
            </w:r>
          </w:p>
        </w:tc>
      </w:tr>
      <w:tr w14:paraId="6B43E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51" w:type="dxa"/>
            <w:tcBorders>
              <w:top w:val="single" w:color="auto" w:sz="4" w:space="0"/>
              <w:left w:val="single" w:color="auto" w:sz="4" w:space="0"/>
              <w:bottom w:val="single" w:color="auto" w:sz="4" w:space="0"/>
              <w:right w:val="single" w:color="auto" w:sz="4" w:space="0"/>
            </w:tcBorders>
            <w:noWrap w:val="0"/>
            <w:vAlign w:val="center"/>
          </w:tcPr>
          <w:p w14:paraId="1FC28DDF">
            <w:pPr>
              <w:adjustRightInd/>
              <w:spacing w:line="300" w:lineRule="exact"/>
              <w:jc w:val="center"/>
              <w:rPr>
                <w:rFonts w:hint="eastAsia" w:ascii="仿宋" w:hAnsi="仿宋" w:eastAsia="仿宋" w:cs="仿宋"/>
                <w:sz w:val="24"/>
              </w:rPr>
            </w:pPr>
            <w:r>
              <w:rPr>
                <w:rFonts w:hint="eastAsia" w:ascii="仿宋" w:hAnsi="仿宋" w:eastAsia="仿宋" w:cs="仿宋"/>
                <w:sz w:val="24"/>
              </w:rPr>
              <w:t>12</w:t>
            </w:r>
          </w:p>
        </w:tc>
        <w:tc>
          <w:tcPr>
            <w:tcW w:w="6237" w:type="dxa"/>
            <w:tcBorders>
              <w:top w:val="single" w:color="auto" w:sz="4" w:space="0"/>
              <w:left w:val="single" w:color="auto" w:sz="4" w:space="0"/>
              <w:bottom w:val="single" w:color="auto" w:sz="4" w:space="0"/>
              <w:right w:val="single" w:color="auto" w:sz="4" w:space="0"/>
            </w:tcBorders>
            <w:noWrap w:val="0"/>
            <w:vAlign w:val="center"/>
          </w:tcPr>
          <w:p w14:paraId="37142019">
            <w:pPr>
              <w:adjustRightInd/>
              <w:spacing w:line="300" w:lineRule="exact"/>
              <w:rPr>
                <w:rFonts w:hint="eastAsia" w:ascii="仿宋" w:hAnsi="仿宋" w:eastAsia="仿宋" w:cs="仿宋"/>
                <w:sz w:val="24"/>
              </w:rPr>
            </w:pPr>
            <w:r>
              <w:rPr>
                <w:rFonts w:hint="eastAsia" w:ascii="仿宋" w:hAnsi="仿宋" w:eastAsia="仿宋" w:cs="仿宋"/>
                <w:sz w:val="24"/>
              </w:rPr>
              <w:t>无正当理由不服从甲方人员监督管理，造成一定影响</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01A573B2">
            <w:pPr>
              <w:adjustRightInd/>
              <w:jc w:val="center"/>
              <w:rPr>
                <w:rFonts w:hint="eastAsia" w:ascii="仿宋" w:hAnsi="仿宋" w:eastAsia="仿宋" w:cs="仿宋"/>
                <w:sz w:val="24"/>
              </w:rPr>
            </w:pPr>
            <w:r>
              <w:rPr>
                <w:rFonts w:hint="eastAsia" w:ascii="仿宋" w:hAnsi="仿宋" w:eastAsia="仿宋" w:cs="仿宋"/>
                <w:sz w:val="24"/>
                <w:lang w:val="en-US" w:eastAsia="zh-CN"/>
              </w:rPr>
              <w:t>扣</w:t>
            </w:r>
            <w:r>
              <w:rPr>
                <w:rFonts w:hint="eastAsia" w:ascii="仿宋" w:hAnsi="仿宋" w:eastAsia="仿宋" w:cs="仿宋"/>
                <w:sz w:val="24"/>
              </w:rPr>
              <w:t>500元/次</w:t>
            </w:r>
          </w:p>
        </w:tc>
      </w:tr>
      <w:tr w14:paraId="2F070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51" w:type="dxa"/>
            <w:tcBorders>
              <w:top w:val="single" w:color="auto" w:sz="4" w:space="0"/>
              <w:left w:val="single" w:color="auto" w:sz="4" w:space="0"/>
              <w:bottom w:val="single" w:color="auto" w:sz="4" w:space="0"/>
              <w:right w:val="single" w:color="auto" w:sz="4" w:space="0"/>
            </w:tcBorders>
            <w:noWrap w:val="0"/>
            <w:vAlign w:val="center"/>
          </w:tcPr>
          <w:p w14:paraId="33C8109C">
            <w:pPr>
              <w:adjustRightInd/>
              <w:spacing w:line="300" w:lineRule="exact"/>
              <w:jc w:val="center"/>
              <w:rPr>
                <w:rFonts w:hint="eastAsia" w:ascii="仿宋" w:hAnsi="仿宋" w:eastAsia="仿宋" w:cs="仿宋"/>
                <w:sz w:val="24"/>
              </w:rPr>
            </w:pPr>
            <w:r>
              <w:rPr>
                <w:rFonts w:hint="eastAsia" w:ascii="仿宋" w:hAnsi="仿宋" w:eastAsia="仿宋" w:cs="仿宋"/>
                <w:sz w:val="24"/>
              </w:rPr>
              <w:t>13</w:t>
            </w:r>
          </w:p>
        </w:tc>
        <w:tc>
          <w:tcPr>
            <w:tcW w:w="6237" w:type="dxa"/>
            <w:tcBorders>
              <w:top w:val="single" w:color="auto" w:sz="4" w:space="0"/>
              <w:left w:val="single" w:color="auto" w:sz="4" w:space="0"/>
              <w:bottom w:val="single" w:color="auto" w:sz="4" w:space="0"/>
              <w:right w:val="single" w:color="auto" w:sz="4" w:space="0"/>
            </w:tcBorders>
            <w:noWrap w:val="0"/>
            <w:vAlign w:val="center"/>
          </w:tcPr>
          <w:p w14:paraId="0CA61C4A">
            <w:pPr>
              <w:adjustRightInd/>
              <w:spacing w:line="300" w:lineRule="exact"/>
              <w:rPr>
                <w:rFonts w:hint="eastAsia" w:ascii="仿宋" w:hAnsi="仿宋" w:eastAsia="仿宋" w:cs="仿宋"/>
                <w:sz w:val="24"/>
              </w:rPr>
            </w:pPr>
            <w:r>
              <w:rPr>
                <w:rFonts w:hint="eastAsia" w:ascii="仿宋" w:hAnsi="仿宋" w:eastAsia="仿宋" w:cs="仿宋"/>
                <w:sz w:val="24"/>
              </w:rPr>
              <w:t>食材、货物未按规定时间、规定人员验收</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3AF80148">
            <w:pPr>
              <w:adjustRightInd/>
              <w:jc w:val="center"/>
              <w:rPr>
                <w:rFonts w:hint="eastAsia" w:ascii="仿宋" w:hAnsi="仿宋" w:eastAsia="仿宋" w:cs="仿宋"/>
                <w:sz w:val="24"/>
              </w:rPr>
            </w:pPr>
            <w:r>
              <w:rPr>
                <w:rFonts w:hint="eastAsia" w:ascii="仿宋" w:hAnsi="仿宋" w:eastAsia="仿宋" w:cs="仿宋"/>
                <w:sz w:val="24"/>
                <w:lang w:val="en-US" w:eastAsia="zh-CN"/>
              </w:rPr>
              <w:t>扣</w:t>
            </w:r>
            <w:r>
              <w:rPr>
                <w:rFonts w:hint="eastAsia" w:ascii="仿宋" w:hAnsi="仿宋" w:eastAsia="仿宋" w:cs="仿宋"/>
                <w:sz w:val="24"/>
              </w:rPr>
              <w:t>200元/次</w:t>
            </w:r>
          </w:p>
        </w:tc>
      </w:tr>
      <w:tr w14:paraId="1E7D4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51" w:type="dxa"/>
            <w:tcBorders>
              <w:top w:val="single" w:color="auto" w:sz="4" w:space="0"/>
              <w:left w:val="single" w:color="auto" w:sz="4" w:space="0"/>
              <w:bottom w:val="single" w:color="auto" w:sz="4" w:space="0"/>
              <w:right w:val="single" w:color="auto" w:sz="4" w:space="0"/>
            </w:tcBorders>
            <w:noWrap w:val="0"/>
            <w:vAlign w:val="center"/>
          </w:tcPr>
          <w:p w14:paraId="33BDE46C">
            <w:pPr>
              <w:adjustRightInd/>
              <w:spacing w:line="300" w:lineRule="exact"/>
              <w:jc w:val="center"/>
              <w:rPr>
                <w:rFonts w:hint="eastAsia" w:ascii="仿宋" w:hAnsi="仿宋" w:eastAsia="仿宋" w:cs="仿宋"/>
                <w:sz w:val="24"/>
              </w:rPr>
            </w:pPr>
            <w:r>
              <w:rPr>
                <w:rFonts w:hint="eastAsia" w:ascii="仿宋" w:hAnsi="仿宋" w:eastAsia="仿宋" w:cs="仿宋"/>
                <w:sz w:val="24"/>
              </w:rPr>
              <w:t>14</w:t>
            </w:r>
          </w:p>
        </w:tc>
        <w:tc>
          <w:tcPr>
            <w:tcW w:w="6237" w:type="dxa"/>
            <w:tcBorders>
              <w:top w:val="single" w:color="auto" w:sz="4" w:space="0"/>
              <w:left w:val="single" w:color="auto" w:sz="4" w:space="0"/>
              <w:bottom w:val="single" w:color="auto" w:sz="4" w:space="0"/>
              <w:right w:val="single" w:color="auto" w:sz="4" w:space="0"/>
            </w:tcBorders>
            <w:noWrap w:val="0"/>
            <w:vAlign w:val="center"/>
          </w:tcPr>
          <w:p w14:paraId="55BE1988">
            <w:pPr>
              <w:adjustRightInd/>
              <w:spacing w:line="300" w:lineRule="exact"/>
              <w:rPr>
                <w:rFonts w:hint="eastAsia" w:ascii="仿宋" w:hAnsi="仿宋" w:eastAsia="仿宋" w:cs="仿宋"/>
                <w:sz w:val="24"/>
              </w:rPr>
            </w:pPr>
            <w:r>
              <w:rPr>
                <w:rFonts w:hint="eastAsia" w:ascii="仿宋" w:hAnsi="仿宋" w:eastAsia="仿宋" w:cs="仿宋"/>
                <w:sz w:val="24"/>
              </w:rPr>
              <w:t>工作人员接受供货商礼品、回扣的</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58494B83">
            <w:pPr>
              <w:adjustRightInd/>
              <w:jc w:val="center"/>
              <w:rPr>
                <w:rFonts w:hint="eastAsia" w:ascii="仿宋" w:hAnsi="仿宋" w:eastAsia="仿宋" w:cs="仿宋"/>
                <w:sz w:val="24"/>
              </w:rPr>
            </w:pPr>
            <w:r>
              <w:rPr>
                <w:rFonts w:hint="eastAsia" w:ascii="仿宋" w:hAnsi="仿宋" w:eastAsia="仿宋" w:cs="仿宋"/>
                <w:sz w:val="24"/>
                <w:lang w:val="en-US" w:eastAsia="zh-CN"/>
              </w:rPr>
              <w:t>扣</w:t>
            </w:r>
            <w:r>
              <w:rPr>
                <w:rFonts w:hint="eastAsia" w:ascii="仿宋" w:hAnsi="仿宋" w:eastAsia="仿宋" w:cs="仿宋"/>
                <w:sz w:val="24"/>
              </w:rPr>
              <w:t>1000元/次</w:t>
            </w:r>
          </w:p>
        </w:tc>
      </w:tr>
      <w:tr w14:paraId="267A8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51" w:type="dxa"/>
            <w:tcBorders>
              <w:top w:val="single" w:color="auto" w:sz="4" w:space="0"/>
              <w:left w:val="single" w:color="auto" w:sz="4" w:space="0"/>
              <w:bottom w:val="single" w:color="auto" w:sz="4" w:space="0"/>
              <w:right w:val="single" w:color="auto" w:sz="4" w:space="0"/>
            </w:tcBorders>
            <w:noWrap w:val="0"/>
            <w:vAlign w:val="center"/>
          </w:tcPr>
          <w:p w14:paraId="761D6BFB">
            <w:pPr>
              <w:adjustRightInd/>
              <w:spacing w:line="300" w:lineRule="exact"/>
              <w:jc w:val="center"/>
              <w:rPr>
                <w:rFonts w:hint="eastAsia" w:ascii="仿宋" w:hAnsi="仿宋" w:eastAsia="仿宋" w:cs="仿宋"/>
                <w:sz w:val="24"/>
              </w:rPr>
            </w:pPr>
            <w:r>
              <w:rPr>
                <w:rFonts w:hint="eastAsia" w:ascii="仿宋" w:hAnsi="仿宋" w:eastAsia="仿宋" w:cs="仿宋"/>
                <w:sz w:val="24"/>
              </w:rPr>
              <w:t>15</w:t>
            </w:r>
          </w:p>
        </w:tc>
        <w:tc>
          <w:tcPr>
            <w:tcW w:w="6237" w:type="dxa"/>
            <w:tcBorders>
              <w:top w:val="single" w:color="auto" w:sz="4" w:space="0"/>
              <w:left w:val="single" w:color="auto" w:sz="4" w:space="0"/>
              <w:bottom w:val="single" w:color="auto" w:sz="4" w:space="0"/>
              <w:right w:val="single" w:color="auto" w:sz="4" w:space="0"/>
            </w:tcBorders>
            <w:noWrap w:val="0"/>
            <w:vAlign w:val="center"/>
          </w:tcPr>
          <w:p w14:paraId="0A0FB5CF">
            <w:pPr>
              <w:adjustRightInd/>
              <w:spacing w:line="300" w:lineRule="exact"/>
              <w:rPr>
                <w:rFonts w:hint="eastAsia" w:ascii="仿宋" w:hAnsi="仿宋" w:eastAsia="仿宋" w:cs="仿宋"/>
                <w:sz w:val="24"/>
              </w:rPr>
            </w:pPr>
            <w:r>
              <w:rPr>
                <w:rFonts w:hint="eastAsia" w:ascii="仿宋" w:hAnsi="仿宋" w:eastAsia="仿宋" w:cs="仿宋"/>
                <w:sz w:val="24"/>
              </w:rPr>
              <w:t>人为过意造成原材料浪费</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523AD3CA">
            <w:pPr>
              <w:adjustRightInd/>
              <w:jc w:val="center"/>
              <w:rPr>
                <w:rFonts w:hint="eastAsia" w:ascii="仿宋" w:hAnsi="仿宋" w:eastAsia="仿宋" w:cs="仿宋"/>
                <w:sz w:val="24"/>
              </w:rPr>
            </w:pPr>
            <w:r>
              <w:rPr>
                <w:rFonts w:hint="eastAsia" w:ascii="仿宋" w:hAnsi="仿宋" w:eastAsia="仿宋" w:cs="仿宋"/>
                <w:sz w:val="24"/>
                <w:lang w:val="en-US" w:eastAsia="zh-CN"/>
              </w:rPr>
              <w:t>扣</w:t>
            </w:r>
            <w:r>
              <w:rPr>
                <w:rFonts w:hint="eastAsia" w:ascii="仿宋" w:hAnsi="仿宋" w:eastAsia="仿宋" w:cs="仿宋"/>
                <w:sz w:val="24"/>
              </w:rPr>
              <w:t>原值的2倍</w:t>
            </w:r>
          </w:p>
        </w:tc>
      </w:tr>
      <w:tr w14:paraId="25DB0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exact"/>
        </w:trPr>
        <w:tc>
          <w:tcPr>
            <w:tcW w:w="851" w:type="dxa"/>
            <w:tcBorders>
              <w:top w:val="single" w:color="auto" w:sz="4" w:space="0"/>
              <w:left w:val="single" w:color="auto" w:sz="4" w:space="0"/>
              <w:bottom w:val="single" w:color="auto" w:sz="4" w:space="0"/>
              <w:right w:val="single" w:color="auto" w:sz="4" w:space="0"/>
            </w:tcBorders>
            <w:noWrap w:val="0"/>
            <w:vAlign w:val="center"/>
          </w:tcPr>
          <w:p w14:paraId="66DC9FAC">
            <w:pPr>
              <w:adjustRightInd/>
              <w:spacing w:line="300" w:lineRule="exact"/>
              <w:jc w:val="center"/>
              <w:rPr>
                <w:rFonts w:hint="eastAsia" w:ascii="仿宋" w:hAnsi="仿宋" w:eastAsia="仿宋" w:cs="仿宋"/>
                <w:sz w:val="24"/>
              </w:rPr>
            </w:pPr>
            <w:r>
              <w:rPr>
                <w:rFonts w:hint="eastAsia" w:ascii="仿宋" w:hAnsi="仿宋" w:eastAsia="仿宋" w:cs="仿宋"/>
                <w:sz w:val="24"/>
              </w:rPr>
              <w:t>16</w:t>
            </w:r>
          </w:p>
        </w:tc>
        <w:tc>
          <w:tcPr>
            <w:tcW w:w="6237" w:type="dxa"/>
            <w:tcBorders>
              <w:top w:val="single" w:color="auto" w:sz="4" w:space="0"/>
              <w:left w:val="single" w:color="auto" w:sz="4" w:space="0"/>
              <w:bottom w:val="single" w:color="auto" w:sz="4" w:space="0"/>
              <w:right w:val="single" w:color="auto" w:sz="4" w:space="0"/>
            </w:tcBorders>
            <w:noWrap w:val="0"/>
            <w:vAlign w:val="center"/>
          </w:tcPr>
          <w:p w14:paraId="27DD0A3C">
            <w:pPr>
              <w:adjustRightInd/>
              <w:spacing w:line="300" w:lineRule="exact"/>
              <w:rPr>
                <w:rFonts w:hint="eastAsia" w:ascii="仿宋" w:hAnsi="仿宋" w:eastAsia="仿宋" w:cs="仿宋"/>
                <w:sz w:val="24"/>
              </w:rPr>
            </w:pPr>
            <w:r>
              <w:rPr>
                <w:rFonts w:hint="eastAsia" w:ascii="仿宋" w:hAnsi="仿宋" w:eastAsia="仿宋" w:cs="仿宋"/>
                <w:sz w:val="24"/>
              </w:rPr>
              <w:t>私带私占食堂物品（含食材）或故意损坏器材的，按性质严重程度</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58159790">
            <w:pPr>
              <w:adjustRightInd/>
              <w:jc w:val="center"/>
              <w:rPr>
                <w:rFonts w:hint="eastAsia" w:ascii="仿宋" w:hAnsi="仿宋" w:eastAsia="仿宋" w:cs="仿宋"/>
                <w:sz w:val="24"/>
              </w:rPr>
            </w:pPr>
            <w:r>
              <w:rPr>
                <w:rFonts w:hint="eastAsia" w:ascii="仿宋" w:hAnsi="仿宋" w:eastAsia="仿宋" w:cs="仿宋"/>
                <w:sz w:val="24"/>
                <w:lang w:val="en-US" w:eastAsia="zh-CN"/>
              </w:rPr>
              <w:t>扣</w:t>
            </w:r>
            <w:r>
              <w:rPr>
                <w:rFonts w:hint="eastAsia" w:ascii="仿宋" w:hAnsi="仿宋" w:eastAsia="仿宋" w:cs="仿宋"/>
                <w:sz w:val="24"/>
              </w:rPr>
              <w:t>200元/次（直至合同解除）</w:t>
            </w:r>
          </w:p>
        </w:tc>
      </w:tr>
      <w:tr w14:paraId="7E92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51" w:type="dxa"/>
            <w:tcBorders>
              <w:top w:val="single" w:color="auto" w:sz="4" w:space="0"/>
              <w:left w:val="single" w:color="auto" w:sz="4" w:space="0"/>
              <w:bottom w:val="single" w:color="auto" w:sz="4" w:space="0"/>
              <w:right w:val="single" w:color="auto" w:sz="4" w:space="0"/>
            </w:tcBorders>
            <w:noWrap w:val="0"/>
            <w:vAlign w:val="center"/>
          </w:tcPr>
          <w:p w14:paraId="484ABD74">
            <w:pPr>
              <w:adjustRightInd/>
              <w:spacing w:line="300" w:lineRule="exact"/>
              <w:jc w:val="center"/>
              <w:rPr>
                <w:rFonts w:hint="eastAsia" w:ascii="仿宋" w:hAnsi="仿宋" w:eastAsia="仿宋" w:cs="仿宋"/>
                <w:sz w:val="24"/>
              </w:rPr>
            </w:pPr>
            <w:r>
              <w:rPr>
                <w:rFonts w:hint="eastAsia" w:ascii="仿宋" w:hAnsi="仿宋" w:eastAsia="仿宋" w:cs="仿宋"/>
                <w:sz w:val="24"/>
              </w:rPr>
              <w:t>17</w:t>
            </w:r>
          </w:p>
        </w:tc>
        <w:tc>
          <w:tcPr>
            <w:tcW w:w="6237" w:type="dxa"/>
            <w:tcBorders>
              <w:top w:val="single" w:color="auto" w:sz="4" w:space="0"/>
              <w:left w:val="single" w:color="auto" w:sz="4" w:space="0"/>
              <w:bottom w:val="single" w:color="auto" w:sz="4" w:space="0"/>
              <w:right w:val="single" w:color="auto" w:sz="4" w:space="0"/>
            </w:tcBorders>
            <w:noWrap w:val="0"/>
            <w:vAlign w:val="center"/>
          </w:tcPr>
          <w:p w14:paraId="7A5E9B73">
            <w:pPr>
              <w:adjustRightInd/>
              <w:spacing w:line="300" w:lineRule="exact"/>
              <w:rPr>
                <w:rFonts w:hint="eastAsia" w:ascii="仿宋" w:hAnsi="仿宋" w:eastAsia="仿宋" w:cs="仿宋"/>
                <w:sz w:val="24"/>
              </w:rPr>
            </w:pPr>
            <w:r>
              <w:rPr>
                <w:rFonts w:hint="eastAsia" w:ascii="仿宋" w:hAnsi="仿宋" w:eastAsia="仿宋" w:cs="仿宋"/>
                <w:sz w:val="24"/>
              </w:rPr>
              <w:t>主观原因造成食物中毒、人员伤害等安全事故</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25D0A848">
            <w:pPr>
              <w:adjustRightInd/>
              <w:jc w:val="center"/>
              <w:rPr>
                <w:rFonts w:hint="eastAsia" w:ascii="仿宋" w:hAnsi="仿宋" w:eastAsia="仿宋" w:cs="仿宋"/>
                <w:sz w:val="24"/>
              </w:rPr>
            </w:pPr>
            <w:r>
              <w:rPr>
                <w:rFonts w:hint="eastAsia" w:ascii="仿宋" w:hAnsi="仿宋" w:eastAsia="仿宋" w:cs="仿宋"/>
                <w:sz w:val="24"/>
              </w:rPr>
              <w:t>负全责</w:t>
            </w:r>
          </w:p>
        </w:tc>
      </w:tr>
      <w:tr w14:paraId="33089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exact"/>
        </w:trPr>
        <w:tc>
          <w:tcPr>
            <w:tcW w:w="851" w:type="dxa"/>
            <w:tcBorders>
              <w:top w:val="single" w:color="auto" w:sz="4" w:space="0"/>
              <w:left w:val="single" w:color="auto" w:sz="4" w:space="0"/>
              <w:bottom w:val="single" w:color="auto" w:sz="4" w:space="0"/>
              <w:right w:val="single" w:color="auto" w:sz="4" w:space="0"/>
            </w:tcBorders>
            <w:noWrap w:val="0"/>
            <w:vAlign w:val="center"/>
          </w:tcPr>
          <w:p w14:paraId="0E9D0F99">
            <w:pPr>
              <w:adjustRightInd/>
              <w:spacing w:line="300" w:lineRule="exact"/>
              <w:jc w:val="center"/>
              <w:rPr>
                <w:rFonts w:hint="eastAsia" w:ascii="仿宋" w:hAnsi="仿宋" w:eastAsia="仿宋" w:cs="仿宋"/>
                <w:sz w:val="24"/>
              </w:rPr>
            </w:pPr>
            <w:r>
              <w:rPr>
                <w:rFonts w:hint="eastAsia" w:ascii="仿宋" w:hAnsi="仿宋" w:eastAsia="仿宋" w:cs="仿宋"/>
                <w:sz w:val="24"/>
              </w:rPr>
              <w:t>18</w:t>
            </w:r>
          </w:p>
        </w:tc>
        <w:tc>
          <w:tcPr>
            <w:tcW w:w="6237" w:type="dxa"/>
            <w:tcBorders>
              <w:top w:val="single" w:color="auto" w:sz="4" w:space="0"/>
              <w:left w:val="single" w:color="auto" w:sz="4" w:space="0"/>
              <w:bottom w:val="single" w:color="auto" w:sz="4" w:space="0"/>
              <w:right w:val="single" w:color="auto" w:sz="4" w:space="0"/>
            </w:tcBorders>
            <w:noWrap w:val="0"/>
            <w:vAlign w:val="center"/>
          </w:tcPr>
          <w:p w14:paraId="16701F04">
            <w:pPr>
              <w:adjustRightInd/>
              <w:spacing w:line="300" w:lineRule="exact"/>
              <w:rPr>
                <w:rFonts w:hint="eastAsia" w:ascii="仿宋" w:hAnsi="仿宋" w:eastAsia="仿宋" w:cs="仿宋"/>
                <w:sz w:val="24"/>
              </w:rPr>
            </w:pPr>
            <w:r>
              <w:rPr>
                <w:rFonts w:hint="eastAsia" w:ascii="仿宋" w:hAnsi="仿宋" w:eastAsia="仿宋" w:cs="仿宋"/>
                <w:sz w:val="24"/>
              </w:rPr>
              <w:t>食物中发现各类虫子（苍蝇、蟑螂）、头发丝、清洁球等</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7ACECD65">
            <w:pPr>
              <w:adjustRightInd/>
              <w:jc w:val="center"/>
              <w:rPr>
                <w:rFonts w:hint="eastAsia" w:ascii="仿宋" w:hAnsi="仿宋" w:eastAsia="仿宋" w:cs="仿宋"/>
                <w:sz w:val="24"/>
              </w:rPr>
            </w:pPr>
            <w:r>
              <w:rPr>
                <w:rFonts w:hint="eastAsia" w:ascii="仿宋" w:hAnsi="仿宋" w:eastAsia="仿宋" w:cs="仿宋"/>
                <w:sz w:val="24"/>
                <w:lang w:val="en-US" w:eastAsia="zh-CN"/>
              </w:rPr>
              <w:t>扣10</w:t>
            </w:r>
            <w:r>
              <w:rPr>
                <w:rFonts w:hint="eastAsia" w:ascii="仿宋" w:hAnsi="仿宋" w:eastAsia="仿宋" w:cs="仿宋"/>
                <w:sz w:val="24"/>
              </w:rPr>
              <w:t>0元/次</w:t>
            </w:r>
          </w:p>
        </w:tc>
      </w:tr>
      <w:tr w14:paraId="23CF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exact"/>
        </w:trPr>
        <w:tc>
          <w:tcPr>
            <w:tcW w:w="851" w:type="dxa"/>
            <w:tcBorders>
              <w:top w:val="single" w:color="auto" w:sz="4" w:space="0"/>
              <w:left w:val="single" w:color="auto" w:sz="4" w:space="0"/>
              <w:bottom w:val="single" w:color="auto" w:sz="4" w:space="0"/>
              <w:right w:val="single" w:color="auto" w:sz="4" w:space="0"/>
            </w:tcBorders>
            <w:noWrap w:val="0"/>
            <w:vAlign w:val="center"/>
          </w:tcPr>
          <w:p w14:paraId="40FC299E">
            <w:pPr>
              <w:adjustRightInd/>
              <w:spacing w:line="300" w:lineRule="exact"/>
              <w:jc w:val="center"/>
              <w:rPr>
                <w:rFonts w:hint="eastAsia" w:ascii="仿宋" w:hAnsi="仿宋" w:eastAsia="仿宋" w:cs="仿宋"/>
                <w:sz w:val="24"/>
              </w:rPr>
            </w:pPr>
            <w:r>
              <w:rPr>
                <w:rFonts w:hint="eastAsia" w:ascii="仿宋" w:hAnsi="仿宋" w:eastAsia="仿宋" w:cs="仿宋"/>
                <w:sz w:val="24"/>
              </w:rPr>
              <w:t>19</w:t>
            </w:r>
          </w:p>
        </w:tc>
        <w:tc>
          <w:tcPr>
            <w:tcW w:w="6237" w:type="dxa"/>
            <w:tcBorders>
              <w:top w:val="single" w:color="auto" w:sz="4" w:space="0"/>
              <w:left w:val="single" w:color="auto" w:sz="4" w:space="0"/>
              <w:bottom w:val="single" w:color="auto" w:sz="4" w:space="0"/>
              <w:right w:val="single" w:color="auto" w:sz="4" w:space="0"/>
            </w:tcBorders>
            <w:noWrap w:val="0"/>
            <w:vAlign w:val="center"/>
          </w:tcPr>
          <w:p w14:paraId="676E234D">
            <w:pPr>
              <w:adjustRightInd/>
              <w:spacing w:line="300" w:lineRule="exact"/>
              <w:rPr>
                <w:rFonts w:hint="eastAsia" w:ascii="仿宋" w:hAnsi="仿宋" w:eastAsia="仿宋" w:cs="仿宋"/>
                <w:sz w:val="24"/>
              </w:rPr>
            </w:pPr>
            <w:r>
              <w:rPr>
                <w:rFonts w:hint="eastAsia" w:ascii="仿宋" w:hAnsi="仿宋" w:eastAsia="仿宋" w:cs="仿宋"/>
                <w:sz w:val="24"/>
              </w:rPr>
              <w:t>没有做好保温措施</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3B7B2FC8">
            <w:pPr>
              <w:adjustRightInd/>
              <w:jc w:val="center"/>
              <w:rPr>
                <w:rFonts w:hint="eastAsia" w:ascii="仿宋" w:hAnsi="仿宋" w:eastAsia="仿宋" w:cs="仿宋"/>
                <w:sz w:val="24"/>
              </w:rPr>
            </w:pPr>
            <w:r>
              <w:rPr>
                <w:rFonts w:hint="eastAsia" w:ascii="仿宋" w:hAnsi="仿宋" w:eastAsia="仿宋" w:cs="仿宋"/>
                <w:sz w:val="24"/>
                <w:lang w:val="en-US" w:eastAsia="zh-CN"/>
              </w:rPr>
              <w:t>扣</w:t>
            </w:r>
            <w:r>
              <w:rPr>
                <w:rFonts w:hint="eastAsia" w:ascii="仿宋" w:hAnsi="仿宋" w:eastAsia="仿宋" w:cs="仿宋"/>
                <w:sz w:val="24"/>
              </w:rPr>
              <w:t>100元/次</w:t>
            </w:r>
          </w:p>
        </w:tc>
      </w:tr>
      <w:tr w14:paraId="65999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exact"/>
        </w:trPr>
        <w:tc>
          <w:tcPr>
            <w:tcW w:w="851" w:type="dxa"/>
            <w:tcBorders>
              <w:top w:val="single" w:color="auto" w:sz="4" w:space="0"/>
              <w:left w:val="single" w:color="auto" w:sz="4" w:space="0"/>
              <w:bottom w:val="single" w:color="auto" w:sz="4" w:space="0"/>
              <w:right w:val="single" w:color="auto" w:sz="4" w:space="0"/>
            </w:tcBorders>
            <w:noWrap w:val="0"/>
            <w:vAlign w:val="center"/>
          </w:tcPr>
          <w:p w14:paraId="35AD149F">
            <w:pPr>
              <w:adjustRightInd/>
              <w:spacing w:line="300" w:lineRule="exact"/>
              <w:jc w:val="center"/>
              <w:rPr>
                <w:rFonts w:hint="eastAsia" w:ascii="仿宋" w:hAnsi="仿宋" w:eastAsia="仿宋" w:cs="仿宋"/>
                <w:sz w:val="24"/>
              </w:rPr>
            </w:pPr>
            <w:r>
              <w:rPr>
                <w:rFonts w:hint="eastAsia" w:ascii="仿宋" w:hAnsi="仿宋" w:eastAsia="仿宋" w:cs="仿宋"/>
                <w:sz w:val="24"/>
              </w:rPr>
              <w:t>20</w:t>
            </w:r>
          </w:p>
        </w:tc>
        <w:tc>
          <w:tcPr>
            <w:tcW w:w="6237" w:type="dxa"/>
            <w:tcBorders>
              <w:top w:val="single" w:color="auto" w:sz="4" w:space="0"/>
              <w:left w:val="single" w:color="auto" w:sz="4" w:space="0"/>
              <w:bottom w:val="single" w:color="auto" w:sz="4" w:space="0"/>
              <w:right w:val="single" w:color="auto" w:sz="4" w:space="0"/>
            </w:tcBorders>
            <w:noWrap w:val="0"/>
            <w:vAlign w:val="center"/>
          </w:tcPr>
          <w:p w14:paraId="4AC51473">
            <w:pPr>
              <w:adjustRightInd/>
              <w:spacing w:line="300" w:lineRule="exact"/>
              <w:rPr>
                <w:rFonts w:hint="eastAsia" w:ascii="仿宋" w:hAnsi="仿宋" w:eastAsia="仿宋" w:cs="仿宋"/>
                <w:sz w:val="24"/>
              </w:rPr>
            </w:pPr>
            <w:r>
              <w:rPr>
                <w:rFonts w:hint="eastAsia" w:ascii="仿宋" w:hAnsi="仿宋" w:eastAsia="仿宋" w:cs="仿宋"/>
                <w:sz w:val="24"/>
              </w:rPr>
              <w:t>没有足量供餐</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494A52E9">
            <w:pPr>
              <w:adjustRightInd/>
              <w:jc w:val="center"/>
              <w:rPr>
                <w:rFonts w:hint="eastAsia" w:ascii="仿宋" w:hAnsi="仿宋" w:eastAsia="仿宋" w:cs="仿宋"/>
                <w:sz w:val="24"/>
              </w:rPr>
            </w:pPr>
            <w:r>
              <w:rPr>
                <w:rFonts w:hint="eastAsia" w:ascii="仿宋" w:hAnsi="仿宋" w:eastAsia="仿宋" w:cs="仿宋"/>
                <w:sz w:val="24"/>
                <w:lang w:val="en-US" w:eastAsia="zh-CN"/>
              </w:rPr>
              <w:t>扣</w:t>
            </w:r>
            <w:r>
              <w:rPr>
                <w:rFonts w:hint="eastAsia" w:ascii="仿宋" w:hAnsi="仿宋" w:eastAsia="仿宋" w:cs="仿宋"/>
                <w:sz w:val="24"/>
              </w:rPr>
              <w:t>200元/次</w:t>
            </w:r>
          </w:p>
        </w:tc>
      </w:tr>
      <w:tr w14:paraId="02CF0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exact"/>
        </w:trPr>
        <w:tc>
          <w:tcPr>
            <w:tcW w:w="851" w:type="dxa"/>
            <w:tcBorders>
              <w:top w:val="single" w:color="auto" w:sz="4" w:space="0"/>
              <w:left w:val="single" w:color="auto" w:sz="4" w:space="0"/>
              <w:bottom w:val="single" w:color="auto" w:sz="4" w:space="0"/>
              <w:right w:val="single" w:color="auto" w:sz="4" w:space="0"/>
            </w:tcBorders>
            <w:noWrap w:val="0"/>
            <w:vAlign w:val="center"/>
          </w:tcPr>
          <w:p w14:paraId="7FC54280">
            <w:pPr>
              <w:adjustRightInd/>
              <w:spacing w:line="300" w:lineRule="exact"/>
              <w:jc w:val="center"/>
              <w:rPr>
                <w:rFonts w:hint="eastAsia" w:ascii="仿宋" w:hAnsi="仿宋" w:eastAsia="仿宋" w:cs="仿宋"/>
                <w:sz w:val="24"/>
              </w:rPr>
            </w:pPr>
            <w:r>
              <w:rPr>
                <w:rFonts w:hint="eastAsia" w:ascii="仿宋" w:hAnsi="仿宋" w:eastAsia="仿宋" w:cs="仿宋"/>
                <w:sz w:val="24"/>
              </w:rPr>
              <w:t>21</w:t>
            </w:r>
          </w:p>
        </w:tc>
        <w:tc>
          <w:tcPr>
            <w:tcW w:w="6237" w:type="dxa"/>
            <w:tcBorders>
              <w:top w:val="single" w:color="auto" w:sz="4" w:space="0"/>
              <w:left w:val="single" w:color="auto" w:sz="4" w:space="0"/>
              <w:bottom w:val="single" w:color="auto" w:sz="4" w:space="0"/>
              <w:right w:val="single" w:color="auto" w:sz="4" w:space="0"/>
            </w:tcBorders>
            <w:noWrap w:val="0"/>
            <w:vAlign w:val="center"/>
          </w:tcPr>
          <w:p w14:paraId="4749AA6F">
            <w:pPr>
              <w:adjustRightInd/>
              <w:spacing w:line="300" w:lineRule="exact"/>
              <w:rPr>
                <w:rFonts w:hint="eastAsia" w:ascii="仿宋" w:hAnsi="仿宋" w:eastAsia="仿宋" w:cs="仿宋"/>
                <w:sz w:val="24"/>
              </w:rPr>
            </w:pPr>
            <w:r>
              <w:rPr>
                <w:rFonts w:hint="eastAsia" w:ascii="仿宋" w:hAnsi="仿宋" w:eastAsia="仿宋" w:cs="仿宋"/>
                <w:sz w:val="24"/>
              </w:rPr>
              <w:t>地毯未按时清洗、晾晒（每月至少一次）</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4EE7E34B">
            <w:pPr>
              <w:adjustRightInd/>
              <w:jc w:val="center"/>
              <w:rPr>
                <w:rFonts w:hint="eastAsia" w:ascii="仿宋" w:hAnsi="仿宋" w:eastAsia="仿宋" w:cs="仿宋"/>
                <w:sz w:val="24"/>
              </w:rPr>
            </w:pPr>
            <w:r>
              <w:rPr>
                <w:rFonts w:hint="eastAsia" w:ascii="仿宋" w:hAnsi="仿宋" w:eastAsia="仿宋" w:cs="仿宋"/>
                <w:sz w:val="24"/>
                <w:lang w:val="en-US" w:eastAsia="zh-CN"/>
              </w:rPr>
              <w:t>扣2</w:t>
            </w:r>
            <w:r>
              <w:rPr>
                <w:rFonts w:hint="eastAsia" w:ascii="仿宋" w:hAnsi="仿宋" w:eastAsia="仿宋" w:cs="仿宋"/>
                <w:sz w:val="24"/>
              </w:rPr>
              <w:t>00元/次</w:t>
            </w:r>
          </w:p>
        </w:tc>
      </w:tr>
      <w:tr w14:paraId="2DE21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exact"/>
        </w:trPr>
        <w:tc>
          <w:tcPr>
            <w:tcW w:w="851" w:type="dxa"/>
            <w:tcBorders>
              <w:top w:val="single" w:color="auto" w:sz="4" w:space="0"/>
              <w:left w:val="single" w:color="auto" w:sz="4" w:space="0"/>
              <w:bottom w:val="single" w:color="auto" w:sz="4" w:space="0"/>
              <w:right w:val="single" w:color="auto" w:sz="4" w:space="0"/>
            </w:tcBorders>
            <w:noWrap w:val="0"/>
            <w:vAlign w:val="center"/>
          </w:tcPr>
          <w:p w14:paraId="122B5291">
            <w:pPr>
              <w:adjustRightInd/>
              <w:spacing w:line="300" w:lineRule="exact"/>
              <w:jc w:val="center"/>
              <w:rPr>
                <w:rFonts w:hint="eastAsia" w:ascii="仿宋" w:hAnsi="仿宋" w:eastAsia="仿宋" w:cs="仿宋"/>
                <w:sz w:val="24"/>
              </w:rPr>
            </w:pPr>
            <w:r>
              <w:rPr>
                <w:rFonts w:hint="eastAsia" w:ascii="仿宋" w:hAnsi="仿宋" w:eastAsia="仿宋" w:cs="仿宋"/>
                <w:sz w:val="24"/>
              </w:rPr>
              <w:t>22</w:t>
            </w:r>
          </w:p>
        </w:tc>
        <w:tc>
          <w:tcPr>
            <w:tcW w:w="6237" w:type="dxa"/>
            <w:tcBorders>
              <w:top w:val="single" w:color="auto" w:sz="4" w:space="0"/>
              <w:left w:val="single" w:color="auto" w:sz="4" w:space="0"/>
              <w:bottom w:val="single" w:color="auto" w:sz="4" w:space="0"/>
              <w:right w:val="single" w:color="auto" w:sz="4" w:space="0"/>
            </w:tcBorders>
            <w:noWrap w:val="0"/>
            <w:vAlign w:val="center"/>
          </w:tcPr>
          <w:p w14:paraId="37F94032">
            <w:pPr>
              <w:adjustRightInd/>
              <w:spacing w:line="300" w:lineRule="exact"/>
              <w:rPr>
                <w:rFonts w:hint="eastAsia" w:ascii="仿宋" w:hAnsi="仿宋" w:eastAsia="仿宋" w:cs="仿宋"/>
                <w:sz w:val="24"/>
              </w:rPr>
            </w:pPr>
            <w:r>
              <w:rPr>
                <w:rFonts w:hint="eastAsia" w:ascii="仿宋" w:hAnsi="仿宋" w:eastAsia="仿宋" w:cs="仿宋"/>
                <w:sz w:val="24"/>
              </w:rPr>
              <w:t>违反食堂与其他规定的</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20AF9371">
            <w:pPr>
              <w:adjustRightInd/>
              <w:jc w:val="center"/>
              <w:rPr>
                <w:rFonts w:hint="eastAsia" w:ascii="仿宋" w:hAnsi="仿宋" w:eastAsia="仿宋" w:cs="仿宋"/>
                <w:sz w:val="24"/>
              </w:rPr>
            </w:pPr>
            <w:r>
              <w:rPr>
                <w:rFonts w:hint="eastAsia" w:ascii="仿宋" w:hAnsi="仿宋" w:eastAsia="仿宋" w:cs="仿宋"/>
                <w:sz w:val="24"/>
              </w:rPr>
              <w:t>按有关规定处理</w:t>
            </w:r>
          </w:p>
        </w:tc>
      </w:tr>
      <w:tr w14:paraId="3516E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exact"/>
        </w:trPr>
        <w:tc>
          <w:tcPr>
            <w:tcW w:w="851" w:type="dxa"/>
            <w:tcBorders>
              <w:top w:val="single" w:color="auto" w:sz="4" w:space="0"/>
              <w:left w:val="single" w:color="auto" w:sz="4" w:space="0"/>
              <w:bottom w:val="single" w:color="auto" w:sz="4" w:space="0"/>
              <w:right w:val="single" w:color="auto" w:sz="4" w:space="0"/>
            </w:tcBorders>
            <w:noWrap w:val="0"/>
            <w:vAlign w:val="center"/>
          </w:tcPr>
          <w:p w14:paraId="60F2D883">
            <w:pPr>
              <w:adjustRightInd/>
              <w:spacing w:line="300" w:lineRule="exact"/>
              <w:jc w:val="center"/>
              <w:rPr>
                <w:rFonts w:hint="eastAsia" w:ascii="仿宋" w:hAnsi="仿宋" w:eastAsia="仿宋" w:cs="仿宋"/>
                <w:sz w:val="24"/>
              </w:rPr>
            </w:pPr>
            <w:r>
              <w:rPr>
                <w:rFonts w:hint="eastAsia" w:ascii="仿宋" w:hAnsi="仿宋" w:eastAsia="仿宋" w:cs="仿宋"/>
                <w:sz w:val="24"/>
              </w:rPr>
              <w:t>23</w:t>
            </w:r>
          </w:p>
        </w:tc>
        <w:tc>
          <w:tcPr>
            <w:tcW w:w="6237" w:type="dxa"/>
            <w:tcBorders>
              <w:top w:val="single" w:color="auto" w:sz="4" w:space="0"/>
              <w:left w:val="single" w:color="auto" w:sz="4" w:space="0"/>
              <w:bottom w:val="single" w:color="auto" w:sz="4" w:space="0"/>
              <w:right w:val="single" w:color="auto" w:sz="4" w:space="0"/>
            </w:tcBorders>
            <w:noWrap w:val="0"/>
            <w:vAlign w:val="center"/>
          </w:tcPr>
          <w:p w14:paraId="15D83939">
            <w:pPr>
              <w:adjustRightInd/>
              <w:spacing w:line="300" w:lineRule="exact"/>
              <w:rPr>
                <w:rFonts w:hint="eastAsia" w:ascii="仿宋" w:hAnsi="仿宋" w:eastAsia="仿宋" w:cs="仿宋"/>
                <w:sz w:val="24"/>
              </w:rPr>
            </w:pPr>
            <w:r>
              <w:rPr>
                <w:rFonts w:hint="eastAsia" w:ascii="仿宋" w:hAnsi="仿宋" w:eastAsia="仿宋" w:cs="仿宋"/>
                <w:sz w:val="24"/>
              </w:rPr>
              <w:t>拾金不昧（钱包、手机等贵重物品）</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536CA6DC">
            <w:pPr>
              <w:adjustRightInd/>
              <w:jc w:val="center"/>
              <w:rPr>
                <w:rFonts w:hint="eastAsia" w:ascii="仿宋" w:hAnsi="仿宋" w:eastAsia="仿宋" w:cs="仿宋"/>
                <w:sz w:val="24"/>
              </w:rPr>
            </w:pPr>
            <w:r>
              <w:rPr>
                <w:rFonts w:hint="eastAsia" w:ascii="仿宋" w:hAnsi="仿宋" w:eastAsia="仿宋" w:cs="仿宋"/>
                <w:sz w:val="24"/>
              </w:rPr>
              <w:t>酌情奖励</w:t>
            </w:r>
          </w:p>
        </w:tc>
      </w:tr>
      <w:tr w14:paraId="4EA63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51" w:type="dxa"/>
            <w:tcBorders>
              <w:top w:val="single" w:color="auto" w:sz="4" w:space="0"/>
              <w:left w:val="single" w:color="auto" w:sz="4" w:space="0"/>
              <w:bottom w:val="single" w:color="auto" w:sz="4" w:space="0"/>
              <w:right w:val="single" w:color="auto" w:sz="4" w:space="0"/>
            </w:tcBorders>
            <w:noWrap w:val="0"/>
            <w:vAlign w:val="center"/>
          </w:tcPr>
          <w:p w14:paraId="1AB6F908">
            <w:pPr>
              <w:adjustRightInd/>
              <w:spacing w:line="300" w:lineRule="exact"/>
              <w:jc w:val="center"/>
              <w:rPr>
                <w:rFonts w:hint="eastAsia" w:ascii="仿宋" w:hAnsi="仿宋" w:eastAsia="仿宋" w:cs="仿宋"/>
                <w:sz w:val="24"/>
              </w:rPr>
            </w:pPr>
            <w:r>
              <w:rPr>
                <w:rFonts w:hint="eastAsia" w:ascii="仿宋" w:hAnsi="仿宋" w:eastAsia="仿宋" w:cs="仿宋"/>
                <w:sz w:val="24"/>
              </w:rPr>
              <w:t>24</w:t>
            </w:r>
          </w:p>
        </w:tc>
        <w:tc>
          <w:tcPr>
            <w:tcW w:w="6237" w:type="dxa"/>
            <w:tcBorders>
              <w:top w:val="single" w:color="auto" w:sz="4" w:space="0"/>
              <w:left w:val="single" w:color="auto" w:sz="4" w:space="0"/>
              <w:bottom w:val="single" w:color="auto" w:sz="4" w:space="0"/>
              <w:right w:val="single" w:color="auto" w:sz="4" w:space="0"/>
            </w:tcBorders>
            <w:noWrap w:val="0"/>
            <w:vAlign w:val="center"/>
          </w:tcPr>
          <w:p w14:paraId="44EC4CFF">
            <w:pPr>
              <w:adjustRightInd/>
              <w:spacing w:line="300" w:lineRule="exact"/>
              <w:rPr>
                <w:rFonts w:hint="eastAsia" w:ascii="仿宋" w:hAnsi="仿宋" w:eastAsia="仿宋" w:cs="仿宋"/>
                <w:sz w:val="24"/>
              </w:rPr>
            </w:pPr>
            <w:r>
              <w:rPr>
                <w:rFonts w:hint="eastAsia" w:ascii="仿宋" w:hAnsi="仿宋" w:eastAsia="仿宋" w:cs="仿宋"/>
                <w:sz w:val="24"/>
              </w:rPr>
              <w:t>向食堂提供合理化建议而被采纳</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26FBC827">
            <w:pPr>
              <w:adjustRightInd/>
              <w:jc w:val="center"/>
              <w:rPr>
                <w:rFonts w:hint="eastAsia" w:ascii="仿宋" w:hAnsi="仿宋" w:eastAsia="仿宋" w:cs="仿宋"/>
                <w:sz w:val="24"/>
              </w:rPr>
            </w:pPr>
            <w:r>
              <w:rPr>
                <w:rFonts w:hint="eastAsia" w:ascii="仿宋" w:hAnsi="仿宋" w:eastAsia="仿宋" w:cs="仿宋"/>
                <w:sz w:val="24"/>
              </w:rPr>
              <w:t>奖200元/项</w:t>
            </w:r>
          </w:p>
        </w:tc>
      </w:tr>
      <w:tr w14:paraId="5101E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51" w:type="dxa"/>
            <w:tcBorders>
              <w:top w:val="single" w:color="auto" w:sz="4" w:space="0"/>
              <w:left w:val="single" w:color="auto" w:sz="4" w:space="0"/>
              <w:bottom w:val="single" w:color="auto" w:sz="4" w:space="0"/>
              <w:right w:val="single" w:color="auto" w:sz="4" w:space="0"/>
            </w:tcBorders>
            <w:noWrap w:val="0"/>
            <w:vAlign w:val="center"/>
          </w:tcPr>
          <w:p w14:paraId="3AD20D7E">
            <w:pPr>
              <w:adjustRightInd/>
              <w:spacing w:line="300" w:lineRule="exact"/>
              <w:jc w:val="center"/>
              <w:rPr>
                <w:rFonts w:hint="eastAsia" w:ascii="仿宋" w:hAnsi="仿宋" w:eastAsia="仿宋" w:cs="仿宋"/>
                <w:sz w:val="24"/>
              </w:rPr>
            </w:pPr>
            <w:r>
              <w:rPr>
                <w:rFonts w:hint="eastAsia" w:ascii="仿宋" w:hAnsi="仿宋" w:eastAsia="仿宋" w:cs="仿宋"/>
                <w:sz w:val="24"/>
              </w:rPr>
              <w:t>25</w:t>
            </w:r>
          </w:p>
        </w:tc>
        <w:tc>
          <w:tcPr>
            <w:tcW w:w="6237" w:type="dxa"/>
            <w:tcBorders>
              <w:top w:val="single" w:color="auto" w:sz="4" w:space="0"/>
              <w:left w:val="single" w:color="auto" w:sz="4" w:space="0"/>
              <w:bottom w:val="single" w:color="auto" w:sz="4" w:space="0"/>
              <w:right w:val="single" w:color="auto" w:sz="4" w:space="0"/>
            </w:tcBorders>
            <w:noWrap w:val="0"/>
            <w:vAlign w:val="center"/>
          </w:tcPr>
          <w:p w14:paraId="6F076281">
            <w:pPr>
              <w:adjustRightInd/>
              <w:spacing w:line="300" w:lineRule="exact"/>
              <w:rPr>
                <w:rFonts w:hint="eastAsia" w:ascii="仿宋" w:hAnsi="仿宋" w:eastAsia="仿宋" w:cs="仿宋"/>
                <w:sz w:val="24"/>
              </w:rPr>
            </w:pPr>
            <w:r>
              <w:rPr>
                <w:rFonts w:hint="eastAsia" w:ascii="仿宋" w:hAnsi="仿宋" w:eastAsia="仿宋" w:cs="仿宋"/>
                <w:sz w:val="24"/>
              </w:rPr>
              <w:t>厉行节约，成效明显</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53210531">
            <w:pPr>
              <w:adjustRightInd/>
              <w:jc w:val="center"/>
              <w:rPr>
                <w:rFonts w:hint="eastAsia" w:ascii="仿宋" w:hAnsi="仿宋" w:eastAsia="仿宋" w:cs="仿宋"/>
                <w:sz w:val="24"/>
              </w:rPr>
            </w:pPr>
            <w:r>
              <w:rPr>
                <w:rFonts w:hint="eastAsia" w:ascii="仿宋" w:hAnsi="仿宋" w:eastAsia="仿宋" w:cs="仿宋"/>
                <w:sz w:val="24"/>
              </w:rPr>
              <w:t>酌情奖励</w:t>
            </w:r>
          </w:p>
        </w:tc>
      </w:tr>
      <w:tr w14:paraId="2D970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51" w:type="dxa"/>
            <w:tcBorders>
              <w:top w:val="single" w:color="auto" w:sz="4" w:space="0"/>
              <w:left w:val="single" w:color="auto" w:sz="4" w:space="0"/>
              <w:bottom w:val="single" w:color="auto" w:sz="4" w:space="0"/>
              <w:right w:val="single" w:color="auto" w:sz="4" w:space="0"/>
            </w:tcBorders>
            <w:noWrap w:val="0"/>
            <w:vAlign w:val="center"/>
          </w:tcPr>
          <w:p w14:paraId="79EE965F">
            <w:pPr>
              <w:adjustRightInd/>
              <w:spacing w:line="300" w:lineRule="exact"/>
              <w:jc w:val="center"/>
              <w:rPr>
                <w:rFonts w:hint="eastAsia" w:ascii="仿宋" w:hAnsi="仿宋" w:eastAsia="仿宋" w:cs="仿宋"/>
                <w:sz w:val="24"/>
              </w:rPr>
            </w:pPr>
            <w:r>
              <w:rPr>
                <w:rFonts w:hint="eastAsia" w:ascii="仿宋" w:hAnsi="仿宋" w:eastAsia="仿宋" w:cs="仿宋"/>
                <w:sz w:val="24"/>
              </w:rPr>
              <w:t>26</w:t>
            </w:r>
          </w:p>
        </w:tc>
        <w:tc>
          <w:tcPr>
            <w:tcW w:w="6237" w:type="dxa"/>
            <w:tcBorders>
              <w:top w:val="single" w:color="auto" w:sz="4" w:space="0"/>
              <w:left w:val="single" w:color="auto" w:sz="4" w:space="0"/>
              <w:bottom w:val="single" w:color="auto" w:sz="4" w:space="0"/>
              <w:right w:val="single" w:color="auto" w:sz="4" w:space="0"/>
            </w:tcBorders>
            <w:noWrap w:val="0"/>
            <w:vAlign w:val="center"/>
          </w:tcPr>
          <w:p w14:paraId="627A485A">
            <w:pPr>
              <w:adjustRightInd/>
              <w:spacing w:line="300" w:lineRule="exact"/>
              <w:rPr>
                <w:rFonts w:hint="eastAsia" w:ascii="仿宋" w:hAnsi="仿宋" w:eastAsia="仿宋" w:cs="仿宋"/>
                <w:sz w:val="24"/>
              </w:rPr>
            </w:pPr>
            <w:r>
              <w:rPr>
                <w:rFonts w:hint="eastAsia" w:ascii="仿宋" w:hAnsi="仿宋" w:eastAsia="仿宋" w:cs="仿宋"/>
                <w:sz w:val="24"/>
              </w:rPr>
              <w:t>服务满意度在95%以上</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4D5CE0A2">
            <w:pPr>
              <w:adjustRightInd/>
              <w:jc w:val="center"/>
              <w:rPr>
                <w:rFonts w:hint="eastAsia" w:ascii="仿宋" w:hAnsi="仿宋" w:eastAsia="仿宋" w:cs="仿宋"/>
                <w:sz w:val="24"/>
              </w:rPr>
            </w:pPr>
            <w:r>
              <w:rPr>
                <w:rFonts w:hint="eastAsia" w:ascii="仿宋" w:hAnsi="仿宋" w:eastAsia="仿宋" w:cs="仿宋"/>
                <w:sz w:val="24"/>
              </w:rPr>
              <w:t>酌情奖励</w:t>
            </w:r>
          </w:p>
        </w:tc>
      </w:tr>
      <w:tr w14:paraId="30100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51" w:type="dxa"/>
            <w:tcBorders>
              <w:top w:val="single" w:color="auto" w:sz="4" w:space="0"/>
              <w:left w:val="single" w:color="auto" w:sz="4" w:space="0"/>
              <w:bottom w:val="single" w:color="auto" w:sz="4" w:space="0"/>
              <w:right w:val="single" w:color="auto" w:sz="4" w:space="0"/>
            </w:tcBorders>
            <w:noWrap w:val="0"/>
            <w:vAlign w:val="center"/>
          </w:tcPr>
          <w:p w14:paraId="202F6485">
            <w:pPr>
              <w:adjustRightInd/>
              <w:spacing w:line="300" w:lineRule="exact"/>
              <w:jc w:val="center"/>
              <w:rPr>
                <w:rFonts w:hint="eastAsia" w:ascii="仿宋" w:hAnsi="仿宋" w:eastAsia="仿宋" w:cs="仿宋"/>
                <w:sz w:val="24"/>
              </w:rPr>
            </w:pPr>
            <w:r>
              <w:rPr>
                <w:rFonts w:hint="eastAsia" w:ascii="仿宋" w:hAnsi="仿宋" w:eastAsia="仿宋" w:cs="仿宋"/>
                <w:sz w:val="24"/>
              </w:rPr>
              <w:t>27</w:t>
            </w:r>
          </w:p>
        </w:tc>
        <w:tc>
          <w:tcPr>
            <w:tcW w:w="6237" w:type="dxa"/>
            <w:tcBorders>
              <w:top w:val="single" w:color="auto" w:sz="4" w:space="0"/>
              <w:left w:val="single" w:color="auto" w:sz="4" w:space="0"/>
              <w:bottom w:val="single" w:color="auto" w:sz="4" w:space="0"/>
              <w:right w:val="single" w:color="auto" w:sz="4" w:space="0"/>
            </w:tcBorders>
            <w:noWrap w:val="0"/>
            <w:vAlign w:val="center"/>
          </w:tcPr>
          <w:p w14:paraId="76E690E8">
            <w:pPr>
              <w:adjustRightInd/>
              <w:spacing w:line="300" w:lineRule="exact"/>
              <w:rPr>
                <w:rFonts w:hint="eastAsia" w:ascii="仿宋" w:hAnsi="仿宋" w:eastAsia="仿宋" w:cs="仿宋"/>
                <w:sz w:val="24"/>
              </w:rPr>
            </w:pPr>
            <w:r>
              <w:rPr>
                <w:rFonts w:hint="eastAsia" w:ascii="仿宋" w:hAnsi="仿宋" w:eastAsia="仿宋" w:cs="仿宋"/>
                <w:sz w:val="24"/>
              </w:rPr>
              <w:t>满意率测评，满意率低于80%的</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2D3F996E">
            <w:pPr>
              <w:adjustRightInd/>
              <w:jc w:val="center"/>
              <w:rPr>
                <w:rFonts w:hint="eastAsia" w:ascii="仿宋" w:hAnsi="仿宋" w:eastAsia="仿宋" w:cs="仿宋"/>
                <w:sz w:val="24"/>
              </w:rPr>
            </w:pPr>
            <w:r>
              <w:rPr>
                <w:rFonts w:hint="eastAsia" w:ascii="仿宋" w:hAnsi="仿宋" w:eastAsia="仿宋" w:cs="仿宋"/>
                <w:sz w:val="24"/>
                <w:lang w:val="en-US" w:eastAsia="zh-CN"/>
              </w:rPr>
              <w:t>扣5</w:t>
            </w:r>
            <w:r>
              <w:rPr>
                <w:rFonts w:hint="eastAsia" w:ascii="仿宋" w:hAnsi="仿宋" w:eastAsia="仿宋" w:cs="仿宋"/>
                <w:sz w:val="24"/>
              </w:rPr>
              <w:t>00元/次</w:t>
            </w:r>
          </w:p>
        </w:tc>
      </w:tr>
      <w:tr w14:paraId="306F3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51" w:type="dxa"/>
            <w:tcBorders>
              <w:top w:val="single" w:color="auto" w:sz="4" w:space="0"/>
              <w:left w:val="single" w:color="auto" w:sz="4" w:space="0"/>
              <w:bottom w:val="single" w:color="auto" w:sz="4" w:space="0"/>
              <w:right w:val="single" w:color="auto" w:sz="4" w:space="0"/>
            </w:tcBorders>
            <w:noWrap w:val="0"/>
            <w:vAlign w:val="center"/>
          </w:tcPr>
          <w:p w14:paraId="231FE7E1">
            <w:pPr>
              <w:adjustRightInd/>
              <w:spacing w:line="30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28</w:t>
            </w:r>
          </w:p>
        </w:tc>
        <w:tc>
          <w:tcPr>
            <w:tcW w:w="6237" w:type="dxa"/>
            <w:tcBorders>
              <w:top w:val="single" w:color="auto" w:sz="4" w:space="0"/>
              <w:left w:val="single" w:color="auto" w:sz="4" w:space="0"/>
              <w:bottom w:val="single" w:color="auto" w:sz="4" w:space="0"/>
              <w:right w:val="single" w:color="auto" w:sz="4" w:space="0"/>
            </w:tcBorders>
            <w:noWrap w:val="0"/>
            <w:vAlign w:val="center"/>
          </w:tcPr>
          <w:p w14:paraId="51938F6C">
            <w:pPr>
              <w:adjustRightInd/>
              <w:spacing w:line="300" w:lineRule="exact"/>
              <w:rPr>
                <w:rFonts w:hint="eastAsia" w:ascii="仿宋" w:hAnsi="仿宋" w:eastAsia="仿宋" w:cs="仿宋"/>
                <w:sz w:val="24"/>
              </w:rPr>
            </w:pPr>
            <w:r>
              <w:rPr>
                <w:rFonts w:hint="eastAsia" w:ascii="仿宋" w:hAnsi="仿宋" w:eastAsia="仿宋" w:cs="仿宋"/>
                <w:sz w:val="24"/>
              </w:rPr>
              <w:t>打卡管理，发现一次就餐未打卡的</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4F841389">
            <w:pPr>
              <w:adjustRightInd/>
              <w:jc w:val="center"/>
              <w:rPr>
                <w:rFonts w:hint="eastAsia" w:ascii="仿宋" w:hAnsi="仿宋" w:eastAsia="仿宋" w:cs="仿宋"/>
                <w:sz w:val="24"/>
              </w:rPr>
            </w:pPr>
            <w:r>
              <w:rPr>
                <w:rFonts w:hint="eastAsia" w:ascii="仿宋" w:hAnsi="仿宋" w:eastAsia="仿宋" w:cs="仿宋"/>
                <w:sz w:val="24"/>
                <w:lang w:val="en-US" w:eastAsia="zh-CN"/>
              </w:rPr>
              <w:t>扣1</w:t>
            </w:r>
            <w:r>
              <w:rPr>
                <w:rFonts w:hint="eastAsia" w:ascii="仿宋" w:hAnsi="仿宋" w:eastAsia="仿宋" w:cs="仿宋"/>
                <w:sz w:val="24"/>
              </w:rPr>
              <w:t>00元/次</w:t>
            </w:r>
          </w:p>
        </w:tc>
      </w:tr>
      <w:tr w14:paraId="569CB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51" w:type="dxa"/>
            <w:tcBorders>
              <w:top w:val="single" w:color="auto" w:sz="4" w:space="0"/>
              <w:left w:val="single" w:color="auto" w:sz="4" w:space="0"/>
              <w:bottom w:val="single" w:color="auto" w:sz="4" w:space="0"/>
              <w:right w:val="single" w:color="auto" w:sz="4" w:space="0"/>
            </w:tcBorders>
            <w:noWrap w:val="0"/>
            <w:vAlign w:val="center"/>
          </w:tcPr>
          <w:p w14:paraId="287BB953">
            <w:pPr>
              <w:adjustRightInd/>
              <w:spacing w:line="30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29</w:t>
            </w:r>
          </w:p>
        </w:tc>
        <w:tc>
          <w:tcPr>
            <w:tcW w:w="6237" w:type="dxa"/>
            <w:tcBorders>
              <w:top w:val="single" w:color="auto" w:sz="4" w:space="0"/>
              <w:left w:val="single" w:color="auto" w:sz="4" w:space="0"/>
              <w:bottom w:val="single" w:color="auto" w:sz="4" w:space="0"/>
              <w:right w:val="single" w:color="auto" w:sz="4" w:space="0"/>
            </w:tcBorders>
            <w:noWrap w:val="0"/>
            <w:vAlign w:val="center"/>
          </w:tcPr>
          <w:p w14:paraId="0554CDCF">
            <w:pPr>
              <w:adjustRightInd/>
              <w:jc w:val="left"/>
              <w:rPr>
                <w:rFonts w:hint="eastAsia" w:ascii="仿宋" w:hAnsi="仿宋" w:eastAsia="仿宋" w:cs="仿宋"/>
                <w:sz w:val="24"/>
              </w:rPr>
            </w:pPr>
            <w:r>
              <w:rPr>
                <w:rFonts w:hint="eastAsia" w:ascii="仿宋" w:hAnsi="仿宋" w:eastAsia="仿宋" w:cs="仿宋"/>
                <w:sz w:val="24"/>
              </w:rPr>
              <w:t>就餐率，每月平均就餐率低于80%的</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29058F5D">
            <w:pPr>
              <w:adjustRightInd/>
              <w:jc w:val="center"/>
              <w:rPr>
                <w:rFonts w:hint="eastAsia" w:ascii="仿宋" w:hAnsi="仿宋" w:eastAsia="仿宋" w:cs="仿宋"/>
                <w:sz w:val="24"/>
                <w:lang w:val="en-US" w:eastAsia="zh-CN"/>
              </w:rPr>
            </w:pPr>
            <w:r>
              <w:rPr>
                <w:rFonts w:hint="eastAsia" w:ascii="仿宋" w:hAnsi="仿宋" w:eastAsia="仿宋" w:cs="仿宋"/>
                <w:sz w:val="24"/>
                <w:lang w:val="en-US" w:eastAsia="zh-CN"/>
              </w:rPr>
              <w:t>扣1</w:t>
            </w:r>
            <w:r>
              <w:rPr>
                <w:rFonts w:hint="eastAsia" w:ascii="仿宋" w:hAnsi="仿宋" w:eastAsia="仿宋" w:cs="仿宋"/>
                <w:sz w:val="24"/>
              </w:rPr>
              <w:t>00</w:t>
            </w:r>
            <w:r>
              <w:rPr>
                <w:rFonts w:hint="eastAsia" w:ascii="仿宋" w:hAnsi="仿宋" w:eastAsia="仿宋" w:cs="仿宋"/>
                <w:sz w:val="24"/>
                <w:lang w:val="en-US" w:eastAsia="zh-CN"/>
              </w:rPr>
              <w:t>0</w:t>
            </w:r>
            <w:r>
              <w:rPr>
                <w:rFonts w:hint="eastAsia" w:ascii="仿宋" w:hAnsi="仿宋" w:eastAsia="仿宋" w:cs="仿宋"/>
                <w:sz w:val="24"/>
              </w:rPr>
              <w:t>元/次</w:t>
            </w:r>
          </w:p>
        </w:tc>
      </w:tr>
      <w:tr w14:paraId="6C083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51" w:type="dxa"/>
            <w:tcBorders>
              <w:top w:val="single" w:color="auto" w:sz="4" w:space="0"/>
              <w:left w:val="single" w:color="auto" w:sz="4" w:space="0"/>
              <w:bottom w:val="single" w:color="auto" w:sz="4" w:space="0"/>
              <w:right w:val="single" w:color="auto" w:sz="4" w:space="0"/>
            </w:tcBorders>
            <w:noWrap w:val="0"/>
            <w:vAlign w:val="center"/>
          </w:tcPr>
          <w:p w14:paraId="53631DEB">
            <w:pPr>
              <w:adjustRightInd/>
              <w:jc w:val="center"/>
              <w:rPr>
                <w:rFonts w:hint="default" w:ascii="仿宋" w:hAnsi="仿宋" w:eastAsia="仿宋" w:cs="仿宋"/>
                <w:sz w:val="24"/>
                <w:lang w:val="en-US" w:eastAsia="zh-CN"/>
              </w:rPr>
            </w:pPr>
            <w:r>
              <w:rPr>
                <w:rFonts w:hint="eastAsia" w:ascii="仿宋" w:hAnsi="仿宋" w:eastAsia="仿宋" w:cs="仿宋"/>
                <w:sz w:val="24"/>
                <w:lang w:val="en-US" w:eastAsia="zh-CN"/>
              </w:rPr>
              <w:t>30</w:t>
            </w:r>
          </w:p>
        </w:tc>
        <w:tc>
          <w:tcPr>
            <w:tcW w:w="6237" w:type="dxa"/>
            <w:tcBorders>
              <w:top w:val="single" w:color="auto" w:sz="4" w:space="0"/>
              <w:left w:val="single" w:color="auto" w:sz="4" w:space="0"/>
              <w:bottom w:val="single" w:color="auto" w:sz="4" w:space="0"/>
              <w:right w:val="single" w:color="auto" w:sz="4" w:space="0"/>
            </w:tcBorders>
            <w:noWrap w:val="0"/>
            <w:vAlign w:val="center"/>
          </w:tcPr>
          <w:p w14:paraId="37F5B5F9">
            <w:pPr>
              <w:adjustRightInd/>
              <w:jc w:val="left"/>
              <w:rPr>
                <w:rFonts w:hint="eastAsia" w:ascii="仿宋" w:hAnsi="仿宋" w:eastAsia="仿宋" w:cs="仿宋"/>
                <w:sz w:val="24"/>
              </w:rPr>
            </w:pPr>
            <w:r>
              <w:rPr>
                <w:rFonts w:hint="eastAsia" w:ascii="仿宋" w:hAnsi="仿宋" w:eastAsia="仿宋" w:cs="仿宋"/>
                <w:sz w:val="24"/>
                <w:lang w:val="en-US" w:eastAsia="zh-CN"/>
              </w:rPr>
              <w:t>以上条款</w:t>
            </w:r>
            <w:r>
              <w:rPr>
                <w:rFonts w:hint="eastAsia" w:ascii="仿宋" w:hAnsi="仿宋" w:eastAsia="仿宋" w:cs="仿宋"/>
                <w:sz w:val="24"/>
              </w:rPr>
              <w:t>屡次违反规定</w:t>
            </w:r>
            <w:r>
              <w:rPr>
                <w:rFonts w:hint="eastAsia" w:ascii="仿宋" w:hAnsi="仿宋" w:eastAsia="仿宋" w:cs="仿宋"/>
                <w:sz w:val="24"/>
                <w:lang w:val="en-US" w:eastAsia="zh-CN"/>
              </w:rPr>
              <w:t>或未及时整改的</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23C28401">
            <w:pPr>
              <w:adjustRightInd/>
              <w:jc w:val="center"/>
              <w:rPr>
                <w:rFonts w:hint="default" w:ascii="仿宋" w:hAnsi="仿宋" w:eastAsia="仿宋" w:cs="仿宋"/>
                <w:sz w:val="24"/>
                <w:lang w:val="en-US" w:eastAsia="zh-CN"/>
              </w:rPr>
            </w:pPr>
            <w:r>
              <w:rPr>
                <w:rFonts w:hint="eastAsia" w:ascii="仿宋" w:hAnsi="仿宋" w:eastAsia="仿宋" w:cs="仿宋"/>
                <w:sz w:val="24"/>
                <w:lang w:val="en-US" w:eastAsia="zh-CN"/>
              </w:rPr>
              <w:t>加倍处罚</w:t>
            </w:r>
          </w:p>
        </w:tc>
      </w:tr>
    </w:tbl>
    <w:p w14:paraId="7C43D30A">
      <w:pPr>
        <w:adjustRightInd/>
        <w:jc w:val="center"/>
        <w:rPr>
          <w:rFonts w:hint="eastAsia" w:ascii="仿宋" w:hAnsi="仿宋" w:eastAsia="仿宋" w:cs="仿宋"/>
          <w:sz w:val="24"/>
        </w:rPr>
      </w:pPr>
    </w:p>
    <w:p w14:paraId="1F423CDA">
      <w:pPr>
        <w:snapToGrid w:val="0"/>
        <w:spacing w:line="360" w:lineRule="auto"/>
        <w:ind w:firstLine="560" w:firstLineChars="200"/>
        <w:jc w:val="center"/>
        <w:rPr>
          <w:rFonts w:hint="eastAsia" w:ascii="仿宋" w:hAnsi="仿宋" w:eastAsia="仿宋" w:cs="仿宋"/>
          <w:snapToGrid w:val="0"/>
          <w:kern w:val="0"/>
          <w:sz w:val="28"/>
          <w:szCs w:val="28"/>
        </w:rPr>
      </w:pPr>
      <w:r>
        <w:rPr>
          <w:rFonts w:hint="eastAsia" w:ascii="仿宋" w:hAnsi="仿宋" w:eastAsia="仿宋" w:cs="仿宋"/>
          <w:snapToGrid w:val="0"/>
          <w:kern w:val="0"/>
          <w:sz w:val="28"/>
          <w:szCs w:val="28"/>
        </w:rPr>
        <w:t>附《餐饮服务考核评分表》（试行）</w:t>
      </w:r>
    </w:p>
    <w:tbl>
      <w:tblPr>
        <w:tblStyle w:val="62"/>
        <w:tblW w:w="0" w:type="auto"/>
        <w:jc w:val="center"/>
        <w:tblLayout w:type="fixed"/>
        <w:tblCellMar>
          <w:top w:w="15" w:type="dxa"/>
          <w:left w:w="15" w:type="dxa"/>
          <w:bottom w:w="15" w:type="dxa"/>
          <w:right w:w="15" w:type="dxa"/>
        </w:tblCellMar>
      </w:tblPr>
      <w:tblGrid>
        <w:gridCol w:w="567"/>
        <w:gridCol w:w="851"/>
        <w:gridCol w:w="6113"/>
        <w:gridCol w:w="709"/>
        <w:gridCol w:w="1107"/>
      </w:tblGrid>
      <w:tr w14:paraId="7191C48A">
        <w:tblPrEx>
          <w:tblCellMar>
            <w:top w:w="15" w:type="dxa"/>
            <w:left w:w="15" w:type="dxa"/>
            <w:bottom w:w="15" w:type="dxa"/>
            <w:right w:w="15" w:type="dxa"/>
          </w:tblCellMar>
        </w:tblPrEx>
        <w:trPr>
          <w:trHeight w:val="88" w:hRule="atLeast"/>
          <w:jc w:val="center"/>
        </w:trPr>
        <w:tc>
          <w:tcPr>
            <w:tcW w:w="1418" w:type="dxa"/>
            <w:gridSpan w:val="2"/>
            <w:tcBorders>
              <w:top w:val="single" w:color="000000" w:sz="4" w:space="0"/>
              <w:left w:val="single" w:color="000000" w:sz="4" w:space="0"/>
              <w:bottom w:val="single" w:color="000000" w:sz="4" w:space="0"/>
              <w:right w:val="single" w:color="000000" w:sz="4" w:space="0"/>
            </w:tcBorders>
            <w:noWrap w:val="0"/>
            <w:vAlign w:val="center"/>
          </w:tcPr>
          <w:p w14:paraId="4C529D1F">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评分内容</w:t>
            </w: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391C3FD7">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评分标准</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2ECC7856">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分值</w:t>
            </w:r>
          </w:p>
        </w:tc>
        <w:tc>
          <w:tcPr>
            <w:tcW w:w="1107" w:type="dxa"/>
            <w:tcBorders>
              <w:top w:val="single" w:color="000000" w:sz="4" w:space="0"/>
              <w:left w:val="single" w:color="000000" w:sz="4" w:space="0"/>
              <w:bottom w:val="single" w:color="000000" w:sz="4" w:space="0"/>
              <w:right w:val="single" w:color="000000" w:sz="4" w:space="0"/>
            </w:tcBorders>
            <w:noWrap w:val="0"/>
            <w:vAlign w:val="center"/>
          </w:tcPr>
          <w:p w14:paraId="5D7CC9C2">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扣分说明</w:t>
            </w:r>
          </w:p>
          <w:p w14:paraId="584F7B64">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（时间、扣分原因）</w:t>
            </w:r>
          </w:p>
        </w:tc>
      </w:tr>
      <w:tr w14:paraId="3C0E0778">
        <w:tblPrEx>
          <w:tblCellMar>
            <w:top w:w="15" w:type="dxa"/>
            <w:left w:w="15" w:type="dxa"/>
            <w:bottom w:w="15" w:type="dxa"/>
            <w:right w:w="15" w:type="dxa"/>
          </w:tblCellMar>
        </w:tblPrEx>
        <w:trPr>
          <w:trHeight w:val="88" w:hRule="atLeast"/>
          <w:jc w:val="center"/>
        </w:trPr>
        <w:tc>
          <w:tcPr>
            <w:tcW w:w="567" w:type="dxa"/>
            <w:vMerge w:val="restart"/>
            <w:tcBorders>
              <w:top w:val="single" w:color="000000" w:sz="4" w:space="0"/>
              <w:left w:val="single" w:color="000000" w:sz="4" w:space="0"/>
              <w:bottom w:val="single" w:color="000000" w:sz="4" w:space="0"/>
              <w:right w:val="single" w:color="000000" w:sz="4" w:space="0"/>
            </w:tcBorders>
            <w:noWrap w:val="0"/>
            <w:vAlign w:val="center"/>
          </w:tcPr>
          <w:p w14:paraId="2E0CD7F8">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基础</w:t>
            </w:r>
          </w:p>
          <w:p w14:paraId="5AB0FAF3">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管理</w:t>
            </w:r>
          </w:p>
          <w:p w14:paraId="01134708">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13分</w:t>
            </w:r>
          </w:p>
        </w:tc>
        <w:tc>
          <w:tcPr>
            <w:tcW w:w="851" w:type="dxa"/>
            <w:vMerge w:val="restart"/>
            <w:tcBorders>
              <w:top w:val="single" w:color="000000" w:sz="4" w:space="0"/>
              <w:left w:val="single" w:color="000000" w:sz="4" w:space="0"/>
              <w:bottom w:val="single" w:color="000000" w:sz="4" w:space="0"/>
              <w:right w:val="single" w:color="000000" w:sz="4" w:space="0"/>
            </w:tcBorders>
            <w:noWrap w:val="0"/>
            <w:vAlign w:val="center"/>
          </w:tcPr>
          <w:p w14:paraId="0CA85218">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组织</w:t>
            </w:r>
          </w:p>
          <w:p w14:paraId="01CF0C4B">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架构</w:t>
            </w:r>
          </w:p>
          <w:p w14:paraId="08031CCD">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和规</w:t>
            </w:r>
          </w:p>
          <w:p w14:paraId="2B509F14">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范</w:t>
            </w: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58C2823B">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组织架构按标书承诺配置，组织架构调整或人员增减，应先报备情况，以不影响经营和服务质量为原则。</w:t>
            </w:r>
          </w:p>
        </w:tc>
        <w:tc>
          <w:tcPr>
            <w:tcW w:w="709" w:type="dxa"/>
            <w:vMerge w:val="restart"/>
            <w:tcBorders>
              <w:top w:val="single" w:color="000000" w:sz="4" w:space="0"/>
              <w:left w:val="single" w:color="000000" w:sz="4" w:space="0"/>
              <w:bottom w:val="single" w:color="000000" w:sz="4" w:space="0"/>
              <w:right w:val="single" w:color="000000" w:sz="4" w:space="0"/>
            </w:tcBorders>
            <w:noWrap w:val="0"/>
            <w:vAlign w:val="center"/>
          </w:tcPr>
          <w:p w14:paraId="598DE199">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4</w:t>
            </w:r>
          </w:p>
        </w:tc>
        <w:tc>
          <w:tcPr>
            <w:tcW w:w="1107" w:type="dxa"/>
            <w:vMerge w:val="restart"/>
            <w:tcBorders>
              <w:top w:val="single" w:color="000000" w:sz="4" w:space="0"/>
              <w:left w:val="single" w:color="000000" w:sz="4" w:space="0"/>
              <w:bottom w:val="single" w:color="000000" w:sz="4" w:space="0"/>
              <w:right w:val="single" w:color="000000" w:sz="4" w:space="0"/>
            </w:tcBorders>
            <w:noWrap w:val="0"/>
            <w:vAlign w:val="center"/>
          </w:tcPr>
          <w:p w14:paraId="2B7F3D43">
            <w:pPr>
              <w:widowControl/>
              <w:snapToGrid w:val="0"/>
              <w:jc w:val="center"/>
              <w:rPr>
                <w:rFonts w:hint="eastAsia" w:ascii="仿宋" w:hAnsi="仿宋" w:eastAsia="仿宋" w:cs="仿宋"/>
                <w:szCs w:val="21"/>
              </w:rPr>
            </w:pPr>
          </w:p>
        </w:tc>
      </w:tr>
      <w:tr w14:paraId="53871EF9">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6774F8">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5BB3DD">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2BEA4CE0">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如需更替人员，应在约定时间内完成。</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2C42EE">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0D99E7">
            <w:pPr>
              <w:widowControl/>
              <w:snapToGrid w:val="0"/>
              <w:jc w:val="center"/>
              <w:rPr>
                <w:rFonts w:hint="eastAsia" w:ascii="仿宋" w:hAnsi="仿宋" w:eastAsia="仿宋" w:cs="仿宋"/>
                <w:szCs w:val="21"/>
              </w:rPr>
            </w:pPr>
          </w:p>
        </w:tc>
      </w:tr>
      <w:tr w14:paraId="64B7C9E5">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D94DE4">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28933A">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5F20F3F6">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建立健全各项管理制度（经营、仓储、员工奖罚等），制订各岗位职责和考核标准。</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A703F5">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CBFEF2">
            <w:pPr>
              <w:widowControl/>
              <w:snapToGrid w:val="0"/>
              <w:jc w:val="center"/>
              <w:rPr>
                <w:rFonts w:hint="eastAsia" w:ascii="仿宋" w:hAnsi="仿宋" w:eastAsia="仿宋" w:cs="仿宋"/>
                <w:szCs w:val="21"/>
              </w:rPr>
            </w:pPr>
          </w:p>
        </w:tc>
      </w:tr>
      <w:tr w14:paraId="17372382">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3BE914">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A869E7">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1B4BE517">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建立内部沟通机制，定期组织会议（班组会每周一次；全员会议每月一次）。</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8381A6">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8F4997">
            <w:pPr>
              <w:widowControl/>
              <w:snapToGrid w:val="0"/>
              <w:jc w:val="center"/>
              <w:rPr>
                <w:rFonts w:hint="eastAsia" w:ascii="仿宋" w:hAnsi="仿宋" w:eastAsia="仿宋" w:cs="仿宋"/>
                <w:szCs w:val="21"/>
              </w:rPr>
            </w:pPr>
          </w:p>
        </w:tc>
      </w:tr>
      <w:tr w14:paraId="589B62E4">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7C75E9">
            <w:pPr>
              <w:widowControl/>
              <w:snapToGrid w:val="0"/>
              <w:jc w:val="center"/>
              <w:rPr>
                <w:rFonts w:hint="eastAsia" w:ascii="仿宋" w:hAnsi="仿宋" w:eastAsia="仿宋" w:cs="仿宋"/>
                <w:szCs w:val="21"/>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409F7CC1">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培训</w:t>
            </w: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397240B8">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制订培训计划，做好培训记录。</w:t>
            </w:r>
          </w:p>
        </w:tc>
        <w:tc>
          <w:tcPr>
            <w:tcW w:w="709" w:type="dxa"/>
            <w:tcBorders>
              <w:left w:val="single" w:color="000000" w:sz="4" w:space="0"/>
              <w:bottom w:val="single" w:color="000000" w:sz="4" w:space="0"/>
              <w:right w:val="single" w:color="000000" w:sz="4" w:space="0"/>
            </w:tcBorders>
            <w:noWrap w:val="0"/>
            <w:vAlign w:val="center"/>
          </w:tcPr>
          <w:p w14:paraId="75D6BCC3">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1107" w:type="dxa"/>
            <w:tcBorders>
              <w:left w:val="single" w:color="000000" w:sz="4" w:space="0"/>
              <w:bottom w:val="single" w:color="000000" w:sz="4" w:space="0"/>
              <w:right w:val="single" w:color="000000" w:sz="4" w:space="0"/>
            </w:tcBorders>
            <w:noWrap w:val="0"/>
            <w:vAlign w:val="center"/>
          </w:tcPr>
          <w:p w14:paraId="139528D4">
            <w:pPr>
              <w:widowControl/>
              <w:snapToGrid w:val="0"/>
              <w:jc w:val="center"/>
              <w:rPr>
                <w:rFonts w:hint="eastAsia" w:ascii="仿宋" w:hAnsi="仿宋" w:eastAsia="仿宋" w:cs="仿宋"/>
                <w:szCs w:val="21"/>
              </w:rPr>
            </w:pPr>
          </w:p>
        </w:tc>
      </w:tr>
      <w:tr w14:paraId="50075861">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6B95E6">
            <w:pPr>
              <w:widowControl/>
              <w:snapToGrid w:val="0"/>
              <w:jc w:val="center"/>
              <w:rPr>
                <w:rFonts w:hint="eastAsia" w:ascii="仿宋" w:hAnsi="仿宋" w:eastAsia="仿宋" w:cs="仿宋"/>
                <w:szCs w:val="21"/>
              </w:rPr>
            </w:pPr>
          </w:p>
        </w:tc>
        <w:tc>
          <w:tcPr>
            <w:tcW w:w="851" w:type="dxa"/>
            <w:vMerge w:val="restart"/>
            <w:tcBorders>
              <w:top w:val="single" w:color="000000" w:sz="4" w:space="0"/>
              <w:left w:val="single" w:color="000000" w:sz="4" w:space="0"/>
              <w:bottom w:val="single" w:color="000000" w:sz="4" w:space="0"/>
              <w:right w:val="single" w:color="000000" w:sz="4" w:space="0"/>
            </w:tcBorders>
            <w:noWrap w:val="0"/>
            <w:vAlign w:val="center"/>
          </w:tcPr>
          <w:p w14:paraId="683F657E">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员工</w:t>
            </w:r>
          </w:p>
          <w:p w14:paraId="3393BAE5">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素质</w:t>
            </w: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6DAEDB9D">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团队及个人都应自觉维护形象，遵守委托方的相关规定和纪律。</w:t>
            </w:r>
          </w:p>
        </w:tc>
        <w:tc>
          <w:tcPr>
            <w:tcW w:w="709" w:type="dxa"/>
            <w:vMerge w:val="restart"/>
            <w:tcBorders>
              <w:top w:val="single" w:color="000000" w:sz="4" w:space="0"/>
              <w:left w:val="single" w:color="000000" w:sz="4" w:space="0"/>
              <w:bottom w:val="single" w:color="000000" w:sz="4" w:space="0"/>
              <w:right w:val="single" w:color="000000" w:sz="4" w:space="0"/>
            </w:tcBorders>
            <w:noWrap w:val="0"/>
            <w:vAlign w:val="center"/>
          </w:tcPr>
          <w:p w14:paraId="195C364D">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6</w:t>
            </w:r>
          </w:p>
        </w:tc>
        <w:tc>
          <w:tcPr>
            <w:tcW w:w="1107" w:type="dxa"/>
            <w:vMerge w:val="restart"/>
            <w:tcBorders>
              <w:top w:val="single" w:color="000000" w:sz="4" w:space="0"/>
              <w:left w:val="single" w:color="000000" w:sz="4" w:space="0"/>
              <w:bottom w:val="single" w:color="000000" w:sz="4" w:space="0"/>
              <w:right w:val="single" w:color="000000" w:sz="4" w:space="0"/>
            </w:tcBorders>
            <w:noWrap w:val="0"/>
            <w:vAlign w:val="center"/>
          </w:tcPr>
          <w:p w14:paraId="4027BB1D">
            <w:pPr>
              <w:widowControl/>
              <w:snapToGrid w:val="0"/>
              <w:jc w:val="center"/>
              <w:rPr>
                <w:rFonts w:hint="eastAsia" w:ascii="仿宋" w:hAnsi="仿宋" w:eastAsia="仿宋" w:cs="仿宋"/>
                <w:szCs w:val="21"/>
              </w:rPr>
            </w:pPr>
          </w:p>
        </w:tc>
      </w:tr>
      <w:tr w14:paraId="22041401">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477B05">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336495">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0A64F677">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员工应每年体检，持有健康证。</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24C684">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B7C5CA">
            <w:pPr>
              <w:widowControl/>
              <w:snapToGrid w:val="0"/>
              <w:jc w:val="center"/>
              <w:rPr>
                <w:rFonts w:hint="eastAsia" w:ascii="仿宋" w:hAnsi="仿宋" w:eastAsia="仿宋" w:cs="仿宋"/>
                <w:szCs w:val="21"/>
              </w:rPr>
            </w:pPr>
          </w:p>
        </w:tc>
      </w:tr>
      <w:tr w14:paraId="3E04CE98">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D38D10">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F7AA56">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39DC2D80">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员工上岗前应掌握必备的职业技能和职业道德素质，熟练操作、文明礼貌。</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F664B8">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7AA60A">
            <w:pPr>
              <w:widowControl/>
              <w:snapToGrid w:val="0"/>
              <w:jc w:val="center"/>
              <w:rPr>
                <w:rFonts w:hint="eastAsia" w:ascii="仿宋" w:hAnsi="仿宋" w:eastAsia="仿宋" w:cs="仿宋"/>
                <w:szCs w:val="21"/>
              </w:rPr>
            </w:pPr>
          </w:p>
        </w:tc>
      </w:tr>
      <w:tr w14:paraId="3472E667">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C3CFE4">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669D75">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02541C4D">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注重个人卫生是每个员工的必备素养。工作中保持服装干净，不披散头发、不涂指甲油、不留长指甲，不戴首饰。</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D545BF">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9B2680">
            <w:pPr>
              <w:widowControl/>
              <w:snapToGrid w:val="0"/>
              <w:jc w:val="center"/>
              <w:rPr>
                <w:rFonts w:hint="eastAsia" w:ascii="仿宋" w:hAnsi="仿宋" w:eastAsia="仿宋" w:cs="仿宋"/>
                <w:szCs w:val="21"/>
              </w:rPr>
            </w:pPr>
          </w:p>
        </w:tc>
      </w:tr>
      <w:tr w14:paraId="36294457">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E07058">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D08691">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637C4CD7">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员工应按要求着装，并佩戴工帽、口罩、手套、工号牌等。</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81C76E">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5E601B">
            <w:pPr>
              <w:widowControl/>
              <w:snapToGrid w:val="0"/>
              <w:jc w:val="center"/>
              <w:rPr>
                <w:rFonts w:hint="eastAsia" w:ascii="仿宋" w:hAnsi="仿宋" w:eastAsia="仿宋" w:cs="仿宋"/>
                <w:szCs w:val="21"/>
              </w:rPr>
            </w:pPr>
          </w:p>
        </w:tc>
      </w:tr>
      <w:tr w14:paraId="6BEF9EDF">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4D94BE">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EB0373">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51537272">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工作时间，不做与本职工作无关的事情。严格执行员工请销假制度，不发生无故旷工、缺员现象</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503256">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E4873C">
            <w:pPr>
              <w:widowControl/>
              <w:snapToGrid w:val="0"/>
              <w:jc w:val="center"/>
              <w:rPr>
                <w:rFonts w:hint="eastAsia" w:ascii="仿宋" w:hAnsi="仿宋" w:eastAsia="仿宋" w:cs="仿宋"/>
                <w:szCs w:val="21"/>
              </w:rPr>
            </w:pPr>
          </w:p>
        </w:tc>
      </w:tr>
      <w:tr w14:paraId="0F7B96B0">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3151C5">
            <w:pPr>
              <w:widowControl/>
              <w:snapToGrid w:val="0"/>
              <w:jc w:val="center"/>
              <w:rPr>
                <w:rFonts w:hint="eastAsia" w:ascii="仿宋" w:hAnsi="仿宋" w:eastAsia="仿宋" w:cs="仿宋"/>
                <w:szCs w:val="21"/>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61B8D9E7">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应急</w:t>
            </w:r>
          </w:p>
          <w:p w14:paraId="207D5370">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管理</w:t>
            </w: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17438E7F">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针对突发事件（水、电、气、消防）建立应急预案和台账，并组织培训、演习，面临突发事件及时通知相关部门并采取相应措施。</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7D106365">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1</w:t>
            </w:r>
          </w:p>
        </w:tc>
        <w:tc>
          <w:tcPr>
            <w:tcW w:w="1107" w:type="dxa"/>
            <w:tcBorders>
              <w:top w:val="single" w:color="000000" w:sz="4" w:space="0"/>
              <w:left w:val="single" w:color="000000" w:sz="4" w:space="0"/>
              <w:bottom w:val="single" w:color="000000" w:sz="4" w:space="0"/>
              <w:right w:val="single" w:color="000000" w:sz="4" w:space="0"/>
            </w:tcBorders>
            <w:noWrap w:val="0"/>
            <w:vAlign w:val="center"/>
          </w:tcPr>
          <w:p w14:paraId="6B652F53">
            <w:pPr>
              <w:widowControl/>
              <w:snapToGrid w:val="0"/>
              <w:jc w:val="center"/>
              <w:rPr>
                <w:rFonts w:hint="eastAsia" w:ascii="仿宋" w:hAnsi="仿宋" w:eastAsia="仿宋" w:cs="仿宋"/>
                <w:szCs w:val="21"/>
              </w:rPr>
            </w:pPr>
          </w:p>
        </w:tc>
      </w:tr>
      <w:tr w14:paraId="4BA7123D">
        <w:tblPrEx>
          <w:tblCellMar>
            <w:top w:w="15" w:type="dxa"/>
            <w:left w:w="15" w:type="dxa"/>
            <w:bottom w:w="15" w:type="dxa"/>
            <w:right w:w="15" w:type="dxa"/>
          </w:tblCellMar>
        </w:tblPrEx>
        <w:trPr>
          <w:trHeight w:val="88" w:hRule="atLeast"/>
          <w:jc w:val="center"/>
        </w:trPr>
        <w:tc>
          <w:tcPr>
            <w:tcW w:w="567" w:type="dxa"/>
            <w:vMerge w:val="restart"/>
            <w:tcBorders>
              <w:top w:val="single" w:color="000000" w:sz="4" w:space="0"/>
              <w:left w:val="single" w:color="000000" w:sz="4" w:space="0"/>
              <w:bottom w:val="single" w:color="000000" w:sz="4" w:space="0"/>
              <w:right w:val="single" w:color="000000" w:sz="4" w:space="0"/>
            </w:tcBorders>
            <w:noWrap w:val="0"/>
            <w:vAlign w:val="center"/>
          </w:tcPr>
          <w:p w14:paraId="1840243B">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菜品</w:t>
            </w:r>
          </w:p>
          <w:p w14:paraId="45C79B8E">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和服</w:t>
            </w:r>
          </w:p>
          <w:p w14:paraId="60432975">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务质</w:t>
            </w:r>
          </w:p>
          <w:p w14:paraId="5C3350E8">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量</w:t>
            </w:r>
          </w:p>
          <w:p w14:paraId="7C60097C">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14</w:t>
            </w:r>
          </w:p>
          <w:p w14:paraId="2E0FD725">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分</w:t>
            </w:r>
          </w:p>
        </w:tc>
        <w:tc>
          <w:tcPr>
            <w:tcW w:w="851" w:type="dxa"/>
            <w:vMerge w:val="restart"/>
            <w:tcBorders>
              <w:top w:val="single" w:color="000000" w:sz="4" w:space="0"/>
              <w:left w:val="single" w:color="000000" w:sz="4" w:space="0"/>
              <w:bottom w:val="single" w:color="000000" w:sz="4" w:space="0"/>
              <w:right w:val="single" w:color="000000" w:sz="4" w:space="0"/>
            </w:tcBorders>
            <w:noWrap w:val="0"/>
            <w:vAlign w:val="center"/>
          </w:tcPr>
          <w:p w14:paraId="006CCBDF">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菜品研发及品质</w:t>
            </w: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679A8E9A">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定期做好新菜品的研发及推出，并做好记录。一周内，菜品保持30%品种不重样。</w:t>
            </w:r>
          </w:p>
        </w:tc>
        <w:tc>
          <w:tcPr>
            <w:tcW w:w="709" w:type="dxa"/>
            <w:vMerge w:val="restart"/>
            <w:tcBorders>
              <w:top w:val="single" w:color="000000" w:sz="4" w:space="0"/>
              <w:left w:val="single" w:color="000000" w:sz="4" w:space="0"/>
              <w:bottom w:val="single" w:color="000000" w:sz="4" w:space="0"/>
              <w:right w:val="single" w:color="000000" w:sz="4" w:space="0"/>
            </w:tcBorders>
            <w:noWrap w:val="0"/>
            <w:vAlign w:val="center"/>
          </w:tcPr>
          <w:p w14:paraId="38176685">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10</w:t>
            </w:r>
          </w:p>
        </w:tc>
        <w:tc>
          <w:tcPr>
            <w:tcW w:w="1107" w:type="dxa"/>
            <w:vMerge w:val="restart"/>
            <w:tcBorders>
              <w:top w:val="single" w:color="000000" w:sz="4" w:space="0"/>
              <w:left w:val="single" w:color="000000" w:sz="4" w:space="0"/>
              <w:bottom w:val="single" w:color="000000" w:sz="4" w:space="0"/>
              <w:right w:val="single" w:color="000000" w:sz="4" w:space="0"/>
            </w:tcBorders>
            <w:noWrap w:val="0"/>
            <w:vAlign w:val="center"/>
          </w:tcPr>
          <w:p w14:paraId="078024D0">
            <w:pPr>
              <w:widowControl/>
              <w:snapToGrid w:val="0"/>
              <w:jc w:val="center"/>
              <w:rPr>
                <w:rFonts w:hint="eastAsia" w:ascii="仿宋" w:hAnsi="仿宋" w:eastAsia="仿宋" w:cs="仿宋"/>
                <w:szCs w:val="21"/>
              </w:rPr>
            </w:pPr>
          </w:p>
        </w:tc>
      </w:tr>
      <w:tr w14:paraId="4B56EC3E">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58419F">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94AE63">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2CF4C263">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确保食物出品检验合格。</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8A5E7D">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9D7D9F">
            <w:pPr>
              <w:widowControl/>
              <w:snapToGrid w:val="0"/>
              <w:jc w:val="center"/>
              <w:rPr>
                <w:rFonts w:hint="eastAsia" w:ascii="仿宋" w:hAnsi="仿宋" w:eastAsia="仿宋" w:cs="仿宋"/>
                <w:szCs w:val="21"/>
              </w:rPr>
            </w:pPr>
          </w:p>
        </w:tc>
      </w:tr>
      <w:tr w14:paraId="3B4385D6">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BE00AE">
            <w:pPr>
              <w:widowControl/>
              <w:snapToGrid w:val="0"/>
              <w:jc w:val="center"/>
              <w:rPr>
                <w:rFonts w:hint="eastAsia" w:ascii="仿宋" w:hAnsi="仿宋" w:eastAsia="仿宋" w:cs="仿宋"/>
                <w:szCs w:val="21"/>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5B55D700">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餐厅</w:t>
            </w:r>
          </w:p>
          <w:p w14:paraId="39570195">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服务</w:t>
            </w:r>
          </w:p>
          <w:p w14:paraId="292F8146">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品质</w:t>
            </w: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2EE7F364">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主动热情，尽职尽责，耐心周到，文明礼貌，服务品质达到四星以上标准。</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11DFBE3C">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4</w:t>
            </w:r>
          </w:p>
        </w:tc>
        <w:tc>
          <w:tcPr>
            <w:tcW w:w="1107" w:type="dxa"/>
            <w:tcBorders>
              <w:top w:val="single" w:color="000000" w:sz="4" w:space="0"/>
              <w:left w:val="single" w:color="000000" w:sz="4" w:space="0"/>
              <w:bottom w:val="single" w:color="000000" w:sz="4" w:space="0"/>
              <w:right w:val="single" w:color="000000" w:sz="4" w:space="0"/>
            </w:tcBorders>
            <w:noWrap w:val="0"/>
            <w:vAlign w:val="center"/>
          </w:tcPr>
          <w:p w14:paraId="68FF5B66">
            <w:pPr>
              <w:widowControl/>
              <w:snapToGrid w:val="0"/>
              <w:jc w:val="center"/>
              <w:rPr>
                <w:rFonts w:hint="eastAsia" w:ascii="仿宋" w:hAnsi="仿宋" w:eastAsia="仿宋" w:cs="仿宋"/>
                <w:szCs w:val="21"/>
              </w:rPr>
            </w:pPr>
          </w:p>
        </w:tc>
      </w:tr>
      <w:tr w14:paraId="4F969E9D">
        <w:tblPrEx>
          <w:tblCellMar>
            <w:top w:w="15" w:type="dxa"/>
            <w:left w:w="15" w:type="dxa"/>
            <w:bottom w:w="15" w:type="dxa"/>
            <w:right w:w="15" w:type="dxa"/>
          </w:tblCellMar>
        </w:tblPrEx>
        <w:trPr>
          <w:trHeight w:val="307" w:hRule="atLeast"/>
          <w:jc w:val="center"/>
        </w:trPr>
        <w:tc>
          <w:tcPr>
            <w:tcW w:w="567" w:type="dxa"/>
            <w:vMerge w:val="restart"/>
            <w:tcBorders>
              <w:top w:val="single" w:color="000000" w:sz="4" w:space="0"/>
              <w:left w:val="single" w:color="000000" w:sz="4" w:space="0"/>
              <w:bottom w:val="single" w:color="000000" w:sz="4" w:space="0"/>
              <w:right w:val="single" w:color="000000" w:sz="4" w:space="0"/>
            </w:tcBorders>
            <w:noWrap w:val="0"/>
            <w:vAlign w:val="center"/>
          </w:tcPr>
          <w:p w14:paraId="3BB9843A">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经济</w:t>
            </w:r>
          </w:p>
          <w:p w14:paraId="2A63A16B">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指标</w:t>
            </w:r>
          </w:p>
          <w:p w14:paraId="597024AA">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考核</w:t>
            </w:r>
          </w:p>
          <w:p w14:paraId="28C8AB61">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13分</w:t>
            </w:r>
          </w:p>
        </w:tc>
        <w:tc>
          <w:tcPr>
            <w:tcW w:w="851" w:type="dxa"/>
            <w:vMerge w:val="restart"/>
            <w:tcBorders>
              <w:top w:val="single" w:color="000000" w:sz="4" w:space="0"/>
              <w:left w:val="single" w:color="000000" w:sz="4" w:space="0"/>
              <w:bottom w:val="single" w:color="000000" w:sz="4" w:space="0"/>
              <w:right w:val="single" w:color="000000" w:sz="4" w:space="0"/>
            </w:tcBorders>
            <w:noWrap w:val="0"/>
            <w:vAlign w:val="center"/>
          </w:tcPr>
          <w:p w14:paraId="10E23E6D">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原材</w:t>
            </w:r>
          </w:p>
          <w:p w14:paraId="6AC753F6">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料及低值易耗品</w:t>
            </w:r>
          </w:p>
        </w:tc>
        <w:tc>
          <w:tcPr>
            <w:tcW w:w="6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4B43D640">
            <w:pPr>
              <w:widowControl/>
              <w:snapToGrid w:val="0"/>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按采购付款的金额和数量（三方核实后）进行填报，采</w:t>
            </w:r>
          </w:p>
          <w:p w14:paraId="3483AB24">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购单和入库要一致。</w:t>
            </w:r>
          </w:p>
        </w:tc>
        <w:tc>
          <w:tcPr>
            <w:tcW w:w="709" w:type="dxa"/>
            <w:vMerge w:val="restart"/>
            <w:tcBorders>
              <w:top w:val="single" w:color="000000" w:sz="4" w:space="0"/>
              <w:left w:val="single" w:color="000000" w:sz="4" w:space="0"/>
              <w:right w:val="single" w:color="000000" w:sz="4" w:space="0"/>
            </w:tcBorders>
            <w:noWrap w:val="0"/>
            <w:vAlign w:val="center"/>
          </w:tcPr>
          <w:p w14:paraId="13C7DD0B">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4</w:t>
            </w:r>
          </w:p>
        </w:tc>
        <w:tc>
          <w:tcPr>
            <w:tcW w:w="1107" w:type="dxa"/>
            <w:vMerge w:val="restart"/>
            <w:tcBorders>
              <w:top w:val="single" w:color="000000" w:sz="4" w:space="0"/>
              <w:left w:val="single" w:color="000000" w:sz="4" w:space="0"/>
              <w:right w:val="single" w:color="000000" w:sz="4" w:space="0"/>
            </w:tcBorders>
            <w:noWrap w:val="0"/>
            <w:vAlign w:val="center"/>
          </w:tcPr>
          <w:p w14:paraId="3FD4FDB8">
            <w:pPr>
              <w:widowControl/>
              <w:snapToGrid w:val="0"/>
              <w:jc w:val="center"/>
              <w:rPr>
                <w:rFonts w:hint="eastAsia" w:ascii="仿宋" w:hAnsi="仿宋" w:eastAsia="仿宋" w:cs="仿宋"/>
                <w:szCs w:val="21"/>
              </w:rPr>
            </w:pPr>
          </w:p>
        </w:tc>
      </w:tr>
      <w:tr w14:paraId="269AFBAA">
        <w:tblPrEx>
          <w:tblCellMar>
            <w:top w:w="15" w:type="dxa"/>
            <w:left w:w="15" w:type="dxa"/>
            <w:bottom w:w="15" w:type="dxa"/>
            <w:right w:w="15" w:type="dxa"/>
          </w:tblCellMar>
        </w:tblPrEx>
        <w:trPr>
          <w:trHeight w:val="307"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305AAE">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45AD9C">
            <w:pPr>
              <w:widowControl/>
              <w:snapToGrid w:val="0"/>
              <w:jc w:val="center"/>
              <w:rPr>
                <w:rFonts w:hint="eastAsia" w:ascii="仿宋" w:hAnsi="仿宋" w:eastAsia="仿宋" w:cs="仿宋"/>
                <w:szCs w:val="21"/>
              </w:rPr>
            </w:pPr>
          </w:p>
        </w:tc>
        <w:tc>
          <w:tcPr>
            <w:tcW w:w="6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093B29">
            <w:pPr>
              <w:widowControl/>
              <w:snapToGrid w:val="0"/>
              <w:jc w:val="left"/>
              <w:rPr>
                <w:rFonts w:hint="eastAsia" w:ascii="仿宋" w:hAnsi="仿宋" w:eastAsia="仿宋" w:cs="仿宋"/>
                <w:szCs w:val="21"/>
              </w:rPr>
            </w:pPr>
          </w:p>
        </w:tc>
        <w:tc>
          <w:tcPr>
            <w:tcW w:w="709" w:type="dxa"/>
            <w:vMerge w:val="continue"/>
            <w:tcBorders>
              <w:top w:val="single" w:color="000000" w:sz="4" w:space="0"/>
              <w:left w:val="single" w:color="000000" w:sz="4" w:space="0"/>
              <w:right w:val="single" w:color="000000" w:sz="4" w:space="0"/>
            </w:tcBorders>
            <w:noWrap w:val="0"/>
            <w:vAlign w:val="center"/>
          </w:tcPr>
          <w:p w14:paraId="01ED1054">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right w:val="single" w:color="000000" w:sz="4" w:space="0"/>
            </w:tcBorders>
            <w:noWrap w:val="0"/>
            <w:vAlign w:val="center"/>
          </w:tcPr>
          <w:p w14:paraId="7291AB8B">
            <w:pPr>
              <w:widowControl/>
              <w:snapToGrid w:val="0"/>
              <w:jc w:val="center"/>
              <w:rPr>
                <w:rFonts w:hint="eastAsia" w:ascii="仿宋" w:hAnsi="仿宋" w:eastAsia="仿宋" w:cs="仿宋"/>
                <w:szCs w:val="21"/>
              </w:rPr>
            </w:pPr>
          </w:p>
        </w:tc>
      </w:tr>
      <w:tr w14:paraId="257858D4">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3D3CDF">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C7A19B">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06760963">
            <w:pPr>
              <w:widowControl/>
              <w:snapToGrid w:val="0"/>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合理制定原材料和采购计划，满足生产需求且不浪费；</w:t>
            </w:r>
          </w:p>
          <w:p w14:paraId="3F4FB9A8">
            <w:pPr>
              <w:widowControl/>
              <w:snapToGrid w:val="0"/>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不出现以下情形；不合理的零散采购、生鲜类当日采购</w:t>
            </w:r>
          </w:p>
          <w:p w14:paraId="21B74F99">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结余过多、库存足量仍采购等。</w:t>
            </w:r>
          </w:p>
        </w:tc>
        <w:tc>
          <w:tcPr>
            <w:tcW w:w="709" w:type="dxa"/>
            <w:vMerge w:val="continue"/>
            <w:tcBorders>
              <w:top w:val="single" w:color="000000" w:sz="4" w:space="0"/>
              <w:left w:val="single" w:color="000000" w:sz="4" w:space="0"/>
              <w:right w:val="single" w:color="000000" w:sz="4" w:space="0"/>
            </w:tcBorders>
            <w:noWrap w:val="0"/>
            <w:vAlign w:val="center"/>
          </w:tcPr>
          <w:p w14:paraId="289EBF43">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right w:val="single" w:color="000000" w:sz="4" w:space="0"/>
            </w:tcBorders>
            <w:noWrap w:val="0"/>
            <w:vAlign w:val="center"/>
          </w:tcPr>
          <w:p w14:paraId="1E3BCED1">
            <w:pPr>
              <w:widowControl/>
              <w:snapToGrid w:val="0"/>
              <w:jc w:val="center"/>
              <w:rPr>
                <w:rFonts w:hint="eastAsia" w:ascii="仿宋" w:hAnsi="仿宋" w:eastAsia="仿宋" w:cs="仿宋"/>
                <w:szCs w:val="21"/>
              </w:rPr>
            </w:pPr>
          </w:p>
        </w:tc>
      </w:tr>
      <w:tr w14:paraId="6F2391D8">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A98701">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0AB4B5">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16900AC2">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杜绝不符合采购要求的原材料入库。</w:t>
            </w:r>
          </w:p>
        </w:tc>
        <w:tc>
          <w:tcPr>
            <w:tcW w:w="709" w:type="dxa"/>
            <w:vMerge w:val="continue"/>
            <w:tcBorders>
              <w:top w:val="single" w:color="000000" w:sz="4" w:space="0"/>
              <w:left w:val="single" w:color="000000" w:sz="4" w:space="0"/>
              <w:right w:val="single" w:color="000000" w:sz="4" w:space="0"/>
            </w:tcBorders>
            <w:noWrap w:val="0"/>
            <w:vAlign w:val="center"/>
          </w:tcPr>
          <w:p w14:paraId="598BA79E">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right w:val="single" w:color="000000" w:sz="4" w:space="0"/>
            </w:tcBorders>
            <w:noWrap w:val="0"/>
            <w:vAlign w:val="center"/>
          </w:tcPr>
          <w:p w14:paraId="409A3C51">
            <w:pPr>
              <w:widowControl/>
              <w:snapToGrid w:val="0"/>
              <w:jc w:val="center"/>
              <w:rPr>
                <w:rFonts w:hint="eastAsia" w:ascii="仿宋" w:hAnsi="仿宋" w:eastAsia="仿宋" w:cs="仿宋"/>
                <w:szCs w:val="21"/>
              </w:rPr>
            </w:pPr>
          </w:p>
        </w:tc>
      </w:tr>
      <w:tr w14:paraId="3C20DC19">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308439">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C18CBC">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221A6BA7">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明确物料采购与管理的三方责任，出入库均应有相应责任人的签字确认。</w:t>
            </w:r>
          </w:p>
        </w:tc>
        <w:tc>
          <w:tcPr>
            <w:tcW w:w="709" w:type="dxa"/>
            <w:vMerge w:val="continue"/>
            <w:tcBorders>
              <w:top w:val="single" w:color="000000" w:sz="4" w:space="0"/>
              <w:left w:val="single" w:color="000000" w:sz="4" w:space="0"/>
              <w:right w:val="single" w:color="000000" w:sz="4" w:space="0"/>
            </w:tcBorders>
            <w:noWrap w:val="0"/>
            <w:vAlign w:val="center"/>
          </w:tcPr>
          <w:p w14:paraId="0646EFFF">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right w:val="single" w:color="000000" w:sz="4" w:space="0"/>
            </w:tcBorders>
            <w:noWrap w:val="0"/>
            <w:vAlign w:val="center"/>
          </w:tcPr>
          <w:p w14:paraId="37441F8C">
            <w:pPr>
              <w:widowControl/>
              <w:snapToGrid w:val="0"/>
              <w:jc w:val="center"/>
              <w:rPr>
                <w:rFonts w:hint="eastAsia" w:ascii="仿宋" w:hAnsi="仿宋" w:eastAsia="仿宋" w:cs="仿宋"/>
                <w:szCs w:val="21"/>
              </w:rPr>
            </w:pPr>
          </w:p>
        </w:tc>
      </w:tr>
      <w:tr w14:paraId="033A8882">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D20DD3">
            <w:pPr>
              <w:widowControl/>
              <w:snapToGrid w:val="0"/>
              <w:jc w:val="center"/>
              <w:rPr>
                <w:rFonts w:hint="eastAsia" w:ascii="仿宋" w:hAnsi="仿宋" w:eastAsia="仿宋" w:cs="仿宋"/>
                <w:szCs w:val="21"/>
              </w:rPr>
            </w:pPr>
          </w:p>
        </w:tc>
        <w:tc>
          <w:tcPr>
            <w:tcW w:w="851" w:type="dxa"/>
            <w:vMerge w:val="restart"/>
            <w:tcBorders>
              <w:top w:val="single" w:color="000000" w:sz="4" w:space="0"/>
              <w:left w:val="single" w:color="000000" w:sz="4" w:space="0"/>
              <w:bottom w:val="single" w:color="000000" w:sz="4" w:space="0"/>
              <w:right w:val="single" w:color="000000" w:sz="4" w:space="0"/>
            </w:tcBorders>
            <w:noWrap w:val="0"/>
            <w:vAlign w:val="center"/>
          </w:tcPr>
          <w:p w14:paraId="1DF06E7F">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节能</w:t>
            </w:r>
          </w:p>
          <w:p w14:paraId="1812E92B">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减排</w:t>
            </w: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3CECD82C">
            <w:pPr>
              <w:widowControl/>
              <w:snapToGrid w:val="0"/>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用电量、用水量、用气量根据实际用量做每月分析，提</w:t>
            </w:r>
          </w:p>
          <w:p w14:paraId="37BA23B9">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出相应节能减排措施，并能有效落实。</w:t>
            </w:r>
          </w:p>
        </w:tc>
        <w:tc>
          <w:tcPr>
            <w:tcW w:w="709" w:type="dxa"/>
            <w:vMerge w:val="restart"/>
            <w:tcBorders>
              <w:top w:val="single" w:color="000000" w:sz="4" w:space="0"/>
              <w:left w:val="single" w:color="000000" w:sz="4" w:space="0"/>
              <w:right w:val="single" w:color="000000" w:sz="4" w:space="0"/>
            </w:tcBorders>
            <w:noWrap w:val="0"/>
            <w:vAlign w:val="center"/>
          </w:tcPr>
          <w:p w14:paraId="3E427F53">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3</w:t>
            </w:r>
          </w:p>
        </w:tc>
        <w:tc>
          <w:tcPr>
            <w:tcW w:w="1107" w:type="dxa"/>
            <w:vMerge w:val="restart"/>
            <w:tcBorders>
              <w:top w:val="single" w:color="000000" w:sz="4" w:space="0"/>
              <w:left w:val="single" w:color="000000" w:sz="4" w:space="0"/>
              <w:right w:val="single" w:color="000000" w:sz="4" w:space="0"/>
            </w:tcBorders>
            <w:noWrap w:val="0"/>
            <w:vAlign w:val="center"/>
          </w:tcPr>
          <w:p w14:paraId="08A46030">
            <w:pPr>
              <w:widowControl/>
              <w:snapToGrid w:val="0"/>
              <w:jc w:val="center"/>
              <w:rPr>
                <w:rFonts w:hint="eastAsia" w:ascii="仿宋" w:hAnsi="仿宋" w:eastAsia="仿宋" w:cs="仿宋"/>
                <w:szCs w:val="21"/>
              </w:rPr>
            </w:pPr>
          </w:p>
        </w:tc>
      </w:tr>
      <w:tr w14:paraId="5B4BA35E">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468FD7">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CF7A47">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2DEB0FA0">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空调使用符合节能减排的要求，设定合理温度，开启时应关闭窗户。</w:t>
            </w:r>
          </w:p>
        </w:tc>
        <w:tc>
          <w:tcPr>
            <w:tcW w:w="709" w:type="dxa"/>
            <w:vMerge w:val="continue"/>
            <w:tcBorders>
              <w:top w:val="single" w:color="000000" w:sz="4" w:space="0"/>
              <w:left w:val="single" w:color="000000" w:sz="4" w:space="0"/>
              <w:right w:val="single" w:color="000000" w:sz="4" w:space="0"/>
            </w:tcBorders>
            <w:noWrap w:val="0"/>
            <w:vAlign w:val="center"/>
          </w:tcPr>
          <w:p w14:paraId="7C4F9525">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right w:val="single" w:color="000000" w:sz="4" w:space="0"/>
            </w:tcBorders>
            <w:noWrap w:val="0"/>
            <w:vAlign w:val="center"/>
          </w:tcPr>
          <w:p w14:paraId="5AA14C85">
            <w:pPr>
              <w:widowControl/>
              <w:snapToGrid w:val="0"/>
              <w:jc w:val="center"/>
              <w:rPr>
                <w:rFonts w:hint="eastAsia" w:ascii="仿宋" w:hAnsi="仿宋" w:eastAsia="仿宋" w:cs="仿宋"/>
                <w:szCs w:val="21"/>
              </w:rPr>
            </w:pPr>
          </w:p>
        </w:tc>
      </w:tr>
      <w:tr w14:paraId="37923E77">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D0B6BC">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B7D97F">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3A6B06BB">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电灯使用符合节能减排要求，营业结束时关闭。</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D9BEF6">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7C6D0C">
            <w:pPr>
              <w:widowControl/>
              <w:snapToGrid w:val="0"/>
              <w:jc w:val="center"/>
              <w:rPr>
                <w:rFonts w:hint="eastAsia" w:ascii="仿宋" w:hAnsi="仿宋" w:eastAsia="仿宋" w:cs="仿宋"/>
                <w:szCs w:val="21"/>
              </w:rPr>
            </w:pPr>
          </w:p>
        </w:tc>
      </w:tr>
      <w:tr w14:paraId="6243027D">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8D3C44">
            <w:pPr>
              <w:widowControl/>
              <w:snapToGrid w:val="0"/>
              <w:jc w:val="center"/>
              <w:rPr>
                <w:rFonts w:hint="eastAsia" w:ascii="仿宋" w:hAnsi="仿宋" w:eastAsia="仿宋" w:cs="仿宋"/>
                <w:szCs w:val="21"/>
              </w:rPr>
            </w:pPr>
          </w:p>
        </w:tc>
        <w:tc>
          <w:tcPr>
            <w:tcW w:w="851" w:type="dxa"/>
            <w:vMerge w:val="restart"/>
            <w:tcBorders>
              <w:top w:val="single" w:color="000000" w:sz="4" w:space="0"/>
              <w:left w:val="single" w:color="000000" w:sz="4" w:space="0"/>
              <w:bottom w:val="single" w:color="000000" w:sz="4" w:space="0"/>
              <w:right w:val="single" w:color="000000" w:sz="4" w:space="0"/>
            </w:tcBorders>
            <w:noWrap w:val="0"/>
            <w:vAlign w:val="center"/>
          </w:tcPr>
          <w:p w14:paraId="7F7682C6">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财务</w:t>
            </w:r>
          </w:p>
          <w:p w14:paraId="4C755638">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统计</w:t>
            </w: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7F5F6624">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配合采购人建立合理的价格体系，保障盈亏平衡。</w:t>
            </w:r>
          </w:p>
        </w:tc>
        <w:tc>
          <w:tcPr>
            <w:tcW w:w="709" w:type="dxa"/>
            <w:vMerge w:val="restart"/>
            <w:tcBorders>
              <w:top w:val="single" w:color="000000" w:sz="4" w:space="0"/>
              <w:left w:val="single" w:color="000000" w:sz="4" w:space="0"/>
              <w:bottom w:val="single" w:color="000000" w:sz="4" w:space="0"/>
              <w:right w:val="single" w:color="000000" w:sz="4" w:space="0"/>
            </w:tcBorders>
            <w:noWrap w:val="0"/>
            <w:vAlign w:val="center"/>
          </w:tcPr>
          <w:p w14:paraId="23C8E072">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6</w:t>
            </w:r>
          </w:p>
        </w:tc>
        <w:tc>
          <w:tcPr>
            <w:tcW w:w="1107" w:type="dxa"/>
            <w:vMerge w:val="restart"/>
            <w:tcBorders>
              <w:top w:val="single" w:color="000000" w:sz="4" w:space="0"/>
              <w:left w:val="single" w:color="000000" w:sz="4" w:space="0"/>
              <w:bottom w:val="single" w:color="000000" w:sz="4" w:space="0"/>
              <w:right w:val="single" w:color="000000" w:sz="4" w:space="0"/>
            </w:tcBorders>
            <w:noWrap w:val="0"/>
            <w:vAlign w:val="center"/>
          </w:tcPr>
          <w:p w14:paraId="73CC99F3">
            <w:pPr>
              <w:widowControl/>
              <w:snapToGrid w:val="0"/>
              <w:jc w:val="center"/>
              <w:rPr>
                <w:rFonts w:hint="eastAsia" w:ascii="仿宋" w:hAnsi="仿宋" w:eastAsia="仿宋" w:cs="仿宋"/>
                <w:szCs w:val="21"/>
              </w:rPr>
            </w:pPr>
          </w:p>
        </w:tc>
      </w:tr>
      <w:tr w14:paraId="7AD5D089">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EC984A">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05A9A8">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19C602F8">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每日经营情况要求日清月结，账目清晰。</w:t>
            </w:r>
          </w:p>
        </w:tc>
        <w:tc>
          <w:tcPr>
            <w:tcW w:w="709" w:type="dxa"/>
            <w:vMerge w:val="continue"/>
            <w:tcBorders>
              <w:top w:val="single" w:color="000000" w:sz="4" w:space="0"/>
              <w:left w:val="single" w:color="000000" w:sz="4" w:space="0"/>
              <w:right w:val="single" w:color="000000" w:sz="4" w:space="0"/>
            </w:tcBorders>
            <w:noWrap w:val="0"/>
            <w:vAlign w:val="center"/>
          </w:tcPr>
          <w:p w14:paraId="5D95D63C">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right w:val="single" w:color="000000" w:sz="4" w:space="0"/>
            </w:tcBorders>
            <w:noWrap w:val="0"/>
            <w:vAlign w:val="center"/>
          </w:tcPr>
          <w:p w14:paraId="12403420">
            <w:pPr>
              <w:widowControl/>
              <w:snapToGrid w:val="0"/>
              <w:jc w:val="center"/>
              <w:rPr>
                <w:rFonts w:hint="eastAsia" w:ascii="仿宋" w:hAnsi="仿宋" w:eastAsia="仿宋" w:cs="仿宋"/>
                <w:szCs w:val="21"/>
              </w:rPr>
            </w:pPr>
          </w:p>
        </w:tc>
      </w:tr>
      <w:tr w14:paraId="59F56F1E">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C64373">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1CF1F9">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6A5BE6BA">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生产费用按需申报，不应先产生再核销，严禁自行采购。</w:t>
            </w:r>
          </w:p>
        </w:tc>
        <w:tc>
          <w:tcPr>
            <w:tcW w:w="709" w:type="dxa"/>
            <w:vMerge w:val="continue"/>
            <w:tcBorders>
              <w:top w:val="single" w:color="000000" w:sz="4" w:space="0"/>
              <w:left w:val="single" w:color="000000" w:sz="4" w:space="0"/>
              <w:right w:val="single" w:color="000000" w:sz="4" w:space="0"/>
            </w:tcBorders>
            <w:noWrap w:val="0"/>
            <w:vAlign w:val="center"/>
          </w:tcPr>
          <w:p w14:paraId="0921BF95">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right w:val="single" w:color="000000" w:sz="4" w:space="0"/>
            </w:tcBorders>
            <w:noWrap w:val="0"/>
            <w:vAlign w:val="center"/>
          </w:tcPr>
          <w:p w14:paraId="1E441134">
            <w:pPr>
              <w:widowControl/>
              <w:snapToGrid w:val="0"/>
              <w:jc w:val="center"/>
              <w:rPr>
                <w:rFonts w:hint="eastAsia" w:ascii="仿宋" w:hAnsi="仿宋" w:eastAsia="仿宋" w:cs="仿宋"/>
                <w:szCs w:val="21"/>
              </w:rPr>
            </w:pPr>
          </w:p>
        </w:tc>
      </w:tr>
      <w:tr w14:paraId="6E929DBC">
        <w:tblPrEx>
          <w:tblCellMar>
            <w:top w:w="15" w:type="dxa"/>
            <w:left w:w="15" w:type="dxa"/>
            <w:bottom w:w="15" w:type="dxa"/>
            <w:right w:w="15" w:type="dxa"/>
          </w:tblCellMar>
        </w:tblPrEx>
        <w:trPr>
          <w:trHeight w:val="88" w:hRule="atLeast"/>
          <w:jc w:val="center"/>
        </w:trPr>
        <w:tc>
          <w:tcPr>
            <w:tcW w:w="567" w:type="dxa"/>
            <w:vMerge w:val="restart"/>
            <w:tcBorders>
              <w:top w:val="single" w:color="000000" w:sz="4" w:space="0"/>
              <w:left w:val="single" w:color="000000" w:sz="4" w:space="0"/>
              <w:bottom w:val="single" w:color="000000" w:sz="4" w:space="0"/>
              <w:right w:val="single" w:color="000000" w:sz="4" w:space="0"/>
            </w:tcBorders>
            <w:noWrap w:val="0"/>
            <w:vAlign w:val="center"/>
          </w:tcPr>
          <w:p w14:paraId="39C49301">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食品</w:t>
            </w:r>
          </w:p>
          <w:p w14:paraId="43470B3D">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安全和消防安全13分</w:t>
            </w:r>
          </w:p>
        </w:tc>
        <w:tc>
          <w:tcPr>
            <w:tcW w:w="851" w:type="dxa"/>
            <w:vMerge w:val="restart"/>
            <w:tcBorders>
              <w:top w:val="single" w:color="000000" w:sz="4" w:space="0"/>
              <w:left w:val="single" w:color="000000" w:sz="4" w:space="0"/>
              <w:bottom w:val="single" w:color="000000" w:sz="4" w:space="0"/>
              <w:right w:val="single" w:color="000000" w:sz="4" w:space="0"/>
            </w:tcBorders>
            <w:noWrap w:val="0"/>
            <w:vAlign w:val="center"/>
          </w:tcPr>
          <w:p w14:paraId="7DF70A84">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原材料储存</w:t>
            </w: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7BE985E9">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按不同种类，区分常温、冷藏和冷冻，干货、调料、各类生鲜原材料，根据原材料保存要求使用不同箱框，进行分区存放。</w:t>
            </w:r>
          </w:p>
        </w:tc>
        <w:tc>
          <w:tcPr>
            <w:tcW w:w="709" w:type="dxa"/>
            <w:vMerge w:val="restart"/>
            <w:tcBorders>
              <w:top w:val="single" w:color="000000" w:sz="4" w:space="0"/>
              <w:left w:val="single" w:color="000000" w:sz="4" w:space="0"/>
              <w:bottom w:val="single" w:color="000000" w:sz="4" w:space="0"/>
              <w:right w:val="single" w:color="000000" w:sz="4" w:space="0"/>
            </w:tcBorders>
            <w:noWrap w:val="0"/>
            <w:vAlign w:val="center"/>
          </w:tcPr>
          <w:p w14:paraId="72127CCD">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1107" w:type="dxa"/>
            <w:vMerge w:val="restart"/>
            <w:tcBorders>
              <w:top w:val="single" w:color="000000" w:sz="4" w:space="0"/>
              <w:left w:val="single" w:color="000000" w:sz="4" w:space="0"/>
              <w:bottom w:val="single" w:color="000000" w:sz="4" w:space="0"/>
              <w:right w:val="single" w:color="000000" w:sz="4" w:space="0"/>
            </w:tcBorders>
            <w:noWrap w:val="0"/>
            <w:vAlign w:val="center"/>
          </w:tcPr>
          <w:p w14:paraId="40B1A4ED">
            <w:pPr>
              <w:widowControl/>
              <w:snapToGrid w:val="0"/>
              <w:jc w:val="center"/>
              <w:rPr>
                <w:rFonts w:hint="eastAsia" w:ascii="仿宋" w:hAnsi="仿宋" w:eastAsia="仿宋" w:cs="仿宋"/>
                <w:szCs w:val="21"/>
              </w:rPr>
            </w:pPr>
          </w:p>
        </w:tc>
      </w:tr>
      <w:tr w14:paraId="03C1E1E7">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40B556">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39A84C">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43CB1157">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明确仓库中每一种原材料的入库和使用期限，先进先出。</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C57D9E">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0E3E41">
            <w:pPr>
              <w:widowControl/>
              <w:snapToGrid w:val="0"/>
              <w:jc w:val="center"/>
              <w:rPr>
                <w:rFonts w:hint="eastAsia" w:ascii="仿宋" w:hAnsi="仿宋" w:eastAsia="仿宋" w:cs="仿宋"/>
                <w:szCs w:val="21"/>
              </w:rPr>
            </w:pPr>
          </w:p>
        </w:tc>
      </w:tr>
      <w:tr w14:paraId="29F4342A">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8864B5">
            <w:pPr>
              <w:widowControl/>
              <w:snapToGrid w:val="0"/>
              <w:jc w:val="center"/>
              <w:rPr>
                <w:rFonts w:hint="eastAsia" w:ascii="仿宋" w:hAnsi="仿宋" w:eastAsia="仿宋" w:cs="仿宋"/>
                <w:szCs w:val="21"/>
              </w:rPr>
            </w:pPr>
          </w:p>
        </w:tc>
        <w:tc>
          <w:tcPr>
            <w:tcW w:w="851" w:type="dxa"/>
            <w:vMerge w:val="restart"/>
            <w:tcBorders>
              <w:top w:val="single" w:color="000000" w:sz="4" w:space="0"/>
              <w:left w:val="single" w:color="000000" w:sz="4" w:space="0"/>
              <w:bottom w:val="single" w:color="000000" w:sz="4" w:space="0"/>
              <w:right w:val="single" w:color="000000" w:sz="4" w:space="0"/>
            </w:tcBorders>
            <w:noWrap w:val="0"/>
            <w:vAlign w:val="center"/>
          </w:tcPr>
          <w:p w14:paraId="0C131A6E">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成品</w:t>
            </w:r>
          </w:p>
          <w:p w14:paraId="62121556">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半成品储存</w:t>
            </w: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2BAB96D0">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食物成品、半成品（含洗切后的原材料)隔夜存放，需密封后放进冷柜或冷库，分区存放。</w:t>
            </w:r>
          </w:p>
        </w:tc>
        <w:tc>
          <w:tcPr>
            <w:tcW w:w="709" w:type="dxa"/>
            <w:vMerge w:val="restart"/>
            <w:tcBorders>
              <w:top w:val="single" w:color="000000" w:sz="4" w:space="0"/>
              <w:left w:val="single" w:color="000000" w:sz="4" w:space="0"/>
              <w:right w:val="single" w:color="000000" w:sz="4" w:space="0"/>
            </w:tcBorders>
            <w:noWrap w:val="0"/>
            <w:vAlign w:val="center"/>
          </w:tcPr>
          <w:p w14:paraId="4124FCC3">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1107" w:type="dxa"/>
            <w:vMerge w:val="restart"/>
            <w:tcBorders>
              <w:top w:val="single" w:color="000000" w:sz="4" w:space="0"/>
              <w:left w:val="single" w:color="000000" w:sz="4" w:space="0"/>
              <w:right w:val="single" w:color="000000" w:sz="4" w:space="0"/>
            </w:tcBorders>
            <w:noWrap w:val="0"/>
            <w:vAlign w:val="center"/>
          </w:tcPr>
          <w:p w14:paraId="5CDA4C52">
            <w:pPr>
              <w:widowControl/>
              <w:snapToGrid w:val="0"/>
              <w:jc w:val="center"/>
              <w:rPr>
                <w:rFonts w:hint="eastAsia" w:ascii="仿宋" w:hAnsi="仿宋" w:eastAsia="仿宋" w:cs="仿宋"/>
                <w:szCs w:val="21"/>
              </w:rPr>
            </w:pPr>
          </w:p>
        </w:tc>
      </w:tr>
      <w:tr w14:paraId="21EBE697">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29F749">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9D1C09">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2DB438C5">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食物成品、半成品（含洗切后的原材料)短时存放，需做防尘措施（加盖、保鲜膜等），并分开存放。</w:t>
            </w:r>
          </w:p>
        </w:tc>
        <w:tc>
          <w:tcPr>
            <w:tcW w:w="709" w:type="dxa"/>
            <w:vMerge w:val="continue"/>
            <w:tcBorders>
              <w:top w:val="single" w:color="000000" w:sz="4" w:space="0"/>
              <w:left w:val="single" w:color="000000" w:sz="4" w:space="0"/>
              <w:right w:val="single" w:color="000000" w:sz="4" w:space="0"/>
            </w:tcBorders>
            <w:noWrap w:val="0"/>
            <w:vAlign w:val="center"/>
          </w:tcPr>
          <w:p w14:paraId="1A9CBE80">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right w:val="single" w:color="000000" w:sz="4" w:space="0"/>
            </w:tcBorders>
            <w:noWrap w:val="0"/>
            <w:vAlign w:val="center"/>
          </w:tcPr>
          <w:p w14:paraId="7E614F86">
            <w:pPr>
              <w:widowControl/>
              <w:snapToGrid w:val="0"/>
              <w:jc w:val="center"/>
              <w:rPr>
                <w:rFonts w:hint="eastAsia" w:ascii="仿宋" w:hAnsi="仿宋" w:eastAsia="仿宋" w:cs="仿宋"/>
                <w:szCs w:val="21"/>
              </w:rPr>
            </w:pPr>
          </w:p>
        </w:tc>
      </w:tr>
      <w:tr w14:paraId="1E3CE09C">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689CEB">
            <w:pPr>
              <w:widowControl/>
              <w:snapToGrid w:val="0"/>
              <w:jc w:val="center"/>
              <w:rPr>
                <w:rFonts w:hint="eastAsia" w:ascii="仿宋" w:hAnsi="仿宋" w:eastAsia="仿宋" w:cs="仿宋"/>
                <w:szCs w:val="21"/>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08A88D3C">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禁限</w:t>
            </w:r>
          </w:p>
          <w:p w14:paraId="66A6A2A5">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规定</w:t>
            </w: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447E8ACE">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限用相关食品调料。</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1BD74E89">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1</w:t>
            </w:r>
          </w:p>
        </w:tc>
        <w:tc>
          <w:tcPr>
            <w:tcW w:w="1107" w:type="dxa"/>
            <w:tcBorders>
              <w:top w:val="single" w:color="000000" w:sz="4" w:space="0"/>
              <w:left w:val="single" w:color="000000" w:sz="4" w:space="0"/>
              <w:bottom w:val="single" w:color="000000" w:sz="4" w:space="0"/>
              <w:right w:val="single" w:color="000000" w:sz="4" w:space="0"/>
            </w:tcBorders>
            <w:noWrap w:val="0"/>
            <w:vAlign w:val="center"/>
          </w:tcPr>
          <w:p w14:paraId="6DA43EC1">
            <w:pPr>
              <w:widowControl/>
              <w:snapToGrid w:val="0"/>
              <w:jc w:val="center"/>
              <w:rPr>
                <w:rFonts w:hint="eastAsia" w:ascii="仿宋" w:hAnsi="仿宋" w:eastAsia="仿宋" w:cs="仿宋"/>
                <w:szCs w:val="21"/>
              </w:rPr>
            </w:pPr>
          </w:p>
        </w:tc>
      </w:tr>
      <w:tr w14:paraId="20557AF9">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209131">
            <w:pPr>
              <w:widowControl/>
              <w:snapToGrid w:val="0"/>
              <w:jc w:val="center"/>
              <w:rPr>
                <w:rFonts w:hint="eastAsia" w:ascii="仿宋" w:hAnsi="仿宋" w:eastAsia="仿宋" w:cs="仿宋"/>
                <w:szCs w:val="21"/>
              </w:rPr>
            </w:pPr>
          </w:p>
        </w:tc>
        <w:tc>
          <w:tcPr>
            <w:tcW w:w="851" w:type="dxa"/>
            <w:vMerge w:val="restart"/>
            <w:tcBorders>
              <w:top w:val="single" w:color="000000" w:sz="4" w:space="0"/>
              <w:left w:val="single" w:color="000000" w:sz="4" w:space="0"/>
              <w:bottom w:val="single" w:color="000000" w:sz="4" w:space="0"/>
              <w:right w:val="single" w:color="000000" w:sz="4" w:space="0"/>
            </w:tcBorders>
            <w:noWrap w:val="0"/>
            <w:vAlign w:val="center"/>
          </w:tcPr>
          <w:p w14:paraId="53B47F83">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厨房</w:t>
            </w:r>
          </w:p>
          <w:p w14:paraId="3BA551DC">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设施设备安全管理</w:t>
            </w: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515DBAFE">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建立厨房设施设备台账，按设备登记表定期进行检查和记录，按规定进行维修和保养，确保安全。</w:t>
            </w:r>
          </w:p>
        </w:tc>
        <w:tc>
          <w:tcPr>
            <w:tcW w:w="709" w:type="dxa"/>
            <w:vMerge w:val="restart"/>
            <w:tcBorders>
              <w:top w:val="single" w:color="000000" w:sz="4" w:space="0"/>
              <w:left w:val="single" w:color="000000" w:sz="4" w:space="0"/>
              <w:bottom w:val="single" w:color="000000" w:sz="4" w:space="0"/>
              <w:right w:val="single" w:color="000000" w:sz="4" w:space="0"/>
            </w:tcBorders>
            <w:noWrap w:val="0"/>
            <w:vAlign w:val="center"/>
          </w:tcPr>
          <w:p w14:paraId="7C0A3790">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3</w:t>
            </w:r>
          </w:p>
        </w:tc>
        <w:tc>
          <w:tcPr>
            <w:tcW w:w="1107" w:type="dxa"/>
            <w:vMerge w:val="restart"/>
            <w:tcBorders>
              <w:top w:val="single" w:color="000000" w:sz="4" w:space="0"/>
              <w:left w:val="single" w:color="000000" w:sz="4" w:space="0"/>
              <w:bottom w:val="single" w:color="000000" w:sz="4" w:space="0"/>
              <w:right w:val="single" w:color="000000" w:sz="4" w:space="0"/>
            </w:tcBorders>
            <w:noWrap w:val="0"/>
            <w:vAlign w:val="center"/>
          </w:tcPr>
          <w:p w14:paraId="223AC489">
            <w:pPr>
              <w:widowControl/>
              <w:snapToGrid w:val="0"/>
              <w:jc w:val="center"/>
              <w:rPr>
                <w:rFonts w:hint="eastAsia" w:ascii="仿宋" w:hAnsi="仿宋" w:eastAsia="仿宋" w:cs="仿宋"/>
                <w:szCs w:val="21"/>
              </w:rPr>
            </w:pPr>
          </w:p>
        </w:tc>
      </w:tr>
      <w:tr w14:paraId="054C4C37">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30846A">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A04D97">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5206CFFE">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定期进行电路检查和记录，排除隐患。</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D539F5">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661C2A">
            <w:pPr>
              <w:widowControl/>
              <w:snapToGrid w:val="0"/>
              <w:jc w:val="center"/>
              <w:rPr>
                <w:rFonts w:hint="eastAsia" w:ascii="仿宋" w:hAnsi="仿宋" w:eastAsia="仿宋" w:cs="仿宋"/>
                <w:szCs w:val="21"/>
              </w:rPr>
            </w:pPr>
          </w:p>
        </w:tc>
      </w:tr>
      <w:tr w14:paraId="1481A061">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262920">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6246FA">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2FA2D277">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每日生产后进行岗位消防自查（水、电）消除消防隐患。</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B0F7C9">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7DC4D6">
            <w:pPr>
              <w:widowControl/>
              <w:snapToGrid w:val="0"/>
              <w:jc w:val="center"/>
              <w:rPr>
                <w:rFonts w:hint="eastAsia" w:ascii="仿宋" w:hAnsi="仿宋" w:eastAsia="仿宋" w:cs="仿宋"/>
                <w:szCs w:val="21"/>
              </w:rPr>
            </w:pPr>
          </w:p>
        </w:tc>
      </w:tr>
      <w:tr w14:paraId="702EC05C">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D8ECA3">
            <w:pPr>
              <w:widowControl/>
              <w:snapToGrid w:val="0"/>
              <w:jc w:val="center"/>
              <w:rPr>
                <w:rFonts w:hint="eastAsia" w:ascii="仿宋" w:hAnsi="仿宋" w:eastAsia="仿宋" w:cs="仿宋"/>
                <w:szCs w:val="21"/>
              </w:rPr>
            </w:pPr>
          </w:p>
        </w:tc>
        <w:tc>
          <w:tcPr>
            <w:tcW w:w="851" w:type="dxa"/>
            <w:vMerge w:val="restart"/>
            <w:tcBorders>
              <w:top w:val="single" w:color="000000" w:sz="4" w:space="0"/>
              <w:left w:val="single" w:color="000000" w:sz="4" w:space="0"/>
              <w:bottom w:val="single" w:color="000000" w:sz="4" w:space="0"/>
              <w:right w:val="single" w:color="000000" w:sz="4" w:space="0"/>
            </w:tcBorders>
            <w:noWrap w:val="0"/>
            <w:vAlign w:val="center"/>
          </w:tcPr>
          <w:p w14:paraId="6C3B26DE">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消防安全管理</w:t>
            </w: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4ED6FD40">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消防通道不得作其他用途，不得堆放杂物。</w:t>
            </w:r>
          </w:p>
        </w:tc>
        <w:tc>
          <w:tcPr>
            <w:tcW w:w="709" w:type="dxa"/>
            <w:vMerge w:val="restart"/>
            <w:tcBorders>
              <w:top w:val="single" w:color="000000" w:sz="4" w:space="0"/>
              <w:left w:val="single" w:color="000000" w:sz="4" w:space="0"/>
              <w:bottom w:val="single" w:color="000000" w:sz="4" w:space="0"/>
              <w:right w:val="single" w:color="000000" w:sz="4" w:space="0"/>
            </w:tcBorders>
            <w:noWrap w:val="0"/>
            <w:vAlign w:val="center"/>
          </w:tcPr>
          <w:p w14:paraId="4835CF82">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1107" w:type="dxa"/>
            <w:vMerge w:val="restart"/>
            <w:tcBorders>
              <w:top w:val="single" w:color="000000" w:sz="4" w:space="0"/>
              <w:left w:val="single" w:color="000000" w:sz="4" w:space="0"/>
              <w:bottom w:val="single" w:color="000000" w:sz="4" w:space="0"/>
              <w:right w:val="single" w:color="000000" w:sz="4" w:space="0"/>
            </w:tcBorders>
            <w:noWrap w:val="0"/>
            <w:vAlign w:val="center"/>
          </w:tcPr>
          <w:p w14:paraId="1A6313E9">
            <w:pPr>
              <w:widowControl/>
              <w:snapToGrid w:val="0"/>
              <w:jc w:val="center"/>
              <w:rPr>
                <w:rFonts w:hint="eastAsia" w:ascii="仿宋" w:hAnsi="仿宋" w:eastAsia="仿宋" w:cs="仿宋"/>
                <w:szCs w:val="21"/>
              </w:rPr>
            </w:pPr>
          </w:p>
        </w:tc>
      </w:tr>
      <w:tr w14:paraId="75E7027F">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60759F">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77766A">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1D6EBD2F">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消防设备要定点摆放，不得随意移动，或做其他用途。</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57B882">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087A24">
            <w:pPr>
              <w:widowControl/>
              <w:snapToGrid w:val="0"/>
              <w:jc w:val="center"/>
              <w:rPr>
                <w:rFonts w:hint="eastAsia" w:ascii="仿宋" w:hAnsi="仿宋" w:eastAsia="仿宋" w:cs="仿宋"/>
                <w:szCs w:val="21"/>
              </w:rPr>
            </w:pPr>
          </w:p>
        </w:tc>
      </w:tr>
      <w:tr w14:paraId="2DD1E1C8">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0B8F4F">
            <w:pPr>
              <w:widowControl/>
              <w:snapToGrid w:val="0"/>
              <w:jc w:val="center"/>
              <w:rPr>
                <w:rFonts w:hint="eastAsia" w:ascii="仿宋" w:hAnsi="仿宋" w:eastAsia="仿宋" w:cs="仿宋"/>
                <w:szCs w:val="21"/>
              </w:rPr>
            </w:pPr>
          </w:p>
        </w:tc>
        <w:tc>
          <w:tcPr>
            <w:tcW w:w="851" w:type="dxa"/>
            <w:vMerge w:val="restart"/>
            <w:tcBorders>
              <w:top w:val="single" w:color="000000" w:sz="4" w:space="0"/>
              <w:left w:val="single" w:color="000000" w:sz="4" w:space="0"/>
              <w:bottom w:val="single" w:color="000000" w:sz="4" w:space="0"/>
              <w:right w:val="single" w:color="000000" w:sz="4" w:space="0"/>
            </w:tcBorders>
            <w:noWrap w:val="0"/>
            <w:vAlign w:val="center"/>
          </w:tcPr>
          <w:p w14:paraId="059F8C7A">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消防</w:t>
            </w:r>
          </w:p>
          <w:p w14:paraId="75578216">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安全意识</w:t>
            </w: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4EC866A5">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发现消防隐患，要及时上报、及时处理、及时整改。</w:t>
            </w:r>
          </w:p>
        </w:tc>
        <w:tc>
          <w:tcPr>
            <w:tcW w:w="709" w:type="dxa"/>
            <w:vMerge w:val="restart"/>
            <w:tcBorders>
              <w:top w:val="single" w:color="000000" w:sz="4" w:space="0"/>
              <w:left w:val="single" w:color="000000" w:sz="4" w:space="0"/>
              <w:bottom w:val="single" w:color="000000" w:sz="4" w:space="0"/>
              <w:right w:val="single" w:color="000000" w:sz="4" w:space="0"/>
            </w:tcBorders>
            <w:noWrap w:val="0"/>
            <w:vAlign w:val="center"/>
          </w:tcPr>
          <w:p w14:paraId="322BA82F">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3</w:t>
            </w:r>
          </w:p>
        </w:tc>
        <w:tc>
          <w:tcPr>
            <w:tcW w:w="1107" w:type="dxa"/>
            <w:vMerge w:val="restart"/>
            <w:tcBorders>
              <w:top w:val="single" w:color="000000" w:sz="4" w:space="0"/>
              <w:left w:val="single" w:color="000000" w:sz="4" w:space="0"/>
              <w:bottom w:val="single" w:color="000000" w:sz="4" w:space="0"/>
              <w:right w:val="single" w:color="000000" w:sz="4" w:space="0"/>
            </w:tcBorders>
            <w:noWrap w:val="0"/>
            <w:vAlign w:val="center"/>
          </w:tcPr>
          <w:p w14:paraId="4CB6405C">
            <w:pPr>
              <w:widowControl/>
              <w:snapToGrid w:val="0"/>
              <w:jc w:val="center"/>
              <w:rPr>
                <w:rFonts w:hint="eastAsia" w:ascii="仿宋" w:hAnsi="仿宋" w:eastAsia="仿宋" w:cs="仿宋"/>
                <w:szCs w:val="21"/>
              </w:rPr>
            </w:pPr>
          </w:p>
        </w:tc>
      </w:tr>
      <w:tr w14:paraId="76903FC4">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914ED9">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734CE7">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0EE94777">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向每位员工普及消防知识和消防器材使用方法，每位员工应掌握80%以上消防知识。</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B01391">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97F348">
            <w:pPr>
              <w:widowControl/>
              <w:snapToGrid w:val="0"/>
              <w:jc w:val="center"/>
              <w:rPr>
                <w:rFonts w:hint="eastAsia" w:ascii="仿宋" w:hAnsi="仿宋" w:eastAsia="仿宋" w:cs="仿宋"/>
                <w:szCs w:val="21"/>
              </w:rPr>
            </w:pPr>
          </w:p>
        </w:tc>
      </w:tr>
      <w:tr w14:paraId="338CE923">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48F0EB">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5954D2">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0189CCFB">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每年进行一次全员消防模拟演习或专题培训，应至少有90%以上的员工参与。</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3D3AC9">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A97538">
            <w:pPr>
              <w:widowControl/>
              <w:snapToGrid w:val="0"/>
              <w:jc w:val="center"/>
              <w:rPr>
                <w:rFonts w:hint="eastAsia" w:ascii="仿宋" w:hAnsi="仿宋" w:eastAsia="仿宋" w:cs="仿宋"/>
                <w:szCs w:val="21"/>
              </w:rPr>
            </w:pPr>
          </w:p>
        </w:tc>
      </w:tr>
      <w:tr w14:paraId="7656192B">
        <w:tblPrEx>
          <w:tblCellMar>
            <w:top w:w="15" w:type="dxa"/>
            <w:left w:w="15" w:type="dxa"/>
            <w:bottom w:w="15" w:type="dxa"/>
            <w:right w:w="15" w:type="dxa"/>
          </w:tblCellMar>
        </w:tblPrEx>
        <w:trPr>
          <w:trHeight w:val="88" w:hRule="atLeast"/>
          <w:jc w:val="center"/>
        </w:trPr>
        <w:tc>
          <w:tcPr>
            <w:tcW w:w="567" w:type="dxa"/>
            <w:vMerge w:val="restart"/>
            <w:tcBorders>
              <w:top w:val="single" w:color="000000" w:sz="4" w:space="0"/>
              <w:left w:val="single" w:color="000000" w:sz="4" w:space="0"/>
              <w:bottom w:val="single" w:color="000000" w:sz="4" w:space="0"/>
              <w:right w:val="single" w:color="000000" w:sz="4" w:space="0"/>
            </w:tcBorders>
            <w:noWrap w:val="0"/>
            <w:vAlign w:val="center"/>
          </w:tcPr>
          <w:p w14:paraId="74DCDA40">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清洁</w:t>
            </w:r>
          </w:p>
          <w:p w14:paraId="0A2CA5C7">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卫生18分</w:t>
            </w:r>
          </w:p>
        </w:tc>
        <w:tc>
          <w:tcPr>
            <w:tcW w:w="851" w:type="dxa"/>
            <w:vMerge w:val="restart"/>
            <w:tcBorders>
              <w:top w:val="single" w:color="000000" w:sz="4" w:space="0"/>
              <w:left w:val="single" w:color="000000" w:sz="4" w:space="0"/>
              <w:bottom w:val="single" w:color="000000" w:sz="4" w:space="0"/>
              <w:right w:val="single" w:color="000000" w:sz="4" w:space="0"/>
            </w:tcBorders>
            <w:noWrap w:val="0"/>
            <w:vAlign w:val="center"/>
          </w:tcPr>
          <w:p w14:paraId="58ED0345">
            <w:pPr>
              <w:widowControl/>
              <w:snapToGrid w:val="0"/>
              <w:jc w:val="center"/>
              <w:textAlignment w:val="center"/>
              <w:rPr>
                <w:rFonts w:hint="eastAsia" w:ascii="仿宋" w:hAnsi="仿宋" w:eastAsia="仿宋" w:cs="仿宋"/>
                <w:kern w:val="0"/>
                <w:szCs w:val="21"/>
                <w:lang w:bidi="ar"/>
              </w:rPr>
            </w:pPr>
          </w:p>
          <w:p w14:paraId="26463C11">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餐</w:t>
            </w:r>
          </w:p>
          <w:p w14:paraId="2E327BAD">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厅</w:t>
            </w: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4E7DB583">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用餐前搞好餐前卫生工作，保持餐厅环境整洁，保证餐具部件等清洁完好，了解每餐客人预订和桌位安排情况。</w:t>
            </w:r>
          </w:p>
        </w:tc>
        <w:tc>
          <w:tcPr>
            <w:tcW w:w="709" w:type="dxa"/>
            <w:vMerge w:val="restart"/>
            <w:tcBorders>
              <w:top w:val="single" w:color="000000" w:sz="4" w:space="0"/>
              <w:left w:val="single" w:color="000000" w:sz="4" w:space="0"/>
              <w:bottom w:val="single" w:color="000000" w:sz="4" w:space="0"/>
              <w:right w:val="single" w:color="000000" w:sz="4" w:space="0"/>
            </w:tcBorders>
            <w:noWrap w:val="0"/>
            <w:vAlign w:val="center"/>
          </w:tcPr>
          <w:p w14:paraId="57766A21">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4.5</w:t>
            </w:r>
          </w:p>
        </w:tc>
        <w:tc>
          <w:tcPr>
            <w:tcW w:w="1107" w:type="dxa"/>
            <w:vMerge w:val="restart"/>
            <w:tcBorders>
              <w:top w:val="single" w:color="000000" w:sz="4" w:space="0"/>
              <w:left w:val="single" w:color="000000" w:sz="4" w:space="0"/>
              <w:bottom w:val="single" w:color="000000" w:sz="4" w:space="0"/>
              <w:right w:val="single" w:color="000000" w:sz="4" w:space="0"/>
            </w:tcBorders>
            <w:noWrap w:val="0"/>
            <w:vAlign w:val="center"/>
          </w:tcPr>
          <w:p w14:paraId="10116FF1">
            <w:pPr>
              <w:widowControl/>
              <w:snapToGrid w:val="0"/>
              <w:jc w:val="center"/>
              <w:rPr>
                <w:rFonts w:hint="eastAsia" w:ascii="仿宋" w:hAnsi="仿宋" w:eastAsia="仿宋" w:cs="仿宋"/>
                <w:szCs w:val="21"/>
              </w:rPr>
            </w:pPr>
          </w:p>
        </w:tc>
      </w:tr>
      <w:tr w14:paraId="288D9CA9">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B07592">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16A279">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0B05E398">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用餐后卫生清洁及下一餐的餐前准备。</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F3D22F">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2F82B0">
            <w:pPr>
              <w:widowControl/>
              <w:snapToGrid w:val="0"/>
              <w:jc w:val="center"/>
              <w:rPr>
                <w:rFonts w:hint="eastAsia" w:ascii="仿宋" w:hAnsi="仿宋" w:eastAsia="仿宋" w:cs="仿宋"/>
                <w:szCs w:val="21"/>
              </w:rPr>
            </w:pPr>
          </w:p>
        </w:tc>
      </w:tr>
      <w:tr w14:paraId="46CF10BB">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16E085">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A82BC8">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188E2F2C">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营业结束后关闭包厢，锁好门窗。</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954AA5">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8C0F89">
            <w:pPr>
              <w:widowControl/>
              <w:snapToGrid w:val="0"/>
              <w:jc w:val="center"/>
              <w:rPr>
                <w:rFonts w:hint="eastAsia" w:ascii="仿宋" w:hAnsi="仿宋" w:eastAsia="仿宋" w:cs="仿宋"/>
                <w:szCs w:val="21"/>
              </w:rPr>
            </w:pPr>
          </w:p>
        </w:tc>
      </w:tr>
      <w:tr w14:paraId="287333B0">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C705ED">
            <w:pPr>
              <w:widowControl/>
              <w:snapToGrid w:val="0"/>
              <w:jc w:val="center"/>
              <w:rPr>
                <w:rFonts w:hint="eastAsia" w:ascii="仿宋" w:hAnsi="仿宋" w:eastAsia="仿宋" w:cs="仿宋"/>
                <w:szCs w:val="21"/>
              </w:rPr>
            </w:pPr>
          </w:p>
        </w:tc>
        <w:tc>
          <w:tcPr>
            <w:tcW w:w="851" w:type="dxa"/>
            <w:vMerge w:val="restart"/>
            <w:tcBorders>
              <w:top w:val="single" w:color="000000" w:sz="4" w:space="0"/>
              <w:left w:val="single" w:color="000000" w:sz="4" w:space="0"/>
              <w:bottom w:val="single" w:color="000000" w:sz="4" w:space="0"/>
              <w:right w:val="single" w:color="000000" w:sz="4" w:space="0"/>
            </w:tcBorders>
            <w:noWrap w:val="0"/>
            <w:vAlign w:val="center"/>
          </w:tcPr>
          <w:p w14:paraId="759F9045">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后厨</w:t>
            </w: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65E3B8E7">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洗菜筐、食物器皿、砧板、刀具等用完即时清理并按指定位置摆放有序，以供分类使用。</w:t>
            </w:r>
          </w:p>
        </w:tc>
        <w:tc>
          <w:tcPr>
            <w:tcW w:w="709" w:type="dxa"/>
            <w:vMerge w:val="restart"/>
            <w:tcBorders>
              <w:top w:val="single" w:color="000000" w:sz="4" w:space="0"/>
              <w:left w:val="single" w:color="000000" w:sz="4" w:space="0"/>
              <w:bottom w:val="single" w:color="000000" w:sz="4" w:space="0"/>
              <w:right w:val="single" w:color="000000" w:sz="4" w:space="0"/>
            </w:tcBorders>
            <w:noWrap w:val="0"/>
            <w:vAlign w:val="center"/>
          </w:tcPr>
          <w:p w14:paraId="3AFC6996">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10.5</w:t>
            </w:r>
          </w:p>
        </w:tc>
        <w:tc>
          <w:tcPr>
            <w:tcW w:w="1107" w:type="dxa"/>
            <w:vMerge w:val="restart"/>
            <w:tcBorders>
              <w:top w:val="single" w:color="000000" w:sz="4" w:space="0"/>
              <w:left w:val="single" w:color="000000" w:sz="4" w:space="0"/>
              <w:bottom w:val="single" w:color="000000" w:sz="4" w:space="0"/>
              <w:right w:val="single" w:color="000000" w:sz="4" w:space="0"/>
            </w:tcBorders>
            <w:noWrap w:val="0"/>
            <w:vAlign w:val="center"/>
          </w:tcPr>
          <w:p w14:paraId="1EB0C2D3">
            <w:pPr>
              <w:widowControl/>
              <w:snapToGrid w:val="0"/>
              <w:jc w:val="center"/>
              <w:rPr>
                <w:rFonts w:hint="eastAsia" w:ascii="仿宋" w:hAnsi="仿宋" w:eastAsia="仿宋" w:cs="仿宋"/>
                <w:szCs w:val="21"/>
              </w:rPr>
            </w:pPr>
          </w:p>
        </w:tc>
      </w:tr>
      <w:tr w14:paraId="19D7A2D6">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1D8921">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0B4A16">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6F8CBE16">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卫生工具用完要即时清洗，并按指定位置摆放有序，以供分类使用。</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89DD93">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3B8E8B">
            <w:pPr>
              <w:widowControl/>
              <w:snapToGrid w:val="0"/>
              <w:jc w:val="center"/>
              <w:rPr>
                <w:rFonts w:hint="eastAsia" w:ascii="仿宋" w:hAnsi="仿宋" w:eastAsia="仿宋" w:cs="仿宋"/>
                <w:szCs w:val="21"/>
              </w:rPr>
            </w:pPr>
          </w:p>
        </w:tc>
      </w:tr>
      <w:tr w14:paraId="00D57656">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74E63A">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CBDFD0">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744CC4C2">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定点堆放垃圾，垃圾做相应密封处理（扎袋子、加盖）。</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0AE6C4">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A7C448">
            <w:pPr>
              <w:widowControl/>
              <w:snapToGrid w:val="0"/>
              <w:jc w:val="center"/>
              <w:rPr>
                <w:rFonts w:hint="eastAsia" w:ascii="仿宋" w:hAnsi="仿宋" w:eastAsia="仿宋" w:cs="仿宋"/>
                <w:szCs w:val="21"/>
              </w:rPr>
            </w:pPr>
          </w:p>
        </w:tc>
      </w:tr>
      <w:tr w14:paraId="1182B587">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2A5149">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41542B">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3A7174D9">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每日疏通清理排水沟，每周两次大扫除。</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A07A65">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8545E6">
            <w:pPr>
              <w:widowControl/>
              <w:snapToGrid w:val="0"/>
              <w:jc w:val="center"/>
              <w:rPr>
                <w:rFonts w:hint="eastAsia" w:ascii="仿宋" w:hAnsi="仿宋" w:eastAsia="仿宋" w:cs="仿宋"/>
                <w:szCs w:val="21"/>
              </w:rPr>
            </w:pPr>
          </w:p>
        </w:tc>
      </w:tr>
      <w:tr w14:paraId="76F69A05">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2267C0">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35226C">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611AACE9">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各操作间相应工作完成后，即时打扫，保持“一干三关”：地面干，门、窗、水电气关；每周进行大扫除，清理卫生死角。</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604484">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829BA0">
            <w:pPr>
              <w:widowControl/>
              <w:snapToGrid w:val="0"/>
              <w:jc w:val="center"/>
              <w:rPr>
                <w:rFonts w:hint="eastAsia" w:ascii="仿宋" w:hAnsi="仿宋" w:eastAsia="仿宋" w:cs="仿宋"/>
                <w:szCs w:val="21"/>
              </w:rPr>
            </w:pPr>
          </w:p>
        </w:tc>
      </w:tr>
      <w:tr w14:paraId="2FF78EC8">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A4E049">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24CF84">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7A8D7713">
            <w:pPr>
              <w:widowControl/>
              <w:snapToGrid w:val="0"/>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未经许可，外部人员不得进入厨房；相关工作人员进入</w:t>
            </w:r>
          </w:p>
          <w:p w14:paraId="2E0F3411">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厨房要按规定着装。</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E602A8">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E777AC">
            <w:pPr>
              <w:widowControl/>
              <w:snapToGrid w:val="0"/>
              <w:jc w:val="center"/>
              <w:rPr>
                <w:rFonts w:hint="eastAsia" w:ascii="仿宋" w:hAnsi="仿宋" w:eastAsia="仿宋" w:cs="仿宋"/>
                <w:szCs w:val="21"/>
              </w:rPr>
            </w:pPr>
          </w:p>
        </w:tc>
      </w:tr>
      <w:tr w14:paraId="2611A31C">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599122">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69AF47">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1123AE0B">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冷藏、冷冻柜和库每周进行除霜，每日清洁、整理，并记录当日运行温度。</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5EB58B">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9BA40B">
            <w:pPr>
              <w:widowControl/>
              <w:snapToGrid w:val="0"/>
              <w:jc w:val="center"/>
              <w:rPr>
                <w:rFonts w:hint="eastAsia" w:ascii="仿宋" w:hAnsi="仿宋" w:eastAsia="仿宋" w:cs="仿宋"/>
                <w:szCs w:val="21"/>
              </w:rPr>
            </w:pPr>
          </w:p>
        </w:tc>
      </w:tr>
      <w:tr w14:paraId="259CCB03">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9CDCCB">
            <w:pPr>
              <w:widowControl/>
              <w:snapToGrid w:val="0"/>
              <w:jc w:val="center"/>
              <w:rPr>
                <w:rFonts w:hint="eastAsia" w:ascii="仿宋" w:hAnsi="仿宋" w:eastAsia="仿宋" w:cs="仿宋"/>
                <w:szCs w:val="21"/>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7D3F884A">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仓库</w:t>
            </w: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45DCF21E">
            <w:pPr>
              <w:widowControl/>
              <w:snapToGrid w:val="0"/>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各常温（干货、调料）仓库，按标线摆放物品，每日清</w:t>
            </w:r>
          </w:p>
          <w:p w14:paraId="3EE4ADC3">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点和整理，保持整洁干净，无安全隐患。</w:t>
            </w:r>
          </w:p>
        </w:tc>
        <w:tc>
          <w:tcPr>
            <w:tcW w:w="709" w:type="dxa"/>
            <w:tcBorders>
              <w:top w:val="single" w:color="000000" w:sz="4" w:space="0"/>
              <w:left w:val="single" w:color="000000" w:sz="4" w:space="0"/>
              <w:right w:val="single" w:color="000000" w:sz="4" w:space="0"/>
            </w:tcBorders>
            <w:noWrap w:val="0"/>
            <w:vAlign w:val="center"/>
          </w:tcPr>
          <w:p w14:paraId="443C1E8B">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1</w:t>
            </w:r>
          </w:p>
        </w:tc>
        <w:tc>
          <w:tcPr>
            <w:tcW w:w="1107" w:type="dxa"/>
            <w:tcBorders>
              <w:top w:val="single" w:color="000000" w:sz="4" w:space="0"/>
              <w:left w:val="single" w:color="000000" w:sz="4" w:space="0"/>
              <w:right w:val="single" w:color="000000" w:sz="4" w:space="0"/>
            </w:tcBorders>
            <w:noWrap w:val="0"/>
            <w:vAlign w:val="center"/>
          </w:tcPr>
          <w:p w14:paraId="4B217B0D">
            <w:pPr>
              <w:widowControl/>
              <w:snapToGrid w:val="0"/>
              <w:jc w:val="center"/>
              <w:rPr>
                <w:rFonts w:hint="eastAsia" w:ascii="仿宋" w:hAnsi="仿宋" w:eastAsia="仿宋" w:cs="仿宋"/>
                <w:szCs w:val="21"/>
              </w:rPr>
            </w:pPr>
          </w:p>
        </w:tc>
      </w:tr>
      <w:tr w14:paraId="4CBD1368">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97EA99">
            <w:pPr>
              <w:widowControl/>
              <w:snapToGrid w:val="0"/>
              <w:jc w:val="center"/>
              <w:rPr>
                <w:rFonts w:hint="eastAsia" w:ascii="仿宋" w:hAnsi="仿宋" w:eastAsia="仿宋" w:cs="仿宋"/>
                <w:szCs w:val="21"/>
              </w:rPr>
            </w:pPr>
          </w:p>
        </w:tc>
        <w:tc>
          <w:tcPr>
            <w:tcW w:w="851" w:type="dxa"/>
            <w:vMerge w:val="restart"/>
            <w:tcBorders>
              <w:top w:val="single" w:color="000000" w:sz="4" w:space="0"/>
              <w:left w:val="single" w:color="000000" w:sz="4" w:space="0"/>
              <w:bottom w:val="single" w:color="000000" w:sz="4" w:space="0"/>
              <w:right w:val="single" w:color="000000" w:sz="4" w:space="0"/>
            </w:tcBorders>
            <w:noWrap w:val="0"/>
            <w:vAlign w:val="center"/>
          </w:tcPr>
          <w:p w14:paraId="74B776F7">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垃圾</w:t>
            </w:r>
          </w:p>
          <w:p w14:paraId="76466E62">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处理</w:t>
            </w: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49D459B6">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厨余垃圾和泔水走相应的通道进入定点堆放处。</w:t>
            </w:r>
          </w:p>
        </w:tc>
        <w:tc>
          <w:tcPr>
            <w:tcW w:w="709" w:type="dxa"/>
            <w:vMerge w:val="restart"/>
            <w:tcBorders>
              <w:top w:val="single" w:color="000000" w:sz="4" w:space="0"/>
              <w:left w:val="single" w:color="000000" w:sz="4" w:space="0"/>
              <w:bottom w:val="single" w:color="000000" w:sz="4" w:space="0"/>
              <w:right w:val="single" w:color="000000" w:sz="4" w:space="0"/>
            </w:tcBorders>
            <w:noWrap w:val="0"/>
            <w:vAlign w:val="center"/>
          </w:tcPr>
          <w:p w14:paraId="20CA7AA7">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1107" w:type="dxa"/>
            <w:vMerge w:val="restart"/>
            <w:tcBorders>
              <w:top w:val="single" w:color="000000" w:sz="4" w:space="0"/>
              <w:left w:val="single" w:color="000000" w:sz="4" w:space="0"/>
              <w:bottom w:val="single" w:color="000000" w:sz="4" w:space="0"/>
              <w:right w:val="single" w:color="000000" w:sz="4" w:space="0"/>
            </w:tcBorders>
            <w:noWrap w:val="0"/>
            <w:vAlign w:val="center"/>
          </w:tcPr>
          <w:p w14:paraId="11B71903">
            <w:pPr>
              <w:widowControl/>
              <w:snapToGrid w:val="0"/>
              <w:jc w:val="center"/>
              <w:rPr>
                <w:rFonts w:hint="eastAsia" w:ascii="仿宋" w:hAnsi="仿宋" w:eastAsia="仿宋" w:cs="仿宋"/>
                <w:szCs w:val="21"/>
              </w:rPr>
            </w:pPr>
          </w:p>
        </w:tc>
      </w:tr>
      <w:tr w14:paraId="4E72A74C">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9AEC9D">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3B6683">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73778C76">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垃圾必须当日清运，避免产生异味。</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72AD4D">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4A843F">
            <w:pPr>
              <w:widowControl/>
              <w:snapToGrid w:val="0"/>
              <w:jc w:val="center"/>
              <w:rPr>
                <w:rFonts w:hint="eastAsia" w:ascii="仿宋" w:hAnsi="仿宋" w:eastAsia="仿宋" w:cs="仿宋"/>
                <w:szCs w:val="21"/>
              </w:rPr>
            </w:pPr>
          </w:p>
        </w:tc>
      </w:tr>
      <w:tr w14:paraId="68C914FD">
        <w:tblPrEx>
          <w:tblCellMar>
            <w:top w:w="15" w:type="dxa"/>
            <w:left w:w="15" w:type="dxa"/>
            <w:bottom w:w="15" w:type="dxa"/>
            <w:right w:w="15" w:type="dxa"/>
          </w:tblCellMar>
        </w:tblPrEx>
        <w:trPr>
          <w:trHeight w:val="88" w:hRule="atLeast"/>
          <w:jc w:val="center"/>
        </w:trPr>
        <w:tc>
          <w:tcPr>
            <w:tcW w:w="567" w:type="dxa"/>
            <w:vMerge w:val="restart"/>
            <w:tcBorders>
              <w:top w:val="single" w:color="000000" w:sz="4" w:space="0"/>
              <w:left w:val="single" w:color="000000" w:sz="4" w:space="0"/>
              <w:bottom w:val="single" w:color="000000" w:sz="4" w:space="0"/>
              <w:right w:val="single" w:color="000000" w:sz="4" w:space="0"/>
            </w:tcBorders>
            <w:noWrap w:val="0"/>
            <w:vAlign w:val="center"/>
          </w:tcPr>
          <w:p w14:paraId="1D7D0AE8">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厨房</w:t>
            </w:r>
          </w:p>
          <w:p w14:paraId="59415F9E">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精细化管理27分</w:t>
            </w:r>
          </w:p>
        </w:tc>
        <w:tc>
          <w:tcPr>
            <w:tcW w:w="851" w:type="dxa"/>
            <w:vMerge w:val="restart"/>
            <w:tcBorders>
              <w:top w:val="single" w:color="000000" w:sz="4" w:space="0"/>
              <w:left w:val="single" w:color="000000" w:sz="4" w:space="0"/>
              <w:bottom w:val="single" w:color="000000" w:sz="4" w:space="0"/>
              <w:right w:val="single" w:color="000000" w:sz="4" w:space="0"/>
            </w:tcBorders>
            <w:noWrap w:val="0"/>
            <w:vAlign w:val="center"/>
          </w:tcPr>
          <w:p w14:paraId="16A29AE7">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切配</w:t>
            </w:r>
          </w:p>
          <w:p w14:paraId="7753DD2C">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间</w:t>
            </w: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210644C4">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原材料要走相应通道，进入切配间。</w:t>
            </w:r>
          </w:p>
        </w:tc>
        <w:tc>
          <w:tcPr>
            <w:tcW w:w="709" w:type="dxa"/>
            <w:vMerge w:val="restart"/>
            <w:tcBorders>
              <w:top w:val="single" w:color="000000" w:sz="4" w:space="0"/>
              <w:left w:val="single" w:color="000000" w:sz="4" w:space="0"/>
              <w:bottom w:val="single" w:color="000000" w:sz="4" w:space="0"/>
              <w:right w:val="single" w:color="000000" w:sz="4" w:space="0"/>
            </w:tcBorders>
            <w:noWrap w:val="0"/>
            <w:vAlign w:val="center"/>
          </w:tcPr>
          <w:p w14:paraId="7652DAFF">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7.5</w:t>
            </w:r>
          </w:p>
        </w:tc>
        <w:tc>
          <w:tcPr>
            <w:tcW w:w="1107" w:type="dxa"/>
            <w:vMerge w:val="restart"/>
            <w:tcBorders>
              <w:top w:val="single" w:color="000000" w:sz="4" w:space="0"/>
              <w:left w:val="single" w:color="000000" w:sz="4" w:space="0"/>
              <w:bottom w:val="single" w:color="000000" w:sz="4" w:space="0"/>
              <w:right w:val="single" w:color="000000" w:sz="4" w:space="0"/>
            </w:tcBorders>
            <w:noWrap w:val="0"/>
            <w:vAlign w:val="center"/>
          </w:tcPr>
          <w:p w14:paraId="13752CDB">
            <w:pPr>
              <w:widowControl/>
              <w:snapToGrid w:val="0"/>
              <w:jc w:val="center"/>
              <w:rPr>
                <w:rFonts w:hint="eastAsia" w:ascii="仿宋" w:hAnsi="仿宋" w:eastAsia="仿宋" w:cs="仿宋"/>
                <w:szCs w:val="21"/>
              </w:rPr>
            </w:pPr>
          </w:p>
        </w:tc>
      </w:tr>
      <w:tr w14:paraId="7A959AB4">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225DAE">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D19C76">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0B786D2A">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蔬菜、肉类要进行分区清洗。</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B73E93">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89FB43">
            <w:pPr>
              <w:widowControl/>
              <w:snapToGrid w:val="0"/>
              <w:jc w:val="center"/>
              <w:rPr>
                <w:rFonts w:hint="eastAsia" w:ascii="仿宋" w:hAnsi="仿宋" w:eastAsia="仿宋" w:cs="仿宋"/>
                <w:szCs w:val="21"/>
              </w:rPr>
            </w:pPr>
          </w:p>
        </w:tc>
      </w:tr>
      <w:tr w14:paraId="68F435F8">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BB865F">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334B20">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6610BAD5">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粗加工工序：一摘二洗三浸泡四清五切，抽样或普检无泥沙及异物。</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39B912">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6DC4A5">
            <w:pPr>
              <w:widowControl/>
              <w:snapToGrid w:val="0"/>
              <w:jc w:val="center"/>
              <w:rPr>
                <w:rFonts w:hint="eastAsia" w:ascii="仿宋" w:hAnsi="仿宋" w:eastAsia="仿宋" w:cs="仿宋"/>
                <w:szCs w:val="21"/>
              </w:rPr>
            </w:pPr>
          </w:p>
        </w:tc>
      </w:tr>
      <w:tr w14:paraId="5434015A">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823902">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732545">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0F7B6303">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蔬菜、肉类要使用不同的砧板和刀具。</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39304F">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0B5334">
            <w:pPr>
              <w:widowControl/>
              <w:snapToGrid w:val="0"/>
              <w:jc w:val="center"/>
              <w:rPr>
                <w:rFonts w:hint="eastAsia" w:ascii="仿宋" w:hAnsi="仿宋" w:eastAsia="仿宋" w:cs="仿宋"/>
                <w:szCs w:val="21"/>
              </w:rPr>
            </w:pPr>
          </w:p>
        </w:tc>
      </w:tr>
      <w:tr w14:paraId="3A1010A6">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A45BC0">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319682">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166FBD8D">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洗净蔬菜、肉类要按规定使用不同器具盛放。</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382495">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C9B989">
            <w:pPr>
              <w:widowControl/>
              <w:snapToGrid w:val="0"/>
              <w:jc w:val="center"/>
              <w:rPr>
                <w:rFonts w:hint="eastAsia" w:ascii="仿宋" w:hAnsi="仿宋" w:eastAsia="仿宋" w:cs="仿宋"/>
                <w:szCs w:val="21"/>
              </w:rPr>
            </w:pPr>
          </w:p>
        </w:tc>
      </w:tr>
      <w:tr w14:paraId="1FC44D45">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0C44FF">
            <w:pPr>
              <w:widowControl/>
              <w:snapToGrid w:val="0"/>
              <w:jc w:val="center"/>
              <w:rPr>
                <w:rFonts w:hint="eastAsia" w:ascii="仿宋" w:hAnsi="仿宋" w:eastAsia="仿宋" w:cs="仿宋"/>
                <w:szCs w:val="21"/>
              </w:rPr>
            </w:pPr>
          </w:p>
        </w:tc>
        <w:tc>
          <w:tcPr>
            <w:tcW w:w="851" w:type="dxa"/>
            <w:vMerge w:val="restart"/>
            <w:tcBorders>
              <w:top w:val="single" w:color="000000" w:sz="4" w:space="0"/>
              <w:left w:val="single" w:color="000000" w:sz="4" w:space="0"/>
              <w:bottom w:val="single" w:color="000000" w:sz="4" w:space="0"/>
              <w:right w:val="single" w:color="000000" w:sz="4" w:space="0"/>
            </w:tcBorders>
            <w:noWrap w:val="0"/>
            <w:vAlign w:val="center"/>
          </w:tcPr>
          <w:p w14:paraId="4D74F2CA">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面食</w:t>
            </w:r>
          </w:p>
          <w:p w14:paraId="5CF0A325">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间</w:t>
            </w: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17278F39">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面食间用具要和其他操作间用具分开。</w:t>
            </w:r>
          </w:p>
        </w:tc>
        <w:tc>
          <w:tcPr>
            <w:tcW w:w="709" w:type="dxa"/>
            <w:vMerge w:val="restart"/>
            <w:tcBorders>
              <w:top w:val="single" w:color="000000" w:sz="4" w:space="0"/>
              <w:left w:val="single" w:color="000000" w:sz="4" w:space="0"/>
              <w:bottom w:val="single" w:color="000000" w:sz="4" w:space="0"/>
              <w:right w:val="single" w:color="000000" w:sz="4" w:space="0"/>
            </w:tcBorders>
            <w:noWrap w:val="0"/>
            <w:vAlign w:val="center"/>
          </w:tcPr>
          <w:p w14:paraId="3A7DB127">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4.5</w:t>
            </w:r>
          </w:p>
        </w:tc>
        <w:tc>
          <w:tcPr>
            <w:tcW w:w="1107" w:type="dxa"/>
            <w:vMerge w:val="restart"/>
            <w:tcBorders>
              <w:top w:val="single" w:color="000000" w:sz="4" w:space="0"/>
              <w:left w:val="single" w:color="000000" w:sz="4" w:space="0"/>
              <w:bottom w:val="single" w:color="000000" w:sz="4" w:space="0"/>
              <w:right w:val="single" w:color="000000" w:sz="4" w:space="0"/>
            </w:tcBorders>
            <w:noWrap w:val="0"/>
            <w:vAlign w:val="center"/>
          </w:tcPr>
          <w:p w14:paraId="1693BE39">
            <w:pPr>
              <w:widowControl/>
              <w:snapToGrid w:val="0"/>
              <w:jc w:val="center"/>
              <w:rPr>
                <w:rFonts w:hint="eastAsia" w:ascii="仿宋" w:hAnsi="仿宋" w:eastAsia="仿宋" w:cs="仿宋"/>
                <w:szCs w:val="21"/>
              </w:rPr>
            </w:pPr>
          </w:p>
        </w:tc>
      </w:tr>
      <w:tr w14:paraId="1DB9CCA8">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A56BD4">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399F3B">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2D00C52D">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馅料类半成品要按规定密封，和其他原材料分开存放。</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C64174">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2F26ED">
            <w:pPr>
              <w:widowControl/>
              <w:snapToGrid w:val="0"/>
              <w:jc w:val="center"/>
              <w:rPr>
                <w:rFonts w:hint="eastAsia" w:ascii="仿宋" w:hAnsi="仿宋" w:eastAsia="仿宋" w:cs="仿宋"/>
                <w:szCs w:val="21"/>
              </w:rPr>
            </w:pPr>
          </w:p>
        </w:tc>
      </w:tr>
      <w:tr w14:paraId="4E293B20">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10A7E3">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028656">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489BE93C">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生、熟食品进行分区存放。</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A58BEC">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752E61">
            <w:pPr>
              <w:widowControl/>
              <w:snapToGrid w:val="0"/>
              <w:jc w:val="center"/>
              <w:rPr>
                <w:rFonts w:hint="eastAsia" w:ascii="仿宋" w:hAnsi="仿宋" w:eastAsia="仿宋" w:cs="仿宋"/>
                <w:szCs w:val="21"/>
              </w:rPr>
            </w:pPr>
          </w:p>
        </w:tc>
      </w:tr>
      <w:tr w14:paraId="4AC6750E">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8BDD24">
            <w:pPr>
              <w:widowControl/>
              <w:snapToGrid w:val="0"/>
              <w:jc w:val="center"/>
              <w:rPr>
                <w:rFonts w:hint="eastAsia" w:ascii="仿宋" w:hAnsi="仿宋" w:eastAsia="仿宋" w:cs="仿宋"/>
                <w:szCs w:val="21"/>
              </w:rPr>
            </w:pPr>
          </w:p>
        </w:tc>
        <w:tc>
          <w:tcPr>
            <w:tcW w:w="851" w:type="dxa"/>
            <w:vMerge w:val="restart"/>
            <w:tcBorders>
              <w:top w:val="single" w:color="000000" w:sz="4" w:space="0"/>
              <w:left w:val="single" w:color="000000" w:sz="4" w:space="0"/>
              <w:bottom w:val="single" w:color="000000" w:sz="4" w:space="0"/>
              <w:right w:val="single" w:color="000000" w:sz="4" w:space="0"/>
            </w:tcBorders>
            <w:noWrap w:val="0"/>
            <w:vAlign w:val="center"/>
          </w:tcPr>
          <w:p w14:paraId="73A39FC2">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灶台</w:t>
            </w:r>
          </w:p>
          <w:p w14:paraId="04E5FF8A">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间</w:t>
            </w: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298C6530">
            <w:pPr>
              <w:widowControl/>
              <w:snapToGrid w:val="0"/>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调料按指定区域存放，拆封调料隔夜存放要进行密封处</w:t>
            </w:r>
          </w:p>
          <w:p w14:paraId="50739D39">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理（加盖或保鲜膜）。</w:t>
            </w:r>
          </w:p>
        </w:tc>
        <w:tc>
          <w:tcPr>
            <w:tcW w:w="709" w:type="dxa"/>
            <w:vMerge w:val="restart"/>
            <w:tcBorders>
              <w:top w:val="single" w:color="000000" w:sz="4" w:space="0"/>
              <w:left w:val="single" w:color="000000" w:sz="4" w:space="0"/>
              <w:right w:val="single" w:color="000000" w:sz="4" w:space="0"/>
            </w:tcBorders>
            <w:noWrap w:val="0"/>
            <w:vAlign w:val="center"/>
          </w:tcPr>
          <w:p w14:paraId="6A784FDC">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4.5</w:t>
            </w:r>
          </w:p>
        </w:tc>
        <w:tc>
          <w:tcPr>
            <w:tcW w:w="1107" w:type="dxa"/>
            <w:vMerge w:val="restart"/>
            <w:tcBorders>
              <w:top w:val="single" w:color="000000" w:sz="4" w:space="0"/>
              <w:left w:val="single" w:color="000000" w:sz="4" w:space="0"/>
              <w:right w:val="single" w:color="000000" w:sz="4" w:space="0"/>
            </w:tcBorders>
            <w:noWrap w:val="0"/>
            <w:vAlign w:val="center"/>
          </w:tcPr>
          <w:p w14:paraId="442D86C4">
            <w:pPr>
              <w:widowControl/>
              <w:snapToGrid w:val="0"/>
              <w:jc w:val="center"/>
              <w:rPr>
                <w:rFonts w:hint="eastAsia" w:ascii="仿宋" w:hAnsi="仿宋" w:eastAsia="仿宋" w:cs="仿宋"/>
                <w:szCs w:val="21"/>
              </w:rPr>
            </w:pPr>
          </w:p>
        </w:tc>
      </w:tr>
      <w:tr w14:paraId="5CB0370D">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C23A6C">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02AA2C">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4E622506">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操作期间保持灶台整洁清洁。</w:t>
            </w:r>
          </w:p>
        </w:tc>
        <w:tc>
          <w:tcPr>
            <w:tcW w:w="709" w:type="dxa"/>
            <w:vMerge w:val="continue"/>
            <w:tcBorders>
              <w:top w:val="single" w:color="000000" w:sz="4" w:space="0"/>
              <w:left w:val="single" w:color="000000" w:sz="4" w:space="0"/>
              <w:right w:val="single" w:color="000000" w:sz="4" w:space="0"/>
            </w:tcBorders>
            <w:noWrap w:val="0"/>
            <w:vAlign w:val="center"/>
          </w:tcPr>
          <w:p w14:paraId="5054C9CB">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right w:val="single" w:color="000000" w:sz="4" w:space="0"/>
            </w:tcBorders>
            <w:noWrap w:val="0"/>
            <w:vAlign w:val="center"/>
          </w:tcPr>
          <w:p w14:paraId="51D7EE20">
            <w:pPr>
              <w:widowControl/>
              <w:snapToGrid w:val="0"/>
              <w:jc w:val="center"/>
              <w:rPr>
                <w:rFonts w:hint="eastAsia" w:ascii="仿宋" w:hAnsi="仿宋" w:eastAsia="仿宋" w:cs="仿宋"/>
                <w:szCs w:val="21"/>
              </w:rPr>
            </w:pPr>
          </w:p>
        </w:tc>
      </w:tr>
      <w:tr w14:paraId="78E30CB0">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4AC1FC">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8C05C2">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3AF58374">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制作菜肴符合健康饮食要求，低盐低油。</w:t>
            </w:r>
          </w:p>
        </w:tc>
        <w:tc>
          <w:tcPr>
            <w:tcW w:w="709" w:type="dxa"/>
            <w:vMerge w:val="continue"/>
            <w:tcBorders>
              <w:top w:val="single" w:color="000000" w:sz="4" w:space="0"/>
              <w:left w:val="single" w:color="000000" w:sz="4" w:space="0"/>
              <w:right w:val="single" w:color="000000" w:sz="4" w:space="0"/>
            </w:tcBorders>
            <w:noWrap w:val="0"/>
            <w:vAlign w:val="center"/>
          </w:tcPr>
          <w:p w14:paraId="2A42CBA5">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right w:val="single" w:color="000000" w:sz="4" w:space="0"/>
            </w:tcBorders>
            <w:noWrap w:val="0"/>
            <w:vAlign w:val="center"/>
          </w:tcPr>
          <w:p w14:paraId="1CC4B2C5">
            <w:pPr>
              <w:widowControl/>
              <w:snapToGrid w:val="0"/>
              <w:jc w:val="center"/>
              <w:rPr>
                <w:rFonts w:hint="eastAsia" w:ascii="仿宋" w:hAnsi="仿宋" w:eastAsia="仿宋" w:cs="仿宋"/>
                <w:szCs w:val="21"/>
              </w:rPr>
            </w:pPr>
          </w:p>
        </w:tc>
      </w:tr>
      <w:tr w14:paraId="646AAE62">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2F6203">
            <w:pPr>
              <w:widowControl/>
              <w:snapToGrid w:val="0"/>
              <w:jc w:val="center"/>
              <w:rPr>
                <w:rFonts w:hint="eastAsia" w:ascii="仿宋" w:hAnsi="仿宋" w:eastAsia="仿宋" w:cs="仿宋"/>
                <w:szCs w:val="21"/>
              </w:rPr>
            </w:pPr>
          </w:p>
        </w:tc>
        <w:tc>
          <w:tcPr>
            <w:tcW w:w="851" w:type="dxa"/>
            <w:vMerge w:val="restart"/>
            <w:tcBorders>
              <w:top w:val="single" w:color="000000" w:sz="4" w:space="0"/>
              <w:left w:val="single" w:color="000000" w:sz="4" w:space="0"/>
              <w:bottom w:val="single" w:color="000000" w:sz="4" w:space="0"/>
              <w:right w:val="single" w:color="000000" w:sz="4" w:space="0"/>
            </w:tcBorders>
            <w:noWrap w:val="0"/>
            <w:vAlign w:val="center"/>
          </w:tcPr>
          <w:p w14:paraId="1DEEF1CD">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冷菜</w:t>
            </w:r>
          </w:p>
          <w:p w14:paraId="508A9E0C">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间、水果间</w:t>
            </w: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17F099CE">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室温控制在22度以下。</w:t>
            </w:r>
          </w:p>
        </w:tc>
        <w:tc>
          <w:tcPr>
            <w:tcW w:w="709" w:type="dxa"/>
            <w:vMerge w:val="restart"/>
            <w:tcBorders>
              <w:top w:val="single" w:color="000000" w:sz="4" w:space="0"/>
              <w:left w:val="single" w:color="000000" w:sz="4" w:space="0"/>
              <w:bottom w:val="single" w:color="000000" w:sz="4" w:space="0"/>
              <w:right w:val="single" w:color="000000" w:sz="4" w:space="0"/>
            </w:tcBorders>
            <w:noWrap w:val="0"/>
            <w:vAlign w:val="center"/>
          </w:tcPr>
          <w:p w14:paraId="17871721">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4.5</w:t>
            </w:r>
          </w:p>
        </w:tc>
        <w:tc>
          <w:tcPr>
            <w:tcW w:w="1107" w:type="dxa"/>
            <w:vMerge w:val="restart"/>
            <w:tcBorders>
              <w:top w:val="single" w:color="000000" w:sz="4" w:space="0"/>
              <w:left w:val="single" w:color="000000" w:sz="4" w:space="0"/>
              <w:bottom w:val="single" w:color="000000" w:sz="4" w:space="0"/>
              <w:right w:val="single" w:color="000000" w:sz="4" w:space="0"/>
            </w:tcBorders>
            <w:noWrap w:val="0"/>
            <w:vAlign w:val="center"/>
          </w:tcPr>
          <w:p w14:paraId="69D40A66">
            <w:pPr>
              <w:widowControl/>
              <w:snapToGrid w:val="0"/>
              <w:jc w:val="center"/>
              <w:rPr>
                <w:rFonts w:hint="eastAsia" w:ascii="仿宋" w:hAnsi="仿宋" w:eastAsia="仿宋" w:cs="仿宋"/>
                <w:szCs w:val="21"/>
              </w:rPr>
            </w:pPr>
          </w:p>
        </w:tc>
      </w:tr>
      <w:tr w14:paraId="5F08522C">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FC5D05">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7824AD">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152E0646">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人进入冷菜间要进行二次洗手、消毒，并更衣。</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35D136">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DA0DDB">
            <w:pPr>
              <w:widowControl/>
              <w:snapToGrid w:val="0"/>
              <w:jc w:val="center"/>
              <w:rPr>
                <w:rFonts w:hint="eastAsia" w:ascii="仿宋" w:hAnsi="仿宋" w:eastAsia="仿宋" w:cs="仿宋"/>
                <w:szCs w:val="21"/>
              </w:rPr>
            </w:pPr>
          </w:p>
        </w:tc>
      </w:tr>
      <w:tr w14:paraId="10AA0A5A">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8CF703">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FE6046">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0AC3CB64">
            <w:pPr>
              <w:widowControl/>
              <w:snapToGrid w:val="0"/>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冷菜间制作要求：五专原则--专人、专室、专用工具、</w:t>
            </w:r>
          </w:p>
          <w:p w14:paraId="02DA2F9A">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专用消毒设备、专用冷藏设备。</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F81E4F">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D0921E">
            <w:pPr>
              <w:widowControl/>
              <w:snapToGrid w:val="0"/>
              <w:jc w:val="center"/>
              <w:rPr>
                <w:rFonts w:hint="eastAsia" w:ascii="仿宋" w:hAnsi="仿宋" w:eastAsia="仿宋" w:cs="仿宋"/>
                <w:szCs w:val="21"/>
              </w:rPr>
            </w:pPr>
          </w:p>
        </w:tc>
      </w:tr>
      <w:tr w14:paraId="5B0C3AFE">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2DE4C8">
            <w:pPr>
              <w:widowControl/>
              <w:snapToGrid w:val="0"/>
              <w:jc w:val="center"/>
              <w:rPr>
                <w:rFonts w:hint="eastAsia" w:ascii="仿宋" w:hAnsi="仿宋" w:eastAsia="仿宋" w:cs="仿宋"/>
                <w:szCs w:val="21"/>
              </w:rPr>
            </w:pPr>
          </w:p>
        </w:tc>
        <w:tc>
          <w:tcPr>
            <w:tcW w:w="851" w:type="dxa"/>
            <w:vMerge w:val="restart"/>
            <w:tcBorders>
              <w:top w:val="single" w:color="000000" w:sz="4" w:space="0"/>
              <w:left w:val="single" w:color="000000" w:sz="4" w:space="0"/>
              <w:bottom w:val="single" w:color="000000" w:sz="4" w:space="0"/>
              <w:right w:val="single" w:color="000000" w:sz="4" w:space="0"/>
            </w:tcBorders>
            <w:noWrap w:val="0"/>
            <w:vAlign w:val="center"/>
          </w:tcPr>
          <w:p w14:paraId="5F91BADE">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洗碗</w:t>
            </w:r>
          </w:p>
          <w:p w14:paraId="3976BF7C">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间</w:t>
            </w: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587FC752">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餐具按规定分区进行清洁。</w:t>
            </w:r>
          </w:p>
        </w:tc>
        <w:tc>
          <w:tcPr>
            <w:tcW w:w="709" w:type="dxa"/>
            <w:vMerge w:val="restart"/>
            <w:tcBorders>
              <w:top w:val="single" w:color="000000" w:sz="4" w:space="0"/>
              <w:left w:val="single" w:color="000000" w:sz="4" w:space="0"/>
              <w:bottom w:val="single" w:color="000000" w:sz="4" w:space="0"/>
              <w:right w:val="single" w:color="000000" w:sz="4" w:space="0"/>
            </w:tcBorders>
            <w:noWrap w:val="0"/>
            <w:vAlign w:val="center"/>
          </w:tcPr>
          <w:p w14:paraId="678CE90A">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4</w:t>
            </w:r>
          </w:p>
        </w:tc>
        <w:tc>
          <w:tcPr>
            <w:tcW w:w="1107" w:type="dxa"/>
            <w:vMerge w:val="restart"/>
            <w:tcBorders>
              <w:top w:val="single" w:color="000000" w:sz="4" w:space="0"/>
              <w:left w:val="single" w:color="000000" w:sz="4" w:space="0"/>
              <w:bottom w:val="single" w:color="000000" w:sz="4" w:space="0"/>
              <w:right w:val="single" w:color="000000" w:sz="4" w:space="0"/>
            </w:tcBorders>
            <w:noWrap w:val="0"/>
            <w:vAlign w:val="center"/>
          </w:tcPr>
          <w:p w14:paraId="64F33CC4">
            <w:pPr>
              <w:widowControl/>
              <w:snapToGrid w:val="0"/>
              <w:jc w:val="center"/>
              <w:rPr>
                <w:rFonts w:hint="eastAsia" w:ascii="仿宋" w:hAnsi="仿宋" w:eastAsia="仿宋" w:cs="仿宋"/>
                <w:szCs w:val="21"/>
              </w:rPr>
            </w:pPr>
          </w:p>
        </w:tc>
      </w:tr>
      <w:tr w14:paraId="6DB9B6E6">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80E4D7">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978BBB">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01EC4545">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餐具洗消要求：一刮二刷三冲四消五保洁，抽检或普检，干净合格。</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DBC22A">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BC2012">
            <w:pPr>
              <w:widowControl/>
              <w:snapToGrid w:val="0"/>
              <w:jc w:val="center"/>
              <w:rPr>
                <w:rFonts w:hint="eastAsia" w:ascii="仿宋" w:hAnsi="仿宋" w:eastAsia="仿宋" w:cs="仿宋"/>
                <w:szCs w:val="21"/>
              </w:rPr>
            </w:pPr>
          </w:p>
        </w:tc>
      </w:tr>
      <w:tr w14:paraId="5F7BCFC7">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6E23B9">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43B9DF">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04480A11">
            <w:pPr>
              <w:widowControl/>
              <w:snapToGrid w:val="0"/>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半成品和成品器皿的洗消要求：一刮二刷三冲四消五保</w:t>
            </w:r>
          </w:p>
          <w:p w14:paraId="237E51FF">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洁，抽检或普检干净合格。</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4348B9">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30449E">
            <w:pPr>
              <w:widowControl/>
              <w:snapToGrid w:val="0"/>
              <w:jc w:val="center"/>
              <w:rPr>
                <w:rFonts w:hint="eastAsia" w:ascii="仿宋" w:hAnsi="仿宋" w:eastAsia="仿宋" w:cs="仿宋"/>
                <w:szCs w:val="21"/>
              </w:rPr>
            </w:pPr>
          </w:p>
        </w:tc>
      </w:tr>
      <w:tr w14:paraId="3108199F">
        <w:tblPrEx>
          <w:tblCellMar>
            <w:top w:w="15" w:type="dxa"/>
            <w:left w:w="15" w:type="dxa"/>
            <w:bottom w:w="15" w:type="dxa"/>
            <w:right w:w="15" w:type="dxa"/>
          </w:tblCellMar>
        </w:tblPrEx>
        <w:trPr>
          <w:trHeight w:val="88" w:hRule="atLeast"/>
          <w:jc w:val="center"/>
        </w:trPr>
        <w:tc>
          <w:tcPr>
            <w:tcW w:w="5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53ECBE">
            <w:pPr>
              <w:widowControl/>
              <w:snapToGrid w:val="0"/>
              <w:jc w:val="center"/>
              <w:rPr>
                <w:rFonts w:hint="eastAsia" w:ascii="仿宋" w:hAnsi="仿宋" w:eastAsia="仿宋" w:cs="仿宋"/>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F15A45">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367DD138">
            <w:pPr>
              <w:widowControl/>
              <w:snapToGrid w:val="0"/>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各餐具按标识摆放区域进行存放，并做防尘处理，避免</w:t>
            </w:r>
          </w:p>
          <w:p w14:paraId="75F7D7AA">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二次污染。</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8DD6A6">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F1CBC8">
            <w:pPr>
              <w:widowControl/>
              <w:snapToGrid w:val="0"/>
              <w:jc w:val="center"/>
              <w:rPr>
                <w:rFonts w:hint="eastAsia" w:ascii="仿宋" w:hAnsi="仿宋" w:eastAsia="仿宋" w:cs="仿宋"/>
                <w:szCs w:val="21"/>
              </w:rPr>
            </w:pPr>
          </w:p>
        </w:tc>
      </w:tr>
      <w:tr w14:paraId="35D97229">
        <w:tblPrEx>
          <w:tblCellMar>
            <w:top w:w="15" w:type="dxa"/>
            <w:left w:w="15" w:type="dxa"/>
            <w:bottom w:w="15" w:type="dxa"/>
            <w:right w:w="15" w:type="dxa"/>
          </w:tblCellMar>
        </w:tblPrEx>
        <w:trPr>
          <w:trHeight w:val="88" w:hRule="atLeast"/>
          <w:jc w:val="center"/>
        </w:trPr>
        <w:tc>
          <w:tcPr>
            <w:tcW w:w="1418"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60CA306A">
            <w:pPr>
              <w:widowControl/>
              <w:snapToGrid w:val="0"/>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餐厅形象和</w:t>
            </w:r>
          </w:p>
          <w:p w14:paraId="159339AC">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投诉4分</w:t>
            </w: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0CBED567">
            <w:pPr>
              <w:widowControl/>
              <w:snapToGrid w:val="0"/>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定期巡检前厅各处及门、窗、餐椅等，餐桌椅和物品摆</w:t>
            </w:r>
          </w:p>
          <w:p w14:paraId="703ECE60">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放整齐干净，如发现问题及时报修或采取相应措施。</w:t>
            </w:r>
          </w:p>
        </w:tc>
        <w:tc>
          <w:tcPr>
            <w:tcW w:w="709" w:type="dxa"/>
            <w:vMerge w:val="restart"/>
            <w:tcBorders>
              <w:top w:val="single" w:color="000000" w:sz="4" w:space="0"/>
              <w:left w:val="single" w:color="000000" w:sz="4" w:space="0"/>
              <w:bottom w:val="single" w:color="000000" w:sz="4" w:space="0"/>
              <w:right w:val="single" w:color="000000" w:sz="4" w:space="0"/>
            </w:tcBorders>
            <w:noWrap w:val="0"/>
            <w:vAlign w:val="center"/>
          </w:tcPr>
          <w:p w14:paraId="6DA050E3">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4</w:t>
            </w:r>
          </w:p>
        </w:tc>
        <w:tc>
          <w:tcPr>
            <w:tcW w:w="1107" w:type="dxa"/>
            <w:vMerge w:val="restart"/>
            <w:tcBorders>
              <w:top w:val="single" w:color="000000" w:sz="4" w:space="0"/>
              <w:left w:val="single" w:color="000000" w:sz="4" w:space="0"/>
              <w:bottom w:val="single" w:color="000000" w:sz="4" w:space="0"/>
              <w:right w:val="single" w:color="000000" w:sz="4" w:space="0"/>
            </w:tcBorders>
            <w:noWrap w:val="0"/>
            <w:vAlign w:val="center"/>
          </w:tcPr>
          <w:p w14:paraId="2AF53FE2">
            <w:pPr>
              <w:widowControl/>
              <w:snapToGrid w:val="0"/>
              <w:jc w:val="center"/>
              <w:rPr>
                <w:rFonts w:hint="eastAsia" w:ascii="仿宋" w:hAnsi="仿宋" w:eastAsia="仿宋" w:cs="仿宋"/>
                <w:szCs w:val="21"/>
              </w:rPr>
            </w:pPr>
          </w:p>
        </w:tc>
      </w:tr>
      <w:tr w14:paraId="14E2634A">
        <w:tblPrEx>
          <w:tblCellMar>
            <w:top w:w="15" w:type="dxa"/>
            <w:left w:w="15" w:type="dxa"/>
            <w:bottom w:w="15" w:type="dxa"/>
            <w:right w:w="15" w:type="dxa"/>
          </w:tblCellMar>
        </w:tblPrEx>
        <w:trPr>
          <w:trHeight w:val="88" w:hRule="atLeast"/>
          <w:jc w:val="center"/>
        </w:trPr>
        <w:tc>
          <w:tcPr>
            <w:tcW w:w="1418"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190F2C9F">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7619AB80">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不得在任何墙体、桌面等明显的地方张贴纸张。</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32CC63">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7C8E96">
            <w:pPr>
              <w:widowControl/>
              <w:snapToGrid w:val="0"/>
              <w:jc w:val="center"/>
              <w:rPr>
                <w:rFonts w:hint="eastAsia" w:ascii="仿宋" w:hAnsi="仿宋" w:eastAsia="仿宋" w:cs="仿宋"/>
                <w:szCs w:val="21"/>
              </w:rPr>
            </w:pPr>
          </w:p>
        </w:tc>
      </w:tr>
      <w:tr w14:paraId="06112081">
        <w:tblPrEx>
          <w:tblCellMar>
            <w:top w:w="15" w:type="dxa"/>
            <w:left w:w="15" w:type="dxa"/>
            <w:bottom w:w="15" w:type="dxa"/>
            <w:right w:w="15" w:type="dxa"/>
          </w:tblCellMar>
        </w:tblPrEx>
        <w:trPr>
          <w:trHeight w:val="88" w:hRule="atLeast"/>
          <w:jc w:val="center"/>
        </w:trPr>
        <w:tc>
          <w:tcPr>
            <w:tcW w:w="1418"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2283474">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2D600FE7">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危及人身安全的区域要设置明显标志，并有防范措施。做好危险警告标志及防范措施。</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CBC651">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02756F">
            <w:pPr>
              <w:widowControl/>
              <w:snapToGrid w:val="0"/>
              <w:jc w:val="center"/>
              <w:rPr>
                <w:rFonts w:hint="eastAsia" w:ascii="仿宋" w:hAnsi="仿宋" w:eastAsia="仿宋" w:cs="仿宋"/>
                <w:szCs w:val="21"/>
              </w:rPr>
            </w:pPr>
          </w:p>
        </w:tc>
      </w:tr>
      <w:tr w14:paraId="4EF6A357">
        <w:tblPrEx>
          <w:tblCellMar>
            <w:top w:w="15" w:type="dxa"/>
            <w:left w:w="15" w:type="dxa"/>
            <w:bottom w:w="15" w:type="dxa"/>
            <w:right w:w="15" w:type="dxa"/>
          </w:tblCellMar>
        </w:tblPrEx>
        <w:trPr>
          <w:trHeight w:val="88" w:hRule="atLeast"/>
          <w:jc w:val="center"/>
        </w:trPr>
        <w:tc>
          <w:tcPr>
            <w:tcW w:w="1418"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438FC52">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630C0CA9">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委托方接到重要投诉。</w:t>
            </w: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7BE8E5">
            <w:pPr>
              <w:widowControl/>
              <w:snapToGrid w:val="0"/>
              <w:jc w:val="center"/>
              <w:rPr>
                <w:rFonts w:hint="eastAsia" w:ascii="仿宋" w:hAnsi="仿宋" w:eastAsia="仿宋" w:cs="仿宋"/>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672664">
            <w:pPr>
              <w:widowControl/>
              <w:snapToGrid w:val="0"/>
              <w:jc w:val="center"/>
              <w:rPr>
                <w:rFonts w:hint="eastAsia" w:ascii="仿宋" w:hAnsi="仿宋" w:eastAsia="仿宋" w:cs="仿宋"/>
                <w:szCs w:val="21"/>
              </w:rPr>
            </w:pPr>
          </w:p>
        </w:tc>
      </w:tr>
      <w:tr w14:paraId="6FC7B78F">
        <w:tblPrEx>
          <w:tblCellMar>
            <w:top w:w="15" w:type="dxa"/>
            <w:left w:w="15" w:type="dxa"/>
            <w:bottom w:w="15" w:type="dxa"/>
            <w:right w:w="15" w:type="dxa"/>
          </w:tblCellMar>
        </w:tblPrEx>
        <w:trPr>
          <w:trHeight w:val="88" w:hRule="atLeast"/>
          <w:jc w:val="center"/>
        </w:trPr>
        <w:tc>
          <w:tcPr>
            <w:tcW w:w="1418" w:type="dxa"/>
            <w:gridSpan w:val="2"/>
            <w:tcBorders>
              <w:top w:val="single" w:color="000000" w:sz="4" w:space="0"/>
              <w:left w:val="single" w:color="000000" w:sz="4" w:space="0"/>
              <w:bottom w:val="single" w:color="000000" w:sz="4" w:space="0"/>
              <w:right w:val="single" w:color="000000" w:sz="4" w:space="0"/>
            </w:tcBorders>
            <w:noWrap w:val="0"/>
            <w:vAlign w:val="center"/>
          </w:tcPr>
          <w:p w14:paraId="75BBF986">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合计</w:t>
            </w: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4E394EE6">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备注：同一扣分点出现问题，可重复扣分，直至该模块分值扣完为止。</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FFEBD97">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100</w:t>
            </w:r>
          </w:p>
        </w:tc>
        <w:tc>
          <w:tcPr>
            <w:tcW w:w="1107" w:type="dxa"/>
            <w:tcBorders>
              <w:top w:val="single" w:color="000000" w:sz="4" w:space="0"/>
              <w:left w:val="single" w:color="000000" w:sz="4" w:space="0"/>
              <w:bottom w:val="single" w:color="000000" w:sz="4" w:space="0"/>
              <w:right w:val="single" w:color="000000" w:sz="4" w:space="0"/>
            </w:tcBorders>
            <w:noWrap w:val="0"/>
            <w:vAlign w:val="center"/>
          </w:tcPr>
          <w:p w14:paraId="0EB1A9B8">
            <w:pPr>
              <w:widowControl/>
              <w:snapToGrid w:val="0"/>
              <w:rPr>
                <w:rFonts w:hint="eastAsia" w:ascii="仿宋" w:hAnsi="仿宋" w:eastAsia="仿宋" w:cs="仿宋"/>
                <w:szCs w:val="21"/>
              </w:rPr>
            </w:pPr>
          </w:p>
        </w:tc>
      </w:tr>
      <w:tr w14:paraId="5C081435">
        <w:tblPrEx>
          <w:tblCellMar>
            <w:top w:w="15" w:type="dxa"/>
            <w:left w:w="15" w:type="dxa"/>
            <w:bottom w:w="15" w:type="dxa"/>
            <w:right w:w="15" w:type="dxa"/>
          </w:tblCellMar>
        </w:tblPrEx>
        <w:trPr>
          <w:trHeight w:val="88" w:hRule="atLeast"/>
          <w:jc w:val="center"/>
        </w:trPr>
        <w:tc>
          <w:tcPr>
            <w:tcW w:w="1418" w:type="dxa"/>
            <w:gridSpan w:val="2"/>
            <w:vMerge w:val="restart"/>
            <w:tcBorders>
              <w:top w:val="single" w:color="000000" w:sz="4" w:space="0"/>
              <w:left w:val="single" w:color="000000" w:sz="4" w:space="0"/>
              <w:right w:val="single" w:color="000000" w:sz="4" w:space="0"/>
            </w:tcBorders>
            <w:noWrap w:val="0"/>
            <w:vAlign w:val="center"/>
          </w:tcPr>
          <w:p w14:paraId="734C73F2">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加减分项</w:t>
            </w: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0A6D38CA">
            <w:pPr>
              <w:widowControl/>
              <w:snapToGrid w:val="0"/>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食堂经营范围内的服务，委托方收到用餐人的表扬，每</w:t>
            </w:r>
          </w:p>
          <w:p w14:paraId="1DE99748">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次加1分。</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2F4E0F36">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1</w:t>
            </w:r>
          </w:p>
        </w:tc>
        <w:tc>
          <w:tcPr>
            <w:tcW w:w="1107" w:type="dxa"/>
            <w:tcBorders>
              <w:top w:val="single" w:color="000000" w:sz="4" w:space="0"/>
              <w:left w:val="single" w:color="000000" w:sz="4" w:space="0"/>
              <w:bottom w:val="single" w:color="000000" w:sz="4" w:space="0"/>
              <w:right w:val="single" w:color="000000" w:sz="4" w:space="0"/>
            </w:tcBorders>
            <w:noWrap w:val="0"/>
            <w:vAlign w:val="center"/>
          </w:tcPr>
          <w:p w14:paraId="25B25550">
            <w:pPr>
              <w:widowControl/>
              <w:snapToGrid w:val="0"/>
              <w:jc w:val="center"/>
              <w:rPr>
                <w:rFonts w:hint="eastAsia" w:ascii="仿宋" w:hAnsi="仿宋" w:eastAsia="仿宋" w:cs="仿宋"/>
                <w:szCs w:val="21"/>
              </w:rPr>
            </w:pPr>
          </w:p>
        </w:tc>
      </w:tr>
      <w:tr w14:paraId="4D334395">
        <w:tblPrEx>
          <w:tblCellMar>
            <w:top w:w="15" w:type="dxa"/>
            <w:left w:w="15" w:type="dxa"/>
            <w:bottom w:w="15" w:type="dxa"/>
            <w:right w:w="15" w:type="dxa"/>
          </w:tblCellMar>
        </w:tblPrEx>
        <w:trPr>
          <w:trHeight w:val="88" w:hRule="atLeast"/>
          <w:jc w:val="center"/>
        </w:trPr>
        <w:tc>
          <w:tcPr>
            <w:tcW w:w="1418" w:type="dxa"/>
            <w:gridSpan w:val="2"/>
            <w:vMerge w:val="continue"/>
            <w:tcBorders>
              <w:left w:val="single" w:color="000000" w:sz="4" w:space="0"/>
              <w:right w:val="single" w:color="000000" w:sz="4" w:space="0"/>
            </w:tcBorders>
            <w:noWrap w:val="0"/>
            <w:vAlign w:val="center"/>
          </w:tcPr>
          <w:p w14:paraId="018D2645">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7594963E">
            <w:pPr>
              <w:widowControl/>
              <w:snapToGrid w:val="0"/>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经营范围外的行为（如见义勇为、拾金不昧），委托方</w:t>
            </w:r>
          </w:p>
          <w:p w14:paraId="012CA8C3">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收到用餐人的表扬，每次加2分。</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7CC82602">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1107" w:type="dxa"/>
            <w:tcBorders>
              <w:top w:val="single" w:color="000000" w:sz="4" w:space="0"/>
              <w:left w:val="single" w:color="000000" w:sz="4" w:space="0"/>
              <w:bottom w:val="single" w:color="000000" w:sz="4" w:space="0"/>
              <w:right w:val="single" w:color="000000" w:sz="4" w:space="0"/>
            </w:tcBorders>
            <w:noWrap w:val="0"/>
            <w:vAlign w:val="center"/>
          </w:tcPr>
          <w:p w14:paraId="57936CC5">
            <w:pPr>
              <w:widowControl/>
              <w:snapToGrid w:val="0"/>
              <w:jc w:val="center"/>
              <w:rPr>
                <w:rFonts w:hint="eastAsia" w:ascii="仿宋" w:hAnsi="仿宋" w:eastAsia="仿宋" w:cs="仿宋"/>
                <w:szCs w:val="21"/>
              </w:rPr>
            </w:pPr>
          </w:p>
        </w:tc>
      </w:tr>
      <w:tr w14:paraId="73CED5BF">
        <w:tblPrEx>
          <w:tblCellMar>
            <w:top w:w="15" w:type="dxa"/>
            <w:left w:w="15" w:type="dxa"/>
            <w:bottom w:w="15" w:type="dxa"/>
            <w:right w:w="15" w:type="dxa"/>
          </w:tblCellMar>
        </w:tblPrEx>
        <w:trPr>
          <w:trHeight w:val="88" w:hRule="atLeast"/>
          <w:jc w:val="center"/>
        </w:trPr>
        <w:tc>
          <w:tcPr>
            <w:tcW w:w="1418" w:type="dxa"/>
            <w:gridSpan w:val="2"/>
            <w:vMerge w:val="continue"/>
            <w:tcBorders>
              <w:left w:val="single" w:color="000000" w:sz="4" w:space="0"/>
              <w:right w:val="single" w:color="000000" w:sz="4" w:space="0"/>
            </w:tcBorders>
            <w:noWrap w:val="0"/>
            <w:vAlign w:val="center"/>
          </w:tcPr>
          <w:p w14:paraId="6ECAF199">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48B27938">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本项目得到市级以上的荣誉，每次加5分。</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35ECDBD6">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5</w:t>
            </w:r>
          </w:p>
        </w:tc>
        <w:tc>
          <w:tcPr>
            <w:tcW w:w="1107" w:type="dxa"/>
            <w:tcBorders>
              <w:top w:val="single" w:color="000000" w:sz="4" w:space="0"/>
              <w:left w:val="single" w:color="000000" w:sz="4" w:space="0"/>
              <w:bottom w:val="single" w:color="000000" w:sz="4" w:space="0"/>
              <w:right w:val="single" w:color="000000" w:sz="4" w:space="0"/>
            </w:tcBorders>
            <w:noWrap w:val="0"/>
            <w:vAlign w:val="center"/>
          </w:tcPr>
          <w:p w14:paraId="1D8350DD">
            <w:pPr>
              <w:widowControl/>
              <w:snapToGrid w:val="0"/>
              <w:jc w:val="center"/>
              <w:rPr>
                <w:rFonts w:hint="eastAsia" w:ascii="仿宋" w:hAnsi="仿宋" w:eastAsia="仿宋" w:cs="仿宋"/>
                <w:szCs w:val="21"/>
              </w:rPr>
            </w:pPr>
          </w:p>
        </w:tc>
      </w:tr>
      <w:tr w14:paraId="7986B143">
        <w:tblPrEx>
          <w:tblCellMar>
            <w:top w:w="15" w:type="dxa"/>
            <w:left w:w="15" w:type="dxa"/>
            <w:bottom w:w="15" w:type="dxa"/>
            <w:right w:w="15" w:type="dxa"/>
          </w:tblCellMar>
        </w:tblPrEx>
        <w:trPr>
          <w:trHeight w:val="88" w:hRule="atLeast"/>
          <w:jc w:val="center"/>
        </w:trPr>
        <w:tc>
          <w:tcPr>
            <w:tcW w:w="1418" w:type="dxa"/>
            <w:gridSpan w:val="2"/>
            <w:vMerge w:val="continue"/>
            <w:tcBorders>
              <w:left w:val="single" w:color="000000" w:sz="4" w:space="0"/>
              <w:right w:val="single" w:color="000000" w:sz="4" w:space="0"/>
            </w:tcBorders>
            <w:noWrap w:val="0"/>
            <w:vAlign w:val="center"/>
          </w:tcPr>
          <w:p w14:paraId="26027183">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3C2C4AC3">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菜品中有石子、叶菜有菜虫、头发扣1分。</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70902C39">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1</w:t>
            </w:r>
          </w:p>
        </w:tc>
        <w:tc>
          <w:tcPr>
            <w:tcW w:w="1107" w:type="dxa"/>
            <w:tcBorders>
              <w:top w:val="single" w:color="000000" w:sz="4" w:space="0"/>
              <w:left w:val="single" w:color="000000" w:sz="4" w:space="0"/>
              <w:bottom w:val="single" w:color="000000" w:sz="4" w:space="0"/>
              <w:right w:val="single" w:color="000000" w:sz="4" w:space="0"/>
            </w:tcBorders>
            <w:noWrap w:val="0"/>
            <w:vAlign w:val="center"/>
          </w:tcPr>
          <w:p w14:paraId="5BDBACBF">
            <w:pPr>
              <w:widowControl/>
              <w:snapToGrid w:val="0"/>
              <w:jc w:val="center"/>
              <w:rPr>
                <w:rFonts w:hint="eastAsia" w:ascii="仿宋" w:hAnsi="仿宋" w:eastAsia="仿宋" w:cs="仿宋"/>
                <w:szCs w:val="21"/>
              </w:rPr>
            </w:pPr>
          </w:p>
        </w:tc>
      </w:tr>
      <w:tr w14:paraId="31965D02">
        <w:tblPrEx>
          <w:tblCellMar>
            <w:top w:w="15" w:type="dxa"/>
            <w:left w:w="15" w:type="dxa"/>
            <w:bottom w:w="15" w:type="dxa"/>
            <w:right w:w="15" w:type="dxa"/>
          </w:tblCellMar>
        </w:tblPrEx>
        <w:trPr>
          <w:trHeight w:val="88" w:hRule="atLeast"/>
          <w:jc w:val="center"/>
        </w:trPr>
        <w:tc>
          <w:tcPr>
            <w:tcW w:w="1418" w:type="dxa"/>
            <w:gridSpan w:val="2"/>
            <w:vMerge w:val="continue"/>
            <w:tcBorders>
              <w:left w:val="single" w:color="000000" w:sz="4" w:space="0"/>
              <w:right w:val="single" w:color="000000" w:sz="4" w:space="0"/>
            </w:tcBorders>
            <w:noWrap w:val="0"/>
            <w:vAlign w:val="center"/>
          </w:tcPr>
          <w:p w14:paraId="613D9852">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1B1D8215">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菜品中有有苍蝇，飞虫类扣2分。</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4D1765CC">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1107" w:type="dxa"/>
            <w:tcBorders>
              <w:top w:val="single" w:color="000000" w:sz="4" w:space="0"/>
              <w:left w:val="single" w:color="000000" w:sz="4" w:space="0"/>
              <w:bottom w:val="single" w:color="000000" w:sz="4" w:space="0"/>
              <w:right w:val="single" w:color="000000" w:sz="4" w:space="0"/>
            </w:tcBorders>
            <w:noWrap w:val="0"/>
            <w:vAlign w:val="center"/>
          </w:tcPr>
          <w:p w14:paraId="6ED38652">
            <w:pPr>
              <w:widowControl/>
              <w:snapToGrid w:val="0"/>
              <w:jc w:val="center"/>
              <w:rPr>
                <w:rFonts w:hint="eastAsia" w:ascii="仿宋" w:hAnsi="仿宋" w:eastAsia="仿宋" w:cs="仿宋"/>
                <w:szCs w:val="21"/>
              </w:rPr>
            </w:pPr>
          </w:p>
        </w:tc>
      </w:tr>
      <w:tr w14:paraId="1EA93C80">
        <w:tblPrEx>
          <w:tblCellMar>
            <w:top w:w="15" w:type="dxa"/>
            <w:left w:w="15" w:type="dxa"/>
            <w:bottom w:w="15" w:type="dxa"/>
            <w:right w:w="15" w:type="dxa"/>
          </w:tblCellMar>
        </w:tblPrEx>
        <w:trPr>
          <w:trHeight w:val="88" w:hRule="atLeast"/>
          <w:jc w:val="center"/>
        </w:trPr>
        <w:tc>
          <w:tcPr>
            <w:tcW w:w="1418" w:type="dxa"/>
            <w:gridSpan w:val="2"/>
            <w:vMerge w:val="continue"/>
            <w:tcBorders>
              <w:left w:val="single" w:color="000000" w:sz="4" w:space="0"/>
              <w:right w:val="single" w:color="000000" w:sz="4" w:space="0"/>
            </w:tcBorders>
            <w:noWrap w:val="0"/>
            <w:vAlign w:val="center"/>
          </w:tcPr>
          <w:p w14:paraId="28A336F0">
            <w:pPr>
              <w:widowControl/>
              <w:snapToGrid w:val="0"/>
              <w:jc w:val="center"/>
              <w:rPr>
                <w:rFonts w:hint="eastAsia" w:ascii="仿宋" w:hAnsi="仿宋" w:eastAsia="仿宋" w:cs="仿宋"/>
                <w:szCs w:val="21"/>
              </w:rPr>
            </w:pP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2DDC295D">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菜品中有铁丝、烟头、创可贴、蟑螂等异物，扣5分。</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5183EEDF">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5</w:t>
            </w:r>
          </w:p>
        </w:tc>
        <w:tc>
          <w:tcPr>
            <w:tcW w:w="1107" w:type="dxa"/>
            <w:tcBorders>
              <w:top w:val="single" w:color="000000" w:sz="4" w:space="0"/>
              <w:left w:val="single" w:color="000000" w:sz="4" w:space="0"/>
              <w:bottom w:val="single" w:color="000000" w:sz="4" w:space="0"/>
              <w:right w:val="single" w:color="000000" w:sz="4" w:space="0"/>
            </w:tcBorders>
            <w:noWrap w:val="0"/>
            <w:vAlign w:val="center"/>
          </w:tcPr>
          <w:p w14:paraId="74252EA1">
            <w:pPr>
              <w:widowControl/>
              <w:snapToGrid w:val="0"/>
              <w:jc w:val="center"/>
              <w:rPr>
                <w:rFonts w:hint="eastAsia" w:ascii="仿宋" w:hAnsi="仿宋" w:eastAsia="仿宋" w:cs="仿宋"/>
                <w:szCs w:val="21"/>
              </w:rPr>
            </w:pPr>
          </w:p>
        </w:tc>
      </w:tr>
      <w:tr w14:paraId="01B3B457">
        <w:tblPrEx>
          <w:tblCellMar>
            <w:top w:w="15" w:type="dxa"/>
            <w:left w:w="15" w:type="dxa"/>
            <w:bottom w:w="15" w:type="dxa"/>
            <w:right w:w="15" w:type="dxa"/>
          </w:tblCellMar>
        </w:tblPrEx>
        <w:trPr>
          <w:trHeight w:val="88" w:hRule="atLeast"/>
          <w:jc w:val="center"/>
        </w:trPr>
        <w:tc>
          <w:tcPr>
            <w:tcW w:w="1418" w:type="dxa"/>
            <w:gridSpan w:val="2"/>
            <w:tcBorders>
              <w:top w:val="single" w:color="000000" w:sz="4" w:space="0"/>
              <w:left w:val="single" w:color="000000" w:sz="4" w:space="0"/>
              <w:bottom w:val="single" w:color="000000" w:sz="4" w:space="0"/>
              <w:right w:val="single" w:color="000000" w:sz="4" w:space="0"/>
            </w:tcBorders>
            <w:noWrap w:val="0"/>
            <w:vAlign w:val="center"/>
          </w:tcPr>
          <w:p w14:paraId="2A229A45">
            <w:pPr>
              <w:widowControl/>
              <w:snapToGrid w:val="0"/>
              <w:jc w:val="center"/>
              <w:textAlignment w:val="center"/>
              <w:rPr>
                <w:rFonts w:hint="eastAsia" w:ascii="仿宋" w:hAnsi="仿宋" w:eastAsia="仿宋" w:cs="仿宋"/>
                <w:szCs w:val="21"/>
              </w:rPr>
            </w:pPr>
            <w:r>
              <w:rPr>
                <w:rFonts w:hint="eastAsia" w:ascii="仿宋" w:hAnsi="仿宋" w:eastAsia="仿宋" w:cs="仿宋"/>
                <w:kern w:val="0"/>
                <w:szCs w:val="21"/>
                <w:lang w:bidi="ar"/>
              </w:rPr>
              <w:t>总计</w:t>
            </w:r>
          </w:p>
        </w:tc>
        <w:tc>
          <w:tcPr>
            <w:tcW w:w="6113" w:type="dxa"/>
            <w:tcBorders>
              <w:top w:val="single" w:color="000000" w:sz="4" w:space="0"/>
              <w:left w:val="single" w:color="000000" w:sz="4" w:space="0"/>
              <w:bottom w:val="single" w:color="000000" w:sz="4" w:space="0"/>
              <w:right w:val="single" w:color="000000" w:sz="4" w:space="0"/>
            </w:tcBorders>
            <w:noWrap w:val="0"/>
            <w:vAlign w:val="center"/>
          </w:tcPr>
          <w:p w14:paraId="49E276FF">
            <w:pPr>
              <w:widowControl/>
              <w:snapToGrid w:val="0"/>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备注：加减分项，同一加分或扣分点可累计加减分，最高可加</w:t>
            </w:r>
          </w:p>
          <w:p w14:paraId="3BB743AF">
            <w:pPr>
              <w:widowControl/>
              <w:snapToGrid w:val="0"/>
              <w:jc w:val="left"/>
              <w:textAlignment w:val="center"/>
              <w:rPr>
                <w:rFonts w:hint="eastAsia" w:ascii="仿宋" w:hAnsi="仿宋" w:eastAsia="仿宋" w:cs="仿宋"/>
                <w:szCs w:val="21"/>
              </w:rPr>
            </w:pPr>
            <w:r>
              <w:rPr>
                <w:rFonts w:hint="eastAsia" w:ascii="仿宋" w:hAnsi="仿宋" w:eastAsia="仿宋" w:cs="仿宋"/>
                <w:kern w:val="0"/>
                <w:szCs w:val="21"/>
                <w:lang w:bidi="ar"/>
              </w:rPr>
              <w:t>10分，最高可减20。</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75F56860">
            <w:pPr>
              <w:widowControl/>
              <w:snapToGrid w:val="0"/>
              <w:jc w:val="center"/>
              <w:textAlignment w:val="center"/>
              <w:rPr>
                <w:rFonts w:hint="eastAsia" w:ascii="仿宋" w:hAnsi="仿宋" w:eastAsia="仿宋" w:cs="仿宋"/>
                <w:szCs w:val="21"/>
              </w:rPr>
            </w:pPr>
          </w:p>
        </w:tc>
        <w:tc>
          <w:tcPr>
            <w:tcW w:w="1107" w:type="dxa"/>
            <w:tcBorders>
              <w:top w:val="single" w:color="000000" w:sz="4" w:space="0"/>
              <w:left w:val="single" w:color="000000" w:sz="4" w:space="0"/>
              <w:bottom w:val="single" w:color="000000" w:sz="4" w:space="0"/>
              <w:right w:val="single" w:color="000000" w:sz="4" w:space="0"/>
            </w:tcBorders>
            <w:noWrap w:val="0"/>
            <w:vAlign w:val="center"/>
          </w:tcPr>
          <w:p w14:paraId="3234F86E">
            <w:pPr>
              <w:widowControl/>
              <w:snapToGrid w:val="0"/>
              <w:jc w:val="center"/>
              <w:rPr>
                <w:rFonts w:hint="eastAsia" w:ascii="仿宋" w:hAnsi="仿宋" w:eastAsia="仿宋" w:cs="仿宋"/>
                <w:szCs w:val="21"/>
              </w:rPr>
            </w:pPr>
          </w:p>
        </w:tc>
      </w:tr>
    </w:tbl>
    <w:p w14:paraId="0C1CECDB">
      <w:pPr>
        <w:snapToGrid w:val="0"/>
        <w:spacing w:line="440" w:lineRule="exact"/>
        <w:ind w:firstLine="643" w:firstLineChars="200"/>
        <w:jc w:val="center"/>
        <w:rPr>
          <w:rFonts w:ascii="仿宋" w:hAnsi="仿宋" w:eastAsia="仿宋" w:cs="仿宋_GB2312"/>
          <w:b/>
          <w:color w:val="000000" w:themeColor="text1"/>
          <w:sz w:val="32"/>
          <w:highlight w:val="none"/>
          <w14:textFill>
            <w14:solidFill>
              <w14:schemeClr w14:val="tx1"/>
            </w14:solidFill>
          </w14:textFill>
        </w:rPr>
      </w:pPr>
    </w:p>
    <w:p w14:paraId="7E9EFE57">
      <w:pPr>
        <w:rPr>
          <w:rFonts w:ascii="仿宋" w:hAnsi="仿宋" w:eastAsia="仿宋" w:cs="仿宋_GB2312"/>
          <w:b/>
          <w:color w:val="000000" w:themeColor="text1"/>
          <w:sz w:val="32"/>
          <w:highlight w:val="none"/>
          <w14:textFill>
            <w14:solidFill>
              <w14:schemeClr w14:val="tx1"/>
            </w14:solidFill>
          </w14:textFill>
        </w:rPr>
      </w:pPr>
      <w:r>
        <w:rPr>
          <w:rFonts w:hint="eastAsia" w:ascii="仿宋" w:hAnsi="仿宋" w:eastAsia="仿宋" w:cs="仿宋_GB2312"/>
          <w:b/>
          <w:color w:val="000000" w:themeColor="text1"/>
          <w:sz w:val="32"/>
          <w:highlight w:val="none"/>
          <w14:textFill>
            <w14:solidFill>
              <w14:schemeClr w14:val="tx1"/>
            </w14:solidFill>
          </w14:textFill>
        </w:rPr>
        <w:br w:type="page"/>
      </w:r>
    </w:p>
    <w:p w14:paraId="4B9C099B">
      <w:pPr>
        <w:snapToGrid w:val="0"/>
        <w:spacing w:line="440" w:lineRule="exact"/>
        <w:ind w:firstLine="643" w:firstLineChars="200"/>
        <w:jc w:val="center"/>
        <w:rPr>
          <w:rFonts w:ascii="仿宋" w:hAnsi="仿宋" w:eastAsia="仿宋"/>
          <w:b/>
          <w:color w:val="000000" w:themeColor="text1"/>
          <w:sz w:val="28"/>
          <w:szCs w:val="28"/>
          <w:highlight w:val="none"/>
          <w14:textFill>
            <w14:solidFill>
              <w14:schemeClr w14:val="tx1"/>
            </w14:solidFill>
          </w14:textFill>
        </w:rPr>
      </w:pPr>
      <w:r>
        <w:rPr>
          <w:rFonts w:hint="eastAsia" w:ascii="仿宋" w:hAnsi="仿宋" w:eastAsia="仿宋" w:cs="仿宋_GB2312"/>
          <w:b/>
          <w:color w:val="000000" w:themeColor="text1"/>
          <w:sz w:val="32"/>
          <w:highlight w:val="none"/>
          <w14:textFill>
            <w14:solidFill>
              <w14:schemeClr w14:val="tx1"/>
            </w14:solidFill>
          </w14:textFill>
        </w:rPr>
        <w:t>二、商务要求</w:t>
      </w:r>
    </w:p>
    <w:p w14:paraId="29E2469A">
      <w:pPr>
        <w:widowControl/>
        <w:snapToGrid w:val="0"/>
        <w:spacing w:line="420" w:lineRule="exact"/>
        <w:ind w:firstLine="480" w:firstLineChars="200"/>
        <w:rPr>
          <w:rFonts w:ascii="仿宋" w:eastAsia="仿宋"/>
          <w:b/>
          <w:bCs/>
          <w:color w:val="000000" w:themeColor="text1"/>
          <w:kern w:val="0"/>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w:t>
      </w:r>
      <w:r>
        <w:rPr>
          <w:rFonts w:hint="eastAsia" w:ascii="仿宋" w:eastAsia="仿宋"/>
          <w:b/>
          <w:bCs/>
          <w:color w:val="000000" w:themeColor="text1"/>
          <w:kern w:val="0"/>
          <w:sz w:val="24"/>
          <w:highlight w:val="none"/>
          <w14:textFill>
            <w14:solidFill>
              <w14:schemeClr w14:val="tx1"/>
            </w14:solidFill>
          </w14:textFill>
        </w:rPr>
        <w:t>2.1服务期限</w:t>
      </w:r>
    </w:p>
    <w:p w14:paraId="24364B20">
      <w:pPr>
        <w:widowControl/>
        <w:snapToGrid w:val="0"/>
        <w:spacing w:line="420" w:lineRule="exact"/>
        <w:ind w:firstLine="480" w:firstLineChars="200"/>
        <w:rPr>
          <w:rFonts w:ascii="仿宋_GB2312" w:hAnsi="仿宋" w:eastAsia="仿宋_GB2312" w:cs="Helvetica"/>
          <w:color w:val="000000" w:themeColor="text1"/>
          <w:kern w:val="0"/>
          <w:sz w:val="24"/>
          <w:highlight w:val="none"/>
          <w14:textFill>
            <w14:solidFill>
              <w14:schemeClr w14:val="tx1"/>
            </w14:solidFill>
          </w14:textFill>
        </w:rPr>
      </w:pPr>
      <w:r>
        <w:rPr>
          <w:rFonts w:hint="eastAsia" w:ascii="仿宋_GB2312" w:hAnsi="仿宋" w:eastAsia="仿宋_GB2312" w:cs="Helvetica"/>
          <w:color w:val="000000" w:themeColor="text1"/>
          <w:kern w:val="0"/>
          <w:sz w:val="24"/>
          <w:highlight w:val="none"/>
          <w14:textFill>
            <w14:solidFill>
              <w14:schemeClr w14:val="tx1"/>
            </w14:solidFill>
          </w14:textFill>
        </w:rPr>
        <w:t>合同期为</w:t>
      </w:r>
      <w:r>
        <w:rPr>
          <w:rFonts w:hint="eastAsia" w:ascii="仿宋_GB2312" w:hAnsi="仿宋" w:eastAsia="仿宋_GB2312" w:cs="Helvetica"/>
          <w:color w:val="000000" w:themeColor="text1"/>
          <w:kern w:val="0"/>
          <w:sz w:val="24"/>
          <w:highlight w:val="none"/>
          <w:lang w:val="en-US" w:eastAsia="zh-CN"/>
          <w14:textFill>
            <w14:solidFill>
              <w14:schemeClr w14:val="tx1"/>
            </w14:solidFill>
          </w14:textFill>
        </w:rPr>
        <w:t>二</w:t>
      </w:r>
      <w:r>
        <w:rPr>
          <w:rFonts w:hint="eastAsia" w:ascii="仿宋_GB2312" w:hAnsi="仿宋" w:eastAsia="仿宋_GB2312" w:cs="Helvetica"/>
          <w:color w:val="000000" w:themeColor="text1"/>
          <w:kern w:val="0"/>
          <w:sz w:val="24"/>
          <w:highlight w:val="none"/>
          <w14:textFill>
            <w14:solidFill>
              <w14:schemeClr w14:val="tx1"/>
            </w14:solidFill>
          </w14:textFill>
        </w:rPr>
        <w:t>年。</w:t>
      </w:r>
    </w:p>
    <w:p w14:paraId="43BE44ED">
      <w:pPr>
        <w:widowControl/>
        <w:snapToGrid w:val="0"/>
        <w:spacing w:line="420" w:lineRule="exact"/>
        <w:ind w:firstLine="480" w:firstLineChars="200"/>
        <w:rPr>
          <w:rFonts w:ascii="仿宋" w:eastAsia="仿宋"/>
          <w:b/>
          <w:bCs/>
          <w:color w:val="000000" w:themeColor="text1"/>
          <w:kern w:val="0"/>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w:t>
      </w:r>
      <w:r>
        <w:rPr>
          <w:rFonts w:hint="eastAsia" w:ascii="仿宋" w:eastAsia="仿宋"/>
          <w:b/>
          <w:bCs/>
          <w:color w:val="000000" w:themeColor="text1"/>
          <w:kern w:val="0"/>
          <w:sz w:val="24"/>
          <w:highlight w:val="none"/>
          <w14:textFill>
            <w14:solidFill>
              <w14:schemeClr w14:val="tx1"/>
            </w14:solidFill>
          </w14:textFill>
        </w:rPr>
        <w:t>2.2质量要求</w:t>
      </w:r>
    </w:p>
    <w:p w14:paraId="696C9C3E">
      <w:pPr>
        <w:widowControl/>
        <w:snapToGrid w:val="0"/>
        <w:spacing w:line="420" w:lineRule="exact"/>
        <w:ind w:firstLine="480" w:firstLineChars="200"/>
        <w:rPr>
          <w:rFonts w:ascii="仿宋_GB2312" w:hAnsi="仿宋" w:eastAsia="仿宋_GB2312" w:cs="Helvetica"/>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优质服务且必须符合国家法律法规、行业标准及本表文所有条款要求。</w:t>
      </w:r>
    </w:p>
    <w:p w14:paraId="059E6D2C">
      <w:pPr>
        <w:widowControl/>
        <w:snapToGrid w:val="0"/>
        <w:spacing w:line="420" w:lineRule="exact"/>
        <w:ind w:firstLine="480" w:firstLineChars="200"/>
        <w:rPr>
          <w:rFonts w:ascii="仿宋" w:eastAsia="仿宋"/>
          <w:b/>
          <w:bCs/>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w:t>
      </w:r>
      <w:r>
        <w:rPr>
          <w:rFonts w:hint="eastAsia" w:ascii="仿宋" w:eastAsia="仿宋"/>
          <w:b/>
          <w:bCs/>
          <w:color w:val="000000" w:themeColor="text1"/>
          <w:sz w:val="24"/>
          <w:highlight w:val="none"/>
          <w14:textFill>
            <w14:solidFill>
              <w14:schemeClr w14:val="tx1"/>
            </w14:solidFill>
          </w14:textFill>
        </w:rPr>
        <w:t>2.3数量调整</w:t>
      </w:r>
    </w:p>
    <w:p w14:paraId="115DDDC1">
      <w:pPr>
        <w:widowControl/>
        <w:snapToGrid w:val="0"/>
        <w:spacing w:line="42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2C422D3C">
      <w:pPr>
        <w:widowControl/>
        <w:snapToGrid w:val="0"/>
        <w:spacing w:line="420" w:lineRule="exact"/>
        <w:ind w:firstLine="480" w:firstLineChars="200"/>
        <w:rPr>
          <w:rFonts w:ascii="仿宋" w:eastAsia="仿宋"/>
          <w:b/>
          <w:bCs/>
          <w:color w:val="000000" w:themeColor="text1"/>
          <w:kern w:val="0"/>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w:t>
      </w:r>
      <w:r>
        <w:rPr>
          <w:rFonts w:hint="eastAsia" w:ascii="仿宋" w:eastAsia="仿宋"/>
          <w:b/>
          <w:bCs/>
          <w:color w:val="000000" w:themeColor="text1"/>
          <w:kern w:val="0"/>
          <w:sz w:val="24"/>
          <w:highlight w:val="none"/>
          <w14:textFill>
            <w14:solidFill>
              <w14:schemeClr w14:val="tx1"/>
            </w14:solidFill>
          </w14:textFill>
        </w:rPr>
        <w:t>2.4付款方式</w:t>
      </w:r>
    </w:p>
    <w:p w14:paraId="652FA32D">
      <w:pPr>
        <w:widowControl/>
        <w:snapToGrid w:val="0"/>
        <w:spacing w:line="42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2.4.1采购人根据实际每月考核结果进行审核，经审批同意后按月支付服务费，乙方按要求出具发票，无特殊情况采购人于次月付款。支付的服务费为含税费用等一切费用。</w:t>
      </w:r>
    </w:p>
    <w:p w14:paraId="370D198F">
      <w:pPr>
        <w:widowControl/>
        <w:snapToGrid w:val="0"/>
        <w:spacing w:line="42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2.4.2如由于业主客观原因要求合同终止或者减少要求人员的，经中标单位提出结算要求或减少相应人员后，业主根据实际产生的费用进行结算。</w:t>
      </w:r>
    </w:p>
    <w:p w14:paraId="37C6974E">
      <w:pPr>
        <w:widowControl/>
        <w:snapToGrid w:val="0"/>
        <w:spacing w:line="42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2.4.3涉及中小企业合同的，付款根据浙财采监〔2022〕3号文件相关规定执行。</w:t>
      </w:r>
    </w:p>
    <w:p w14:paraId="17A70AA8">
      <w:pPr>
        <w:adjustRightInd/>
        <w:spacing w:line="420" w:lineRule="exact"/>
        <w:ind w:firstLine="482" w:firstLineChars="200"/>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★2.5违约责任</w:t>
      </w:r>
    </w:p>
    <w:p w14:paraId="1A15D90C">
      <w:pPr>
        <w:pStyle w:val="3"/>
        <w:spacing w:line="420" w:lineRule="exact"/>
        <w:ind w:firstLine="480" w:firstLineChars="200"/>
        <w:rPr>
          <w:rFonts w:ascii="仿宋" w:hAnsi="Times New Roman" w:eastAsia="仿宋" w:cs="Times New Roman"/>
          <w:snapToGrid/>
          <w:color w:val="000000" w:themeColor="text1"/>
          <w:kern w:val="0"/>
          <w:szCs w:val="24"/>
          <w:highlight w:val="none"/>
          <w:lang w:val="en-US"/>
          <w14:textFill>
            <w14:solidFill>
              <w14:schemeClr w14:val="tx1"/>
            </w14:solidFill>
          </w14:textFill>
        </w:rPr>
      </w:pPr>
      <w:r>
        <w:rPr>
          <w:rFonts w:hint="eastAsia" w:ascii="仿宋" w:hAnsi="Times New Roman" w:eastAsia="仿宋" w:cs="Times New Roman"/>
          <w:snapToGrid/>
          <w:color w:val="000000" w:themeColor="text1"/>
          <w:kern w:val="0"/>
          <w:szCs w:val="24"/>
          <w:highlight w:val="none"/>
          <w:lang w:val="en-US"/>
          <w14:textFill>
            <w14:solidFill>
              <w14:schemeClr w14:val="tx1"/>
            </w14:solidFill>
          </w14:textFill>
        </w:rPr>
        <w:t>2.5.1若中标人违反合同规定导致本合同无法履行，招标人有权终止合同，并对由此造成的损失有权要求赔偿。</w:t>
      </w:r>
    </w:p>
    <w:p w14:paraId="3719D23D">
      <w:pPr>
        <w:pStyle w:val="3"/>
        <w:spacing w:line="420" w:lineRule="exact"/>
        <w:ind w:firstLine="480" w:firstLineChars="200"/>
        <w:rPr>
          <w:rFonts w:ascii="仿宋" w:hAnsi="Times New Roman" w:eastAsia="仿宋" w:cs="Times New Roman"/>
          <w:snapToGrid/>
          <w:color w:val="000000" w:themeColor="text1"/>
          <w:kern w:val="0"/>
          <w:szCs w:val="24"/>
          <w:highlight w:val="none"/>
          <w:lang w:val="en-US"/>
          <w14:textFill>
            <w14:solidFill>
              <w14:schemeClr w14:val="tx1"/>
            </w14:solidFill>
          </w14:textFill>
        </w:rPr>
      </w:pPr>
      <w:r>
        <w:rPr>
          <w:rFonts w:hint="eastAsia" w:ascii="仿宋" w:hAnsi="Times New Roman" w:eastAsia="仿宋" w:cs="Times New Roman"/>
          <w:snapToGrid/>
          <w:color w:val="000000" w:themeColor="text1"/>
          <w:kern w:val="0"/>
          <w:szCs w:val="24"/>
          <w:highlight w:val="none"/>
          <w:lang w:val="en-US"/>
          <w14:textFill>
            <w14:solidFill>
              <w14:schemeClr w14:val="tx1"/>
            </w14:solidFill>
          </w14:textFill>
        </w:rPr>
        <w:t>2.5.2若因中标人违约造成对方不良社会影响或经济损失，则招标人有权追究违约方责任，并要求相应的经济赔偿，直至终止本合同。</w:t>
      </w:r>
    </w:p>
    <w:p w14:paraId="157C9311">
      <w:pPr>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br w:type="page"/>
      </w:r>
    </w:p>
    <w:p w14:paraId="387CEB5F">
      <w:pPr>
        <w:spacing w:line="360" w:lineRule="auto"/>
        <w:jc w:val="center"/>
        <w:outlineLvl w:val="0"/>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第四部分 拟签订的合同文本</w:t>
      </w:r>
    </w:p>
    <w:p w14:paraId="484F2283">
      <w:pPr>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合同编号：</w:t>
      </w:r>
    </w:p>
    <w:p w14:paraId="300855A9">
      <w:pPr>
        <w:spacing w:line="480" w:lineRule="auto"/>
        <w:jc w:val="center"/>
        <w:rPr>
          <w:rFonts w:ascii="仿宋" w:hAnsi="仿宋" w:eastAsia="仿宋" w:cs="仿宋"/>
          <w:b/>
          <w:color w:val="000000" w:themeColor="text1"/>
          <w:sz w:val="28"/>
          <w:szCs w:val="28"/>
          <w:highlight w:val="none"/>
          <w14:textFill>
            <w14:solidFill>
              <w14:schemeClr w14:val="tx1"/>
            </w14:solidFill>
          </w14:textFill>
        </w:rPr>
      </w:pPr>
    </w:p>
    <w:p w14:paraId="0DE3AA5C">
      <w:pPr>
        <w:spacing w:line="480" w:lineRule="auto"/>
        <w:jc w:val="center"/>
        <w:rPr>
          <w:rFonts w:ascii="仿宋" w:hAnsi="仿宋" w:eastAsia="仿宋" w:cs="仿宋"/>
          <w:b/>
          <w:color w:val="000000" w:themeColor="text1"/>
          <w:sz w:val="24"/>
          <w:highlight w:val="none"/>
          <w14:textFill>
            <w14:solidFill>
              <w14:schemeClr w14:val="tx1"/>
            </w14:solidFill>
          </w14:textFill>
        </w:rPr>
      </w:pPr>
    </w:p>
    <w:p w14:paraId="682419B8">
      <w:pPr>
        <w:spacing w:line="480" w:lineRule="auto"/>
        <w:jc w:val="center"/>
        <w:rPr>
          <w:rFonts w:ascii="仿宋" w:hAnsi="仿宋" w:eastAsia="仿宋" w:cs="仿宋"/>
          <w:b/>
          <w:color w:val="000000" w:themeColor="text1"/>
          <w:sz w:val="24"/>
          <w:highlight w:val="none"/>
          <w14:textFill>
            <w14:solidFill>
              <w14:schemeClr w14:val="tx1"/>
            </w14:solidFill>
          </w14:textFill>
        </w:rPr>
      </w:pPr>
    </w:p>
    <w:p w14:paraId="7CF7C4B4">
      <w:pPr>
        <w:spacing w:line="480" w:lineRule="auto"/>
        <w:jc w:val="center"/>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政府采购合同参考范本</w:t>
      </w:r>
    </w:p>
    <w:p w14:paraId="1F140FD6">
      <w:pPr>
        <w:spacing w:line="480" w:lineRule="auto"/>
        <w:jc w:val="center"/>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（服务类）</w:t>
      </w:r>
    </w:p>
    <w:p w14:paraId="10256F02">
      <w:pPr>
        <w:pStyle w:val="79"/>
        <w:ind w:firstLine="2843" w:firstLineChars="1180"/>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第一部分 合同书</w:t>
      </w:r>
    </w:p>
    <w:p w14:paraId="0EB9779F">
      <w:pPr>
        <w:spacing w:before="120" w:line="22" w:lineRule="atLeast"/>
        <w:rPr>
          <w:rFonts w:ascii="仿宋" w:hAnsi="仿宋" w:eastAsia="仿宋" w:cs="仿宋"/>
          <w:color w:val="000000" w:themeColor="text1"/>
          <w:sz w:val="24"/>
          <w:highlight w:val="none"/>
          <w14:textFill>
            <w14:solidFill>
              <w14:schemeClr w14:val="tx1"/>
            </w14:solidFill>
          </w14:textFill>
        </w:rPr>
      </w:pPr>
    </w:p>
    <w:p w14:paraId="2F2AEDDB">
      <w:pPr>
        <w:pStyle w:val="5"/>
        <w:rPr>
          <w:rFonts w:ascii="仿宋" w:eastAsia="仿宋" w:cs="仿宋"/>
          <w:color w:val="000000" w:themeColor="text1"/>
          <w:highlight w:val="none"/>
          <w14:textFill>
            <w14:solidFill>
              <w14:schemeClr w14:val="tx1"/>
            </w14:solidFill>
          </w14:textFill>
        </w:rPr>
      </w:pPr>
    </w:p>
    <w:p w14:paraId="35E8FD19">
      <w:pPr>
        <w:spacing w:before="120" w:line="22" w:lineRule="atLeast"/>
        <w:ind w:left="960"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项目名称：</w:t>
      </w:r>
    </w:p>
    <w:p w14:paraId="182C427C">
      <w:pPr>
        <w:pStyle w:val="598"/>
        <w:spacing w:before="120" w:line="22" w:lineRule="atLeast"/>
        <w:rPr>
          <w:rFonts w:ascii="仿宋" w:hAnsi="仿宋" w:eastAsia="仿宋" w:cs="仿宋"/>
          <w:color w:val="000000" w:themeColor="text1"/>
          <w:szCs w:val="24"/>
          <w:highlight w:val="none"/>
          <w14:textFill>
            <w14:solidFill>
              <w14:schemeClr w14:val="tx1"/>
            </w14:solidFill>
          </w14:textFill>
        </w:rPr>
      </w:pPr>
    </w:p>
    <w:p w14:paraId="4B206774">
      <w:pPr>
        <w:pStyle w:val="598"/>
        <w:spacing w:before="120" w:line="22" w:lineRule="atLeast"/>
        <w:rPr>
          <w:rFonts w:ascii="仿宋" w:hAnsi="仿宋" w:eastAsia="仿宋" w:cs="仿宋"/>
          <w:color w:val="000000" w:themeColor="text1"/>
          <w:szCs w:val="24"/>
          <w:highlight w:val="none"/>
          <w14:textFill>
            <w14:solidFill>
              <w14:schemeClr w14:val="tx1"/>
            </w14:solidFill>
          </w14:textFill>
        </w:rPr>
      </w:pPr>
    </w:p>
    <w:p w14:paraId="6F42E53A">
      <w:pPr>
        <w:rPr>
          <w:rFonts w:ascii="仿宋" w:hAnsi="仿宋" w:eastAsia="仿宋" w:cs="仿宋"/>
          <w:color w:val="000000" w:themeColor="text1"/>
          <w:sz w:val="24"/>
          <w:highlight w:val="none"/>
          <w14:textFill>
            <w14:solidFill>
              <w14:schemeClr w14:val="tx1"/>
            </w14:solidFill>
          </w14:textFill>
        </w:rPr>
      </w:pPr>
    </w:p>
    <w:p w14:paraId="0C801DD8">
      <w:pPr>
        <w:spacing w:before="120" w:line="22" w:lineRule="atLeast"/>
        <w:ind w:left="960"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甲方：</w:t>
      </w:r>
    </w:p>
    <w:p w14:paraId="4EE49C18">
      <w:pPr>
        <w:spacing w:before="120" w:line="22" w:lineRule="atLeast"/>
        <w:rPr>
          <w:rFonts w:ascii="仿宋" w:hAnsi="仿宋" w:eastAsia="仿宋" w:cs="仿宋"/>
          <w:color w:val="000000" w:themeColor="text1"/>
          <w:sz w:val="24"/>
          <w:highlight w:val="none"/>
          <w14:textFill>
            <w14:solidFill>
              <w14:schemeClr w14:val="tx1"/>
            </w14:solidFill>
          </w14:textFill>
        </w:rPr>
      </w:pPr>
    </w:p>
    <w:p w14:paraId="3450A28D">
      <w:pPr>
        <w:spacing w:before="120" w:line="22" w:lineRule="atLeast"/>
        <w:ind w:left="960"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乙方：</w:t>
      </w:r>
    </w:p>
    <w:p w14:paraId="6070C2B8">
      <w:pPr>
        <w:spacing w:before="120" w:line="22" w:lineRule="atLeast"/>
        <w:rPr>
          <w:rFonts w:ascii="仿宋" w:hAnsi="仿宋" w:eastAsia="仿宋" w:cs="仿宋"/>
          <w:color w:val="000000" w:themeColor="text1"/>
          <w:sz w:val="24"/>
          <w:highlight w:val="none"/>
          <w14:textFill>
            <w14:solidFill>
              <w14:schemeClr w14:val="tx1"/>
            </w14:solidFill>
          </w14:textFill>
        </w:rPr>
      </w:pPr>
    </w:p>
    <w:p w14:paraId="05B3A364">
      <w:pPr>
        <w:spacing w:before="120" w:line="22" w:lineRule="atLeast"/>
        <w:ind w:firstLine="1440" w:firstLineChars="6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签订地：</w:t>
      </w:r>
    </w:p>
    <w:p w14:paraId="1E5E8EA0">
      <w:pPr>
        <w:spacing w:before="120" w:line="22" w:lineRule="atLeast"/>
        <w:rPr>
          <w:rFonts w:ascii="仿宋" w:hAnsi="仿宋" w:eastAsia="仿宋" w:cs="仿宋"/>
          <w:color w:val="000000" w:themeColor="text1"/>
          <w:sz w:val="24"/>
          <w:highlight w:val="none"/>
          <w14:textFill>
            <w14:solidFill>
              <w14:schemeClr w14:val="tx1"/>
            </w14:solidFill>
          </w14:textFill>
        </w:rPr>
      </w:pPr>
    </w:p>
    <w:p w14:paraId="6CD58478">
      <w:pPr>
        <w:spacing w:before="120" w:line="22" w:lineRule="atLeast"/>
        <w:ind w:firstLine="1440" w:firstLineChars="6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签订日期：</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w:t>
      </w:r>
    </w:p>
    <w:p w14:paraId="34AA0484">
      <w:pPr>
        <w:widowControl/>
        <w:jc w:val="left"/>
        <w:rPr>
          <w:rFonts w:ascii="仿宋" w:hAnsi="仿宋" w:eastAsia="仿宋" w:cs="仿宋"/>
          <w:color w:val="000000" w:themeColor="text1"/>
          <w:kern w:val="0"/>
          <w:sz w:val="24"/>
          <w:highlight w:val="none"/>
          <w14:textFill>
            <w14:solidFill>
              <w14:schemeClr w14:val="tx1"/>
            </w14:solidFill>
          </w14:textFill>
        </w:rPr>
        <w:sectPr>
          <w:pgSz w:w="11907" w:h="16840"/>
          <w:pgMar w:top="1474" w:right="1814" w:bottom="1474" w:left="1814" w:header="851" w:footer="851" w:gutter="0"/>
          <w:cols w:space="720" w:num="1"/>
        </w:sectPr>
      </w:pPr>
    </w:p>
    <w:p w14:paraId="710991F8">
      <w:pPr>
        <w:rPr>
          <w:rFonts w:ascii="仿宋" w:hAnsi="仿宋" w:eastAsia="仿宋" w:cs="仿宋"/>
          <w:b/>
          <w:color w:val="000000" w:themeColor="text1"/>
          <w:sz w:val="24"/>
          <w:highlight w:val="none"/>
          <w14:textFill>
            <w14:solidFill>
              <w14:schemeClr w14:val="tx1"/>
            </w14:solidFill>
          </w14:textFill>
        </w:rPr>
      </w:pPr>
    </w:p>
    <w:p w14:paraId="09EAB1D4">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年月日</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（采购人）   </w:t>
      </w:r>
      <w:r>
        <w:rPr>
          <w:rFonts w:hint="eastAsia" w:ascii="仿宋" w:hAnsi="仿宋" w:eastAsia="仿宋" w:cs="仿宋"/>
          <w:color w:val="000000" w:themeColor="text1"/>
          <w:sz w:val="24"/>
          <w:highlight w:val="none"/>
          <w14:textFill>
            <w14:solidFill>
              <w14:schemeClr w14:val="tx1"/>
            </w14:solidFill>
          </w14:textFill>
        </w:rPr>
        <w:t>以</w:t>
      </w:r>
      <w:r>
        <w:rPr>
          <w:rFonts w:hint="eastAsia" w:ascii="仿宋" w:hAnsi="仿宋" w:eastAsia="仿宋" w:cs="仿宋"/>
          <w:color w:val="000000" w:themeColor="text1"/>
          <w:sz w:val="24"/>
          <w:highlight w:val="none"/>
          <w:u w:val="single"/>
          <w14:textFill>
            <w14:solidFill>
              <w14:schemeClr w14:val="tx1"/>
            </w14:solidFill>
          </w14:textFill>
        </w:rPr>
        <w:t xml:space="preserve">   （政府采购方式）  </w:t>
      </w:r>
      <w:r>
        <w:rPr>
          <w:rFonts w:hint="eastAsia" w:ascii="仿宋" w:hAnsi="仿宋" w:eastAsia="仿宋" w:cs="仿宋"/>
          <w:color w:val="000000" w:themeColor="text1"/>
          <w:sz w:val="24"/>
          <w:highlight w:val="none"/>
          <w14:textFill>
            <w14:solidFill>
              <w14:schemeClr w14:val="tx1"/>
            </w14:solidFill>
          </w14:textFill>
        </w:rPr>
        <w:t>对</w:t>
      </w:r>
      <w:r>
        <w:rPr>
          <w:rFonts w:hint="eastAsia" w:ascii="仿宋" w:hAnsi="仿宋" w:eastAsia="仿宋" w:cs="仿宋"/>
          <w:color w:val="000000" w:themeColor="text1"/>
          <w:sz w:val="24"/>
          <w:highlight w:val="none"/>
          <w:u w:val="single"/>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项目进行了采购。经</w:t>
      </w:r>
      <w:r>
        <w:rPr>
          <w:rFonts w:hint="eastAsia" w:ascii="仿宋" w:hAnsi="仿宋" w:eastAsia="仿宋" w:cs="仿宋"/>
          <w:color w:val="000000" w:themeColor="text1"/>
          <w:sz w:val="24"/>
          <w:highlight w:val="none"/>
          <w:u w:val="single"/>
          <w14:textFill>
            <w14:solidFill>
              <w14:schemeClr w14:val="tx1"/>
            </w14:solidFill>
          </w14:textFill>
        </w:rPr>
        <w:t xml:space="preserve">   （相关评定主体名称）   </w:t>
      </w:r>
      <w:r>
        <w:rPr>
          <w:rFonts w:hint="eastAsia" w:ascii="仿宋" w:hAnsi="仿宋" w:eastAsia="仿宋" w:cs="仿宋"/>
          <w:color w:val="000000" w:themeColor="text1"/>
          <w:sz w:val="24"/>
          <w:highlight w:val="none"/>
          <w14:textFill>
            <w14:solidFill>
              <w14:schemeClr w14:val="tx1"/>
            </w14:solidFill>
          </w14:textFill>
        </w:rPr>
        <w:t>评定，</w:t>
      </w:r>
      <w:r>
        <w:rPr>
          <w:rFonts w:hint="eastAsia" w:ascii="仿宋" w:hAnsi="仿宋" w:eastAsia="仿宋" w:cs="仿宋"/>
          <w:color w:val="000000" w:themeColor="text1"/>
          <w:sz w:val="24"/>
          <w:highlight w:val="none"/>
          <w:u w:val="single"/>
          <w14:textFill>
            <w14:solidFill>
              <w14:schemeClr w14:val="tx1"/>
            </w14:solidFill>
          </w14:textFill>
        </w:rPr>
        <w:t xml:space="preserve">   （中标或者成交供应商名称） </w:t>
      </w:r>
      <w:r>
        <w:rPr>
          <w:rFonts w:hint="eastAsia" w:ascii="仿宋" w:hAnsi="仿宋" w:eastAsia="仿宋" w:cs="仿宋"/>
          <w:color w:val="000000" w:themeColor="text1"/>
          <w:sz w:val="24"/>
          <w:highlight w:val="none"/>
          <w14:textFill>
            <w14:solidFill>
              <w14:schemeClr w14:val="tx1"/>
            </w14:solidFill>
          </w14:textFill>
        </w:rPr>
        <w:t>为该项目中标或者成交供应商。现于中标或者成交通知书发出之日起30日内，按照采购文件确定的事项签订本合同。</w:t>
      </w:r>
    </w:p>
    <w:p w14:paraId="10E6626A">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根据《中华人民共和国民法典》《中华人民共和国政府采购法》等相关法律法规之规定，按照平等、自愿、公平和诚实信用的原则，经</w:t>
      </w:r>
      <w:r>
        <w:rPr>
          <w:rFonts w:hint="eastAsia" w:ascii="仿宋" w:hAnsi="仿宋" w:eastAsia="仿宋" w:cs="仿宋"/>
          <w:color w:val="000000" w:themeColor="text1"/>
          <w:sz w:val="24"/>
          <w:highlight w:val="none"/>
          <w:u w:val="single"/>
          <w14:textFill>
            <w14:solidFill>
              <w14:schemeClr w14:val="tx1"/>
            </w14:solidFill>
          </w14:textFill>
        </w:rPr>
        <w:t xml:space="preserve">   （采购人）   </w:t>
      </w:r>
      <w:r>
        <w:rPr>
          <w:rFonts w:hint="eastAsia" w:ascii="仿宋" w:hAnsi="仿宋" w:eastAsia="仿宋" w:cs="仿宋"/>
          <w:color w:val="000000" w:themeColor="text1"/>
          <w:sz w:val="24"/>
          <w:highlight w:val="none"/>
          <w:lang w:val="zh-CN"/>
          <w14:textFill>
            <w14:solidFill>
              <w14:schemeClr w14:val="tx1"/>
            </w14:solidFill>
          </w14:textFill>
        </w:rPr>
        <w:t>(以下简称：甲方)和</w:t>
      </w:r>
      <w:r>
        <w:rPr>
          <w:rFonts w:hint="eastAsia" w:ascii="仿宋" w:hAnsi="仿宋" w:eastAsia="仿宋" w:cs="仿宋"/>
          <w:color w:val="000000" w:themeColor="text1"/>
          <w:sz w:val="24"/>
          <w:highlight w:val="none"/>
          <w:u w:val="single"/>
          <w14:textFill>
            <w14:solidFill>
              <w14:schemeClr w14:val="tx1"/>
            </w14:solidFill>
          </w14:textFill>
        </w:rPr>
        <w:t xml:space="preserve">   （中或者成交标供应商名称）   </w:t>
      </w:r>
      <w:r>
        <w:rPr>
          <w:rFonts w:hint="eastAsia" w:ascii="仿宋" w:hAnsi="仿宋" w:eastAsia="仿宋" w:cs="仿宋"/>
          <w:color w:val="000000" w:themeColor="text1"/>
          <w:sz w:val="24"/>
          <w:highlight w:val="none"/>
          <w:lang w:val="zh-CN"/>
          <w14:textFill>
            <w14:solidFill>
              <w14:schemeClr w14:val="tx1"/>
            </w14:solidFill>
          </w14:textFill>
        </w:rPr>
        <w:t>(以下简称：乙方)协商一致，约定以下合同</w:t>
      </w:r>
      <w:r>
        <w:rPr>
          <w:rFonts w:hint="eastAsia" w:ascii="仿宋" w:hAnsi="仿宋" w:eastAsia="仿宋" w:cs="仿宋"/>
          <w:color w:val="000000" w:themeColor="text1"/>
          <w:sz w:val="24"/>
          <w:highlight w:val="none"/>
          <w14:textFill>
            <w14:solidFill>
              <w14:schemeClr w14:val="tx1"/>
            </w14:solidFill>
          </w14:textFill>
        </w:rPr>
        <w:t>条款，以兹共同遵守、全面履行。</w:t>
      </w:r>
    </w:p>
    <w:p w14:paraId="6604491A">
      <w:pPr>
        <w:spacing w:line="440" w:lineRule="exact"/>
        <w:ind w:firstLine="482" w:firstLineChars="200"/>
        <w:outlineLvl w:val="0"/>
        <w:rPr>
          <w:rFonts w:ascii="仿宋" w:hAnsi="仿宋" w:eastAsia="仿宋" w:cs="仿宋"/>
          <w:color w:val="000000" w:themeColor="text1"/>
          <w:sz w:val="24"/>
          <w:highlight w:val="none"/>
          <w14:textFill>
            <w14:solidFill>
              <w14:schemeClr w14:val="tx1"/>
            </w14:solidFill>
          </w14:textFill>
        </w:rPr>
      </w:pPr>
      <w:bookmarkStart w:id="48" w:name="_Toc22967"/>
      <w:bookmarkStart w:id="49" w:name="_Toc15367"/>
      <w:bookmarkStart w:id="50" w:name="_Toc19273"/>
      <w:bookmarkStart w:id="51" w:name="_Toc20421"/>
      <w:bookmarkStart w:id="52" w:name="_Toc28855"/>
      <w:r>
        <w:rPr>
          <w:rFonts w:hint="eastAsia" w:ascii="仿宋" w:hAnsi="仿宋" w:eastAsia="仿宋" w:cs="仿宋"/>
          <w:b/>
          <w:color w:val="000000" w:themeColor="text1"/>
          <w:sz w:val="24"/>
          <w:highlight w:val="none"/>
          <w14:textFill>
            <w14:solidFill>
              <w14:schemeClr w14:val="tx1"/>
            </w14:solidFill>
          </w14:textFill>
        </w:rPr>
        <w:t>1.1 合同组成部分</w:t>
      </w:r>
      <w:bookmarkEnd w:id="48"/>
      <w:bookmarkEnd w:id="49"/>
      <w:bookmarkEnd w:id="50"/>
      <w:bookmarkEnd w:id="51"/>
      <w:bookmarkEnd w:id="52"/>
    </w:p>
    <w:p w14:paraId="00B70394">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8AA2127">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1.1.1 本合同及其补充合同、变更协议；</w:t>
      </w:r>
    </w:p>
    <w:p w14:paraId="24868908">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1.1.2 中标或者成交通知书；</w:t>
      </w:r>
    </w:p>
    <w:p w14:paraId="73D97786">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1.1.3 投标或者响应文件（含澄清或者说明文件）；</w:t>
      </w:r>
    </w:p>
    <w:p w14:paraId="386EC461">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1.1.4 采购文件（含澄清或者修改文件）；</w:t>
      </w:r>
    </w:p>
    <w:p w14:paraId="4183F009">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1.1.5 其他相关采购文件。</w:t>
      </w:r>
    </w:p>
    <w:p w14:paraId="57C930B6">
      <w:pPr>
        <w:spacing w:line="44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53" w:name="_Toc6311"/>
      <w:bookmarkStart w:id="54" w:name="_Toc2918"/>
      <w:bookmarkStart w:id="55" w:name="_Toc6773"/>
      <w:bookmarkStart w:id="56" w:name="_Toc18585"/>
      <w:bookmarkStart w:id="57" w:name="_Toc22185"/>
      <w:r>
        <w:rPr>
          <w:rFonts w:hint="eastAsia" w:ascii="仿宋" w:hAnsi="仿宋" w:eastAsia="仿宋" w:cs="仿宋"/>
          <w:b/>
          <w:color w:val="000000" w:themeColor="text1"/>
          <w:sz w:val="24"/>
          <w:highlight w:val="none"/>
          <w14:textFill>
            <w14:solidFill>
              <w14:schemeClr w14:val="tx1"/>
            </w14:solidFill>
          </w14:textFill>
        </w:rPr>
        <w:t>1.2 标的</w:t>
      </w:r>
      <w:bookmarkEnd w:id="53"/>
      <w:bookmarkEnd w:id="54"/>
      <w:bookmarkEnd w:id="55"/>
      <w:bookmarkEnd w:id="56"/>
      <w:bookmarkEnd w:id="57"/>
    </w:p>
    <w:p w14:paraId="3ABDB46E">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1.2.1 服务内容：；</w:t>
      </w:r>
    </w:p>
    <w:p w14:paraId="10BD47A1">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1.2.2 服务标准：；</w:t>
      </w:r>
    </w:p>
    <w:p w14:paraId="74B774B5">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1.2.3 技术保障：</w:t>
      </w:r>
      <w:r>
        <w:rPr>
          <w:rFonts w:hint="eastAsia" w:ascii="仿宋" w:hAnsi="仿宋" w:eastAsia="仿宋" w:cs="仿宋"/>
          <w:color w:val="000000" w:themeColor="text1"/>
          <w:sz w:val="24"/>
          <w:highlight w:val="none"/>
          <w:u w:val="single"/>
          <w14:textFill>
            <w14:solidFill>
              <w14:schemeClr w14:val="tx1"/>
            </w14:solidFill>
          </w14:textFill>
        </w:rPr>
        <w:t>　　　　　　　　　                      　      ；</w:t>
      </w:r>
    </w:p>
    <w:p w14:paraId="6921F4C0">
      <w:pPr>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1.2.4 服务人员组成：</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12D9A809">
      <w:pPr>
        <w:pStyle w:val="958"/>
        <w:spacing w:before="0" w:beforeAutospacing="0" w:after="0" w:afterAutospacing="0" w:line="440" w:lineRule="exact"/>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1.2.5合同（是/否）涉及货物。若涉及货物的，则：</w:t>
      </w:r>
    </w:p>
    <w:p w14:paraId="38E99B7C">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bookmarkStart w:id="58" w:name="_Toc5635"/>
      <w:bookmarkStart w:id="59" w:name="_Toc1386"/>
      <w:bookmarkStart w:id="60" w:name="_Toc13918"/>
      <w:bookmarkStart w:id="61" w:name="_Toc4929"/>
      <w:bookmarkStart w:id="62" w:name="_Toc21124"/>
      <w:r>
        <w:rPr>
          <w:rFonts w:hint="eastAsia" w:ascii="仿宋" w:hAnsi="仿宋" w:eastAsia="仿宋" w:cs="仿宋"/>
          <w:color w:val="000000" w:themeColor="text1"/>
          <w:sz w:val="24"/>
          <w:highlight w:val="none"/>
          <w14:textFill>
            <w14:solidFill>
              <w14:schemeClr w14:val="tx1"/>
            </w14:solidFill>
          </w14:textFill>
        </w:rPr>
        <w:t>1.2.5.1 货物名称、品牌、规格型号、花色：；</w:t>
      </w:r>
    </w:p>
    <w:p w14:paraId="1810B16D">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1.2.5.2 货物数量：；</w:t>
      </w:r>
    </w:p>
    <w:p w14:paraId="6C62F078">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1.2.5.3 货物质量：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2284C759">
      <w:pPr>
        <w:spacing w:line="44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1.3 价款</w:t>
      </w:r>
      <w:bookmarkEnd w:id="58"/>
      <w:bookmarkEnd w:id="59"/>
      <w:bookmarkEnd w:id="60"/>
      <w:bookmarkEnd w:id="61"/>
      <w:bookmarkEnd w:id="62"/>
    </w:p>
    <w:p w14:paraId="7707006F">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本项目采用以下第条款规定的计价方式计价。</w:t>
      </w:r>
    </w:p>
    <w:p w14:paraId="6B4B04EC">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1.3.1总价合同，本合同总价（含税）为：￥元（大写：元人民币）。</w:t>
      </w:r>
    </w:p>
    <w:p w14:paraId="32E47709">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DE6E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3CE5200">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序号</w:t>
            </w:r>
          </w:p>
        </w:tc>
        <w:tc>
          <w:tcPr>
            <w:tcW w:w="3402" w:type="dxa"/>
            <w:vAlign w:val="center"/>
          </w:tcPr>
          <w:p w14:paraId="462EF20C">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分项名称</w:t>
            </w:r>
          </w:p>
        </w:tc>
        <w:tc>
          <w:tcPr>
            <w:tcW w:w="2552" w:type="dxa"/>
            <w:vAlign w:val="center"/>
          </w:tcPr>
          <w:p w14:paraId="0D4E7373">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分项价格</w:t>
            </w:r>
          </w:p>
        </w:tc>
      </w:tr>
      <w:tr w14:paraId="3F008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68B7365">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c>
          <w:tcPr>
            <w:tcW w:w="3402" w:type="dxa"/>
            <w:vAlign w:val="center"/>
          </w:tcPr>
          <w:p w14:paraId="0150BCAD">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c>
          <w:tcPr>
            <w:tcW w:w="2552" w:type="dxa"/>
            <w:vAlign w:val="center"/>
          </w:tcPr>
          <w:p w14:paraId="358613BE">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r>
      <w:tr w14:paraId="59EA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0109AED">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c>
          <w:tcPr>
            <w:tcW w:w="3402" w:type="dxa"/>
            <w:vAlign w:val="center"/>
          </w:tcPr>
          <w:p w14:paraId="3E5F49FF">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c>
          <w:tcPr>
            <w:tcW w:w="2552" w:type="dxa"/>
            <w:vAlign w:val="center"/>
          </w:tcPr>
          <w:p w14:paraId="7F167092">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r>
      <w:tr w14:paraId="07777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6D1281D">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c>
          <w:tcPr>
            <w:tcW w:w="3402" w:type="dxa"/>
            <w:vAlign w:val="center"/>
          </w:tcPr>
          <w:p w14:paraId="11123471">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c>
          <w:tcPr>
            <w:tcW w:w="2552" w:type="dxa"/>
            <w:vAlign w:val="center"/>
          </w:tcPr>
          <w:p w14:paraId="2877FE05">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r>
      <w:tr w14:paraId="240C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4848099">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c>
          <w:tcPr>
            <w:tcW w:w="3402" w:type="dxa"/>
            <w:vAlign w:val="center"/>
          </w:tcPr>
          <w:p w14:paraId="101DFDDD">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c>
          <w:tcPr>
            <w:tcW w:w="2552" w:type="dxa"/>
            <w:vAlign w:val="center"/>
          </w:tcPr>
          <w:p w14:paraId="538EE30E">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r>
      <w:tr w14:paraId="76BBE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6C21821">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总价</w:t>
            </w:r>
          </w:p>
        </w:tc>
        <w:tc>
          <w:tcPr>
            <w:tcW w:w="2552" w:type="dxa"/>
            <w:vAlign w:val="center"/>
          </w:tcPr>
          <w:p w14:paraId="467117B2">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r>
    </w:tbl>
    <w:p w14:paraId="309C9F6E">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bookmarkStart w:id="63" w:name="_Toc3654"/>
      <w:bookmarkStart w:id="64" w:name="_Toc14993"/>
      <w:bookmarkStart w:id="65" w:name="_Toc26916"/>
      <w:bookmarkStart w:id="66" w:name="_Toc30506"/>
      <w:bookmarkStart w:id="67" w:name="_Toc30158"/>
      <w:r>
        <w:rPr>
          <w:rFonts w:hint="eastAsia" w:ascii="仿宋" w:hAnsi="仿宋" w:eastAsia="仿宋" w:cs="仿宋"/>
          <w:bCs/>
          <w:color w:val="000000" w:themeColor="text1"/>
          <w:sz w:val="24"/>
          <w:highlight w:val="none"/>
          <w14:textFill>
            <w14:solidFill>
              <w14:schemeClr w14:val="tx1"/>
            </w14:solidFill>
          </w14:textFill>
        </w:rPr>
        <w:t>1.3.2单价合同，本合同单价（含税）标准为：</w:t>
      </w:r>
      <w:r>
        <w:rPr>
          <w:rFonts w:hint="eastAsia" w:ascii="仿宋" w:hAnsi="仿宋" w:eastAsia="仿宋" w:cs="仿宋"/>
          <w:color w:val="000000" w:themeColor="text1"/>
          <w:sz w:val="24"/>
          <w:highlight w:val="none"/>
          <w14:textFill>
            <w14:solidFill>
              <w14:schemeClr w14:val="tx1"/>
            </w14:solidFill>
          </w14:textFill>
        </w:rPr>
        <w:t>。服务工作量的计量方式为：</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。单价合同，在合同履行期间内，根据实际完成的工作量据实结算，但结算总价上限不得超过预算金额或者双方确定的金额￥元（大写：元人民币）。</w:t>
      </w:r>
    </w:p>
    <w:p w14:paraId="720E9706">
      <w:pPr>
        <w:pStyle w:val="5"/>
        <w:spacing w:line="440" w:lineRule="exact"/>
        <w:ind w:left="0" w:firstLine="480" w:firstLineChars="200"/>
        <w:rPr>
          <w:rFonts w:ascii="仿宋" w:eastAsia="仿宋" w:cs="仿宋"/>
          <w:color w:val="000000" w:themeColor="text1"/>
          <w:highlight w:val="none"/>
          <w:lang w:val="en-US"/>
          <w14:textFill>
            <w14:solidFill>
              <w14:schemeClr w14:val="tx1"/>
            </w14:solidFill>
          </w14:textFill>
        </w:rPr>
      </w:pPr>
      <w:r>
        <w:rPr>
          <w:rFonts w:hint="eastAsia" w:ascii="仿宋" w:eastAsia="仿宋" w:cs="仿宋"/>
          <w:b w:val="0"/>
          <w:bCs w:val="0"/>
          <w:color w:val="000000" w:themeColor="text1"/>
          <w:sz w:val="24"/>
          <w:highlight w:val="none"/>
          <w:lang w:val="en-US"/>
          <w14:textFill>
            <w14:solidFill>
              <w14:schemeClr w14:val="tx1"/>
            </w14:solidFill>
          </w14:textFill>
        </w:rPr>
        <w:t>1.3.3其他计价方式：</w:t>
      </w:r>
      <w:r>
        <w:rPr>
          <w:rFonts w:hint="eastAsia" w:ascii="仿宋" w:eastAsia="仿宋" w:cs="仿宋"/>
          <w:b w:val="0"/>
          <w:bCs w:val="0"/>
          <w:color w:val="000000" w:themeColor="text1"/>
          <w:sz w:val="24"/>
          <w:highlight w:val="none"/>
          <w14:textFill>
            <w14:solidFill>
              <w14:schemeClr w14:val="tx1"/>
            </w14:solidFill>
          </w14:textFill>
        </w:rPr>
        <w:t>。</w:t>
      </w:r>
    </w:p>
    <w:bookmarkEnd w:id="63"/>
    <w:bookmarkEnd w:id="64"/>
    <w:bookmarkEnd w:id="65"/>
    <w:bookmarkEnd w:id="66"/>
    <w:bookmarkEnd w:id="67"/>
    <w:p w14:paraId="3DD3CC1E">
      <w:pPr>
        <w:pStyle w:val="958"/>
        <w:spacing w:before="0" w:beforeAutospacing="0" w:after="0" w:afterAutospacing="0" w:line="440" w:lineRule="exact"/>
        <w:ind w:firstLine="482" w:firstLineChars="200"/>
        <w:rPr>
          <w:rFonts w:ascii="仿宋" w:hAnsi="仿宋" w:eastAsia="仿宋" w:cs="仿宋"/>
          <w:b/>
          <w:color w:val="000000" w:themeColor="text1"/>
          <w:highlight w:val="none"/>
          <w14:textFill>
            <w14:solidFill>
              <w14:schemeClr w14:val="tx1"/>
            </w14:solidFill>
          </w14:textFill>
        </w:rPr>
      </w:pPr>
      <w:bookmarkStart w:id="68" w:name="_Toc22618"/>
      <w:bookmarkStart w:id="69" w:name="_Toc10340"/>
      <w:bookmarkStart w:id="70" w:name="_Toc1814"/>
      <w:bookmarkStart w:id="71" w:name="_Toc8772"/>
      <w:bookmarkStart w:id="72" w:name="_Toc31421"/>
      <w:bookmarkStart w:id="73" w:name="_Toc4760"/>
      <w:bookmarkStart w:id="74" w:name="_Toc3625"/>
      <w:bookmarkStart w:id="75" w:name="_Toc11108"/>
      <w:r>
        <w:rPr>
          <w:rFonts w:hint="eastAsia" w:ascii="仿宋" w:hAnsi="仿宋" w:eastAsia="仿宋" w:cs="仿宋"/>
          <w:b/>
          <w:color w:val="000000" w:themeColor="text1"/>
          <w:highlight w:val="none"/>
          <w14:textFill>
            <w14:solidFill>
              <w14:schemeClr w14:val="tx1"/>
            </w14:solidFill>
          </w14:textFill>
        </w:rPr>
        <w:t>1.4履约保证金</w:t>
      </w:r>
    </w:p>
    <w:p w14:paraId="41A99604">
      <w:pPr>
        <w:pStyle w:val="958"/>
        <w:spacing w:before="0" w:beforeAutospacing="0" w:after="0" w:afterAutospacing="0" w:line="440" w:lineRule="exact"/>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乙方（是/否）需要支付履约保证金。若需要支付履约保证金的，则：</w:t>
      </w:r>
    </w:p>
    <w:p w14:paraId="4FB54141">
      <w:pPr>
        <w:spacing w:line="440" w:lineRule="exact"/>
        <w:ind w:firstLine="480" w:firstLineChars="200"/>
        <w:outlineLvl w:val="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1.4.1履约保证金的比例为合同金额的%；</w:t>
      </w:r>
    </w:p>
    <w:p w14:paraId="0E4CD2C7">
      <w:pPr>
        <w:spacing w:line="440" w:lineRule="exact"/>
        <w:ind w:firstLine="480" w:firstLineChars="200"/>
        <w:outlineLvl w:val="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1.4.2履约保证金支付方式详见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kern w:val="0"/>
          <w:sz w:val="24"/>
          <w:highlight w:val="none"/>
          <w14:textFill>
            <w14:solidFill>
              <w14:schemeClr w14:val="tx1"/>
            </w14:solidFill>
          </w14:textFill>
        </w:rPr>
        <w:t>；</w:t>
      </w:r>
    </w:p>
    <w:p w14:paraId="7271D4DD">
      <w:pPr>
        <w:pStyle w:val="5"/>
        <w:tabs>
          <w:tab w:val="left" w:pos="0"/>
        </w:tabs>
        <w:spacing w:line="440" w:lineRule="exact"/>
        <w:ind w:left="0" w:firstLine="480" w:firstLineChars="200"/>
        <w:rPr>
          <w:rFonts w:ascii="仿宋" w:eastAsia="仿宋" w:cs="仿宋"/>
          <w:color w:val="000000" w:themeColor="text1"/>
          <w:highlight w:val="none"/>
          <w:lang w:val="en-US"/>
          <w14:textFill>
            <w14:solidFill>
              <w14:schemeClr w14:val="tx1"/>
            </w14:solidFill>
          </w14:textFill>
        </w:rPr>
      </w:pPr>
      <w:r>
        <w:rPr>
          <w:rFonts w:hint="eastAsia" w:ascii="仿宋" w:eastAsia="仿宋" w:cs="仿宋"/>
          <w:b w:val="0"/>
          <w:bCs w:val="0"/>
          <w:color w:val="000000" w:themeColor="text1"/>
          <w:kern w:val="0"/>
          <w:sz w:val="24"/>
          <w:szCs w:val="24"/>
          <w:highlight w:val="none"/>
          <w:lang w:val="en-US"/>
          <w14:textFill>
            <w14:solidFill>
              <w14:schemeClr w14:val="tx1"/>
            </w14:solidFill>
          </w14:textFill>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23CB3D6">
      <w:pPr>
        <w:spacing w:line="440" w:lineRule="exact"/>
        <w:ind w:firstLine="480" w:firstLineChars="200"/>
        <w:outlineLvl w:val="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1D68C607">
      <w:pPr>
        <w:spacing w:line="44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w:t>
      </w:r>
      <w:bookmarkEnd w:id="68"/>
      <w:bookmarkEnd w:id="69"/>
      <w:bookmarkEnd w:id="70"/>
      <w:r>
        <w:rPr>
          <w:rFonts w:hint="eastAsia" w:ascii="仿宋" w:hAnsi="仿宋" w:eastAsia="仿宋" w:cs="仿宋"/>
          <w:b/>
          <w:color w:val="000000" w:themeColor="text1"/>
          <w:sz w:val="24"/>
          <w:highlight w:val="none"/>
          <w14:textFill>
            <w14:solidFill>
              <w14:schemeClr w14:val="tx1"/>
            </w14:solidFill>
          </w14:textFill>
        </w:rPr>
        <w:t>预付款</w:t>
      </w:r>
    </w:p>
    <w:p w14:paraId="5FBF5D49">
      <w:pPr>
        <w:pStyle w:val="958"/>
        <w:spacing w:before="0" w:beforeAutospacing="0" w:after="0" w:afterAutospacing="0" w:line="440" w:lineRule="exact"/>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甲方（是/否）需要支付预付款。若需要支付预付款的，则：</w:t>
      </w:r>
    </w:p>
    <w:p w14:paraId="109B63E7">
      <w:pPr>
        <w:spacing w:line="440" w:lineRule="exact"/>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1.5.1预付款比例、支付方式、时间详见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kern w:val="0"/>
          <w:sz w:val="24"/>
          <w:highlight w:val="none"/>
          <w14:textFill>
            <w14:solidFill>
              <w14:schemeClr w14:val="tx1"/>
            </w14:solidFill>
          </w14:textFill>
        </w:rPr>
        <w:t>；</w:t>
      </w:r>
    </w:p>
    <w:p w14:paraId="737F806D">
      <w:pPr>
        <w:pStyle w:val="958"/>
        <w:spacing w:before="0" w:beforeAutospacing="0" w:after="0" w:afterAutospacing="0" w:line="440" w:lineRule="exact"/>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1.5.2预付款的扣回方式详见</w:t>
      </w:r>
      <w:r>
        <w:rPr>
          <w:rFonts w:hint="eastAsia" w:ascii="仿宋" w:hAnsi="仿宋" w:eastAsia="仿宋" w:cs="仿宋"/>
          <w:b/>
          <w:i/>
          <w:color w:val="000000" w:themeColor="text1"/>
          <w:highlight w:val="none"/>
          <w:u w:val="single"/>
          <w14:textFill>
            <w14:solidFill>
              <w14:schemeClr w14:val="tx1"/>
            </w14:solidFill>
          </w14:textFill>
        </w:rPr>
        <w:t>合同专用条款</w:t>
      </w:r>
      <w:r>
        <w:rPr>
          <w:rFonts w:hint="eastAsia" w:ascii="仿宋" w:hAnsi="仿宋" w:eastAsia="仿宋" w:cs="仿宋"/>
          <w:color w:val="000000" w:themeColor="text1"/>
          <w:highlight w:val="none"/>
          <w14:textFill>
            <w14:solidFill>
              <w14:schemeClr w14:val="tx1"/>
            </w14:solidFill>
          </w14:textFill>
        </w:rPr>
        <w:t>；</w:t>
      </w:r>
    </w:p>
    <w:p w14:paraId="67B9A123">
      <w:pPr>
        <w:pStyle w:val="958"/>
        <w:spacing w:before="0" w:beforeAutospacing="0" w:after="0" w:afterAutospacing="0" w:line="440" w:lineRule="exact"/>
        <w:ind w:firstLine="480" w:firstLineChars="200"/>
        <w:rPr>
          <w:rFonts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1.5.3预付款的担保措施详见</w:t>
      </w:r>
      <w:r>
        <w:rPr>
          <w:rFonts w:hint="eastAsia" w:ascii="仿宋" w:hAnsi="仿宋" w:eastAsia="仿宋" w:cs="仿宋"/>
          <w:b/>
          <w:i/>
          <w:color w:val="000000" w:themeColor="text1"/>
          <w:highlight w:val="none"/>
          <w:u w:val="single"/>
          <w14:textFill>
            <w14:solidFill>
              <w14:schemeClr w14:val="tx1"/>
            </w14:solidFill>
          </w14:textFill>
        </w:rPr>
        <w:t>合同专用条款</w:t>
      </w:r>
      <w:r>
        <w:rPr>
          <w:rFonts w:hint="eastAsia" w:ascii="仿宋" w:hAnsi="仿宋" w:eastAsia="仿宋" w:cs="仿宋"/>
          <w:color w:val="000000" w:themeColor="text1"/>
          <w:highlight w:val="none"/>
          <w14:textFill>
            <w14:solidFill>
              <w14:schemeClr w14:val="tx1"/>
            </w14:solidFill>
          </w14:textFill>
        </w:rPr>
        <w:t>。</w:t>
      </w:r>
    </w:p>
    <w:p w14:paraId="46911E2F">
      <w:pPr>
        <w:pStyle w:val="958"/>
        <w:spacing w:before="0" w:beforeAutospacing="0" w:after="0" w:afterAutospacing="0" w:line="440" w:lineRule="exact"/>
        <w:ind w:firstLine="482" w:firstLineChars="200"/>
        <w:rPr>
          <w:rFonts w:ascii="仿宋" w:hAnsi="仿宋" w:eastAsia="仿宋" w:cs="仿宋"/>
          <w:b/>
          <w:bCs/>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14:textFill>
            <w14:solidFill>
              <w14:schemeClr w14:val="tx1"/>
            </w14:solidFill>
          </w14:textFill>
        </w:rPr>
        <w:t>1.6资金支付</w:t>
      </w:r>
    </w:p>
    <w:p w14:paraId="0571A6F7">
      <w:pPr>
        <w:pStyle w:val="958"/>
        <w:spacing w:before="0" w:beforeAutospacing="0" w:after="0" w:afterAutospacing="0" w:line="440" w:lineRule="exact"/>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6CCA5AF3">
      <w:pPr>
        <w:spacing w:line="440" w:lineRule="exact"/>
        <w:ind w:firstLine="480" w:firstLineChars="200"/>
        <w:outlineLvl w:val="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1.6.2资金支付的方式、时间和条件详见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781FAF1A">
      <w:pPr>
        <w:spacing w:line="44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1.7 履行期限、地点和方式</w:t>
      </w:r>
      <w:bookmarkEnd w:id="71"/>
      <w:bookmarkEnd w:id="72"/>
      <w:bookmarkEnd w:id="73"/>
      <w:bookmarkEnd w:id="74"/>
      <w:bookmarkEnd w:id="75"/>
    </w:p>
    <w:p w14:paraId="0BEA4DC3">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1.7.1 服务交付（实施）的时间（期限）：</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6100412F">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1.7.2 服务交付（实施）的地点（地域范围）：</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35656B79">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1.7.3 服务交付（实施）的方式：</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492D5844">
      <w:pPr>
        <w:spacing w:line="440" w:lineRule="exact"/>
        <w:ind w:firstLine="480" w:firstLineChars="200"/>
        <w:outlineLvl w:val="0"/>
        <w:rPr>
          <w:rFonts w:ascii="仿宋" w:hAnsi="仿宋" w:eastAsia="仿宋" w:cs="仿宋"/>
          <w:bCs/>
          <w:color w:val="000000" w:themeColor="text1"/>
          <w:sz w:val="24"/>
          <w:highlight w:val="none"/>
          <w14:textFill>
            <w14:solidFill>
              <w14:schemeClr w14:val="tx1"/>
            </w14:solidFill>
          </w14:textFill>
        </w:rPr>
      </w:pPr>
      <w:bookmarkStart w:id="76" w:name="_Toc2375"/>
      <w:bookmarkStart w:id="77" w:name="_Toc3079"/>
      <w:bookmarkStart w:id="78" w:name="_Toc24662"/>
      <w:bookmarkStart w:id="79" w:name="_Toc5698"/>
      <w:bookmarkStart w:id="80" w:name="_Toc8586"/>
      <w:r>
        <w:rPr>
          <w:rFonts w:hint="eastAsia" w:ascii="仿宋" w:hAnsi="仿宋" w:eastAsia="仿宋" w:cs="仿宋"/>
          <w:bCs/>
          <w:color w:val="000000" w:themeColor="text1"/>
          <w:sz w:val="24"/>
          <w:highlight w:val="none"/>
          <w14:textFill>
            <w14:solidFill>
              <w14:schemeClr w14:val="tx1"/>
            </w14:solidFill>
          </w14:textFill>
        </w:rPr>
        <w:t>1.7.4若服务涉及货物的，则货物的：</w:t>
      </w:r>
    </w:p>
    <w:p w14:paraId="7AE807CE">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1.7.4.1 交付期限：详见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2E5BD126">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1.7.4.2 交付地点：</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09B3B240">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1.7.4.3 交付方式：</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50BF2BFD">
      <w:pPr>
        <w:spacing w:line="440" w:lineRule="exact"/>
        <w:ind w:firstLine="482" w:firstLineChars="200"/>
        <w:outlineLvl w:val="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1.8违约责任</w:t>
      </w:r>
      <w:bookmarkEnd w:id="76"/>
      <w:bookmarkEnd w:id="77"/>
      <w:bookmarkEnd w:id="78"/>
      <w:bookmarkEnd w:id="79"/>
      <w:bookmarkEnd w:id="80"/>
    </w:p>
    <w:p w14:paraId="6FFF232C">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14:paraId="7B6CF86B">
      <w:pPr>
        <w:pStyle w:val="5"/>
        <w:spacing w:line="440" w:lineRule="exact"/>
        <w:ind w:left="0" w:firstLine="480" w:firstLineChars="200"/>
        <w:rPr>
          <w:rFonts w:ascii="仿宋" w:eastAsia="仿宋" w:cs="仿宋"/>
          <w:b w:val="0"/>
          <w:bCs w:val="0"/>
          <w:color w:val="000000" w:themeColor="text1"/>
          <w:sz w:val="24"/>
          <w:szCs w:val="24"/>
          <w:highlight w:val="none"/>
          <w:lang w:val="en-US"/>
          <w14:textFill>
            <w14:solidFill>
              <w14:schemeClr w14:val="tx1"/>
            </w14:solidFill>
          </w14:textFill>
        </w:rPr>
      </w:pPr>
      <w:r>
        <w:rPr>
          <w:rFonts w:hint="eastAsia" w:ascii="仿宋" w:eastAsia="仿宋" w:cs="仿宋"/>
          <w:b w:val="0"/>
          <w:bCs w:val="0"/>
          <w:color w:val="000000" w:themeColor="text1"/>
          <w:sz w:val="24"/>
          <w:szCs w:val="24"/>
          <w:highlight w:val="none"/>
          <w:lang w:val="en-US"/>
          <w14:textFill>
            <w14:solidFill>
              <w14:schemeClr w14:val="tx1"/>
            </w14:solidFill>
          </w14:textFill>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5375ED66">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5C9BD1D0">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bookmarkStart w:id="81" w:name="_Toc18683"/>
      <w:bookmarkStart w:id="82" w:name="_Toc30329"/>
      <w:bookmarkStart w:id="83" w:name="_Toc32454"/>
      <w:bookmarkStart w:id="84" w:name="_Toc9497"/>
      <w:bookmarkStart w:id="85" w:name="_Toc26807"/>
      <w:r>
        <w:rPr>
          <w:rFonts w:hint="eastAsia" w:ascii="仿宋" w:hAnsi="仿宋" w:eastAsia="仿宋" w:cs="仿宋"/>
          <w:color w:val="000000" w:themeColor="text1"/>
          <w:sz w:val="24"/>
          <w:highlight w:val="none"/>
          <w14:textFill>
            <w14:solidFill>
              <w14:schemeClr w14:val="tx1"/>
            </w14:solidFill>
          </w14:textFill>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8AF5F8A">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DFF2901">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1.8.6如果出现政府采购监督管理部门在处理投诉事项期间，书面通知甲方暂停采购活动的情形，或者询问或质疑事项可能影响中标或者成交结果的，导致甲方中止履行合同的情形，均不视为甲方违约。</w:t>
      </w:r>
    </w:p>
    <w:p w14:paraId="68C40C32">
      <w:pPr>
        <w:spacing w:line="440" w:lineRule="exact"/>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1.8.7违约责任</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另有约定的，从其约定。</w:t>
      </w:r>
    </w:p>
    <w:bookmarkEnd w:id="81"/>
    <w:bookmarkEnd w:id="82"/>
    <w:bookmarkEnd w:id="83"/>
    <w:bookmarkEnd w:id="84"/>
    <w:bookmarkEnd w:id="85"/>
    <w:p w14:paraId="5F0415A3">
      <w:pPr>
        <w:spacing w:line="44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86" w:name="_Toc15583"/>
      <w:bookmarkStart w:id="87" w:name="_Toc28375"/>
      <w:bookmarkStart w:id="88" w:name="_Toc16021"/>
      <w:r>
        <w:rPr>
          <w:rFonts w:hint="eastAsia" w:ascii="仿宋" w:hAnsi="仿宋" w:eastAsia="仿宋" w:cs="仿宋"/>
          <w:b/>
          <w:color w:val="000000" w:themeColor="text1"/>
          <w:sz w:val="24"/>
          <w:highlight w:val="none"/>
          <w14:textFill>
            <w14:solidFill>
              <w14:schemeClr w14:val="tx1"/>
            </w14:solidFill>
          </w14:textFill>
        </w:rPr>
        <w:t>1.9合同争议的解决</w:t>
      </w:r>
      <w:bookmarkEnd w:id="86"/>
      <w:bookmarkEnd w:id="87"/>
      <w:bookmarkEnd w:id="88"/>
    </w:p>
    <w:p w14:paraId="2A8D9DB3">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本合同履行过程中发生的任何争议，双方当事人均可通过和解或者调解解决；不愿和解、调解或者和解、调解不成的，将争议提交绍兴仲裁委员会柯桥分会仲裁。</w:t>
      </w:r>
    </w:p>
    <w:p w14:paraId="0B86635F">
      <w:pPr>
        <w:spacing w:line="44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89" w:name="_Toc15322"/>
      <w:bookmarkStart w:id="90" w:name="_Toc7245"/>
      <w:bookmarkStart w:id="91" w:name="_Toc11173"/>
      <w:r>
        <w:rPr>
          <w:rFonts w:hint="eastAsia" w:ascii="仿宋" w:hAnsi="仿宋" w:eastAsia="仿宋" w:cs="仿宋"/>
          <w:b/>
          <w:color w:val="000000" w:themeColor="text1"/>
          <w:sz w:val="24"/>
          <w:highlight w:val="none"/>
          <w14:textFill>
            <w14:solidFill>
              <w14:schemeClr w14:val="tx1"/>
            </w14:solidFill>
          </w14:textFill>
        </w:rPr>
        <w:t>2.0 合同生效</w:t>
      </w:r>
      <w:bookmarkEnd w:id="89"/>
      <w:bookmarkEnd w:id="90"/>
      <w:bookmarkEnd w:id="91"/>
    </w:p>
    <w:p w14:paraId="08C2B95B">
      <w:pPr>
        <w:spacing w:line="440" w:lineRule="exact"/>
        <w:ind w:firstLine="480" w:firstLineChars="200"/>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本合同自双方当事人盖章签字时生效。</w:t>
      </w:r>
    </w:p>
    <w:p w14:paraId="2EAD6FC5">
      <w:pPr>
        <w:autoSpaceDE w:val="0"/>
        <w:autoSpaceDN w:val="0"/>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甲方</w:t>
      </w:r>
      <w:r>
        <w:rPr>
          <w:rFonts w:hint="eastAsia" w:ascii="仿宋" w:hAnsi="仿宋" w:eastAsia="仿宋" w:cs="仿宋"/>
          <w:color w:val="000000" w:themeColor="text1"/>
          <w:sz w:val="24"/>
          <w:highlight w:val="none"/>
          <w:lang w:val="zh-CN"/>
          <w14:textFill>
            <w14:solidFill>
              <w14:schemeClr w14:val="tx1"/>
            </w14:solidFill>
          </w14:textFill>
        </w:rPr>
        <w:t xml:space="preserve">：                             </w:t>
      </w:r>
      <w:r>
        <w:rPr>
          <w:rFonts w:hint="eastAsia" w:ascii="仿宋" w:hAnsi="仿宋" w:eastAsia="仿宋" w:cs="仿宋"/>
          <w:b/>
          <w:color w:val="000000" w:themeColor="text1"/>
          <w:sz w:val="24"/>
          <w:highlight w:val="none"/>
          <w:lang w:val="zh-CN"/>
          <w14:textFill>
            <w14:solidFill>
              <w14:schemeClr w14:val="tx1"/>
            </w14:solidFill>
          </w14:textFill>
        </w:rPr>
        <w:t xml:space="preserve">      乙方</w:t>
      </w:r>
      <w:r>
        <w:rPr>
          <w:rFonts w:hint="eastAsia" w:ascii="仿宋" w:hAnsi="仿宋" w:eastAsia="仿宋" w:cs="仿宋"/>
          <w:color w:val="000000" w:themeColor="text1"/>
          <w:sz w:val="24"/>
          <w:highlight w:val="none"/>
          <w:lang w:val="zh-CN"/>
          <w14:textFill>
            <w14:solidFill>
              <w14:schemeClr w14:val="tx1"/>
            </w14:solidFill>
          </w14:textFill>
        </w:rPr>
        <w:t>：</w:t>
      </w:r>
    </w:p>
    <w:p w14:paraId="63777C87">
      <w:pPr>
        <w:autoSpaceDE w:val="0"/>
        <w:autoSpaceDN w:val="0"/>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统一社会信用代码：                       统一社会信用代码或身份证号码：</w:t>
      </w:r>
    </w:p>
    <w:p w14:paraId="4C50948E">
      <w:pPr>
        <w:autoSpaceDE w:val="0"/>
        <w:autoSpaceDN w:val="0"/>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住所：                                   住所：</w:t>
      </w:r>
    </w:p>
    <w:p w14:paraId="404153E4">
      <w:pPr>
        <w:autoSpaceDE w:val="0"/>
        <w:autoSpaceDN w:val="0"/>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法定代表人或                             法定代表人或</w:t>
      </w:r>
    </w:p>
    <w:p w14:paraId="4E0BCAB9">
      <w:pPr>
        <w:autoSpaceDE w:val="0"/>
        <w:autoSpaceDN w:val="0"/>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授权代表（签字）：                       授权代表（签字）: </w:t>
      </w:r>
    </w:p>
    <w:p w14:paraId="584EAFE3">
      <w:pPr>
        <w:autoSpaceDE w:val="0"/>
        <w:autoSpaceDN w:val="0"/>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联系人：                                 联系人：</w:t>
      </w:r>
    </w:p>
    <w:p w14:paraId="4844C4BE">
      <w:pPr>
        <w:autoSpaceDE w:val="0"/>
        <w:autoSpaceDN w:val="0"/>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约定送达地址：                           约定送达地址：</w:t>
      </w:r>
    </w:p>
    <w:p w14:paraId="2CA261C7">
      <w:pPr>
        <w:autoSpaceDE w:val="0"/>
        <w:autoSpaceDN w:val="0"/>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邮政编码：                               邮政编码：</w:t>
      </w:r>
    </w:p>
    <w:p w14:paraId="6AE59943">
      <w:pPr>
        <w:autoSpaceDE w:val="0"/>
        <w:autoSpaceDN w:val="0"/>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电话:                                    电话: </w:t>
      </w:r>
    </w:p>
    <w:p w14:paraId="54556E35">
      <w:pPr>
        <w:autoSpaceDE w:val="0"/>
        <w:autoSpaceDN w:val="0"/>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传真:                                    传真:</w:t>
      </w:r>
    </w:p>
    <w:p w14:paraId="240AAFD7">
      <w:pPr>
        <w:autoSpaceDE w:val="0"/>
        <w:autoSpaceDN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电子邮箱：                               电子邮箱：</w:t>
      </w:r>
    </w:p>
    <w:p w14:paraId="0F395E53">
      <w:pPr>
        <w:autoSpaceDE w:val="0"/>
        <w:autoSpaceDN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开户银行：                               开户银行： </w:t>
      </w:r>
    </w:p>
    <w:p w14:paraId="309501B1">
      <w:pPr>
        <w:autoSpaceDE w:val="0"/>
        <w:autoSpaceDN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开户名称：                               开户名称： </w:t>
      </w:r>
    </w:p>
    <w:p w14:paraId="094DC80C">
      <w:pPr>
        <w:autoSpaceDE w:val="0"/>
        <w:autoSpaceDN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开户账号：开户账号：</w:t>
      </w:r>
    </w:p>
    <w:p w14:paraId="23A3D3E2">
      <w:pPr>
        <w:widowControl/>
        <w:adjustRightInd/>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br w:type="page"/>
      </w:r>
    </w:p>
    <w:p w14:paraId="2489E5B8">
      <w:pPr>
        <w:pStyle w:val="79"/>
        <w:spacing w:line="560" w:lineRule="exact"/>
        <w:ind w:firstLine="482"/>
        <w:jc w:val="center"/>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第二部分 合同一般条款</w:t>
      </w:r>
    </w:p>
    <w:p w14:paraId="096BB1CA">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92" w:name="_Toc25079"/>
      <w:bookmarkStart w:id="93" w:name="_Toc5228"/>
      <w:bookmarkStart w:id="94" w:name="_Toc31297"/>
      <w:bookmarkStart w:id="95" w:name="_Toc19680"/>
      <w:bookmarkStart w:id="96" w:name="_Toc14021"/>
      <w:r>
        <w:rPr>
          <w:rFonts w:hint="eastAsia" w:ascii="仿宋" w:hAnsi="仿宋" w:eastAsia="仿宋" w:cs="仿宋"/>
          <w:b/>
          <w:color w:val="000000" w:themeColor="text1"/>
          <w:sz w:val="24"/>
          <w:highlight w:val="none"/>
          <w14:textFill>
            <w14:solidFill>
              <w14:schemeClr w14:val="tx1"/>
            </w14:solidFill>
          </w14:textFill>
        </w:rPr>
        <w:t>2.1 定义</w:t>
      </w:r>
      <w:bookmarkEnd w:id="92"/>
      <w:bookmarkEnd w:id="93"/>
      <w:bookmarkEnd w:id="94"/>
      <w:bookmarkEnd w:id="95"/>
      <w:bookmarkEnd w:id="96"/>
    </w:p>
    <w:p w14:paraId="54080F22">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本合同中的下列词语应按以下内容进行解释：</w:t>
      </w:r>
    </w:p>
    <w:p w14:paraId="36BD712E">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 “合同”系指采购人和中标或成交供应商签订的载明双方当事人所达成的协议，并包括所有的附件、附录和构成合同的其他文件。</w:t>
      </w:r>
    </w:p>
    <w:p w14:paraId="7468D109">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 “合同价”系指根据合同约定，中标或成交供应商在完全履行合同义务后，采购人应支付给中标或成交供应商的价格。</w:t>
      </w:r>
    </w:p>
    <w:p w14:paraId="19732093">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2.1.3 “服务”系指中标或成交供应商根据合同约定应向采购人履行的除货物和工程以外的其他政府采购对象，包括采购人自身需要的服务和向社会公众提供的公共服务。</w:t>
      </w:r>
    </w:p>
    <w:p w14:paraId="03D9E3BB">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 “甲方”系指与中标或成交供应商签署合同的采购人；采购人委托采购代理机构代表其与乙方签订合同的，采购人的授权委托书作为合同附件。</w:t>
      </w:r>
    </w:p>
    <w:p w14:paraId="06D2E073">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BBF8A97">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2.1.6 “现场”系指合同约定提供服务的地点。</w:t>
      </w:r>
    </w:p>
    <w:p w14:paraId="6F05EADB">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97" w:name="_Toc31402"/>
      <w:bookmarkStart w:id="98" w:name="_Toc23289"/>
      <w:bookmarkStart w:id="99" w:name="_Toc19539"/>
      <w:bookmarkStart w:id="100" w:name="_Toc16752"/>
      <w:bookmarkStart w:id="101" w:name="_Toc3769"/>
      <w:r>
        <w:rPr>
          <w:rFonts w:hint="eastAsia" w:ascii="仿宋" w:hAnsi="仿宋" w:eastAsia="仿宋" w:cs="仿宋"/>
          <w:b/>
          <w:color w:val="000000" w:themeColor="text1"/>
          <w:sz w:val="24"/>
          <w:highlight w:val="none"/>
          <w14:textFill>
            <w14:solidFill>
              <w14:schemeClr w14:val="tx1"/>
            </w14:solidFill>
          </w14:textFill>
        </w:rPr>
        <w:t>2.2 技术规范</w:t>
      </w:r>
      <w:bookmarkEnd w:id="97"/>
      <w:bookmarkEnd w:id="98"/>
      <w:bookmarkEnd w:id="99"/>
      <w:bookmarkEnd w:id="100"/>
      <w:bookmarkEnd w:id="101"/>
    </w:p>
    <w:p w14:paraId="4CE7A9D2">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393CCC1">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02" w:name="_Toc4133"/>
      <w:bookmarkStart w:id="103" w:name="_Toc27945"/>
      <w:bookmarkStart w:id="104" w:name="_Toc13673"/>
      <w:bookmarkStart w:id="105" w:name="_Toc9161"/>
      <w:bookmarkStart w:id="106" w:name="_Toc12412"/>
      <w:r>
        <w:rPr>
          <w:rFonts w:hint="eastAsia" w:ascii="仿宋" w:hAnsi="仿宋" w:eastAsia="仿宋" w:cs="仿宋"/>
          <w:b/>
          <w:color w:val="000000" w:themeColor="text1"/>
          <w:sz w:val="24"/>
          <w:highlight w:val="none"/>
          <w14:textFill>
            <w14:solidFill>
              <w14:schemeClr w14:val="tx1"/>
            </w14:solidFill>
          </w14:textFill>
        </w:rPr>
        <w:t>2.3 知识产权</w:t>
      </w:r>
      <w:bookmarkEnd w:id="102"/>
      <w:bookmarkEnd w:id="103"/>
      <w:bookmarkEnd w:id="104"/>
      <w:bookmarkEnd w:id="105"/>
      <w:bookmarkEnd w:id="106"/>
    </w:p>
    <w:p w14:paraId="6D2299DF">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C9295D2">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2.3.2 合同涉及技术成果的归属和收益的分成办法的，详见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4E617FAC">
      <w:pPr>
        <w:spacing w:line="560" w:lineRule="exact"/>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2.4 履约检查和问题反馈</w:t>
      </w:r>
    </w:p>
    <w:p w14:paraId="763BE73F">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7A77E27">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2.4.2 合同履行期间，甲方有权将履行过程中出现的问题反馈给乙方，双方当事人应以书面形式约定需要完善和改进的内容。</w:t>
      </w:r>
    </w:p>
    <w:p w14:paraId="73ABFD9A">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07" w:name="_Toc32670"/>
      <w:bookmarkStart w:id="108" w:name="_Toc31233"/>
      <w:bookmarkStart w:id="109" w:name="_Toc22011"/>
      <w:bookmarkStart w:id="110" w:name="_Toc26555"/>
      <w:bookmarkStart w:id="111" w:name="_Toc15447"/>
      <w:r>
        <w:rPr>
          <w:rFonts w:hint="eastAsia" w:ascii="仿宋" w:hAnsi="仿宋" w:eastAsia="仿宋" w:cs="仿宋"/>
          <w:b/>
          <w:color w:val="000000" w:themeColor="text1"/>
          <w:sz w:val="24"/>
          <w:highlight w:val="none"/>
          <w14:textFill>
            <w14:solidFill>
              <w14:schemeClr w14:val="tx1"/>
            </w14:solidFill>
          </w14:textFill>
        </w:rPr>
        <w:t>2.5 结算方式和付款条件</w:t>
      </w:r>
      <w:bookmarkEnd w:id="107"/>
      <w:bookmarkEnd w:id="108"/>
      <w:bookmarkEnd w:id="109"/>
      <w:bookmarkEnd w:id="110"/>
      <w:bookmarkEnd w:id="111"/>
    </w:p>
    <w:p w14:paraId="51227FD3">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6260D52E">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12" w:name="_Toc16163"/>
      <w:bookmarkStart w:id="113" w:name="_Toc18990"/>
      <w:bookmarkStart w:id="114" w:name="_Toc13467"/>
      <w:bookmarkStart w:id="115" w:name="_Toc30507"/>
      <w:bookmarkStart w:id="116" w:name="_Toc13154"/>
      <w:r>
        <w:rPr>
          <w:rFonts w:hint="eastAsia" w:ascii="仿宋" w:hAnsi="仿宋" w:eastAsia="仿宋" w:cs="仿宋"/>
          <w:b/>
          <w:color w:val="000000" w:themeColor="text1"/>
          <w:sz w:val="24"/>
          <w:highlight w:val="none"/>
          <w14:textFill>
            <w14:solidFill>
              <w14:schemeClr w14:val="tx1"/>
            </w14:solidFill>
          </w14:textFill>
        </w:rPr>
        <w:t>2.6 技术资料和保密义务</w:t>
      </w:r>
      <w:bookmarkEnd w:id="112"/>
      <w:bookmarkEnd w:id="113"/>
      <w:bookmarkEnd w:id="114"/>
      <w:bookmarkEnd w:id="115"/>
      <w:bookmarkEnd w:id="116"/>
    </w:p>
    <w:p w14:paraId="6A3C40D8">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2.6.1 乙方有权依据合同约定和项目需要，向甲方了解有关情况，调阅有关资料等，甲方应予积极配合；</w:t>
      </w:r>
    </w:p>
    <w:p w14:paraId="75D3C032">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2.6.2 乙方有义务妥善保管和保护由甲方提供的前款信息和资料等；</w:t>
      </w:r>
    </w:p>
    <w:p w14:paraId="00E10CE0">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DD8FDCC">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17" w:name="_Toc19069"/>
      <w:r>
        <w:rPr>
          <w:rFonts w:hint="eastAsia" w:ascii="仿宋" w:hAnsi="仿宋" w:eastAsia="仿宋" w:cs="仿宋"/>
          <w:b/>
          <w:color w:val="000000" w:themeColor="text1"/>
          <w:sz w:val="24"/>
          <w:highlight w:val="none"/>
          <w14:textFill>
            <w14:solidFill>
              <w14:schemeClr w14:val="tx1"/>
            </w14:solidFill>
          </w14:textFill>
        </w:rPr>
        <w:t>2.7 质量保证</w:t>
      </w:r>
      <w:bookmarkEnd w:id="117"/>
    </w:p>
    <w:p w14:paraId="02B8F75B">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2.7.1 乙方应建立和完善履行合同的内部质量保证体系，并提供相关内部规章制度给甲方，以便甲方进行监督检查；</w:t>
      </w:r>
    </w:p>
    <w:p w14:paraId="23C29EF8">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2.7.2 乙方应保证履行合同的人员数量和素质、软件和硬件设备的配置、场地、环境和设施等满足全面履行合同的要求，并应接受甲方的监督检查。</w:t>
      </w:r>
    </w:p>
    <w:p w14:paraId="112EE50B">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18" w:name="_Toc22267"/>
      <w:r>
        <w:rPr>
          <w:rFonts w:hint="eastAsia" w:ascii="仿宋" w:hAnsi="仿宋" w:eastAsia="仿宋" w:cs="仿宋"/>
          <w:b/>
          <w:color w:val="000000" w:themeColor="text1"/>
          <w:sz w:val="24"/>
          <w:highlight w:val="none"/>
          <w14:textFill>
            <w14:solidFill>
              <w14:schemeClr w14:val="tx1"/>
            </w14:solidFill>
          </w14:textFill>
        </w:rPr>
        <w:t>2.8 延迟履行</w:t>
      </w:r>
      <w:bookmarkEnd w:id="118"/>
    </w:p>
    <w:p w14:paraId="6D1E4740">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787E0CF">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19" w:name="_Toc10611"/>
      <w:r>
        <w:rPr>
          <w:rFonts w:hint="eastAsia" w:ascii="仿宋" w:hAnsi="仿宋" w:eastAsia="仿宋" w:cs="仿宋"/>
          <w:b/>
          <w:color w:val="000000" w:themeColor="text1"/>
          <w:sz w:val="24"/>
          <w:highlight w:val="none"/>
          <w14:textFill>
            <w14:solidFill>
              <w14:schemeClr w14:val="tx1"/>
            </w14:solidFill>
          </w14:textFill>
        </w:rPr>
        <w:t>2.9 合同变更</w:t>
      </w:r>
      <w:bookmarkEnd w:id="119"/>
    </w:p>
    <w:p w14:paraId="6FBFFE1A">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p>
    <w:p w14:paraId="1FCE5A9B">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20" w:name="_Toc23368"/>
      <w:bookmarkStart w:id="121" w:name="_Toc26689"/>
      <w:bookmarkStart w:id="122" w:name="_Toc42"/>
      <w:bookmarkStart w:id="123" w:name="_Toc21830"/>
      <w:bookmarkStart w:id="124" w:name="_Toc10663"/>
      <w:r>
        <w:rPr>
          <w:rFonts w:hint="eastAsia" w:ascii="仿宋" w:hAnsi="仿宋" w:eastAsia="仿宋" w:cs="仿宋"/>
          <w:b/>
          <w:color w:val="000000" w:themeColor="text1"/>
          <w:sz w:val="24"/>
          <w:highlight w:val="none"/>
          <w14:textFill>
            <w14:solidFill>
              <w14:schemeClr w14:val="tx1"/>
            </w14:solidFill>
          </w14:textFill>
        </w:rPr>
        <w:t>2.10 合同转让和分包</w:t>
      </w:r>
      <w:bookmarkEnd w:id="120"/>
      <w:bookmarkEnd w:id="121"/>
      <w:bookmarkEnd w:id="122"/>
      <w:bookmarkEnd w:id="123"/>
      <w:bookmarkEnd w:id="124"/>
    </w:p>
    <w:p w14:paraId="002A28E2">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BB842D8">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25" w:name="_Toc26633"/>
      <w:bookmarkStart w:id="126" w:name="_Toc32494"/>
      <w:bookmarkStart w:id="127" w:name="_Toc25571"/>
      <w:bookmarkStart w:id="128" w:name="_Toc14371"/>
      <w:bookmarkStart w:id="129" w:name="_Toc4720"/>
      <w:r>
        <w:rPr>
          <w:rFonts w:hint="eastAsia" w:ascii="仿宋" w:hAnsi="仿宋" w:eastAsia="仿宋" w:cs="仿宋"/>
          <w:b/>
          <w:color w:val="000000" w:themeColor="text1"/>
          <w:sz w:val="24"/>
          <w:highlight w:val="none"/>
          <w14:textFill>
            <w14:solidFill>
              <w14:schemeClr w14:val="tx1"/>
            </w14:solidFill>
          </w14:textFill>
        </w:rPr>
        <w:t>2.11 不可抗力</w:t>
      </w:r>
      <w:bookmarkEnd w:id="125"/>
      <w:bookmarkEnd w:id="126"/>
      <w:bookmarkEnd w:id="127"/>
      <w:bookmarkEnd w:id="128"/>
      <w:bookmarkEnd w:id="129"/>
    </w:p>
    <w:p w14:paraId="36C90A3D">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2.11.1如果任何一方遭遇法律规定的不可抗力，致使合同履行受阻时，履行合同的期限应予延长，延长的期限应相当于不可抗力所影响的时间；</w:t>
      </w:r>
    </w:p>
    <w:p w14:paraId="01C6597E">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2.11.2 因不可抗力致使不能实现合同目的的，当事人可以解除合同；</w:t>
      </w:r>
    </w:p>
    <w:p w14:paraId="3B3C2234">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2.11.3 因不可抗力致使合同有变更必要的，双方当事人应在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约定时间内以书面形式变更合同；</w:t>
      </w:r>
    </w:p>
    <w:p w14:paraId="3E629B1F">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2.11.4受不可抗力影响的一方在不可抗力发生后，应在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约定时间内以书面形式通知对方当事人，并在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约定时间内，将有关部门出具的证明文件送达对方当事人。</w:t>
      </w:r>
    </w:p>
    <w:p w14:paraId="3F944904">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30" w:name="_Toc23854"/>
      <w:bookmarkStart w:id="131" w:name="_Toc25783"/>
      <w:bookmarkStart w:id="132" w:name="_Toc24465"/>
      <w:bookmarkStart w:id="133" w:name="_Toc14115"/>
      <w:bookmarkStart w:id="134" w:name="_Toc3638"/>
      <w:r>
        <w:rPr>
          <w:rFonts w:hint="eastAsia" w:ascii="仿宋" w:hAnsi="仿宋" w:eastAsia="仿宋" w:cs="仿宋"/>
          <w:b/>
          <w:color w:val="000000" w:themeColor="text1"/>
          <w:sz w:val="24"/>
          <w:highlight w:val="none"/>
          <w14:textFill>
            <w14:solidFill>
              <w14:schemeClr w14:val="tx1"/>
            </w14:solidFill>
          </w14:textFill>
        </w:rPr>
        <w:t>2.12 税费</w:t>
      </w:r>
      <w:bookmarkEnd w:id="130"/>
      <w:bookmarkEnd w:id="131"/>
      <w:bookmarkEnd w:id="132"/>
      <w:bookmarkEnd w:id="133"/>
      <w:bookmarkEnd w:id="134"/>
    </w:p>
    <w:p w14:paraId="0A214B24">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与合同有关的一切税费，均按照中华人民共和国法律的相关规定缴纳。</w:t>
      </w:r>
    </w:p>
    <w:p w14:paraId="351B55C4">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35" w:name="_Toc25525"/>
      <w:bookmarkStart w:id="136" w:name="_Toc7315"/>
      <w:bookmarkStart w:id="137" w:name="_Toc30105"/>
      <w:bookmarkStart w:id="138" w:name="_Toc26883"/>
      <w:bookmarkStart w:id="139" w:name="_Toc14814"/>
      <w:r>
        <w:rPr>
          <w:rFonts w:hint="eastAsia" w:ascii="仿宋" w:hAnsi="仿宋" w:eastAsia="仿宋" w:cs="仿宋"/>
          <w:b/>
          <w:color w:val="000000" w:themeColor="text1"/>
          <w:sz w:val="24"/>
          <w:highlight w:val="none"/>
          <w14:textFill>
            <w14:solidFill>
              <w14:schemeClr w14:val="tx1"/>
            </w14:solidFill>
          </w14:textFill>
        </w:rPr>
        <w:t>2.13 乙方破产</w:t>
      </w:r>
      <w:bookmarkEnd w:id="135"/>
      <w:bookmarkEnd w:id="136"/>
      <w:bookmarkEnd w:id="137"/>
      <w:bookmarkEnd w:id="138"/>
      <w:bookmarkEnd w:id="139"/>
    </w:p>
    <w:p w14:paraId="2C8D1586">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1934C9A">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40" w:name="_Toc2016"/>
      <w:bookmarkStart w:id="141" w:name="_Toc23323"/>
      <w:bookmarkStart w:id="142" w:name="_Toc1123"/>
      <w:r>
        <w:rPr>
          <w:rFonts w:hint="eastAsia" w:ascii="仿宋" w:hAnsi="仿宋" w:eastAsia="仿宋" w:cs="仿宋"/>
          <w:b/>
          <w:color w:val="000000" w:themeColor="text1"/>
          <w:sz w:val="24"/>
          <w:highlight w:val="none"/>
          <w14:textFill>
            <w14:solidFill>
              <w14:schemeClr w14:val="tx1"/>
            </w14:solidFill>
          </w14:textFill>
        </w:rPr>
        <w:t>2.14 合同中止、终止</w:t>
      </w:r>
      <w:bookmarkEnd w:id="140"/>
      <w:bookmarkEnd w:id="141"/>
      <w:bookmarkEnd w:id="142"/>
    </w:p>
    <w:p w14:paraId="23BCB205">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2.14.1 双方当事人不得擅自中止或者终止合同；</w:t>
      </w:r>
    </w:p>
    <w:p w14:paraId="032C85A7">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2.14.2合同继续履行将损害国家利益和社会公共利益的，双方当事人应当中止或者终止合同。有过错的一方应当承担赔偿责任，双方当事人都有过错的，各自承担相应的责任。</w:t>
      </w:r>
    </w:p>
    <w:p w14:paraId="5ED3D99E">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43" w:name="_Toc14525"/>
      <w:bookmarkStart w:id="144" w:name="_Toc1969"/>
      <w:bookmarkStart w:id="145" w:name="_Toc17363"/>
      <w:r>
        <w:rPr>
          <w:rFonts w:hint="eastAsia" w:ascii="仿宋" w:hAnsi="仿宋" w:eastAsia="仿宋" w:cs="仿宋"/>
          <w:b/>
          <w:color w:val="000000" w:themeColor="text1"/>
          <w:sz w:val="24"/>
          <w:highlight w:val="none"/>
          <w14:textFill>
            <w14:solidFill>
              <w14:schemeClr w14:val="tx1"/>
            </w14:solidFill>
          </w14:textFill>
        </w:rPr>
        <w:t>2.15 检验和验收</w:t>
      </w:r>
      <w:bookmarkEnd w:id="143"/>
      <w:bookmarkEnd w:id="144"/>
      <w:bookmarkEnd w:id="145"/>
    </w:p>
    <w:p w14:paraId="59ADCDB2">
      <w:pPr>
        <w:tabs>
          <w:tab w:val="left" w:pos="360"/>
          <w:tab w:val="left" w:pos="540"/>
          <w:tab w:val="left" w:pos="1080"/>
        </w:tabs>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2.15.1 乙方按照</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的约定，定期提交服务报告，甲方按照</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的约定进行定期验收；</w:t>
      </w:r>
    </w:p>
    <w:p w14:paraId="6B5EC2E3">
      <w:pPr>
        <w:tabs>
          <w:tab w:val="left" w:pos="360"/>
          <w:tab w:val="left" w:pos="540"/>
          <w:tab w:val="left" w:pos="1080"/>
        </w:tabs>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8172647">
      <w:pPr>
        <w:tabs>
          <w:tab w:val="left" w:pos="360"/>
          <w:tab w:val="left" w:pos="540"/>
          <w:tab w:val="left" w:pos="1080"/>
        </w:tabs>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2.15.3 检验和验收标准、程序等具体内容以及前述验收书的效力详见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i/>
          <w:color w:val="000000" w:themeColor="text1"/>
          <w:sz w:val="24"/>
          <w:highlight w:val="none"/>
          <w14:textFill>
            <w14:solidFill>
              <w14:schemeClr w14:val="tx1"/>
            </w14:solidFill>
          </w14:textFill>
        </w:rPr>
        <w:t>。</w:t>
      </w:r>
    </w:p>
    <w:p w14:paraId="5F7D04AF">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46" w:name="_Toc12666"/>
      <w:bookmarkStart w:id="147" w:name="_Toc25198"/>
      <w:bookmarkStart w:id="148" w:name="_Toc31892"/>
      <w:bookmarkStart w:id="149" w:name="_Toc9808"/>
      <w:bookmarkStart w:id="150" w:name="_Toc2308"/>
      <w:r>
        <w:rPr>
          <w:rFonts w:hint="eastAsia" w:ascii="仿宋" w:hAnsi="仿宋" w:eastAsia="仿宋" w:cs="仿宋"/>
          <w:b/>
          <w:color w:val="000000" w:themeColor="text1"/>
          <w:sz w:val="24"/>
          <w:highlight w:val="none"/>
          <w14:textFill>
            <w14:solidFill>
              <w14:schemeClr w14:val="tx1"/>
            </w14:solidFill>
          </w14:textFill>
        </w:rPr>
        <w:t>2.16 通知和送达</w:t>
      </w:r>
      <w:bookmarkEnd w:id="146"/>
      <w:bookmarkEnd w:id="147"/>
      <w:bookmarkEnd w:id="148"/>
      <w:bookmarkEnd w:id="149"/>
      <w:bookmarkEnd w:id="150"/>
    </w:p>
    <w:p w14:paraId="74C4407D">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bookmarkStart w:id="151" w:name="_Toc27674"/>
      <w:bookmarkStart w:id="152" w:name="_Toc18401"/>
      <w:r>
        <w:rPr>
          <w:rFonts w:hint="eastAsia" w:ascii="仿宋" w:hAnsi="仿宋" w:eastAsia="仿宋" w:cs="仿宋"/>
          <w:color w:val="000000" w:themeColor="text1"/>
          <w:sz w:val="24"/>
          <w:highlight w:val="none"/>
          <w14:textFill>
            <w14:solidFill>
              <w14:schemeClr w14:val="tx1"/>
            </w14:solidFill>
          </w14:textFill>
        </w:rPr>
        <w:t>2.1</w:t>
      </w:r>
      <w:r>
        <w:rPr>
          <w:rFonts w:ascii="仿宋" w:hAnsi="仿宋" w:eastAsia="仿宋" w:cs="仿宋"/>
          <w:color w:val="000000" w:themeColor="text1"/>
          <w:sz w:val="24"/>
          <w:highlight w:val="none"/>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000000" w:themeColor="text1"/>
          <w:sz w:val="24"/>
          <w:highlight w:val="none"/>
          <w:u w:val="single"/>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个工作日内书面通知对方当事人，在对方当事人收到有关变更通知之前，变更前的约定送达方式或者地址仍视为有效。</w:t>
      </w:r>
    </w:p>
    <w:p w14:paraId="7D1E3160">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w:t>
      </w:r>
      <w:r>
        <w:rPr>
          <w:rFonts w:ascii="仿宋" w:hAnsi="仿宋" w:eastAsia="仿宋" w:cs="仿宋"/>
          <w:color w:val="000000" w:themeColor="text1"/>
          <w:sz w:val="24"/>
          <w:highlight w:val="none"/>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1"/>
      <w:bookmarkEnd w:id="152"/>
    </w:p>
    <w:p w14:paraId="27B0A8B8">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53" w:name="_Toc5063"/>
      <w:bookmarkStart w:id="154" w:name="_Toc27644"/>
      <w:bookmarkStart w:id="155" w:name="_Toc20808"/>
      <w:bookmarkStart w:id="156" w:name="_Toc28906"/>
      <w:bookmarkStart w:id="157" w:name="_Toc12254"/>
      <w:r>
        <w:rPr>
          <w:rFonts w:hint="eastAsia" w:ascii="仿宋" w:hAnsi="仿宋" w:eastAsia="仿宋" w:cs="仿宋"/>
          <w:b/>
          <w:color w:val="000000" w:themeColor="text1"/>
          <w:sz w:val="24"/>
          <w:highlight w:val="none"/>
          <w14:textFill>
            <w14:solidFill>
              <w14:schemeClr w14:val="tx1"/>
            </w14:solidFill>
          </w14:textFill>
        </w:rPr>
        <w:t>2.17 合同使用的文字和适用的法律</w:t>
      </w:r>
      <w:bookmarkEnd w:id="153"/>
      <w:bookmarkEnd w:id="154"/>
      <w:bookmarkEnd w:id="155"/>
      <w:bookmarkEnd w:id="156"/>
      <w:bookmarkEnd w:id="157"/>
    </w:p>
    <w:p w14:paraId="4CA93EAB">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2.17.1 合同使用汉语书就、变更和解释；</w:t>
      </w:r>
    </w:p>
    <w:p w14:paraId="3F36511C">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2.17.2 合同适用中华人民共和国法律。</w:t>
      </w:r>
    </w:p>
    <w:p w14:paraId="0C3B95EE">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58" w:name="_Toc18540"/>
      <w:bookmarkStart w:id="159" w:name="_Toc4355"/>
      <w:bookmarkStart w:id="160" w:name="_Toc30599"/>
      <w:r>
        <w:rPr>
          <w:rFonts w:hint="eastAsia" w:ascii="仿宋" w:hAnsi="仿宋" w:eastAsia="仿宋" w:cs="仿宋"/>
          <w:b/>
          <w:color w:val="000000" w:themeColor="text1"/>
          <w:sz w:val="24"/>
          <w:highlight w:val="none"/>
          <w14:textFill>
            <w14:solidFill>
              <w14:schemeClr w14:val="tx1"/>
            </w14:solidFill>
          </w14:textFill>
        </w:rPr>
        <w:t>2.18 计量单位</w:t>
      </w:r>
      <w:bookmarkEnd w:id="158"/>
      <w:bookmarkEnd w:id="159"/>
      <w:bookmarkEnd w:id="160"/>
    </w:p>
    <w:p w14:paraId="5830AB6E">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除技术规范中另有规定外,合同的计量单位均使用国家法定计量单位。</w:t>
      </w:r>
    </w:p>
    <w:p w14:paraId="679FC314">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61" w:name="_Toc12773"/>
      <w:bookmarkStart w:id="162" w:name="_Toc487900373"/>
      <w:bookmarkStart w:id="163" w:name="_Toc18567"/>
      <w:bookmarkStart w:id="164" w:name="_Toc279701263"/>
      <w:bookmarkStart w:id="165" w:name="_Toc259093692"/>
      <w:bookmarkStart w:id="166" w:name="_Toc10330"/>
      <w:r>
        <w:rPr>
          <w:rFonts w:hint="eastAsia" w:ascii="仿宋" w:hAnsi="仿宋" w:eastAsia="仿宋" w:cs="仿宋"/>
          <w:b/>
          <w:color w:val="000000" w:themeColor="text1"/>
          <w:sz w:val="24"/>
          <w:highlight w:val="none"/>
          <w14:textFill>
            <w14:solidFill>
              <w14:schemeClr w14:val="tx1"/>
            </w14:solidFill>
          </w14:textFill>
        </w:rPr>
        <w:t>2.19 合同使用的文字和适用的法律</w:t>
      </w:r>
      <w:bookmarkEnd w:id="161"/>
      <w:bookmarkEnd w:id="162"/>
      <w:bookmarkEnd w:id="163"/>
      <w:bookmarkEnd w:id="164"/>
      <w:bookmarkEnd w:id="165"/>
      <w:bookmarkEnd w:id="166"/>
    </w:p>
    <w:p w14:paraId="5CDA1258">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2.19.1 合同使用汉语书就、变更和解释；</w:t>
      </w:r>
    </w:p>
    <w:p w14:paraId="7585E9F7">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2.19.2 合同适用中华人民共和国法律。</w:t>
      </w:r>
    </w:p>
    <w:p w14:paraId="5D97E2B3">
      <w:pPr>
        <w:spacing w:line="560" w:lineRule="exact"/>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2.20合同份数</w:t>
      </w:r>
    </w:p>
    <w:p w14:paraId="7AEF02E1">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合同份数按</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规定，每份均具有同等法律效力。</w:t>
      </w:r>
    </w:p>
    <w:p w14:paraId="2EBAD561">
      <w:pPr>
        <w:spacing w:line="440" w:lineRule="atLeast"/>
        <w:ind w:firstLine="420" w:firstLineChars="200"/>
        <w:jc w:val="center"/>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br w:type="page"/>
      </w:r>
      <w:bookmarkStart w:id="167" w:name="_Toc331685784"/>
      <w:bookmarkEnd w:id="167"/>
      <w:r>
        <w:rPr>
          <w:rFonts w:hint="eastAsia" w:ascii="仿宋" w:hAnsi="仿宋" w:eastAsia="仿宋" w:cs="仿宋"/>
          <w:b/>
          <w:color w:val="000000" w:themeColor="text1"/>
          <w:sz w:val="24"/>
          <w:highlight w:val="none"/>
          <w14:textFill>
            <w14:solidFill>
              <w14:schemeClr w14:val="tx1"/>
            </w14:solidFill>
          </w14:textFill>
        </w:rPr>
        <w:t>第三部分  合同专用条款</w:t>
      </w:r>
    </w:p>
    <w:p w14:paraId="5F9E97FF">
      <w:pPr>
        <w:spacing w:line="440" w:lineRule="atLeast"/>
        <w:ind w:left="-420" w:leftChars="-200" w:right="-420" w:rightChars="-200"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67F77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F46BE7">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条款号</w:t>
            </w:r>
          </w:p>
        </w:tc>
        <w:tc>
          <w:tcPr>
            <w:tcW w:w="8149" w:type="dxa"/>
            <w:vAlign w:val="center"/>
          </w:tcPr>
          <w:p w14:paraId="31D8CCA3">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约定内容</w:t>
            </w:r>
          </w:p>
        </w:tc>
      </w:tr>
      <w:tr w14:paraId="6690DB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8E688C">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1.3.2</w:t>
            </w:r>
          </w:p>
        </w:tc>
        <w:tc>
          <w:tcPr>
            <w:tcW w:w="8149" w:type="dxa"/>
            <w:vAlign w:val="center"/>
          </w:tcPr>
          <w:p w14:paraId="6373A7A1">
            <w:pPr>
              <w:spacing w:line="360" w:lineRule="auto"/>
              <w:rPr>
                <w:rFonts w:ascii="仿宋" w:hAnsi="仿宋" w:eastAsia="仿宋" w:cs="仿宋"/>
                <w:color w:val="000000" w:themeColor="text1"/>
                <w:sz w:val="24"/>
                <w:highlight w:val="none"/>
                <w14:textFill>
                  <w14:solidFill>
                    <w14:schemeClr w14:val="tx1"/>
                  </w14:solidFill>
                </w14:textFill>
              </w:rPr>
            </w:pPr>
          </w:p>
        </w:tc>
      </w:tr>
      <w:tr w14:paraId="144EA9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1D376AD">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1.4.2</w:t>
            </w:r>
          </w:p>
        </w:tc>
        <w:tc>
          <w:tcPr>
            <w:tcW w:w="8149" w:type="dxa"/>
            <w:vAlign w:val="center"/>
          </w:tcPr>
          <w:p w14:paraId="326B8FBA">
            <w:pPr>
              <w:spacing w:line="360" w:lineRule="auto"/>
              <w:rPr>
                <w:rFonts w:ascii="仿宋" w:hAnsi="仿宋" w:eastAsia="仿宋" w:cs="仿宋"/>
                <w:color w:val="000000" w:themeColor="text1"/>
                <w:sz w:val="24"/>
                <w:highlight w:val="none"/>
                <w14:textFill>
                  <w14:solidFill>
                    <w14:schemeClr w14:val="tx1"/>
                  </w14:solidFill>
                </w14:textFill>
              </w:rPr>
            </w:pPr>
          </w:p>
        </w:tc>
      </w:tr>
      <w:tr w14:paraId="1A07E6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22A82F">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1.5.1 </w:t>
            </w:r>
          </w:p>
        </w:tc>
        <w:tc>
          <w:tcPr>
            <w:tcW w:w="8149" w:type="dxa"/>
            <w:vAlign w:val="center"/>
          </w:tcPr>
          <w:p w14:paraId="3AB01D3C">
            <w:pPr>
              <w:spacing w:line="360" w:lineRule="auto"/>
              <w:rPr>
                <w:rFonts w:ascii="仿宋" w:hAnsi="仿宋" w:eastAsia="仿宋" w:cs="仿宋"/>
                <w:color w:val="000000" w:themeColor="text1"/>
                <w:sz w:val="24"/>
                <w:highlight w:val="none"/>
                <w14:textFill>
                  <w14:solidFill>
                    <w14:schemeClr w14:val="tx1"/>
                  </w14:solidFill>
                </w14:textFill>
              </w:rPr>
            </w:pPr>
          </w:p>
        </w:tc>
      </w:tr>
      <w:tr w14:paraId="396875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D50358">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1.5.2</w:t>
            </w:r>
          </w:p>
        </w:tc>
        <w:tc>
          <w:tcPr>
            <w:tcW w:w="8149" w:type="dxa"/>
            <w:vAlign w:val="center"/>
          </w:tcPr>
          <w:p w14:paraId="30A00A11">
            <w:pPr>
              <w:spacing w:line="360" w:lineRule="auto"/>
              <w:rPr>
                <w:rFonts w:ascii="仿宋" w:hAnsi="仿宋" w:eastAsia="仿宋" w:cs="仿宋"/>
                <w:color w:val="000000" w:themeColor="text1"/>
                <w:sz w:val="24"/>
                <w:highlight w:val="none"/>
                <w14:textFill>
                  <w14:solidFill>
                    <w14:schemeClr w14:val="tx1"/>
                  </w14:solidFill>
                </w14:textFill>
              </w:rPr>
            </w:pPr>
          </w:p>
        </w:tc>
      </w:tr>
      <w:tr w14:paraId="52B845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E87C9B">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1.5.3 </w:t>
            </w:r>
          </w:p>
        </w:tc>
        <w:tc>
          <w:tcPr>
            <w:tcW w:w="8149" w:type="dxa"/>
            <w:vAlign w:val="center"/>
          </w:tcPr>
          <w:p w14:paraId="5A3E9F54">
            <w:pPr>
              <w:spacing w:line="360" w:lineRule="auto"/>
              <w:rPr>
                <w:rFonts w:ascii="仿宋" w:hAnsi="仿宋" w:eastAsia="仿宋" w:cs="仿宋"/>
                <w:color w:val="000000" w:themeColor="text1"/>
                <w:sz w:val="24"/>
                <w:highlight w:val="none"/>
                <w14:textFill>
                  <w14:solidFill>
                    <w14:schemeClr w14:val="tx1"/>
                  </w14:solidFill>
                </w14:textFill>
              </w:rPr>
            </w:pPr>
          </w:p>
        </w:tc>
      </w:tr>
      <w:tr w14:paraId="48A33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90E6F3">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1.6.2</w:t>
            </w:r>
          </w:p>
        </w:tc>
        <w:tc>
          <w:tcPr>
            <w:tcW w:w="8149" w:type="dxa"/>
            <w:vAlign w:val="center"/>
          </w:tcPr>
          <w:p w14:paraId="7928131F">
            <w:pPr>
              <w:spacing w:line="360" w:lineRule="auto"/>
              <w:rPr>
                <w:rFonts w:ascii="仿宋" w:hAnsi="仿宋" w:eastAsia="仿宋" w:cs="仿宋"/>
                <w:color w:val="000000" w:themeColor="text1"/>
                <w:sz w:val="24"/>
                <w:highlight w:val="none"/>
                <w14:textFill>
                  <w14:solidFill>
                    <w14:schemeClr w14:val="tx1"/>
                  </w14:solidFill>
                </w14:textFill>
              </w:rPr>
            </w:pPr>
          </w:p>
        </w:tc>
      </w:tr>
      <w:tr w14:paraId="4C6A6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13494E">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1.7.1</w:t>
            </w:r>
          </w:p>
        </w:tc>
        <w:tc>
          <w:tcPr>
            <w:tcW w:w="8149" w:type="dxa"/>
            <w:vAlign w:val="center"/>
          </w:tcPr>
          <w:p w14:paraId="1BB62591">
            <w:pPr>
              <w:spacing w:line="360" w:lineRule="auto"/>
              <w:rPr>
                <w:rFonts w:ascii="仿宋" w:hAnsi="仿宋" w:eastAsia="仿宋" w:cs="仿宋"/>
                <w:color w:val="000000" w:themeColor="text1"/>
                <w:sz w:val="24"/>
                <w:highlight w:val="none"/>
                <w14:textFill>
                  <w14:solidFill>
                    <w14:schemeClr w14:val="tx1"/>
                  </w14:solidFill>
                </w14:textFill>
              </w:rPr>
            </w:pPr>
          </w:p>
        </w:tc>
      </w:tr>
      <w:tr w14:paraId="5C620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043F677">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1.7.2</w:t>
            </w:r>
          </w:p>
        </w:tc>
        <w:tc>
          <w:tcPr>
            <w:tcW w:w="8149" w:type="dxa"/>
            <w:vAlign w:val="center"/>
          </w:tcPr>
          <w:p w14:paraId="7A1F443D">
            <w:pPr>
              <w:spacing w:line="360" w:lineRule="auto"/>
              <w:rPr>
                <w:rFonts w:ascii="仿宋" w:hAnsi="仿宋" w:eastAsia="仿宋" w:cs="仿宋"/>
                <w:color w:val="000000" w:themeColor="text1"/>
                <w:sz w:val="24"/>
                <w:highlight w:val="none"/>
                <w14:textFill>
                  <w14:solidFill>
                    <w14:schemeClr w14:val="tx1"/>
                  </w14:solidFill>
                </w14:textFill>
              </w:rPr>
            </w:pPr>
          </w:p>
        </w:tc>
      </w:tr>
      <w:tr w14:paraId="3B52C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63FBAAF">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1.7.3</w:t>
            </w:r>
          </w:p>
        </w:tc>
        <w:tc>
          <w:tcPr>
            <w:tcW w:w="8149" w:type="dxa"/>
            <w:vAlign w:val="center"/>
          </w:tcPr>
          <w:p w14:paraId="0E75B85B">
            <w:pPr>
              <w:spacing w:line="360" w:lineRule="auto"/>
              <w:rPr>
                <w:rFonts w:ascii="仿宋" w:hAnsi="仿宋" w:eastAsia="仿宋" w:cs="仿宋"/>
                <w:color w:val="000000" w:themeColor="text1"/>
                <w:sz w:val="24"/>
                <w:highlight w:val="none"/>
                <w14:textFill>
                  <w14:solidFill>
                    <w14:schemeClr w14:val="tx1"/>
                  </w14:solidFill>
                </w14:textFill>
              </w:rPr>
            </w:pPr>
          </w:p>
        </w:tc>
      </w:tr>
      <w:tr w14:paraId="035A73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D133D9">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1.7.4.1</w:t>
            </w:r>
          </w:p>
        </w:tc>
        <w:tc>
          <w:tcPr>
            <w:tcW w:w="8149" w:type="dxa"/>
            <w:vAlign w:val="center"/>
          </w:tcPr>
          <w:p w14:paraId="39CB0635">
            <w:pPr>
              <w:spacing w:line="360" w:lineRule="auto"/>
              <w:rPr>
                <w:rFonts w:ascii="仿宋" w:hAnsi="仿宋" w:eastAsia="仿宋" w:cs="仿宋"/>
                <w:color w:val="000000" w:themeColor="text1"/>
                <w:sz w:val="24"/>
                <w:highlight w:val="none"/>
                <w14:textFill>
                  <w14:solidFill>
                    <w14:schemeClr w14:val="tx1"/>
                  </w14:solidFill>
                </w14:textFill>
              </w:rPr>
            </w:pPr>
          </w:p>
        </w:tc>
      </w:tr>
      <w:tr w14:paraId="5FA2C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F00243D">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1.7.4.2</w:t>
            </w:r>
          </w:p>
        </w:tc>
        <w:tc>
          <w:tcPr>
            <w:tcW w:w="8149" w:type="dxa"/>
            <w:vAlign w:val="center"/>
          </w:tcPr>
          <w:p w14:paraId="2C822D18">
            <w:pPr>
              <w:spacing w:line="360" w:lineRule="auto"/>
              <w:rPr>
                <w:rFonts w:ascii="仿宋" w:hAnsi="仿宋" w:eastAsia="仿宋" w:cs="仿宋"/>
                <w:color w:val="000000" w:themeColor="text1"/>
                <w:sz w:val="24"/>
                <w:highlight w:val="none"/>
                <w14:textFill>
                  <w14:solidFill>
                    <w14:schemeClr w14:val="tx1"/>
                  </w14:solidFill>
                </w14:textFill>
              </w:rPr>
            </w:pPr>
          </w:p>
        </w:tc>
      </w:tr>
      <w:tr w14:paraId="31227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1A1F40">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1.7.4.3</w:t>
            </w:r>
          </w:p>
        </w:tc>
        <w:tc>
          <w:tcPr>
            <w:tcW w:w="8149" w:type="dxa"/>
            <w:vAlign w:val="center"/>
          </w:tcPr>
          <w:p w14:paraId="088043DA">
            <w:pPr>
              <w:spacing w:line="360" w:lineRule="auto"/>
              <w:rPr>
                <w:rFonts w:ascii="仿宋" w:hAnsi="仿宋" w:eastAsia="仿宋" w:cs="仿宋"/>
                <w:color w:val="000000" w:themeColor="text1"/>
                <w:sz w:val="24"/>
                <w:highlight w:val="none"/>
                <w14:textFill>
                  <w14:solidFill>
                    <w14:schemeClr w14:val="tx1"/>
                  </w14:solidFill>
                </w14:textFill>
              </w:rPr>
            </w:pPr>
          </w:p>
        </w:tc>
      </w:tr>
      <w:tr w14:paraId="010F3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47EA169">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1.8.7</w:t>
            </w:r>
          </w:p>
        </w:tc>
        <w:tc>
          <w:tcPr>
            <w:tcW w:w="8149" w:type="dxa"/>
            <w:vAlign w:val="center"/>
          </w:tcPr>
          <w:p w14:paraId="0C099311">
            <w:pPr>
              <w:spacing w:line="360" w:lineRule="auto"/>
              <w:rPr>
                <w:rFonts w:ascii="仿宋" w:hAnsi="仿宋" w:eastAsia="仿宋" w:cs="仿宋"/>
                <w:color w:val="000000" w:themeColor="text1"/>
                <w:sz w:val="24"/>
                <w:highlight w:val="none"/>
                <w14:textFill>
                  <w14:solidFill>
                    <w14:schemeClr w14:val="tx1"/>
                  </w14:solidFill>
                </w14:textFill>
              </w:rPr>
            </w:pPr>
          </w:p>
        </w:tc>
      </w:tr>
      <w:tr w14:paraId="113E96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D0F4AB">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1.9.1</w:t>
            </w:r>
          </w:p>
        </w:tc>
        <w:tc>
          <w:tcPr>
            <w:tcW w:w="8149" w:type="dxa"/>
            <w:vAlign w:val="center"/>
          </w:tcPr>
          <w:p w14:paraId="43CF0EC4">
            <w:pPr>
              <w:spacing w:line="360" w:lineRule="auto"/>
              <w:rPr>
                <w:rFonts w:ascii="仿宋" w:hAnsi="仿宋" w:eastAsia="仿宋" w:cs="仿宋"/>
                <w:color w:val="000000" w:themeColor="text1"/>
                <w:sz w:val="24"/>
                <w:highlight w:val="none"/>
                <w14:textFill>
                  <w14:solidFill>
                    <w14:schemeClr w14:val="tx1"/>
                  </w14:solidFill>
                </w14:textFill>
              </w:rPr>
            </w:pPr>
          </w:p>
        </w:tc>
      </w:tr>
      <w:tr w14:paraId="19608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1314BE">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1.9.2</w:t>
            </w:r>
          </w:p>
        </w:tc>
        <w:tc>
          <w:tcPr>
            <w:tcW w:w="8149" w:type="dxa"/>
            <w:vAlign w:val="center"/>
          </w:tcPr>
          <w:p w14:paraId="424D5CF5">
            <w:pPr>
              <w:spacing w:line="360" w:lineRule="auto"/>
              <w:rPr>
                <w:rFonts w:ascii="仿宋" w:hAnsi="仿宋" w:eastAsia="仿宋" w:cs="仿宋"/>
                <w:color w:val="000000" w:themeColor="text1"/>
                <w:sz w:val="24"/>
                <w:highlight w:val="none"/>
                <w14:textFill>
                  <w14:solidFill>
                    <w14:schemeClr w14:val="tx1"/>
                  </w14:solidFill>
                </w14:textFill>
              </w:rPr>
            </w:pPr>
          </w:p>
        </w:tc>
      </w:tr>
      <w:tr w14:paraId="44D68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6976FB">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2.3.2</w:t>
            </w:r>
          </w:p>
        </w:tc>
        <w:tc>
          <w:tcPr>
            <w:tcW w:w="8149" w:type="dxa"/>
            <w:vAlign w:val="center"/>
          </w:tcPr>
          <w:p w14:paraId="052ED513">
            <w:pPr>
              <w:spacing w:line="360" w:lineRule="auto"/>
              <w:ind w:left="-420" w:leftChars="-200" w:right="-420" w:rightChars="-200" w:firstLine="480" w:firstLineChars="200"/>
              <w:rPr>
                <w:rFonts w:ascii="仿宋" w:hAnsi="仿宋" w:eastAsia="仿宋" w:cs="仿宋"/>
                <w:color w:val="000000" w:themeColor="text1"/>
                <w:sz w:val="24"/>
                <w:highlight w:val="none"/>
                <w14:textFill>
                  <w14:solidFill>
                    <w14:schemeClr w14:val="tx1"/>
                  </w14:solidFill>
                </w14:textFill>
              </w:rPr>
            </w:pPr>
          </w:p>
        </w:tc>
      </w:tr>
      <w:tr w14:paraId="3F507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A46058">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w:t>
            </w:r>
          </w:p>
        </w:tc>
        <w:tc>
          <w:tcPr>
            <w:tcW w:w="8149" w:type="dxa"/>
            <w:vAlign w:val="center"/>
          </w:tcPr>
          <w:p w14:paraId="254F774D">
            <w:pPr>
              <w:spacing w:line="360" w:lineRule="auto"/>
              <w:ind w:left="-420" w:leftChars="-200" w:right="-420" w:rightChars="-200" w:firstLine="480" w:firstLineChars="200"/>
              <w:rPr>
                <w:rFonts w:ascii="仿宋" w:hAnsi="仿宋" w:eastAsia="仿宋" w:cs="仿宋"/>
                <w:color w:val="000000" w:themeColor="text1"/>
                <w:sz w:val="24"/>
                <w:highlight w:val="none"/>
                <w14:textFill>
                  <w14:solidFill>
                    <w14:schemeClr w14:val="tx1"/>
                  </w14:solidFill>
                </w14:textFill>
              </w:rPr>
            </w:pPr>
          </w:p>
        </w:tc>
      </w:tr>
      <w:tr w14:paraId="476CB6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73BD56E">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2.11.3</w:t>
            </w:r>
          </w:p>
        </w:tc>
        <w:tc>
          <w:tcPr>
            <w:tcW w:w="8149" w:type="dxa"/>
            <w:vAlign w:val="center"/>
          </w:tcPr>
          <w:p w14:paraId="79A3D8C2">
            <w:pPr>
              <w:spacing w:line="360" w:lineRule="auto"/>
              <w:rPr>
                <w:rFonts w:ascii="仿宋" w:hAnsi="仿宋" w:eastAsia="仿宋" w:cs="仿宋"/>
                <w:color w:val="000000" w:themeColor="text1"/>
                <w:sz w:val="24"/>
                <w:highlight w:val="none"/>
                <w14:textFill>
                  <w14:solidFill>
                    <w14:schemeClr w14:val="tx1"/>
                  </w14:solidFill>
                </w14:textFill>
              </w:rPr>
            </w:pPr>
          </w:p>
        </w:tc>
      </w:tr>
      <w:tr w14:paraId="25AC8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9A59A59">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2.11.4 </w:t>
            </w:r>
          </w:p>
        </w:tc>
        <w:tc>
          <w:tcPr>
            <w:tcW w:w="8149" w:type="dxa"/>
          </w:tcPr>
          <w:p w14:paraId="10D2743B">
            <w:pPr>
              <w:spacing w:line="360" w:lineRule="auto"/>
              <w:rPr>
                <w:rFonts w:ascii="仿宋" w:hAnsi="仿宋" w:eastAsia="仿宋" w:cs="仿宋"/>
                <w:color w:val="000000" w:themeColor="text1"/>
                <w:sz w:val="24"/>
                <w:highlight w:val="none"/>
                <w14:textFill>
                  <w14:solidFill>
                    <w14:schemeClr w14:val="tx1"/>
                  </w14:solidFill>
                </w14:textFill>
              </w:rPr>
            </w:pPr>
          </w:p>
        </w:tc>
      </w:tr>
      <w:tr w14:paraId="5911D2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AD7FB2A">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2.15.1</w:t>
            </w:r>
          </w:p>
        </w:tc>
        <w:tc>
          <w:tcPr>
            <w:tcW w:w="8149" w:type="dxa"/>
            <w:vAlign w:val="center"/>
          </w:tcPr>
          <w:p w14:paraId="7709E3C0">
            <w:pPr>
              <w:spacing w:line="360" w:lineRule="auto"/>
              <w:rPr>
                <w:rFonts w:ascii="仿宋" w:hAnsi="仿宋" w:eastAsia="仿宋" w:cs="仿宋"/>
                <w:color w:val="000000" w:themeColor="text1"/>
                <w:sz w:val="24"/>
                <w:highlight w:val="none"/>
                <w14:textFill>
                  <w14:solidFill>
                    <w14:schemeClr w14:val="tx1"/>
                  </w14:solidFill>
                </w14:textFill>
              </w:rPr>
            </w:pPr>
          </w:p>
        </w:tc>
      </w:tr>
      <w:tr w14:paraId="6449EE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13613E6">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2.15.3</w:t>
            </w:r>
          </w:p>
        </w:tc>
        <w:tc>
          <w:tcPr>
            <w:tcW w:w="8149" w:type="dxa"/>
            <w:vAlign w:val="center"/>
          </w:tcPr>
          <w:p w14:paraId="5D84D86D">
            <w:pPr>
              <w:spacing w:line="360" w:lineRule="auto"/>
              <w:rPr>
                <w:rFonts w:ascii="仿宋" w:hAnsi="仿宋" w:eastAsia="仿宋" w:cs="仿宋"/>
                <w:color w:val="000000" w:themeColor="text1"/>
                <w:sz w:val="24"/>
                <w:highlight w:val="none"/>
                <w14:textFill>
                  <w14:solidFill>
                    <w14:schemeClr w14:val="tx1"/>
                  </w14:solidFill>
                </w14:textFill>
              </w:rPr>
            </w:pPr>
          </w:p>
        </w:tc>
      </w:tr>
      <w:tr w14:paraId="7AA85F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1C5AAEB">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2.19</w:t>
            </w:r>
          </w:p>
        </w:tc>
        <w:tc>
          <w:tcPr>
            <w:tcW w:w="8149" w:type="dxa"/>
          </w:tcPr>
          <w:p w14:paraId="3BE44BF7">
            <w:pPr>
              <w:spacing w:line="360" w:lineRule="auto"/>
              <w:rPr>
                <w:rFonts w:ascii="仿宋" w:hAnsi="仿宋" w:eastAsia="仿宋" w:cs="仿宋"/>
                <w:color w:val="000000" w:themeColor="text1"/>
                <w:sz w:val="24"/>
                <w:highlight w:val="none"/>
                <w14:textFill>
                  <w14:solidFill>
                    <w14:schemeClr w14:val="tx1"/>
                  </w14:solidFill>
                </w14:textFill>
              </w:rPr>
            </w:pPr>
          </w:p>
        </w:tc>
      </w:tr>
    </w:tbl>
    <w:p w14:paraId="42B49321">
      <w:pPr>
        <w:spacing w:line="360" w:lineRule="auto"/>
        <w:ind w:left="-420" w:leftChars="-200" w:right="-420" w:rightChars="-200" w:firstLine="480" w:firstLineChars="200"/>
        <w:rPr>
          <w:rFonts w:ascii="仿宋" w:hAnsi="仿宋" w:eastAsia="仿宋" w:cs="仿宋"/>
          <w:color w:val="000000" w:themeColor="text1"/>
          <w:sz w:val="24"/>
          <w:highlight w:val="none"/>
          <w14:textFill>
            <w14:solidFill>
              <w14:schemeClr w14:val="tx1"/>
            </w14:solidFill>
          </w14:textFill>
        </w:rPr>
      </w:pPr>
    </w:p>
    <w:p w14:paraId="6AAC75E3">
      <w:pPr>
        <w:spacing w:line="360" w:lineRule="auto"/>
        <w:ind w:left="-420" w:leftChars="-200" w:right="-420" w:rightChars="-200" w:firstLine="480" w:firstLineChars="200"/>
        <w:jc w:val="center"/>
        <w:outlineLvl w:val="0"/>
        <w:rPr>
          <w:rFonts w:ascii="仿宋" w:hAnsi="仿宋" w:eastAsia="仿宋" w:cs="仿宋"/>
          <w:color w:val="000000" w:themeColor="text1"/>
          <w:sz w:val="24"/>
          <w:highlight w:val="none"/>
          <w14:textFill>
            <w14:solidFill>
              <w14:schemeClr w14:val="tx1"/>
            </w14:solidFill>
          </w14:textFill>
        </w:rPr>
      </w:pPr>
    </w:p>
    <w:p w14:paraId="7E39F28D">
      <w:pPr>
        <w:spacing w:line="360" w:lineRule="auto"/>
        <w:jc w:val="center"/>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14:paraId="2EFC7191">
      <w:pPr>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1、评标方法：</w:t>
      </w:r>
    </w:p>
    <w:p w14:paraId="3CF568B5">
      <w:pPr>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5EF2FB8">
      <w:pPr>
        <w:spacing w:line="440" w:lineRule="exact"/>
        <w:ind w:firstLine="472" w:firstLineChars="196"/>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0A89206">
      <w:pPr>
        <w:spacing w:line="440" w:lineRule="exact"/>
        <w:ind w:firstLine="482"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14:paraId="0AB6A5D9">
      <w:pPr>
        <w:spacing w:line="440" w:lineRule="exact"/>
        <w:ind w:firstLine="482"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2.评分标准：</w:t>
      </w:r>
      <w:r>
        <w:rPr>
          <w:rFonts w:hint="eastAsia" w:ascii="仿宋" w:hAnsi="仿宋" w:eastAsia="仿宋" w:cs="仿宋"/>
          <w:color w:val="000000" w:themeColor="text1"/>
          <w:sz w:val="24"/>
          <w:highlight w:val="none"/>
          <w14:textFill>
            <w14:solidFill>
              <w14:schemeClr w14:val="tx1"/>
            </w14:solidFill>
          </w14:textFill>
        </w:rPr>
        <w:t>共100分，其中商务技术分</w:t>
      </w:r>
      <w:r>
        <w:rPr>
          <w:rFonts w:hint="eastAsia" w:ascii="仿宋" w:hAnsi="仿宋" w:eastAsia="仿宋" w:cs="仿宋"/>
          <w:color w:val="000000" w:themeColor="text1"/>
          <w:sz w:val="24"/>
          <w:highlight w:val="none"/>
          <w:u w:val="single"/>
          <w14:textFill>
            <w14:solidFill>
              <w14:schemeClr w14:val="tx1"/>
            </w14:solidFill>
          </w14:textFill>
        </w:rPr>
        <w:t>85</w:t>
      </w:r>
      <w:r>
        <w:rPr>
          <w:rFonts w:hint="eastAsia" w:ascii="仿宋" w:hAnsi="仿宋" w:eastAsia="仿宋" w:cs="仿宋"/>
          <w:color w:val="000000" w:themeColor="text1"/>
          <w:sz w:val="24"/>
          <w:highlight w:val="none"/>
          <w14:textFill>
            <w14:solidFill>
              <w14:schemeClr w14:val="tx1"/>
            </w14:solidFill>
          </w14:textFill>
        </w:rPr>
        <w:t>分，价格分</w:t>
      </w:r>
      <w:r>
        <w:rPr>
          <w:rFonts w:hint="eastAsia" w:ascii="仿宋" w:hAnsi="仿宋" w:eastAsia="仿宋" w:cs="仿宋"/>
          <w:color w:val="000000" w:themeColor="text1"/>
          <w:sz w:val="24"/>
          <w:highlight w:val="none"/>
          <w:u w:val="single"/>
          <w14:textFill>
            <w14:solidFill>
              <w14:schemeClr w14:val="tx1"/>
            </w14:solidFill>
          </w14:textFill>
        </w:rPr>
        <w:t>15</w:t>
      </w:r>
      <w:r>
        <w:rPr>
          <w:rFonts w:hint="eastAsia" w:ascii="仿宋" w:hAnsi="仿宋" w:eastAsia="仿宋" w:cs="仿宋"/>
          <w:color w:val="000000" w:themeColor="text1"/>
          <w:sz w:val="24"/>
          <w:highlight w:val="none"/>
          <w14:textFill>
            <w14:solidFill>
              <w14:schemeClr w14:val="tx1"/>
            </w14:solidFill>
          </w14:textFill>
        </w:rPr>
        <w:t>分。评分依下述所列为评标打分依据，分值如下（计算分值时，按其算术平均值保留小数2位）。</w:t>
      </w:r>
    </w:p>
    <w:p w14:paraId="4D3DCF10">
      <w:pPr>
        <w:spacing w:line="440" w:lineRule="exact"/>
        <w:ind w:firstLine="482" w:firstLineChars="200"/>
        <w:rPr>
          <w:rFonts w:ascii="仿宋" w:hAnsi="仿宋" w:eastAsia="仿宋" w:cs="仿宋"/>
          <w:b/>
          <w:bCs/>
          <w:iCs/>
          <w:color w:val="000000" w:themeColor="text1"/>
          <w:sz w:val="24"/>
          <w:highlight w:val="none"/>
          <w14:textFill>
            <w14:solidFill>
              <w14:schemeClr w14:val="tx1"/>
            </w14:solidFill>
          </w14:textFill>
        </w:rPr>
      </w:pPr>
      <w:r>
        <w:rPr>
          <w:rFonts w:hint="eastAsia" w:ascii="仿宋" w:hAnsi="仿宋" w:eastAsia="仿宋" w:cs="仿宋"/>
          <w:b/>
          <w:bCs/>
          <w:iCs/>
          <w:color w:val="000000" w:themeColor="text1"/>
          <w:sz w:val="24"/>
          <w:highlight w:val="none"/>
          <w14:textFill>
            <w14:solidFill>
              <w14:schemeClr w14:val="tx1"/>
            </w14:solidFill>
          </w14:textFill>
        </w:rPr>
        <w:t>2.1商务技术分（</w:t>
      </w:r>
      <w:r>
        <w:rPr>
          <w:rFonts w:hint="eastAsia" w:ascii="仿宋" w:hAnsi="仿宋" w:eastAsia="仿宋" w:cs="仿宋"/>
          <w:b/>
          <w:bCs/>
          <w:iCs/>
          <w:color w:val="000000" w:themeColor="text1"/>
          <w:sz w:val="24"/>
          <w:highlight w:val="none"/>
          <w:u w:val="single"/>
          <w14:textFill>
            <w14:solidFill>
              <w14:schemeClr w14:val="tx1"/>
            </w14:solidFill>
          </w14:textFill>
        </w:rPr>
        <w:t>85</w:t>
      </w:r>
      <w:r>
        <w:rPr>
          <w:rFonts w:hint="eastAsia" w:ascii="仿宋" w:hAnsi="仿宋" w:eastAsia="仿宋" w:cs="仿宋"/>
          <w:b/>
          <w:bCs/>
          <w:iCs/>
          <w:color w:val="000000" w:themeColor="text1"/>
          <w:sz w:val="24"/>
          <w:highlight w:val="none"/>
          <w14:textFill>
            <w14:solidFill>
              <w14:schemeClr w14:val="tx1"/>
            </w14:solidFill>
          </w14:textFill>
        </w:rPr>
        <w:t>分）</w:t>
      </w:r>
    </w:p>
    <w:tbl>
      <w:tblPr>
        <w:tblStyle w:val="62"/>
        <w:tblW w:w="9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209"/>
        <w:gridCol w:w="6483"/>
        <w:gridCol w:w="828"/>
      </w:tblGrid>
      <w:tr w14:paraId="7E983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0BC34BE6">
            <w:pPr>
              <w:jc w:val="center"/>
              <w:rPr>
                <w:rFonts w:hint="eastAsia"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序号</w:t>
            </w:r>
          </w:p>
        </w:tc>
        <w:tc>
          <w:tcPr>
            <w:tcW w:w="1209" w:type="dxa"/>
            <w:vAlign w:val="center"/>
          </w:tcPr>
          <w:p w14:paraId="38993619">
            <w:pPr>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项目</w:t>
            </w:r>
          </w:p>
        </w:tc>
        <w:tc>
          <w:tcPr>
            <w:tcW w:w="6483" w:type="dxa"/>
            <w:vAlign w:val="center"/>
          </w:tcPr>
          <w:p w14:paraId="03192239">
            <w:pPr>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评分细则</w:t>
            </w:r>
          </w:p>
        </w:tc>
        <w:tc>
          <w:tcPr>
            <w:tcW w:w="828" w:type="dxa"/>
            <w:vAlign w:val="center"/>
          </w:tcPr>
          <w:p w14:paraId="1D5A58B1">
            <w:pPr>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分值</w:t>
            </w:r>
          </w:p>
        </w:tc>
      </w:tr>
      <w:tr w14:paraId="0D33E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15078908">
            <w:pPr>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w:t>
            </w:r>
          </w:p>
        </w:tc>
        <w:tc>
          <w:tcPr>
            <w:tcW w:w="1209" w:type="dxa"/>
            <w:vAlign w:val="center"/>
          </w:tcPr>
          <w:p w14:paraId="332BD530">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企业资质</w:t>
            </w:r>
          </w:p>
        </w:tc>
        <w:tc>
          <w:tcPr>
            <w:tcW w:w="6483" w:type="dxa"/>
            <w:vAlign w:val="center"/>
          </w:tcPr>
          <w:p w14:paraId="5C5C480B">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1.投标人具有质量管理体系认证，得1分；</w:t>
            </w:r>
          </w:p>
          <w:p w14:paraId="4B8B6787">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2.投标人具有食品安全管理体系认证，得1分；</w:t>
            </w:r>
          </w:p>
          <w:p w14:paraId="0AEE498C">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3.投标人具有危害分析与关键控制点（haccp）认证，得1分。</w:t>
            </w:r>
          </w:p>
          <w:p w14:paraId="53A5A777">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注：投标文件中提供证书复印件和全国认证认可公共服务平台http://www.cnca.gov.cn/的查询截图并加盖投标人电子公章，否则不得分。</w:t>
            </w:r>
          </w:p>
        </w:tc>
        <w:tc>
          <w:tcPr>
            <w:tcW w:w="828" w:type="dxa"/>
            <w:vAlign w:val="center"/>
          </w:tcPr>
          <w:p w14:paraId="0ABF7196">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3分</w:t>
            </w:r>
          </w:p>
        </w:tc>
      </w:tr>
      <w:tr w14:paraId="54971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2928851F">
            <w:pPr>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w:t>
            </w:r>
          </w:p>
        </w:tc>
        <w:tc>
          <w:tcPr>
            <w:tcW w:w="1209" w:type="dxa"/>
            <w:vAlign w:val="center"/>
          </w:tcPr>
          <w:p w14:paraId="65C743B3">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同类业绩</w:t>
            </w:r>
          </w:p>
        </w:tc>
        <w:tc>
          <w:tcPr>
            <w:tcW w:w="6483" w:type="dxa"/>
            <w:vAlign w:val="center"/>
          </w:tcPr>
          <w:p w14:paraId="680A686B">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2022年1月1日以来承接过类似项目业绩的，每一个得0.5分，本项目最高得1.5分。</w:t>
            </w:r>
          </w:p>
          <w:p w14:paraId="7E6CE590">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注：提供合同扫描件或复印件并加盖投标人电子公章，时间以签订的合同落款时间为准。</w:t>
            </w:r>
          </w:p>
        </w:tc>
        <w:tc>
          <w:tcPr>
            <w:tcW w:w="828" w:type="dxa"/>
            <w:vAlign w:val="center"/>
          </w:tcPr>
          <w:p w14:paraId="3CAD8156">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1.5分</w:t>
            </w:r>
          </w:p>
        </w:tc>
      </w:tr>
      <w:tr w14:paraId="0735D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4C165D76">
            <w:pPr>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w:t>
            </w:r>
          </w:p>
        </w:tc>
        <w:tc>
          <w:tcPr>
            <w:tcW w:w="1209" w:type="dxa"/>
            <w:vAlign w:val="center"/>
          </w:tcPr>
          <w:p w14:paraId="0558C2FD">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企业荣誉</w:t>
            </w:r>
          </w:p>
        </w:tc>
        <w:tc>
          <w:tcPr>
            <w:tcW w:w="6483" w:type="dxa"/>
            <w:vAlign w:val="center"/>
          </w:tcPr>
          <w:p w14:paraId="4EF6C149">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供应商自2022年1月1日以来(以荣誉颁发时间为准)获得过区（县)级政府部门颁发的餐饮服务类荣誉的每个得0.5分，获得过地（市）级及以上政府部门颁发的餐饮服务类荣誉的每个得1.5分，本项最多计取1个荣誉，最高得1.5分。</w:t>
            </w:r>
          </w:p>
          <w:p w14:paraId="1A1C0501">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注：投标文件中提供荣誉证书或文件证明资料的复印件并加盖投标人电子公章，否则不得分。</w:t>
            </w:r>
          </w:p>
        </w:tc>
        <w:tc>
          <w:tcPr>
            <w:tcW w:w="828" w:type="dxa"/>
            <w:vAlign w:val="center"/>
          </w:tcPr>
          <w:p w14:paraId="2E63FCDF">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1.5分</w:t>
            </w:r>
          </w:p>
        </w:tc>
      </w:tr>
      <w:tr w14:paraId="6500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679" w:type="dxa"/>
            <w:vAlign w:val="center"/>
          </w:tcPr>
          <w:p w14:paraId="208BF629">
            <w:pPr>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w:t>
            </w:r>
          </w:p>
        </w:tc>
        <w:tc>
          <w:tcPr>
            <w:tcW w:w="1209" w:type="dxa"/>
            <w:vAlign w:val="center"/>
          </w:tcPr>
          <w:p w14:paraId="7674B4E6">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项目组人员配置情况</w:t>
            </w:r>
          </w:p>
        </w:tc>
        <w:tc>
          <w:tcPr>
            <w:tcW w:w="6483" w:type="dxa"/>
            <w:vAlign w:val="center"/>
          </w:tcPr>
          <w:p w14:paraId="665D089E">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供应商提供的团队人员情况，包括但不限于经验、职业水平、能力等，由专家综合评分。项目组人员具有丰富的相关工作经验，人员数量充分，相关人员工作安排非常全面的得8.1-12分；项目组人员具有相关工作经验，人员数量少，相关人员工作安排较为合理的得4.1-8分；项目组人员不具有相关工作经验，人员数量少，相关人员工作安排混乱的0.1-4分，不提供不得分。</w:t>
            </w:r>
          </w:p>
          <w:p w14:paraId="4BF563F8">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注：团队人员必须为投标供应商在职职工（不包括离退休返聘人员），须提供缴费期限包含2025年</w:t>
            </w:r>
            <w:r>
              <w:rPr>
                <w:rFonts w:hint="eastAsia" w:ascii="仿宋" w:hAnsi="仿宋" w:eastAsia="仿宋" w:cs="仿宋"/>
                <w:b/>
                <w:bCs/>
                <w:color w:val="000000" w:themeColor="text1"/>
                <w:sz w:val="24"/>
                <w:highlight w:val="none"/>
                <w:lang w:val="en-US" w:eastAsia="zh-CN"/>
                <w14:textFill>
                  <w14:solidFill>
                    <w14:schemeClr w14:val="tx1"/>
                  </w14:solidFill>
                </w14:textFill>
              </w:rPr>
              <w:t>4</w:t>
            </w:r>
            <w:r>
              <w:rPr>
                <w:rFonts w:hint="eastAsia" w:ascii="仿宋" w:hAnsi="仿宋" w:eastAsia="仿宋" w:cs="仿宋"/>
                <w:b/>
                <w:bCs/>
                <w:color w:val="000000" w:themeColor="text1"/>
                <w:sz w:val="24"/>
                <w:highlight w:val="none"/>
                <w14:textFill>
                  <w14:solidFill>
                    <w14:schemeClr w14:val="tx1"/>
                  </w14:solidFill>
                </w14:textFill>
              </w:rPr>
              <w:t>月至2025年</w:t>
            </w:r>
            <w:r>
              <w:rPr>
                <w:rFonts w:hint="eastAsia" w:ascii="仿宋" w:hAnsi="仿宋" w:eastAsia="仿宋" w:cs="仿宋"/>
                <w:b/>
                <w:bCs/>
                <w:color w:val="000000" w:themeColor="text1"/>
                <w:sz w:val="24"/>
                <w:highlight w:val="none"/>
                <w:lang w:val="en-US" w:eastAsia="zh-CN"/>
                <w14:textFill>
                  <w14:solidFill>
                    <w14:schemeClr w14:val="tx1"/>
                  </w14:solidFill>
                </w14:textFill>
              </w:rPr>
              <w:t>6</w:t>
            </w:r>
            <w:r>
              <w:rPr>
                <w:rFonts w:hint="eastAsia" w:ascii="仿宋" w:hAnsi="仿宋" w:eastAsia="仿宋" w:cs="仿宋"/>
                <w:b/>
                <w:bCs/>
                <w:color w:val="000000" w:themeColor="text1"/>
                <w:sz w:val="24"/>
                <w:highlight w:val="none"/>
                <w14:textFill>
                  <w14:solidFill>
                    <w14:schemeClr w14:val="tx1"/>
                  </w14:solidFill>
                </w14:textFill>
              </w:rPr>
              <w:t>月的投标供应商所属社保证明。</w:t>
            </w:r>
          </w:p>
        </w:tc>
        <w:tc>
          <w:tcPr>
            <w:tcW w:w="828" w:type="dxa"/>
            <w:vAlign w:val="center"/>
          </w:tcPr>
          <w:p w14:paraId="4CCF1312">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12分</w:t>
            </w:r>
          </w:p>
        </w:tc>
      </w:tr>
      <w:tr w14:paraId="337A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5B30C3F9">
            <w:pPr>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p>
        </w:tc>
        <w:tc>
          <w:tcPr>
            <w:tcW w:w="1209" w:type="dxa"/>
            <w:vAlign w:val="center"/>
          </w:tcPr>
          <w:p w14:paraId="1B5AF5E1">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安全责任</w:t>
            </w:r>
          </w:p>
        </w:tc>
        <w:tc>
          <w:tcPr>
            <w:tcW w:w="6483" w:type="dxa"/>
            <w:vAlign w:val="center"/>
          </w:tcPr>
          <w:p w14:paraId="0692FF07">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1.投标人投保的食品安全责任险，每次事故责任限额2000万元得1分，每增加1000万元得0.5分,本项最高得2分，且处于保险期内的得2分。</w:t>
            </w:r>
          </w:p>
          <w:p w14:paraId="3D34517C">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2.投标单位投保公众责任险（每次事故责任限额不低于500万元且每人责任限额不低于100万元），且处于保险期内的得2分。</w:t>
            </w:r>
          </w:p>
          <w:p w14:paraId="405B12AC">
            <w:pPr>
              <w:rPr>
                <w:rFonts w:hint="eastAsia" w:eastAsia="仿宋"/>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注：投标文件中提供有效保单材料复印件或扫描件，否则不得分</w:t>
            </w:r>
            <w:r>
              <w:rPr>
                <w:rFonts w:hint="eastAsia" w:ascii="仿宋" w:hAnsi="仿宋" w:eastAsia="仿宋" w:cs="仿宋"/>
                <w:b/>
                <w:bCs/>
                <w:color w:val="000000" w:themeColor="text1"/>
                <w:sz w:val="24"/>
                <w:highlight w:val="none"/>
                <w:lang w:eastAsia="zh-CN"/>
                <w14:textFill>
                  <w14:solidFill>
                    <w14:schemeClr w14:val="tx1"/>
                  </w14:solidFill>
                </w14:textFill>
              </w:rPr>
              <w:t>。</w:t>
            </w:r>
          </w:p>
        </w:tc>
        <w:tc>
          <w:tcPr>
            <w:tcW w:w="828" w:type="dxa"/>
            <w:vAlign w:val="center"/>
          </w:tcPr>
          <w:p w14:paraId="6D3AFD3B">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4分</w:t>
            </w:r>
          </w:p>
        </w:tc>
      </w:tr>
      <w:tr w14:paraId="41BA8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7BE618E7">
            <w:pPr>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w:t>
            </w:r>
          </w:p>
        </w:tc>
        <w:tc>
          <w:tcPr>
            <w:tcW w:w="1209" w:type="dxa"/>
            <w:vAlign w:val="center"/>
          </w:tcPr>
          <w:p w14:paraId="2AE46792">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管理方案</w:t>
            </w:r>
          </w:p>
        </w:tc>
        <w:tc>
          <w:tcPr>
            <w:tcW w:w="6483" w:type="dxa"/>
            <w:vAlign w:val="center"/>
          </w:tcPr>
          <w:p w14:paraId="1A797C06">
            <w:pPr>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供应商提供的食堂内部管理方案，管理思路是否清晰，管理目标是否明确，且总体管理方案是否具有全面性、科学性、合理性；由专家综合评分。方案细致可行，有针对性，流程规范明确，思路清晰，方案措施全面，合理得8.1-12分；方案基本完整、合理、可行性一般得4.1-8分；思路混乱、方案不详细、不周到0.1-4分；不提供不得分。</w:t>
            </w:r>
          </w:p>
        </w:tc>
        <w:tc>
          <w:tcPr>
            <w:tcW w:w="828" w:type="dxa"/>
            <w:vAlign w:val="center"/>
          </w:tcPr>
          <w:p w14:paraId="0D9BE6B8">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12分</w:t>
            </w:r>
          </w:p>
        </w:tc>
      </w:tr>
      <w:tr w14:paraId="5B936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0D481094">
            <w:pPr>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w:t>
            </w:r>
          </w:p>
        </w:tc>
        <w:tc>
          <w:tcPr>
            <w:tcW w:w="1209" w:type="dxa"/>
            <w:vAlign w:val="center"/>
          </w:tcPr>
          <w:p w14:paraId="500D0002">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卫生、服务餐饮质量保障方案</w:t>
            </w:r>
          </w:p>
        </w:tc>
        <w:tc>
          <w:tcPr>
            <w:tcW w:w="6483" w:type="dxa"/>
            <w:vAlign w:val="center"/>
          </w:tcPr>
          <w:p w14:paraId="1A1A3092">
            <w:pPr>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为了提高职工食堂的餐饮服务质量，增强用餐体验感及满意度，投标单位以高标准要求，按照星级饭店餐饮优质的管理水平，食品质量、卫生安全、优质服务等制定方案，由专家综合评分。（包括不限于相应管理水平，食品质量、卫生安全、优质服务方案或有为星级饭店管理的类似经验保障等方面进行综合评分。经验保障需提供相关证明作为佐证材料，仅为文字描述且没有完整的佐证资料视为服务经验不充足）</w:t>
            </w:r>
          </w:p>
          <w:p w14:paraId="758763B4">
            <w:pPr>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方案非常完整、科学合理的，具有丰富经验保障的得8.1-12分；方案较完整、较科学合理的，服务经验较充足的得4.1-8分；方案不完整、不合理，服务经验不充足的得0.1-4分。不提供不得分。</w:t>
            </w:r>
          </w:p>
        </w:tc>
        <w:tc>
          <w:tcPr>
            <w:tcW w:w="828" w:type="dxa"/>
            <w:vAlign w:val="center"/>
          </w:tcPr>
          <w:p w14:paraId="1C7BFFC6">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12分</w:t>
            </w:r>
          </w:p>
        </w:tc>
      </w:tr>
      <w:tr w14:paraId="12AB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254B647A">
            <w:pPr>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8</w:t>
            </w:r>
          </w:p>
        </w:tc>
        <w:tc>
          <w:tcPr>
            <w:tcW w:w="1209" w:type="dxa"/>
            <w:vAlign w:val="center"/>
          </w:tcPr>
          <w:p w14:paraId="5F1A3FA4">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打造节能型政府食堂</w:t>
            </w:r>
          </w:p>
        </w:tc>
        <w:tc>
          <w:tcPr>
            <w:tcW w:w="6483" w:type="dxa"/>
            <w:vAlign w:val="center"/>
          </w:tcPr>
          <w:p w14:paraId="16F3B2D9">
            <w:pPr>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为了厉行节约，打造绿色节能型政府食堂，投标单位以高标准要求，按照绿色饭店餐饮优质的管理水平，食品质量、卫生安全、优质服务、能源、量控管理等制定方案，由专家综合评分。（包括不限于相应管理水平，食品质量、卫生安全、优质服务方案或有为绿色饭店管理的类似经验保障等方面进行综合评分。经验保障需提供相关证明作为佐证材料，仅为文字描述且没有完整的佐证资料视为服务经验不充足。）</w:t>
            </w:r>
          </w:p>
          <w:p w14:paraId="08DE40E4">
            <w:pPr>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方案非常完整、科学合理的，具有丰富经验保障的得8.1-12分；方案较完整、较科学合理的，服务经验较充足的得4.1-8分；方案不完整、不合理，服务经验不充足的得0.1-4分。不提供不得分。</w:t>
            </w:r>
          </w:p>
        </w:tc>
        <w:tc>
          <w:tcPr>
            <w:tcW w:w="828" w:type="dxa"/>
            <w:vAlign w:val="center"/>
          </w:tcPr>
          <w:p w14:paraId="66396801">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12分</w:t>
            </w:r>
          </w:p>
        </w:tc>
      </w:tr>
      <w:tr w14:paraId="1BD8E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2BEF9E7B">
            <w:pPr>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9</w:t>
            </w:r>
          </w:p>
        </w:tc>
        <w:tc>
          <w:tcPr>
            <w:tcW w:w="1209" w:type="dxa"/>
            <w:vAlign w:val="center"/>
          </w:tcPr>
          <w:p w14:paraId="5468339B">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菜谱制定</w:t>
            </w:r>
          </w:p>
        </w:tc>
        <w:tc>
          <w:tcPr>
            <w:tcW w:w="6483" w:type="dxa"/>
            <w:vAlign w:val="center"/>
          </w:tcPr>
          <w:p w14:paraId="5CBB2252">
            <w:pPr>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以安全、卫生、营养为原则，根据本食堂特点安排一份四季菜谱，每季排一周（7天）菜谱，每天排12个以上菜品，荤素搭配均衡。评委根据菜谱的花色品种和价格合理性结合本食堂特点，由专家综合评分。菜谱的花色品种</w:t>
            </w:r>
            <w:r>
              <w:rPr>
                <w:rFonts w:hint="eastAsia" w:ascii="仿宋" w:hAnsi="仿宋" w:eastAsia="仿宋" w:cs="仿宋"/>
                <w:color w:val="000000" w:themeColor="text1"/>
                <w:sz w:val="24"/>
                <w:highlight w:val="none"/>
                <w:lang w:val="en-US" w:eastAsia="zh-CN"/>
                <w14:textFill>
                  <w14:solidFill>
                    <w14:schemeClr w14:val="tx1"/>
                  </w14:solidFill>
                </w14:textFill>
              </w:rPr>
              <w:t>丰富、荤素搭配均衡、价格合理的，</w:t>
            </w:r>
            <w:r>
              <w:rPr>
                <w:rFonts w:hint="eastAsia" w:ascii="仿宋" w:hAnsi="仿宋" w:eastAsia="仿宋" w:cs="仿宋"/>
                <w:color w:val="000000" w:themeColor="text1"/>
                <w:sz w:val="24"/>
                <w:highlight w:val="none"/>
                <w14:textFill>
                  <w14:solidFill>
                    <w14:schemeClr w14:val="tx1"/>
                  </w14:solidFill>
                </w14:textFill>
              </w:rPr>
              <w:t>得6.1-9分；菜谱的花色品种</w:t>
            </w:r>
            <w:r>
              <w:rPr>
                <w:rFonts w:hint="eastAsia" w:ascii="仿宋" w:hAnsi="仿宋" w:eastAsia="仿宋" w:cs="仿宋"/>
                <w:color w:val="000000" w:themeColor="text1"/>
                <w:sz w:val="24"/>
                <w:highlight w:val="none"/>
                <w:lang w:val="en-US" w:eastAsia="zh-CN"/>
                <w14:textFill>
                  <w14:solidFill>
                    <w14:schemeClr w14:val="tx1"/>
                  </w14:solidFill>
                </w14:textFill>
              </w:rPr>
              <w:t>较为</w:t>
            </w:r>
            <w:r>
              <w:rPr>
                <w:rFonts w:hint="eastAsia" w:ascii="仿宋" w:hAnsi="仿宋" w:eastAsia="仿宋" w:cs="仿宋"/>
                <w:color w:val="000000" w:themeColor="text1"/>
                <w:sz w:val="24"/>
                <w:highlight w:val="none"/>
                <w14:textFill>
                  <w14:solidFill>
                    <w14:schemeClr w14:val="tx1"/>
                  </w14:solidFill>
                </w14:textFill>
              </w:rPr>
              <w:t>丰富、荤素搭配</w:t>
            </w:r>
            <w:r>
              <w:rPr>
                <w:rFonts w:hint="eastAsia" w:ascii="仿宋" w:hAnsi="仿宋" w:eastAsia="仿宋" w:cs="仿宋"/>
                <w:color w:val="000000" w:themeColor="text1"/>
                <w:sz w:val="24"/>
                <w:highlight w:val="none"/>
                <w:lang w:val="en-US" w:eastAsia="zh-CN"/>
                <w14:textFill>
                  <w14:solidFill>
                    <w14:schemeClr w14:val="tx1"/>
                  </w14:solidFill>
                </w14:textFill>
              </w:rPr>
              <w:t>较为</w:t>
            </w:r>
            <w:r>
              <w:rPr>
                <w:rFonts w:hint="eastAsia" w:ascii="仿宋" w:hAnsi="仿宋" w:eastAsia="仿宋" w:cs="仿宋"/>
                <w:color w:val="000000" w:themeColor="text1"/>
                <w:sz w:val="24"/>
                <w:highlight w:val="none"/>
                <w14:textFill>
                  <w14:solidFill>
                    <w14:schemeClr w14:val="tx1"/>
                  </w14:solidFill>
                </w14:textFill>
              </w:rPr>
              <w:t>均衡</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价格</w:t>
            </w:r>
            <w:r>
              <w:rPr>
                <w:rFonts w:hint="eastAsia" w:ascii="仿宋" w:hAnsi="仿宋" w:eastAsia="仿宋" w:cs="仿宋"/>
                <w:color w:val="000000" w:themeColor="text1"/>
                <w:sz w:val="24"/>
                <w:highlight w:val="none"/>
                <w:lang w:val="en-US" w:eastAsia="zh-CN"/>
                <w14:textFill>
                  <w14:solidFill>
                    <w14:schemeClr w14:val="tx1"/>
                  </w14:solidFill>
                </w14:textFill>
              </w:rPr>
              <w:t>较为</w:t>
            </w:r>
            <w:r>
              <w:rPr>
                <w:rFonts w:hint="eastAsia" w:ascii="仿宋" w:hAnsi="仿宋" w:eastAsia="仿宋" w:cs="仿宋"/>
                <w:color w:val="000000" w:themeColor="text1"/>
                <w:sz w:val="24"/>
                <w:highlight w:val="none"/>
                <w14:textFill>
                  <w14:solidFill>
                    <w14:schemeClr w14:val="tx1"/>
                  </w14:solidFill>
                </w14:textFill>
              </w:rPr>
              <w:t>合理</w:t>
            </w:r>
            <w:r>
              <w:rPr>
                <w:rFonts w:hint="eastAsia" w:ascii="仿宋" w:hAnsi="仿宋" w:eastAsia="仿宋" w:cs="仿宋"/>
                <w:color w:val="000000" w:themeColor="text1"/>
                <w:sz w:val="24"/>
                <w:highlight w:val="none"/>
                <w:lang w:val="en-US" w:eastAsia="zh-CN"/>
                <w14:textFill>
                  <w14:solidFill>
                    <w14:schemeClr w14:val="tx1"/>
                  </w14:solidFill>
                </w14:textFill>
              </w:rPr>
              <w:t>的，</w:t>
            </w:r>
            <w:r>
              <w:rPr>
                <w:rFonts w:hint="eastAsia" w:ascii="仿宋" w:hAnsi="仿宋" w:eastAsia="仿宋" w:cs="仿宋"/>
                <w:color w:val="000000" w:themeColor="text1"/>
                <w:sz w:val="24"/>
                <w:highlight w:val="none"/>
                <w14:textFill>
                  <w14:solidFill>
                    <w14:schemeClr w14:val="tx1"/>
                  </w14:solidFill>
                </w14:textFill>
              </w:rPr>
              <w:t>得3.1-6分；菜谱的花色品种</w:t>
            </w:r>
            <w:r>
              <w:rPr>
                <w:rFonts w:hint="eastAsia" w:ascii="仿宋" w:hAnsi="仿宋" w:eastAsia="仿宋" w:cs="仿宋"/>
                <w:color w:val="000000" w:themeColor="text1"/>
                <w:sz w:val="24"/>
                <w:highlight w:val="none"/>
                <w:lang w:val="en-US" w:eastAsia="zh-CN"/>
                <w14:textFill>
                  <w14:solidFill>
                    <w14:schemeClr w14:val="tx1"/>
                  </w14:solidFill>
                </w14:textFill>
              </w:rPr>
              <w:t>一般</w:t>
            </w:r>
            <w:r>
              <w:rPr>
                <w:rFonts w:hint="eastAsia" w:ascii="仿宋" w:hAnsi="仿宋" w:eastAsia="仿宋" w:cs="仿宋"/>
                <w:color w:val="000000" w:themeColor="text1"/>
                <w:sz w:val="24"/>
                <w:highlight w:val="none"/>
                <w14:textFill>
                  <w14:solidFill>
                    <w14:schemeClr w14:val="tx1"/>
                  </w14:solidFill>
                </w14:textFill>
              </w:rPr>
              <w:t>、荤素搭配一般、价格一般</w:t>
            </w:r>
            <w:r>
              <w:rPr>
                <w:rFonts w:hint="eastAsia" w:ascii="仿宋" w:hAnsi="仿宋" w:eastAsia="仿宋" w:cs="仿宋"/>
                <w:color w:val="000000" w:themeColor="text1"/>
                <w:sz w:val="24"/>
                <w:highlight w:val="none"/>
                <w:lang w:val="en-US" w:eastAsia="zh-CN"/>
                <w14:textFill>
                  <w14:solidFill>
                    <w14:schemeClr w14:val="tx1"/>
                  </w14:solidFill>
                </w14:textFill>
              </w:rPr>
              <w:t>的</w:t>
            </w:r>
            <w:r>
              <w:rPr>
                <w:rFonts w:hint="eastAsia" w:ascii="仿宋" w:hAnsi="仿宋" w:eastAsia="仿宋" w:cs="仿宋"/>
                <w:color w:val="000000" w:themeColor="text1"/>
                <w:sz w:val="24"/>
                <w:highlight w:val="none"/>
                <w14:textFill>
                  <w14:solidFill>
                    <w14:schemeClr w14:val="tx1"/>
                  </w14:solidFill>
                </w14:textFill>
              </w:rPr>
              <w:t>，得0.1-3分；不提供不得分。</w:t>
            </w:r>
          </w:p>
        </w:tc>
        <w:tc>
          <w:tcPr>
            <w:tcW w:w="828" w:type="dxa"/>
            <w:vAlign w:val="center"/>
          </w:tcPr>
          <w:p w14:paraId="442E9CED">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9分</w:t>
            </w:r>
          </w:p>
        </w:tc>
      </w:tr>
      <w:tr w14:paraId="7454C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3FA5A57C">
            <w:pPr>
              <w:jc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10</w:t>
            </w:r>
          </w:p>
        </w:tc>
        <w:tc>
          <w:tcPr>
            <w:tcW w:w="1209" w:type="dxa"/>
            <w:vAlign w:val="center"/>
          </w:tcPr>
          <w:p w14:paraId="0E9717C4">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稳定员工队伍的措施</w:t>
            </w:r>
          </w:p>
        </w:tc>
        <w:tc>
          <w:tcPr>
            <w:tcW w:w="6483" w:type="dxa"/>
            <w:vAlign w:val="center"/>
          </w:tcPr>
          <w:p w14:paraId="732FABF4">
            <w:pPr>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根据稳定员工队伍的措施方案的可行性等方面由专家综合评分。方案详实、切实可行的得</w:t>
            </w:r>
            <w:r>
              <w:rPr>
                <w:rFonts w:hint="eastAsia"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分；方案简单</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基本符合的，得1.1-</w:t>
            </w:r>
            <w:r>
              <w:rPr>
                <w:rFonts w:hint="eastAsia"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分；方案</w:t>
            </w:r>
            <w:r>
              <w:rPr>
                <w:rFonts w:hint="eastAsia" w:ascii="仿宋" w:hAnsi="仿宋" w:eastAsia="仿宋" w:cs="仿宋"/>
                <w:color w:val="000000" w:themeColor="text1"/>
                <w:sz w:val="24"/>
                <w:highlight w:val="none"/>
                <w:lang w:val="en-US" w:eastAsia="zh-CN"/>
                <w14:textFill>
                  <w14:solidFill>
                    <w14:schemeClr w14:val="tx1"/>
                  </w14:solidFill>
                </w14:textFill>
              </w:rPr>
              <w:t>不完整</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可操作性一般的得0.1-1分；不提供不得分。</w:t>
            </w:r>
          </w:p>
        </w:tc>
        <w:tc>
          <w:tcPr>
            <w:tcW w:w="828" w:type="dxa"/>
            <w:vAlign w:val="center"/>
          </w:tcPr>
          <w:p w14:paraId="112B3B55">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3分</w:t>
            </w:r>
          </w:p>
        </w:tc>
      </w:tr>
      <w:tr w14:paraId="3A074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50E63D2B">
            <w:pPr>
              <w:jc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11</w:t>
            </w:r>
          </w:p>
        </w:tc>
        <w:tc>
          <w:tcPr>
            <w:tcW w:w="1209" w:type="dxa"/>
            <w:vAlign w:val="center"/>
          </w:tcPr>
          <w:p w14:paraId="71DEB01C">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突发事件应急处理措施</w:t>
            </w:r>
          </w:p>
        </w:tc>
        <w:tc>
          <w:tcPr>
            <w:tcW w:w="6483" w:type="dxa"/>
            <w:vAlign w:val="center"/>
          </w:tcPr>
          <w:p w14:paraId="71C9BA4E">
            <w:pPr>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详细说明针对本项目制定的紧急预案，并具有全面性、可行性，应急预案，突击保障、突发问题解决、后勤保障措施。由专家综合评分。紧急预案详实、切实可行的得</w:t>
            </w:r>
            <w:r>
              <w:rPr>
                <w:rFonts w:hint="eastAsia"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9</w:t>
            </w:r>
            <w:r>
              <w:rPr>
                <w:rFonts w:hint="eastAsia" w:ascii="仿宋" w:hAnsi="仿宋" w:eastAsia="仿宋" w:cs="仿宋"/>
                <w:color w:val="000000" w:themeColor="text1"/>
                <w:sz w:val="24"/>
                <w:highlight w:val="none"/>
                <w14:textFill>
                  <w14:solidFill>
                    <w14:schemeClr w14:val="tx1"/>
                  </w14:solidFill>
                </w14:textFill>
              </w:rPr>
              <w:t>分；紧急预案简单</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基本符合的，得</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分；紧急预案</w:t>
            </w:r>
            <w:r>
              <w:rPr>
                <w:rFonts w:hint="eastAsia" w:ascii="仿宋" w:hAnsi="仿宋" w:eastAsia="仿宋" w:cs="仿宋"/>
                <w:color w:val="000000" w:themeColor="text1"/>
                <w:sz w:val="24"/>
                <w:highlight w:val="none"/>
                <w:lang w:val="en-US" w:eastAsia="zh-CN"/>
                <w14:textFill>
                  <w14:solidFill>
                    <w14:schemeClr w14:val="tx1"/>
                  </w14:solidFill>
                </w14:textFill>
              </w:rPr>
              <w:t>不详细</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操作性一般的得0.1-</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分；不提供不得分。</w:t>
            </w:r>
          </w:p>
        </w:tc>
        <w:tc>
          <w:tcPr>
            <w:tcW w:w="828" w:type="dxa"/>
            <w:vAlign w:val="center"/>
          </w:tcPr>
          <w:p w14:paraId="05205C8B">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9分</w:t>
            </w:r>
          </w:p>
        </w:tc>
      </w:tr>
      <w:tr w14:paraId="4A4D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10C9FAE2">
            <w:pPr>
              <w:jc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12</w:t>
            </w:r>
          </w:p>
        </w:tc>
        <w:tc>
          <w:tcPr>
            <w:tcW w:w="1209" w:type="dxa"/>
            <w:vAlign w:val="center"/>
          </w:tcPr>
          <w:p w14:paraId="4FB466E8">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承诺和优惠</w:t>
            </w:r>
          </w:p>
        </w:tc>
        <w:tc>
          <w:tcPr>
            <w:tcW w:w="6483" w:type="dxa"/>
            <w:vAlign w:val="center"/>
          </w:tcPr>
          <w:p w14:paraId="59E77DA9">
            <w:pPr>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针对招标文件要求提出的针对性承诺、给予的优惠条件、提供的配套服务情况综合评分，针对性承诺、优惠条件、配套服务</w:t>
            </w:r>
            <w:r>
              <w:rPr>
                <w:rFonts w:hint="eastAsia" w:ascii="仿宋" w:hAnsi="仿宋" w:eastAsia="仿宋" w:cs="仿宋"/>
                <w:color w:val="000000" w:themeColor="text1"/>
                <w:sz w:val="24"/>
                <w:highlight w:val="none"/>
                <w:lang w:val="en-US" w:eastAsia="zh-CN"/>
                <w14:textFill>
                  <w14:solidFill>
                    <w14:schemeClr w14:val="tx1"/>
                  </w14:solidFill>
                </w14:textFill>
              </w:rPr>
              <w:t>合理可行，方案措施全面</w:t>
            </w:r>
            <w:r>
              <w:rPr>
                <w:rFonts w:hint="eastAsia" w:ascii="仿宋" w:hAnsi="仿宋" w:eastAsia="仿宋" w:cs="仿宋"/>
                <w:color w:val="000000" w:themeColor="text1"/>
                <w:sz w:val="24"/>
                <w:highlight w:val="none"/>
                <w14:textFill>
                  <w14:solidFill>
                    <w14:schemeClr w14:val="tx1"/>
                  </w14:solidFill>
                </w14:textFill>
              </w:rPr>
              <w:t>的</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得</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分；针对性承诺、优惠条件、配套服务</w:t>
            </w:r>
            <w:r>
              <w:rPr>
                <w:rFonts w:hint="eastAsia" w:ascii="仿宋" w:hAnsi="仿宋" w:eastAsia="仿宋" w:cs="仿宋"/>
                <w:color w:val="000000" w:themeColor="text1"/>
                <w:sz w:val="24"/>
                <w:highlight w:val="none"/>
                <w:lang w:val="en-US" w:eastAsia="zh-CN"/>
                <w14:textFill>
                  <w14:solidFill>
                    <w14:schemeClr w14:val="tx1"/>
                  </w14:solidFill>
                </w14:textFill>
              </w:rPr>
              <w:t>较为</w:t>
            </w:r>
            <w:r>
              <w:rPr>
                <w:rFonts w:hint="eastAsia" w:ascii="仿宋" w:hAnsi="仿宋" w:eastAsia="仿宋" w:cs="仿宋"/>
                <w:color w:val="000000" w:themeColor="text1"/>
                <w:sz w:val="24"/>
                <w:highlight w:val="none"/>
                <w14:textFill>
                  <w14:solidFill>
                    <w14:schemeClr w14:val="tx1"/>
                  </w14:solidFill>
                </w14:textFill>
              </w:rPr>
              <w:t>合理，方案措施</w:t>
            </w:r>
            <w:r>
              <w:rPr>
                <w:rFonts w:hint="eastAsia" w:ascii="仿宋" w:hAnsi="仿宋" w:eastAsia="仿宋" w:cs="仿宋"/>
                <w:color w:val="000000" w:themeColor="text1"/>
                <w:sz w:val="24"/>
                <w:highlight w:val="none"/>
                <w:lang w:val="en-US" w:eastAsia="zh-CN"/>
                <w14:textFill>
                  <w14:solidFill>
                    <w14:schemeClr w14:val="tx1"/>
                  </w14:solidFill>
                </w14:textFill>
              </w:rPr>
              <w:t>较为</w:t>
            </w:r>
            <w:r>
              <w:rPr>
                <w:rFonts w:hint="eastAsia" w:ascii="仿宋" w:hAnsi="仿宋" w:eastAsia="仿宋" w:cs="仿宋"/>
                <w:color w:val="000000" w:themeColor="text1"/>
                <w:sz w:val="24"/>
                <w:highlight w:val="none"/>
                <w14:textFill>
                  <w14:solidFill>
                    <w14:schemeClr w14:val="tx1"/>
                  </w14:solidFill>
                </w14:textFill>
              </w:rPr>
              <w:t>全面的，得</w:t>
            </w:r>
            <w:r>
              <w:rPr>
                <w:rFonts w:hint="eastAsia"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14:textFill>
                  <w14:solidFill>
                    <w14:schemeClr w14:val="tx1"/>
                  </w14:solidFill>
                </w14:textFill>
              </w:rPr>
              <w:t>分；针对性承诺、优惠条件、配套服务不</w:t>
            </w:r>
            <w:r>
              <w:rPr>
                <w:rFonts w:hint="eastAsia" w:ascii="仿宋" w:hAnsi="仿宋" w:eastAsia="仿宋" w:cs="仿宋"/>
                <w:color w:val="000000" w:themeColor="text1"/>
                <w:sz w:val="24"/>
                <w:highlight w:val="none"/>
                <w:lang w:val="en-US" w:eastAsia="zh-CN"/>
                <w14:textFill>
                  <w14:solidFill>
                    <w14:schemeClr w14:val="tx1"/>
                  </w14:solidFill>
                </w14:textFill>
              </w:rPr>
              <w:t>全面</w:t>
            </w:r>
            <w:r>
              <w:rPr>
                <w:rFonts w:hint="eastAsia" w:ascii="仿宋" w:hAnsi="仿宋" w:eastAsia="仿宋" w:cs="仿宋"/>
                <w:color w:val="000000" w:themeColor="text1"/>
                <w:sz w:val="24"/>
                <w:highlight w:val="none"/>
                <w14:textFill>
                  <w14:solidFill>
                    <w14:schemeClr w14:val="tx1"/>
                  </w14:solidFill>
                </w14:textFill>
              </w:rPr>
              <w:t>的</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得0.1-</w:t>
            </w:r>
            <w:r>
              <w:rPr>
                <w:rFonts w:hint="eastAsia"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分；不提供不得分。</w:t>
            </w:r>
          </w:p>
        </w:tc>
        <w:tc>
          <w:tcPr>
            <w:tcW w:w="828" w:type="dxa"/>
            <w:vAlign w:val="center"/>
          </w:tcPr>
          <w:p w14:paraId="2CBF92FC">
            <w:pPr>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6分</w:t>
            </w:r>
          </w:p>
        </w:tc>
      </w:tr>
    </w:tbl>
    <w:p w14:paraId="24429AB7">
      <w:pPr>
        <w:spacing w:line="440" w:lineRule="exact"/>
        <w:ind w:firstLine="480" w:firstLineChars="200"/>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cs="仿宋_GB2312"/>
          <w:color w:val="000000" w:themeColor="text1"/>
          <w:sz w:val="24"/>
          <w:highlight w:val="none"/>
          <w14:textFill>
            <w14:solidFill>
              <w14:schemeClr w14:val="tx1"/>
            </w14:solidFill>
          </w14:textFill>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themeColor="text1"/>
          <w:sz w:val="24"/>
          <w:highlight w:val="none"/>
          <w14:textFill>
            <w14:solidFill>
              <w14:schemeClr w14:val="tx1"/>
            </w14:solidFill>
          </w14:textFill>
        </w:rPr>
        <w:t>商务技术分低于51分的，</w:t>
      </w:r>
      <w:r>
        <w:rPr>
          <w:rFonts w:hint="eastAsia" w:ascii="仿宋" w:hAnsi="仿宋" w:eastAsia="仿宋"/>
          <w:b/>
          <w:bCs/>
          <w:color w:val="000000" w:themeColor="text1"/>
          <w:sz w:val="24"/>
          <w:highlight w:val="none"/>
          <w14:textFill>
            <w14:solidFill>
              <w14:schemeClr w14:val="tx1"/>
            </w14:solidFill>
          </w14:textFill>
        </w:rPr>
        <w:t>视为采购人不能接受的附加条件。</w:t>
      </w:r>
    </w:p>
    <w:p w14:paraId="11CD4228">
      <w:pPr>
        <w:snapToGrid w:val="0"/>
        <w:spacing w:line="400" w:lineRule="exact"/>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w:t>
      </w:r>
      <w:r>
        <w:rPr>
          <w:rFonts w:hint="eastAsia" w:ascii="仿宋" w:hAnsi="仿宋" w:eastAsia="仿宋" w:cs="仿宋"/>
          <w:color w:val="000000" w:themeColor="text1"/>
          <w:sz w:val="24"/>
          <w:highlight w:val="none"/>
          <w14:textFill>
            <w14:solidFill>
              <w14:schemeClr w14:val="tx1"/>
            </w14:solidFill>
          </w14:textFill>
        </w:rPr>
        <w:t>投标人编制投标文件（商务技术文件部分）时，建议按此目录（序号和内容）提供评标标准相应的商务技术资料。</w:t>
      </w:r>
    </w:p>
    <w:p w14:paraId="25EBC618">
      <w:pPr>
        <w:spacing w:line="400" w:lineRule="exact"/>
        <w:rPr>
          <w:rFonts w:ascii="仿宋" w:hAnsi="仿宋" w:eastAsia="仿宋" w:cs="仿宋"/>
          <w:b/>
          <w:bCs/>
          <w:iCs/>
          <w:color w:val="000000" w:themeColor="text1"/>
          <w:sz w:val="24"/>
          <w:highlight w:val="none"/>
          <w14:textFill>
            <w14:solidFill>
              <w14:schemeClr w14:val="tx1"/>
            </w14:solidFill>
          </w14:textFill>
        </w:rPr>
      </w:pPr>
    </w:p>
    <w:p w14:paraId="06A6B478">
      <w:pPr>
        <w:spacing w:line="400" w:lineRule="exact"/>
        <w:ind w:firstLine="482" w:firstLineChars="200"/>
        <w:rPr>
          <w:rFonts w:ascii="仿宋" w:hAnsi="仿宋" w:eastAsia="仿宋" w:cs="仿宋"/>
          <w:b/>
          <w:bCs/>
          <w:iCs/>
          <w:color w:val="000000" w:themeColor="text1"/>
          <w:sz w:val="24"/>
          <w:highlight w:val="none"/>
          <w14:textFill>
            <w14:solidFill>
              <w14:schemeClr w14:val="tx1"/>
            </w14:solidFill>
          </w14:textFill>
        </w:rPr>
      </w:pPr>
      <w:r>
        <w:rPr>
          <w:rFonts w:hint="eastAsia" w:ascii="仿宋" w:hAnsi="仿宋" w:eastAsia="仿宋" w:cs="仿宋"/>
          <w:b/>
          <w:bCs/>
          <w:iCs/>
          <w:color w:val="000000" w:themeColor="text1"/>
          <w:sz w:val="24"/>
          <w:highlight w:val="none"/>
          <w14:textFill>
            <w14:solidFill>
              <w14:schemeClr w14:val="tx1"/>
            </w14:solidFill>
          </w14:textFill>
        </w:rPr>
        <w:t>2.2价格分（</w:t>
      </w:r>
      <w:r>
        <w:rPr>
          <w:rFonts w:hint="eastAsia" w:ascii="仿宋" w:hAnsi="仿宋" w:eastAsia="仿宋" w:cs="仿宋"/>
          <w:b/>
          <w:bCs/>
          <w:iCs/>
          <w:color w:val="000000" w:themeColor="text1"/>
          <w:sz w:val="24"/>
          <w:highlight w:val="none"/>
          <w:u w:val="single"/>
          <w14:textFill>
            <w14:solidFill>
              <w14:schemeClr w14:val="tx1"/>
            </w14:solidFill>
          </w14:textFill>
        </w:rPr>
        <w:t>15</w:t>
      </w:r>
      <w:r>
        <w:rPr>
          <w:rFonts w:hint="eastAsia" w:ascii="仿宋" w:hAnsi="仿宋" w:eastAsia="仿宋" w:cs="仿宋"/>
          <w:b/>
          <w:bCs/>
          <w:iCs/>
          <w:color w:val="000000" w:themeColor="text1"/>
          <w:sz w:val="24"/>
          <w:highlight w:val="none"/>
          <w14:textFill>
            <w14:solidFill>
              <w14:schemeClr w14:val="tx1"/>
            </w14:solidFill>
          </w14:textFill>
        </w:rPr>
        <w:t>分）</w:t>
      </w:r>
    </w:p>
    <w:p w14:paraId="436E3D3C">
      <w:pPr>
        <w:spacing w:line="440" w:lineRule="exact"/>
        <w:ind w:firstLine="480" w:firstLineChars="200"/>
        <w:rPr>
          <w:rFonts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2.2.1评标基准价：即满足招标文件要求且投标价格最低的投标报价为评标基准价，其价格分为满分。</w:t>
      </w:r>
    </w:p>
    <w:p w14:paraId="5B05254C">
      <w:pPr>
        <w:spacing w:line="440" w:lineRule="exact"/>
        <w:ind w:firstLine="480" w:firstLineChars="200"/>
        <w:rPr>
          <w:rFonts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2.2.2其他投标人的价格分统一按照下列公式计算：</w:t>
      </w:r>
    </w:p>
    <w:p w14:paraId="370E4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投标报价得分=(评标基准价／投标报价)×价格权值×100</w:t>
      </w:r>
    </w:p>
    <w:p w14:paraId="6E496A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即：投标报价得分=(评标基准价／投标报价)×</w:t>
      </w:r>
      <w:r>
        <w:rPr>
          <w:rFonts w:hint="eastAsia" w:ascii="仿宋" w:hAnsi="仿宋" w:eastAsia="仿宋" w:cs="仿宋"/>
          <w:bCs/>
          <w:iCs/>
          <w:color w:val="000000" w:themeColor="text1"/>
          <w:sz w:val="24"/>
          <w:highlight w:val="none"/>
          <w:u w:val="single"/>
          <w14:textFill>
            <w14:solidFill>
              <w14:schemeClr w14:val="tx1"/>
            </w14:solidFill>
          </w14:textFill>
        </w:rPr>
        <w:t>15</w:t>
      </w:r>
    </w:p>
    <w:p w14:paraId="24701D83">
      <w:pPr>
        <w:rPr>
          <w:rFonts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br w:type="page"/>
      </w:r>
    </w:p>
    <w:bookmarkEnd w:id="42"/>
    <w:bookmarkEnd w:id="43"/>
    <w:p w14:paraId="40E7D0E6">
      <w:pPr>
        <w:widowControl/>
        <w:adjustRightInd/>
        <w:jc w:val="center"/>
        <w:rPr>
          <w:rFonts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第六部分 投标文件及其附件格式</w:t>
      </w:r>
    </w:p>
    <w:p w14:paraId="41A2CF46">
      <w:pPr>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p>
    <w:p w14:paraId="41785FEB">
      <w:pPr>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资格文件部分</w:t>
      </w:r>
    </w:p>
    <w:p w14:paraId="00AF73B6">
      <w:pPr>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05D44FEF">
      <w:pPr>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p>
    <w:p w14:paraId="45BE45FD">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（1）符合参加政府采购活动应当具备的一般条件的承诺函……………（页码）</w:t>
      </w:r>
    </w:p>
    <w:p w14:paraId="1ABC0657">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（2）联合协议</w:t>
      </w:r>
      <w:r>
        <w:rPr>
          <w:rFonts w:hint="eastAsia" w:ascii="仿宋" w:hAnsi="仿宋" w:eastAsia="仿宋" w:cs="仿宋"/>
          <w:color w:val="000000" w:themeColor="text1"/>
          <w:sz w:val="24"/>
          <w:highlight w:val="none"/>
          <w14:textFill>
            <w14:solidFill>
              <w14:schemeClr w14:val="tx1"/>
            </w14:solidFill>
          </w14:textFill>
        </w:rPr>
        <w:t>………………………………………………………………（页码）</w:t>
      </w:r>
    </w:p>
    <w:p w14:paraId="6C395EC7">
      <w:pPr>
        <w:pStyle w:val="3"/>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（3）分包协议………………………………………………………………（页码）</w:t>
      </w:r>
    </w:p>
    <w:p w14:paraId="1ECB92EB">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（4）落实政府采购政策需满足的资格要求………………………………（页码）</w:t>
      </w:r>
    </w:p>
    <w:p w14:paraId="1F97DB9A">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（5）本项目的特定资格要求………………………………………………（页码）</w:t>
      </w:r>
    </w:p>
    <w:p w14:paraId="79A36CD8">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p>
    <w:p w14:paraId="01CE2A48">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p>
    <w:p w14:paraId="09C6F776">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br w:type="page"/>
      </w:r>
      <w:r>
        <w:rPr>
          <w:rFonts w:hint="eastAsia" w:ascii="仿宋" w:hAnsi="仿宋" w:eastAsia="仿宋" w:cs="仿宋"/>
          <w:b/>
          <w:color w:val="000000" w:themeColor="text1"/>
          <w:kern w:val="0"/>
          <w:sz w:val="32"/>
          <w:szCs w:val="32"/>
          <w:highlight w:val="none"/>
          <w14:textFill>
            <w14:solidFill>
              <w14:schemeClr w14:val="tx1"/>
            </w14:solidFill>
          </w14:textFill>
        </w:rPr>
        <w:t>一、符合参加政府采购活动应当具备的一般条件的承诺函</w:t>
      </w:r>
    </w:p>
    <w:p w14:paraId="52BA45A6">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p>
    <w:p w14:paraId="68C7FFCC">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我方参与（项目名称）【招标编号：（采购编号）】政府采购活动，郑重承诺：</w:t>
      </w:r>
    </w:p>
    <w:p w14:paraId="452975DF">
      <w:pPr>
        <w:snapToGrid w:val="0"/>
        <w:spacing w:line="360" w:lineRule="auto"/>
        <w:ind w:firstLine="360" w:firstLineChars="15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（一）具备《中华人民共和国政府采购法》第二十二条第一款规定的条件：</w:t>
      </w:r>
    </w:p>
    <w:p w14:paraId="6140D6BA">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1、具有独立承担民事责任的能力</w:t>
      </w:r>
      <w:r>
        <w:rPr>
          <w:rFonts w:hint="eastAsia" w:ascii="仿宋_GB2312" w:hAnsi="仿宋" w:eastAsia="仿宋_GB2312" w:cs="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14:textFill>
            <w14:solidFill>
              <w14:schemeClr w14:val="tx1"/>
            </w14:solidFill>
          </w14:textFill>
        </w:rPr>
        <w:t>如投标人为</w:t>
      </w:r>
      <w:r>
        <w:rPr>
          <w:rFonts w:hint="eastAsia" w:ascii="仿宋_GB2312" w:hAnsi="仿宋_GB2312" w:eastAsia="仿宋_GB2312" w:cs="仿宋_GB2312"/>
          <w:color w:val="000000" w:themeColor="text1"/>
          <w:sz w:val="24"/>
          <w:highlight w:val="none"/>
          <w14:textFill>
            <w14:solidFill>
              <w14:schemeClr w14:val="tx1"/>
            </w14:solidFill>
          </w14:textFill>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4BA692C">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2、具有良好的商业信誉和健全的财务会计制度； </w:t>
      </w:r>
    </w:p>
    <w:p w14:paraId="13DE5B05">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3、具有履行合同所必需的设备和专业技术能力；</w:t>
      </w:r>
    </w:p>
    <w:p w14:paraId="175F0DE6">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4、有依法缴纳税收和社会保障资金的良好记录；</w:t>
      </w:r>
    </w:p>
    <w:p w14:paraId="5B71A2A0">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5、参加政府采购活动前三年内，在经营活动中没有重大违法记录；</w:t>
      </w:r>
    </w:p>
    <w:p w14:paraId="50D22895">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6、具有法律、行政法规规定的其他条件。</w:t>
      </w:r>
    </w:p>
    <w:p w14:paraId="059882A2">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（二）未被信用中国（www.creditchina.gov.cn)、中国政府采购网（www.ccgp.gov.cn）列入失信被执行人、重大税收违法失信主体、政府采购严重违法失信行为记录名单。</w:t>
      </w:r>
    </w:p>
    <w:p w14:paraId="2A53B9AE">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（三）不存在以下情况：</w:t>
      </w:r>
    </w:p>
    <w:p w14:paraId="401EF936">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1、单位负责人为同一人或者存在直接控股、管理关系的不同供应商参加同一合同项下的政府采购活动的；</w:t>
      </w:r>
    </w:p>
    <w:p w14:paraId="4C1DA87A">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2、为采购项目提供整体设计、规范编制或者项目管理、监理、检测等服务后再参加该采购项目的其他采购活动的。</w:t>
      </w:r>
    </w:p>
    <w:p w14:paraId="0618166D">
      <w:pPr>
        <w:snapToGrid w:val="0"/>
        <w:spacing w:line="360" w:lineRule="auto"/>
        <w:ind w:firstLine="5520" w:firstLineChars="23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p>
    <w:p w14:paraId="5DAFB2C9">
      <w:pPr>
        <w:snapToGrid w:val="0"/>
        <w:spacing w:line="360" w:lineRule="auto"/>
        <w:ind w:firstLine="5520" w:firstLineChars="23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 xml:space="preserve">：  年  </w:t>
      </w:r>
      <w:r>
        <w:rPr>
          <w:rFonts w:hint="eastAsia" w:ascii="仿宋" w:hAnsi="仿宋" w:eastAsia="仿宋" w:cs="仿宋"/>
          <w:color w:val="000000" w:themeColor="text1"/>
          <w:kern w:val="0"/>
          <w:sz w:val="24"/>
          <w:highlight w:val="none"/>
          <w:lang w:val="zh-CN"/>
          <w14:textFill>
            <w14:solidFill>
              <w14:schemeClr w14:val="tx1"/>
            </w14:solidFill>
          </w14:textFill>
        </w:rPr>
        <w:t>月日</w:t>
      </w:r>
    </w:p>
    <w:p w14:paraId="19D38DB5">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54F19942">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36D9C060">
      <w:pPr>
        <w:widowControl/>
        <w:adjustRightInd/>
        <w:jc w:val="left"/>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br w:type="page"/>
      </w:r>
    </w:p>
    <w:p w14:paraId="62C00DAA">
      <w:pPr>
        <w:widowControl/>
        <w:spacing w:line="360" w:lineRule="auto"/>
        <w:ind w:firstLine="643" w:firstLineChars="200"/>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二、联合协议（如有）</w:t>
      </w:r>
    </w:p>
    <w:p w14:paraId="61D69F69">
      <w:pPr>
        <w:widowControl/>
        <w:spacing w:line="360" w:lineRule="auto"/>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[以联合体形式投标的，提供联合协议（附件5）；本项目不接受联合体投标或者投标人不以联合体形式投标的，则不需要提供）]</w:t>
      </w:r>
    </w:p>
    <w:p w14:paraId="55472131">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7B7F8A87">
      <w:pPr>
        <w:snapToGrid w:val="0"/>
        <w:spacing w:line="360" w:lineRule="auto"/>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三、分包意向协议（如有）</w:t>
      </w:r>
    </w:p>
    <w:p w14:paraId="430ACAD4">
      <w:pPr>
        <w:widowControl/>
        <w:spacing w:line="360" w:lineRule="auto"/>
        <w:ind w:firstLine="361" w:firstLineChars="15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[中标后以分包方式履行合同的，提供分包意向协议(附件6)；采购人不同意分包或者投标人中标后不以分包方式履行合同的，则不需要提供。]</w:t>
      </w:r>
    </w:p>
    <w:p w14:paraId="203C27B6">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3A3571DE">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四、落实政府采购政策需满足的资格要求</w:t>
      </w:r>
    </w:p>
    <w:p w14:paraId="4E9F7B2E">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（根据招标公告落实政府采购政策需满足的资格要求选择提供相应的材料；未要求的，无需提供）</w:t>
      </w:r>
    </w:p>
    <w:p w14:paraId="38339EEA">
      <w:pPr>
        <w:snapToGrid w:val="0"/>
        <w:spacing w:before="50" w:after="50" w:line="360" w:lineRule="auto"/>
        <w:ind w:firstLine="472" w:firstLineChars="196"/>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 xml:space="preserve">.专门面向中小企业，服务全部由符合政策要求的中小企业（或小微企业）承接的，提供相应的中小企业声明函（附件7）。 </w:t>
      </w:r>
    </w:p>
    <w:p w14:paraId="0F249216">
      <w:pPr>
        <w:widowControl/>
        <w:spacing w:line="360" w:lineRule="auto"/>
        <w:ind w:firstLine="472" w:firstLineChars="196"/>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视同符合了资格条件，无需再与其他中小企业组成联合体参加政府采购活动，无需提供联合协议。</w:t>
      </w:r>
    </w:p>
    <w:p w14:paraId="7B1BE788">
      <w:pPr>
        <w:spacing w:line="360" w:lineRule="auto"/>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C、</w:t>
      </w:r>
      <w:r>
        <w:rPr>
          <w:rFonts w:hint="eastAsia" w:ascii="仿宋" w:hAnsi="仿宋" w:eastAsia="仿宋" w:cs="仿宋"/>
          <w:color w:val="000000" w:themeColor="text1"/>
          <w:sz w:val="24"/>
          <w:highlight w:val="none"/>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视同符合了资格条件，无需再向中小企业分包，无需提供分包意向协议。</w:t>
      </w:r>
    </w:p>
    <w:p w14:paraId="4F6F96D6">
      <w:pPr>
        <w:widowControl/>
        <w:spacing w:line="360" w:lineRule="auto"/>
        <w:ind w:left="150"/>
        <w:jc w:val="center"/>
        <w:rPr>
          <w:rFonts w:ascii="仿宋" w:hAnsi="仿宋" w:eastAsia="仿宋" w:cs="仿宋"/>
          <w:b/>
          <w:color w:val="000000" w:themeColor="text1"/>
          <w:kern w:val="0"/>
          <w:sz w:val="32"/>
          <w:szCs w:val="32"/>
          <w:highlight w:val="none"/>
          <w14:textFill>
            <w14:solidFill>
              <w14:schemeClr w14:val="tx1"/>
            </w14:solidFill>
          </w14:textFill>
        </w:rPr>
      </w:pPr>
    </w:p>
    <w:p w14:paraId="4CB9A48F">
      <w:pPr>
        <w:widowControl/>
        <w:spacing w:line="360" w:lineRule="auto"/>
        <w:ind w:left="150"/>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五、本项目的特定资格要求</w:t>
      </w:r>
    </w:p>
    <w:p w14:paraId="218DE712">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（根据招标公告本项目的特定资格要求提供相应的材料；未要求的，无需提供）</w:t>
      </w:r>
    </w:p>
    <w:p w14:paraId="1184C84C">
      <w:pPr>
        <w:spacing w:line="360" w:lineRule="auto"/>
        <w:jc w:val="center"/>
        <w:outlineLvl w:val="0"/>
        <w:rPr>
          <w:rFonts w:ascii="仿宋" w:hAnsi="仿宋" w:eastAsia="仿宋" w:cs="仿宋"/>
          <w:b/>
          <w:color w:val="000000" w:themeColor="text1"/>
          <w:kern w:val="0"/>
          <w:sz w:val="24"/>
          <w:highlight w:val="none"/>
          <w14:textFill>
            <w14:solidFill>
              <w14:schemeClr w14:val="tx1"/>
            </w14:solidFill>
          </w14:textFill>
        </w:rPr>
      </w:pPr>
    </w:p>
    <w:p w14:paraId="3DE59CD4">
      <w:pPr>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br w:type="page"/>
      </w:r>
    </w:p>
    <w:p w14:paraId="5ABDE482">
      <w:pPr>
        <w:spacing w:line="336" w:lineRule="auto"/>
        <w:jc w:val="center"/>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商务技术文件部分</w:t>
      </w:r>
    </w:p>
    <w:p w14:paraId="588A3222">
      <w:pPr>
        <w:spacing w:line="336" w:lineRule="auto"/>
        <w:jc w:val="center"/>
        <w:outlineLvl w:val="0"/>
        <w:rPr>
          <w:rFonts w:ascii="仿宋" w:hAnsi="仿宋" w:eastAsia="仿宋" w:cs="仿宋"/>
          <w:b/>
          <w:color w:val="000000" w:themeColor="text1"/>
          <w:kern w:val="0"/>
          <w:sz w:val="24"/>
          <w:highlight w:val="none"/>
          <w14:textFill>
            <w14:solidFill>
              <w14:schemeClr w14:val="tx1"/>
            </w14:solidFill>
          </w14:textFill>
        </w:rPr>
      </w:pPr>
    </w:p>
    <w:p w14:paraId="4E7E6698">
      <w:pPr>
        <w:spacing w:line="336" w:lineRule="auto"/>
        <w:jc w:val="center"/>
        <w:outlineLvl w:val="0"/>
        <w:rPr>
          <w:rFonts w:ascii="仿宋" w:hAnsi="仿宋" w:eastAsia="仿宋" w:cs="仿宋"/>
          <w:b/>
          <w:color w:val="000000" w:themeColor="text1"/>
          <w:kern w:val="0"/>
          <w:sz w:val="28"/>
          <w:szCs w:val="28"/>
          <w:highlight w:val="none"/>
          <w14:textFill>
            <w14:solidFill>
              <w14:schemeClr w14:val="tx1"/>
            </w14:solidFill>
          </w14:textFill>
        </w:rPr>
      </w:pPr>
      <w:r>
        <w:rPr>
          <w:rFonts w:hint="eastAsia" w:ascii="仿宋" w:hAnsi="仿宋" w:eastAsia="仿宋" w:cs="仿宋"/>
          <w:b/>
          <w:color w:val="000000" w:themeColor="text1"/>
          <w:kern w:val="0"/>
          <w:sz w:val="28"/>
          <w:szCs w:val="28"/>
          <w:highlight w:val="none"/>
          <w14:textFill>
            <w14:solidFill>
              <w14:schemeClr w14:val="tx1"/>
            </w14:solidFill>
          </w14:textFill>
        </w:rPr>
        <w:t>目录</w:t>
      </w:r>
    </w:p>
    <w:p w14:paraId="357E9013">
      <w:pPr>
        <w:pStyle w:val="904"/>
        <w:numPr>
          <w:ilvl w:val="0"/>
          <w:numId w:val="1"/>
        </w:numPr>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投标函…………………………………………………………………………（页码）</w:t>
      </w:r>
    </w:p>
    <w:p w14:paraId="3FB90819">
      <w:pPr>
        <w:pStyle w:val="904"/>
        <w:numPr>
          <w:ilvl w:val="0"/>
          <w:numId w:val="1"/>
        </w:numPr>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法定代表人授权委托书 …………………………………………………… （页码）</w:t>
      </w:r>
    </w:p>
    <w:p w14:paraId="46DF098B">
      <w:pPr>
        <w:pStyle w:val="904"/>
        <w:numPr>
          <w:ilvl w:val="0"/>
          <w:numId w:val="1"/>
        </w:numPr>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法定代表人及其授权代表身份证复印件……………………………………（页码）</w:t>
      </w:r>
    </w:p>
    <w:p w14:paraId="584CB304">
      <w:pPr>
        <w:pStyle w:val="904"/>
        <w:numPr>
          <w:ilvl w:val="0"/>
          <w:numId w:val="1"/>
        </w:numPr>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授权代表社保证明……………………………………………………………（页码）</w:t>
      </w:r>
    </w:p>
    <w:p w14:paraId="50BE3756">
      <w:pPr>
        <w:pStyle w:val="904"/>
        <w:numPr>
          <w:ilvl w:val="0"/>
          <w:numId w:val="1"/>
        </w:numPr>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法定代表人身份证明书………………………………………………………（页码）</w:t>
      </w:r>
    </w:p>
    <w:p w14:paraId="2FF08D00">
      <w:pPr>
        <w:pStyle w:val="904"/>
        <w:numPr>
          <w:ilvl w:val="0"/>
          <w:numId w:val="1"/>
        </w:numPr>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商务技术偏离表………………………………………………………………（页码）</w:t>
      </w:r>
    </w:p>
    <w:p w14:paraId="6976FA59">
      <w:pPr>
        <w:pStyle w:val="904"/>
        <w:numPr>
          <w:ilvl w:val="0"/>
          <w:numId w:val="1"/>
        </w:numPr>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lang w:val="zh-CN"/>
          <w14:textFill>
            <w14:solidFill>
              <w14:schemeClr w14:val="tx1"/>
            </w14:solidFill>
          </w14:textFill>
        </w:rPr>
        <w:t>政府采购供应商廉洁自律承诺书</w:t>
      </w:r>
      <w:r>
        <w:rPr>
          <w:rFonts w:hint="eastAsia" w:ascii="仿宋" w:eastAsia="仿宋" w:cs="仿宋"/>
          <w:color w:val="000000" w:themeColor="text1"/>
          <w:highlight w:val="none"/>
          <w14:textFill>
            <w14:solidFill>
              <w14:schemeClr w14:val="tx1"/>
            </w14:solidFill>
          </w14:textFill>
        </w:rPr>
        <w:t>……………………………………………（页码）</w:t>
      </w:r>
    </w:p>
    <w:p w14:paraId="2C8DE0AC">
      <w:pPr>
        <w:spacing w:line="360" w:lineRule="auto"/>
        <w:ind w:right="-510" w:rightChars="-243"/>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r>
        <w:rPr>
          <w:rFonts w:hint="eastAsia" w:ascii="仿宋" w:hAnsi="仿宋" w:eastAsia="仿宋" w:cs="仿宋"/>
          <w:color w:val="000000" w:themeColor="text1"/>
          <w:sz w:val="24"/>
          <w:highlight w:val="none"/>
          <w:lang w:val="zh-CN"/>
          <w14:textFill>
            <w14:solidFill>
              <w14:schemeClr w14:val="tx1"/>
            </w14:solidFill>
          </w14:textFill>
        </w:rPr>
        <w:t>主要业绩证明…………………………………………………</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（页码）</w:t>
      </w:r>
    </w:p>
    <w:p w14:paraId="304D8B5A">
      <w:pPr>
        <w:spacing w:line="360" w:lineRule="auto"/>
        <w:ind w:right="-510" w:rightChars="-243"/>
        <w:outlineLvl w:val="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（9）技术解决方案…………………………………………………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5469AFE3">
      <w:pPr>
        <w:spacing w:line="360" w:lineRule="auto"/>
        <w:ind w:right="-510" w:rightChars="-243"/>
        <w:outlineLvl w:val="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（10）组织实施方案……………………………………………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1AB4AB6B">
      <w:pPr>
        <w:spacing w:line="360" w:lineRule="auto"/>
        <w:ind w:right="-510" w:rightChars="-243"/>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（11）售后服务方案……………………………………………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22F5345D">
      <w:pPr>
        <w:spacing w:line="360" w:lineRule="auto"/>
        <w:ind w:right="-510" w:rightChars="-243"/>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（12）供应商售后服务证明材料……………………………………………………（页码）</w:t>
      </w:r>
    </w:p>
    <w:p w14:paraId="1FB1D999">
      <w:pPr>
        <w:spacing w:line="360" w:lineRule="auto"/>
        <w:ind w:right="-510" w:rightChars="-243"/>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（13）项目小组人员名单………………………………………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0E8B732D">
      <w:pPr>
        <w:spacing w:line="360" w:lineRule="auto"/>
        <w:ind w:right="-510" w:rightChars="-243"/>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w:t>
      </w:r>
      <w:r>
        <w:rPr>
          <w:rFonts w:hint="eastAsia" w:ascii="仿宋" w:hAnsi="仿宋" w:eastAsia="仿宋" w:cs="仿宋"/>
          <w:color w:val="000000" w:themeColor="text1"/>
          <w:kern w:val="0"/>
          <w:sz w:val="24"/>
          <w:highlight w:val="none"/>
          <w:lang w:val="zh-CN"/>
          <w14:textFill>
            <w14:solidFill>
              <w14:schemeClr w14:val="tx1"/>
            </w14:solidFill>
          </w14:textFill>
        </w:rPr>
        <w:t>优惠条件及特殊承诺……………………………………</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676D9FD5">
      <w:pPr>
        <w:spacing w:line="360" w:lineRule="auto"/>
        <w:ind w:right="-510" w:rightChars="-243"/>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（15）</w:t>
      </w:r>
      <w:r>
        <w:rPr>
          <w:rFonts w:hint="eastAsia" w:ascii="仿宋" w:hAnsi="仿宋" w:eastAsia="仿宋" w:cs="仿宋"/>
          <w:color w:val="000000" w:themeColor="text1"/>
          <w:kern w:val="0"/>
          <w:sz w:val="24"/>
          <w:highlight w:val="none"/>
          <w:lang w:val="zh-CN"/>
          <w14:textFill>
            <w14:solidFill>
              <w14:schemeClr w14:val="tx1"/>
            </w14:solidFill>
          </w14:textFill>
        </w:rPr>
        <w:t>备品备件及供选择的配套零部件清单………………………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557CCE6D">
      <w:pPr>
        <w:spacing w:line="360" w:lineRule="auto"/>
        <w:ind w:right="-510" w:rightChars="-243"/>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（16）</w:t>
      </w:r>
      <w:r>
        <w:rPr>
          <w:rFonts w:hint="eastAsia" w:ascii="仿宋" w:hAnsi="仿宋" w:eastAsia="仿宋" w:cs="仿宋"/>
          <w:color w:val="000000" w:themeColor="text1"/>
          <w:kern w:val="0"/>
          <w:sz w:val="24"/>
          <w:highlight w:val="none"/>
          <w:lang w:val="zh-CN"/>
          <w14:textFill>
            <w14:solidFill>
              <w14:schemeClr w14:val="tx1"/>
            </w14:solidFill>
          </w14:textFill>
        </w:rPr>
        <w:t>培训计划………………………………………………………</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03FED842">
      <w:pPr>
        <w:spacing w:line="360" w:lineRule="auto"/>
        <w:ind w:right="-510" w:rightChars="-243"/>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（17）</w:t>
      </w:r>
      <w:r>
        <w:rPr>
          <w:rFonts w:hint="eastAsia" w:ascii="仿宋" w:hAnsi="仿宋" w:eastAsia="仿宋" w:cs="仿宋"/>
          <w:color w:val="000000" w:themeColor="text1"/>
          <w:kern w:val="0"/>
          <w:sz w:val="24"/>
          <w:highlight w:val="none"/>
          <w:lang w:val="zh-CN"/>
          <w14:textFill>
            <w14:solidFill>
              <w14:schemeClr w14:val="tx1"/>
            </w14:solidFill>
          </w14:textFill>
        </w:rPr>
        <w:t>验收方案…………………………………………………………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37AB02F4">
      <w:pPr>
        <w:spacing w:line="360" w:lineRule="auto"/>
        <w:ind w:right="-368" w:rightChars="-175"/>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（18）</w:t>
      </w:r>
      <w:r>
        <w:rPr>
          <w:rFonts w:hint="eastAsia" w:ascii="仿宋" w:hAnsi="仿宋" w:eastAsia="仿宋" w:cs="仿宋"/>
          <w:color w:val="000000" w:themeColor="text1"/>
          <w:kern w:val="0"/>
          <w:sz w:val="24"/>
          <w:highlight w:val="none"/>
          <w:lang w:val="zh-CN"/>
          <w14:textFill>
            <w14:solidFill>
              <w14:schemeClr w14:val="tx1"/>
            </w14:solidFill>
          </w14:textFill>
        </w:rPr>
        <w:t>认为需要的其他商务技术文件或说明…………</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2D1A87D0">
      <w:pPr>
        <w:snapToGrid w:val="0"/>
        <w:spacing w:line="360" w:lineRule="auto"/>
        <w:jc w:val="center"/>
        <w:rPr>
          <w:rFonts w:ascii="仿宋" w:hAnsi="仿宋" w:eastAsia="仿宋" w:cs="仿宋"/>
          <w:b/>
          <w:color w:val="000000" w:themeColor="text1"/>
          <w:kern w:val="0"/>
          <w:sz w:val="32"/>
          <w:szCs w:val="32"/>
          <w:highlight w:val="none"/>
          <w:lang w:val="zh-CN"/>
          <w14:textFill>
            <w14:solidFill>
              <w14:schemeClr w14:val="tx1"/>
            </w14:solidFill>
          </w14:textFill>
        </w:rPr>
      </w:pPr>
    </w:p>
    <w:p w14:paraId="576C47EF">
      <w:pPr>
        <w:snapToGrid w:val="0"/>
        <w:spacing w:line="360" w:lineRule="auto"/>
        <w:jc w:val="center"/>
        <w:rPr>
          <w:rFonts w:ascii="仿宋" w:hAnsi="仿宋" w:eastAsia="仿宋" w:cs="仿宋"/>
          <w:b/>
          <w:color w:val="000000" w:themeColor="text1"/>
          <w:kern w:val="0"/>
          <w:sz w:val="32"/>
          <w:szCs w:val="32"/>
          <w:highlight w:val="none"/>
          <w:lang w:val="zh-CN"/>
          <w14:textFill>
            <w14:solidFill>
              <w14:schemeClr w14:val="tx1"/>
            </w14:solidFill>
          </w14:textFill>
        </w:rPr>
      </w:pPr>
    </w:p>
    <w:p w14:paraId="35C37391">
      <w:pPr>
        <w:snapToGrid w:val="0"/>
        <w:spacing w:line="360" w:lineRule="auto"/>
        <w:jc w:val="center"/>
        <w:rPr>
          <w:rFonts w:ascii="仿宋" w:hAnsi="仿宋" w:eastAsia="仿宋" w:cs="仿宋"/>
          <w:b/>
          <w:color w:val="000000" w:themeColor="text1"/>
          <w:kern w:val="0"/>
          <w:sz w:val="32"/>
          <w:szCs w:val="32"/>
          <w:highlight w:val="none"/>
          <w:lang w:val="zh-CN"/>
          <w14:textFill>
            <w14:solidFill>
              <w14:schemeClr w14:val="tx1"/>
            </w14:solidFill>
          </w14:textFill>
        </w:rPr>
      </w:pPr>
    </w:p>
    <w:p w14:paraId="1408C323">
      <w:pPr>
        <w:snapToGrid w:val="0"/>
        <w:spacing w:line="360" w:lineRule="auto"/>
        <w:rPr>
          <w:rFonts w:ascii="仿宋" w:hAnsi="仿宋" w:eastAsia="仿宋" w:cs="仿宋"/>
          <w:b/>
          <w:color w:val="000000" w:themeColor="text1"/>
          <w:kern w:val="0"/>
          <w:sz w:val="32"/>
          <w:szCs w:val="32"/>
          <w:highlight w:val="none"/>
          <w:lang w:val="zh-CN"/>
          <w14:textFill>
            <w14:solidFill>
              <w14:schemeClr w14:val="tx1"/>
            </w14:solidFill>
          </w14:textFill>
        </w:rPr>
      </w:pPr>
    </w:p>
    <w:p w14:paraId="3DF1A208">
      <w:pPr>
        <w:widowControl/>
        <w:adjustRightInd/>
        <w:jc w:val="left"/>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br w:type="page"/>
      </w:r>
    </w:p>
    <w:p w14:paraId="6A79A665">
      <w:pPr>
        <w:snapToGrid w:val="0"/>
        <w:spacing w:line="360" w:lineRule="auto"/>
        <w:jc w:val="center"/>
        <w:outlineLvl w:val="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一、投标</w:t>
      </w:r>
      <w:r>
        <w:rPr>
          <w:rFonts w:hint="eastAsia" w:ascii="仿宋" w:hAnsi="仿宋" w:eastAsia="仿宋" w:cs="仿宋"/>
          <w:b/>
          <w:color w:val="000000" w:themeColor="text1"/>
          <w:sz w:val="32"/>
          <w:szCs w:val="32"/>
          <w:highlight w:val="none"/>
          <w14:textFill>
            <w14:solidFill>
              <w14:schemeClr w14:val="tx1"/>
            </w14:solidFill>
          </w14:textFill>
        </w:rPr>
        <w:t>函</w:t>
      </w:r>
    </w:p>
    <w:p w14:paraId="2B258394">
      <w:pPr>
        <w:widowControl/>
        <w:snapToGrid w:val="0"/>
        <w:spacing w:afterLines="50" w:line="336" w:lineRule="auto"/>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致：</w:t>
      </w:r>
    </w:p>
    <w:p w14:paraId="6C7A6001">
      <w:pPr>
        <w:widowControl/>
        <w:snapToGrid w:val="0"/>
        <w:spacing w:afterLines="50" w:line="336"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根据贵方招标文件（</w:t>
      </w:r>
      <w:r>
        <w:rPr>
          <w:rFonts w:hint="eastAsia" w:ascii="仿宋" w:hAnsi="仿宋" w:eastAsia="仿宋" w:cs="仿宋"/>
          <w:b/>
          <w:color w:val="000000" w:themeColor="text1"/>
          <w:kern w:val="0"/>
          <w:sz w:val="24"/>
          <w:highlight w:val="none"/>
          <w:u w:val="single"/>
          <w14:textFill>
            <w14:solidFill>
              <w14:schemeClr w14:val="tx1"/>
            </w14:solidFill>
          </w14:textFill>
        </w:rPr>
        <w:t>填写招标编号：</w:t>
      </w:r>
      <w:r>
        <w:rPr>
          <w:rFonts w:hint="eastAsia" w:ascii="仿宋" w:hAnsi="仿宋" w:eastAsia="仿宋" w:cs="仿宋"/>
          <w:color w:val="000000" w:themeColor="text1"/>
          <w:kern w:val="0"/>
          <w:sz w:val="24"/>
          <w:highlight w:val="none"/>
          <w14:textFill>
            <w14:solidFill>
              <w14:schemeClr w14:val="tx1"/>
            </w14:solidFill>
          </w14:textFill>
        </w:rPr>
        <w:t>）的要求，正式授权</w:t>
      </w:r>
      <w:r>
        <w:rPr>
          <w:rFonts w:hint="eastAsia" w:ascii="仿宋" w:hAnsi="仿宋" w:eastAsia="仿宋" w:cs="仿宋"/>
          <w:b/>
          <w:color w:val="000000" w:themeColor="text1"/>
          <w:kern w:val="0"/>
          <w:sz w:val="24"/>
          <w:highlight w:val="none"/>
          <w:u w:val="single"/>
          <w14:textFill>
            <w14:solidFill>
              <w14:schemeClr w14:val="tx1"/>
            </w14:solidFill>
          </w14:textFill>
        </w:rPr>
        <w:t>（全权代表姓名    、单位    、职务   ）</w:t>
      </w:r>
      <w:r>
        <w:rPr>
          <w:rFonts w:hint="eastAsia" w:ascii="仿宋" w:hAnsi="仿宋" w:eastAsia="仿宋" w:cs="仿宋"/>
          <w:color w:val="000000" w:themeColor="text1"/>
          <w:kern w:val="0"/>
          <w:sz w:val="24"/>
          <w:highlight w:val="none"/>
          <w14:textFill>
            <w14:solidFill>
              <w14:schemeClr w14:val="tx1"/>
            </w14:solidFill>
          </w14:textFill>
        </w:rPr>
        <w:t>代表投标人</w:t>
      </w:r>
      <w:r>
        <w:rPr>
          <w:rFonts w:hint="eastAsia" w:ascii="仿宋" w:hAnsi="仿宋" w:eastAsia="仿宋" w:cs="仿宋"/>
          <w:color w:val="000000" w:themeColor="text1"/>
          <w:kern w:val="0"/>
          <w:sz w:val="24"/>
          <w:highlight w:val="none"/>
          <w:u w:val="single"/>
          <w14:textFill>
            <w14:solidFill>
              <w14:schemeClr w14:val="tx1"/>
            </w14:solidFill>
          </w14:textFill>
        </w:rPr>
        <w:t>（</w:t>
      </w:r>
      <w:r>
        <w:rPr>
          <w:rFonts w:hint="eastAsia" w:ascii="仿宋" w:hAnsi="仿宋" w:eastAsia="仿宋" w:cs="仿宋"/>
          <w:b/>
          <w:color w:val="000000" w:themeColor="text1"/>
          <w:kern w:val="0"/>
          <w:sz w:val="24"/>
          <w:highlight w:val="none"/>
          <w:u w:val="single"/>
          <w14:textFill>
            <w14:solidFill>
              <w14:schemeClr w14:val="tx1"/>
            </w14:solidFill>
          </w14:textFill>
        </w:rPr>
        <w:t xml:space="preserve">填写单位    、地址   </w:t>
      </w:r>
      <w:r>
        <w:rPr>
          <w:rFonts w:hint="eastAsia" w:ascii="仿宋" w:hAnsi="仿宋" w:eastAsia="仿宋" w:cs="仿宋"/>
          <w:color w:val="000000" w:themeColor="text1"/>
          <w:kern w:val="0"/>
          <w:sz w:val="24"/>
          <w:highlight w:val="none"/>
          <w:u w:val="singl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提交投标文件。</w:t>
      </w:r>
    </w:p>
    <w:p w14:paraId="17D2C222">
      <w:pPr>
        <w:widowControl/>
        <w:snapToGrid w:val="0"/>
        <w:spacing w:afterLines="50" w:line="336"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我方已完全明白招标文件的所有条款要求，兹声明同意如下：</w:t>
      </w:r>
    </w:p>
    <w:p w14:paraId="19D74AC3">
      <w:pPr>
        <w:pStyle w:val="15"/>
        <w:tabs>
          <w:tab w:val="clear" w:pos="1697"/>
        </w:tabs>
        <w:spacing w:after="120" w:line="336" w:lineRule="auto"/>
        <w:ind w:left="0" w:firstLine="480" w:firstLineChars="20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1.我方同意在投标人</w:t>
      </w:r>
      <w:r>
        <w:rPr>
          <w:rFonts w:hint="eastAsia" w:ascii="仿宋" w:hAnsi="仿宋" w:eastAsia="仿宋" w:cs="仿宋"/>
          <w:color w:val="000000" w:themeColor="text1"/>
          <w:kern w:val="44"/>
          <w:szCs w:val="24"/>
          <w:highlight w:val="none"/>
          <w14:textFill>
            <w14:solidFill>
              <w14:schemeClr w14:val="tx1"/>
            </w14:solidFill>
          </w14:textFill>
        </w:rPr>
        <w:t>须知</w:t>
      </w:r>
      <w:r>
        <w:rPr>
          <w:rFonts w:hint="eastAsia" w:ascii="仿宋" w:hAnsi="仿宋" w:eastAsia="仿宋" w:cs="仿宋"/>
          <w:color w:val="000000" w:themeColor="text1"/>
          <w:szCs w:val="24"/>
          <w:highlight w:val="none"/>
          <w14:textFill>
            <w14:solidFill>
              <w14:schemeClr w14:val="tx1"/>
            </w14:solidFill>
          </w14:textFill>
        </w:rPr>
        <w:t>规定的开标日期起遵守本投标文件中的承诺且在投标有效期满之前均具有约束力。</w:t>
      </w:r>
    </w:p>
    <w:p w14:paraId="0E8C98D9">
      <w:pPr>
        <w:widowControl/>
        <w:snapToGrid w:val="0"/>
        <w:spacing w:afterLines="50" w:line="336"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2.我方承诺已经具备《中华人民共和国政府采购法》中规定的参加政府采购活动的供应商应当具备的条件。</w:t>
      </w:r>
    </w:p>
    <w:p w14:paraId="1E261B8B">
      <w:pPr>
        <w:widowControl/>
        <w:snapToGrid w:val="0"/>
        <w:spacing w:afterLines="50" w:line="336"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8E74FC9">
      <w:pPr>
        <w:widowControl/>
        <w:snapToGrid w:val="0"/>
        <w:spacing w:afterLines="50" w:line="336"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4.我方理解贵方将不受你们所收到的最低报价的约束。</w:t>
      </w:r>
    </w:p>
    <w:p w14:paraId="30719846">
      <w:pPr>
        <w:pStyle w:val="15"/>
        <w:tabs>
          <w:tab w:val="clear" w:pos="1697"/>
        </w:tabs>
        <w:spacing w:after="120" w:line="336" w:lineRule="auto"/>
        <w:ind w:left="0" w:firstLine="480" w:firstLineChars="20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5.本投标自开标之日（投标截止之日）起90天内有效。</w:t>
      </w:r>
    </w:p>
    <w:p w14:paraId="17EF0C3B">
      <w:pPr>
        <w:widowControl/>
        <w:snapToGrid w:val="0"/>
        <w:spacing w:afterLines="50" w:line="336"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0309E12">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a)提供虚假材料谋取中标、成交的；</w:t>
      </w:r>
    </w:p>
    <w:p w14:paraId="15909A3D">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b)采取不正当手段诋毁、排挤其他供应商的；</w:t>
      </w:r>
    </w:p>
    <w:p w14:paraId="3EFCFE49">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c)与采购人、其它供应商或者采购代理机构恶意串通的；</w:t>
      </w:r>
    </w:p>
    <w:p w14:paraId="150CC019">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d)向采购人、采购代理机构行贿或者提供其他不正当利益的；</w:t>
      </w:r>
    </w:p>
    <w:p w14:paraId="58D621E1">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e)在招标采购过程中与采购人进行协商谈判的；</w:t>
      </w:r>
    </w:p>
    <w:p w14:paraId="7E84525D">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f)拒绝有关部门监督检查或提供虚假情况的。</w:t>
      </w:r>
    </w:p>
    <w:p w14:paraId="55A6AD09">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供应商有前款第a)至e)项情形之一的，中标、成交无效。</w:t>
      </w:r>
    </w:p>
    <w:p w14:paraId="737565AA">
      <w:pPr>
        <w:widowControl/>
        <w:snapToGrid w:val="0"/>
        <w:spacing w:afterLines="50" w:line="336"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地址：　　　　　　　　　　　　　　　邮政编码：</w:t>
      </w:r>
    </w:p>
    <w:p w14:paraId="0B31D9F6">
      <w:pPr>
        <w:widowControl/>
        <w:snapToGrid w:val="0"/>
        <w:spacing w:afterLines="50" w:line="336"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电话：                              传真：</w:t>
      </w:r>
    </w:p>
    <w:p w14:paraId="77D7D0A2">
      <w:pPr>
        <w:widowControl/>
        <w:snapToGrid w:val="0"/>
        <w:spacing w:afterLines="50" w:line="336"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开户银行：                          帐号：</w:t>
      </w:r>
    </w:p>
    <w:p w14:paraId="69C9FCB5">
      <w:pPr>
        <w:widowControl/>
        <w:snapToGrid w:val="0"/>
        <w:spacing w:afterLines="50" w:line="336"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法定代表人或其授权代表(签字或盖章)：</w:t>
      </w:r>
    </w:p>
    <w:p w14:paraId="26781B8C">
      <w:pPr>
        <w:snapToGrid w:val="0"/>
        <w:spacing w:line="336"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p>
    <w:p w14:paraId="35296E6A">
      <w:pPr>
        <w:snapToGrid w:val="0"/>
        <w:spacing w:line="336" w:lineRule="auto"/>
        <w:ind w:firstLine="480" w:firstLineChars="200"/>
        <w:jc w:val="left"/>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投标人(电子签章)：　　　　　　　　　日期：  </w:t>
      </w:r>
    </w:p>
    <w:p w14:paraId="5958FC76">
      <w:pPr>
        <w:pageBreakBefore/>
        <w:spacing w:line="800" w:lineRule="exact"/>
        <w:jc w:val="center"/>
        <w:rPr>
          <w:rFonts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 xml:space="preserve">二、法定代表人授权委托书（格式）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（适用于非联合体投标）</w:t>
      </w:r>
    </w:p>
    <w:p w14:paraId="316F082F">
      <w:pPr>
        <w:jc w:val="center"/>
        <w:rPr>
          <w:rFonts w:ascii="仿宋" w:hAnsi="仿宋" w:eastAsia="仿宋" w:cs="仿宋"/>
          <w:b/>
          <w:color w:val="000000" w:themeColor="text1"/>
          <w:sz w:val="24"/>
          <w:highlight w:val="none"/>
          <w14:textFill>
            <w14:solidFill>
              <w14:schemeClr w14:val="tx1"/>
            </w14:solidFill>
          </w14:textFill>
        </w:rPr>
      </w:pPr>
    </w:p>
    <w:p w14:paraId="3D31B76A">
      <w:pPr>
        <w:snapToGrid w:val="0"/>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本授权委托书声明：我</w:t>
      </w:r>
      <w:r>
        <w:rPr>
          <w:rFonts w:hint="eastAsia" w:ascii="仿宋" w:hAnsi="仿宋" w:eastAsia="仿宋" w:cs="仿宋"/>
          <w:color w:val="000000" w:themeColor="text1"/>
          <w:sz w:val="24"/>
          <w:highlight w:val="none"/>
          <w:u w:val="single"/>
          <w14:textFill>
            <w14:solidFill>
              <w14:schemeClr w14:val="tx1"/>
            </w14:solidFill>
          </w14:textFill>
        </w:rPr>
        <w:t xml:space="preserve">         (填写姓名)</w:t>
      </w: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（填写投标人单位全称）</w:t>
      </w:r>
      <w:r>
        <w:rPr>
          <w:rFonts w:hint="eastAsia" w:ascii="仿宋" w:hAnsi="仿宋" w:eastAsia="仿宋" w:cs="仿宋"/>
          <w:color w:val="000000" w:themeColor="text1"/>
          <w:sz w:val="24"/>
          <w:highlight w:val="none"/>
          <w14:textFill>
            <w14:solidFill>
              <w14:schemeClr w14:val="tx1"/>
            </w14:solidFill>
          </w14:textFill>
        </w:rPr>
        <w:t>的法定代表人，现授权委托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的（填写姓名）为我公司授权代表，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。以本公司的名义参加组织的投标活动。授权代表在开标、评标、合同谈判过程中所签署的一切文件和处理与之有关的一切事务，我均予以承认。</w:t>
      </w:r>
    </w:p>
    <w:p w14:paraId="5ACCDCA8">
      <w:pPr>
        <w:snapToGrid w:val="0"/>
        <w:spacing w:line="56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14:paraId="7A810EBB">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14:paraId="00085DBD">
      <w:pPr>
        <w:snapToGrid w:val="0"/>
        <w:spacing w:line="600" w:lineRule="exact"/>
        <w:jc w:val="left"/>
        <w:rPr>
          <w:rFonts w:ascii="仿宋" w:hAnsi="仿宋" w:eastAsia="仿宋" w:cs="仿宋"/>
          <w:color w:val="000000" w:themeColor="text1"/>
          <w:sz w:val="24"/>
          <w:highlight w:val="none"/>
          <w14:textFill>
            <w14:solidFill>
              <w14:schemeClr w14:val="tx1"/>
            </w14:solidFill>
          </w14:textFill>
        </w:rPr>
      </w:pPr>
    </w:p>
    <w:p w14:paraId="409C8F6E">
      <w:pPr>
        <w:spacing w:line="36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14:paraId="6BD1B0A1">
      <w:pPr>
        <w:spacing w:line="360" w:lineRule="exact"/>
        <w:rPr>
          <w:rFonts w:ascii="仿宋" w:hAnsi="仿宋" w:eastAsia="仿宋" w:cs="仿宋"/>
          <w:color w:val="000000" w:themeColor="text1"/>
          <w:sz w:val="24"/>
          <w:highlight w:val="none"/>
          <w14:textFill>
            <w14:solidFill>
              <w14:schemeClr w14:val="tx1"/>
            </w14:solidFill>
          </w14:textFill>
        </w:rPr>
      </w:pPr>
    </w:p>
    <w:p w14:paraId="5C0FBD0A">
      <w:pPr>
        <w:spacing w:line="36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14:paraId="1C74B467">
      <w:pPr>
        <w:spacing w:line="360" w:lineRule="exact"/>
        <w:rPr>
          <w:rFonts w:ascii="仿宋" w:hAnsi="仿宋" w:eastAsia="仿宋" w:cs="仿宋"/>
          <w:color w:val="000000" w:themeColor="text1"/>
          <w:sz w:val="24"/>
          <w:highlight w:val="none"/>
          <w14:textFill>
            <w14:solidFill>
              <w14:schemeClr w14:val="tx1"/>
            </w14:solidFill>
          </w14:textFill>
        </w:rPr>
      </w:pPr>
    </w:p>
    <w:p w14:paraId="25E2A2A8">
      <w:pPr>
        <w:widowControl/>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14:paraId="09C7AC30">
      <w:pPr>
        <w:spacing w:line="360" w:lineRule="exact"/>
        <w:rPr>
          <w:rFonts w:ascii="仿宋" w:hAnsi="仿宋" w:eastAsia="仿宋" w:cs="仿宋"/>
          <w:color w:val="000000" w:themeColor="text1"/>
          <w:sz w:val="24"/>
          <w:highlight w:val="none"/>
          <w14:textFill>
            <w14:solidFill>
              <w14:schemeClr w14:val="tx1"/>
            </w14:solidFill>
          </w14:textFill>
        </w:rPr>
      </w:pPr>
    </w:p>
    <w:p w14:paraId="5F2EFAED">
      <w:pPr>
        <w:spacing w:line="360" w:lineRule="exact"/>
        <w:rPr>
          <w:rFonts w:ascii="仿宋" w:hAnsi="仿宋" w:eastAsia="仿宋" w:cs="仿宋"/>
          <w:color w:val="000000" w:themeColor="text1"/>
          <w:sz w:val="24"/>
          <w:highlight w:val="none"/>
          <w14:textFill>
            <w14:solidFill>
              <w14:schemeClr w14:val="tx1"/>
            </w14:solidFill>
          </w14:textFill>
        </w:rPr>
      </w:pPr>
    </w:p>
    <w:p w14:paraId="59DEA1B1">
      <w:pPr>
        <w:spacing w:line="36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投标人（电子签章）：</w:t>
      </w:r>
    </w:p>
    <w:p w14:paraId="3E0E09E7">
      <w:pPr>
        <w:spacing w:line="360" w:lineRule="exact"/>
        <w:rPr>
          <w:rFonts w:ascii="仿宋" w:hAnsi="仿宋" w:eastAsia="仿宋" w:cs="仿宋"/>
          <w:color w:val="000000" w:themeColor="text1"/>
          <w:sz w:val="24"/>
          <w:highlight w:val="none"/>
          <w14:textFill>
            <w14:solidFill>
              <w14:schemeClr w14:val="tx1"/>
            </w14:solidFill>
          </w14:textFill>
        </w:rPr>
      </w:pPr>
    </w:p>
    <w:p w14:paraId="0438ECDC">
      <w:pPr>
        <w:spacing w:line="360" w:lineRule="exact"/>
        <w:rPr>
          <w:rFonts w:ascii="仿宋" w:hAnsi="仿宋" w:eastAsia="仿宋" w:cs="仿宋"/>
          <w:color w:val="000000" w:themeColor="text1"/>
          <w:sz w:val="24"/>
          <w:highlight w:val="none"/>
          <w14:textFill>
            <w14:solidFill>
              <w14:schemeClr w14:val="tx1"/>
            </w14:solidFill>
          </w14:textFill>
        </w:rPr>
      </w:pPr>
    </w:p>
    <w:p w14:paraId="115F701A">
      <w:pPr>
        <w:spacing w:line="36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法定代表人（签字或盖章）：</w:t>
      </w:r>
    </w:p>
    <w:p w14:paraId="6A0C1A9E">
      <w:pPr>
        <w:spacing w:line="360" w:lineRule="exact"/>
        <w:rPr>
          <w:rFonts w:ascii="仿宋" w:hAnsi="仿宋" w:eastAsia="仿宋" w:cs="仿宋"/>
          <w:color w:val="000000" w:themeColor="text1"/>
          <w:sz w:val="24"/>
          <w:highlight w:val="none"/>
          <w14:textFill>
            <w14:solidFill>
              <w14:schemeClr w14:val="tx1"/>
            </w14:solidFill>
          </w14:textFill>
        </w:rPr>
      </w:pPr>
    </w:p>
    <w:p w14:paraId="413CD79D">
      <w:pPr>
        <w:spacing w:line="360" w:lineRule="exact"/>
        <w:rPr>
          <w:rFonts w:ascii="仿宋" w:hAnsi="仿宋" w:eastAsia="仿宋" w:cs="仿宋"/>
          <w:color w:val="000000" w:themeColor="text1"/>
          <w:sz w:val="24"/>
          <w:highlight w:val="none"/>
          <w14:textFill>
            <w14:solidFill>
              <w14:schemeClr w14:val="tx1"/>
            </w14:solidFill>
          </w14:textFill>
        </w:rPr>
      </w:pPr>
    </w:p>
    <w:p w14:paraId="4EA5F183">
      <w:pPr>
        <w:ind w:firstLine="5280" w:firstLineChars="2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19A612D4">
      <w:pPr>
        <w:ind w:firstLine="4920" w:firstLineChars="2050"/>
        <w:jc w:val="left"/>
        <w:rPr>
          <w:rFonts w:ascii="仿宋" w:hAnsi="仿宋" w:eastAsia="仿宋" w:cs="仿宋"/>
          <w:color w:val="000000" w:themeColor="text1"/>
          <w:sz w:val="24"/>
          <w:highlight w:val="none"/>
          <w14:textFill>
            <w14:solidFill>
              <w14:schemeClr w14:val="tx1"/>
            </w14:solidFill>
          </w14:textFill>
        </w:rPr>
      </w:pPr>
    </w:p>
    <w:p w14:paraId="37FB5B05">
      <w:pPr>
        <w:spacing w:line="800" w:lineRule="exact"/>
        <w:rPr>
          <w:rFonts w:ascii="仿宋" w:hAnsi="仿宋" w:eastAsia="仿宋" w:cs="仿宋"/>
          <w:b/>
          <w:color w:val="000000" w:themeColor="text1"/>
          <w:sz w:val="24"/>
          <w:highlight w:val="none"/>
          <w14:textFill>
            <w14:solidFill>
              <w14:schemeClr w14:val="tx1"/>
            </w14:solidFill>
          </w14:textFill>
        </w:rPr>
      </w:pPr>
    </w:p>
    <w:p w14:paraId="28C26452">
      <w:pPr>
        <w:spacing w:line="800" w:lineRule="exact"/>
        <w:rPr>
          <w:rFonts w:ascii="仿宋" w:hAnsi="仿宋" w:eastAsia="仿宋" w:cs="仿宋"/>
          <w:b/>
          <w:color w:val="000000" w:themeColor="text1"/>
          <w:sz w:val="24"/>
          <w:highlight w:val="none"/>
          <w14:textFill>
            <w14:solidFill>
              <w14:schemeClr w14:val="tx1"/>
            </w14:solidFill>
          </w14:textFill>
        </w:rPr>
      </w:pPr>
    </w:p>
    <w:p w14:paraId="7C1AC9E2">
      <w:pPr>
        <w:pageBreakBefore/>
        <w:spacing w:line="800" w:lineRule="exact"/>
        <w:jc w:val="center"/>
        <w:rPr>
          <w:rFonts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（适用于联合体投标）</w:t>
      </w:r>
    </w:p>
    <w:p w14:paraId="04AFE77D">
      <w:pPr>
        <w:jc w:val="center"/>
        <w:rPr>
          <w:rFonts w:ascii="仿宋" w:hAnsi="仿宋" w:eastAsia="仿宋" w:cs="仿宋"/>
          <w:b/>
          <w:color w:val="000000" w:themeColor="text1"/>
          <w:sz w:val="24"/>
          <w:highlight w:val="none"/>
          <w14:textFill>
            <w14:solidFill>
              <w14:schemeClr w14:val="tx1"/>
            </w14:solidFill>
          </w14:textFill>
        </w:rPr>
      </w:pPr>
    </w:p>
    <w:p w14:paraId="2184FC81">
      <w:pPr>
        <w:snapToGrid w:val="0"/>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w:t>
      </w:r>
    </w:p>
    <w:p w14:paraId="15CB1676">
      <w:pPr>
        <w:snapToGrid w:val="0"/>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的（填写姓名）为我方授权代表，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。以我方的名义参加组织的投标活动。授权代表在开标、评标、合同谈判过程中所签署的一切文件和处理与之有关的一切事务，我均予以承认。</w:t>
      </w:r>
    </w:p>
    <w:p w14:paraId="47131F92">
      <w:pPr>
        <w:snapToGrid w:val="0"/>
        <w:spacing w:line="56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14:paraId="3CF82F07">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14:paraId="7D93133D">
      <w:pPr>
        <w:snapToGrid w:val="0"/>
        <w:spacing w:line="600" w:lineRule="exact"/>
        <w:jc w:val="left"/>
        <w:rPr>
          <w:rFonts w:ascii="仿宋" w:hAnsi="仿宋" w:eastAsia="仿宋" w:cs="仿宋"/>
          <w:color w:val="000000" w:themeColor="text1"/>
          <w:sz w:val="24"/>
          <w:highlight w:val="none"/>
          <w14:textFill>
            <w14:solidFill>
              <w14:schemeClr w14:val="tx1"/>
            </w14:solidFill>
          </w14:textFill>
        </w:rPr>
      </w:pPr>
    </w:p>
    <w:p w14:paraId="5EC96DAF">
      <w:pPr>
        <w:spacing w:line="36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14:paraId="5652DECD">
      <w:pPr>
        <w:spacing w:line="360" w:lineRule="exact"/>
        <w:rPr>
          <w:rFonts w:ascii="仿宋" w:hAnsi="仿宋" w:eastAsia="仿宋" w:cs="仿宋"/>
          <w:color w:val="000000" w:themeColor="text1"/>
          <w:sz w:val="24"/>
          <w:highlight w:val="none"/>
          <w14:textFill>
            <w14:solidFill>
              <w14:schemeClr w14:val="tx1"/>
            </w14:solidFill>
          </w14:textFill>
        </w:rPr>
      </w:pPr>
    </w:p>
    <w:p w14:paraId="45FA7600">
      <w:pPr>
        <w:spacing w:line="36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14:paraId="4D31CFEF">
      <w:pPr>
        <w:spacing w:line="360" w:lineRule="exact"/>
        <w:rPr>
          <w:rFonts w:ascii="仿宋" w:hAnsi="仿宋" w:eastAsia="仿宋" w:cs="仿宋"/>
          <w:color w:val="000000" w:themeColor="text1"/>
          <w:sz w:val="24"/>
          <w:highlight w:val="none"/>
          <w14:textFill>
            <w14:solidFill>
              <w14:schemeClr w14:val="tx1"/>
            </w14:solidFill>
          </w14:textFill>
        </w:rPr>
      </w:pPr>
    </w:p>
    <w:p w14:paraId="3C80BFE1">
      <w:pPr>
        <w:widowControl/>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14:paraId="120DCAC1">
      <w:pPr>
        <w:spacing w:line="360" w:lineRule="exact"/>
        <w:rPr>
          <w:rFonts w:ascii="仿宋" w:hAnsi="仿宋" w:eastAsia="仿宋" w:cs="仿宋"/>
          <w:color w:val="000000" w:themeColor="text1"/>
          <w:sz w:val="24"/>
          <w:highlight w:val="none"/>
          <w14:textFill>
            <w14:solidFill>
              <w14:schemeClr w14:val="tx1"/>
            </w14:solidFill>
          </w14:textFill>
        </w:rPr>
      </w:pPr>
    </w:p>
    <w:p w14:paraId="4A9F8F5F">
      <w:pPr>
        <w:spacing w:line="360" w:lineRule="exact"/>
        <w:rPr>
          <w:rFonts w:ascii="仿宋" w:hAnsi="仿宋" w:eastAsia="仿宋" w:cs="仿宋"/>
          <w:color w:val="000000" w:themeColor="text1"/>
          <w:sz w:val="24"/>
          <w:highlight w:val="none"/>
          <w14:textFill>
            <w14:solidFill>
              <w14:schemeClr w14:val="tx1"/>
            </w14:solidFill>
          </w14:textFill>
        </w:rPr>
      </w:pPr>
    </w:p>
    <w:p w14:paraId="7A0B2AB4">
      <w:pPr>
        <w:jc w:val="center"/>
        <w:rPr>
          <w:rFonts w:ascii="仿宋" w:hAnsi="仿宋" w:eastAsia="仿宋" w:cs="仿宋"/>
          <w:b/>
          <w:color w:val="000000" w:themeColor="text1"/>
          <w:kern w:val="0"/>
          <w:sz w:val="32"/>
          <w:szCs w:val="32"/>
          <w:highlight w:val="none"/>
          <w14:textFill>
            <w14:solidFill>
              <w14:schemeClr w14:val="tx1"/>
            </w14:solidFill>
          </w14:textFill>
        </w:rPr>
      </w:pPr>
    </w:p>
    <w:p w14:paraId="5878AB47">
      <w:pPr>
        <w:rPr>
          <w:rFonts w:ascii="仿宋" w:hAnsi="仿宋" w:eastAsia="仿宋" w:cs="仿宋"/>
          <w:color w:val="000000" w:themeColor="text1"/>
          <w:highlight w:val="none"/>
          <w14:textFill>
            <w14:solidFill>
              <w14:schemeClr w14:val="tx1"/>
            </w14:solidFill>
          </w14:textFill>
        </w:rPr>
      </w:pPr>
    </w:p>
    <w:p w14:paraId="1AF4EB79">
      <w:pPr>
        <w:snapToGrid w:val="0"/>
        <w:spacing w:line="360" w:lineRule="auto"/>
        <w:ind w:firstLine="5040" w:firstLineChars="21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091DB4D9">
      <w:pPr>
        <w:snapToGrid w:val="0"/>
        <w:spacing w:line="360" w:lineRule="auto"/>
        <w:ind w:firstLine="5040" w:firstLineChars="21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0E093FAD">
      <w:pPr>
        <w:snapToGrid w:val="0"/>
        <w:spacing w:line="360" w:lineRule="auto"/>
        <w:ind w:firstLine="5760" w:firstLineChars="24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5B6A8771">
      <w:pPr>
        <w:snapToGrid w:val="0"/>
        <w:spacing w:line="360" w:lineRule="auto"/>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14:paraId="76B7E13D">
      <w:pPr>
        <w:autoSpaceDE w:val="0"/>
        <w:autoSpaceDN w:val="0"/>
        <w:spacing w:line="360" w:lineRule="auto"/>
        <w:jc w:val="center"/>
        <w:rPr>
          <w:rFonts w:ascii="仿宋" w:hAnsi="仿宋" w:eastAsia="仿宋" w:cs="仿宋"/>
          <w:b/>
          <w:color w:val="000000" w:themeColor="text1"/>
          <w:kern w:val="0"/>
          <w:sz w:val="32"/>
          <w:szCs w:val="32"/>
          <w:highlight w:val="none"/>
          <w:lang w:val="zh-CN"/>
          <w14:textFill>
            <w14:solidFill>
              <w14:schemeClr w14:val="tx1"/>
            </w14:solidFill>
          </w14:textFill>
        </w:rPr>
      </w:pPr>
    </w:p>
    <w:p w14:paraId="24D62442">
      <w:pPr>
        <w:autoSpaceDE w:val="0"/>
        <w:autoSpaceDN w:val="0"/>
        <w:spacing w:line="360" w:lineRule="auto"/>
        <w:jc w:val="center"/>
        <w:rPr>
          <w:rFonts w:ascii="仿宋" w:hAnsi="仿宋" w:eastAsia="仿宋" w:cs="仿宋"/>
          <w:b/>
          <w:color w:val="000000" w:themeColor="text1"/>
          <w:kern w:val="0"/>
          <w:sz w:val="32"/>
          <w:szCs w:val="32"/>
          <w:highlight w:val="none"/>
          <w:lang w:val="zh-CN"/>
          <w14:textFill>
            <w14:solidFill>
              <w14:schemeClr w14:val="tx1"/>
            </w14:solidFill>
          </w14:textFill>
        </w:rPr>
      </w:pPr>
    </w:p>
    <w:p w14:paraId="2E74AC53">
      <w:pPr>
        <w:autoSpaceDE w:val="0"/>
        <w:autoSpaceDN w:val="0"/>
        <w:spacing w:line="360" w:lineRule="auto"/>
        <w:jc w:val="center"/>
        <w:rPr>
          <w:rFonts w:ascii="仿宋" w:hAnsi="仿宋" w:eastAsia="仿宋" w:cs="仿宋"/>
          <w:b/>
          <w:color w:val="000000" w:themeColor="text1"/>
          <w:kern w:val="0"/>
          <w:sz w:val="32"/>
          <w:szCs w:val="32"/>
          <w:highlight w:val="none"/>
          <w:lang w:val="zh-CN"/>
          <w14:textFill>
            <w14:solidFill>
              <w14:schemeClr w14:val="tx1"/>
            </w14:solidFill>
          </w14:textFill>
        </w:rPr>
      </w:pPr>
    </w:p>
    <w:p w14:paraId="0B47525F">
      <w:pPr>
        <w:pageBreakBefore/>
        <w:spacing w:line="800" w:lineRule="exact"/>
        <w:jc w:val="center"/>
        <w:rPr>
          <w:rFonts w:ascii="仿宋_GB2312" w:hAnsi="宋体" w:eastAsia="仿宋_GB2312"/>
          <w:b/>
          <w:color w:val="000000" w:themeColor="text1"/>
          <w:sz w:val="30"/>
          <w:szCs w:val="30"/>
          <w:highlight w:val="none"/>
          <w14:textFill>
            <w14:solidFill>
              <w14:schemeClr w14:val="tx1"/>
            </w14:solidFill>
          </w14:textFill>
        </w:rPr>
      </w:pPr>
      <w:r>
        <w:rPr>
          <w:rFonts w:hint="eastAsia" w:ascii="仿宋_GB2312" w:hAnsi="宋体" w:eastAsia="仿宋_GB2312"/>
          <w:b/>
          <w:color w:val="000000" w:themeColor="text1"/>
          <w:sz w:val="30"/>
          <w:szCs w:val="30"/>
          <w:highlight w:val="none"/>
          <w14:textFill>
            <w14:solidFill>
              <w14:schemeClr w14:val="tx1"/>
            </w14:solidFill>
          </w14:textFill>
        </w:rPr>
        <w:t>三、授权代表社保证明（复印件）</w:t>
      </w:r>
    </w:p>
    <w:p w14:paraId="1124425F">
      <w:pPr>
        <w:spacing w:line="800" w:lineRule="exact"/>
        <w:ind w:firstLine="480" w:firstLineChars="200"/>
        <w:rPr>
          <w:rFonts w:ascii="仿宋_GB2312" w:hAnsi="宋体" w:eastAsia="仿宋_GB2312"/>
          <w:color w:val="000000" w:themeColor="text1"/>
          <w:sz w:val="24"/>
          <w:highlight w:val="none"/>
          <w:u w:val="wave"/>
          <w14:textFill>
            <w14:solidFill>
              <w14:schemeClr w14:val="tx1"/>
            </w14:solidFill>
          </w14:textFill>
        </w:rPr>
      </w:pPr>
      <w:r>
        <w:rPr>
          <w:rFonts w:hint="eastAsia" w:ascii="仿宋_GB2312" w:hAnsi="宋体" w:eastAsia="仿宋_GB2312"/>
          <w:color w:val="000000" w:themeColor="text1"/>
          <w:sz w:val="24"/>
          <w:highlight w:val="none"/>
          <w:u w:val="wave"/>
          <w14:textFill>
            <w14:solidFill>
              <w14:schemeClr w14:val="tx1"/>
            </w14:solidFill>
          </w14:textFill>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75BDF00">
      <w:pPr>
        <w:spacing w:line="800" w:lineRule="exact"/>
        <w:rPr>
          <w:rFonts w:ascii="仿宋" w:hAnsi="仿宋" w:eastAsia="仿宋" w:cs="仿宋"/>
          <w:b/>
          <w:color w:val="000000" w:themeColor="text1"/>
          <w:sz w:val="24"/>
          <w:highlight w:val="none"/>
          <w14:textFill>
            <w14:solidFill>
              <w14:schemeClr w14:val="tx1"/>
            </w14:solidFill>
          </w14:textFill>
        </w:rPr>
      </w:pPr>
    </w:p>
    <w:p w14:paraId="061F0C32">
      <w:pPr>
        <w:spacing w:line="800" w:lineRule="exact"/>
        <w:jc w:val="center"/>
        <w:rPr>
          <w:rFonts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四、法定代表人及其授权代表身份证复印件（正反面）</w:t>
      </w:r>
    </w:p>
    <w:p w14:paraId="5FB9F8EF">
      <w:pPr>
        <w:spacing w:line="800" w:lineRule="exact"/>
        <w:rPr>
          <w:rFonts w:ascii="仿宋" w:hAnsi="仿宋" w:eastAsia="仿宋" w:cs="仿宋"/>
          <w:b/>
          <w:color w:val="000000" w:themeColor="text1"/>
          <w:sz w:val="24"/>
          <w:highlight w:val="none"/>
          <w14:textFill>
            <w14:solidFill>
              <w14:schemeClr w14:val="tx1"/>
            </w14:solidFill>
          </w14:textFill>
        </w:rPr>
      </w:pPr>
    </w:p>
    <w:p w14:paraId="2343A225">
      <w:pPr>
        <w:spacing w:line="800" w:lineRule="exact"/>
        <w:rPr>
          <w:rFonts w:ascii="仿宋" w:hAnsi="仿宋" w:eastAsia="仿宋" w:cs="仿宋"/>
          <w:b/>
          <w:color w:val="000000" w:themeColor="text1"/>
          <w:sz w:val="24"/>
          <w:highlight w:val="none"/>
          <w14:textFill>
            <w14:solidFill>
              <w14:schemeClr w14:val="tx1"/>
            </w14:solidFill>
          </w14:textFill>
        </w:rPr>
      </w:pPr>
    </w:p>
    <w:p w14:paraId="6E28C20D">
      <w:pPr>
        <w:spacing w:line="800" w:lineRule="exact"/>
        <w:jc w:val="center"/>
        <w:rPr>
          <w:rFonts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五、法定代表人身份证明书(格式)</w:t>
      </w:r>
    </w:p>
    <w:p w14:paraId="7A9F760A">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 标 人：</w:t>
      </w:r>
    </w:p>
    <w:p w14:paraId="7781E897">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p>
    <w:p w14:paraId="00B4102D">
      <w:pPr>
        <w:spacing w:line="440" w:lineRule="exact"/>
        <w:ind w:right="281" w:rightChars="134"/>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姓    名：</w:t>
      </w:r>
    </w:p>
    <w:p w14:paraId="0D6D4B21">
      <w:pPr>
        <w:spacing w:line="440" w:lineRule="exact"/>
        <w:ind w:right="281" w:rightChars="134"/>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身份证号码：</w:t>
      </w:r>
    </w:p>
    <w:p w14:paraId="54006A58">
      <w:pPr>
        <w:spacing w:line="440" w:lineRule="exact"/>
        <w:ind w:right="281" w:rightChars="134"/>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职   务：</w:t>
      </w:r>
    </w:p>
    <w:p w14:paraId="382279B8">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（填写投标人名称）</w:t>
      </w:r>
      <w:r>
        <w:rPr>
          <w:rFonts w:hint="eastAsia" w:ascii="仿宋" w:hAnsi="仿宋" w:eastAsia="仿宋" w:cs="仿宋"/>
          <w:color w:val="000000" w:themeColor="text1"/>
          <w:sz w:val="24"/>
          <w:highlight w:val="none"/>
          <w14:textFill>
            <w14:solidFill>
              <w14:schemeClr w14:val="tx1"/>
            </w14:solidFill>
          </w14:textFill>
        </w:rPr>
        <w:t>的法定代表人。</w:t>
      </w:r>
    </w:p>
    <w:p w14:paraId="3E4CD20A">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特此证明。</w:t>
      </w:r>
    </w:p>
    <w:p w14:paraId="5329D43B">
      <w:pPr>
        <w:spacing w:line="440" w:lineRule="exact"/>
        <w:rPr>
          <w:rFonts w:ascii="仿宋" w:hAnsi="仿宋" w:eastAsia="仿宋" w:cs="仿宋"/>
          <w:color w:val="000000" w:themeColor="text1"/>
          <w:sz w:val="24"/>
          <w:highlight w:val="none"/>
          <w14:textFill>
            <w14:solidFill>
              <w14:schemeClr w14:val="tx1"/>
            </w14:solidFill>
          </w14:textFill>
        </w:rPr>
      </w:pPr>
    </w:p>
    <w:p w14:paraId="5DD6FDFD">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投标人名称：                             （电子签章）</w:t>
      </w:r>
    </w:p>
    <w:p w14:paraId="3CA567E9">
      <w:pPr>
        <w:spacing w:line="440" w:lineRule="exact"/>
        <w:ind w:right="480"/>
        <w:rPr>
          <w:rFonts w:ascii="仿宋" w:hAnsi="仿宋" w:eastAsia="仿宋" w:cs="仿宋"/>
          <w:color w:val="000000" w:themeColor="text1"/>
          <w:sz w:val="24"/>
          <w:highlight w:val="none"/>
          <w14:textFill>
            <w14:solidFill>
              <w14:schemeClr w14:val="tx1"/>
            </w14:solidFill>
          </w14:textFill>
        </w:rPr>
      </w:pPr>
    </w:p>
    <w:p w14:paraId="5367CDE6">
      <w:pPr>
        <w:spacing w:line="440" w:lineRule="exact"/>
        <w:ind w:right="720"/>
        <w:jc w:val="righ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年   月   日</w:t>
      </w:r>
    </w:p>
    <w:p w14:paraId="17B642D5">
      <w:pPr>
        <w:jc w:val="center"/>
        <w:rPr>
          <w:rFonts w:ascii="仿宋" w:hAnsi="仿宋" w:eastAsia="仿宋" w:cs="仿宋"/>
          <w:b/>
          <w:color w:val="000000" w:themeColor="text1"/>
          <w:kern w:val="0"/>
          <w:sz w:val="32"/>
          <w:szCs w:val="32"/>
          <w:highlight w:val="none"/>
          <w14:textFill>
            <w14:solidFill>
              <w14:schemeClr w14:val="tx1"/>
            </w14:solidFill>
          </w14:textFill>
        </w:rPr>
      </w:pPr>
    </w:p>
    <w:p w14:paraId="59D000F0">
      <w:pPr>
        <w:jc w:val="center"/>
        <w:rPr>
          <w:rFonts w:ascii="仿宋" w:hAnsi="仿宋" w:eastAsia="仿宋" w:cs="仿宋"/>
          <w:b/>
          <w:color w:val="000000" w:themeColor="text1"/>
          <w:kern w:val="0"/>
          <w:sz w:val="32"/>
          <w:szCs w:val="32"/>
          <w:highlight w:val="none"/>
          <w14:textFill>
            <w14:solidFill>
              <w14:schemeClr w14:val="tx1"/>
            </w14:solidFill>
          </w14:textFill>
        </w:rPr>
      </w:pPr>
    </w:p>
    <w:p w14:paraId="4DBFD8F8">
      <w:pPr>
        <w:rPr>
          <w:rFonts w:ascii="仿宋" w:hAnsi="仿宋" w:eastAsia="仿宋" w:cs="仿宋"/>
          <w:b/>
          <w:color w:val="000000" w:themeColor="text1"/>
          <w:kern w:val="0"/>
          <w:sz w:val="32"/>
          <w:szCs w:val="32"/>
          <w:highlight w:val="none"/>
          <w14:textFill>
            <w14:solidFill>
              <w14:schemeClr w14:val="tx1"/>
            </w14:solidFill>
          </w14:textFill>
        </w:rPr>
      </w:pPr>
    </w:p>
    <w:p w14:paraId="5B0C96FC">
      <w:pPr>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CA91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633C3CF">
            <w:pPr>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序号</w:t>
            </w:r>
          </w:p>
        </w:tc>
        <w:tc>
          <w:tcPr>
            <w:tcW w:w="3683" w:type="dxa"/>
          </w:tcPr>
          <w:p w14:paraId="0C46529B">
            <w:pPr>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招标文件章节及具体内容</w:t>
            </w:r>
          </w:p>
        </w:tc>
        <w:tc>
          <w:tcPr>
            <w:tcW w:w="3546" w:type="dxa"/>
          </w:tcPr>
          <w:p w14:paraId="25353736">
            <w:pPr>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投标文件章节及具体内容</w:t>
            </w:r>
          </w:p>
        </w:tc>
        <w:tc>
          <w:tcPr>
            <w:tcW w:w="1276" w:type="dxa"/>
          </w:tcPr>
          <w:p w14:paraId="43A75743">
            <w:pPr>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偏离说明</w:t>
            </w:r>
          </w:p>
        </w:tc>
      </w:tr>
      <w:tr w14:paraId="459B7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5AD2529">
            <w:pPr>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p>
        </w:tc>
        <w:tc>
          <w:tcPr>
            <w:tcW w:w="3683" w:type="dxa"/>
          </w:tcPr>
          <w:p w14:paraId="32327504">
            <w:pPr>
              <w:jc w:val="center"/>
              <w:rPr>
                <w:rFonts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6C77DC15">
            <w:pPr>
              <w:jc w:val="center"/>
              <w:rPr>
                <w:rFonts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35028087">
            <w:pPr>
              <w:jc w:val="center"/>
              <w:rPr>
                <w:rFonts w:ascii="仿宋" w:hAnsi="仿宋" w:eastAsia="仿宋" w:cs="仿宋"/>
                <w:b/>
                <w:color w:val="000000" w:themeColor="text1"/>
                <w:kern w:val="0"/>
                <w:sz w:val="32"/>
                <w:szCs w:val="32"/>
                <w:highlight w:val="none"/>
                <w14:textFill>
                  <w14:solidFill>
                    <w14:schemeClr w14:val="tx1"/>
                  </w14:solidFill>
                </w14:textFill>
              </w:rPr>
            </w:pPr>
          </w:p>
        </w:tc>
      </w:tr>
      <w:tr w14:paraId="635DB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DED7A2E">
            <w:pPr>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p>
        </w:tc>
        <w:tc>
          <w:tcPr>
            <w:tcW w:w="3683" w:type="dxa"/>
          </w:tcPr>
          <w:p w14:paraId="0DB2F6CE">
            <w:pPr>
              <w:jc w:val="center"/>
              <w:rPr>
                <w:rFonts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4861094E">
            <w:pPr>
              <w:jc w:val="center"/>
              <w:rPr>
                <w:rFonts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392887AD">
            <w:pPr>
              <w:jc w:val="center"/>
              <w:rPr>
                <w:rFonts w:ascii="仿宋" w:hAnsi="仿宋" w:eastAsia="仿宋" w:cs="仿宋"/>
                <w:b/>
                <w:color w:val="000000" w:themeColor="text1"/>
                <w:kern w:val="0"/>
                <w:sz w:val="32"/>
                <w:szCs w:val="32"/>
                <w:highlight w:val="none"/>
                <w14:textFill>
                  <w14:solidFill>
                    <w14:schemeClr w14:val="tx1"/>
                  </w14:solidFill>
                </w14:textFill>
              </w:rPr>
            </w:pPr>
          </w:p>
        </w:tc>
      </w:tr>
      <w:tr w14:paraId="3EA81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0684745">
            <w:pPr>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p>
        </w:tc>
        <w:tc>
          <w:tcPr>
            <w:tcW w:w="3683" w:type="dxa"/>
          </w:tcPr>
          <w:p w14:paraId="29A4D1DF">
            <w:pPr>
              <w:jc w:val="center"/>
              <w:rPr>
                <w:rFonts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75FFC3BE">
            <w:pPr>
              <w:jc w:val="center"/>
              <w:rPr>
                <w:rFonts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6F9FE2B1">
            <w:pPr>
              <w:jc w:val="center"/>
              <w:rPr>
                <w:rFonts w:ascii="仿宋" w:hAnsi="仿宋" w:eastAsia="仿宋" w:cs="仿宋"/>
                <w:b/>
                <w:color w:val="000000" w:themeColor="text1"/>
                <w:kern w:val="0"/>
                <w:sz w:val="32"/>
                <w:szCs w:val="32"/>
                <w:highlight w:val="none"/>
                <w14:textFill>
                  <w14:solidFill>
                    <w14:schemeClr w14:val="tx1"/>
                  </w14:solidFill>
                </w14:textFill>
              </w:rPr>
            </w:pPr>
          </w:p>
        </w:tc>
      </w:tr>
    </w:tbl>
    <w:p w14:paraId="5B3203CA">
      <w:pPr>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投标人保证：除商务技术偏离表列出的偏离外，投标人响应招标文件的全部要求</w:t>
      </w:r>
    </w:p>
    <w:p w14:paraId="34FBB198">
      <w:pPr>
        <w:jc w:val="center"/>
        <w:rPr>
          <w:rFonts w:ascii="仿宋" w:hAnsi="仿宋" w:eastAsia="仿宋" w:cs="仿宋"/>
          <w:b/>
          <w:color w:val="000000" w:themeColor="text1"/>
          <w:kern w:val="0"/>
          <w:sz w:val="32"/>
          <w:szCs w:val="32"/>
          <w:highlight w:val="none"/>
          <w14:textFill>
            <w14:solidFill>
              <w14:schemeClr w14:val="tx1"/>
            </w14:solidFill>
          </w14:textFill>
        </w:rPr>
      </w:pPr>
    </w:p>
    <w:p w14:paraId="243BC43F">
      <w:pPr>
        <w:spacing w:line="360" w:lineRule="auto"/>
        <w:ind w:right="420"/>
        <w:rPr>
          <w:rFonts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6CC03BFC">
      <w:pPr>
        <w:widowControl/>
        <w:adjustRightInd/>
        <w:jc w:val="left"/>
        <w:rPr>
          <w:rFonts w:ascii="仿宋" w:hAnsi="仿宋" w:eastAsia="仿宋" w:cs="仿宋"/>
          <w:b/>
          <w:bCs/>
          <w:color w:val="000000" w:themeColor="text1"/>
          <w:sz w:val="32"/>
          <w:szCs w:val="32"/>
          <w:highlight w:val="none"/>
          <w14:textFill>
            <w14:solidFill>
              <w14:schemeClr w14:val="tx1"/>
            </w14:solidFill>
          </w14:textFill>
        </w:rPr>
      </w:pPr>
    </w:p>
    <w:p w14:paraId="3E9A8FB8">
      <w:pPr>
        <w:pageBreakBefore/>
        <w:widowControl/>
        <w:adjustRightInd/>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14:textFill>
            <w14:solidFill>
              <w14:schemeClr w14:val="tx1"/>
            </w14:solidFill>
          </w14:textFill>
        </w:rPr>
        <w:t>七</w:t>
      </w:r>
      <w:r>
        <w:rPr>
          <w:rFonts w:hint="eastAsia" w:ascii="仿宋" w:hAnsi="仿宋" w:eastAsia="仿宋" w:cs="仿宋"/>
          <w:b/>
          <w:color w:val="000000" w:themeColor="text1"/>
          <w:kern w:val="0"/>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政府采购供应商廉洁自律承诺书</w:t>
      </w:r>
    </w:p>
    <w:p w14:paraId="0FD5B991">
      <w:pPr>
        <w:snapToGrid w:val="0"/>
        <w:spacing w:line="360" w:lineRule="auto"/>
        <w:rPr>
          <w:rFonts w:ascii="仿宋" w:hAnsi="仿宋" w:eastAsia="仿宋" w:cs="仿宋"/>
          <w:color w:val="000000" w:themeColor="text1"/>
          <w:sz w:val="24"/>
          <w:highlight w:val="none"/>
          <w14:textFill>
            <w14:solidFill>
              <w14:schemeClr w14:val="tx1"/>
            </w14:solidFill>
          </w14:textFill>
        </w:rPr>
      </w:pPr>
    </w:p>
    <w:p w14:paraId="7849FC58">
      <w:pPr>
        <w:snapToGrid w:val="0"/>
        <w:spacing w:line="360" w:lineRule="auto"/>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45280CB6">
      <w:pPr>
        <w:autoSpaceDE w:val="0"/>
        <w:autoSpaceDN w:val="0"/>
        <w:spacing w:line="360" w:lineRule="auto"/>
        <w:ind w:left="2" w:leftChars="1"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我单位响应你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项目招标要求参加投标。在这次投标过程中和中标后，我们将严格遵守国家法律法规要求，并郑重承诺：</w:t>
      </w:r>
    </w:p>
    <w:p w14:paraId="383A50F8">
      <w:pPr>
        <w:autoSpaceDE w:val="0"/>
        <w:autoSpaceDN w:val="0"/>
        <w:spacing w:line="360" w:lineRule="auto"/>
        <w:ind w:left="2" w:leftChars="1"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一、不向项目有关人员及部门赠送礼金礼物、有价证券、回扣以及中介费、介绍费、咨询费等好处费； </w:t>
      </w:r>
    </w:p>
    <w:p w14:paraId="3719D218">
      <w:pPr>
        <w:autoSpaceDE w:val="0"/>
        <w:autoSpaceDN w:val="0"/>
        <w:spacing w:line="360" w:lineRule="auto"/>
        <w:ind w:left="2" w:leftChars="1"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二、不为项目有关人员及部门报销应由你方单位或个人支付的费用； </w:t>
      </w:r>
    </w:p>
    <w:p w14:paraId="3884D625">
      <w:pPr>
        <w:autoSpaceDE w:val="0"/>
        <w:autoSpaceDN w:val="0"/>
        <w:spacing w:line="360" w:lineRule="auto"/>
        <w:ind w:left="2" w:leftChars="1"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三、不向项目有关人员及部门提供有可能影响公正的宴请和健身娱乐等活动； </w:t>
      </w:r>
    </w:p>
    <w:p w14:paraId="1F82877D">
      <w:pPr>
        <w:autoSpaceDE w:val="0"/>
        <w:autoSpaceDN w:val="0"/>
        <w:spacing w:line="360" w:lineRule="auto"/>
        <w:ind w:left="2" w:leftChars="1"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四、不为项目有关人员及部门出国（境）、旅游等提供方便；</w:t>
      </w:r>
    </w:p>
    <w:p w14:paraId="7E7D023B">
      <w:pPr>
        <w:autoSpaceDE w:val="0"/>
        <w:autoSpaceDN w:val="0"/>
        <w:spacing w:line="360" w:lineRule="auto"/>
        <w:ind w:left="481" w:leftChars="229"/>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五、不为项目有关人员个人装修住房、婚丧嫁娶、配偶子女工作安排等提供</w:t>
      </w:r>
    </w:p>
    <w:p w14:paraId="152B4A83">
      <w:pPr>
        <w:autoSpaceDE w:val="0"/>
        <w:autoSpaceDN w:val="0"/>
        <w:spacing w:line="360" w:lineRule="auto"/>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好处；</w:t>
      </w:r>
    </w:p>
    <w:p w14:paraId="75A7A3E8">
      <w:pPr>
        <w:autoSpaceDE w:val="0"/>
        <w:autoSpaceDN w:val="0"/>
        <w:spacing w:line="360" w:lineRule="auto"/>
        <w:ind w:left="481" w:leftChars="229"/>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六、严格遵守《</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政府采购法》《</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招标投标</w:t>
      </w:r>
    </w:p>
    <w:p w14:paraId="74118B2F">
      <w:pPr>
        <w:autoSpaceDE w:val="0"/>
        <w:autoSpaceDN w:val="0"/>
        <w:spacing w:line="360" w:lineRule="auto"/>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法》</w:t>
      </w:r>
      <w:r>
        <w:rPr>
          <w:rFonts w:hint="eastAsia" w:ascii="仿宋" w:hAnsi="仿宋" w:eastAsia="仿宋" w:cs="仿宋"/>
          <w:color w:val="000000" w:themeColor="text1"/>
          <w:sz w:val="24"/>
          <w:highlight w:val="none"/>
          <w:lang w:val="zh-CN"/>
          <w14:textFill>
            <w14:solidFill>
              <w14:schemeClr w14:val="tx1"/>
            </w14:solidFill>
          </w14:textFill>
        </w:rPr>
        <w:t>《中华人民共和国民法典》</w:t>
      </w:r>
      <w:r>
        <w:rPr>
          <w:rFonts w:hint="eastAsia" w:ascii="仿宋" w:hAnsi="仿宋" w:eastAsia="仿宋" w:cs="仿宋"/>
          <w:color w:val="000000" w:themeColor="text1"/>
          <w:kern w:val="0"/>
          <w:sz w:val="24"/>
          <w:highlight w:val="none"/>
          <w:lang w:val="zh-CN"/>
          <w14:textFill>
            <w14:solidFill>
              <w14:schemeClr w14:val="tx1"/>
            </w14:solidFill>
          </w14:textFill>
        </w:rPr>
        <w:t xml:space="preserve">等法律法规，诚实守信，合法经营，坚决抵制各种违法违纪行为。 </w:t>
      </w:r>
    </w:p>
    <w:p w14:paraId="7988DA19">
      <w:pPr>
        <w:autoSpaceDE w:val="0"/>
        <w:autoSpaceDN w:val="0"/>
        <w:spacing w:line="360" w:lineRule="auto"/>
        <w:ind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如违反上述承诺，你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进行项目建设或其他经营活动，并通报市财政局。由此引起的相应损失均由我单位承担。</w:t>
      </w:r>
    </w:p>
    <w:p w14:paraId="144570E7">
      <w:pPr>
        <w:autoSpaceDE w:val="0"/>
        <w:autoSpaceDN w:val="0"/>
        <w:spacing w:line="360" w:lineRule="auto"/>
        <w:ind w:left="2"/>
        <w:jc w:val="left"/>
        <w:rPr>
          <w:rFonts w:ascii="仿宋" w:hAnsi="仿宋" w:eastAsia="仿宋" w:cs="仿宋"/>
          <w:color w:val="000000" w:themeColor="text1"/>
          <w:kern w:val="0"/>
          <w:sz w:val="24"/>
          <w:highlight w:val="none"/>
          <w:lang w:val="zh-CN"/>
          <w14:textFill>
            <w14:solidFill>
              <w14:schemeClr w14:val="tx1"/>
            </w14:solidFill>
          </w14:textFill>
        </w:rPr>
      </w:pPr>
    </w:p>
    <w:p w14:paraId="4E121297">
      <w:pPr>
        <w:autoSpaceDE w:val="0"/>
        <w:autoSpaceDN w:val="0"/>
        <w:spacing w:line="360" w:lineRule="auto"/>
        <w:ind w:left="2"/>
        <w:jc w:val="left"/>
        <w:rPr>
          <w:rFonts w:ascii="仿宋" w:hAnsi="仿宋" w:eastAsia="仿宋" w:cs="仿宋"/>
          <w:color w:val="000000" w:themeColor="text1"/>
          <w:kern w:val="0"/>
          <w:sz w:val="24"/>
          <w:highlight w:val="none"/>
          <w:lang w:val="zh-CN"/>
          <w14:textFill>
            <w14:solidFill>
              <w14:schemeClr w14:val="tx1"/>
            </w14:solidFill>
          </w14:textFill>
        </w:rPr>
      </w:pPr>
    </w:p>
    <w:p w14:paraId="2F93D86B">
      <w:pPr>
        <w:autoSpaceDE w:val="0"/>
        <w:autoSpaceDN w:val="0"/>
        <w:spacing w:line="360" w:lineRule="auto"/>
        <w:ind w:left="2"/>
        <w:jc w:val="left"/>
        <w:rPr>
          <w:rFonts w:ascii="仿宋" w:hAnsi="仿宋" w:eastAsia="仿宋" w:cs="仿宋"/>
          <w:color w:val="000000" w:themeColor="text1"/>
          <w:kern w:val="0"/>
          <w:sz w:val="24"/>
          <w:highlight w:val="none"/>
          <w:lang w:val="zh-CN"/>
          <w14:textFill>
            <w14:solidFill>
              <w14:schemeClr w14:val="tx1"/>
            </w14:solidFill>
          </w14:textFill>
        </w:rPr>
      </w:pPr>
    </w:p>
    <w:p w14:paraId="0E538B4A">
      <w:pPr>
        <w:autoSpaceDE w:val="0"/>
        <w:autoSpaceDN w:val="0"/>
        <w:spacing w:line="360" w:lineRule="auto"/>
        <w:ind w:left="2" w:leftChars="1" w:right="1120" w:firstLine="4560" w:firstLineChars="19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w:t>
      </w:r>
      <w:r>
        <w:rPr>
          <w:rFonts w:hint="eastAsia" w:ascii="仿宋" w:hAnsi="仿宋" w:eastAsia="仿宋" w:cs="仿宋"/>
          <w:color w:val="000000" w:themeColor="text1"/>
          <w:sz w:val="24"/>
          <w:highlight w:val="none"/>
          <w14:textFill>
            <w14:solidFill>
              <w14:schemeClr w14:val="tx1"/>
            </w14:solidFill>
          </w14:textFill>
        </w:rPr>
        <w:t>电子签名</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19339B13">
      <w:pPr>
        <w:autoSpaceDE w:val="0"/>
        <w:autoSpaceDN w:val="0"/>
        <w:spacing w:line="360" w:lineRule="auto"/>
        <w:ind w:left="2" w:leftChars="1" w:right="1120" w:firstLine="4560" w:firstLineChars="19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 xml:space="preserve">   年   月   日</w:t>
      </w:r>
    </w:p>
    <w:p w14:paraId="69045453">
      <w:pPr>
        <w:spacing w:line="360" w:lineRule="auto"/>
        <w:jc w:val="center"/>
        <w:rPr>
          <w:rFonts w:ascii="仿宋" w:hAnsi="仿宋" w:eastAsia="仿宋" w:cs="仿宋"/>
          <w:b/>
          <w:bCs/>
          <w:color w:val="000000" w:themeColor="text1"/>
          <w:sz w:val="24"/>
          <w:highlight w:val="none"/>
          <w14:textFill>
            <w14:solidFill>
              <w14:schemeClr w14:val="tx1"/>
            </w14:solidFill>
          </w14:textFill>
        </w:rPr>
      </w:pPr>
    </w:p>
    <w:p w14:paraId="16520D2B">
      <w:pPr>
        <w:spacing w:line="360" w:lineRule="auto"/>
        <w:ind w:right="42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1C891CF8">
      <w:pPr>
        <w:spacing w:line="360" w:lineRule="auto"/>
        <w:jc w:val="center"/>
        <w:rPr>
          <w:rFonts w:ascii="仿宋" w:hAnsi="仿宋" w:eastAsia="仿宋" w:cs="仿宋"/>
          <w:b/>
          <w:bCs/>
          <w:color w:val="000000" w:themeColor="text1"/>
          <w:sz w:val="24"/>
          <w:highlight w:val="none"/>
          <w14:textFill>
            <w14:solidFill>
              <w14:schemeClr w14:val="tx1"/>
            </w14:solidFill>
          </w14:textFill>
        </w:rPr>
      </w:pPr>
    </w:p>
    <w:p w14:paraId="04B520ED">
      <w:pPr>
        <w:pStyle w:val="80"/>
        <w:jc w:val="center"/>
        <w:rPr>
          <w:rFonts w:ascii="仿宋" w:hAnsi="仿宋" w:eastAsia="仿宋" w:cs="仿宋"/>
          <w:b/>
          <w:bCs/>
          <w:color w:val="000000" w:themeColor="text1"/>
          <w:highlight w:val="none"/>
          <w14:textFill>
            <w14:solidFill>
              <w14:schemeClr w14:val="tx1"/>
            </w14:solidFill>
          </w14:textFill>
        </w:rPr>
      </w:pPr>
    </w:p>
    <w:p w14:paraId="3DF919F6">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八、</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主要业绩证明</w:t>
      </w:r>
    </w:p>
    <w:p w14:paraId="67895D4C">
      <w:pPr>
        <w:autoSpaceDE w:val="0"/>
        <w:autoSpaceDN w:val="0"/>
        <w:spacing w:line="360" w:lineRule="auto"/>
        <w:ind w:firstLine="12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1BAA9A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4AFA45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5FE19B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w:t>
            </w:r>
          </w:p>
          <w:p w14:paraId="44612E4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68F766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A64B5A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合同</w:t>
            </w:r>
          </w:p>
          <w:p w14:paraId="269574E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金额</w:t>
            </w:r>
          </w:p>
          <w:p w14:paraId="18A8D64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79F0C2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4CD5AC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EBE052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所在页码</w:t>
            </w:r>
          </w:p>
        </w:tc>
      </w:tr>
      <w:tr w14:paraId="60D2D6A1">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436F81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1A41364C">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7ACDF2FF">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312B8477">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000C1667">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344499BC">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33F55667">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06AD842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583A7B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17343A8D">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4713DD74">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0797F02D">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5FE389E8">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437DC0E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43EBE42D">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1B38F860">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2B7809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787C2BC6">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44161CCA">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6786A97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3F809D70">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26691EA6">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3CD6F1BA">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755675F6">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注：供应商可按上述的格式自行编制，须随表提交相应的合同复印件和用户单位验收证明并注明页码。</w:t>
      </w:r>
    </w:p>
    <w:p w14:paraId="14844932">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p>
    <w:p w14:paraId="0B0752F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p w14:paraId="6913EDD3">
      <w:pPr>
        <w:spacing w:line="336" w:lineRule="auto"/>
        <w:ind w:left="3990" w:leftChars="190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投标人名称（电子签名）：</w:t>
      </w:r>
    </w:p>
    <w:p w14:paraId="31FB01F9">
      <w:pPr>
        <w:spacing w:line="336" w:lineRule="auto"/>
        <w:ind w:left="3990" w:leftChars="190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40720F7D">
      <w:pPr>
        <w:pStyle w:val="648"/>
        <w:ind w:firstLine="0"/>
        <w:jc w:val="both"/>
        <w:rPr>
          <w:rFonts w:hAnsi="仿宋_GB2312" w:cs="仿宋_GB2312"/>
          <w:color w:val="000000" w:themeColor="text1"/>
          <w:highlight w:val="none"/>
          <w14:textFill>
            <w14:solidFill>
              <w14:schemeClr w14:val="tx1"/>
            </w14:solidFill>
          </w14:textFill>
        </w:rPr>
      </w:pPr>
    </w:p>
    <w:p w14:paraId="5105FDEF">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九、技术解决方案</w:t>
      </w:r>
    </w:p>
    <w:p w14:paraId="6B085890">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7DFE59C6">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14:paraId="3EAEE488">
      <w:pPr>
        <w:snapToGrid w:val="0"/>
        <w:spacing w:line="360" w:lineRule="auto"/>
        <w:jc w:val="center"/>
        <w:rPr>
          <w:rFonts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9F38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A3F2065">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1531" w:type="dxa"/>
            <w:vAlign w:val="center"/>
          </w:tcPr>
          <w:p w14:paraId="51D837E9">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设备名称</w:t>
            </w:r>
          </w:p>
        </w:tc>
        <w:tc>
          <w:tcPr>
            <w:tcW w:w="2160" w:type="dxa"/>
            <w:vAlign w:val="center"/>
          </w:tcPr>
          <w:p w14:paraId="37E97F9A">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投标品牌及型号</w:t>
            </w:r>
          </w:p>
        </w:tc>
        <w:tc>
          <w:tcPr>
            <w:tcW w:w="2340" w:type="dxa"/>
            <w:vAlign w:val="center"/>
          </w:tcPr>
          <w:p w14:paraId="4C70ABDE">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规格配置详细说明</w:t>
            </w:r>
          </w:p>
        </w:tc>
        <w:tc>
          <w:tcPr>
            <w:tcW w:w="1080" w:type="dxa"/>
            <w:vAlign w:val="center"/>
          </w:tcPr>
          <w:p w14:paraId="49A035B6">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数量</w:t>
            </w:r>
          </w:p>
        </w:tc>
        <w:tc>
          <w:tcPr>
            <w:tcW w:w="1332" w:type="dxa"/>
            <w:vAlign w:val="center"/>
          </w:tcPr>
          <w:p w14:paraId="441D8271">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备注</w:t>
            </w:r>
          </w:p>
        </w:tc>
      </w:tr>
      <w:tr w14:paraId="63821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63FEEA0">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1531" w:type="dxa"/>
            <w:vAlign w:val="center"/>
          </w:tcPr>
          <w:p w14:paraId="4F1792DF">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4B501432">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7DB217B8">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2EA00A54">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630457F3">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3791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6E6FC4E">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1531" w:type="dxa"/>
            <w:vAlign w:val="center"/>
          </w:tcPr>
          <w:p w14:paraId="296726C4">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3D40D6E4">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7714E68C">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017449C2">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4395F60D">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7FC81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D7D2157">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1531" w:type="dxa"/>
            <w:vAlign w:val="center"/>
          </w:tcPr>
          <w:p w14:paraId="57EE2BE8">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0718BA9A">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53AD5E55">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3FD63DAF">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2225B4B1">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63F03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E1B0747">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1531" w:type="dxa"/>
            <w:vAlign w:val="center"/>
          </w:tcPr>
          <w:p w14:paraId="1FEE3FAA">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647A8575">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528B9E8E">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70A0C43E">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49FCA925">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677C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6B6F1EC">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1531" w:type="dxa"/>
            <w:vAlign w:val="center"/>
          </w:tcPr>
          <w:p w14:paraId="13BD29D8">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55C757F4">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3F2F6C0E">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0ABC9CEC">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2CBA9219">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1305D560">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注：1.</w:t>
      </w:r>
      <w:r>
        <w:rPr>
          <w:rFonts w:hint="eastAsia" w:ascii="仿宋_GB2312" w:hAnsi="仿宋_GB2312" w:eastAsia="仿宋_GB2312" w:cs="仿宋_GB2312"/>
          <w:b/>
          <w:color w:val="000000" w:themeColor="text1"/>
          <w:sz w:val="24"/>
          <w:highlight w:val="none"/>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189D8CF0">
      <w:pPr>
        <w:autoSpaceDE w:val="0"/>
        <w:autoSpaceDN w:val="0"/>
        <w:spacing w:line="360" w:lineRule="auto"/>
        <w:rPr>
          <w:rFonts w:ascii="仿宋" w:hAnsi="仿宋" w:eastAsia="仿宋"/>
          <w:b/>
          <w:color w:val="000000" w:themeColor="text1"/>
          <w:spacing w:val="6"/>
          <w:sz w:val="24"/>
          <w:highlight w:val="none"/>
          <w14:textFill>
            <w14:solidFill>
              <w14:schemeClr w14:val="tx1"/>
            </w14:solidFill>
          </w14:textFill>
        </w:rPr>
      </w:pPr>
      <w:r>
        <w:rPr>
          <w:rFonts w:hint="eastAsia" w:ascii="仿宋" w:hAnsi="仿宋" w:eastAsia="仿宋"/>
          <w:b/>
          <w:color w:val="000000" w:themeColor="text1"/>
          <w:spacing w:val="6"/>
          <w:sz w:val="24"/>
          <w:highlight w:val="none"/>
          <w14:textFill>
            <w14:solidFill>
              <w14:schemeClr w14:val="tx1"/>
            </w14:solidFill>
          </w14:textFill>
        </w:rPr>
        <w:t>2.</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67B12100">
      <w:pPr>
        <w:autoSpaceDE w:val="0"/>
        <w:autoSpaceDN w:val="0"/>
        <w:spacing w:line="360" w:lineRule="auto"/>
        <w:rPr>
          <w:rFonts w:ascii="仿宋_GB2312" w:hAnsi="仿宋_GB2312" w:eastAsia="仿宋_GB2312" w:cs="仿宋_GB2312"/>
          <w:b/>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t>附：</w: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5" o:spt="75" type="#_x0000_t75" style="height:42pt;width:443.4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72438F67">
      <w:pPr>
        <w:autoSpaceDE w:val="0"/>
        <w:autoSpaceDN w:val="0"/>
        <w:spacing w:line="360" w:lineRule="auto"/>
        <w:ind w:firstLine="4560" w:firstLineChars="1900"/>
        <w:rPr>
          <w:rFonts w:ascii="仿宋_GB2312" w:hAnsi="仿宋_GB2312" w:eastAsia="仿宋_GB2312" w:cs="仿宋_GB2312"/>
          <w:color w:val="000000" w:themeColor="text1"/>
          <w:kern w:val="0"/>
          <w:sz w:val="24"/>
          <w:highlight w:val="none"/>
          <w14:textFill>
            <w14:solidFill>
              <w14:schemeClr w14:val="tx1"/>
            </w14:solidFill>
          </w14:textFill>
        </w:rPr>
      </w:pPr>
    </w:p>
    <w:p w14:paraId="50AEF6C4">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437BA94B">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09836FB8">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p>
    <w:p w14:paraId="276FA9F1">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14:textFill>
            <w14:solidFill>
              <w14:schemeClr w14:val="tx1"/>
            </w14:solidFill>
          </w14:textFill>
        </w:rPr>
      </w:pPr>
    </w:p>
    <w:p w14:paraId="7766E518">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十</w:t>
      </w:r>
      <w:r>
        <w:rPr>
          <w:rFonts w:hint="eastAsia" w:ascii="仿宋_GB2312" w:hAnsi="仿宋_GB2312" w:eastAsia="仿宋_GB2312" w:cs="仿宋_GB2312"/>
          <w:b/>
          <w:bCs/>
          <w:color w:val="000000" w:themeColor="text1"/>
          <w:kern w:val="0"/>
          <w:sz w:val="32"/>
          <w:szCs w:val="32"/>
          <w:highlight w:val="none"/>
          <w:lang w:val="zh-CN"/>
          <w14:textFill>
            <w14:solidFill>
              <w14:schemeClr w14:val="tx1"/>
            </w14:solidFill>
          </w14:textFill>
        </w:rPr>
        <w:t>、组织实施方案</w:t>
      </w:r>
    </w:p>
    <w:p w14:paraId="45FF5CA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24923A38">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附表:项目实施进度计划表</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917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9A74E75">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  工作日</w:t>
            </w:r>
          </w:p>
          <w:p w14:paraId="14A8CA52">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内容</w:t>
            </w:r>
          </w:p>
        </w:tc>
        <w:tc>
          <w:tcPr>
            <w:tcW w:w="552" w:type="dxa"/>
            <w:vAlign w:val="center"/>
          </w:tcPr>
          <w:p w14:paraId="41BA8B28">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552" w:type="dxa"/>
            <w:vAlign w:val="center"/>
          </w:tcPr>
          <w:p w14:paraId="74F3AF71">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552" w:type="dxa"/>
            <w:vAlign w:val="center"/>
          </w:tcPr>
          <w:p w14:paraId="7636BC17">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552" w:type="dxa"/>
            <w:vAlign w:val="center"/>
          </w:tcPr>
          <w:p w14:paraId="14837171">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552" w:type="dxa"/>
            <w:vAlign w:val="center"/>
          </w:tcPr>
          <w:p w14:paraId="68F2A233">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552" w:type="dxa"/>
            <w:vAlign w:val="center"/>
          </w:tcPr>
          <w:p w14:paraId="7CFECF07">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w:t>
            </w:r>
          </w:p>
        </w:tc>
        <w:tc>
          <w:tcPr>
            <w:tcW w:w="553" w:type="dxa"/>
            <w:vAlign w:val="center"/>
          </w:tcPr>
          <w:p w14:paraId="5D2EA457">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7</w:t>
            </w:r>
          </w:p>
        </w:tc>
        <w:tc>
          <w:tcPr>
            <w:tcW w:w="553" w:type="dxa"/>
            <w:vAlign w:val="center"/>
          </w:tcPr>
          <w:p w14:paraId="57494515">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w:t>
            </w:r>
          </w:p>
        </w:tc>
        <w:tc>
          <w:tcPr>
            <w:tcW w:w="553" w:type="dxa"/>
            <w:vAlign w:val="center"/>
          </w:tcPr>
          <w:p w14:paraId="1071B261">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9</w:t>
            </w:r>
          </w:p>
        </w:tc>
        <w:tc>
          <w:tcPr>
            <w:tcW w:w="553" w:type="dxa"/>
            <w:vAlign w:val="center"/>
          </w:tcPr>
          <w:p w14:paraId="4B0C0D97">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10</w:t>
            </w:r>
          </w:p>
        </w:tc>
        <w:tc>
          <w:tcPr>
            <w:tcW w:w="553" w:type="dxa"/>
            <w:vAlign w:val="center"/>
          </w:tcPr>
          <w:p w14:paraId="3E88EFE5">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11</w:t>
            </w:r>
          </w:p>
        </w:tc>
        <w:tc>
          <w:tcPr>
            <w:tcW w:w="553" w:type="dxa"/>
            <w:vAlign w:val="center"/>
          </w:tcPr>
          <w:p w14:paraId="1508D73A">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12</w:t>
            </w:r>
          </w:p>
        </w:tc>
        <w:tc>
          <w:tcPr>
            <w:tcW w:w="553" w:type="dxa"/>
            <w:vAlign w:val="center"/>
          </w:tcPr>
          <w:p w14:paraId="7219C51D">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13</w:t>
            </w:r>
          </w:p>
        </w:tc>
        <w:tc>
          <w:tcPr>
            <w:tcW w:w="553" w:type="dxa"/>
            <w:vAlign w:val="center"/>
          </w:tcPr>
          <w:p w14:paraId="76AD6650">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14</w:t>
            </w:r>
          </w:p>
        </w:tc>
        <w:tc>
          <w:tcPr>
            <w:tcW w:w="553" w:type="dxa"/>
            <w:vAlign w:val="center"/>
          </w:tcPr>
          <w:p w14:paraId="62F1B53F">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15</w:t>
            </w:r>
          </w:p>
        </w:tc>
        <w:tc>
          <w:tcPr>
            <w:tcW w:w="553" w:type="dxa"/>
            <w:vAlign w:val="center"/>
          </w:tcPr>
          <w:p w14:paraId="3C2A8A68">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w:t>
            </w:r>
          </w:p>
        </w:tc>
      </w:tr>
      <w:tr w14:paraId="76589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E0CB25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935278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9F8CE3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7B69AED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598C1B49">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443C007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B7D70D2">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4DAA8C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9286B9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636CE84">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90B72D4">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8E9F73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9BD342C">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41364BC">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B35DA93">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D34E98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984C8A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33D8A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9733D0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69EF4F29">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2764AAE0">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EBF302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47A7B43">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73E9E1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6866081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D1DF50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A9B5372">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4EE6560">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EAF9B3C">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447D0C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A3A71A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383EB0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145D71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FB87A4F">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3A0F6B2">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232BB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01B68D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3E2754D">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0E48F0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23D43B09">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8B79B9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0F245279">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64B0AD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7326A3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8E4F01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92BDC0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2B2401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E98D76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BD1A60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528E21D">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62E3840">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84AD0FC">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56C2FA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0CA88855">
      <w:pPr>
        <w:autoSpaceDE w:val="0"/>
        <w:autoSpaceDN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注：投标人可按上述时间表的格式自行编制切合实际的具体时间表。</w:t>
      </w:r>
    </w:p>
    <w:p w14:paraId="5DB7ECB7">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6817CAFD">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13FFECAB">
      <w:pPr>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p>
    <w:p w14:paraId="4F88C343">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27C944B3">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十一、售后服务方案</w:t>
      </w:r>
    </w:p>
    <w:p w14:paraId="4AA8F7F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27F11281">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附表A:售后服务机构情况表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1F8B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A343F10">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2160" w:type="dxa"/>
          </w:tcPr>
          <w:p w14:paraId="4E8FF689">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机构名称</w:t>
            </w:r>
          </w:p>
        </w:tc>
        <w:tc>
          <w:tcPr>
            <w:tcW w:w="1620" w:type="dxa"/>
          </w:tcPr>
          <w:p w14:paraId="2056D16B">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机构性质</w:t>
            </w:r>
          </w:p>
        </w:tc>
        <w:tc>
          <w:tcPr>
            <w:tcW w:w="1245" w:type="dxa"/>
          </w:tcPr>
          <w:p w14:paraId="3B1D2830">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注册地址</w:t>
            </w:r>
          </w:p>
        </w:tc>
        <w:tc>
          <w:tcPr>
            <w:tcW w:w="2175" w:type="dxa"/>
          </w:tcPr>
          <w:p w14:paraId="6F871849">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服务技术人员数量</w:t>
            </w:r>
          </w:p>
        </w:tc>
        <w:tc>
          <w:tcPr>
            <w:tcW w:w="1260" w:type="dxa"/>
          </w:tcPr>
          <w:p w14:paraId="6B6D8C1E">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联系电话</w:t>
            </w:r>
          </w:p>
        </w:tc>
      </w:tr>
      <w:tr w14:paraId="28465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50B896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1261494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2B2A14A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4103D8A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242CC72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658A886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3334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5E3FEC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7B8ACD3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59B7C48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0B993AB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468A1EB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49E6075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C478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E235D9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51466F0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6D70E9A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0334D85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3E9C14F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284C58B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0DAE985F">
      <w:pPr>
        <w:autoSpaceDE w:val="0"/>
        <w:autoSpaceDN w:val="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注：关于项目涉及的所有售后服务机构均在本表注明，包括投标人本单位和符合条件的第三方服务机构。</w:t>
      </w:r>
    </w:p>
    <w:p w14:paraId="5BD4FC89">
      <w:pPr>
        <w:autoSpaceDE w:val="0"/>
        <w:autoSpaceDN w:val="0"/>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附表B：售后服务人员情况表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F51D26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0E71934">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4ED0FC9">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5EC72C4">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975C105">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C59407D">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6B23291">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5A18262">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40EC59F">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929AD28">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8141CAB">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F1C5240">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到达现场时间</w:t>
            </w:r>
          </w:p>
        </w:tc>
      </w:tr>
      <w:tr w14:paraId="7D655ED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4EEBF66">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773B88FE">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5BD1A323">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2D2D84A8">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27991FD">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F72E54F">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238D945">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C553E1F">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03CB1525">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A6C25F2">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38B31373">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6D076D0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C0618DC">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12A9536A">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6EA2B761">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092DED0E">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644E1109">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3A1B0C0">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0087710">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35A0236">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087E669B">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C44792D">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1B5797E9">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447525E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50D5901">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23EA78DB">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ascii="仿宋_GB2312" w:hAnsi="仿宋_GB2312" w:eastAsia="仿宋_GB2312" w:cs="仿宋_GB2312"/>
                <w:color w:val="000000" w:themeColor="text1"/>
                <w:sz w:val="24"/>
                <w:highlight w:val="none"/>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14:paraId="6BD75E9A">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75B0FF83">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30A5DEF">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0ED93A9">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320E0FF">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F09485D">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28B9DCF0">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32301B0">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58416CAE">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bl>
    <w:p w14:paraId="478BEEED">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62504291">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367849F6">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58D667BE">
      <w:pPr>
        <w:spacing w:line="360" w:lineRule="auto"/>
        <w:rPr>
          <w:rFonts w:ascii="仿宋_GB2312" w:hAnsi="仿宋_GB2312" w:eastAsia="仿宋_GB2312" w:cs="仿宋_GB2312"/>
          <w:b/>
          <w:color w:val="000000" w:themeColor="text1"/>
          <w:sz w:val="30"/>
          <w:szCs w:val="30"/>
          <w:highlight w:val="none"/>
          <w14:textFill>
            <w14:solidFill>
              <w14:schemeClr w14:val="tx1"/>
            </w14:solidFill>
          </w14:textFill>
        </w:rPr>
      </w:pPr>
    </w:p>
    <w:p w14:paraId="47F2D9A1">
      <w:pPr>
        <w:pStyle w:val="80"/>
        <w:rPr>
          <w:color w:val="000000" w:themeColor="text1"/>
          <w:highlight w:val="none"/>
          <w14:textFill>
            <w14:solidFill>
              <w14:schemeClr w14:val="tx1"/>
            </w14:solidFill>
          </w14:textFill>
        </w:rPr>
      </w:pPr>
    </w:p>
    <w:p w14:paraId="44B2A726">
      <w:pPr>
        <w:spacing w:line="360" w:lineRule="auto"/>
        <w:jc w:val="center"/>
        <w:rPr>
          <w:rFonts w:ascii="仿宋_GB2312" w:hAnsi="仿宋_GB2312" w:eastAsia="仿宋_GB2312" w:cs="仿宋_GB2312"/>
          <w:b/>
          <w:color w:val="000000" w:themeColor="text1"/>
          <w:sz w:val="30"/>
          <w:szCs w:val="30"/>
          <w:highlight w:val="none"/>
          <w14:textFill>
            <w14:solidFill>
              <w14:schemeClr w14:val="tx1"/>
            </w14:solidFill>
          </w14:textFill>
        </w:rPr>
      </w:pPr>
      <w:r>
        <w:rPr>
          <w:rFonts w:hint="eastAsia" w:ascii="仿宋_GB2312" w:hAnsi="仿宋_GB2312" w:eastAsia="仿宋_GB2312" w:cs="仿宋_GB2312"/>
          <w:b/>
          <w:color w:val="000000" w:themeColor="text1"/>
          <w:sz w:val="30"/>
          <w:szCs w:val="30"/>
          <w:highlight w:val="none"/>
          <w14:textFill>
            <w14:solidFill>
              <w14:schemeClr w14:val="tx1"/>
            </w14:solidFill>
          </w14:textFill>
        </w:rPr>
        <w:t>十二、投标人售后服务能力证明材料</w:t>
      </w:r>
    </w:p>
    <w:p w14:paraId="63C90883">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（由投标人根据采购需求及磋商文件要求编制）</w:t>
      </w:r>
    </w:p>
    <w:p w14:paraId="69025E18">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p>
    <w:p w14:paraId="486B822F">
      <w:pPr>
        <w:pStyle w:val="80"/>
        <w:rPr>
          <w:color w:val="000000" w:themeColor="text1"/>
          <w:highlight w:val="none"/>
          <w14:textFill>
            <w14:solidFill>
              <w14:schemeClr w14:val="tx1"/>
            </w14:solidFill>
          </w14:textFill>
        </w:rPr>
      </w:pPr>
    </w:p>
    <w:p w14:paraId="387A1C2D">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606875AC">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3A9BC9FF">
      <w:pPr>
        <w:pStyle w:val="80"/>
        <w:rPr>
          <w:color w:val="000000" w:themeColor="text1"/>
          <w:highlight w:val="none"/>
          <w14:textFill>
            <w14:solidFill>
              <w14:schemeClr w14:val="tx1"/>
            </w14:solidFill>
          </w14:textFill>
        </w:rPr>
      </w:pPr>
    </w:p>
    <w:p w14:paraId="04BCD809">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十三、项目小组人员名单</w:t>
      </w:r>
    </w:p>
    <w:p w14:paraId="2FCDA17F">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295E5FBA">
      <w:pPr>
        <w:keepNext/>
        <w:autoSpaceDE w:val="0"/>
        <w:autoSpaceDN w:val="0"/>
        <w:spacing w:line="360" w:lineRule="auto"/>
        <w:ind w:firstLine="477"/>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40E070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C22609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181288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CA6CCC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E96D695">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截止投标时间近3年业绩及承担的主要工作情况，曾担任项目经理的项目应列明细</w:t>
            </w:r>
          </w:p>
        </w:tc>
      </w:tr>
      <w:tr w14:paraId="02F1D01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715B6C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3DE21A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D68779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DDCD54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50840FD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B3FB9B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D6C667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ED0479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A6ABD1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04B71B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567D83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6ECBF3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7C6D915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34D1BC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4A589E9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7AD7F6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99F334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17B4C8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45CF8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4E1C423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D8897B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4550E6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481E50B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4466BB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46425E59">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23D3B0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DAF7FA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323E8C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B8ABB5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7C4E1230">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B6C9F2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42810F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D58F82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761F7B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3834FE8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1A4D38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AEE1E2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371C530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E8AEF2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4B39EEE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2F17AE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D93EE6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212FE8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0A90E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26EF587D">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28146FFB">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附表B:本项目的项目小组人员情况表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277E3CD">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4C143E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2768C4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4C0C19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E61A6A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7A4CE5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p w14:paraId="513BB4A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8CACB9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p w14:paraId="63CCEEC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B83FB6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p w14:paraId="3908497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17BF1B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F170F3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D233C8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参与本项目的到位情况</w:t>
            </w:r>
          </w:p>
        </w:tc>
      </w:tr>
      <w:tr w14:paraId="338B389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9A9629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11F4D05E">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70CABBA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77C2C4DE">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2BBBC421">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EADDAA3">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AB2834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2A46CA1E">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A15D035">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0B902A9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3704C073">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62D1B2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4680445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A051E6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482E07D7">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3E46D9BF">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5DCE0AD">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C0B271E">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01883ED3">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1CD1183">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36EB2DC5">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4308FEB3">
      <w:pPr>
        <w:spacing w:line="360" w:lineRule="auto"/>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注：投标人可按上述的格式自行编制，须随表提交相应的证书复印件并注明所在投标技术文件页码。</w:t>
      </w:r>
    </w:p>
    <w:p w14:paraId="328A8133">
      <w:pPr>
        <w:spacing w:line="360" w:lineRule="auto"/>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附表C:本项目的项目负责人和小组人员社会保障资金记录情况表</w:t>
      </w:r>
      <w:r>
        <w:rPr>
          <w:rFonts w:hint="eastAsia" w:ascii="仿宋_GB2312" w:hAnsi="仿宋_GB2312" w:eastAsia="仿宋_GB2312" w:cs="仿宋_GB2312"/>
          <w:color w:val="000000" w:themeColor="text1"/>
          <w:sz w:val="24"/>
          <w:highlight w:val="none"/>
          <w14:textFill>
            <w14:solidFill>
              <w14:schemeClr w14:val="tx1"/>
            </w14:solidFill>
          </w14:textFill>
        </w:rPr>
        <w:t>（以社保部门出具缴纳凭证作附件）</w:t>
      </w:r>
    </w:p>
    <w:p w14:paraId="4A31F650">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4D7BF9F6">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投标人名称（电子签名）：</w:t>
      </w:r>
    </w:p>
    <w:p w14:paraId="281203DE">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2EE24E81">
      <w:pPr>
        <w:snapToGrid w:val="0"/>
        <w:spacing w:line="360" w:lineRule="auto"/>
        <w:ind w:firstLine="6907" w:firstLineChars="2150"/>
        <w:rPr>
          <w:rFonts w:ascii="仿宋_GB2312" w:hAnsi="仿宋_GB2312" w:eastAsia="仿宋_GB2312" w:cs="仿宋_GB2312"/>
          <w:b/>
          <w:bCs/>
          <w:color w:val="000000" w:themeColor="text1"/>
          <w:sz w:val="32"/>
          <w:szCs w:val="32"/>
          <w:highlight w:val="none"/>
          <w14:textFill>
            <w14:solidFill>
              <w14:schemeClr w14:val="tx1"/>
            </w14:solidFill>
          </w14:textFill>
        </w:rPr>
      </w:pPr>
    </w:p>
    <w:p w14:paraId="2DC00321">
      <w:pPr>
        <w:snapToGrid w:val="0"/>
        <w:spacing w:line="360" w:lineRule="auto"/>
        <w:ind w:right="960"/>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6E0490C7">
      <w:pPr>
        <w:snapToGrid w:val="0"/>
        <w:spacing w:line="360" w:lineRule="auto"/>
        <w:ind w:right="960"/>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十四、</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优惠条件及特殊承诺</w:t>
      </w:r>
    </w:p>
    <w:p w14:paraId="13505F80">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14:paraId="63DEB2FE">
      <w:pPr>
        <w:spacing w:line="360" w:lineRule="auto"/>
        <w:rPr>
          <w:rFonts w:ascii="仿宋_GB2312" w:hAnsi="仿宋_GB2312" w:eastAsia="仿宋_GB2312" w:cs="仿宋_GB2312"/>
          <w:color w:val="000000" w:themeColor="text1"/>
          <w:sz w:val="18"/>
          <w:szCs w:val="18"/>
          <w:highlight w:val="none"/>
          <w14:textFill>
            <w14:solidFill>
              <w14:schemeClr w14:val="tx1"/>
            </w14:solidFill>
          </w14:textFill>
        </w:rPr>
      </w:pPr>
    </w:p>
    <w:p w14:paraId="01170057">
      <w:pPr>
        <w:pStyle w:val="80"/>
        <w:rPr>
          <w:color w:val="000000" w:themeColor="text1"/>
          <w:highlight w:val="none"/>
          <w14:textFill>
            <w14:solidFill>
              <w14:schemeClr w14:val="tx1"/>
            </w14:solidFill>
          </w14:textFill>
        </w:rPr>
      </w:pPr>
    </w:p>
    <w:p w14:paraId="7DBC8F5C">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5A4219C1">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55AE625D">
      <w:pPr>
        <w:spacing w:line="360" w:lineRule="auto"/>
        <w:rPr>
          <w:rFonts w:ascii="仿宋_GB2312" w:hAnsi="仿宋_GB2312" w:eastAsia="仿宋_GB2312" w:cs="仿宋_GB2312"/>
          <w:b/>
          <w:bCs/>
          <w:color w:val="000000" w:themeColor="text1"/>
          <w:sz w:val="18"/>
          <w:szCs w:val="18"/>
          <w:highlight w:val="none"/>
          <w14:textFill>
            <w14:solidFill>
              <w14:schemeClr w14:val="tx1"/>
            </w14:solidFill>
          </w14:textFill>
        </w:rPr>
      </w:pPr>
    </w:p>
    <w:p w14:paraId="20D101BB">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6BA8769F">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378F652A">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64C7C5F3">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十五、</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备品备件及供选择的配套零部件清单</w:t>
      </w:r>
    </w:p>
    <w:p w14:paraId="3D2C5AD6">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14:paraId="5A805D32">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189D823D">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15229483">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31FCE659">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283E8010">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21EC107B">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7C3F4309">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08F6E34D">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45F46FEE">
      <w:pPr>
        <w:pageBreakBefore/>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十六、</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培训计划</w:t>
      </w:r>
    </w:p>
    <w:p w14:paraId="69786146">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14:paraId="593016A9">
      <w:pPr>
        <w:keepNext/>
        <w:autoSpaceDE w:val="0"/>
        <w:autoSpaceDN w:val="0"/>
        <w:spacing w:line="360" w:lineRule="auto"/>
        <w:ind w:firstLine="477"/>
        <w:jc w:val="lef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891B7D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815B571">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BDE6237">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15062E7B">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409AB517">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40E3B0B0">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7656D1AD">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48B6275">
            <w:pPr>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课程费用</w:t>
            </w:r>
          </w:p>
        </w:tc>
      </w:tr>
      <w:tr w14:paraId="7F37DB57">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202D8F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0A3FA12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tcPr>
          <w:p w14:paraId="567E2D2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tcPr>
          <w:p w14:paraId="7F220AC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tcPr>
          <w:p w14:paraId="436097B0">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tcPr>
          <w:p w14:paraId="58631D3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46A3198F">
            <w:pPr>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31E3C3C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03EFE0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67388A2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2DB3630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4B2B294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21B21CAB">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730756B7">
            <w:pPr>
              <w:tabs>
                <w:tab w:val="left" w:pos="7"/>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0901B0FD">
            <w:pPr>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432D88E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注解:A</w:t>
      </w:r>
      <w:r>
        <w:rPr>
          <w:rFonts w:hint="eastAsia" w:ascii="仿宋_GB2312" w:hAnsi="仿宋_GB2312" w:eastAsia="仿宋_GB2312" w:cs="仿宋_GB2312"/>
          <w:color w:val="000000" w:themeColor="text1"/>
          <w:sz w:val="24"/>
          <w:highlight w:val="none"/>
          <w14:textFill>
            <w14:solidFill>
              <w14:schemeClr w14:val="tx1"/>
            </w14:solidFill>
          </w14:textFill>
        </w:rPr>
        <w:tab/>
      </w:r>
      <w:r>
        <w:rPr>
          <w:rFonts w:hint="eastAsia" w:ascii="仿宋_GB2312" w:hAnsi="仿宋_GB2312" w:eastAsia="仿宋_GB2312" w:cs="仿宋_GB2312"/>
          <w:color w:val="000000" w:themeColor="text1"/>
          <w:sz w:val="24"/>
          <w:highlight w:val="none"/>
          <w14:textFill>
            <w14:solidFill>
              <w14:schemeClr w14:val="tx1"/>
            </w14:solidFill>
          </w14:textFill>
        </w:rPr>
        <w:t>课程清单按时间顺序排列，并提供以下详细资料：</w:t>
      </w:r>
    </w:p>
    <w:p w14:paraId="7A24E858">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课程概要</w:t>
      </w:r>
    </w:p>
    <w:p w14:paraId="6B5F27C5">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课程目的</w:t>
      </w:r>
    </w:p>
    <w:p w14:paraId="4F7DD84C">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教学方式</w:t>
      </w:r>
    </w:p>
    <w:p w14:paraId="6380385C">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先决条件</w:t>
      </w:r>
    </w:p>
    <w:p w14:paraId="74FD40B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教材目录</w:t>
      </w:r>
    </w:p>
    <w:p w14:paraId="35209348">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B  按照附表A提供授课教师的简历</w:t>
      </w:r>
    </w:p>
    <w:p w14:paraId="4FB2B18C">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6A976CFC">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3D100F1F">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26E94469">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06F81049">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十七、验收方案</w:t>
      </w:r>
    </w:p>
    <w:p w14:paraId="55012BE2">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14:paraId="20E86079">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14:paraId="6B697D68">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070BAAC1">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4BE15F0B">
      <w:pPr>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14:paraId="3288A699">
      <w:pPr>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14:paraId="197DE6EE">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14:paraId="6FE02501">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14:paraId="23DA664A">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十八、认为需要的</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其他商务技术文件或说明</w:t>
      </w:r>
    </w:p>
    <w:p w14:paraId="209C0E7D">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14:paraId="3FF473A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p w14:paraId="58E9F5A1">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468BCB6F">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3777053A">
      <w:pPr>
        <w:pStyle w:val="81"/>
        <w:rPr>
          <w:color w:val="000000" w:themeColor="text1"/>
          <w:highlight w:val="none"/>
          <w14:textFill>
            <w14:solidFill>
              <w14:schemeClr w14:val="tx1"/>
            </w14:solidFill>
          </w14:textFill>
        </w:rPr>
        <w:sectPr>
          <w:headerReference r:id="rId10" w:type="first"/>
          <w:footerReference r:id="rId12" w:type="first"/>
          <w:headerReference r:id="rId9" w:type="default"/>
          <w:footerReference r:id="rId11" w:type="default"/>
          <w:pgSz w:w="11906" w:h="16838"/>
          <w:pgMar w:top="1276" w:right="1418" w:bottom="1247" w:left="1418" w:header="851" w:footer="992" w:gutter="0"/>
          <w:cols w:space="720" w:num="1"/>
          <w:titlePg/>
          <w:docGrid w:linePitch="312" w:charSpace="0"/>
        </w:sectPr>
      </w:pPr>
    </w:p>
    <w:p w14:paraId="179203A6">
      <w:pPr>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报价文件部分</w:t>
      </w:r>
    </w:p>
    <w:p w14:paraId="53B9229F">
      <w:pPr>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2308013E">
      <w:pPr>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p>
    <w:p w14:paraId="63FBF7DE">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（1）开标一览表（报价表）………………………………………………………（页码）</w:t>
      </w:r>
    </w:p>
    <w:p w14:paraId="04650C8B">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（2）中小企业声明函………………………………………………………………（页码）</w:t>
      </w:r>
    </w:p>
    <w:p w14:paraId="2779E49D">
      <w:pPr>
        <w:pStyle w:val="3"/>
        <w:snapToGrid w:val="0"/>
        <w:rPr>
          <w:rFonts w:ascii="仿宋" w:hAnsi="仿宋" w:eastAsia="仿宋" w:cs="仿宋"/>
          <w:color w:val="000000" w:themeColor="text1"/>
          <w:highlight w:val="none"/>
          <w14:textFill>
            <w14:solidFill>
              <w14:schemeClr w14:val="tx1"/>
            </w14:solidFill>
          </w14:textFill>
        </w:rPr>
      </w:pPr>
      <w:r>
        <w:rPr>
          <w:rFonts w:ascii="仿宋" w:hAnsi="仿宋" w:eastAsia="仿宋" w:cs="仿宋"/>
          <w:color w:val="000000" w:themeColor="text1"/>
          <w:szCs w:val="24"/>
          <w:highlight w:val="none"/>
          <w:lang w:val="en-US"/>
          <w14:textFill>
            <w14:solidFill>
              <w14:schemeClr w14:val="tx1"/>
            </w14:solidFill>
          </w14:textFill>
        </w:rPr>
        <w:t>（3）残疾人福利性单位声明函……………………………………………………（页码）</w:t>
      </w:r>
    </w:p>
    <w:p w14:paraId="7496F7BF">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72314DC8">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1F4F86B8">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770288EA">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6E6BF0E6">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5C5E4877">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23A072D2">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779DB860">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6772B793">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485B7BE0">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64A2E9BF">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24C201E4">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3A7C62C5">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2D3321B2">
      <w:pPr>
        <w:snapToGrid w:val="0"/>
        <w:spacing w:line="360" w:lineRule="auto"/>
        <w:ind w:right="480"/>
        <w:rPr>
          <w:rFonts w:ascii="仿宋" w:hAnsi="仿宋" w:eastAsia="仿宋" w:cs="仿宋"/>
          <w:b/>
          <w:color w:val="000000" w:themeColor="text1"/>
          <w:kern w:val="0"/>
          <w:sz w:val="32"/>
          <w:szCs w:val="32"/>
          <w:highlight w:val="none"/>
          <w14:textFill>
            <w14:solidFill>
              <w14:schemeClr w14:val="tx1"/>
            </w14:solidFill>
          </w14:textFill>
        </w:rPr>
      </w:pPr>
    </w:p>
    <w:p w14:paraId="110B5D4C">
      <w:pPr>
        <w:pStyle w:val="692"/>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highlight w:val="none"/>
          <w14:textFill>
            <w14:solidFill>
              <w14:schemeClr w14:val="tx1"/>
            </w14:solidFill>
          </w14:textFill>
        </w:rPr>
        <w:sectPr>
          <w:headerReference r:id="rId14" w:type="first"/>
          <w:footerReference r:id="rId16" w:type="first"/>
          <w:headerReference r:id="rId13" w:type="default"/>
          <w:footerReference r:id="rId15" w:type="default"/>
          <w:pgSz w:w="11906" w:h="16838"/>
          <w:pgMar w:top="1276" w:right="1418" w:bottom="1247" w:left="1418" w:header="851" w:footer="992" w:gutter="0"/>
          <w:cols w:space="720" w:num="1"/>
          <w:titlePg/>
          <w:docGrid w:linePitch="312" w:charSpace="0"/>
        </w:sectPr>
      </w:pPr>
    </w:p>
    <w:p w14:paraId="1BAA06BD">
      <w:pPr>
        <w:pStyle w:val="692"/>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一、开标一览表（报价表）</w:t>
      </w:r>
    </w:p>
    <w:p w14:paraId="7BC7CC00">
      <w:pPr>
        <w:snapToGrid w:val="0"/>
        <w:spacing w:line="360" w:lineRule="auto"/>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4A9471BF">
      <w:pPr>
        <w:snapToGrid w:val="0"/>
        <w:spacing w:line="360" w:lineRule="auto"/>
        <w:ind w:firstLine="482"/>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kern w:val="0"/>
          <w:sz w:val="24"/>
          <w:highlight w:val="none"/>
          <w:lang w:val="zh-CN"/>
          <w14:textFill>
            <w14:solidFill>
              <w14:schemeClr w14:val="tx1"/>
            </w14:solidFill>
          </w14:textFill>
        </w:rPr>
        <w:t>【招标编号：</w:t>
      </w:r>
      <w:r>
        <w:rPr>
          <w:rFonts w:hint="eastAsia" w:ascii="仿宋" w:hAnsi="仿宋" w:eastAsia="仿宋" w:cs="仿宋"/>
          <w:color w:val="000000" w:themeColor="text1"/>
          <w:sz w:val="24"/>
          <w:highlight w:val="none"/>
          <w14:textFill>
            <w14:solidFill>
              <w14:schemeClr w14:val="tx1"/>
            </w14:solidFill>
          </w14:textFill>
        </w:rPr>
        <w:t>（采购编号）】的实施</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7F439732">
      <w:pPr>
        <w:spacing w:line="360" w:lineRule="auto"/>
        <w:jc w:val="center"/>
        <w:rPr>
          <w:rFonts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开标一览表（报价表）(单位均为人民币元)</w:t>
      </w:r>
    </w:p>
    <w:tbl>
      <w:tblPr>
        <w:tblStyle w:val="62"/>
        <w:tblW w:w="14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6A1F1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85" w:type="dxa"/>
            <w:vAlign w:val="center"/>
          </w:tcPr>
          <w:p w14:paraId="102A6A61">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834" w:type="dxa"/>
            <w:vAlign w:val="center"/>
          </w:tcPr>
          <w:p w14:paraId="6CF44E3F">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名称</w:t>
            </w:r>
          </w:p>
        </w:tc>
        <w:tc>
          <w:tcPr>
            <w:tcW w:w="1909" w:type="dxa"/>
          </w:tcPr>
          <w:p w14:paraId="4CAC4CBF">
            <w:pPr>
              <w:spacing w:line="360" w:lineRule="auto"/>
              <w:jc w:val="center"/>
              <w:rPr>
                <w:rFonts w:ascii="仿宋" w:hAnsi="仿宋" w:eastAsia="仿宋" w:cs="仿宋"/>
                <w:b/>
                <w:color w:val="000000" w:themeColor="text1"/>
                <w:sz w:val="24"/>
                <w:highlight w:val="none"/>
                <w14:textFill>
                  <w14:solidFill>
                    <w14:schemeClr w14:val="tx1"/>
                  </w14:solidFill>
                </w14:textFill>
              </w:rPr>
            </w:pPr>
          </w:p>
          <w:p w14:paraId="11539702">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服务范围</w:t>
            </w:r>
          </w:p>
        </w:tc>
        <w:tc>
          <w:tcPr>
            <w:tcW w:w="2031" w:type="dxa"/>
            <w:vAlign w:val="center"/>
          </w:tcPr>
          <w:p w14:paraId="255FFB5E">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服务要求</w:t>
            </w:r>
          </w:p>
        </w:tc>
        <w:tc>
          <w:tcPr>
            <w:tcW w:w="1909" w:type="dxa"/>
            <w:vAlign w:val="center"/>
          </w:tcPr>
          <w:p w14:paraId="4864A6C4">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服务时间</w:t>
            </w:r>
          </w:p>
        </w:tc>
        <w:tc>
          <w:tcPr>
            <w:tcW w:w="1787" w:type="dxa"/>
            <w:vAlign w:val="center"/>
          </w:tcPr>
          <w:p w14:paraId="007DACED">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服务标准</w:t>
            </w:r>
          </w:p>
        </w:tc>
        <w:tc>
          <w:tcPr>
            <w:tcW w:w="1790" w:type="dxa"/>
          </w:tcPr>
          <w:p w14:paraId="370428F9">
            <w:pPr>
              <w:spacing w:line="360" w:lineRule="auto"/>
              <w:jc w:val="center"/>
              <w:rPr>
                <w:rFonts w:ascii="仿宋" w:hAnsi="仿宋" w:eastAsia="仿宋" w:cs="仿宋"/>
                <w:b/>
                <w:color w:val="000000" w:themeColor="text1"/>
                <w:sz w:val="24"/>
                <w:highlight w:val="none"/>
                <w14:textFill>
                  <w14:solidFill>
                    <w14:schemeClr w14:val="tx1"/>
                  </w14:solidFill>
                </w14:textFill>
              </w:rPr>
            </w:pPr>
          </w:p>
          <w:p w14:paraId="5E60F18A">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服务人数</w:t>
            </w:r>
          </w:p>
        </w:tc>
        <w:tc>
          <w:tcPr>
            <w:tcW w:w="1790" w:type="dxa"/>
            <w:vAlign w:val="center"/>
          </w:tcPr>
          <w:p w14:paraId="54DF3893">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服务单价</w:t>
            </w:r>
          </w:p>
        </w:tc>
        <w:tc>
          <w:tcPr>
            <w:tcW w:w="1787" w:type="dxa"/>
            <w:vAlign w:val="center"/>
          </w:tcPr>
          <w:p w14:paraId="089E5BE1">
            <w:pPr>
              <w:spacing w:line="360" w:lineRule="auto"/>
              <w:jc w:val="center"/>
              <w:rPr>
                <w:rFonts w:ascii="仿宋" w:hAnsi="仿宋" w:eastAsia="仿宋" w:cs="仿宋"/>
                <w:b/>
                <w:color w:val="000000" w:themeColor="text1"/>
                <w:sz w:val="24"/>
                <w:highlight w:val="none"/>
                <w14:textFill>
                  <w14:solidFill>
                    <w14:schemeClr w14:val="tx1"/>
                  </w14:solidFill>
                </w14:textFill>
              </w:rPr>
            </w:pPr>
          </w:p>
          <w:p w14:paraId="25F4B6D5">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备注（如有）</w:t>
            </w:r>
          </w:p>
          <w:p w14:paraId="451A6528">
            <w:pPr>
              <w:spacing w:line="360" w:lineRule="auto"/>
              <w:jc w:val="center"/>
              <w:rPr>
                <w:rFonts w:ascii="仿宋" w:hAnsi="仿宋" w:eastAsia="仿宋" w:cs="仿宋"/>
                <w:b/>
                <w:color w:val="000000" w:themeColor="text1"/>
                <w:sz w:val="24"/>
                <w:highlight w:val="none"/>
                <w14:textFill>
                  <w14:solidFill>
                    <w14:schemeClr w14:val="tx1"/>
                  </w14:solidFill>
                </w14:textFill>
              </w:rPr>
            </w:pPr>
          </w:p>
        </w:tc>
      </w:tr>
      <w:tr w14:paraId="5256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85" w:type="dxa"/>
            <w:vAlign w:val="center"/>
          </w:tcPr>
          <w:p w14:paraId="114D7431">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834" w:type="dxa"/>
            <w:vAlign w:val="center"/>
          </w:tcPr>
          <w:p w14:paraId="170F0C8E">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1909" w:type="dxa"/>
            <w:vAlign w:val="center"/>
          </w:tcPr>
          <w:p w14:paraId="2BFB32DA">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031" w:type="dxa"/>
            <w:vAlign w:val="center"/>
          </w:tcPr>
          <w:p w14:paraId="2A6C7E19">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909" w:type="dxa"/>
            <w:vAlign w:val="center"/>
          </w:tcPr>
          <w:p w14:paraId="06D26E60">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787" w:type="dxa"/>
            <w:vAlign w:val="center"/>
          </w:tcPr>
          <w:p w14:paraId="599EFDB4">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790" w:type="dxa"/>
          </w:tcPr>
          <w:p w14:paraId="6F5E0D94">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790" w:type="dxa"/>
            <w:vAlign w:val="center"/>
          </w:tcPr>
          <w:p w14:paraId="2809AAD2">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787" w:type="dxa"/>
            <w:vAlign w:val="center"/>
          </w:tcPr>
          <w:p w14:paraId="3BBDF524">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14:paraId="692E5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2C64DE68">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834" w:type="dxa"/>
            <w:vAlign w:val="center"/>
          </w:tcPr>
          <w:p w14:paraId="52FD184D">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1909" w:type="dxa"/>
            <w:vAlign w:val="center"/>
          </w:tcPr>
          <w:p w14:paraId="48BB4DAF">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031" w:type="dxa"/>
            <w:vAlign w:val="center"/>
          </w:tcPr>
          <w:p w14:paraId="47CD8F29">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909" w:type="dxa"/>
            <w:vAlign w:val="center"/>
          </w:tcPr>
          <w:p w14:paraId="5A8CC7D1">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787" w:type="dxa"/>
            <w:vAlign w:val="center"/>
          </w:tcPr>
          <w:p w14:paraId="6E9794A2">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790" w:type="dxa"/>
          </w:tcPr>
          <w:p w14:paraId="30CD4232">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790" w:type="dxa"/>
            <w:vAlign w:val="center"/>
          </w:tcPr>
          <w:p w14:paraId="396CB3DF">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787" w:type="dxa"/>
            <w:vAlign w:val="center"/>
          </w:tcPr>
          <w:p w14:paraId="0A92B6E4">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14:paraId="3AD0B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3BA729A1">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tc>
        <w:tc>
          <w:tcPr>
            <w:tcW w:w="834" w:type="dxa"/>
            <w:vAlign w:val="center"/>
          </w:tcPr>
          <w:p w14:paraId="1F1AB331">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909" w:type="dxa"/>
            <w:vAlign w:val="center"/>
          </w:tcPr>
          <w:p w14:paraId="19F420E8">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031" w:type="dxa"/>
            <w:vAlign w:val="center"/>
          </w:tcPr>
          <w:p w14:paraId="20612EA8">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909" w:type="dxa"/>
            <w:vAlign w:val="center"/>
          </w:tcPr>
          <w:p w14:paraId="74A7670F">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787" w:type="dxa"/>
            <w:vAlign w:val="center"/>
          </w:tcPr>
          <w:p w14:paraId="2DDFA811">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790" w:type="dxa"/>
          </w:tcPr>
          <w:p w14:paraId="0C0A3A5F">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790" w:type="dxa"/>
            <w:vAlign w:val="center"/>
          </w:tcPr>
          <w:p w14:paraId="3DAEC3EC">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787" w:type="dxa"/>
            <w:vAlign w:val="center"/>
          </w:tcPr>
          <w:p w14:paraId="20215272">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14:paraId="7225A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38AD0F47">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834" w:type="dxa"/>
            <w:vAlign w:val="center"/>
          </w:tcPr>
          <w:p w14:paraId="759E0C21">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909" w:type="dxa"/>
            <w:vAlign w:val="center"/>
          </w:tcPr>
          <w:p w14:paraId="15F0A991">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031" w:type="dxa"/>
            <w:vAlign w:val="center"/>
          </w:tcPr>
          <w:p w14:paraId="3D3E7458">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909" w:type="dxa"/>
            <w:vAlign w:val="center"/>
          </w:tcPr>
          <w:p w14:paraId="0B1E0B60">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787" w:type="dxa"/>
            <w:vAlign w:val="center"/>
          </w:tcPr>
          <w:p w14:paraId="0601766A">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790" w:type="dxa"/>
          </w:tcPr>
          <w:p w14:paraId="0595BEA2">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790" w:type="dxa"/>
            <w:vAlign w:val="center"/>
          </w:tcPr>
          <w:p w14:paraId="1FE6A63F">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787" w:type="dxa"/>
            <w:vAlign w:val="center"/>
          </w:tcPr>
          <w:p w14:paraId="578584CE">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14:paraId="251CF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561C9DCE">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834" w:type="dxa"/>
            <w:vAlign w:val="center"/>
          </w:tcPr>
          <w:p w14:paraId="24AD0550">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909" w:type="dxa"/>
            <w:vAlign w:val="center"/>
          </w:tcPr>
          <w:p w14:paraId="669232C6">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031" w:type="dxa"/>
            <w:vAlign w:val="center"/>
          </w:tcPr>
          <w:p w14:paraId="3A4130E4">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909" w:type="dxa"/>
            <w:vAlign w:val="center"/>
          </w:tcPr>
          <w:p w14:paraId="03066345">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787" w:type="dxa"/>
            <w:vAlign w:val="center"/>
          </w:tcPr>
          <w:p w14:paraId="2324BB05">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790" w:type="dxa"/>
          </w:tcPr>
          <w:p w14:paraId="43585E8A">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790" w:type="dxa"/>
            <w:vAlign w:val="center"/>
          </w:tcPr>
          <w:p w14:paraId="79833018">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787" w:type="dxa"/>
            <w:vAlign w:val="center"/>
          </w:tcPr>
          <w:p w14:paraId="619E4107">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14:paraId="1B679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459" w:type="dxa"/>
            <w:gridSpan w:val="4"/>
            <w:vAlign w:val="center"/>
          </w:tcPr>
          <w:p w14:paraId="1F0D857B">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投标报价（小写）</w:t>
            </w:r>
          </w:p>
        </w:tc>
        <w:tc>
          <w:tcPr>
            <w:tcW w:w="7276" w:type="dxa"/>
            <w:gridSpan w:val="4"/>
          </w:tcPr>
          <w:p w14:paraId="31C3AF4D">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787" w:type="dxa"/>
          </w:tcPr>
          <w:p w14:paraId="74B59B08">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14:paraId="0FE29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459" w:type="dxa"/>
            <w:gridSpan w:val="4"/>
            <w:vAlign w:val="center"/>
          </w:tcPr>
          <w:p w14:paraId="2D4F8DDC">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投标报价（大写）</w:t>
            </w:r>
          </w:p>
        </w:tc>
        <w:tc>
          <w:tcPr>
            <w:tcW w:w="7276" w:type="dxa"/>
            <w:gridSpan w:val="4"/>
          </w:tcPr>
          <w:p w14:paraId="40BA06B9">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787" w:type="dxa"/>
          </w:tcPr>
          <w:p w14:paraId="745ACC44">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bl>
    <w:p w14:paraId="14B40810">
      <w:pPr>
        <w:snapToGrid w:val="0"/>
        <w:spacing w:line="360" w:lineRule="auto"/>
        <w:ind w:left="480"/>
        <w:rPr>
          <w:rFonts w:ascii="仿宋" w:hAnsi="仿宋" w:eastAsia="仿宋" w:cs="仿宋"/>
          <w:b/>
          <w:color w:val="000000" w:themeColor="text1"/>
          <w:kern w:val="0"/>
          <w:sz w:val="24"/>
          <w:highlight w:val="none"/>
          <w:lang w:val="zh-CN"/>
          <w14:textFill>
            <w14:solidFill>
              <w14:schemeClr w14:val="tx1"/>
            </w14:solidFill>
          </w14:textFill>
        </w:rPr>
      </w:pPr>
    </w:p>
    <w:p w14:paraId="46815235">
      <w:pPr>
        <w:snapToGrid w:val="0"/>
        <w:spacing w:line="360" w:lineRule="auto"/>
        <w:ind w:left="480" w:firstLine="9120" w:firstLineChars="3800"/>
        <w:rPr>
          <w:rFonts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投标人名称（电子签名）</w:t>
      </w:r>
      <w:r>
        <w:rPr>
          <w:rFonts w:ascii="仿宋" w:hAnsi="仿宋" w:eastAsia="仿宋" w:cs="仿宋"/>
          <w:color w:val="000000" w:themeColor="text1"/>
          <w:sz w:val="24"/>
          <w:highlight w:val="none"/>
          <w14:textFill>
            <w14:solidFill>
              <w14:schemeClr w14:val="tx1"/>
            </w14:solidFill>
          </w14:textFill>
        </w:rPr>
        <w:t>:</w:t>
      </w:r>
    </w:p>
    <w:p w14:paraId="4D9123E4">
      <w:pPr>
        <w:snapToGrid w:val="0"/>
        <w:spacing w:line="360" w:lineRule="auto"/>
        <w:ind w:firstLine="9600" w:firstLineChars="4000"/>
        <w:rPr>
          <w:rFonts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5DB59DE1">
      <w:pPr>
        <w:snapToGrid w:val="0"/>
        <w:spacing w:line="360" w:lineRule="auto"/>
        <w:ind w:left="480"/>
        <w:rPr>
          <w:rFonts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注：</w:t>
      </w:r>
    </w:p>
    <w:p w14:paraId="36CAECA2">
      <w:pPr>
        <w:spacing w:line="360" w:lineRule="auto"/>
        <w:ind w:left="-2" w:leftChars="-1" w:firstLine="480" w:firstLineChars="2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3D2F7E9D">
      <w:pPr>
        <w:spacing w:line="360"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highlight w:val="none"/>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highlight w:val="none"/>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highlight w:val="none"/>
          <w14:textFill>
            <w14:solidFill>
              <w14:schemeClr w14:val="tx1"/>
            </w14:solidFill>
          </w14:textFill>
        </w:rPr>
        <w:t>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投标文件含有采购人不能接受的附加条件的，投标无效。</w:t>
      </w:r>
    </w:p>
    <w:p w14:paraId="4D18E0E0">
      <w:pPr>
        <w:snapToGrid w:val="0"/>
        <w:spacing w:line="360" w:lineRule="auto"/>
        <w:ind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3、特别提示：采购代理机构将对项目名称和项目编号，中标供应商名称、地址和中标金额，主要中标标的名称、服务范围、服务要求、服务时间、服务标准等予以公示。</w:t>
      </w:r>
    </w:p>
    <w:p w14:paraId="659CB6CE">
      <w:pPr>
        <w:snapToGrid w:val="0"/>
        <w:spacing w:line="360" w:lineRule="auto"/>
        <w:ind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szCs w:val="22"/>
          <w:highlight w:val="none"/>
          <w:lang w:val="zh-CN"/>
          <w14:textFill>
            <w14:solidFill>
              <w14:schemeClr w14:val="tx1"/>
            </w14:solidFill>
          </w14:textFill>
        </w:rPr>
        <w:t>4、</w:t>
      </w:r>
      <w:r>
        <w:rPr>
          <w:rFonts w:hint="eastAsia" w:ascii="仿宋" w:hAnsi="仿宋" w:eastAsia="仿宋" w:cs="仿宋"/>
          <w:color w:val="000000" w:themeColor="text1"/>
          <w:kern w:val="0"/>
          <w:sz w:val="24"/>
          <w:highlight w:val="none"/>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C3B02FC">
      <w:pPr>
        <w:spacing w:line="360" w:lineRule="auto"/>
        <w:ind w:firstLine="482" w:firstLineChars="200"/>
        <w:rPr>
          <w:rFonts w:ascii="仿宋" w:hAnsi="仿宋" w:eastAsia="仿宋" w:cs="仿宋"/>
          <w:b/>
          <w:color w:val="000000" w:themeColor="text1"/>
          <w:kern w:val="0"/>
          <w:sz w:val="24"/>
          <w:highlight w:val="none"/>
          <w14:textFill>
            <w14:solidFill>
              <w14:schemeClr w14:val="tx1"/>
            </w14:solidFill>
          </w14:textFill>
        </w:rPr>
      </w:pPr>
    </w:p>
    <w:p w14:paraId="0248BA7C">
      <w:pPr>
        <w:pStyle w:val="692"/>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highlight w:val="none"/>
          <w14:textFill>
            <w14:solidFill>
              <w14:schemeClr w14:val="tx1"/>
            </w14:solidFill>
          </w14:textFill>
        </w:rPr>
      </w:pPr>
    </w:p>
    <w:p w14:paraId="2A0DA446">
      <w:pPr>
        <w:pStyle w:val="692"/>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highlight w:val="none"/>
          <w14:textFill>
            <w14:solidFill>
              <w14:schemeClr w14:val="tx1"/>
            </w14:solidFill>
          </w14:textFill>
        </w:rPr>
        <w:sectPr>
          <w:pgSz w:w="16838" w:h="11906" w:orient="landscape"/>
          <w:pgMar w:top="1418" w:right="1247" w:bottom="1418" w:left="1276" w:header="851" w:footer="992" w:gutter="0"/>
          <w:cols w:space="720" w:num="1"/>
          <w:titlePg/>
          <w:docGrid w:linePitch="312" w:charSpace="0"/>
        </w:sectPr>
      </w:pPr>
    </w:p>
    <w:p w14:paraId="17D29C41">
      <w:pPr>
        <w:pStyle w:val="692"/>
        <w:keepNext w:val="0"/>
        <w:pageBreakBefore w:val="0"/>
        <w:tabs>
          <w:tab w:val="clear" w:pos="720"/>
        </w:tabs>
        <w:snapToGrid w:val="0"/>
        <w:spacing w:before="120" w:after="120"/>
        <w:ind w:firstLine="643"/>
        <w:outlineLvl w:val="9"/>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二、</w:t>
      </w:r>
      <w:r>
        <w:rPr>
          <w:rFonts w:hint="eastAsia" w:ascii="仿宋" w:hAnsi="仿宋" w:eastAsia="仿宋" w:cs="仿宋"/>
          <w:color w:val="000000" w:themeColor="text1"/>
          <w:sz w:val="32"/>
          <w:szCs w:val="32"/>
          <w:highlight w:val="none"/>
          <w14:textFill>
            <w14:solidFill>
              <w14:schemeClr w14:val="tx1"/>
            </w14:solidFill>
          </w14:textFill>
        </w:rPr>
        <w:t>中小企业声明函（如有）</w:t>
      </w:r>
    </w:p>
    <w:p w14:paraId="7C714A41">
      <w:pPr>
        <w:widowControl/>
        <w:spacing w:line="360" w:lineRule="auto"/>
        <w:ind w:firstLine="120" w:firstLineChars="5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74D500E">
      <w:pPr>
        <w:pStyle w:val="80"/>
        <w:rPr>
          <w:rFonts w:ascii="仿宋" w:hAnsi="仿宋" w:eastAsia="仿宋" w:cs="仿宋"/>
          <w:b/>
          <w:color w:val="000000" w:themeColor="text1"/>
          <w:highlight w:val="none"/>
          <w14:textFill>
            <w14:solidFill>
              <w14:schemeClr w14:val="tx1"/>
            </w14:solidFill>
          </w14:textFill>
        </w:rPr>
      </w:pPr>
    </w:p>
    <w:p w14:paraId="41707231">
      <w:pPr>
        <w:pStyle w:val="81"/>
        <w:rPr>
          <w:rFonts w:ascii="仿宋" w:hAnsi="仿宋" w:eastAsia="仿宋" w:cs="仿宋"/>
          <w:b/>
          <w:color w:val="000000" w:themeColor="text1"/>
          <w:sz w:val="24"/>
          <w:highlight w:val="none"/>
          <w14:textFill>
            <w14:solidFill>
              <w14:schemeClr w14:val="tx1"/>
            </w14:solidFill>
          </w14:textFill>
        </w:rPr>
      </w:pPr>
    </w:p>
    <w:p w14:paraId="245DE209">
      <w:pPr>
        <w:rPr>
          <w:rFonts w:ascii="仿宋" w:hAnsi="仿宋" w:eastAsia="仿宋" w:cs="仿宋"/>
          <w:b/>
          <w:color w:val="000000" w:themeColor="text1"/>
          <w:sz w:val="24"/>
          <w:highlight w:val="none"/>
          <w14:textFill>
            <w14:solidFill>
              <w14:schemeClr w14:val="tx1"/>
            </w14:solidFill>
          </w14:textFill>
        </w:rPr>
      </w:pPr>
    </w:p>
    <w:p w14:paraId="5B43039E">
      <w:pPr>
        <w:pStyle w:val="80"/>
        <w:rPr>
          <w:rFonts w:ascii="仿宋" w:hAnsi="仿宋" w:eastAsia="仿宋" w:cs="仿宋"/>
          <w:b/>
          <w:color w:val="000000" w:themeColor="text1"/>
          <w:highlight w:val="none"/>
          <w14:textFill>
            <w14:solidFill>
              <w14:schemeClr w14:val="tx1"/>
            </w14:solidFill>
          </w14:textFill>
        </w:rPr>
      </w:pPr>
    </w:p>
    <w:p w14:paraId="3861C8C3">
      <w:pPr>
        <w:pStyle w:val="81"/>
        <w:rPr>
          <w:rFonts w:ascii="仿宋" w:hAnsi="仿宋" w:eastAsia="仿宋" w:cs="仿宋"/>
          <w:b/>
          <w:color w:val="000000" w:themeColor="text1"/>
          <w:sz w:val="24"/>
          <w:highlight w:val="none"/>
          <w14:textFill>
            <w14:solidFill>
              <w14:schemeClr w14:val="tx1"/>
            </w14:solidFill>
          </w14:textFill>
        </w:rPr>
      </w:pPr>
    </w:p>
    <w:p w14:paraId="35500981">
      <w:pPr>
        <w:rPr>
          <w:color w:val="000000" w:themeColor="text1"/>
          <w:highlight w:val="none"/>
          <w14:textFill>
            <w14:solidFill>
              <w14:schemeClr w14:val="tx1"/>
            </w14:solidFill>
          </w14:textFill>
        </w:rPr>
      </w:pPr>
    </w:p>
    <w:p w14:paraId="3A9EE1E9">
      <w:pPr>
        <w:widowControl/>
        <w:spacing w:line="360" w:lineRule="auto"/>
        <w:ind w:firstLine="161" w:firstLineChars="50"/>
        <w:jc w:val="center"/>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三、残疾人福利性单位声明函（如有）</w:t>
      </w:r>
    </w:p>
    <w:p w14:paraId="3949FBB6">
      <w:pPr>
        <w:pStyle w:val="3"/>
        <w:widowControl/>
        <w:ind w:firstLine="120" w:firstLineChars="50"/>
        <w:jc w:val="left"/>
        <w:rPr>
          <w:rFonts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[符合条件的残疾人福利性单位，提供残疾人福利性单位声明函(附件6)，否则不需要提供。]</w:t>
      </w:r>
    </w:p>
    <w:p w14:paraId="2CE4611F">
      <w:pPr>
        <w:pStyle w:val="692"/>
        <w:keepNext w:val="0"/>
        <w:pageBreakBefore w:val="0"/>
        <w:tabs>
          <w:tab w:val="clear" w:pos="720"/>
        </w:tabs>
        <w:snapToGrid w:val="0"/>
        <w:spacing w:before="120" w:after="120"/>
        <w:ind w:firstLine="643"/>
        <w:outlineLvl w:val="9"/>
        <w:rPr>
          <w:rFonts w:ascii="仿宋" w:hAnsi="仿宋" w:eastAsia="仿宋" w:cs="仿宋"/>
          <w:b w:val="0"/>
          <w:color w:val="000000" w:themeColor="text1"/>
          <w:sz w:val="32"/>
          <w:szCs w:val="32"/>
          <w:highlight w:val="none"/>
          <w14:textFill>
            <w14:solidFill>
              <w14:schemeClr w14:val="tx1"/>
            </w14:solidFill>
          </w14:textFill>
        </w:rPr>
      </w:pPr>
    </w:p>
    <w:p w14:paraId="118DF3A8">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14:paraId="21B44459">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14:paraId="3E2EF73B">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14:paraId="03662547">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14:paraId="63AB85B9">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14:paraId="538656F1">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14:paraId="132CF518">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14:paraId="633240D7">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14:paraId="440E2CE6">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14:paraId="3C81FCEB">
      <w:pPr>
        <w:pStyle w:val="4"/>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附件</w:t>
      </w:r>
    </w:p>
    <w:p w14:paraId="461F0E06">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附件1：质疑函范本及制作说明</w:t>
      </w:r>
    </w:p>
    <w:p w14:paraId="20073387">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质疑函范本</w:t>
      </w:r>
    </w:p>
    <w:p w14:paraId="3765AB49">
      <w:pPr>
        <w:snapToGrid w:val="0"/>
        <w:spacing w:beforeLines="100" w:line="360" w:lineRule="auto"/>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一、质疑供应商基本信息</w:t>
      </w:r>
    </w:p>
    <w:p w14:paraId="0481D0F1">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质疑供应商：</w:t>
      </w:r>
    </w:p>
    <w:p w14:paraId="47F71FF0">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地址：邮编：</w:t>
      </w:r>
    </w:p>
    <w:p w14:paraId="6AA859C2">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联系人：联系电话：</w:t>
      </w:r>
    </w:p>
    <w:p w14:paraId="5D497894">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p>
    <w:p w14:paraId="3B8D41CA">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p>
    <w:p w14:paraId="76028FF7">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 邮编：</w:t>
      </w:r>
    </w:p>
    <w:p w14:paraId="5421AF09">
      <w:pPr>
        <w:snapToGrid w:val="0"/>
        <w:spacing w:line="360" w:lineRule="auto"/>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二、质疑项目基本情况</w:t>
      </w:r>
    </w:p>
    <w:p w14:paraId="4CE1511C">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质疑项目的名称：</w:t>
      </w:r>
    </w:p>
    <w:p w14:paraId="7BAA6370">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质疑项目的编号：包号：</w:t>
      </w:r>
    </w:p>
    <w:p w14:paraId="7CA46D7F">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p>
    <w:p w14:paraId="132C11E5">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采购文件获取日期：</w:t>
      </w:r>
    </w:p>
    <w:p w14:paraId="23C5F77C">
      <w:pPr>
        <w:snapToGrid w:val="0"/>
        <w:spacing w:line="360" w:lineRule="auto"/>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三、质疑事项具体内容</w:t>
      </w:r>
    </w:p>
    <w:p w14:paraId="65B16B0B">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质疑事项1：</w:t>
      </w:r>
    </w:p>
    <w:p w14:paraId="3672231C">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p>
    <w:p w14:paraId="37583097">
      <w:pPr>
        <w:snapToGrid w:val="0"/>
        <w:spacing w:line="360" w:lineRule="auto"/>
        <w:rPr>
          <w:rFonts w:ascii="仿宋" w:hAnsi="仿宋" w:eastAsia="仿宋" w:cs="仿宋"/>
          <w:color w:val="000000" w:themeColor="text1"/>
          <w:sz w:val="24"/>
          <w:highlight w:val="none"/>
          <w14:textFill>
            <w14:solidFill>
              <w14:schemeClr w14:val="tx1"/>
            </w14:solidFill>
          </w14:textFill>
        </w:rPr>
      </w:pPr>
    </w:p>
    <w:p w14:paraId="7A110B2F">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p>
    <w:p w14:paraId="77187EF5">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p>
    <w:p w14:paraId="202EC9E2">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质疑事项2</w:t>
      </w:r>
    </w:p>
    <w:p w14:paraId="78EE3432">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529568A7">
      <w:pPr>
        <w:snapToGrid w:val="0"/>
        <w:spacing w:line="360" w:lineRule="auto"/>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四、与质疑事项相关的质疑请求</w:t>
      </w:r>
    </w:p>
    <w:p w14:paraId="28694339">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p>
    <w:p w14:paraId="765C4F26">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5D867CC7">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79D34894">
      <w:pPr>
        <w:spacing w:line="360" w:lineRule="auto"/>
        <w:jc w:val="center"/>
        <w:rPr>
          <w:rFonts w:ascii="仿宋" w:hAnsi="仿宋" w:eastAsia="仿宋" w:cs="仿宋"/>
          <w:b/>
          <w:bCs/>
          <w:color w:val="000000" w:themeColor="text1"/>
          <w:sz w:val="24"/>
          <w:highlight w:val="none"/>
          <w14:textFill>
            <w14:solidFill>
              <w14:schemeClr w14:val="tx1"/>
            </w14:solidFill>
          </w14:textFill>
        </w:rPr>
      </w:pPr>
    </w:p>
    <w:p w14:paraId="40D6D031">
      <w:pPr>
        <w:spacing w:line="360" w:lineRule="auto"/>
        <w:rPr>
          <w:rFonts w:ascii="仿宋" w:hAnsi="仿宋" w:eastAsia="仿宋" w:cs="仿宋"/>
          <w:b/>
          <w:color w:val="000000" w:themeColor="text1"/>
          <w:sz w:val="24"/>
          <w:highlight w:val="none"/>
          <w14:textFill>
            <w14:solidFill>
              <w14:schemeClr w14:val="tx1"/>
            </w14:solidFill>
          </w14:textFill>
        </w:rPr>
      </w:pPr>
    </w:p>
    <w:p w14:paraId="55741927">
      <w:pPr>
        <w:spacing w:line="360" w:lineRule="auto"/>
        <w:rPr>
          <w:rFonts w:ascii="仿宋" w:hAnsi="仿宋" w:eastAsia="仿宋" w:cs="仿宋"/>
          <w:b/>
          <w:color w:val="000000" w:themeColor="text1"/>
          <w:sz w:val="24"/>
          <w:highlight w:val="none"/>
          <w14:textFill>
            <w14:solidFill>
              <w14:schemeClr w14:val="tx1"/>
            </w14:solidFill>
          </w14:textFill>
        </w:rPr>
      </w:pPr>
    </w:p>
    <w:p w14:paraId="5BB8A2D2">
      <w:pPr>
        <w:spacing w:line="360" w:lineRule="auto"/>
        <w:rPr>
          <w:rFonts w:ascii="仿宋" w:hAnsi="仿宋" w:eastAsia="仿宋" w:cs="仿宋"/>
          <w:b/>
          <w:color w:val="000000" w:themeColor="text1"/>
          <w:sz w:val="24"/>
          <w:highlight w:val="none"/>
          <w14:textFill>
            <w14:solidFill>
              <w14:schemeClr w14:val="tx1"/>
            </w14:solidFill>
          </w14:textFill>
        </w:rPr>
      </w:pPr>
    </w:p>
    <w:p w14:paraId="30BABF9E">
      <w:pPr>
        <w:spacing w:line="360" w:lineRule="auto"/>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质疑函制作说明：</w:t>
      </w:r>
    </w:p>
    <w:p w14:paraId="16963262">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1.供应商提出质疑时，应提交质疑函和必要的证明材料。</w:t>
      </w:r>
    </w:p>
    <w:p w14:paraId="51C0D09B">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highlight w:val="none"/>
          <w14:textFill>
            <w14:solidFill>
              <w14:schemeClr w14:val="tx1"/>
            </w14:solidFill>
          </w14:textFill>
        </w:rPr>
        <w:t>供应商签署的授权委托书。授权委托书应载明代理人的姓名或者名称、代理事项、具体权限、期限和相关事项。</w:t>
      </w:r>
    </w:p>
    <w:p w14:paraId="70FC7B0C">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3.质疑供应商若对项目的某一分包进行质疑，质疑函中应列明具体分包号。</w:t>
      </w:r>
    </w:p>
    <w:p w14:paraId="3C9FEA89">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4.质疑函的质疑事项应具体、明确，并有必要的事实依据和法律依据。</w:t>
      </w:r>
    </w:p>
    <w:p w14:paraId="73885433">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5.质疑函的质疑请求应与质疑事项相关。</w:t>
      </w:r>
    </w:p>
    <w:p w14:paraId="469FE4CF">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79BF47C0">
      <w:pPr>
        <w:widowControl/>
        <w:spacing w:line="360" w:lineRule="auto"/>
        <w:ind w:firstLine="600" w:firstLineChars="200"/>
        <w:jc w:val="left"/>
        <w:rPr>
          <w:rFonts w:ascii="仿宋" w:hAnsi="仿宋" w:eastAsia="仿宋" w:cs="仿宋"/>
          <w:color w:val="000000" w:themeColor="text1"/>
          <w:sz w:val="30"/>
          <w:szCs w:val="30"/>
          <w:highlight w:val="none"/>
          <w14:textFill>
            <w14:solidFill>
              <w14:schemeClr w14:val="tx1"/>
            </w14:solidFill>
          </w14:textFill>
        </w:rPr>
      </w:pPr>
    </w:p>
    <w:p w14:paraId="097FD05B">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p>
    <w:p w14:paraId="31F09EE7">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p>
    <w:p w14:paraId="080540D9">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p>
    <w:p w14:paraId="18DEA438">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p>
    <w:p w14:paraId="41C15055">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p>
    <w:p w14:paraId="05777BA8">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p>
    <w:p w14:paraId="7D06E357">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p>
    <w:p w14:paraId="1263D314">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p>
    <w:p w14:paraId="5FBCE2E3">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p>
    <w:p w14:paraId="38B5AC2A">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p>
    <w:p w14:paraId="27767455">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p>
    <w:p w14:paraId="26FD6D7B">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附件2：投诉书范本及制作说明</w:t>
      </w:r>
    </w:p>
    <w:p w14:paraId="181C208D">
      <w:pPr>
        <w:spacing w:line="360" w:lineRule="auto"/>
        <w:jc w:val="center"/>
        <w:rPr>
          <w:rFonts w:ascii="仿宋" w:hAnsi="仿宋" w:eastAsia="仿宋" w:cs="仿宋"/>
          <w:b/>
          <w:color w:val="000000" w:themeColor="text1"/>
          <w:sz w:val="24"/>
          <w:highlight w:val="none"/>
          <w14:textFill>
            <w14:solidFill>
              <w14:schemeClr w14:val="tx1"/>
            </w14:solidFill>
          </w14:textFill>
        </w:rPr>
      </w:pPr>
    </w:p>
    <w:p w14:paraId="6BC8C939">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投诉书范本</w:t>
      </w:r>
    </w:p>
    <w:p w14:paraId="7A615603">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一、投诉相关主体基本情况</w:t>
      </w:r>
    </w:p>
    <w:p w14:paraId="4B0EFF9E">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w:t>
      </w:r>
    </w:p>
    <w:p w14:paraId="08AE138A">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址：邮编：</w:t>
      </w:r>
    </w:p>
    <w:p w14:paraId="312B760D">
      <w:pPr>
        <w:tabs>
          <w:tab w:val="left" w:pos="6510"/>
        </w:tabs>
        <w:spacing w:line="360" w:lineRule="auto"/>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法定代表人/主要负责人：</w:t>
      </w:r>
    </w:p>
    <w:p w14:paraId="7D61ED7C">
      <w:pPr>
        <w:tabs>
          <w:tab w:val="left" w:pos="6510"/>
        </w:tabs>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p>
    <w:p w14:paraId="76363E3F">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991EC81">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址：邮编：</w:t>
      </w:r>
    </w:p>
    <w:p w14:paraId="18D0F067">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被投诉人1：</w:t>
      </w:r>
    </w:p>
    <w:p w14:paraId="42439DBC">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址：邮编：</w:t>
      </w:r>
    </w:p>
    <w:p w14:paraId="50737E11">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联系人：联系电话：</w:t>
      </w:r>
    </w:p>
    <w:p w14:paraId="04EAC063">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被投诉人2</w:t>
      </w:r>
    </w:p>
    <w:p w14:paraId="4C2FC072">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0DE71A8B">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相关供应商：</w:t>
      </w:r>
    </w:p>
    <w:p w14:paraId="112CB9EA">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址：邮编：</w:t>
      </w:r>
    </w:p>
    <w:p w14:paraId="26F7F170">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联系人：联系电话：</w:t>
      </w:r>
    </w:p>
    <w:p w14:paraId="261806C6">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二、投诉项目基本情况</w:t>
      </w:r>
    </w:p>
    <w:p w14:paraId="124E1906">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采购项目名称：</w:t>
      </w:r>
    </w:p>
    <w:p w14:paraId="75E2C6B4">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采购项目编号：包号：</w:t>
      </w:r>
    </w:p>
    <w:p w14:paraId="7F258DDD">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p>
    <w:p w14:paraId="0745C296">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代理机构名称：</w:t>
      </w:r>
    </w:p>
    <w:p w14:paraId="71639612">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p>
    <w:p w14:paraId="0C0A2560">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采购结果公告: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p>
    <w:p w14:paraId="3E50CE6D">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三、质疑基本情况</w:t>
      </w:r>
    </w:p>
    <w:p w14:paraId="74DE88BD">
      <w:pPr>
        <w:spacing w:line="360" w:lineRule="auto"/>
        <w:ind w:firstLine="480" w:firstLineChars="200"/>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投诉人于年月日,向提出质疑，质疑事项为：</w:t>
      </w:r>
    </w:p>
    <w:p w14:paraId="6DF58BB0">
      <w:pPr>
        <w:spacing w:line="360" w:lineRule="auto"/>
        <w:rPr>
          <w:rFonts w:ascii="仿宋" w:hAnsi="仿宋" w:eastAsia="仿宋" w:cs="仿宋"/>
          <w:color w:val="000000" w:themeColor="text1"/>
          <w:sz w:val="24"/>
          <w:highlight w:val="none"/>
          <w:u w:val="dotted"/>
          <w14:textFill>
            <w14:solidFill>
              <w14:schemeClr w14:val="tx1"/>
            </w14:solidFill>
          </w14:textFill>
        </w:rPr>
      </w:pPr>
    </w:p>
    <w:p w14:paraId="6D6996CD">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采购人/代理机构</w:t>
      </w:r>
      <w:r>
        <w:rPr>
          <w:rFonts w:hint="eastAsia" w:ascii="仿宋" w:hAnsi="仿宋" w:eastAsia="仿宋" w:cs="仿宋"/>
          <w:color w:val="000000" w:themeColor="text1"/>
          <w:sz w:val="24"/>
          <w:highlight w:val="none"/>
          <w14:textFill>
            <w14:solidFill>
              <w14:schemeClr w14:val="tx1"/>
            </w14:solidFill>
          </w14:textFill>
        </w:rPr>
        <w:t>于年月日,就质疑事项作出了答复/没有在法定期限内作出答复。</w:t>
      </w:r>
    </w:p>
    <w:p w14:paraId="09F6168D">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四、投诉事项具体内容</w:t>
      </w:r>
    </w:p>
    <w:p w14:paraId="5B572D26">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 1：</w:t>
      </w:r>
    </w:p>
    <w:p w14:paraId="40581CFA">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p>
    <w:p w14:paraId="2257946F">
      <w:pPr>
        <w:spacing w:line="360" w:lineRule="auto"/>
        <w:rPr>
          <w:rFonts w:ascii="仿宋" w:hAnsi="仿宋" w:eastAsia="仿宋" w:cs="仿宋"/>
          <w:color w:val="000000" w:themeColor="text1"/>
          <w:sz w:val="24"/>
          <w:highlight w:val="none"/>
          <w:u w:val="dotted"/>
          <w14:textFill>
            <w14:solidFill>
              <w14:schemeClr w14:val="tx1"/>
            </w14:solidFill>
          </w14:textFill>
        </w:rPr>
      </w:pPr>
    </w:p>
    <w:p w14:paraId="6BC95647">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p>
    <w:p w14:paraId="6EEB10D3">
      <w:pPr>
        <w:spacing w:line="360" w:lineRule="auto"/>
        <w:rPr>
          <w:rFonts w:ascii="仿宋" w:hAnsi="仿宋" w:eastAsia="仿宋" w:cs="仿宋"/>
          <w:color w:val="000000" w:themeColor="text1"/>
          <w:sz w:val="24"/>
          <w:highlight w:val="none"/>
          <w:u w:val="dotted"/>
          <w14:textFill>
            <w14:solidFill>
              <w14:schemeClr w14:val="tx1"/>
            </w14:solidFill>
          </w14:textFill>
        </w:rPr>
      </w:pPr>
    </w:p>
    <w:p w14:paraId="74864496">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投诉事项2</w:t>
      </w:r>
    </w:p>
    <w:p w14:paraId="5E162FA0">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4FB83AA3">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五、与投诉事项相关的投诉请求</w:t>
      </w:r>
    </w:p>
    <w:p w14:paraId="594361F8">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p>
    <w:p w14:paraId="72E9C7BA">
      <w:pPr>
        <w:spacing w:line="360" w:lineRule="auto"/>
        <w:rPr>
          <w:rFonts w:ascii="仿宋" w:hAnsi="仿宋" w:eastAsia="仿宋" w:cs="仿宋"/>
          <w:color w:val="000000" w:themeColor="text1"/>
          <w:sz w:val="24"/>
          <w:highlight w:val="none"/>
          <w:u w:val="single"/>
          <w14:textFill>
            <w14:solidFill>
              <w14:schemeClr w14:val="tx1"/>
            </w14:solidFill>
          </w14:textFill>
        </w:rPr>
      </w:pPr>
    </w:p>
    <w:p w14:paraId="6F125BF1">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2A00D701">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7E03A6EE">
      <w:pPr>
        <w:spacing w:line="360" w:lineRule="auto"/>
        <w:rPr>
          <w:rFonts w:ascii="仿宋" w:hAnsi="仿宋" w:eastAsia="仿宋" w:cs="仿宋"/>
          <w:b/>
          <w:color w:val="000000" w:themeColor="text1"/>
          <w:sz w:val="24"/>
          <w:highlight w:val="none"/>
          <w14:textFill>
            <w14:solidFill>
              <w14:schemeClr w14:val="tx1"/>
            </w14:solidFill>
          </w14:textFill>
        </w:rPr>
      </w:pPr>
    </w:p>
    <w:p w14:paraId="038EDCED">
      <w:pPr>
        <w:spacing w:line="360" w:lineRule="auto"/>
        <w:rPr>
          <w:rFonts w:ascii="仿宋" w:hAnsi="仿宋" w:eastAsia="仿宋" w:cs="仿宋"/>
          <w:b/>
          <w:color w:val="000000" w:themeColor="text1"/>
          <w:sz w:val="24"/>
          <w:highlight w:val="none"/>
          <w14:textFill>
            <w14:solidFill>
              <w14:schemeClr w14:val="tx1"/>
            </w14:solidFill>
          </w14:textFill>
        </w:rPr>
      </w:pPr>
    </w:p>
    <w:p w14:paraId="3F5E9602">
      <w:pPr>
        <w:spacing w:line="360" w:lineRule="auto"/>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投诉书制作说明：</w:t>
      </w:r>
    </w:p>
    <w:p w14:paraId="066127F8">
      <w:pPr>
        <w:widowControl/>
        <w:spacing w:line="360"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1.投诉人提起投诉时，应当提交投诉书和必要的证明材料，并按照被投诉人和与投诉事项有关的供应商数量提供投诉书副本。</w:t>
      </w:r>
    </w:p>
    <w:p w14:paraId="6D4F7764">
      <w:pPr>
        <w:widowControl/>
        <w:spacing w:line="360" w:lineRule="auto"/>
        <w:ind w:firstLine="480" w:firstLineChars="200"/>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highlight w:val="none"/>
          <w14:textFill>
            <w14:solidFill>
              <w14:schemeClr w14:val="tx1"/>
            </w14:solidFill>
          </w14:textFill>
        </w:rPr>
        <w:t>投诉人签署的授权委托书。授权委托书应当载明代理人的姓名或者名称、代理事项、具体权限、期限和相关事项。</w:t>
      </w:r>
    </w:p>
    <w:p w14:paraId="07EC425F">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3.投诉人若对项目的某一分包进行投诉，投诉书应列明具体分包号。</w:t>
      </w:r>
    </w:p>
    <w:p w14:paraId="5930971B">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4.投诉书应简要列明质疑事项，质疑函、质疑答复等作为附件材料提供。</w:t>
      </w:r>
    </w:p>
    <w:p w14:paraId="49C3629A">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5.投诉书的投诉事项应具体、明确，并有必要的事实依据和法律依据。</w:t>
      </w:r>
    </w:p>
    <w:p w14:paraId="37C45553">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6.投诉书的投诉请求应与投诉事项相关。</w:t>
      </w:r>
    </w:p>
    <w:p w14:paraId="20C45066">
      <w:pPr>
        <w:widowControl/>
        <w:spacing w:line="360" w:lineRule="auto"/>
        <w:ind w:firstLine="480" w:firstLineChars="200"/>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0D801BD7">
      <w:pPr>
        <w:spacing w:line="360" w:lineRule="auto"/>
        <w:rPr>
          <w:rFonts w:ascii="仿宋" w:hAnsi="仿宋" w:eastAsia="仿宋" w:cs="仿宋"/>
          <w:b/>
          <w:color w:val="000000" w:themeColor="text1"/>
          <w:sz w:val="24"/>
          <w:highlight w:val="none"/>
          <w14:textFill>
            <w14:solidFill>
              <w14:schemeClr w14:val="tx1"/>
            </w14:solidFill>
          </w14:textFill>
        </w:rPr>
      </w:pPr>
    </w:p>
    <w:p w14:paraId="0469CD2E">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49ADBC79">
      <w:pPr>
        <w:pStyle w:val="79"/>
      </w:pPr>
    </w:p>
    <w:p w14:paraId="2C413048">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4595C2C2">
      <w:pPr>
        <w:autoSpaceDE w:val="0"/>
        <w:autoSpaceDN w:val="0"/>
        <w:jc w:val="center"/>
        <w:rPr>
          <w:rFonts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附件3：</w:t>
      </w:r>
      <w:r>
        <w:rPr>
          <w:rFonts w:hint="eastAsia" w:ascii="仿宋" w:hAnsi="仿宋" w:eastAsia="仿宋" w:cs="仿宋"/>
          <w:b/>
          <w:bCs/>
          <w:color w:val="000000" w:themeColor="text1"/>
          <w:sz w:val="32"/>
          <w:szCs w:val="32"/>
          <w:highlight w:val="none"/>
          <w14:textFill>
            <w14:solidFill>
              <w14:schemeClr w14:val="tx1"/>
            </w14:solidFill>
          </w14:textFill>
        </w:rPr>
        <w:t>业务专用章使用说明函</w:t>
      </w:r>
    </w:p>
    <w:p w14:paraId="00ACFDC0">
      <w:pPr>
        <w:spacing w:line="360" w:lineRule="auto"/>
        <w:rPr>
          <w:rFonts w:ascii="仿宋" w:hAnsi="仿宋" w:eastAsia="仿宋" w:cs="仿宋"/>
          <w:color w:val="000000" w:themeColor="text1"/>
          <w:sz w:val="24"/>
          <w:highlight w:val="none"/>
          <w:u w:val="single"/>
          <w14:textFill>
            <w14:solidFill>
              <w14:schemeClr w14:val="tx1"/>
            </w14:solidFill>
          </w14:textFill>
        </w:rPr>
      </w:pPr>
    </w:p>
    <w:p w14:paraId="723A3DB6">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（采购人）、（采购代理机构）：</w:t>
      </w:r>
    </w:p>
    <w:p w14:paraId="155C3C72">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我方</w:t>
      </w:r>
      <w:r>
        <w:rPr>
          <w:rFonts w:hint="eastAsia" w:ascii="仿宋" w:hAnsi="仿宋" w:eastAsia="仿宋" w:cs="仿宋"/>
          <w:color w:val="000000" w:themeColor="text1"/>
          <w:sz w:val="24"/>
          <w:highlight w:val="none"/>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highlight w:val="none"/>
          <w14:textFill>
            <w14:solidFill>
              <w14:schemeClr w14:val="tx1"/>
            </w14:solidFill>
          </w14:textFill>
        </w:rPr>
        <w:t>在参加</w:t>
      </w:r>
      <w:r>
        <w:rPr>
          <w:rFonts w:hint="eastAsia" w:ascii="仿宋" w:hAnsi="仿宋" w:eastAsia="仿宋" w:cs="仿宋"/>
          <w:color w:val="000000" w:themeColor="text1"/>
          <w:sz w:val="24"/>
          <w:highlight w:val="none"/>
          <w14:textFill>
            <w14:solidFill>
              <w14:schemeClr w14:val="tx1"/>
            </w14:solidFill>
          </w14:textFill>
        </w:rPr>
        <w:t>你方组织的（项目名称）【招标编号：（采购编号）】</w:t>
      </w:r>
      <w:r>
        <w:rPr>
          <w:rFonts w:hint="eastAsia" w:ascii="仿宋" w:hAnsi="仿宋" w:eastAsia="仿宋" w:cs="仿宋"/>
          <w:bCs/>
          <w:color w:val="000000" w:themeColor="text1"/>
          <w:sz w:val="24"/>
          <w:highlight w:val="none"/>
          <w14:textFill>
            <w14:solidFill>
              <w14:schemeClr w14:val="tx1"/>
            </w14:solidFill>
          </w14:textFill>
        </w:rPr>
        <w:t>投标活动中作如下说明：</w:t>
      </w:r>
      <w:r>
        <w:rPr>
          <w:rFonts w:hint="eastAsia" w:ascii="仿宋" w:hAnsi="仿宋" w:eastAsia="仿宋" w:cs="仿宋"/>
          <w:color w:val="000000" w:themeColor="text1"/>
          <w:sz w:val="24"/>
          <w:highlight w:val="none"/>
          <w14:textFill>
            <w14:solidFill>
              <w14:schemeClr w14:val="tx1"/>
            </w14:solidFill>
          </w14:textFill>
        </w:rPr>
        <w:t xml:space="preserve">我方所使用的“XX专用章”与法定名称章具有同等的法律效力，对使用“XX专用章”的行为予以完全承认，并愿意承担相应责任。   </w:t>
      </w:r>
    </w:p>
    <w:p w14:paraId="02752028">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特此说明。</w:t>
      </w:r>
    </w:p>
    <w:p w14:paraId="06F12521">
      <w:pPr>
        <w:spacing w:line="360" w:lineRule="auto"/>
        <w:ind w:firstLine="494"/>
        <w:rPr>
          <w:rFonts w:ascii="仿宋" w:hAnsi="仿宋" w:eastAsia="仿宋" w:cs="仿宋"/>
          <w:color w:val="000000" w:themeColor="text1"/>
          <w:sz w:val="24"/>
          <w:highlight w:val="none"/>
          <w14:textFill>
            <w14:solidFill>
              <w14:schemeClr w14:val="tx1"/>
            </w14:solidFill>
          </w14:textFill>
        </w:rPr>
      </w:pPr>
    </w:p>
    <w:p w14:paraId="0D264E92">
      <w:pPr>
        <w:spacing w:line="360" w:lineRule="auto"/>
        <w:ind w:firstLine="494"/>
        <w:rPr>
          <w:rFonts w:ascii="仿宋" w:hAnsi="仿宋" w:eastAsia="仿宋" w:cs="仿宋"/>
          <w:color w:val="000000" w:themeColor="text1"/>
          <w:sz w:val="24"/>
          <w:highlight w:val="none"/>
          <w14:textFill>
            <w14:solidFill>
              <w14:schemeClr w14:val="tx1"/>
            </w14:solidFill>
          </w14:textFill>
        </w:rPr>
      </w:pPr>
    </w:p>
    <w:p w14:paraId="43832F10">
      <w:pPr>
        <w:spacing w:line="360" w:lineRule="auto"/>
        <w:ind w:firstLine="494"/>
        <w:rPr>
          <w:rFonts w:ascii="仿宋" w:hAnsi="仿宋" w:eastAsia="仿宋" w:cs="仿宋"/>
          <w:color w:val="000000" w:themeColor="text1"/>
          <w:sz w:val="24"/>
          <w:highlight w:val="none"/>
          <w14:textFill>
            <w14:solidFill>
              <w14:schemeClr w14:val="tx1"/>
            </w14:solidFill>
          </w14:textFill>
        </w:rPr>
      </w:pPr>
    </w:p>
    <w:p w14:paraId="0AB21C5D">
      <w:pPr>
        <w:spacing w:line="360" w:lineRule="auto"/>
        <w:ind w:firstLine="494"/>
        <w:rPr>
          <w:rFonts w:ascii="仿宋" w:hAnsi="仿宋" w:eastAsia="仿宋" w:cs="仿宋"/>
          <w:color w:val="000000" w:themeColor="text1"/>
          <w:sz w:val="24"/>
          <w:highlight w:val="none"/>
          <w14:textFill>
            <w14:solidFill>
              <w14:schemeClr w14:val="tx1"/>
            </w14:solidFill>
          </w14:textFill>
        </w:rPr>
      </w:pPr>
    </w:p>
    <w:p w14:paraId="7D46A0D5">
      <w:pPr>
        <w:spacing w:line="360" w:lineRule="auto"/>
        <w:ind w:right="480" w:firstLine="4080" w:firstLineChars="17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投标单位（法定名称章）：</w:t>
      </w:r>
    </w:p>
    <w:p w14:paraId="6989270F">
      <w:pPr>
        <w:ind w:right="1440" w:firstLine="494"/>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582206E1">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附：</w:t>
      </w:r>
    </w:p>
    <w:p w14:paraId="10F075B4">
      <w:pPr>
        <w:spacing w:line="360" w:lineRule="auto"/>
        <w:rPr>
          <w:rFonts w:ascii="仿宋" w:hAnsi="仿宋" w:eastAsia="仿宋" w:cs="仿宋"/>
          <w:bCs/>
          <w:color w:val="000000" w:themeColor="text1"/>
          <w:sz w:val="24"/>
          <w:highlight w:val="none"/>
          <w14:textFill>
            <w14:solidFill>
              <w14:schemeClr w14:val="tx1"/>
            </w14:solidFill>
          </w14:textFill>
        </w:rPr>
      </w:pPr>
      <w:r>
        <w:rPr>
          <w:rFonts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114300" distR="114300" simplePos="0" relativeHeight="251665408" behindDoc="1" locked="0" layoutInCell="1" allowOverlap="1">
                <wp:simplePos x="0" y="0"/>
                <wp:positionH relativeFrom="column">
                  <wp:posOffset>3034030</wp:posOffset>
                </wp:positionH>
                <wp:positionV relativeFrom="paragraph">
                  <wp:posOffset>356235</wp:posOffset>
                </wp:positionV>
                <wp:extent cx="2704465" cy="2253615"/>
                <wp:effectExtent l="5080" t="4445" r="8255" b="1524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107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114300" distR="114300" simplePos="0" relativeHeight="251666432" behindDoc="1" locked="0" layoutInCell="1" allowOverlap="1">
                <wp:simplePos x="0" y="0"/>
                <wp:positionH relativeFrom="column">
                  <wp:posOffset>-91440</wp:posOffset>
                </wp:positionH>
                <wp:positionV relativeFrom="paragraph">
                  <wp:posOffset>384810</wp:posOffset>
                </wp:positionV>
                <wp:extent cx="2647950" cy="2253615"/>
                <wp:effectExtent l="5080" t="4445" r="13970" b="1524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004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highlight w:val="none"/>
          <w14:textFill>
            <w14:solidFill>
              <w14:schemeClr w14:val="tx1"/>
            </w14:solidFill>
          </w14:textFill>
        </w:rPr>
        <w:t>投标单位法定名称章（印模）                投标单位“XX专用章”（印模）</w:t>
      </w:r>
    </w:p>
    <w:p w14:paraId="09779F7B">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36AFB808">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70140A73">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D3735B9">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7496C598">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154A90B">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3529E8CD">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7E64902">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3C0B291C">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1964BA31">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71B631B3">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92C04BA">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B5AEF86">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02662018">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2E31FC3">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C260AD2">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1D9CC1CC">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0134B751">
      <w:pPr>
        <w:autoSpaceDE w:val="0"/>
        <w:autoSpaceDN w:val="0"/>
        <w:jc w:val="center"/>
        <w:rPr>
          <w:rFonts w:ascii="仿宋" w:hAnsi="仿宋" w:eastAsia="仿宋" w:cs="仿宋"/>
          <w:b/>
          <w:color w:val="000000" w:themeColor="text1"/>
          <w:kern w:val="0"/>
          <w:sz w:val="32"/>
          <w:szCs w:val="32"/>
          <w:highlight w:val="none"/>
          <w:lang w:val="zh-CN"/>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附件4：</w:t>
      </w:r>
      <w:r>
        <w:rPr>
          <w:rFonts w:hint="eastAsia" w:ascii="仿宋" w:hAnsi="仿宋" w:eastAsia="仿宋" w:cs="仿宋"/>
          <w:b/>
          <w:color w:val="000000" w:themeColor="text1"/>
          <w:kern w:val="0"/>
          <w:sz w:val="32"/>
          <w:szCs w:val="32"/>
          <w:highlight w:val="none"/>
          <w:lang w:val="zh-CN"/>
          <w14:textFill>
            <w14:solidFill>
              <w14:schemeClr w14:val="tx1"/>
            </w14:solidFill>
          </w14:textFill>
        </w:rPr>
        <w:t>联合协议</w:t>
      </w:r>
    </w:p>
    <w:p w14:paraId="01203485">
      <w:pPr>
        <w:widowControl/>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（以联合体形式投标的，提供联合协议；本项目不接受联合体投标或者投标人不以联合体形式投标的，则不需要提供）</w:t>
      </w:r>
    </w:p>
    <w:p w14:paraId="4116A782">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（联合体所有成员名称）</w:t>
      </w:r>
      <w:r>
        <w:rPr>
          <w:rFonts w:hint="eastAsia" w:ascii="仿宋" w:hAnsi="仿宋" w:eastAsia="仿宋" w:cs="仿宋"/>
          <w:color w:val="000000" w:themeColor="text1"/>
          <w:kern w:val="0"/>
          <w:sz w:val="24"/>
          <w:highlight w:val="none"/>
          <w14:textFill>
            <w14:solidFill>
              <w14:schemeClr w14:val="tx1"/>
            </w14:solidFill>
          </w14:textFill>
        </w:rPr>
        <w:t>自愿</w:t>
      </w:r>
      <w:r>
        <w:rPr>
          <w:rFonts w:hint="eastAsia" w:ascii="仿宋" w:hAnsi="仿宋" w:eastAsia="仿宋" w:cs="仿宋"/>
          <w:color w:val="000000" w:themeColor="text1"/>
          <w:kern w:val="0"/>
          <w:sz w:val="24"/>
          <w:highlight w:val="none"/>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highlight w:val="none"/>
          <w14:textFill>
            <w14:solidFill>
              <w14:schemeClr w14:val="tx1"/>
            </w14:solidFill>
          </w14:textFill>
        </w:rPr>
        <w:t>参加</w:t>
      </w:r>
      <w:r>
        <w:rPr>
          <w:rFonts w:hint="eastAsia" w:ascii="仿宋" w:hAnsi="仿宋" w:eastAsia="仿宋" w:cs="仿宋"/>
          <w:color w:val="000000" w:themeColor="text1"/>
          <w:sz w:val="24"/>
          <w:highlight w:val="none"/>
          <w14:textFill>
            <w14:solidFill>
              <w14:schemeClr w14:val="tx1"/>
            </w14:solidFill>
          </w14:textFill>
        </w:rPr>
        <w:t>（项目名称）【招标编号：（采购编号）】</w:t>
      </w:r>
      <w:r>
        <w:rPr>
          <w:rFonts w:hint="eastAsia" w:ascii="仿宋" w:hAnsi="仿宋" w:eastAsia="仿宋" w:cs="仿宋"/>
          <w:color w:val="000000" w:themeColor="text1"/>
          <w:kern w:val="0"/>
          <w:sz w:val="24"/>
          <w:highlight w:val="none"/>
          <w:lang w:val="zh-CN"/>
          <w14:textFill>
            <w14:solidFill>
              <w14:schemeClr w14:val="tx1"/>
            </w14:solidFill>
          </w14:textFill>
        </w:rPr>
        <w:t xml:space="preserve">投标。 </w:t>
      </w:r>
    </w:p>
    <w:p w14:paraId="2B5839E1">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一、各方一致决定，</w:t>
      </w:r>
      <w:r>
        <w:rPr>
          <w:rFonts w:hint="eastAsia" w:ascii="仿宋" w:hAnsi="仿宋" w:eastAsia="仿宋" w:cs="仿宋"/>
          <w:color w:val="000000" w:themeColor="text1"/>
          <w:kern w:val="0"/>
          <w:sz w:val="24"/>
          <w:highlight w:val="none"/>
          <w:u w:val="single"/>
          <w14:textFill>
            <w14:solidFill>
              <w14:schemeClr w14:val="tx1"/>
            </w14:solidFill>
          </w14:textFill>
        </w:rPr>
        <w:t>（某联合体成员名称）</w:t>
      </w:r>
      <w:r>
        <w:rPr>
          <w:rFonts w:hint="eastAsia" w:ascii="仿宋" w:hAnsi="仿宋" w:eastAsia="仿宋" w:cs="仿宋"/>
          <w:color w:val="000000" w:themeColor="text1"/>
          <w:kern w:val="0"/>
          <w:sz w:val="24"/>
          <w:highlight w:val="none"/>
          <w14:textFill>
            <w14:solidFill>
              <w14:schemeClr w14:val="tx1"/>
            </w14:solidFill>
          </w14:textFill>
        </w:rPr>
        <w:t>为联合体</w:t>
      </w:r>
      <w:r>
        <w:rPr>
          <w:rFonts w:hint="eastAsia" w:ascii="仿宋" w:hAnsi="仿宋" w:eastAsia="仿宋" w:cs="仿宋"/>
          <w:color w:val="000000" w:themeColor="text1"/>
          <w:kern w:val="0"/>
          <w:sz w:val="24"/>
          <w:highlight w:val="none"/>
          <w:lang w:val="zh-CN"/>
          <w14:textFill>
            <w14:solidFill>
              <w14:schemeClr w14:val="tx1"/>
            </w14:solidFill>
          </w14:textFill>
        </w:rPr>
        <w:t>牵头人</w:t>
      </w:r>
      <w:r>
        <w:rPr>
          <w:rFonts w:hint="eastAsia" w:ascii="仿宋" w:hAnsi="仿宋" w:eastAsia="仿宋" w:cs="仿宋"/>
          <w:color w:val="000000" w:themeColor="text1"/>
          <w:sz w:val="24"/>
          <w:highlight w:val="none"/>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460AA0D1">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w:t>
      </w:r>
      <w:r>
        <w:rPr>
          <w:rFonts w:hint="eastAsia" w:ascii="仿宋" w:hAnsi="仿宋" w:eastAsia="仿宋" w:cs="仿宋"/>
          <w:color w:val="000000" w:themeColor="text1"/>
          <w:sz w:val="24"/>
          <w:highlight w:val="none"/>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highlight w:val="none"/>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49CDEEBE">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三、本次联合投标中，分工如下：</w:t>
      </w:r>
    </w:p>
    <w:p w14:paraId="663D291C">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（联合体成员1）</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p>
    <w:p w14:paraId="7A666904">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（联合体成员2）</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p>
    <w:p w14:paraId="026F3BD2">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05C0BB12">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四、联合体成员中小企业合同份额。</w:t>
      </w:r>
    </w:p>
    <w:p w14:paraId="1EAC21A9">
      <w:pPr>
        <w:snapToGrid w:val="0"/>
        <w:spacing w:line="440" w:lineRule="exact"/>
        <w:ind w:firstLine="576"/>
        <w:rPr>
          <w:rFonts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w:t>
      </w:r>
      <w:bookmarkStart w:id="168" w:name="_Hlk101131882"/>
      <w:r>
        <w:rPr>
          <w:rFonts w:hint="eastAsia" w:ascii="仿宋" w:hAnsi="仿宋" w:eastAsia="仿宋" w:cs="仿宋"/>
          <w:color w:val="000000" w:themeColor="text1"/>
          <w:kern w:val="0"/>
          <w:sz w:val="24"/>
          <w:highlight w:val="none"/>
          <w:u w:val="single"/>
          <w14:textFill>
            <w14:solidFill>
              <w14:schemeClr w14:val="tx1"/>
            </w14:solidFill>
          </w14:textFill>
        </w:rPr>
        <w:t>联合体成员X,……</w:t>
      </w:r>
      <w:bookmarkEnd w:id="168"/>
      <w:r>
        <w:rPr>
          <w:rFonts w:hint="eastAsia" w:ascii="仿宋" w:hAnsi="仿宋" w:eastAsia="仿宋" w:cs="仿宋"/>
          <w:color w:val="000000" w:themeColor="text1"/>
          <w:kern w:val="0"/>
          <w:sz w:val="24"/>
          <w:highlight w:val="none"/>
          <w:u w:val="singl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提供的服务由小微企业承接，其合同份额占到合同总金额%以上</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w:t>
      </w:r>
      <w:bookmarkStart w:id="169" w:name="_Hlk101133598"/>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bookmarkEnd w:id="169"/>
      <w:r>
        <w:rPr>
          <w:rFonts w:hint="eastAsia" w:ascii="仿宋" w:hAnsi="仿宋" w:eastAsia="仿宋" w:cs="仿宋"/>
          <w:b/>
          <w:color w:val="000000" w:themeColor="text1"/>
          <w:kern w:val="0"/>
          <w:sz w:val="24"/>
          <w:highlight w:val="none"/>
          <w:lang w:val="zh-CN"/>
          <w14:textFill>
            <w14:solidFill>
              <w14:schemeClr w14:val="tx1"/>
            </w14:solidFill>
          </w14:textFill>
        </w:rPr>
        <w:t>）</w:t>
      </w:r>
    </w:p>
    <w:p w14:paraId="0D84EC0E">
      <w:pPr>
        <w:spacing w:line="440" w:lineRule="exact"/>
        <w:ind w:firstLine="600" w:firstLineChars="250"/>
        <w:rPr>
          <w:rFonts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bookmarkStart w:id="170" w:name="_Hlk101133173"/>
      <w:r>
        <w:rPr>
          <w:rFonts w:hint="eastAsia" w:ascii="仿宋" w:hAnsi="仿宋" w:eastAsia="仿宋" w:cs="仿宋"/>
          <w:color w:val="000000" w:themeColor="text1"/>
          <w:sz w:val="24"/>
          <w:highlight w:val="none"/>
          <w14:textFill>
            <w14:solidFill>
              <w14:schemeClr w14:val="tx1"/>
            </w14:solidFill>
          </w14:textFill>
        </w:rPr>
        <w:t>中小企业合同金额达到%，小微企业合同金额达到%</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bookmarkEnd w:id="170"/>
    </w:p>
    <w:p w14:paraId="1820BA62">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五、如果中标，</w:t>
      </w:r>
      <w:r>
        <w:rPr>
          <w:rFonts w:hint="eastAsia" w:ascii="仿宋" w:hAnsi="仿宋" w:eastAsia="仿宋" w:cs="仿宋"/>
          <w:color w:val="000000" w:themeColor="text1"/>
          <w:sz w:val="24"/>
          <w:highlight w:val="none"/>
          <w14:textFill>
            <w14:solidFill>
              <w14:schemeClr w14:val="tx1"/>
            </w14:solidFill>
          </w14:textFill>
        </w:rPr>
        <w:t>联合体各成员方共同与采购人签订合同，并就采购合同约定的事项对采购人承担连带责任。</w:t>
      </w:r>
    </w:p>
    <w:p w14:paraId="43071F74">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六、有关本次联合投标的其他事宜：</w:t>
      </w:r>
    </w:p>
    <w:p w14:paraId="5CF1DE36">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1、联合体各方不再单独参加或者与其他供应商另外组成联合体参加同一合同项下的政府采购活动。</w:t>
      </w:r>
    </w:p>
    <w:p w14:paraId="58C41151">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2、联合体中有同类资质的各方按照联合体分工承担相同工作的，按照资质等级较低的供应商确定资质等级。</w:t>
      </w:r>
    </w:p>
    <w:p w14:paraId="7F137079">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3、本协议提交采购人、采购代理机构后，联合体各方不得以任何形式对上述内容进行修改或撤销。</w:t>
      </w:r>
    </w:p>
    <w:p w14:paraId="328D1B71">
      <w:pPr>
        <w:snapToGrid w:val="0"/>
        <w:spacing w:line="440" w:lineRule="exact"/>
        <w:ind w:firstLine="5040" w:firstLineChars="21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0516A1EE">
      <w:pPr>
        <w:snapToGrid w:val="0"/>
        <w:spacing w:line="440" w:lineRule="exact"/>
        <w:ind w:firstLine="5040" w:firstLineChars="21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1A2418F1">
      <w:pPr>
        <w:snapToGrid w:val="0"/>
        <w:spacing w:line="440" w:lineRule="exact"/>
        <w:jc w:val="center"/>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7941C4F4">
      <w:pPr>
        <w:snapToGrid w:val="0"/>
        <w:spacing w:line="440" w:lineRule="exact"/>
        <w:jc w:val="righ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  年  月   日</w:t>
      </w:r>
    </w:p>
    <w:p w14:paraId="34C9225C">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0C3A5303">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10F5438B">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731A756">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79C57D7">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B53A7D6">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1B34C9FB">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553EFCB">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DF30560">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EF46C9F">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72C61EA8">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D53FA61">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228A961">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77A2E073">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9871732">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7CBA2475">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118AB5C">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0C12DDAA">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12B6A519">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CD41542">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2D48F4A">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1D36A62">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04A432CF">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1E7DB355">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70C2B543">
      <w:pPr>
        <w:snapToGrid w:val="0"/>
        <w:spacing w:line="360" w:lineRule="auto"/>
        <w:ind w:firstLine="3666" w:firstLineChars="1100"/>
        <w:rPr>
          <w:rFonts w:ascii="仿宋" w:hAnsi="仿宋" w:eastAsia="仿宋" w:cs="仿宋"/>
          <w:b/>
          <w:color w:val="000000" w:themeColor="text1"/>
          <w:spacing w:val="6"/>
          <w:sz w:val="32"/>
          <w:szCs w:val="32"/>
          <w:highlight w:val="none"/>
          <w14:textFill>
            <w14:solidFill>
              <w14:schemeClr w14:val="tx1"/>
            </w14:solidFill>
          </w14:textFill>
        </w:rPr>
      </w:pPr>
    </w:p>
    <w:p w14:paraId="18291CE8">
      <w:pPr>
        <w:widowControl/>
        <w:adjustRightInd/>
        <w:jc w:val="left"/>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br w:type="page"/>
      </w:r>
    </w:p>
    <w:p w14:paraId="416A46B9">
      <w:pPr>
        <w:snapToGrid w:val="0"/>
        <w:spacing w:line="360" w:lineRule="auto"/>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附件5：</w:t>
      </w:r>
      <w:r>
        <w:rPr>
          <w:rFonts w:hint="eastAsia" w:ascii="仿宋" w:hAnsi="仿宋" w:eastAsia="仿宋" w:cs="仿宋"/>
          <w:b/>
          <w:color w:val="000000" w:themeColor="text1"/>
          <w:kern w:val="0"/>
          <w:sz w:val="32"/>
          <w:szCs w:val="32"/>
          <w:highlight w:val="none"/>
          <w14:textFill>
            <w14:solidFill>
              <w14:schemeClr w14:val="tx1"/>
            </w14:solidFill>
          </w14:textFill>
        </w:rPr>
        <w:t>分包意向协议</w:t>
      </w:r>
    </w:p>
    <w:p w14:paraId="3E220B25">
      <w:pPr>
        <w:widowControl/>
        <w:spacing w:line="440" w:lineRule="exact"/>
        <w:ind w:firstLine="120" w:firstLineChars="5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highlight w:val="none"/>
          <w14:textFill>
            <w14:solidFill>
              <w14:schemeClr w14:val="tx1"/>
            </w14:solidFill>
          </w14:textFill>
        </w:rPr>
        <w:t>）</w:t>
      </w:r>
    </w:p>
    <w:p w14:paraId="722C2810">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若成为</w:t>
      </w:r>
      <w:r>
        <w:rPr>
          <w:rFonts w:hint="eastAsia" w:ascii="仿宋" w:hAnsi="仿宋" w:eastAsia="仿宋" w:cs="仿宋"/>
          <w:color w:val="000000" w:themeColor="text1"/>
          <w:sz w:val="24"/>
          <w:highlight w:val="none"/>
          <w14:textFill>
            <w14:solidFill>
              <w14:schemeClr w14:val="tx1"/>
            </w14:solidFill>
          </w14:textFill>
        </w:rPr>
        <w:t>（项目名称）【招标编号：（采购编号）】</w:t>
      </w:r>
      <w:r>
        <w:rPr>
          <w:rFonts w:hint="eastAsia" w:ascii="仿宋" w:hAnsi="仿宋" w:eastAsia="仿宋" w:cs="仿宋"/>
          <w:color w:val="000000" w:themeColor="text1"/>
          <w:kern w:val="0"/>
          <w:sz w:val="24"/>
          <w:highlight w:val="none"/>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14:textFill>
            <w14:solidFill>
              <w14:schemeClr w14:val="tx1"/>
            </w14:solidFill>
          </w14:textFill>
        </w:rPr>
        <w:t>与</w:t>
      </w:r>
      <w:r>
        <w:rPr>
          <w:rFonts w:hint="eastAsia" w:ascii="仿宋" w:hAnsi="仿宋" w:eastAsia="仿宋" w:cs="仿宋"/>
          <w:color w:val="000000" w:themeColor="text1"/>
          <w:kern w:val="0"/>
          <w:sz w:val="24"/>
          <w:highlight w:val="none"/>
          <w:u w:val="single"/>
          <w14:textFill>
            <w14:solidFill>
              <w14:schemeClr w14:val="tx1"/>
            </w14:solidFill>
          </w14:textFill>
        </w:rPr>
        <w:t>（所有分包供应商名称）</w:t>
      </w:r>
      <w:r>
        <w:rPr>
          <w:rFonts w:hint="eastAsia" w:ascii="仿宋" w:hAnsi="仿宋" w:eastAsia="仿宋" w:cs="仿宋"/>
          <w:color w:val="000000" w:themeColor="text1"/>
          <w:kern w:val="0"/>
          <w:sz w:val="24"/>
          <w:highlight w:val="none"/>
          <w14:textFill>
            <w14:solidFill>
              <w14:schemeClr w14:val="tx1"/>
            </w14:solidFill>
          </w14:textFill>
        </w:rPr>
        <w:t>达成分包意向协议</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4EFF1236">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一、分包标的及数量</w:t>
      </w:r>
    </w:p>
    <w:p w14:paraId="0E8DF04D">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将</w:t>
      </w:r>
      <w:r>
        <w:rPr>
          <w:rFonts w:hint="eastAsia" w:ascii="仿宋" w:hAnsi="仿宋" w:eastAsia="仿宋" w:cs="仿宋"/>
          <w:color w:val="000000" w:themeColor="text1"/>
          <w:kern w:val="0"/>
          <w:sz w:val="24"/>
          <w:highlight w:val="none"/>
          <w:u w:val="single"/>
          <w14:textFill>
            <w14:solidFill>
              <w14:schemeClr w14:val="tx1"/>
            </w14:solidFill>
          </w14:textFill>
        </w:rPr>
        <w:t xml:space="preserve"> XX工作内容   </w:t>
      </w:r>
      <w:r>
        <w:rPr>
          <w:rFonts w:hint="eastAsia" w:ascii="仿宋" w:hAnsi="仿宋" w:eastAsia="仿宋" w:cs="仿宋"/>
          <w:color w:val="000000" w:themeColor="text1"/>
          <w:sz w:val="24"/>
          <w:highlight w:val="none"/>
          <w14:textFill>
            <w14:solidFill>
              <w14:schemeClr w14:val="tx1"/>
            </w14:solidFill>
          </w14:textFill>
        </w:rPr>
        <w:t>分包给</w:t>
      </w:r>
      <w:r>
        <w:rPr>
          <w:rFonts w:hint="eastAsia" w:ascii="仿宋" w:hAnsi="仿宋" w:eastAsia="仿宋" w:cs="仿宋"/>
          <w:color w:val="000000" w:themeColor="text1"/>
          <w:kern w:val="0"/>
          <w:sz w:val="24"/>
          <w:highlight w:val="none"/>
          <w:u w:val="single"/>
          <w14:textFill>
            <w14:solidFill>
              <w14:schemeClr w14:val="tx1"/>
            </w14:solidFill>
          </w14:textFill>
        </w:rPr>
        <w:t>（分包供应商1名称）</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u w:val="single"/>
          <w14:textFill>
            <w14:solidFill>
              <w14:schemeClr w14:val="tx1"/>
            </w14:solidFill>
          </w14:textFill>
        </w:rPr>
        <w:t>（分包供应商2名称），</w:t>
      </w:r>
      <w:r>
        <w:rPr>
          <w:rFonts w:hint="eastAsia" w:ascii="仿宋" w:hAnsi="仿宋" w:eastAsia="仿宋" w:cs="仿宋"/>
          <w:color w:val="000000" w:themeColor="text1"/>
          <w:kern w:val="0"/>
          <w:sz w:val="24"/>
          <w:highlight w:val="none"/>
          <w:lang w:val="zh-CN"/>
          <w14:textFill>
            <w14:solidFill>
              <w14:schemeClr w14:val="tx1"/>
            </w14:solidFill>
          </w14:textFill>
        </w:rPr>
        <w:t>具备承</w:t>
      </w:r>
      <w:r>
        <w:rPr>
          <w:rFonts w:hint="eastAsia" w:ascii="仿宋" w:hAnsi="仿宋" w:eastAsia="仿宋" w:cs="仿宋"/>
          <w:color w:val="000000" w:themeColor="text1"/>
          <w:kern w:val="0"/>
          <w:sz w:val="24"/>
          <w:highlight w:val="none"/>
          <w14:textFill>
            <w14:solidFill>
              <w14:schemeClr w14:val="tx1"/>
            </w14:solidFill>
          </w14:textFill>
        </w:rPr>
        <w:t>担</w:t>
      </w:r>
      <w:r>
        <w:rPr>
          <w:rFonts w:hint="eastAsia" w:ascii="仿宋" w:hAnsi="仿宋" w:eastAsia="仿宋" w:cs="仿宋"/>
          <w:color w:val="000000" w:themeColor="text1"/>
          <w:kern w:val="0"/>
          <w:sz w:val="24"/>
          <w:highlight w:val="none"/>
          <w:u w:val="single"/>
          <w:lang w:val="zh-CN"/>
          <w14:textFill>
            <w14:solidFill>
              <w14:schemeClr w14:val="tx1"/>
            </w14:solidFill>
          </w14:textFill>
        </w:rPr>
        <w:t>XX工作内容</w:t>
      </w:r>
      <w:r>
        <w:rPr>
          <w:rFonts w:hint="eastAsia" w:ascii="仿宋" w:hAnsi="仿宋" w:eastAsia="仿宋" w:cs="仿宋"/>
          <w:color w:val="000000" w:themeColor="text1"/>
          <w:kern w:val="0"/>
          <w:sz w:val="24"/>
          <w:highlight w:val="none"/>
          <w:lang w:val="zh-CN"/>
          <w14:textFill>
            <w14:solidFill>
              <w14:schemeClr w14:val="tx1"/>
            </w14:solidFill>
          </w14:textFill>
        </w:rPr>
        <w:t>相应资质条件且不得再次分包；</w:t>
      </w:r>
    </w:p>
    <w:p w14:paraId="35F6BEDC">
      <w:pPr>
        <w:pStyle w:val="5"/>
        <w:spacing w:line="440" w:lineRule="exact"/>
        <w:ind w:left="0" w:firstLine="229" w:firstLineChars="95"/>
        <w:rPr>
          <w:rFonts w:ascii="仿宋" w:eastAsia="仿宋" w:cs="仿宋"/>
          <w:color w:val="000000" w:themeColor="text1"/>
          <w:kern w:val="0"/>
          <w:sz w:val="24"/>
          <w:szCs w:val="24"/>
          <w:highlight w:val="none"/>
          <w14:textFill>
            <w14:solidFill>
              <w14:schemeClr w14:val="tx1"/>
            </w14:solidFill>
          </w14:textFill>
        </w:rPr>
      </w:pPr>
      <w:r>
        <w:rPr>
          <w:rFonts w:hint="eastAsia" w:ascii="仿宋" w:eastAsia="仿宋" w:cs="仿宋"/>
          <w:color w:val="000000" w:themeColor="text1"/>
          <w:kern w:val="0"/>
          <w:sz w:val="24"/>
          <w:szCs w:val="24"/>
          <w:highlight w:val="none"/>
          <w14:textFill>
            <w14:solidFill>
              <w14:schemeClr w14:val="tx1"/>
            </w14:solidFill>
          </w14:textFill>
        </w:rPr>
        <w:t>……</w:t>
      </w:r>
    </w:p>
    <w:p w14:paraId="49D2D7DB">
      <w:pPr>
        <w:spacing w:line="440" w:lineRule="exact"/>
        <w:rPr>
          <w:rFonts w:ascii="仿宋" w:hAnsi="仿宋" w:eastAsia="仿宋" w:cs="仿宋"/>
          <w:color w:val="000000" w:themeColor="text1"/>
          <w:highlight w:val="none"/>
          <w14:textFill>
            <w14:solidFill>
              <w14:schemeClr w14:val="tx1"/>
            </w14:solidFill>
          </w14:textFill>
        </w:rPr>
      </w:pPr>
    </w:p>
    <w:p w14:paraId="201D47A5">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二、分包供应商中小企业合同份额</w:t>
      </w:r>
    </w:p>
    <w:p w14:paraId="3D1B5667">
      <w:pPr>
        <w:snapToGrid w:val="0"/>
        <w:spacing w:line="440" w:lineRule="exact"/>
        <w:ind w:firstLine="576"/>
        <w:rPr>
          <w:rFonts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（分包供应商X,……）提供的服务全部由小微企业承接，</w:t>
      </w:r>
      <w:r>
        <w:rPr>
          <w:rFonts w:hint="eastAsia" w:ascii="仿宋" w:hAnsi="仿宋" w:eastAsia="仿宋" w:cs="仿宋"/>
          <w:color w:val="000000" w:themeColor="text1"/>
          <w:kern w:val="0"/>
          <w:sz w:val="24"/>
          <w:highlight w:val="none"/>
          <w14:textFill>
            <w14:solidFill>
              <w14:schemeClr w14:val="tx1"/>
            </w14:solidFill>
          </w14:textFill>
        </w:rPr>
        <w:t>其合同份额占到合同总金额%以上</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highlight w:val="none"/>
          <w:lang w:val="zh-CN"/>
          <w14:textFill>
            <w14:solidFill>
              <w14:schemeClr w14:val="tx1"/>
            </w14:solidFill>
          </w14:textFill>
        </w:rPr>
        <w:t>）</w:t>
      </w:r>
    </w:p>
    <w:p w14:paraId="2108D8A7">
      <w:pPr>
        <w:spacing w:line="440" w:lineRule="exact"/>
        <w:ind w:firstLine="480" w:firstLineChars="200"/>
        <w:rPr>
          <w:rFonts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2、中小企业合同金额达到%，小微企业合同金额达到%</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highlight w:val="none"/>
          <w:lang w:val="zh-CN"/>
          <w14:textFill>
            <w14:solidFill>
              <w14:schemeClr w14:val="tx1"/>
            </w14:solidFill>
          </w14:textFill>
        </w:rPr>
        <w:t>分包意向协议</w:t>
      </w:r>
      <w:r>
        <w:rPr>
          <w:rFonts w:hint="eastAsia" w:ascii="仿宋" w:hAnsi="仿宋" w:eastAsia="仿宋" w:cs="仿宋"/>
          <w:b/>
          <w:bCs/>
          <w:color w:val="000000" w:themeColor="text1"/>
          <w:sz w:val="24"/>
          <w:highlight w:val="none"/>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p>
    <w:p w14:paraId="749AD707">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三、分包工作履行期限、地点、方式</w:t>
      </w:r>
    </w:p>
    <w:p w14:paraId="69EB7167">
      <w:pPr>
        <w:snapToGrid w:val="0"/>
        <w:spacing w:line="440" w:lineRule="exact"/>
        <w:ind w:firstLine="576"/>
        <w:rPr>
          <w:rFonts w:ascii="仿宋" w:hAnsi="仿宋" w:eastAsia="仿宋" w:cs="仿宋"/>
          <w:color w:val="000000" w:themeColor="text1"/>
          <w:highlight w:val="none"/>
          <w:u w:val="single"/>
          <w14:textFill>
            <w14:solidFill>
              <w14:schemeClr w14:val="tx1"/>
            </w14:solidFill>
          </w14:textFill>
        </w:rPr>
      </w:pPr>
    </w:p>
    <w:p w14:paraId="275220BE">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四、质量</w:t>
      </w:r>
    </w:p>
    <w:p w14:paraId="68C3E950">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p>
    <w:p w14:paraId="5B9BF987">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五、价款或者报酬</w:t>
      </w:r>
    </w:p>
    <w:p w14:paraId="1DBDA0A7">
      <w:pPr>
        <w:snapToGrid w:val="0"/>
        <w:spacing w:line="440" w:lineRule="exact"/>
        <w:ind w:firstLine="525" w:firstLineChars="250"/>
        <w:rPr>
          <w:rFonts w:ascii="仿宋" w:hAnsi="仿宋" w:eastAsia="仿宋" w:cs="仿宋"/>
          <w:color w:val="000000" w:themeColor="text1"/>
          <w:highlight w:val="none"/>
          <w:u w:val="single"/>
          <w14:textFill>
            <w14:solidFill>
              <w14:schemeClr w14:val="tx1"/>
            </w14:solidFill>
          </w14:textFill>
        </w:rPr>
      </w:pPr>
    </w:p>
    <w:p w14:paraId="2AB856E0">
      <w:pPr>
        <w:snapToGrid w:val="0"/>
        <w:spacing w:line="440" w:lineRule="exact"/>
        <w:ind w:firstLine="600" w:firstLineChars="25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六、违约责任</w:t>
      </w:r>
    </w:p>
    <w:p w14:paraId="06B17DC7">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p>
    <w:p w14:paraId="4D2A2402">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七、争议解决的办法</w:t>
      </w:r>
    </w:p>
    <w:p w14:paraId="40E7EAA5">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p>
    <w:p w14:paraId="731D397C">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八、其他</w:t>
      </w:r>
    </w:p>
    <w:p w14:paraId="206B7A12">
      <w:pPr>
        <w:snapToGrid w:val="0"/>
        <w:spacing w:line="440" w:lineRule="exact"/>
        <w:ind w:left="5040" w:hanging="5040" w:hangingChars="21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中小企业合同金额达到%，小微企业合同金额达到%</w:t>
      </w:r>
      <w:r>
        <w:rPr>
          <w:rFonts w:hint="eastAsia" w:ascii="仿宋" w:hAnsi="仿宋" w:eastAsia="仿宋" w:cs="仿宋"/>
          <w:color w:val="000000" w:themeColor="text1"/>
          <w:kern w:val="0"/>
          <w:sz w:val="24"/>
          <w:highlight w:val="none"/>
          <w:lang w:val="zh-CN"/>
          <w14:textFill>
            <w14:solidFill>
              <w14:schemeClr w14:val="tx1"/>
            </w14:solidFill>
          </w14:textFill>
        </w:rPr>
        <w:t xml:space="preserve">  。                                           投标人名称(电子签名)：</w:t>
      </w:r>
    </w:p>
    <w:p w14:paraId="1F04E8A4">
      <w:pPr>
        <w:snapToGrid w:val="0"/>
        <w:spacing w:line="440" w:lineRule="exact"/>
        <w:jc w:val="righ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分包供应商名称(电子签名/公章)：</w:t>
      </w:r>
    </w:p>
    <w:p w14:paraId="3221652E">
      <w:pPr>
        <w:snapToGrid w:val="0"/>
        <w:spacing w:line="440" w:lineRule="exact"/>
        <w:ind w:firstLine="5760" w:firstLineChars="24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220698A4">
      <w:pPr>
        <w:snapToGrid w:val="0"/>
        <w:spacing w:line="440" w:lineRule="exact"/>
        <w:ind w:left="5040" w:hanging="5040" w:hangingChars="21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14:paraId="41FDE8FD">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5B1974CA">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F2B4462">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0F1861C">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A6AD674">
      <w:pPr>
        <w:pStyle w:val="80"/>
        <w:rPr>
          <w:rFonts w:ascii="仿宋" w:hAnsi="仿宋" w:eastAsia="仿宋" w:cs="仿宋"/>
          <w:b/>
          <w:color w:val="000000" w:themeColor="text1"/>
          <w:spacing w:val="6"/>
          <w:sz w:val="32"/>
          <w:szCs w:val="32"/>
          <w:highlight w:val="none"/>
          <w14:textFill>
            <w14:solidFill>
              <w14:schemeClr w14:val="tx1"/>
            </w14:solidFill>
          </w14:textFill>
        </w:rPr>
      </w:pPr>
    </w:p>
    <w:p w14:paraId="6D4129F9">
      <w:pPr>
        <w:pStyle w:val="81"/>
        <w:rPr>
          <w:rFonts w:ascii="仿宋" w:hAnsi="仿宋" w:eastAsia="仿宋" w:cs="仿宋"/>
          <w:b/>
          <w:color w:val="000000" w:themeColor="text1"/>
          <w:spacing w:val="6"/>
          <w:sz w:val="32"/>
          <w:szCs w:val="32"/>
          <w:highlight w:val="none"/>
          <w14:textFill>
            <w14:solidFill>
              <w14:schemeClr w14:val="tx1"/>
            </w14:solidFill>
          </w14:textFill>
        </w:rPr>
      </w:pPr>
    </w:p>
    <w:p w14:paraId="3CEA4B34">
      <w:pPr>
        <w:rPr>
          <w:rFonts w:ascii="仿宋" w:hAnsi="仿宋" w:eastAsia="仿宋" w:cs="仿宋"/>
          <w:b/>
          <w:color w:val="000000" w:themeColor="text1"/>
          <w:spacing w:val="6"/>
          <w:sz w:val="32"/>
          <w:szCs w:val="32"/>
          <w:highlight w:val="none"/>
          <w14:textFill>
            <w14:solidFill>
              <w14:schemeClr w14:val="tx1"/>
            </w14:solidFill>
          </w14:textFill>
        </w:rPr>
      </w:pPr>
    </w:p>
    <w:p w14:paraId="11AC42A1">
      <w:pPr>
        <w:pStyle w:val="80"/>
        <w:rPr>
          <w:rFonts w:ascii="仿宋" w:hAnsi="仿宋" w:eastAsia="仿宋" w:cs="仿宋"/>
          <w:b/>
          <w:color w:val="000000" w:themeColor="text1"/>
          <w:spacing w:val="6"/>
          <w:sz w:val="32"/>
          <w:szCs w:val="32"/>
          <w:highlight w:val="none"/>
          <w14:textFill>
            <w14:solidFill>
              <w14:schemeClr w14:val="tx1"/>
            </w14:solidFill>
          </w14:textFill>
        </w:rPr>
      </w:pPr>
    </w:p>
    <w:p w14:paraId="4CA41D5A">
      <w:pPr>
        <w:pStyle w:val="81"/>
        <w:rPr>
          <w:rFonts w:ascii="仿宋" w:hAnsi="仿宋" w:eastAsia="仿宋" w:cs="仿宋"/>
          <w:b/>
          <w:color w:val="000000" w:themeColor="text1"/>
          <w:spacing w:val="6"/>
          <w:sz w:val="32"/>
          <w:szCs w:val="32"/>
          <w:highlight w:val="none"/>
          <w14:textFill>
            <w14:solidFill>
              <w14:schemeClr w14:val="tx1"/>
            </w14:solidFill>
          </w14:textFill>
        </w:rPr>
      </w:pPr>
    </w:p>
    <w:p w14:paraId="414AB6F2">
      <w:pPr>
        <w:rPr>
          <w:rFonts w:ascii="仿宋" w:hAnsi="仿宋" w:eastAsia="仿宋" w:cs="仿宋"/>
          <w:b/>
          <w:color w:val="000000" w:themeColor="text1"/>
          <w:spacing w:val="6"/>
          <w:sz w:val="32"/>
          <w:szCs w:val="32"/>
          <w:highlight w:val="none"/>
          <w14:textFill>
            <w14:solidFill>
              <w14:schemeClr w14:val="tx1"/>
            </w14:solidFill>
          </w14:textFill>
        </w:rPr>
      </w:pPr>
    </w:p>
    <w:p w14:paraId="04F79CBF">
      <w:pPr>
        <w:pStyle w:val="80"/>
        <w:rPr>
          <w:rFonts w:ascii="仿宋" w:hAnsi="仿宋" w:eastAsia="仿宋" w:cs="仿宋"/>
          <w:b/>
          <w:color w:val="000000" w:themeColor="text1"/>
          <w:spacing w:val="6"/>
          <w:sz w:val="32"/>
          <w:szCs w:val="32"/>
          <w:highlight w:val="none"/>
          <w14:textFill>
            <w14:solidFill>
              <w14:schemeClr w14:val="tx1"/>
            </w14:solidFill>
          </w14:textFill>
        </w:rPr>
      </w:pPr>
    </w:p>
    <w:p w14:paraId="7CF0A358">
      <w:pPr>
        <w:pStyle w:val="81"/>
        <w:rPr>
          <w:rFonts w:ascii="仿宋" w:hAnsi="仿宋" w:eastAsia="仿宋" w:cs="仿宋"/>
          <w:b/>
          <w:color w:val="000000" w:themeColor="text1"/>
          <w:spacing w:val="6"/>
          <w:sz w:val="32"/>
          <w:szCs w:val="32"/>
          <w:highlight w:val="none"/>
          <w14:textFill>
            <w14:solidFill>
              <w14:schemeClr w14:val="tx1"/>
            </w14:solidFill>
          </w14:textFill>
        </w:rPr>
      </w:pPr>
    </w:p>
    <w:p w14:paraId="641ABD6F">
      <w:pPr>
        <w:rPr>
          <w:rFonts w:ascii="仿宋" w:hAnsi="仿宋" w:eastAsia="仿宋" w:cs="仿宋"/>
          <w:b/>
          <w:color w:val="000000" w:themeColor="text1"/>
          <w:spacing w:val="6"/>
          <w:sz w:val="32"/>
          <w:szCs w:val="32"/>
          <w:highlight w:val="none"/>
          <w14:textFill>
            <w14:solidFill>
              <w14:schemeClr w14:val="tx1"/>
            </w14:solidFill>
          </w14:textFill>
        </w:rPr>
      </w:pPr>
    </w:p>
    <w:p w14:paraId="7A059D30">
      <w:pPr>
        <w:pStyle w:val="80"/>
        <w:rPr>
          <w:rFonts w:ascii="仿宋" w:hAnsi="仿宋" w:eastAsia="仿宋" w:cs="仿宋"/>
          <w:b/>
          <w:color w:val="000000" w:themeColor="text1"/>
          <w:spacing w:val="6"/>
          <w:sz w:val="32"/>
          <w:szCs w:val="32"/>
          <w:highlight w:val="none"/>
          <w14:textFill>
            <w14:solidFill>
              <w14:schemeClr w14:val="tx1"/>
            </w14:solidFill>
          </w14:textFill>
        </w:rPr>
      </w:pPr>
    </w:p>
    <w:p w14:paraId="354F8090">
      <w:pPr>
        <w:pStyle w:val="81"/>
        <w:rPr>
          <w:rFonts w:ascii="仿宋" w:hAnsi="仿宋" w:eastAsia="仿宋" w:cs="仿宋"/>
          <w:b/>
          <w:color w:val="000000" w:themeColor="text1"/>
          <w:spacing w:val="6"/>
          <w:sz w:val="32"/>
          <w:szCs w:val="32"/>
          <w:highlight w:val="none"/>
          <w14:textFill>
            <w14:solidFill>
              <w14:schemeClr w14:val="tx1"/>
            </w14:solidFill>
          </w14:textFill>
        </w:rPr>
      </w:pPr>
    </w:p>
    <w:p w14:paraId="1CE7BC14">
      <w:pPr>
        <w:rPr>
          <w:rFonts w:ascii="仿宋" w:hAnsi="仿宋" w:eastAsia="仿宋" w:cs="仿宋"/>
          <w:b/>
          <w:color w:val="000000" w:themeColor="text1"/>
          <w:spacing w:val="6"/>
          <w:sz w:val="32"/>
          <w:szCs w:val="32"/>
          <w:highlight w:val="none"/>
          <w14:textFill>
            <w14:solidFill>
              <w14:schemeClr w14:val="tx1"/>
            </w14:solidFill>
          </w14:textFill>
        </w:rPr>
      </w:pPr>
    </w:p>
    <w:p w14:paraId="6E54136B">
      <w:pPr>
        <w:pStyle w:val="80"/>
        <w:rPr>
          <w:rFonts w:ascii="仿宋" w:hAnsi="仿宋" w:eastAsia="仿宋" w:cs="仿宋"/>
          <w:b/>
          <w:color w:val="000000" w:themeColor="text1"/>
          <w:spacing w:val="6"/>
          <w:sz w:val="32"/>
          <w:szCs w:val="32"/>
          <w:highlight w:val="none"/>
          <w14:textFill>
            <w14:solidFill>
              <w14:schemeClr w14:val="tx1"/>
            </w14:solidFill>
          </w14:textFill>
        </w:rPr>
      </w:pPr>
    </w:p>
    <w:p w14:paraId="2B990ECF">
      <w:pPr>
        <w:pStyle w:val="81"/>
        <w:rPr>
          <w:rFonts w:ascii="仿宋" w:hAnsi="仿宋" w:eastAsia="仿宋" w:cs="仿宋"/>
          <w:b/>
          <w:color w:val="000000" w:themeColor="text1"/>
          <w:spacing w:val="6"/>
          <w:sz w:val="32"/>
          <w:szCs w:val="32"/>
          <w:highlight w:val="none"/>
          <w14:textFill>
            <w14:solidFill>
              <w14:schemeClr w14:val="tx1"/>
            </w14:solidFill>
          </w14:textFill>
        </w:rPr>
      </w:pPr>
    </w:p>
    <w:p w14:paraId="165167CB">
      <w:pPr>
        <w:rPr>
          <w:rFonts w:ascii="仿宋" w:hAnsi="仿宋" w:eastAsia="仿宋" w:cs="仿宋"/>
          <w:b/>
          <w:color w:val="000000" w:themeColor="text1"/>
          <w:spacing w:val="6"/>
          <w:sz w:val="32"/>
          <w:szCs w:val="32"/>
          <w:highlight w:val="none"/>
          <w14:textFill>
            <w14:solidFill>
              <w14:schemeClr w14:val="tx1"/>
            </w14:solidFill>
          </w14:textFill>
        </w:rPr>
      </w:pPr>
    </w:p>
    <w:p w14:paraId="2B37993F">
      <w:pPr>
        <w:pStyle w:val="80"/>
        <w:rPr>
          <w:rFonts w:ascii="仿宋" w:hAnsi="仿宋" w:eastAsia="仿宋" w:cs="仿宋"/>
          <w:b/>
          <w:color w:val="000000" w:themeColor="text1"/>
          <w:spacing w:val="6"/>
          <w:sz w:val="32"/>
          <w:szCs w:val="32"/>
          <w:highlight w:val="none"/>
          <w14:textFill>
            <w14:solidFill>
              <w14:schemeClr w14:val="tx1"/>
            </w14:solidFill>
          </w14:textFill>
        </w:rPr>
      </w:pPr>
    </w:p>
    <w:p w14:paraId="2B865842">
      <w:pPr>
        <w:pStyle w:val="81"/>
        <w:rPr>
          <w:rFonts w:ascii="仿宋" w:hAnsi="仿宋" w:eastAsia="仿宋" w:cs="仿宋"/>
          <w:b/>
          <w:color w:val="000000" w:themeColor="text1"/>
          <w:spacing w:val="6"/>
          <w:sz w:val="32"/>
          <w:szCs w:val="32"/>
          <w:highlight w:val="none"/>
          <w14:textFill>
            <w14:solidFill>
              <w14:schemeClr w14:val="tx1"/>
            </w14:solidFill>
          </w14:textFill>
        </w:rPr>
      </w:pPr>
    </w:p>
    <w:p w14:paraId="6F8E6E68">
      <w:pPr>
        <w:rPr>
          <w:rFonts w:ascii="仿宋" w:hAnsi="仿宋" w:eastAsia="仿宋" w:cs="仿宋"/>
          <w:b/>
          <w:color w:val="000000" w:themeColor="text1"/>
          <w:spacing w:val="6"/>
          <w:sz w:val="32"/>
          <w:szCs w:val="32"/>
          <w:highlight w:val="none"/>
          <w14:textFill>
            <w14:solidFill>
              <w14:schemeClr w14:val="tx1"/>
            </w14:solidFill>
          </w14:textFill>
        </w:rPr>
      </w:pPr>
    </w:p>
    <w:p w14:paraId="314B1C8B">
      <w:pPr>
        <w:pStyle w:val="80"/>
        <w:rPr>
          <w:color w:val="000000" w:themeColor="text1"/>
          <w:highlight w:val="none"/>
          <w14:textFill>
            <w14:solidFill>
              <w14:schemeClr w14:val="tx1"/>
            </w14:solidFill>
          </w14:textFill>
        </w:rPr>
      </w:pPr>
    </w:p>
    <w:p w14:paraId="2C6A4488">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13142E63">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4F63EFD">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DC608C2">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CE27DF2">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p>
    <w:p w14:paraId="1154EF50">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附件6：</w:t>
      </w:r>
      <w:bookmarkStart w:id="171" w:name="OLE_LINK14"/>
      <w:bookmarkStart w:id="172" w:name="OLE_LINK13"/>
      <w:r>
        <w:rPr>
          <w:rFonts w:hint="eastAsia" w:ascii="仿宋" w:hAnsi="仿宋" w:eastAsia="仿宋" w:cs="仿宋"/>
          <w:b/>
          <w:color w:val="000000" w:themeColor="text1"/>
          <w:spacing w:val="6"/>
          <w:sz w:val="32"/>
          <w:szCs w:val="32"/>
          <w:highlight w:val="none"/>
          <w14:textFill>
            <w14:solidFill>
              <w14:schemeClr w14:val="tx1"/>
            </w14:solidFill>
          </w14:textFill>
        </w:rPr>
        <w:t>残疾人福利性单位声明函</w:t>
      </w:r>
    </w:p>
    <w:bookmarkEnd w:id="171"/>
    <w:bookmarkEnd w:id="172"/>
    <w:p w14:paraId="7139EAEF">
      <w:pPr>
        <w:spacing w:line="360" w:lineRule="auto"/>
        <w:rPr>
          <w:rFonts w:ascii="仿宋" w:hAnsi="仿宋" w:eastAsia="仿宋" w:cs="仿宋"/>
          <w:b/>
          <w:color w:val="000000" w:themeColor="text1"/>
          <w:spacing w:val="6"/>
          <w:sz w:val="30"/>
          <w:szCs w:val="30"/>
          <w:highlight w:val="none"/>
          <w14:textFill>
            <w14:solidFill>
              <w14:schemeClr w14:val="tx1"/>
            </w14:solidFill>
          </w14:textFill>
        </w:rPr>
      </w:pPr>
    </w:p>
    <w:p w14:paraId="6ED4AA76">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中国残疾人联合会关于促进残疾人就业政府采购政策的通知》（财库〔2017〕141号）的规定，本单位为符合条件的残疾人福利性单位，且本单位参加_</w:t>
      </w:r>
      <w:r>
        <w:rPr>
          <w:rFonts w:hint="eastAsia" w:ascii="仿宋" w:hAnsi="仿宋" w:eastAsia="仿宋" w:cs="仿宋"/>
          <w:color w:val="000000" w:themeColor="text1"/>
          <w:sz w:val="24"/>
          <w:highlight w:val="none"/>
          <w:u w:val="single"/>
          <w14:textFill>
            <w14:solidFill>
              <w14:schemeClr w14:val="tx1"/>
            </w14:solidFill>
          </w14:textFill>
        </w:rPr>
        <w:t>(采购人)</w:t>
      </w:r>
      <w:r>
        <w:rPr>
          <w:rFonts w:hint="eastAsia" w:ascii="仿宋" w:hAnsi="仿宋" w:eastAsia="仿宋" w:cs="仿宋"/>
          <w:color w:val="000000" w:themeColor="text1"/>
          <w:sz w:val="24"/>
          <w:highlight w:val="none"/>
          <w14:textFill>
            <w14:solidFill>
              <w14:schemeClr w14:val="tx1"/>
            </w14:solidFill>
          </w14:textFill>
        </w:rPr>
        <w:t>_单位的_</w:t>
      </w:r>
      <w:r>
        <w:rPr>
          <w:rFonts w:hint="eastAsia" w:ascii="仿宋" w:hAnsi="仿宋" w:eastAsia="仿宋" w:cs="仿宋"/>
          <w:color w:val="000000" w:themeColor="text1"/>
          <w:sz w:val="24"/>
          <w:highlight w:val="none"/>
          <w:u w:val="single"/>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42EAA396">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本单位对上述声明的真实性负责。如有虚假，将依法承担相应责任。</w:t>
      </w:r>
    </w:p>
    <w:p w14:paraId="575CB9F6">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p>
    <w:p w14:paraId="4083B746">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p>
    <w:p w14:paraId="6DC2DEB8">
      <w:pPr>
        <w:tabs>
          <w:tab w:val="left" w:pos="4860"/>
        </w:tabs>
        <w:spacing w:line="360" w:lineRule="auto"/>
        <w:ind w:right="1560" w:firstLine="480" w:firstLineChars="20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r>
        <w:rPr>
          <w:rFonts w:hint="eastAsia" w:ascii="仿宋" w:hAnsi="仿宋" w:eastAsia="仿宋" w:cs="仿宋"/>
          <w:color w:val="000000" w:themeColor="text1"/>
          <w:sz w:val="24"/>
          <w:highlight w:val="none"/>
          <w14:textFill>
            <w14:solidFill>
              <w14:schemeClr w14:val="tx1"/>
            </w14:solidFill>
          </w14:textFill>
        </w:rPr>
        <w:t>：</w:t>
      </w:r>
    </w:p>
    <w:p w14:paraId="20FB9AEB">
      <w:pPr>
        <w:tabs>
          <w:tab w:val="left" w:pos="4860"/>
        </w:tabs>
        <w:spacing w:line="360" w:lineRule="auto"/>
        <w:ind w:right="1560" w:firstLine="480" w:firstLineChars="20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  期：</w:t>
      </w:r>
    </w:p>
    <w:p w14:paraId="77A00382">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F5CAC4D">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4F7F39E8">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755EE8F4">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4D22F453">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B35243B">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0F8112A6">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CAF972F">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C5561FF">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718F314F">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44F9E60">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3F66D7A1">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11AF76C">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93C6FC8">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4C068AC4">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4CB956E5">
      <w:pPr>
        <w:pStyle w:val="3"/>
        <w:rPr>
          <w:rFonts w:ascii="仿宋" w:hAnsi="仿宋" w:eastAsia="仿宋" w:cs="仿宋"/>
          <w:color w:val="000000" w:themeColor="text1"/>
          <w:highlight w:val="none"/>
          <w14:textFill>
            <w14:solidFill>
              <w14:schemeClr w14:val="tx1"/>
            </w14:solidFill>
          </w14:textFill>
        </w:rPr>
      </w:pPr>
    </w:p>
    <w:p w14:paraId="3A8B5869">
      <w:pPr>
        <w:snapToGrid w:val="0"/>
        <w:spacing w:line="360" w:lineRule="auto"/>
        <w:rPr>
          <w:rFonts w:ascii="仿宋" w:hAnsi="仿宋" w:eastAsia="仿宋" w:cs="仿宋"/>
          <w:b/>
          <w:color w:val="000000" w:themeColor="text1"/>
          <w:kern w:val="0"/>
          <w:sz w:val="32"/>
          <w:szCs w:val="32"/>
          <w:highlight w:val="none"/>
          <w14:textFill>
            <w14:solidFill>
              <w14:schemeClr w14:val="tx1"/>
            </w14:solidFill>
          </w14:textFill>
        </w:rPr>
      </w:pPr>
    </w:p>
    <w:p w14:paraId="5988A7C3">
      <w:pPr>
        <w:snapToGrid w:val="0"/>
        <w:spacing w:line="360" w:lineRule="auto"/>
        <w:rPr>
          <w:rFonts w:ascii="仿宋" w:hAnsi="仿宋" w:eastAsia="仿宋" w:cs="仿宋"/>
          <w:b/>
          <w:color w:val="000000" w:themeColor="text1"/>
          <w:kern w:val="0"/>
          <w:sz w:val="32"/>
          <w:szCs w:val="32"/>
          <w:highlight w:val="none"/>
          <w14:textFill>
            <w14:solidFill>
              <w14:schemeClr w14:val="tx1"/>
            </w14:solidFill>
          </w14:textFill>
        </w:rPr>
      </w:pPr>
    </w:p>
    <w:p w14:paraId="7FCE214E">
      <w:pPr>
        <w:snapToGrid w:val="0"/>
        <w:spacing w:line="360" w:lineRule="auto"/>
        <w:rPr>
          <w:rFonts w:ascii="仿宋" w:hAnsi="仿宋" w:eastAsia="仿宋" w:cs="仿宋"/>
          <w:b/>
          <w:color w:val="000000" w:themeColor="text1"/>
          <w:kern w:val="0"/>
          <w:sz w:val="32"/>
          <w:szCs w:val="32"/>
          <w:highlight w:val="none"/>
          <w14:textFill>
            <w14:solidFill>
              <w14:schemeClr w14:val="tx1"/>
            </w14:solidFill>
          </w14:textFill>
        </w:rPr>
      </w:pPr>
    </w:p>
    <w:p w14:paraId="1DB5D30A">
      <w:pPr>
        <w:snapToGrid w:val="0"/>
        <w:spacing w:line="360" w:lineRule="auto"/>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附件7：中小企业声明函</w:t>
      </w:r>
    </w:p>
    <w:p w14:paraId="024DDAFB">
      <w:pPr>
        <w:spacing w:line="360" w:lineRule="auto"/>
        <w:jc w:val="center"/>
        <w:rPr>
          <w:rFonts w:ascii="仿宋" w:hAnsi="仿宋" w:eastAsia="仿宋" w:cs="仿宋"/>
          <w:color w:val="000000" w:themeColor="text1"/>
          <w:sz w:val="24"/>
          <w:highlight w:val="none"/>
          <w:u w:val="single"/>
          <w14:textFill>
            <w14:solidFill>
              <w14:schemeClr w14:val="tx1"/>
            </w14:solidFill>
          </w14:textFill>
        </w:rPr>
      </w:pPr>
    </w:p>
    <w:p w14:paraId="4877700B">
      <w:pPr>
        <w:spacing w:line="360" w:lineRule="auto"/>
        <w:jc w:val="center"/>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中小企业声明函（服务）</w:t>
      </w:r>
    </w:p>
    <w:p w14:paraId="4E49EC5F">
      <w:pPr>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highlight w:val="none"/>
          <w:u w:val="single"/>
          <w14:textFill>
            <w14:solidFill>
              <w14:schemeClr w14:val="tx1"/>
            </w14:solidFill>
          </w14:textFill>
        </w:rPr>
        <w:t xml:space="preserve">（采购人） </w:t>
      </w:r>
      <w:r>
        <w:rPr>
          <w:rFonts w:hint="eastAsia" w:ascii="仿宋" w:hAnsi="仿宋" w:eastAsia="仿宋" w:cs="仿宋"/>
          <w:color w:val="000000" w:themeColor="text1"/>
          <w:sz w:val="24"/>
          <w:highlight w:val="none"/>
          <w14:textFill>
            <w14:solidFill>
              <w14:schemeClr w14:val="tx1"/>
            </w14:solidFill>
          </w14:textFill>
        </w:rPr>
        <w:t>的</w:t>
      </w:r>
      <w:r>
        <w:rPr>
          <w:rFonts w:hint="eastAsia" w:ascii="仿宋" w:hAnsi="仿宋" w:eastAsia="仿宋" w:cs="仿宋"/>
          <w:color w:val="000000" w:themeColor="text1"/>
          <w:sz w:val="24"/>
          <w:highlight w:val="none"/>
          <w:u w:val="single"/>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采购活动，服务全部由符合政策要求的中小企业承接。相关企业（含联合体中的中小企业、签订分包意向协议的中小企业）的具体情况如下：</w:t>
      </w:r>
    </w:p>
    <w:p w14:paraId="10160DBD">
      <w:pPr>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u w:val="single"/>
          <w14:textFill>
            <w14:solidFill>
              <w14:schemeClr w14:val="tx1"/>
            </w14:solidFill>
          </w14:textFill>
        </w:rPr>
        <w:t>（标的名称）</w:t>
      </w:r>
      <w:r>
        <w:rPr>
          <w:rFonts w:hint="eastAsia" w:ascii="仿宋" w:hAnsi="仿宋" w:eastAsia="仿宋" w:cs="仿宋"/>
          <w:color w:val="000000" w:themeColor="text1"/>
          <w:sz w:val="24"/>
          <w:highlight w:val="none"/>
          <w14:textFill>
            <w14:solidFill>
              <w14:schemeClr w14:val="tx1"/>
            </w14:solidFill>
          </w14:textFill>
        </w:rPr>
        <w:t>，属于</w:t>
      </w:r>
      <w:r>
        <w:rPr>
          <w:rFonts w:hint="eastAsia" w:ascii="仿宋" w:hAnsi="仿宋" w:eastAsia="仿宋" w:cs="仿宋"/>
          <w:color w:val="000000" w:themeColor="text1"/>
          <w:sz w:val="24"/>
          <w:highlight w:val="none"/>
          <w:u w:val="single"/>
          <w14:textFill>
            <w14:solidFill>
              <w14:schemeClr w14:val="tx1"/>
            </w14:solidFill>
          </w14:textFill>
        </w:rPr>
        <w:t xml:space="preserve"> （采购文件中明确的所属行业）</w:t>
      </w:r>
      <w:r>
        <w:rPr>
          <w:rFonts w:hint="eastAsia" w:ascii="仿宋" w:hAnsi="仿宋" w:eastAsia="仿宋" w:cs="仿宋"/>
          <w:color w:val="000000" w:themeColor="text1"/>
          <w:sz w:val="24"/>
          <w:highlight w:val="none"/>
          <w14:textFill>
            <w14:solidFill>
              <w14:schemeClr w14:val="tx1"/>
            </w14:solidFill>
          </w14:textFill>
        </w:rPr>
        <w:t xml:space="preserve"> ；承建（承接）企业为 </w:t>
      </w:r>
      <w:r>
        <w:rPr>
          <w:rFonts w:hint="eastAsia" w:ascii="仿宋" w:hAnsi="仿宋" w:eastAsia="仿宋" w:cs="仿宋"/>
          <w:color w:val="000000" w:themeColor="text1"/>
          <w:sz w:val="24"/>
          <w:highlight w:val="none"/>
          <w:u w:val="single"/>
          <w14:textFill>
            <w14:solidFill>
              <w14:schemeClr w14:val="tx1"/>
            </w14:solidFill>
          </w14:textFill>
        </w:rPr>
        <w:t>（企业名称）</w:t>
      </w:r>
      <w:r>
        <w:rPr>
          <w:rFonts w:hint="eastAsia" w:ascii="仿宋" w:hAnsi="仿宋" w:eastAsia="仿宋" w:cs="仿宋"/>
          <w:color w:val="000000" w:themeColor="text1"/>
          <w:sz w:val="24"/>
          <w:highlight w:val="none"/>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 </w:t>
      </w:r>
      <w:r>
        <w:rPr>
          <w:rFonts w:hint="eastAsia" w:ascii="仿宋" w:hAnsi="仿宋" w:eastAsia="仿宋" w:cs="仿宋"/>
          <w:color w:val="000000" w:themeColor="text1"/>
          <w:sz w:val="24"/>
          <w:highlight w:val="none"/>
          <w14:textFill>
            <w14:solidFill>
              <w14:schemeClr w14:val="tx1"/>
            </w14:solidFill>
          </w14:textFill>
        </w:rPr>
        <w:t>；</w:t>
      </w:r>
    </w:p>
    <w:p w14:paraId="7B2A7B41">
      <w:pPr>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u w:val="single"/>
          <w14:textFill>
            <w14:solidFill>
              <w14:schemeClr w14:val="tx1"/>
            </w14:solidFill>
          </w14:textFill>
        </w:rPr>
        <w:t xml:space="preserve"> （标的名称），</w:t>
      </w:r>
      <w:r>
        <w:rPr>
          <w:rFonts w:hint="eastAsia" w:ascii="仿宋" w:hAnsi="仿宋" w:eastAsia="仿宋" w:cs="仿宋"/>
          <w:color w:val="000000" w:themeColor="text1"/>
          <w:sz w:val="24"/>
          <w:highlight w:val="none"/>
          <w14:textFill>
            <w14:solidFill>
              <w14:schemeClr w14:val="tx1"/>
            </w14:solidFill>
          </w14:textFill>
        </w:rPr>
        <w:t xml:space="preserve">属于 </w:t>
      </w:r>
      <w:r>
        <w:rPr>
          <w:rFonts w:hint="eastAsia" w:ascii="仿宋" w:hAnsi="仿宋" w:eastAsia="仿宋" w:cs="仿宋"/>
          <w:color w:val="000000" w:themeColor="text1"/>
          <w:sz w:val="24"/>
          <w:highlight w:val="none"/>
          <w:u w:val="single"/>
          <w14:textFill>
            <w14:solidFill>
              <w14:schemeClr w14:val="tx1"/>
            </w14:solidFill>
          </w14:textFill>
        </w:rPr>
        <w:t xml:space="preserve">（采购文件中明确的所属行业） </w:t>
      </w:r>
      <w:r>
        <w:rPr>
          <w:rFonts w:hint="eastAsia" w:ascii="仿宋" w:hAnsi="仿宋" w:eastAsia="仿宋" w:cs="仿宋"/>
          <w:color w:val="000000" w:themeColor="text1"/>
          <w:sz w:val="24"/>
          <w:highlight w:val="none"/>
          <w14:textFill>
            <w14:solidFill>
              <w14:schemeClr w14:val="tx1"/>
            </w14:solidFill>
          </w14:textFill>
        </w:rPr>
        <w:t xml:space="preserve">；承建（承接）企业为 </w:t>
      </w:r>
      <w:r>
        <w:rPr>
          <w:rFonts w:hint="eastAsia" w:ascii="仿宋" w:hAnsi="仿宋" w:eastAsia="仿宋" w:cs="仿宋"/>
          <w:color w:val="000000" w:themeColor="text1"/>
          <w:sz w:val="24"/>
          <w:highlight w:val="none"/>
          <w:u w:val="single"/>
          <w14:textFill>
            <w14:solidFill>
              <w14:schemeClr w14:val="tx1"/>
            </w14:solidFill>
          </w14:textFill>
        </w:rPr>
        <w:t>（企业名称）</w:t>
      </w:r>
      <w:r>
        <w:rPr>
          <w:rFonts w:hint="eastAsia" w:ascii="仿宋" w:hAnsi="仿宋" w:eastAsia="仿宋" w:cs="仿宋"/>
          <w:color w:val="000000" w:themeColor="text1"/>
          <w:sz w:val="24"/>
          <w:highlight w:val="none"/>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 </w:t>
      </w:r>
      <w:r>
        <w:rPr>
          <w:rFonts w:hint="eastAsia" w:ascii="仿宋" w:hAnsi="仿宋" w:eastAsia="仿宋" w:cs="仿宋"/>
          <w:color w:val="000000" w:themeColor="text1"/>
          <w:sz w:val="24"/>
          <w:highlight w:val="none"/>
          <w14:textFill>
            <w14:solidFill>
              <w14:schemeClr w14:val="tx1"/>
            </w14:solidFill>
          </w14:textFill>
        </w:rPr>
        <w:t>；</w:t>
      </w:r>
    </w:p>
    <w:p w14:paraId="041D467B">
      <w:pPr>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585C288C">
      <w:pPr>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14:paraId="5422BEC6">
      <w:pPr>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本企业对上述声明内容的真实性负责。如有虚假，将依法承担相应责任。</w:t>
      </w:r>
    </w:p>
    <w:p w14:paraId="67333BA1">
      <w:pPr>
        <w:spacing w:line="360" w:lineRule="auto"/>
        <w:ind w:right="1760"/>
        <w:jc w:val="righ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投标人名称（电子签名）：</w:t>
      </w:r>
    </w:p>
    <w:p w14:paraId="56E2BEF1">
      <w:pPr>
        <w:spacing w:line="360" w:lineRule="auto"/>
        <w:ind w:right="1120" w:firstLine="4680" w:firstLineChars="195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 期：</w:t>
      </w:r>
    </w:p>
    <w:p w14:paraId="2422240E">
      <w:pPr>
        <w:spacing w:line="360" w:lineRule="auto"/>
        <w:ind w:firstLine="310" w:firstLineChars="147"/>
        <w:jc w:val="left"/>
        <w:rPr>
          <w:rFonts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从业人员、营业收入、资产总额填报上一年度数据，无上一年度数据的新成立企业可不填报。</w:t>
      </w:r>
    </w:p>
    <w:p w14:paraId="08114BA0">
      <w:pPr>
        <w:spacing w:line="360" w:lineRule="auto"/>
        <w:ind w:right="420"/>
        <w:rPr>
          <w:rFonts w:ascii="仿宋" w:hAnsi="仿宋" w:eastAsia="仿宋" w:cs="仿宋"/>
          <w:color w:val="000000" w:themeColor="text1"/>
          <w:sz w:val="24"/>
          <w:highlight w:val="none"/>
          <w14:textFill>
            <w14:solidFill>
              <w14:schemeClr w14:val="tx1"/>
            </w14:solidFill>
          </w14:textFill>
        </w:rPr>
      </w:pPr>
    </w:p>
    <w:p w14:paraId="5F48BAD3">
      <w:pPr>
        <w:spacing w:line="360" w:lineRule="auto"/>
        <w:ind w:right="420"/>
        <w:rPr>
          <w:rFonts w:ascii="仿宋" w:hAnsi="仿宋" w:eastAsia="仿宋" w:cs="仿宋"/>
          <w:color w:val="000000" w:themeColor="text1"/>
          <w:sz w:val="24"/>
          <w:highlight w:val="none"/>
          <w14:textFill>
            <w14:solidFill>
              <w14:schemeClr w14:val="tx1"/>
            </w14:solidFill>
          </w14:textFill>
        </w:rPr>
      </w:pPr>
      <w:bookmarkStart w:id="173" w:name="OLE_LINK6"/>
      <w:r>
        <w:rPr>
          <w:rFonts w:hint="eastAsia" w:ascii="仿宋" w:hAnsi="仿宋" w:eastAsia="仿宋" w:cs="仿宋"/>
          <w:color w:val="000000" w:themeColor="text1"/>
          <w:sz w:val="24"/>
          <w:highlight w:val="none"/>
          <w14:textFill>
            <w14:solidFill>
              <w14:schemeClr w14:val="tx1"/>
            </w14:solidFill>
          </w14:textFill>
        </w:rPr>
        <w:t>注：</w:t>
      </w:r>
    </w:p>
    <w:p w14:paraId="76DA3524">
      <w:pPr>
        <w:spacing w:line="360" w:lineRule="auto"/>
        <w:ind w:right="420"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73"/>
    </w:p>
    <w:p w14:paraId="5101508E">
      <w:pPr>
        <w:spacing w:line="360" w:lineRule="auto"/>
        <w:ind w:right="420"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5DC3D91">
      <w:pPr>
        <w:pStyle w:val="5"/>
        <w:rPr>
          <w:rFonts w:ascii="仿宋" w:eastAsia="仿宋" w:cs="仿宋"/>
          <w:color w:val="000000" w:themeColor="text1"/>
          <w:highlight w:val="none"/>
          <w:lang w:val="en-US"/>
          <w14:textFill>
            <w14:solidFill>
              <w14:schemeClr w14:val="tx1"/>
            </w14:solidFill>
          </w14:textFill>
        </w:rPr>
      </w:pPr>
    </w:p>
    <w:p w14:paraId="158873CB">
      <w:pPr>
        <w:pageBreakBefore/>
        <w:shd w:val="clear" w:color="auto" w:fill="FFFFFF"/>
        <w:spacing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国家统计局关于印发《统计上大中小微型企业划分办法（2017）》的通知</w:t>
      </w:r>
    </w:p>
    <w:p w14:paraId="68107960">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各省、自治区、直辖市统计局，新疆生产建设兵团统计局，国务院各有关部门，国家统计局各调查总队：</w:t>
      </w:r>
    </w:p>
    <w:p w14:paraId="0BC7FD72">
      <w:pPr>
        <w:widowControl/>
        <w:shd w:val="clear" w:color="auto" w:fill="FFFFFF"/>
        <w:spacing w:before="150" w:line="420" w:lineRule="atLeast"/>
        <w:ind w:firstLine="420" w:firstLineChars="200"/>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0105CA6">
      <w:pPr>
        <w:widowControl/>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附件：《统计上大中小微型企业划分办法（2017）》修订说明</w:t>
      </w:r>
    </w:p>
    <w:p w14:paraId="34E4223F">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国家统计局  </w:t>
      </w:r>
    </w:p>
    <w:p w14:paraId="22F8B90E">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2017年12月28日</w:t>
      </w:r>
    </w:p>
    <w:p w14:paraId="3FC876C4">
      <w:pPr>
        <w:pStyle w:val="3"/>
        <w:rPr>
          <w:color w:val="000000" w:themeColor="text1"/>
          <w:highlight w:val="none"/>
          <w:lang w:val="en-US"/>
          <w14:textFill>
            <w14:solidFill>
              <w14:schemeClr w14:val="tx1"/>
            </w14:solidFill>
          </w14:textFill>
        </w:rPr>
      </w:pPr>
    </w:p>
    <w:p w14:paraId="03F87DCB">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w:t>
      </w:r>
    </w:p>
    <w:p w14:paraId="4112D5B1">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06EA5DE3">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二、本办法适用对象为在中华人民共和国境内依法设立的各种组织形式的法人企业或单位。个体工商户参照本办法进行划分。</w:t>
      </w:r>
    </w:p>
    <w:p w14:paraId="6DBDFEED">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1B6E8E6">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4F8770E4">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五、企业划分由政府综合统计部门根据统计年报每年确定一次，定报统计原则上不进行调整。</w:t>
      </w:r>
    </w:p>
    <w:p w14:paraId="74BE4188">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六、本办法自印发之日起执行，国家统计局2011年印发的《统计上大中小微型企业划分办法》（国统字〔2011〕75号）同时废止。</w:t>
      </w:r>
    </w:p>
    <w:p w14:paraId="5C23BAFF">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附表：统计上大中小微型企业划分标准</w:t>
      </w:r>
    </w:p>
    <w:p w14:paraId="0121F668">
      <w:pPr>
        <w:widowControl/>
        <w:jc w:val="left"/>
        <w:rPr>
          <w:rFonts w:ascii="仿宋" w:hAnsi="仿宋" w:eastAsia="仿宋" w:cs="仿宋"/>
          <w:color w:val="000000" w:themeColor="text1"/>
          <w:kern w:val="0"/>
          <w:sz w:val="24"/>
          <w:highlight w:val="none"/>
          <w14:textFill>
            <w14:solidFill>
              <w14:schemeClr w14:val="tx1"/>
            </w14:solidFill>
          </w14:textFill>
        </w:rPr>
      </w:pPr>
    </w:p>
    <w:p w14:paraId="32424417">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7BB2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1952D63">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行业名称</w:t>
            </w:r>
          </w:p>
        </w:tc>
        <w:tc>
          <w:tcPr>
            <w:tcW w:w="1560" w:type="dxa"/>
            <w:tcMar>
              <w:top w:w="75" w:type="dxa"/>
              <w:left w:w="75" w:type="dxa"/>
              <w:bottom w:w="75" w:type="dxa"/>
              <w:right w:w="75" w:type="dxa"/>
            </w:tcMar>
            <w:vAlign w:val="bottom"/>
          </w:tcPr>
          <w:p w14:paraId="681FEA2F">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指标名称</w:t>
            </w:r>
          </w:p>
        </w:tc>
        <w:tc>
          <w:tcPr>
            <w:tcW w:w="671" w:type="dxa"/>
            <w:tcMar>
              <w:top w:w="75" w:type="dxa"/>
              <w:left w:w="75" w:type="dxa"/>
              <w:bottom w:w="75" w:type="dxa"/>
              <w:right w:w="75" w:type="dxa"/>
            </w:tcMar>
            <w:vAlign w:val="bottom"/>
          </w:tcPr>
          <w:p w14:paraId="4386EF3C">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计量单位</w:t>
            </w:r>
          </w:p>
        </w:tc>
        <w:tc>
          <w:tcPr>
            <w:tcW w:w="1231" w:type="dxa"/>
            <w:tcMar>
              <w:top w:w="75" w:type="dxa"/>
              <w:left w:w="75" w:type="dxa"/>
              <w:bottom w:w="75" w:type="dxa"/>
              <w:right w:w="75" w:type="dxa"/>
            </w:tcMar>
            <w:vAlign w:val="bottom"/>
          </w:tcPr>
          <w:p w14:paraId="57D67717">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大型</w:t>
            </w:r>
          </w:p>
        </w:tc>
        <w:tc>
          <w:tcPr>
            <w:tcW w:w="1891" w:type="dxa"/>
            <w:tcMar>
              <w:top w:w="75" w:type="dxa"/>
              <w:left w:w="75" w:type="dxa"/>
              <w:bottom w:w="75" w:type="dxa"/>
              <w:right w:w="75" w:type="dxa"/>
            </w:tcMar>
            <w:vAlign w:val="bottom"/>
          </w:tcPr>
          <w:p w14:paraId="1BAF0386">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中型</w:t>
            </w:r>
          </w:p>
        </w:tc>
        <w:tc>
          <w:tcPr>
            <w:tcW w:w="1730" w:type="dxa"/>
            <w:tcMar>
              <w:top w:w="75" w:type="dxa"/>
              <w:left w:w="75" w:type="dxa"/>
              <w:bottom w:w="75" w:type="dxa"/>
              <w:right w:w="75" w:type="dxa"/>
            </w:tcMar>
            <w:vAlign w:val="bottom"/>
          </w:tcPr>
          <w:p w14:paraId="71B815B2">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小型</w:t>
            </w:r>
          </w:p>
        </w:tc>
        <w:tc>
          <w:tcPr>
            <w:tcW w:w="1203" w:type="dxa"/>
            <w:tcMar>
              <w:top w:w="75" w:type="dxa"/>
              <w:left w:w="75" w:type="dxa"/>
              <w:bottom w:w="75" w:type="dxa"/>
              <w:right w:w="75" w:type="dxa"/>
            </w:tcMar>
            <w:vAlign w:val="bottom"/>
          </w:tcPr>
          <w:p w14:paraId="3A0ACB66">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微型</w:t>
            </w:r>
          </w:p>
        </w:tc>
      </w:tr>
      <w:tr w14:paraId="148D7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287DBA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农、林、牧、渔业</w:t>
            </w:r>
          </w:p>
        </w:tc>
        <w:tc>
          <w:tcPr>
            <w:tcW w:w="1560" w:type="dxa"/>
            <w:vAlign w:val="center"/>
          </w:tcPr>
          <w:p w14:paraId="550DEFF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6BDAF51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0F409FF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14:paraId="6DCE2F2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14:paraId="6FEE9B4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50≤Y＜500</w:t>
            </w:r>
          </w:p>
        </w:tc>
        <w:tc>
          <w:tcPr>
            <w:tcW w:w="1203" w:type="dxa"/>
            <w:vAlign w:val="center"/>
          </w:tcPr>
          <w:p w14:paraId="33FF422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48A2C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1E433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工业 *</w:t>
            </w:r>
          </w:p>
        </w:tc>
        <w:tc>
          <w:tcPr>
            <w:tcW w:w="1560" w:type="dxa"/>
            <w:vAlign w:val="center"/>
          </w:tcPr>
          <w:p w14:paraId="0B1A15B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474540D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1EDFF99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78494B9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7082341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46EED27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5026A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3A8F81">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19EA6D0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7BC8350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583E8B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14:paraId="153AC2A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2000≤Y＜40000</w:t>
            </w:r>
          </w:p>
        </w:tc>
        <w:tc>
          <w:tcPr>
            <w:tcW w:w="1730" w:type="dxa"/>
            <w:vAlign w:val="center"/>
          </w:tcPr>
          <w:p w14:paraId="4480D0F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300≤Y＜2000</w:t>
            </w:r>
          </w:p>
        </w:tc>
        <w:tc>
          <w:tcPr>
            <w:tcW w:w="1203" w:type="dxa"/>
            <w:vAlign w:val="center"/>
          </w:tcPr>
          <w:p w14:paraId="2A1CE79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14F20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6A517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建筑业</w:t>
            </w:r>
          </w:p>
        </w:tc>
        <w:tc>
          <w:tcPr>
            <w:tcW w:w="1560" w:type="dxa"/>
            <w:vAlign w:val="center"/>
          </w:tcPr>
          <w:p w14:paraId="2439838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707E964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E821B3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Y≥80000</w:t>
            </w:r>
          </w:p>
        </w:tc>
        <w:tc>
          <w:tcPr>
            <w:tcW w:w="1891" w:type="dxa"/>
            <w:vAlign w:val="center"/>
          </w:tcPr>
          <w:p w14:paraId="5B84839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6000≤Y＜80000</w:t>
            </w:r>
          </w:p>
        </w:tc>
        <w:tc>
          <w:tcPr>
            <w:tcW w:w="1730" w:type="dxa"/>
            <w:vAlign w:val="center"/>
          </w:tcPr>
          <w:p w14:paraId="6C75D26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300≤Y＜6000</w:t>
            </w:r>
          </w:p>
        </w:tc>
        <w:tc>
          <w:tcPr>
            <w:tcW w:w="1203" w:type="dxa"/>
            <w:vAlign w:val="center"/>
          </w:tcPr>
          <w:p w14:paraId="6C1427C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67F76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7D6F6B">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C5C877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34136F6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0F54A98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Z≥80000</w:t>
            </w:r>
          </w:p>
        </w:tc>
        <w:tc>
          <w:tcPr>
            <w:tcW w:w="1891" w:type="dxa"/>
            <w:vAlign w:val="center"/>
          </w:tcPr>
          <w:p w14:paraId="0A0CE58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5000≤Z＜80000</w:t>
            </w:r>
          </w:p>
        </w:tc>
        <w:tc>
          <w:tcPr>
            <w:tcW w:w="1730" w:type="dxa"/>
            <w:vAlign w:val="center"/>
          </w:tcPr>
          <w:p w14:paraId="0A08314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300≤Z＜5000</w:t>
            </w:r>
          </w:p>
        </w:tc>
        <w:tc>
          <w:tcPr>
            <w:tcW w:w="1203" w:type="dxa"/>
            <w:vAlign w:val="center"/>
          </w:tcPr>
          <w:p w14:paraId="04E8150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Z＜300</w:t>
            </w:r>
          </w:p>
        </w:tc>
      </w:tr>
      <w:tr w14:paraId="6870A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09A68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批发业</w:t>
            </w:r>
          </w:p>
        </w:tc>
        <w:tc>
          <w:tcPr>
            <w:tcW w:w="1560" w:type="dxa"/>
            <w:vAlign w:val="center"/>
          </w:tcPr>
          <w:p w14:paraId="1F4306A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4A6065E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0BA3342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14:paraId="70F9215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20≤X＜200</w:t>
            </w:r>
          </w:p>
        </w:tc>
        <w:tc>
          <w:tcPr>
            <w:tcW w:w="1730" w:type="dxa"/>
            <w:vAlign w:val="center"/>
          </w:tcPr>
          <w:p w14:paraId="7A20E6B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5≤X＜20</w:t>
            </w:r>
          </w:p>
        </w:tc>
        <w:tc>
          <w:tcPr>
            <w:tcW w:w="1203" w:type="dxa"/>
            <w:vAlign w:val="center"/>
          </w:tcPr>
          <w:p w14:paraId="0F096BA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X＜5</w:t>
            </w:r>
          </w:p>
        </w:tc>
      </w:tr>
      <w:tr w14:paraId="6F2CB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6E5D86">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58C233B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3FC6B2B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1E2DEA4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14:paraId="4F17745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5000≤Y＜40000</w:t>
            </w:r>
          </w:p>
        </w:tc>
        <w:tc>
          <w:tcPr>
            <w:tcW w:w="1730" w:type="dxa"/>
            <w:vAlign w:val="center"/>
          </w:tcPr>
          <w:p w14:paraId="7F7A430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203" w:type="dxa"/>
            <w:vAlign w:val="center"/>
          </w:tcPr>
          <w:p w14:paraId="6BD42D6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w:t>
            </w:r>
          </w:p>
        </w:tc>
      </w:tr>
      <w:tr w14:paraId="778B4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0A897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零售业</w:t>
            </w:r>
          </w:p>
        </w:tc>
        <w:tc>
          <w:tcPr>
            <w:tcW w:w="1560" w:type="dxa"/>
            <w:vAlign w:val="center"/>
          </w:tcPr>
          <w:p w14:paraId="189816E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1363D0A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5F0ADBB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1DD5496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50≤X＜300</w:t>
            </w:r>
          </w:p>
        </w:tc>
        <w:tc>
          <w:tcPr>
            <w:tcW w:w="1730" w:type="dxa"/>
            <w:vAlign w:val="center"/>
          </w:tcPr>
          <w:p w14:paraId="1C888F8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10≤X＜50</w:t>
            </w:r>
          </w:p>
        </w:tc>
        <w:tc>
          <w:tcPr>
            <w:tcW w:w="1203" w:type="dxa"/>
            <w:vAlign w:val="center"/>
          </w:tcPr>
          <w:p w14:paraId="44BDB8E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6461F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841229">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7554710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5DB170E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27528B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14:paraId="457A468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14:paraId="46BB71D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100≤Y＜500</w:t>
            </w:r>
          </w:p>
        </w:tc>
        <w:tc>
          <w:tcPr>
            <w:tcW w:w="1203" w:type="dxa"/>
            <w:vAlign w:val="center"/>
          </w:tcPr>
          <w:p w14:paraId="3665E3A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7E5DF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8DA0D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交通运输业 *</w:t>
            </w:r>
          </w:p>
        </w:tc>
        <w:tc>
          <w:tcPr>
            <w:tcW w:w="1560" w:type="dxa"/>
            <w:vAlign w:val="center"/>
          </w:tcPr>
          <w:p w14:paraId="1BF91CE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43C800A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061D0B1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0F421D8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5536EC2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79CBF61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5C0D4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969C81">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1979AD8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49A4CF3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3FF6624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4807C3E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3000≤Y＜30000</w:t>
            </w:r>
          </w:p>
        </w:tc>
        <w:tc>
          <w:tcPr>
            <w:tcW w:w="1730" w:type="dxa"/>
            <w:vAlign w:val="center"/>
          </w:tcPr>
          <w:p w14:paraId="209C95F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200≤Y＜3000</w:t>
            </w:r>
          </w:p>
        </w:tc>
        <w:tc>
          <w:tcPr>
            <w:tcW w:w="1203" w:type="dxa"/>
            <w:vAlign w:val="center"/>
          </w:tcPr>
          <w:p w14:paraId="02005BF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w:t>
            </w:r>
          </w:p>
        </w:tc>
      </w:tr>
      <w:tr w14:paraId="066D7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31729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仓储业*</w:t>
            </w:r>
          </w:p>
        </w:tc>
        <w:tc>
          <w:tcPr>
            <w:tcW w:w="1560" w:type="dxa"/>
            <w:vAlign w:val="center"/>
          </w:tcPr>
          <w:p w14:paraId="177FFC8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3B04F54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2839925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14:paraId="52E6B6B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w:t>
            </w:r>
          </w:p>
        </w:tc>
        <w:tc>
          <w:tcPr>
            <w:tcW w:w="1730" w:type="dxa"/>
            <w:vAlign w:val="center"/>
          </w:tcPr>
          <w:p w14:paraId="3A37B1E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20≤X＜100</w:t>
            </w:r>
          </w:p>
        </w:tc>
        <w:tc>
          <w:tcPr>
            <w:tcW w:w="1203" w:type="dxa"/>
            <w:vAlign w:val="center"/>
          </w:tcPr>
          <w:p w14:paraId="34014A4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2D052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5F380E">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0B1154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17B98F8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40A472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40FC8EE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1000≤Y＜30000</w:t>
            </w:r>
          </w:p>
        </w:tc>
        <w:tc>
          <w:tcPr>
            <w:tcW w:w="1730" w:type="dxa"/>
            <w:vAlign w:val="center"/>
          </w:tcPr>
          <w:p w14:paraId="3C3CD7D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513597A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4564A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22787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邮政业</w:t>
            </w:r>
          </w:p>
        </w:tc>
        <w:tc>
          <w:tcPr>
            <w:tcW w:w="1560" w:type="dxa"/>
            <w:vAlign w:val="center"/>
          </w:tcPr>
          <w:p w14:paraId="27546A9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091C7FB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140F2DD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2EB1678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1A1DD7C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34C9074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4B9FB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86924E">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6AB892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371351D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6DAFAB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02F596D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2000≤Y＜30000</w:t>
            </w:r>
          </w:p>
        </w:tc>
        <w:tc>
          <w:tcPr>
            <w:tcW w:w="1730" w:type="dxa"/>
            <w:vAlign w:val="center"/>
          </w:tcPr>
          <w:p w14:paraId="1253D0E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73609CE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16B7F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277F4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住宿业</w:t>
            </w:r>
          </w:p>
        </w:tc>
        <w:tc>
          <w:tcPr>
            <w:tcW w:w="1560" w:type="dxa"/>
            <w:vAlign w:val="center"/>
          </w:tcPr>
          <w:p w14:paraId="4EEBB70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5002691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0522BA4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0D75A76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7AB0E62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22F43FC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776CB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A52B56">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5740355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54BCC6D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0906F02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0E3CBDC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14:paraId="43AC1DA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093B17B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3DF0F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27163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餐饮业</w:t>
            </w:r>
          </w:p>
        </w:tc>
        <w:tc>
          <w:tcPr>
            <w:tcW w:w="1560" w:type="dxa"/>
            <w:vAlign w:val="center"/>
          </w:tcPr>
          <w:p w14:paraId="559BF37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6791F61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0BABD98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0434ED5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2BB0EF4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0970E41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50736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CB47A0">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0BAEC4C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7FD2137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05247E1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3354339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14:paraId="584D359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2CB072C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52C42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9D912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信息传输业 *</w:t>
            </w:r>
          </w:p>
        </w:tc>
        <w:tc>
          <w:tcPr>
            <w:tcW w:w="1560" w:type="dxa"/>
            <w:vAlign w:val="center"/>
          </w:tcPr>
          <w:p w14:paraId="2A65534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7CA1396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1C976BA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X≥2000</w:t>
            </w:r>
          </w:p>
        </w:tc>
        <w:tc>
          <w:tcPr>
            <w:tcW w:w="1891" w:type="dxa"/>
            <w:vAlign w:val="center"/>
          </w:tcPr>
          <w:p w14:paraId="26BF89F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100≤X＜2000</w:t>
            </w:r>
          </w:p>
        </w:tc>
        <w:tc>
          <w:tcPr>
            <w:tcW w:w="1730" w:type="dxa"/>
            <w:vAlign w:val="center"/>
          </w:tcPr>
          <w:p w14:paraId="1D28135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653DAF1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296D9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8540F0">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738A834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4ED085B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9D5520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Y≥100000</w:t>
            </w:r>
          </w:p>
        </w:tc>
        <w:tc>
          <w:tcPr>
            <w:tcW w:w="1891" w:type="dxa"/>
            <w:vAlign w:val="center"/>
          </w:tcPr>
          <w:p w14:paraId="2ED4C81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1000≤Y＜100000</w:t>
            </w:r>
          </w:p>
        </w:tc>
        <w:tc>
          <w:tcPr>
            <w:tcW w:w="1730" w:type="dxa"/>
            <w:vAlign w:val="center"/>
          </w:tcPr>
          <w:p w14:paraId="18091CA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447AF76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4C570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B046E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软件和信息技术服务业</w:t>
            </w:r>
          </w:p>
        </w:tc>
        <w:tc>
          <w:tcPr>
            <w:tcW w:w="1560" w:type="dxa"/>
            <w:vAlign w:val="center"/>
          </w:tcPr>
          <w:p w14:paraId="7302AB4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0AB4037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74FA2FC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6182270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664EF98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05825D4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05655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B779B8">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554D7AA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27576D9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FE41D2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05E00CC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w:t>
            </w:r>
          </w:p>
        </w:tc>
        <w:tc>
          <w:tcPr>
            <w:tcW w:w="1730" w:type="dxa"/>
            <w:vAlign w:val="center"/>
          </w:tcPr>
          <w:p w14:paraId="3801396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50≤Y＜1000</w:t>
            </w:r>
          </w:p>
        </w:tc>
        <w:tc>
          <w:tcPr>
            <w:tcW w:w="1203" w:type="dxa"/>
            <w:vAlign w:val="center"/>
          </w:tcPr>
          <w:p w14:paraId="53C1249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79BE4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38F8F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房地产开发经营</w:t>
            </w:r>
          </w:p>
        </w:tc>
        <w:tc>
          <w:tcPr>
            <w:tcW w:w="1560" w:type="dxa"/>
            <w:vAlign w:val="center"/>
          </w:tcPr>
          <w:p w14:paraId="27D9489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1184FAE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51B07DC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Y≥200000</w:t>
            </w:r>
          </w:p>
        </w:tc>
        <w:tc>
          <w:tcPr>
            <w:tcW w:w="1891" w:type="dxa"/>
            <w:vAlign w:val="center"/>
          </w:tcPr>
          <w:p w14:paraId="0B4B248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1000≤Y＜200000</w:t>
            </w:r>
          </w:p>
        </w:tc>
        <w:tc>
          <w:tcPr>
            <w:tcW w:w="1730" w:type="dxa"/>
            <w:vAlign w:val="center"/>
          </w:tcPr>
          <w:p w14:paraId="24F3F5E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3364F03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613B2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95F912">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295552A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31D33FC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25D406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Z≥10000</w:t>
            </w:r>
          </w:p>
        </w:tc>
        <w:tc>
          <w:tcPr>
            <w:tcW w:w="1891" w:type="dxa"/>
            <w:vAlign w:val="center"/>
          </w:tcPr>
          <w:p w14:paraId="5EAFA96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5000≤Z＜10000</w:t>
            </w:r>
          </w:p>
        </w:tc>
        <w:tc>
          <w:tcPr>
            <w:tcW w:w="1730" w:type="dxa"/>
            <w:vAlign w:val="center"/>
          </w:tcPr>
          <w:p w14:paraId="182C32A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2000≤Z＜5000</w:t>
            </w:r>
          </w:p>
        </w:tc>
        <w:tc>
          <w:tcPr>
            <w:tcW w:w="1203" w:type="dxa"/>
            <w:vAlign w:val="center"/>
          </w:tcPr>
          <w:p w14:paraId="14DA4F6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Z＜2000</w:t>
            </w:r>
          </w:p>
        </w:tc>
      </w:tr>
      <w:tr w14:paraId="759E3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B3759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物业管理</w:t>
            </w:r>
          </w:p>
        </w:tc>
        <w:tc>
          <w:tcPr>
            <w:tcW w:w="1560" w:type="dxa"/>
            <w:vAlign w:val="center"/>
          </w:tcPr>
          <w:p w14:paraId="011019A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57098D4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440318D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0EAFE2B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57B4B99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203" w:type="dxa"/>
            <w:vAlign w:val="center"/>
          </w:tcPr>
          <w:p w14:paraId="150860E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w:t>
            </w:r>
          </w:p>
        </w:tc>
      </w:tr>
      <w:tr w14:paraId="458C1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D106C3">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30BD19B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5D8C8B9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2F6140A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Y≥5000</w:t>
            </w:r>
          </w:p>
        </w:tc>
        <w:tc>
          <w:tcPr>
            <w:tcW w:w="1891" w:type="dxa"/>
            <w:vAlign w:val="center"/>
          </w:tcPr>
          <w:p w14:paraId="337E956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730" w:type="dxa"/>
            <w:vAlign w:val="center"/>
          </w:tcPr>
          <w:p w14:paraId="625D01D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500≤Y＜1000</w:t>
            </w:r>
          </w:p>
        </w:tc>
        <w:tc>
          <w:tcPr>
            <w:tcW w:w="1203" w:type="dxa"/>
            <w:vAlign w:val="center"/>
          </w:tcPr>
          <w:p w14:paraId="5F894AB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w:t>
            </w:r>
          </w:p>
        </w:tc>
      </w:tr>
      <w:tr w14:paraId="4CCB6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44B5A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租赁和商务服务业</w:t>
            </w:r>
          </w:p>
        </w:tc>
        <w:tc>
          <w:tcPr>
            <w:tcW w:w="1560" w:type="dxa"/>
            <w:vAlign w:val="center"/>
          </w:tcPr>
          <w:p w14:paraId="22914C9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6A71B47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4EE93FE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2766137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282AE1F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4E57BE9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4D83F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91FDDF">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1C69675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37F49C0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1335F6B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Z≥120000</w:t>
            </w:r>
          </w:p>
        </w:tc>
        <w:tc>
          <w:tcPr>
            <w:tcW w:w="1891" w:type="dxa"/>
            <w:vAlign w:val="center"/>
          </w:tcPr>
          <w:p w14:paraId="1B4F179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8000≤Z＜120000</w:t>
            </w:r>
          </w:p>
        </w:tc>
        <w:tc>
          <w:tcPr>
            <w:tcW w:w="1730" w:type="dxa"/>
            <w:vAlign w:val="center"/>
          </w:tcPr>
          <w:p w14:paraId="33892F9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100≤Z＜8000</w:t>
            </w:r>
          </w:p>
        </w:tc>
        <w:tc>
          <w:tcPr>
            <w:tcW w:w="1203" w:type="dxa"/>
            <w:vAlign w:val="center"/>
          </w:tcPr>
          <w:p w14:paraId="771B797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w:t>
            </w:r>
          </w:p>
        </w:tc>
      </w:tr>
      <w:tr w14:paraId="63389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022F19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其他未列明行业 *</w:t>
            </w:r>
          </w:p>
        </w:tc>
        <w:tc>
          <w:tcPr>
            <w:tcW w:w="1560" w:type="dxa"/>
            <w:vAlign w:val="center"/>
          </w:tcPr>
          <w:p w14:paraId="636AFFE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02FFA32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4BE1DF6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5A00D21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4669416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55321FD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bl>
    <w:p w14:paraId="629C679F">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说明： 　　</w:t>
      </w:r>
    </w:p>
    <w:p w14:paraId="5F08A9E0">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1.大型、中型和小型企业须同时满足所列指标的下限，否则下划一档；微型企业只须满足所列指标中的一项即可。 　　</w:t>
      </w:r>
    </w:p>
    <w:p w14:paraId="0CF51917">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CC10A69">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3.企业划分指标以现行统计制度为准。</w:t>
      </w:r>
    </w:p>
    <w:p w14:paraId="318C2C60">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（1）从业人员，是指期末从业人员数，没有期末从业人员数的，采用全年平均人员数代替。</w:t>
      </w:r>
    </w:p>
    <w:p w14:paraId="4A7BE551">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37BDFB2">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（3）资产总额，采用资产总计代替。</w:t>
      </w:r>
    </w:p>
    <w:p w14:paraId="33BC9E0A">
      <w:pPr>
        <w:widowControl/>
        <w:jc w:val="left"/>
        <w:rPr>
          <w:rFonts w:ascii="仿宋" w:hAnsi="仿宋" w:eastAsia="仿宋" w:cs="仿宋"/>
          <w:color w:val="000000" w:themeColor="text1"/>
          <w:kern w:val="0"/>
          <w:sz w:val="24"/>
          <w:highlight w:val="none"/>
          <w14:textFill>
            <w14:solidFill>
              <w14:schemeClr w14:val="tx1"/>
            </w14:solidFill>
          </w14:textFill>
        </w:rPr>
      </w:pPr>
    </w:p>
    <w:p w14:paraId="38825F58">
      <w:pPr>
        <w:widowControl/>
        <w:jc w:val="left"/>
        <w:rPr>
          <w:rFonts w:ascii="仿宋" w:hAnsi="仿宋" w:eastAsia="仿宋" w:cs="仿宋"/>
          <w:color w:val="000000" w:themeColor="text1"/>
          <w:kern w:val="0"/>
          <w:sz w:val="24"/>
          <w:highlight w:val="none"/>
          <w14:textFill>
            <w14:solidFill>
              <w14:schemeClr w14:val="tx1"/>
            </w14:solidFill>
          </w14:textFill>
        </w:rPr>
      </w:pPr>
    </w:p>
    <w:p w14:paraId="64A9A255">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《统计上大中小微型企业划分办法（2017）》修订说明</w:t>
      </w:r>
    </w:p>
    <w:p w14:paraId="2146C47E">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一、修订背景</w:t>
      </w:r>
    </w:p>
    <w:p w14:paraId="2B51A0A0">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4817B44">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CCF00BC">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二、修订主要内容</w:t>
      </w:r>
    </w:p>
    <w:p w14:paraId="5F790F88">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ABA857F">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将交通运输业中包括的“装卸搬运和运输代理业”修改为“多式联运和运输代理业、装卸搬运”。</w:t>
      </w:r>
    </w:p>
    <w:p w14:paraId="5F81E478">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14:paraId="209CC387">
      <w:pPr>
        <w:widowControl/>
        <w:jc w:val="left"/>
        <w:rPr>
          <w:rFonts w:ascii="仿宋" w:hAnsi="仿宋" w:eastAsia="仿宋" w:cs="仿宋"/>
          <w:color w:val="000000" w:themeColor="text1"/>
          <w:kern w:val="0"/>
          <w:sz w:val="18"/>
          <w:szCs w:val="18"/>
          <w:highlight w:val="none"/>
          <w14:textFill>
            <w14:solidFill>
              <w14:schemeClr w14:val="tx1"/>
            </w14:solidFill>
          </w14:textFill>
        </w:rPr>
      </w:pPr>
    </w:p>
    <w:p w14:paraId="40EDA64B">
      <w:pPr>
        <w:widowControl/>
        <w:jc w:val="left"/>
        <w:rPr>
          <w:rFonts w:ascii="仿宋" w:hAnsi="仿宋" w:eastAsia="仿宋" w:cs="仿宋"/>
          <w:color w:val="000000" w:themeColor="text1"/>
          <w:kern w:val="0"/>
          <w:sz w:val="18"/>
          <w:szCs w:val="18"/>
          <w:highlight w:val="none"/>
          <w14:textFill>
            <w14:solidFill>
              <w14:schemeClr w14:val="tx1"/>
            </w14:solidFill>
          </w14:textFill>
        </w:rPr>
      </w:pPr>
    </w:p>
    <w:p w14:paraId="139A1DE5">
      <w:pPr>
        <w:widowControl/>
        <w:jc w:val="left"/>
        <w:rPr>
          <w:rFonts w:ascii="仿宋" w:hAnsi="仿宋" w:eastAsia="仿宋" w:cs="仿宋"/>
          <w:color w:val="000000" w:themeColor="text1"/>
          <w:kern w:val="0"/>
          <w:sz w:val="18"/>
          <w:szCs w:val="18"/>
          <w:highlight w:val="none"/>
          <w14:textFill>
            <w14:solidFill>
              <w14:schemeClr w14:val="tx1"/>
            </w14:solidFill>
          </w14:textFill>
        </w:rPr>
      </w:pPr>
    </w:p>
    <w:p w14:paraId="4C8EDCD7">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中国人民银行中国银行业监督管理委员会</w:t>
      </w:r>
    </w:p>
    <w:p w14:paraId="3FA5A99F">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中国证券监督管理委员会中国保险监督管理委员会</w:t>
      </w:r>
    </w:p>
    <w:p w14:paraId="4BC508F2">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国家统计局关于印发《金融业企业划型标准规定》的通知</w:t>
      </w:r>
    </w:p>
    <w:p w14:paraId="05C784F3">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1249D10">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14:paraId="428C20A7">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附件：金融业企业划型标准规定</w:t>
      </w:r>
    </w:p>
    <w:p w14:paraId="1E80C74C">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金融业企业划型标准规定</w:t>
      </w:r>
    </w:p>
    <w:p w14:paraId="2DB8CA37">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一、根据《中华人民共和国中小企业促进法》、《国务院关于进一步促进中小企业发展的若干意见》（国发〔2009〕36号）和《国务院办公厅关于金融支持小微企业发展的实施意见》（国办发〔2013〕87号），制定本规定。</w:t>
      </w:r>
    </w:p>
    <w:p w14:paraId="4B505D9E">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二、适用范围。本规定适用于从事《国民经济行业分类》(GB/T4754-2011)中J门类（金融业）活动的企业。</w:t>
      </w:r>
    </w:p>
    <w:p w14:paraId="6EB1F9EC">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DF737B5">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14:paraId="5DB731AE">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五、指标标准值。依据指标标准值，将各类金融业企业划分为大、中、小、微四个规模类型，中型企业标准上限及以上的为大型企业。</w:t>
      </w:r>
    </w:p>
    <w:p w14:paraId="5D19C923">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14:paraId="399A51F6">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14:paraId="404485E0">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5D4FD0B1">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32C042AD">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14:paraId="788B7DF3">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28904194">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3F75EBE5">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9A77999">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方便政府部门和社会各界查询使用。</w:t>
      </w:r>
    </w:p>
    <w:p w14:paraId="452135A4">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七、标准值的评估和调整。金融业企业划型标准工作组每五年对划型标准值受经济发展与通货膨胀等因素的影响程度进行评估和调整。</w:t>
      </w:r>
    </w:p>
    <w:p w14:paraId="24858679">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八、本规定的中型金融业企业标准上限即为大型金融业企业下限。国务院有关部门据此进行相关数据的统计分析，不得制定与本规定不一致的金融业企业划型标准。</w:t>
      </w:r>
    </w:p>
    <w:p w14:paraId="46718384">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九、融资担保公司参照本规定中“除贷款公司、小额贷款公司、典当行以外的其他金融机构”标准划型。</w:t>
      </w:r>
    </w:p>
    <w:p w14:paraId="54F07862">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十、本规定由人民银行会同银监会，证监会、保监会和统计局负责解释。</w:t>
      </w:r>
    </w:p>
    <w:p w14:paraId="3EC92AF3">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十一、本规定自发布之日起实施。</w:t>
      </w:r>
    </w:p>
    <w:p w14:paraId="1C4E6FDA">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附：金融业企业划型标准</w:t>
      </w:r>
    </w:p>
    <w:p w14:paraId="2C42FC54">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B467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A1F47EF">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w:t>
            </w:r>
          </w:p>
        </w:tc>
        <w:tc>
          <w:tcPr>
            <w:tcW w:w="2836" w:type="dxa"/>
            <w:tcMar>
              <w:top w:w="75" w:type="dxa"/>
              <w:left w:w="75" w:type="dxa"/>
              <w:bottom w:w="75" w:type="dxa"/>
              <w:right w:w="75" w:type="dxa"/>
            </w:tcMar>
            <w:vAlign w:val="bottom"/>
          </w:tcPr>
          <w:p w14:paraId="22463DDB">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类别</w:t>
            </w:r>
          </w:p>
        </w:tc>
        <w:tc>
          <w:tcPr>
            <w:tcW w:w="606" w:type="dxa"/>
            <w:tcMar>
              <w:top w:w="75" w:type="dxa"/>
              <w:left w:w="75" w:type="dxa"/>
              <w:bottom w:w="75" w:type="dxa"/>
              <w:right w:w="75" w:type="dxa"/>
            </w:tcMar>
            <w:vAlign w:val="bottom"/>
          </w:tcPr>
          <w:p w14:paraId="2394632F">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类型</w:t>
            </w:r>
          </w:p>
        </w:tc>
        <w:tc>
          <w:tcPr>
            <w:tcW w:w="3326" w:type="dxa"/>
            <w:tcMar>
              <w:top w:w="75" w:type="dxa"/>
              <w:left w:w="75" w:type="dxa"/>
              <w:bottom w:w="75" w:type="dxa"/>
              <w:right w:w="75" w:type="dxa"/>
            </w:tcMar>
            <w:vAlign w:val="bottom"/>
          </w:tcPr>
          <w:p w14:paraId="6CD8C304">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资产总额</w:t>
            </w:r>
          </w:p>
        </w:tc>
      </w:tr>
      <w:tr w14:paraId="5F59C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C80B46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货币金融服务</w:t>
            </w:r>
          </w:p>
        </w:tc>
        <w:tc>
          <w:tcPr>
            <w:tcW w:w="1025" w:type="dxa"/>
            <w:vMerge w:val="restart"/>
            <w:vAlign w:val="center"/>
          </w:tcPr>
          <w:p w14:paraId="029D6D4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货币银行服务</w:t>
            </w:r>
          </w:p>
        </w:tc>
        <w:tc>
          <w:tcPr>
            <w:tcW w:w="2836" w:type="dxa"/>
            <w:vMerge w:val="restart"/>
            <w:vAlign w:val="center"/>
          </w:tcPr>
          <w:p w14:paraId="26CDBC5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银行业存款类金融机构</w:t>
            </w:r>
          </w:p>
        </w:tc>
        <w:tc>
          <w:tcPr>
            <w:tcW w:w="606" w:type="dxa"/>
            <w:vAlign w:val="center"/>
          </w:tcPr>
          <w:p w14:paraId="407D03E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10F1DC1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09ED3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52B91C">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3515ED2A">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0FD2971B">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74A4A3D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3043D3E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5881A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24B2FD">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789A3B07">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0E512737">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2771E77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58F0A7C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08176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4F9AE8">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020D45F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非货币银行服务</w:t>
            </w:r>
          </w:p>
        </w:tc>
        <w:tc>
          <w:tcPr>
            <w:tcW w:w="2836" w:type="dxa"/>
            <w:vMerge w:val="restart"/>
            <w:vAlign w:val="center"/>
          </w:tcPr>
          <w:p w14:paraId="35236C7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银行业非存款类金融机构</w:t>
            </w:r>
          </w:p>
        </w:tc>
        <w:tc>
          <w:tcPr>
            <w:tcW w:w="606" w:type="dxa"/>
            <w:vAlign w:val="center"/>
          </w:tcPr>
          <w:p w14:paraId="3E6707E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7D97000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62233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9FB483">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5D66C59B">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2D99D2C2">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746C92A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39B46AB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145A9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AFE9C6">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6382EFB6">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D2F80BB">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1C9845A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729A3E9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1F3A5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1C9976">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54DA6A86">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restart"/>
            <w:vAlign w:val="center"/>
          </w:tcPr>
          <w:p w14:paraId="39BA382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贷款公司、小额贷款公司及典当行</w:t>
            </w:r>
          </w:p>
        </w:tc>
        <w:tc>
          <w:tcPr>
            <w:tcW w:w="606" w:type="dxa"/>
            <w:vAlign w:val="center"/>
          </w:tcPr>
          <w:p w14:paraId="3497C39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393350B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483FD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17233E">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3A7B2CF5">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42029F35">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70EAEBF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45BDF88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0E81A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F0456A">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0536E848">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67A340B5">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549BD7F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63DB8AC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652E0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BBC19B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资本市场服务</w:t>
            </w:r>
          </w:p>
        </w:tc>
        <w:tc>
          <w:tcPr>
            <w:tcW w:w="2836" w:type="dxa"/>
            <w:vMerge w:val="restart"/>
            <w:vAlign w:val="center"/>
          </w:tcPr>
          <w:p w14:paraId="2CEF3B2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证券业金融机构</w:t>
            </w:r>
          </w:p>
        </w:tc>
        <w:tc>
          <w:tcPr>
            <w:tcW w:w="606" w:type="dxa"/>
            <w:vAlign w:val="center"/>
          </w:tcPr>
          <w:p w14:paraId="6D63B16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62AC0FA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100亿元（含）至1000亿元</w:t>
            </w:r>
          </w:p>
        </w:tc>
      </w:tr>
      <w:tr w14:paraId="563CA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58C4FA7">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2509568E">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2B7692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495D37B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10亿元（含）至100亿元</w:t>
            </w:r>
          </w:p>
        </w:tc>
      </w:tr>
      <w:tr w14:paraId="7EF97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11192D3">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220794D">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95EBF5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5143C6D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10亿元以下</w:t>
            </w:r>
          </w:p>
        </w:tc>
      </w:tr>
      <w:tr w14:paraId="79F95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CD8B55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w:t>
            </w:r>
          </w:p>
        </w:tc>
        <w:tc>
          <w:tcPr>
            <w:tcW w:w="2836" w:type="dxa"/>
            <w:vMerge w:val="restart"/>
            <w:vAlign w:val="center"/>
          </w:tcPr>
          <w:p w14:paraId="035E720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保险业金融机构</w:t>
            </w:r>
          </w:p>
        </w:tc>
        <w:tc>
          <w:tcPr>
            <w:tcW w:w="606" w:type="dxa"/>
            <w:vAlign w:val="center"/>
          </w:tcPr>
          <w:p w14:paraId="68F67D2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03856EB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400亿元（含）至5000亿元</w:t>
            </w:r>
          </w:p>
        </w:tc>
      </w:tr>
      <w:tr w14:paraId="69AD0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7B14800">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182B3568">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0E10FEE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70F4FBC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63465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6A93CE0">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B97A697">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74EBA9F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57A9588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2C59A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CF867E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其他金融业</w:t>
            </w:r>
          </w:p>
        </w:tc>
        <w:tc>
          <w:tcPr>
            <w:tcW w:w="1025" w:type="dxa"/>
            <w:vMerge w:val="restart"/>
            <w:vAlign w:val="center"/>
          </w:tcPr>
          <w:p w14:paraId="512307A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金融信托与管理服务</w:t>
            </w:r>
          </w:p>
        </w:tc>
        <w:tc>
          <w:tcPr>
            <w:tcW w:w="2836" w:type="dxa"/>
            <w:vMerge w:val="restart"/>
            <w:vAlign w:val="center"/>
          </w:tcPr>
          <w:p w14:paraId="0480183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信托公司</w:t>
            </w:r>
          </w:p>
        </w:tc>
        <w:tc>
          <w:tcPr>
            <w:tcW w:w="606" w:type="dxa"/>
            <w:vAlign w:val="center"/>
          </w:tcPr>
          <w:p w14:paraId="431C643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2E73F20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400亿元（含）至1000亿元</w:t>
            </w:r>
          </w:p>
        </w:tc>
      </w:tr>
      <w:tr w14:paraId="660F8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99B235">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1429B83B">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78A7DA5F">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6462B1C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6A04F06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044C8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FCFFA8">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6FE67658">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1CA3517">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1E2456F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5513167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50F61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354511">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030D703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控股公司服务</w:t>
            </w:r>
          </w:p>
        </w:tc>
        <w:tc>
          <w:tcPr>
            <w:tcW w:w="2836" w:type="dxa"/>
            <w:vMerge w:val="restart"/>
            <w:vAlign w:val="center"/>
          </w:tcPr>
          <w:p w14:paraId="77CA409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金融控股公司</w:t>
            </w:r>
          </w:p>
        </w:tc>
        <w:tc>
          <w:tcPr>
            <w:tcW w:w="606" w:type="dxa"/>
            <w:vAlign w:val="center"/>
          </w:tcPr>
          <w:p w14:paraId="77CEDE1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63ECCFD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056F0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84E951">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17043E62">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6827B7F">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0727F5B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1A61925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5A74D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6C8229">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40436A85">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151F4D83">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5455F91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39C9A66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5D31C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8402D4">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5889841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其他未包括的金融业</w:t>
            </w:r>
          </w:p>
        </w:tc>
        <w:tc>
          <w:tcPr>
            <w:tcW w:w="2836" w:type="dxa"/>
            <w:vMerge w:val="restart"/>
            <w:vAlign w:val="center"/>
          </w:tcPr>
          <w:p w14:paraId="2B12665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除贷款公司、小额贷款公司及典当行以外的其他金融机构</w:t>
            </w:r>
          </w:p>
        </w:tc>
        <w:tc>
          <w:tcPr>
            <w:tcW w:w="606" w:type="dxa"/>
            <w:vAlign w:val="center"/>
          </w:tcPr>
          <w:p w14:paraId="4587AF8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63A29CC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15FC2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8C30F9">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330A45AB">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0A1D7A0">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271E2F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2F23228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3CD9B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701226">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3335C8BF">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2B623BDC">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01177F6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2CB16A9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bl>
    <w:p w14:paraId="1585697A">
      <w:pPr>
        <w:rPr>
          <w:rFonts w:ascii="仿宋" w:hAnsi="仿宋" w:eastAsia="仿宋" w:cs="仿宋"/>
          <w:color w:val="000000" w:themeColor="text1"/>
          <w:sz w:val="24"/>
          <w:highlight w:val="none"/>
          <w14:textFill>
            <w14:solidFill>
              <w14:schemeClr w14:val="tx1"/>
            </w14:solidFill>
          </w14:textFill>
        </w:rPr>
      </w:pPr>
    </w:p>
    <w:p w14:paraId="6C723A62">
      <w:pPr>
        <w:ind w:firstLine="420" w:firstLineChars="200"/>
        <w:rPr>
          <w:rFonts w:ascii="仿宋" w:hAnsi="仿宋" w:eastAsia="仿宋" w:cs="仿宋"/>
          <w:color w:val="000000" w:themeColor="text1"/>
          <w:highlight w:val="none"/>
          <w14:textFill>
            <w14:solidFill>
              <w14:schemeClr w14:val="tx1"/>
            </w14:solidFill>
          </w14:textFill>
        </w:rPr>
      </w:pPr>
    </w:p>
    <w:p w14:paraId="2659654E">
      <w:pPr>
        <w:spacing w:line="360" w:lineRule="auto"/>
        <w:ind w:right="420"/>
        <w:rPr>
          <w:rFonts w:ascii="仿宋" w:hAnsi="仿宋" w:eastAsia="仿宋" w:cs="仿宋"/>
          <w:color w:val="000000" w:themeColor="text1"/>
          <w:highlight w:val="none"/>
          <w14:textFill>
            <w14:solidFill>
              <w14:schemeClr w14:val="tx1"/>
            </w14:solidFill>
          </w14:textFill>
        </w:rPr>
      </w:pPr>
    </w:p>
    <w:p w14:paraId="1ACCCFAA">
      <w:pPr>
        <w:spacing w:line="360" w:lineRule="auto"/>
        <w:rPr>
          <w:rFonts w:ascii="宋体" w:hAnsi="宋体" w:cs="宋体"/>
          <w:bCs/>
          <w:color w:val="000000" w:themeColor="text1"/>
          <w:sz w:val="24"/>
          <w:highlight w:val="none"/>
          <w14:textFill>
            <w14:solidFill>
              <w14:schemeClr w14:val="tx1"/>
            </w14:solidFill>
          </w14:textFill>
        </w:rPr>
      </w:pPr>
    </w:p>
    <w:p w14:paraId="2EFF2522">
      <w:pPr>
        <w:spacing w:line="360" w:lineRule="auto"/>
        <w:rPr>
          <w:rFonts w:ascii="宋体" w:hAnsi="宋体" w:cs="宋体"/>
          <w:bCs/>
          <w:color w:val="000000" w:themeColor="text1"/>
          <w:sz w:val="24"/>
          <w:highlight w:val="none"/>
          <w14:textFill>
            <w14:solidFill>
              <w14:schemeClr w14:val="tx1"/>
            </w14:solidFill>
          </w14:textFill>
        </w:rPr>
      </w:pPr>
    </w:p>
    <w:sectPr>
      <w:headerReference r:id="rId18" w:type="first"/>
      <w:footerReference r:id="rId21" w:type="first"/>
      <w:headerReference r:id="rId17" w:type="default"/>
      <w:footerReference r:id="rId19" w:type="default"/>
      <w:footerReference r:id="rId20"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9A97F">
    <w:pPr>
      <w:pStyle w:val="40"/>
      <w:framePr w:wrap="around" w:vAnchor="text" w:hAnchor="margin" w:xAlign="right" w:y="1"/>
      <w:rPr>
        <w:rStyle w:val="72"/>
      </w:rPr>
    </w:pPr>
    <w:r>
      <w:fldChar w:fldCharType="begin"/>
    </w:r>
    <w:r>
      <w:rPr>
        <w:rStyle w:val="72"/>
      </w:rPr>
      <w:instrText xml:space="preserve">PAGE  </w:instrText>
    </w:r>
    <w:r>
      <w:fldChar w:fldCharType="end"/>
    </w:r>
  </w:p>
  <w:p w14:paraId="00C2A549">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F6ADB">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F8A50D3">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97</w:t>
                          </w:r>
                          <w:r>
                            <w:rPr>
                              <w:rFonts w:hint="eastAsia" w:ascii="仿宋_GB2312" w:eastAsia="仿宋_GB2312"/>
                              <w:kern w:val="0"/>
                              <w:szCs w:val="21"/>
                            </w:rPr>
                            <w:fldChar w:fldCharType="end"/>
                          </w:r>
                          <w:bookmarkStart w:id="174" w:name="_Toc131845147"/>
                          <w:bookmarkStart w:id="175" w:name="_Toc164085800"/>
                          <w:bookmarkStart w:id="176" w:name="_Toc36110187"/>
                          <w:bookmarkStart w:id="177" w:name="_Toc91899912"/>
                          <w:r>
                            <w:rPr>
                              <w:rFonts w:hint="eastAsia" w:ascii="仿宋_GB2312" w:eastAsia="仿宋_GB2312"/>
                              <w:kern w:val="0"/>
                              <w:szCs w:val="21"/>
                            </w:rPr>
                            <w:t xml:space="preserve"> 页</w:t>
                          </w:r>
                          <w:bookmarkEnd w:id="174"/>
                          <w:bookmarkEnd w:id="175"/>
                          <w:bookmarkEnd w:id="176"/>
                          <w:bookmarkEnd w:id="177"/>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14:paraId="6F8A50D3">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97</w:t>
                    </w:r>
                    <w:r>
                      <w:rPr>
                        <w:rFonts w:hint="eastAsia" w:ascii="仿宋_GB2312" w:eastAsia="仿宋_GB2312"/>
                        <w:kern w:val="0"/>
                        <w:szCs w:val="21"/>
                      </w:rPr>
                      <w:fldChar w:fldCharType="end"/>
                    </w:r>
                    <w:bookmarkStart w:id="174" w:name="_Toc131845147"/>
                    <w:bookmarkStart w:id="175" w:name="_Toc164085800"/>
                    <w:bookmarkStart w:id="176" w:name="_Toc36110187"/>
                    <w:bookmarkStart w:id="177" w:name="_Toc91899912"/>
                    <w:r>
                      <w:rPr>
                        <w:rFonts w:hint="eastAsia" w:ascii="仿宋_GB2312" w:eastAsia="仿宋_GB2312"/>
                        <w:kern w:val="0"/>
                        <w:szCs w:val="21"/>
                      </w:rPr>
                      <w:t xml:space="preserve"> 页</w:t>
                    </w:r>
                    <w:bookmarkEnd w:id="174"/>
                    <w:bookmarkEnd w:id="175"/>
                    <w:bookmarkEnd w:id="176"/>
                    <w:bookmarkEnd w:id="177"/>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185B6">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36C98">
    <w:pPr>
      <w:pStyle w:val="40"/>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FEB3C7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1FEB3C7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EB536">
    <w:pPr>
      <w:pStyle w:val="40"/>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228976B">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5228976B">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90ECABC">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D0E10">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D493291">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1D493291">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636952A">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7CC75">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6BC051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06BC051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19E9B13">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12FA1">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FCC7C22">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7FCC7C22">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901CAE0">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6F3FF">
    <w:pPr>
      <w:pStyle w:val="40"/>
      <w:jc w:val="center"/>
      <w:rPr>
        <w:rFonts w:ascii="仿宋_GB2312" w:eastAsia="仿宋_GB2312"/>
        <w:szCs w:val="24"/>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92BD608">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97</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14:paraId="192BD608">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97</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4AD86">
    <w:pPr>
      <w:pStyle w:val="40"/>
      <w:framePr w:wrap="around" w:vAnchor="text" w:hAnchor="margin" w:xAlign="right" w:y="1"/>
      <w:rPr>
        <w:rStyle w:val="72"/>
      </w:rPr>
    </w:pPr>
    <w:r>
      <w:fldChar w:fldCharType="begin"/>
    </w:r>
    <w:r>
      <w:rPr>
        <w:rStyle w:val="72"/>
      </w:rPr>
      <w:instrText xml:space="preserve">PAGE  </w:instrText>
    </w:r>
    <w:r>
      <w:fldChar w:fldCharType="end"/>
    </w:r>
  </w:p>
  <w:p w14:paraId="3F940F4D">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65EF4">
    <w:pPr>
      <w:pStyle w:val="41"/>
      <w:jc w:val="left"/>
      <w:rPr>
        <w:rFonts w:hint="eastAsia" w:eastAsia="仿宋"/>
        <w:lang w:eastAsia="zh-CN"/>
      </w:rPr>
    </w:pPr>
    <w:r>
      <w:rPr>
        <w:rFonts w:hint="eastAsia" w:ascii="仿宋" w:hAnsi="仿宋" w:eastAsia="仿宋" w:cs="仿宋"/>
        <w:lang w:eastAsia="zh-CN"/>
      </w:rPr>
      <w:t>浙江景成工程管理有限公司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绍柯采[2025]1143号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DB7DF">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2317C">
    <w:pPr>
      <w:pStyle w:val="41"/>
      <w:jc w:val="left"/>
      <w:rPr>
        <w:rFonts w:hint="eastAsia" w:ascii="仿宋" w:hAnsi="仿宋" w:eastAsia="仿宋" w:cs="仿宋"/>
        <w:lang w:eastAsia="zh-CN"/>
      </w:rPr>
    </w:pPr>
    <w:r>
      <w:rPr>
        <w:rFonts w:hint="eastAsia" w:ascii="仿宋" w:hAnsi="仿宋" w:eastAsia="仿宋" w:cs="仿宋"/>
        <w:lang w:eastAsia="zh-CN"/>
      </w:rPr>
      <w:t>浙江景成工程管理有限公司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绍柯采[2025]1143号</w:t>
    </w:r>
  </w:p>
  <w:p w14:paraId="762E8B6A">
    <w:pPr>
      <w:pStyle w:val="41"/>
      <w:pBdr>
        <w:bottom w:val="none" w:color="auto" w:sz="0" w:space="0"/>
      </w:pBdr>
      <w:tabs>
        <w:tab w:val="clear" w:pos="4153"/>
        <w:tab w:val="clear" w:pos="8306"/>
      </w:tabs>
      <w:jc w:val="both"/>
    </w:pPr>
  </w:p>
  <w:p w14:paraId="30BC8F46">
    <w:pPr>
      <w:pStyle w:val="41"/>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BC48E">
    <w:pPr>
      <w:pStyle w:val="41"/>
      <w:jc w:val="left"/>
      <w:rPr>
        <w:rFonts w:hint="eastAsia" w:ascii="仿宋_GB2312" w:eastAsia="仿宋"/>
        <w:i/>
        <w:u w:val="single"/>
        <w:lang w:eastAsia="zh-CN"/>
      </w:rPr>
    </w:pPr>
    <w:r>
      <w:t></w:t>
    </w:r>
    <w:r>
      <w:rPr>
        <w:rFonts w:hint="eastAsia" w:ascii="仿宋" w:hAnsi="仿宋" w:eastAsia="仿宋" w:cs="仿宋"/>
        <w:lang w:eastAsia="zh-CN"/>
      </w:rPr>
      <w:t>浙江景成工程管理有限公司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绍柯采[2025]1143号</w:t>
    </w:r>
  </w:p>
  <w:p w14:paraId="582A5CBF">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CDCA9">
    <w:pPr>
      <w:pStyle w:val="41"/>
      <w:jc w:val="left"/>
      <w:rPr>
        <w:rFonts w:hint="eastAsia" w:ascii="仿宋_GB2312" w:eastAsia="仿宋"/>
        <w:i/>
        <w:u w:val="single"/>
        <w:lang w:eastAsia="zh-CN"/>
      </w:rPr>
    </w:pPr>
    <w:r>
      <w:t></w:t>
    </w:r>
    <w:r>
      <w:rPr>
        <w:rFonts w:hint="eastAsia" w:ascii="仿宋" w:hAnsi="仿宋" w:eastAsia="仿宋" w:cs="仿宋"/>
        <w:lang w:eastAsia="zh-CN"/>
      </w:rPr>
      <w:t>浙江景成工程管理有限公司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绍柯采[2025]1143号</w:t>
    </w:r>
  </w:p>
  <w:p w14:paraId="4A8428FF">
    <w:pPr>
      <w:pStyle w:val="41"/>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42EBB">
    <w:pPr>
      <w:pStyle w:val="41"/>
      <w:jc w:val="left"/>
      <w:rPr>
        <w:rFonts w:hint="eastAsia" w:ascii="仿宋_GB2312" w:eastAsia="仿宋"/>
        <w:b/>
        <w:i/>
        <w:u w:val="single"/>
        <w:lang w:eastAsia="zh-CN"/>
      </w:rPr>
    </w:pPr>
    <w:r>
      <w:rPr>
        <w:rFonts w:hint="eastAsia" w:ascii="仿宋" w:hAnsi="仿宋" w:eastAsia="仿宋" w:cs="仿宋"/>
      </w:rPr>
      <w:t xml:space="preserve">浙江首信项目管理有限公司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绍柯采[2025]1143号</w:t>
    </w:r>
  </w:p>
  <w:p w14:paraId="313AC257">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4BDFA">
    <w:pPr>
      <w:pStyle w:val="41"/>
      <w:jc w:val="left"/>
      <w:rPr>
        <w:rFonts w:hint="eastAsia" w:ascii="仿宋_GB2312" w:eastAsia="仿宋"/>
        <w:i/>
        <w:u w:val="single"/>
        <w:lang w:eastAsia="zh-CN"/>
      </w:rPr>
    </w:pPr>
    <w:r>
      <w:rPr>
        <w:rFonts w:hint="eastAsia" w:ascii="仿宋" w:hAnsi="仿宋" w:eastAsia="仿宋" w:cs="仿宋"/>
        <w:lang w:eastAsia="zh-CN"/>
      </w:rPr>
      <w:t>浙江景成工程管理有限公司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绍柯采[2025]1143号</w:t>
    </w:r>
  </w:p>
  <w:p w14:paraId="1A11C87E">
    <w:pPr>
      <w:pStyle w:val="41"/>
      <w:pBdr>
        <w:bottom w:val="none" w:color="auto" w:sz="0" w:space="1"/>
      </w:pBd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28290">
    <w:pPr>
      <w:pStyle w:val="41"/>
      <w:jc w:val="left"/>
      <w:rPr>
        <w:rFonts w:hint="eastAsia" w:eastAsia="仿宋"/>
        <w:lang w:eastAsia="zh-CN"/>
      </w:rPr>
    </w:pPr>
    <w:r>
      <w:rPr>
        <w:rFonts w:hint="eastAsia" w:ascii="仿宋" w:hAnsi="仿宋" w:eastAsia="仿宋" w:cs="仿宋"/>
        <w:lang w:eastAsia="zh-CN"/>
      </w:rPr>
      <w:t>浙江景成工程管理有限公司</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绍柯采[2025]1143号</w:t>
    </w:r>
  </w:p>
  <w:p w14:paraId="47FEB567">
    <w:pPr>
      <w:pStyle w:val="41"/>
      <w:pBdr>
        <w:bottom w:val="none" w:color="auto" w:sz="0" w:space="1"/>
      </w:pBdr>
      <w:jc w:val="both"/>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5B50A">
    <w:pPr>
      <w:pStyle w:val="41"/>
      <w:jc w:val="left"/>
      <w:rPr>
        <w:rFonts w:hint="eastAsia" w:ascii="仿宋_GB2312" w:eastAsia="仿宋"/>
        <w:i/>
        <w:u w:val="single"/>
        <w:lang w:eastAsia="zh-CN"/>
      </w:rPr>
    </w:pPr>
    <w:r>
      <w:rPr>
        <w:rFonts w:hint="eastAsia" w:ascii="仿宋" w:hAnsi="仿宋" w:eastAsia="仿宋" w:cs="仿宋"/>
        <w:lang w:eastAsia="zh-CN"/>
      </w:rPr>
      <w:t>浙江景成工程管理有限公司</w:t>
    </w:r>
    <w:r>
      <w:rPr>
        <w:rFonts w:hint="eastAsia" w:ascii="仿宋" w:hAnsi="仿宋" w:eastAsia="仿宋" w:cs="仿宋"/>
      </w:rPr>
      <w:t>文件编号:</w:t>
    </w:r>
    <w:r>
      <w:rPr>
        <w:rFonts w:hint="eastAsia" w:ascii="仿宋" w:hAnsi="仿宋" w:eastAsia="仿宋" w:cs="仿宋"/>
        <w:lang w:eastAsia="zh-CN"/>
      </w:rPr>
      <w:t>绍柯采[2025]1143号</w:t>
    </w:r>
  </w:p>
  <w:p w14:paraId="183E2D58">
    <w:pPr>
      <w:pStyle w:val="41"/>
      <w:pBdr>
        <w:bottom w:val="none" w:color="auto" w:sz="0" w:space="1"/>
      </w:pBd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diY2ExZDc0YjRiMjFjMzY4YmJiNzk0YzE4ZDgzNzAifQ=="/>
    <w:docVar w:name="KSO_WPS_MARK_KEY" w:val="57dbe859-384a-4b97-aaf5-3f8a6b868f45"/>
  </w:docVars>
  <w:rsids>
    <w:rsidRoot w:val="00172A27"/>
    <w:rsid w:val="0002388D"/>
    <w:rsid w:val="00023F4D"/>
    <w:rsid w:val="001725C4"/>
    <w:rsid w:val="00172A27"/>
    <w:rsid w:val="001E7F17"/>
    <w:rsid w:val="0020247D"/>
    <w:rsid w:val="00221714"/>
    <w:rsid w:val="00282C2B"/>
    <w:rsid w:val="003310E0"/>
    <w:rsid w:val="004D151D"/>
    <w:rsid w:val="00807FE1"/>
    <w:rsid w:val="00835B88"/>
    <w:rsid w:val="00861291"/>
    <w:rsid w:val="008A3FB2"/>
    <w:rsid w:val="008E25BB"/>
    <w:rsid w:val="00AF1E20"/>
    <w:rsid w:val="00B34AC1"/>
    <w:rsid w:val="00BC7294"/>
    <w:rsid w:val="00C56ECA"/>
    <w:rsid w:val="00CD0CF5"/>
    <w:rsid w:val="00CE76C3"/>
    <w:rsid w:val="00D071AD"/>
    <w:rsid w:val="00DA2FEF"/>
    <w:rsid w:val="00DD09EF"/>
    <w:rsid w:val="00E7419B"/>
    <w:rsid w:val="00EC0E91"/>
    <w:rsid w:val="00F67D0C"/>
    <w:rsid w:val="00F94844"/>
    <w:rsid w:val="012706E7"/>
    <w:rsid w:val="012D4E61"/>
    <w:rsid w:val="013F5AB4"/>
    <w:rsid w:val="01822573"/>
    <w:rsid w:val="01AB103F"/>
    <w:rsid w:val="02013C18"/>
    <w:rsid w:val="0256755B"/>
    <w:rsid w:val="02D179C5"/>
    <w:rsid w:val="02D634CE"/>
    <w:rsid w:val="035BEF8B"/>
    <w:rsid w:val="04704C2C"/>
    <w:rsid w:val="050F05C1"/>
    <w:rsid w:val="05D830A9"/>
    <w:rsid w:val="05E673F0"/>
    <w:rsid w:val="068D2ABC"/>
    <w:rsid w:val="069C58E4"/>
    <w:rsid w:val="06F21E30"/>
    <w:rsid w:val="07050D9D"/>
    <w:rsid w:val="0748797D"/>
    <w:rsid w:val="078F1A2B"/>
    <w:rsid w:val="07ED06E0"/>
    <w:rsid w:val="09523172"/>
    <w:rsid w:val="09691794"/>
    <w:rsid w:val="097A0AC7"/>
    <w:rsid w:val="09BE7F3C"/>
    <w:rsid w:val="09CB7D0D"/>
    <w:rsid w:val="09EB2C7F"/>
    <w:rsid w:val="0A2004B1"/>
    <w:rsid w:val="0A5D50D2"/>
    <w:rsid w:val="0A693121"/>
    <w:rsid w:val="0A6A2C79"/>
    <w:rsid w:val="0A8B6BDA"/>
    <w:rsid w:val="0ADE6ADF"/>
    <w:rsid w:val="0B194746"/>
    <w:rsid w:val="0B6158EF"/>
    <w:rsid w:val="0B7B7D63"/>
    <w:rsid w:val="0B9419B6"/>
    <w:rsid w:val="0C4548C9"/>
    <w:rsid w:val="0C8B3B1A"/>
    <w:rsid w:val="0CB85725"/>
    <w:rsid w:val="0CD8034A"/>
    <w:rsid w:val="0D5D5C42"/>
    <w:rsid w:val="0D865199"/>
    <w:rsid w:val="0E09759B"/>
    <w:rsid w:val="0E38593A"/>
    <w:rsid w:val="0E5A03D3"/>
    <w:rsid w:val="0E657E7C"/>
    <w:rsid w:val="0EA14163"/>
    <w:rsid w:val="0EB837FD"/>
    <w:rsid w:val="0F096B8F"/>
    <w:rsid w:val="0F1B577B"/>
    <w:rsid w:val="0F362329"/>
    <w:rsid w:val="0F5D130C"/>
    <w:rsid w:val="0F63063F"/>
    <w:rsid w:val="0F6634D4"/>
    <w:rsid w:val="0F9477AA"/>
    <w:rsid w:val="0FE37869"/>
    <w:rsid w:val="0FF94348"/>
    <w:rsid w:val="103E7FAD"/>
    <w:rsid w:val="10685029"/>
    <w:rsid w:val="10702130"/>
    <w:rsid w:val="10CC55B8"/>
    <w:rsid w:val="10EB7ABE"/>
    <w:rsid w:val="11072516"/>
    <w:rsid w:val="112F34D4"/>
    <w:rsid w:val="114769A1"/>
    <w:rsid w:val="115E45A5"/>
    <w:rsid w:val="11B81406"/>
    <w:rsid w:val="12042B30"/>
    <w:rsid w:val="135D4BEE"/>
    <w:rsid w:val="135D5823"/>
    <w:rsid w:val="13813031"/>
    <w:rsid w:val="13C95DDF"/>
    <w:rsid w:val="145F4995"/>
    <w:rsid w:val="14A10B0A"/>
    <w:rsid w:val="14AB1989"/>
    <w:rsid w:val="151412DC"/>
    <w:rsid w:val="15185ADB"/>
    <w:rsid w:val="154C3C5D"/>
    <w:rsid w:val="154F3E91"/>
    <w:rsid w:val="15BC0FF8"/>
    <w:rsid w:val="15D12A9F"/>
    <w:rsid w:val="161377E5"/>
    <w:rsid w:val="169C0980"/>
    <w:rsid w:val="16C777FE"/>
    <w:rsid w:val="16DE6045"/>
    <w:rsid w:val="16F64FC5"/>
    <w:rsid w:val="170037C5"/>
    <w:rsid w:val="173B66C4"/>
    <w:rsid w:val="1797518C"/>
    <w:rsid w:val="185A0968"/>
    <w:rsid w:val="186E6F48"/>
    <w:rsid w:val="18DA0A8E"/>
    <w:rsid w:val="18E60774"/>
    <w:rsid w:val="1933711B"/>
    <w:rsid w:val="194A510F"/>
    <w:rsid w:val="19726F19"/>
    <w:rsid w:val="19BE72D2"/>
    <w:rsid w:val="1A45460D"/>
    <w:rsid w:val="1A8005FA"/>
    <w:rsid w:val="1A98650B"/>
    <w:rsid w:val="1B075BBD"/>
    <w:rsid w:val="1B245F4B"/>
    <w:rsid w:val="1B5E1503"/>
    <w:rsid w:val="1BC72207"/>
    <w:rsid w:val="1BE0460E"/>
    <w:rsid w:val="1C266597"/>
    <w:rsid w:val="1CBC0BD7"/>
    <w:rsid w:val="1CFE2569"/>
    <w:rsid w:val="1D0A6937"/>
    <w:rsid w:val="1D2F1C3B"/>
    <w:rsid w:val="1D8334A3"/>
    <w:rsid w:val="1E00770A"/>
    <w:rsid w:val="1E3824DF"/>
    <w:rsid w:val="1E8841DB"/>
    <w:rsid w:val="1EDD34FE"/>
    <w:rsid w:val="1F1F369F"/>
    <w:rsid w:val="1FBFFEB0"/>
    <w:rsid w:val="1FF05470"/>
    <w:rsid w:val="200B351B"/>
    <w:rsid w:val="208A613A"/>
    <w:rsid w:val="20B12F40"/>
    <w:rsid w:val="20C444FE"/>
    <w:rsid w:val="20F052F3"/>
    <w:rsid w:val="20F52909"/>
    <w:rsid w:val="20FE42D5"/>
    <w:rsid w:val="20FF36FB"/>
    <w:rsid w:val="21C15B38"/>
    <w:rsid w:val="22090884"/>
    <w:rsid w:val="22317971"/>
    <w:rsid w:val="22435127"/>
    <w:rsid w:val="22615A67"/>
    <w:rsid w:val="228B3327"/>
    <w:rsid w:val="228D7610"/>
    <w:rsid w:val="22C3204C"/>
    <w:rsid w:val="22FF4B69"/>
    <w:rsid w:val="23211EB0"/>
    <w:rsid w:val="232E3EB1"/>
    <w:rsid w:val="23337719"/>
    <w:rsid w:val="238F68D9"/>
    <w:rsid w:val="23BF7091"/>
    <w:rsid w:val="24066BDB"/>
    <w:rsid w:val="24682975"/>
    <w:rsid w:val="24881AE7"/>
    <w:rsid w:val="24AF66F7"/>
    <w:rsid w:val="24B93C4E"/>
    <w:rsid w:val="256C0CC0"/>
    <w:rsid w:val="25711C1B"/>
    <w:rsid w:val="25853C66"/>
    <w:rsid w:val="259D7993"/>
    <w:rsid w:val="25EA1554"/>
    <w:rsid w:val="26997893"/>
    <w:rsid w:val="26E457BB"/>
    <w:rsid w:val="275DFFED"/>
    <w:rsid w:val="27724EE3"/>
    <w:rsid w:val="27781B0F"/>
    <w:rsid w:val="279C61D3"/>
    <w:rsid w:val="282C4119"/>
    <w:rsid w:val="28425D08"/>
    <w:rsid w:val="28507308"/>
    <w:rsid w:val="28E00B2D"/>
    <w:rsid w:val="290114EB"/>
    <w:rsid w:val="293276A6"/>
    <w:rsid w:val="297209A7"/>
    <w:rsid w:val="298218E8"/>
    <w:rsid w:val="298C321D"/>
    <w:rsid w:val="29DB280F"/>
    <w:rsid w:val="2A3A138D"/>
    <w:rsid w:val="2A3F0BA2"/>
    <w:rsid w:val="2A5A5C60"/>
    <w:rsid w:val="2A9C153D"/>
    <w:rsid w:val="2A9F38E6"/>
    <w:rsid w:val="2AC12217"/>
    <w:rsid w:val="2ACB1715"/>
    <w:rsid w:val="2AFA6E42"/>
    <w:rsid w:val="2B481888"/>
    <w:rsid w:val="2B6A39AF"/>
    <w:rsid w:val="2B8C3F45"/>
    <w:rsid w:val="2BA62429"/>
    <w:rsid w:val="2BBD04C8"/>
    <w:rsid w:val="2C033818"/>
    <w:rsid w:val="2C130A76"/>
    <w:rsid w:val="2C29790B"/>
    <w:rsid w:val="2C3F712F"/>
    <w:rsid w:val="2C527DA2"/>
    <w:rsid w:val="2C5318D5"/>
    <w:rsid w:val="2CD258AD"/>
    <w:rsid w:val="2CE675AA"/>
    <w:rsid w:val="2D183C20"/>
    <w:rsid w:val="2D1B4474"/>
    <w:rsid w:val="2D3B78F6"/>
    <w:rsid w:val="2D401D7D"/>
    <w:rsid w:val="2D636E4D"/>
    <w:rsid w:val="2D8F7653"/>
    <w:rsid w:val="2EE05A21"/>
    <w:rsid w:val="2F0C0A43"/>
    <w:rsid w:val="2F1203F2"/>
    <w:rsid w:val="2FED1391"/>
    <w:rsid w:val="301408B9"/>
    <w:rsid w:val="302D1A89"/>
    <w:rsid w:val="304237CB"/>
    <w:rsid w:val="307360B4"/>
    <w:rsid w:val="30A8543A"/>
    <w:rsid w:val="30CD01D9"/>
    <w:rsid w:val="31533344"/>
    <w:rsid w:val="319B575E"/>
    <w:rsid w:val="31DB0B80"/>
    <w:rsid w:val="31DD33D0"/>
    <w:rsid w:val="31DE2F46"/>
    <w:rsid w:val="31F369F1"/>
    <w:rsid w:val="32052280"/>
    <w:rsid w:val="32195D2C"/>
    <w:rsid w:val="321F6F3E"/>
    <w:rsid w:val="3221146F"/>
    <w:rsid w:val="32321DDA"/>
    <w:rsid w:val="324234D5"/>
    <w:rsid w:val="326F4556"/>
    <w:rsid w:val="32D103B5"/>
    <w:rsid w:val="33085308"/>
    <w:rsid w:val="33097011"/>
    <w:rsid w:val="345B262C"/>
    <w:rsid w:val="34755FBF"/>
    <w:rsid w:val="34927A59"/>
    <w:rsid w:val="34FF56AD"/>
    <w:rsid w:val="352549E8"/>
    <w:rsid w:val="353D263B"/>
    <w:rsid w:val="360D5BA8"/>
    <w:rsid w:val="362F2E68"/>
    <w:rsid w:val="36520679"/>
    <w:rsid w:val="36A040E7"/>
    <w:rsid w:val="37415715"/>
    <w:rsid w:val="377922E1"/>
    <w:rsid w:val="37AA1BDC"/>
    <w:rsid w:val="38796197"/>
    <w:rsid w:val="38904AB5"/>
    <w:rsid w:val="38A15888"/>
    <w:rsid w:val="38A40870"/>
    <w:rsid w:val="38C73DFB"/>
    <w:rsid w:val="38CC34FA"/>
    <w:rsid w:val="39102474"/>
    <w:rsid w:val="39216B01"/>
    <w:rsid w:val="39475874"/>
    <w:rsid w:val="398919E9"/>
    <w:rsid w:val="39A20CFD"/>
    <w:rsid w:val="39DC7A1B"/>
    <w:rsid w:val="39F46179"/>
    <w:rsid w:val="3A352A2C"/>
    <w:rsid w:val="3A540569"/>
    <w:rsid w:val="3A5408F4"/>
    <w:rsid w:val="3A7570A0"/>
    <w:rsid w:val="3AB17449"/>
    <w:rsid w:val="3B567FF1"/>
    <w:rsid w:val="3B9528C7"/>
    <w:rsid w:val="3C015F1D"/>
    <w:rsid w:val="3C290FB9"/>
    <w:rsid w:val="3C664263"/>
    <w:rsid w:val="3CA3789E"/>
    <w:rsid w:val="3CA52FDE"/>
    <w:rsid w:val="3CC316B6"/>
    <w:rsid w:val="3E152713"/>
    <w:rsid w:val="3E3D433B"/>
    <w:rsid w:val="3E574F0E"/>
    <w:rsid w:val="3E6DF6DC"/>
    <w:rsid w:val="3EFE0783"/>
    <w:rsid w:val="3F8805CA"/>
    <w:rsid w:val="3FCFDA4A"/>
    <w:rsid w:val="3FF63E3E"/>
    <w:rsid w:val="40155D85"/>
    <w:rsid w:val="4043468C"/>
    <w:rsid w:val="40730CFD"/>
    <w:rsid w:val="407F3835"/>
    <w:rsid w:val="408B29C6"/>
    <w:rsid w:val="40A24EE0"/>
    <w:rsid w:val="40B75386"/>
    <w:rsid w:val="41307A7B"/>
    <w:rsid w:val="41A82C28"/>
    <w:rsid w:val="421A6238"/>
    <w:rsid w:val="427E60E8"/>
    <w:rsid w:val="429C09DF"/>
    <w:rsid w:val="43361F5E"/>
    <w:rsid w:val="435B43F6"/>
    <w:rsid w:val="43B35A16"/>
    <w:rsid w:val="43EA3469"/>
    <w:rsid w:val="43F14D5A"/>
    <w:rsid w:val="44242FCC"/>
    <w:rsid w:val="44B51DA1"/>
    <w:rsid w:val="44B6424B"/>
    <w:rsid w:val="455455A1"/>
    <w:rsid w:val="45CD1448"/>
    <w:rsid w:val="47120C28"/>
    <w:rsid w:val="47161613"/>
    <w:rsid w:val="475C698F"/>
    <w:rsid w:val="47835CCA"/>
    <w:rsid w:val="489B5B6C"/>
    <w:rsid w:val="491A440C"/>
    <w:rsid w:val="49AE2F15"/>
    <w:rsid w:val="49EA64D4"/>
    <w:rsid w:val="4AA04D0E"/>
    <w:rsid w:val="4ADA7312"/>
    <w:rsid w:val="4B5856BF"/>
    <w:rsid w:val="4B763D8E"/>
    <w:rsid w:val="4B9F6F7C"/>
    <w:rsid w:val="4BB9615E"/>
    <w:rsid w:val="4BC44B03"/>
    <w:rsid w:val="4BDA60D4"/>
    <w:rsid w:val="4BE76075"/>
    <w:rsid w:val="4CC811B9"/>
    <w:rsid w:val="4CF02F19"/>
    <w:rsid w:val="4D7367E0"/>
    <w:rsid w:val="4DCD36EB"/>
    <w:rsid w:val="4DE91580"/>
    <w:rsid w:val="4E530E23"/>
    <w:rsid w:val="4EBE2EB6"/>
    <w:rsid w:val="4EDC7FC8"/>
    <w:rsid w:val="4EE85483"/>
    <w:rsid w:val="4EFA45AB"/>
    <w:rsid w:val="4F4B3D85"/>
    <w:rsid w:val="4F8503B4"/>
    <w:rsid w:val="504B134F"/>
    <w:rsid w:val="506840C5"/>
    <w:rsid w:val="513242BC"/>
    <w:rsid w:val="51B82A14"/>
    <w:rsid w:val="51CA3430"/>
    <w:rsid w:val="53D33244"/>
    <w:rsid w:val="53ED03DE"/>
    <w:rsid w:val="54111E99"/>
    <w:rsid w:val="54446715"/>
    <w:rsid w:val="54A62A09"/>
    <w:rsid w:val="55557E9D"/>
    <w:rsid w:val="55C11D64"/>
    <w:rsid w:val="564D58E7"/>
    <w:rsid w:val="56501F08"/>
    <w:rsid w:val="56764C4B"/>
    <w:rsid w:val="568B06F7"/>
    <w:rsid w:val="56955EC3"/>
    <w:rsid w:val="57472D1B"/>
    <w:rsid w:val="5765363E"/>
    <w:rsid w:val="57B97181"/>
    <w:rsid w:val="57CC35D0"/>
    <w:rsid w:val="57F01045"/>
    <w:rsid w:val="5886087C"/>
    <w:rsid w:val="58AC5A63"/>
    <w:rsid w:val="58B303FF"/>
    <w:rsid w:val="58D02D39"/>
    <w:rsid w:val="590636E5"/>
    <w:rsid w:val="59124A1E"/>
    <w:rsid w:val="596576A6"/>
    <w:rsid w:val="59A8072C"/>
    <w:rsid w:val="59AA358A"/>
    <w:rsid w:val="59BB69C3"/>
    <w:rsid w:val="59D57377"/>
    <w:rsid w:val="5A2C5B56"/>
    <w:rsid w:val="5AF078D1"/>
    <w:rsid w:val="5B2759BA"/>
    <w:rsid w:val="5B73EE39"/>
    <w:rsid w:val="5BFE196B"/>
    <w:rsid w:val="5C581867"/>
    <w:rsid w:val="5C7550A1"/>
    <w:rsid w:val="5CA06E14"/>
    <w:rsid w:val="5CDA7BA2"/>
    <w:rsid w:val="5CFAC9C4"/>
    <w:rsid w:val="5DD83E1C"/>
    <w:rsid w:val="5E334DCB"/>
    <w:rsid w:val="5E562092"/>
    <w:rsid w:val="5E6261E1"/>
    <w:rsid w:val="5E9345EC"/>
    <w:rsid w:val="5EA734E4"/>
    <w:rsid w:val="5F042B46"/>
    <w:rsid w:val="5F0E7BC7"/>
    <w:rsid w:val="5F221E14"/>
    <w:rsid w:val="5F4C72CA"/>
    <w:rsid w:val="5F561B6F"/>
    <w:rsid w:val="5F57E5CA"/>
    <w:rsid w:val="5F693276"/>
    <w:rsid w:val="5FC27F9A"/>
    <w:rsid w:val="617213B6"/>
    <w:rsid w:val="61AF6A92"/>
    <w:rsid w:val="61DA69D6"/>
    <w:rsid w:val="6232458F"/>
    <w:rsid w:val="62DC368C"/>
    <w:rsid w:val="6315592F"/>
    <w:rsid w:val="633108B9"/>
    <w:rsid w:val="6347009B"/>
    <w:rsid w:val="63C60D9A"/>
    <w:rsid w:val="643147FC"/>
    <w:rsid w:val="645007D8"/>
    <w:rsid w:val="64AFCBD0"/>
    <w:rsid w:val="65472817"/>
    <w:rsid w:val="65A03C6A"/>
    <w:rsid w:val="65EB348B"/>
    <w:rsid w:val="66304E17"/>
    <w:rsid w:val="669C35D3"/>
    <w:rsid w:val="670C04C4"/>
    <w:rsid w:val="67C35F6E"/>
    <w:rsid w:val="68522A3E"/>
    <w:rsid w:val="688B2364"/>
    <w:rsid w:val="68B83154"/>
    <w:rsid w:val="695B664F"/>
    <w:rsid w:val="69624CBE"/>
    <w:rsid w:val="6A7E7B5D"/>
    <w:rsid w:val="6AFF2A6C"/>
    <w:rsid w:val="6B215F14"/>
    <w:rsid w:val="6B3610CD"/>
    <w:rsid w:val="6B480E55"/>
    <w:rsid w:val="6B4E646B"/>
    <w:rsid w:val="6CCA20EC"/>
    <w:rsid w:val="6CD10152"/>
    <w:rsid w:val="6CE71F6D"/>
    <w:rsid w:val="6D29110E"/>
    <w:rsid w:val="6D583155"/>
    <w:rsid w:val="6D677957"/>
    <w:rsid w:val="6DAF616D"/>
    <w:rsid w:val="6E5F098F"/>
    <w:rsid w:val="6EBAEEF7"/>
    <w:rsid w:val="6ED22F0F"/>
    <w:rsid w:val="6F11681F"/>
    <w:rsid w:val="6F571290"/>
    <w:rsid w:val="6FC37AD4"/>
    <w:rsid w:val="702E23C7"/>
    <w:rsid w:val="70910BA8"/>
    <w:rsid w:val="70F869CD"/>
    <w:rsid w:val="71493231"/>
    <w:rsid w:val="717E12CB"/>
    <w:rsid w:val="71AD7BD9"/>
    <w:rsid w:val="727A5D97"/>
    <w:rsid w:val="72B6327F"/>
    <w:rsid w:val="72C6616E"/>
    <w:rsid w:val="731267E8"/>
    <w:rsid w:val="732E26DE"/>
    <w:rsid w:val="733F5811"/>
    <w:rsid w:val="734747AB"/>
    <w:rsid w:val="740B2A1F"/>
    <w:rsid w:val="74493C73"/>
    <w:rsid w:val="74FD4A5E"/>
    <w:rsid w:val="752D3F1E"/>
    <w:rsid w:val="7596337E"/>
    <w:rsid w:val="75B415C0"/>
    <w:rsid w:val="75D811A4"/>
    <w:rsid w:val="760343CA"/>
    <w:rsid w:val="77343747"/>
    <w:rsid w:val="778C4711"/>
    <w:rsid w:val="778CFDC4"/>
    <w:rsid w:val="77B533CE"/>
    <w:rsid w:val="77EDE09C"/>
    <w:rsid w:val="787465B6"/>
    <w:rsid w:val="78A52E74"/>
    <w:rsid w:val="78AD1F79"/>
    <w:rsid w:val="78E601D0"/>
    <w:rsid w:val="79B31B8F"/>
    <w:rsid w:val="7A785944"/>
    <w:rsid w:val="7AD2794A"/>
    <w:rsid w:val="7B0F6B0F"/>
    <w:rsid w:val="7B432FC7"/>
    <w:rsid w:val="7B590514"/>
    <w:rsid w:val="7B9844AF"/>
    <w:rsid w:val="7BFC278B"/>
    <w:rsid w:val="7C7C095E"/>
    <w:rsid w:val="7CAE594A"/>
    <w:rsid w:val="7CDF1FF3"/>
    <w:rsid w:val="7D321345"/>
    <w:rsid w:val="7D3D00ED"/>
    <w:rsid w:val="7D4B0EE3"/>
    <w:rsid w:val="7D9E7019"/>
    <w:rsid w:val="7DFF3A1B"/>
    <w:rsid w:val="7E203CC6"/>
    <w:rsid w:val="7E464D80"/>
    <w:rsid w:val="7EBC14E6"/>
    <w:rsid w:val="7F2A5316"/>
    <w:rsid w:val="7F333286"/>
    <w:rsid w:val="7F820039"/>
    <w:rsid w:val="7F8F3260"/>
    <w:rsid w:val="7FA25247"/>
    <w:rsid w:val="7FCE9F2A"/>
    <w:rsid w:val="7FEB7768"/>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link w:val="320"/>
    <w:qFormat/>
    <w:uiPriority w:val="0"/>
    <w:pPr>
      <w:ind w:firstLine="420"/>
    </w:pPr>
    <w:rPr>
      <w:rFonts w:hAnsi="Calibri" w:cs="Times New Roman"/>
      <w:snapToGrid/>
      <w:szCs w:val="20"/>
    </w:rPr>
  </w:style>
  <w:style w:type="paragraph" w:styleId="3">
    <w:name w:val="Body Text"/>
    <w:basedOn w:val="1"/>
    <w:link w:val="429"/>
    <w:qFormat/>
    <w:uiPriority w:val="0"/>
    <w:pPr>
      <w:autoSpaceDE w:val="0"/>
      <w:autoSpaceDN w:val="0"/>
      <w:spacing w:line="360" w:lineRule="auto"/>
    </w:pPr>
    <w:rPr>
      <w:rFonts w:ascii="宋体" w:hAnsi="Arial" w:cs="Arial"/>
      <w:snapToGrid w:val="0"/>
      <w:sz w:val="24"/>
      <w:szCs w:val="21"/>
      <w:lang w:val="zh-CN"/>
    </w:rPr>
  </w:style>
  <w:style w:type="paragraph" w:styleId="7">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caption"/>
    <w:basedOn w:val="1"/>
    <w:next w:val="1"/>
    <w:link w:val="229"/>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2"/>
    <w:qFormat/>
    <w:uiPriority w:val="0"/>
    <w:pPr>
      <w:shd w:val="clear" w:color="auto" w:fill="000080"/>
    </w:pPr>
  </w:style>
  <w:style w:type="paragraph" w:styleId="21">
    <w:name w:val="annotation text"/>
    <w:basedOn w:val="1"/>
    <w:link w:val="343"/>
    <w:qFormat/>
    <w:uiPriority w:val="99"/>
    <w:pPr>
      <w:jc w:val="left"/>
    </w:pPr>
  </w:style>
  <w:style w:type="paragraph" w:styleId="22">
    <w:name w:val="Salutation"/>
    <w:basedOn w:val="1"/>
    <w:next w:val="1"/>
    <w:link w:val="297"/>
    <w:qFormat/>
    <w:uiPriority w:val="0"/>
    <w:rPr>
      <w:rFonts w:ascii="仿宋_GB2312" w:eastAsia="仿宋_GB2312"/>
      <w:sz w:val="28"/>
      <w:szCs w:val="20"/>
    </w:rPr>
  </w:style>
  <w:style w:type="paragraph" w:styleId="23">
    <w:name w:val="Body Text 3"/>
    <w:basedOn w:val="1"/>
    <w:link w:val="329"/>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Indent"/>
    <w:basedOn w:val="1"/>
    <w:next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7"/>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80">
    <w:name w:val="Default"/>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10"/>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5"/>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3"/>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7"/>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0"/>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8"/>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8"/>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4"/>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9"/>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2"/>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8"/>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1"/>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8"/>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3"/>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1"/>
    <w:qFormat/>
    <w:uiPriority w:val="99"/>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2"/>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7"/>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8"/>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6"/>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9"/>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6"/>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8"/>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4"/>
    <w:qFormat/>
    <w:uiPriority w:val="0"/>
    <w:pPr>
      <w:tabs>
        <w:tab w:val="left" w:pos="840"/>
      </w:tabs>
      <w:adjustRightInd/>
      <w:ind w:left="840" w:hanging="420"/>
    </w:pPr>
  </w:style>
  <w:style w:type="paragraph" w:customStyle="1" w:styleId="625">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8"/>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9"/>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4"/>
    <w:next w:val="639"/>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p"/>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421506-1FE6-4A20-91F0-2F98DEEE470D}">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96</Pages>
  <Words>22979</Words>
  <Characters>24397</Characters>
  <Lines>422</Lines>
  <Paragraphs>119</Paragraphs>
  <TotalTime>11</TotalTime>
  <ScaleCrop>false</ScaleCrop>
  <LinksUpToDate>false</LinksUpToDate>
  <CharactersWithSpaces>24531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柚稚</cp:lastModifiedBy>
  <cp:lastPrinted>2025-05-19T15:24:00Z</cp:lastPrinted>
  <dcterms:modified xsi:type="dcterms:W3CDTF">2025-07-11T04:14:58Z</dcterms:modified>
  <dc:title>杭州市市民卡扩大发卡工程</dc:title>
  <cp:revision>314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3EAEFA5366A1486696D51B6DB8505D99_13</vt:lpwstr>
  </property>
  <property fmtid="{D5CDD505-2E9C-101B-9397-08002B2CF9AE}" pid="5" name="KSOTemplateDocerSaveRecord">
    <vt:lpwstr>eyJoZGlkIjoiNzNiMGI4Y2UwZGZlM2E3NGY1MmU1YTVhYmMyOGJiMjQiLCJ1c2VySWQiOiIyMzk1ODM3ODEifQ==</vt:lpwstr>
  </property>
</Properties>
</file>