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FF80C">
      <w:pPr>
        <w:adjustRightInd/>
        <w:spacing w:line="360" w:lineRule="auto"/>
        <w:rPr>
          <w:rFonts w:ascii="宋体" w:hAnsi="宋体" w:cs="宋体"/>
          <w:b/>
          <w:color w:val="000000" w:themeColor="text1"/>
          <w:sz w:val="48"/>
          <w:szCs w:val="48"/>
          <w:highlight w:val="none"/>
          <w14:textFill>
            <w14:solidFill>
              <w14:schemeClr w14:val="tx1"/>
            </w14:solidFill>
          </w14:textFill>
        </w:rPr>
      </w:pPr>
    </w:p>
    <w:p w14:paraId="01BD7CE1">
      <w:pPr>
        <w:adjustRightInd/>
        <w:spacing w:line="360" w:lineRule="auto"/>
        <w:jc w:val="center"/>
        <w:rPr>
          <w:rFonts w:hint="eastAsia" w:ascii="仿宋" w:hAnsi="仿宋" w:eastAsia="仿宋" w:cs="仿宋"/>
          <w:b/>
          <w:bCs/>
          <w:color w:val="000000" w:themeColor="text1"/>
          <w:sz w:val="56"/>
          <w:szCs w:val="56"/>
          <w:highlight w:val="none"/>
          <w:lang w:eastAsia="zh-CN"/>
          <w14:textFill>
            <w14:solidFill>
              <w14:schemeClr w14:val="tx1"/>
            </w14:solidFill>
          </w14:textFill>
        </w:rPr>
      </w:pPr>
      <w:r>
        <w:rPr>
          <w:rFonts w:hint="eastAsia" w:ascii="仿宋" w:hAnsi="仿宋" w:eastAsia="仿宋" w:cs="仿宋"/>
          <w:b/>
          <w:bCs/>
          <w:color w:val="000000" w:themeColor="text1"/>
          <w:sz w:val="56"/>
          <w:szCs w:val="56"/>
          <w:highlight w:val="none"/>
          <w:lang w:eastAsia="zh-CN"/>
          <w14:textFill>
            <w14:solidFill>
              <w14:schemeClr w14:val="tx1"/>
            </w14:solidFill>
          </w14:textFill>
        </w:rPr>
        <w:t>杨汛桥街道办事处、派出所食堂大宗食品配送项目</w:t>
      </w:r>
    </w:p>
    <w:p w14:paraId="4650BE36">
      <w:pPr>
        <w:jc w:val="center"/>
        <w:outlineLvl w:val="0"/>
        <w:rPr>
          <w:rFonts w:ascii="仿宋" w:hAnsi="仿宋" w:eastAsia="仿宋" w:cs="仿宋"/>
          <w:b/>
          <w:color w:val="000000" w:themeColor="text1"/>
          <w:sz w:val="72"/>
          <w:szCs w:val="72"/>
          <w:highlight w:val="none"/>
          <w14:textFill>
            <w14:solidFill>
              <w14:schemeClr w14:val="tx1"/>
            </w14:solidFill>
          </w14:textFill>
        </w:rPr>
      </w:pPr>
    </w:p>
    <w:p w14:paraId="33695FD8">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7F0AC563">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27F057C2">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5369D1E5">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489F4F85">
      <w:pPr>
        <w:jc w:val="center"/>
        <w:outlineLvl w:val="0"/>
        <w:rPr>
          <w:rFonts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77F91755">
      <w:pPr>
        <w:jc w:val="center"/>
        <w:outlineLvl w:val="0"/>
        <w:rPr>
          <w:rFonts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1B8A4431">
      <w:pPr>
        <w:adjustRightInd/>
        <w:spacing w:line="360" w:lineRule="auto"/>
        <w:jc w:val="center"/>
        <w:rPr>
          <w:rFonts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4820A0BC">
      <w:pPr>
        <w:spacing w:line="360" w:lineRule="auto"/>
        <w:rPr>
          <w:rFonts w:ascii="仿宋" w:hAnsi="仿宋" w:eastAsia="仿宋" w:cs="仿宋"/>
          <w:b/>
          <w:color w:val="000000" w:themeColor="text1"/>
          <w:sz w:val="44"/>
          <w:szCs w:val="44"/>
          <w:highlight w:val="none"/>
          <w14:textFill>
            <w14:solidFill>
              <w14:schemeClr w14:val="tx1"/>
            </w14:solidFill>
          </w14:textFill>
        </w:rPr>
      </w:pPr>
    </w:p>
    <w:p w14:paraId="4A12191E">
      <w:pPr>
        <w:jc w:val="center"/>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r>
        <w:rPr>
          <w:rFonts w:hint="eastAsia" w:ascii="仿宋" w:hAnsi="仿宋" w:eastAsia="仿宋" w:cs="仿宋"/>
          <w:b/>
          <w:color w:val="000000" w:themeColor="text1"/>
          <w:sz w:val="28"/>
          <w:szCs w:val="28"/>
          <w:highlight w:val="none"/>
          <w:lang w:eastAsia="zh-CN"/>
          <w14:textFill>
            <w14:solidFill>
              <w14:schemeClr w14:val="tx1"/>
            </w14:solidFill>
          </w14:textFill>
        </w:rPr>
        <w:t>绍柯采[2025]1144号</w:t>
      </w:r>
    </w:p>
    <w:tbl>
      <w:tblPr>
        <w:tblStyle w:val="62"/>
        <w:tblW w:w="7801" w:type="dxa"/>
        <w:jc w:val="center"/>
        <w:tblLayout w:type="fixed"/>
        <w:tblCellMar>
          <w:top w:w="0" w:type="dxa"/>
          <w:left w:w="108" w:type="dxa"/>
          <w:bottom w:w="0" w:type="dxa"/>
          <w:right w:w="108" w:type="dxa"/>
        </w:tblCellMar>
      </w:tblPr>
      <w:tblGrid>
        <w:gridCol w:w="2356"/>
        <w:gridCol w:w="5445"/>
      </w:tblGrid>
      <w:tr w14:paraId="44B22D56">
        <w:tblPrEx>
          <w:tblCellMar>
            <w:top w:w="0" w:type="dxa"/>
            <w:left w:w="108" w:type="dxa"/>
            <w:bottom w:w="0" w:type="dxa"/>
            <w:right w:w="108" w:type="dxa"/>
          </w:tblCellMar>
        </w:tblPrEx>
        <w:trPr>
          <w:trHeight w:val="443" w:hRule="atLeast"/>
          <w:jc w:val="center"/>
        </w:trPr>
        <w:tc>
          <w:tcPr>
            <w:tcW w:w="2356" w:type="dxa"/>
          </w:tcPr>
          <w:p w14:paraId="1E36D2A2">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3A7A3E25">
            <w:pPr>
              <w:spacing w:line="320" w:lineRule="exact"/>
              <w:outlineLvl w:val="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w:t>
            </w:r>
            <w:r>
              <w:rPr>
                <w:rFonts w:hint="eastAsia" w:ascii="仿宋" w:hAnsi="仿宋" w:eastAsia="仿宋" w:cs="仿宋"/>
                <w:color w:val="000000" w:themeColor="text1"/>
                <w:sz w:val="28"/>
                <w:szCs w:val="28"/>
                <w:highlight w:val="none"/>
                <w:lang w:eastAsia="zh-CN"/>
                <w14:textFill>
                  <w14:solidFill>
                    <w14:schemeClr w14:val="tx1"/>
                  </w14:solidFill>
                </w14:textFill>
              </w:rPr>
              <w:t>杨汛桥</w:t>
            </w:r>
            <w:r>
              <w:rPr>
                <w:rFonts w:hint="eastAsia" w:ascii="仿宋" w:hAnsi="仿宋" w:eastAsia="仿宋" w:cs="仿宋"/>
                <w:color w:val="000000" w:themeColor="text1"/>
                <w:sz w:val="28"/>
                <w:szCs w:val="28"/>
                <w:highlight w:val="none"/>
                <w14:textFill>
                  <w14:solidFill>
                    <w14:schemeClr w14:val="tx1"/>
                  </w14:solidFill>
                </w14:textFill>
              </w:rPr>
              <w:t>街道办事处</w:t>
            </w:r>
          </w:p>
        </w:tc>
      </w:tr>
      <w:tr w14:paraId="62A9A2C1">
        <w:tblPrEx>
          <w:tblCellMar>
            <w:top w:w="0" w:type="dxa"/>
            <w:left w:w="108" w:type="dxa"/>
            <w:bottom w:w="0" w:type="dxa"/>
            <w:right w:w="108" w:type="dxa"/>
          </w:tblCellMar>
        </w:tblPrEx>
        <w:trPr>
          <w:trHeight w:val="494" w:hRule="atLeast"/>
          <w:jc w:val="center"/>
        </w:trPr>
        <w:tc>
          <w:tcPr>
            <w:tcW w:w="2356" w:type="dxa"/>
          </w:tcPr>
          <w:p w14:paraId="0400520A">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kern w:val="0"/>
                <w:sz w:val="28"/>
                <w:szCs w:val="28"/>
                <w:highlight w:val="none"/>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C63167A">
            <w:pPr>
              <w:spacing w:after="100" w:afterAutospacing="1" w:line="440" w:lineRule="exact"/>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color w:val="000000" w:themeColor="text1"/>
                <w:sz w:val="28"/>
                <w:szCs w:val="28"/>
                <w:highlight w:val="none"/>
                <w:lang w:eastAsia="zh-CN"/>
                <w14:textFill>
                  <w14:solidFill>
                    <w14:schemeClr w14:val="tx1"/>
                  </w14:solidFill>
                </w14:textFill>
              </w:rPr>
              <w:t>浙江景成工程管理有限公司</w:t>
            </w:r>
          </w:p>
        </w:tc>
      </w:tr>
      <w:tr w14:paraId="0D224699">
        <w:tblPrEx>
          <w:tblCellMar>
            <w:top w:w="0" w:type="dxa"/>
            <w:left w:w="108" w:type="dxa"/>
            <w:bottom w:w="0" w:type="dxa"/>
            <w:right w:w="108" w:type="dxa"/>
          </w:tblCellMar>
        </w:tblPrEx>
        <w:trPr>
          <w:trHeight w:val="397" w:hRule="atLeast"/>
          <w:jc w:val="center"/>
        </w:trPr>
        <w:tc>
          <w:tcPr>
            <w:tcW w:w="2356" w:type="dxa"/>
            <w:vAlign w:val="center"/>
          </w:tcPr>
          <w:p w14:paraId="0D0B4D27">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5899772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5899772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07E4B572">
            <w:pPr>
              <w:spacing w:after="100" w:afterAutospacing="1" w:line="440" w:lineRule="exact"/>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绍兴市柯桥区财政局</w:t>
            </w:r>
          </w:p>
        </w:tc>
      </w:tr>
      <w:tr w14:paraId="0604B186">
        <w:tblPrEx>
          <w:tblCellMar>
            <w:top w:w="0" w:type="dxa"/>
            <w:left w:w="108" w:type="dxa"/>
            <w:bottom w:w="0" w:type="dxa"/>
            <w:right w:w="108" w:type="dxa"/>
          </w:tblCellMar>
        </w:tblPrEx>
        <w:trPr>
          <w:trHeight w:val="333" w:hRule="atLeast"/>
          <w:jc w:val="center"/>
        </w:trPr>
        <w:tc>
          <w:tcPr>
            <w:tcW w:w="7801" w:type="dxa"/>
            <w:gridSpan w:val="2"/>
          </w:tcPr>
          <w:p w14:paraId="505D31F8">
            <w:pPr>
              <w:spacing w:after="100" w:afterAutospacing="1" w:line="440" w:lineRule="exact"/>
              <w:jc w:val="center"/>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二〇二五年</w:t>
            </w:r>
            <w:r>
              <w:rPr>
                <w:rFonts w:hint="eastAsia" w:ascii="仿宋" w:hAnsi="仿宋" w:eastAsia="仿宋" w:cs="仿宋"/>
                <w:color w:val="000000" w:themeColor="text1"/>
                <w:sz w:val="28"/>
                <w:szCs w:val="28"/>
                <w:highlight w:val="none"/>
                <w:lang w:val="en-US" w:eastAsia="zh-CN"/>
                <w14:textFill>
                  <w14:solidFill>
                    <w14:schemeClr w14:val="tx1"/>
                  </w14:solidFill>
                </w14:textFill>
              </w:rPr>
              <w:t>七</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03CD2563">
      <w:pPr>
        <w:pStyle w:val="636"/>
        <w:rPr>
          <w:rFonts w:ascii="仿宋" w:hAnsi="仿宋" w:eastAsia="仿宋" w:cs="仿宋"/>
          <w:color w:val="000000" w:themeColor="text1"/>
          <w:highlight w:val="none"/>
          <w14:textFill>
            <w14:solidFill>
              <w14:schemeClr w14:val="tx1"/>
            </w14:solidFill>
          </w14:textFill>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14:paraId="2ACDBB06">
      <w:pPr>
        <w:pStyle w:val="636"/>
        <w:spacing w:before="0" w:after="0" w:line="360" w:lineRule="auto"/>
        <w:ind w:left="0" w:firstLine="0"/>
        <w:rPr>
          <w:rFonts w:ascii="仿宋" w:hAnsi="仿宋" w:eastAsia="仿宋" w:cs="仿宋"/>
          <w:color w:val="000000" w:themeColor="text1"/>
          <w:highlight w:val="none"/>
          <w14:textFill>
            <w14:solidFill>
              <w14:schemeClr w14:val="tx1"/>
            </w14:solidFill>
          </w14:textFill>
        </w:rPr>
      </w:pPr>
    </w:p>
    <w:p w14:paraId="41B0D7AC">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245D5BA5">
      <w:pPr>
        <w:spacing w:line="360" w:lineRule="auto"/>
        <w:jc w:val="center"/>
        <w:rPr>
          <w:rFonts w:ascii="仿宋" w:hAnsi="仿宋" w:eastAsia="仿宋" w:cs="仿宋"/>
          <w:b/>
          <w:color w:val="000000" w:themeColor="text1"/>
          <w:sz w:val="44"/>
          <w:szCs w:val="44"/>
          <w:highlight w:val="none"/>
          <w14:textFill>
            <w14:solidFill>
              <w14:schemeClr w14:val="tx1"/>
            </w14:solidFill>
          </w14:textFill>
        </w:rPr>
      </w:pPr>
    </w:p>
    <w:p w14:paraId="392DC038">
      <w:pPr>
        <w:spacing w:line="360" w:lineRule="auto"/>
        <w:jc w:val="center"/>
        <w:rPr>
          <w:rFonts w:ascii="仿宋" w:hAnsi="仿宋" w:eastAsia="仿宋" w:cs="仿宋"/>
          <w:color w:val="000000" w:themeColor="text1"/>
          <w:highlight w:val="none"/>
          <w14:textFill>
            <w14:solidFill>
              <w14:schemeClr w14:val="tx1"/>
            </w14:solidFill>
          </w14:textFill>
        </w:rPr>
      </w:pPr>
    </w:p>
    <w:p w14:paraId="4B34E564">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41C64500">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第二部分    投标须知</w:t>
      </w:r>
    </w:p>
    <w:p w14:paraId="238ECFA5">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044BBD39">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03A273C4">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6549594D">
      <w:pPr>
        <w:snapToGrid w:val="0"/>
        <w:spacing w:line="360" w:lineRule="auto"/>
        <w:ind w:firstLine="1807" w:firstLineChars="500"/>
        <w:jc w:val="left"/>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3E88559B">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AA8BC54">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2E70A0C2">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48FB8980">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6A324B1E">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07C7DFA9">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4C3A52C5">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F648F45">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79A0C7B2">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5D2B2B61">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3DA8135F">
      <w:pPr>
        <w:spacing w:line="360" w:lineRule="auto"/>
        <w:ind w:firstLine="549" w:firstLineChars="229"/>
        <w:rPr>
          <w:rFonts w:ascii="仿宋" w:hAnsi="仿宋" w:eastAsia="仿宋" w:cs="仿宋"/>
          <w:color w:val="000000" w:themeColor="text1"/>
          <w:sz w:val="24"/>
          <w:highlight w:val="none"/>
          <w14:textFill>
            <w14:solidFill>
              <w14:schemeClr w14:val="tx1"/>
            </w14:solidFill>
          </w14:textFill>
        </w:rPr>
      </w:pPr>
    </w:p>
    <w:p w14:paraId="05BDABB0">
      <w:pPr>
        <w:spacing w:line="360" w:lineRule="auto"/>
        <w:rPr>
          <w:rFonts w:ascii="仿宋" w:hAnsi="仿宋" w:eastAsia="仿宋" w:cs="仿宋"/>
          <w:color w:val="000000" w:themeColor="text1"/>
          <w:sz w:val="24"/>
          <w:highlight w:val="none"/>
          <w14:textFill>
            <w14:solidFill>
              <w14:schemeClr w14:val="tx1"/>
            </w14:solidFill>
          </w14:textFill>
        </w:rPr>
      </w:pPr>
    </w:p>
    <w:bookmarkEnd w:id="1"/>
    <w:p w14:paraId="15494F96">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025838D3">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p>
    <w:p w14:paraId="44C0A4CA">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077F9A8B">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279370A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p>
    <w:p w14:paraId="3F70DCAA">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杨汛桥街道办事处、派出所食堂大宗食品配送项目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"https://www.zcygov.cn/）获取（下载）招标文件，并于202%20年%20月%20日%20点%20分00秒" </w:instrText>
      </w:r>
      <w:r>
        <w:rPr>
          <w:color w:val="000000" w:themeColor="text1"/>
          <w:highlight w:val="none"/>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6</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Style w:val="76"/>
          <w:rFonts w:hint="eastAsia" w:ascii="仿宋" w:hAnsi="仿宋" w:eastAsia="仿宋" w:cs="仿宋"/>
          <w:bCs/>
          <w:snapToGrid/>
          <w:color w:val="000000" w:themeColor="text1"/>
          <w:kern w:val="2"/>
          <w:sz w:val="24"/>
          <w:szCs w:val="24"/>
          <w:highlight w:val="none"/>
          <w:u w:val="single"/>
          <w14:textFill>
            <w14:solidFill>
              <w14:schemeClr w14:val="tx1"/>
            </w14:solidFill>
          </w14:textFill>
        </w:rPr>
        <w:t>00秒</w:t>
      </w:r>
      <w:r>
        <w:rPr>
          <w:rStyle w:val="76"/>
          <w:rFonts w:hint="eastAsia" w:ascii="仿宋" w:hAnsi="仿宋" w:eastAsia="仿宋" w:cs="仿宋"/>
          <w:bCs/>
          <w:snapToGrid/>
          <w:color w:val="000000" w:themeColor="text1"/>
          <w:kern w:val="2"/>
          <w:sz w:val="24"/>
          <w:szCs w:val="24"/>
          <w:highlight w:val="none"/>
          <w:u w:val="singl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0A1524CF">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一、项目基本情况  </w:t>
      </w:r>
    </w:p>
    <w:p w14:paraId="1A476E08">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b w:val="0"/>
          <w:bCs/>
          <w:color w:val="000000" w:themeColor="text1"/>
          <w:sz w:val="24"/>
          <w:highlight w:val="none"/>
          <w:lang w:eastAsia="zh-CN"/>
          <w14:textFill>
            <w14:solidFill>
              <w14:schemeClr w14:val="tx1"/>
            </w14:solidFill>
          </w14:textFill>
        </w:rPr>
        <w:t>绍柯采[2025]1144号</w:t>
      </w:r>
    </w:p>
    <w:p w14:paraId="63E0D37E">
      <w:pPr>
        <w:spacing w:line="360" w:lineRule="auto"/>
        <w:ind w:firstLine="482"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杨汛桥街道办事处、派出所食堂大宗食品配送项目</w:t>
      </w:r>
    </w:p>
    <w:p w14:paraId="55726D80">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olor w:val="000000" w:themeColor="text1"/>
          <w:sz w:val="24"/>
          <w:szCs w:val="28"/>
          <w:highlight w:val="none"/>
          <w:lang w:eastAsia="zh-CN"/>
          <w14:textFill>
            <w14:solidFill>
              <w14:schemeClr w14:val="tx1"/>
            </w14:solidFill>
          </w14:textFill>
        </w:rPr>
        <w:t>3600000</w:t>
      </w:r>
    </w:p>
    <w:p w14:paraId="0ECF1583">
      <w:pPr>
        <w:spacing w:line="360" w:lineRule="auto"/>
        <w:ind w:firstLine="482" w:firstLineChars="200"/>
        <w:rPr>
          <w:rFonts w:hint="eastAsia" w:ascii="仿宋" w:hAnsi="仿宋" w:eastAsia="仿宋" w:cs="仿宋"/>
          <w:b/>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olor w:val="000000" w:themeColor="text1"/>
          <w:sz w:val="24"/>
          <w:szCs w:val="28"/>
          <w:highlight w:val="none"/>
          <w:lang w:eastAsia="zh-CN"/>
          <w14:textFill>
            <w14:solidFill>
              <w14:schemeClr w14:val="tx1"/>
            </w14:solidFill>
          </w14:textFill>
        </w:rPr>
        <w:t>3600000</w:t>
      </w:r>
    </w:p>
    <w:p w14:paraId="11ABE10B">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28229688">
      <w:pPr>
        <w:spacing w:line="360" w:lineRule="auto"/>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标项一：</w:t>
      </w:r>
    </w:p>
    <w:p w14:paraId="7B00DBB5">
      <w:pPr>
        <w:spacing w:line="360" w:lineRule="auto"/>
        <w:ind w:firstLine="480" w:firstLineChars="2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标项名称：</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杨汛桥街道办事处、派出所食堂大宗食品配送项目</w:t>
      </w:r>
    </w:p>
    <w:p w14:paraId="10DDFA4F">
      <w:pPr>
        <w:spacing w:line="360" w:lineRule="auto"/>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数量：1项</w:t>
      </w:r>
    </w:p>
    <w:p w14:paraId="70935B92">
      <w:pPr>
        <w:spacing w:line="360" w:lineRule="auto"/>
        <w:ind w:firstLine="480" w:firstLineChars="200"/>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预算金额（元）：</w:t>
      </w:r>
      <w:r>
        <w:rPr>
          <w:rFonts w:hint="eastAsia" w:ascii="仿宋" w:hAnsi="仿宋" w:eastAsia="仿宋"/>
          <w:color w:val="000000" w:themeColor="text1"/>
          <w:sz w:val="24"/>
          <w:szCs w:val="28"/>
          <w:highlight w:val="none"/>
          <w:lang w:eastAsia="zh-CN"/>
          <w14:textFill>
            <w14:solidFill>
              <w14:schemeClr w14:val="tx1"/>
            </w14:solidFill>
          </w14:textFill>
        </w:rPr>
        <w:t>3600000</w:t>
      </w:r>
    </w:p>
    <w:p w14:paraId="16FBBED8">
      <w:pPr>
        <w:spacing w:line="360" w:lineRule="auto"/>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olor w:val="000000" w:themeColor="text1"/>
          <w:sz w:val="24"/>
          <w:szCs w:val="28"/>
          <w:highlight w:val="none"/>
          <w:u w:val="single"/>
          <w14:textFill>
            <w14:solidFill>
              <w14:schemeClr w14:val="tx1"/>
            </w14:solidFill>
          </w14:textFill>
        </w:rPr>
        <w:t>本项目为</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杨汛桥街道办事处、派出所食堂大宗食品配送项目</w:t>
      </w:r>
      <w:r>
        <w:rPr>
          <w:rFonts w:hint="eastAsia" w:ascii="仿宋" w:hAnsi="仿宋" w:eastAsia="仿宋" w:cs="仿宋"/>
          <w:bCs/>
          <w:color w:val="000000" w:themeColor="text1"/>
          <w:sz w:val="24"/>
          <w:highlight w:val="none"/>
          <w:u w:val="singl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详见招标文件。</w:t>
      </w:r>
    </w:p>
    <w:p w14:paraId="5D7124E1">
      <w:pPr>
        <w:spacing w:line="360" w:lineRule="auto"/>
        <w:ind w:firstLine="482"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olor w:val="000000" w:themeColor="text1"/>
          <w:sz w:val="24"/>
          <w:szCs w:val="28"/>
          <w:highlight w:val="none"/>
          <w14:textFill>
            <w14:solidFill>
              <w14:schemeClr w14:val="tx1"/>
            </w14:solidFill>
          </w14:textFill>
        </w:rPr>
        <w:t>详见招标文件</w:t>
      </w:r>
    </w:p>
    <w:p w14:paraId="0C1C55FF">
      <w:pPr>
        <w:spacing w:line="360" w:lineRule="auto"/>
        <w:ind w:firstLine="482" w:firstLineChars="2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本项目接受联合体投标：☐是，☑否。</w:t>
      </w:r>
    </w:p>
    <w:p w14:paraId="09DA5A78">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二、申请人的资格要求</w:t>
      </w:r>
    </w:p>
    <w:p w14:paraId="4DABEE55">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重大税收违法失信主体、政府采购严重违法失信行为记录名单；</w:t>
      </w:r>
    </w:p>
    <w:p w14:paraId="1C02D144">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2.以联合体形式投标的，提供联合协议（本项目不接受联合体投标或者投标人不以联合体形式投标的，则不需要提供） ；</w:t>
      </w:r>
    </w:p>
    <w:p w14:paraId="566BF0AF">
      <w:pPr>
        <w:spacing w:line="360" w:lineRule="auto"/>
        <w:ind w:firstLine="480" w:firstLineChars="200"/>
        <w:rPr>
          <w:rFonts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05B7E49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（注：不得限制大中型企业与小微企业组成联合体参与投标）；</w:t>
      </w:r>
    </w:p>
    <w:p w14:paraId="6D392F8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05DE09B3">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2C6D324E">
      <w:pPr>
        <w:spacing w:line="360" w:lineRule="auto"/>
        <w:ind w:firstLine="960" w:firstLineChars="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050616CA">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28C8BD15">
      <w:pPr>
        <w:spacing w:line="360" w:lineRule="auto"/>
        <w:ind w:firstLine="960" w:firstLineChars="4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35F3157B">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4.本项目的特定资格要求：无；</w:t>
      </w:r>
    </w:p>
    <w:p w14:paraId="66C26221">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F0F7837">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三、获取招标文件 </w:t>
      </w:r>
    </w:p>
    <w:p w14:paraId="4E6CC2C0">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6</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3191BA54">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4FD0E141">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0B69302A">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0B5AD6D1">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四、提交投标文件截止时间、开标时间和地点</w:t>
      </w:r>
    </w:p>
    <w:p w14:paraId="56BA5A47">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6</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Fonts w:hint="eastAsia" w:ascii="仿宋" w:hAnsi="仿宋" w:eastAsia="仿宋" w:cs="仿宋"/>
          <w:color w:val="000000" w:themeColor="text1"/>
          <w:sz w:val="24"/>
          <w:highlight w:val="none"/>
          <w:u w:val="single"/>
          <w14:textFill>
            <w14:solidFill>
              <w14:schemeClr w14:val="tx1"/>
            </w14:solidFill>
          </w14:textFill>
        </w:rPr>
        <w:t>00秒</w:t>
      </w:r>
      <w:r>
        <w:rPr>
          <w:rFonts w:hint="eastAsia" w:ascii="仿宋" w:hAnsi="仿宋" w:eastAsia="仿宋" w:cs="仿宋"/>
          <w:color w:val="000000" w:themeColor="text1"/>
          <w:sz w:val="24"/>
          <w:highlight w:val="none"/>
          <w14:textFill>
            <w14:solidFill>
              <w14:schemeClr w14:val="tx1"/>
            </w14:solidFill>
          </w14:textFill>
        </w:rPr>
        <w:t>（北京时间）</w:t>
      </w:r>
    </w:p>
    <w:p w14:paraId="647BC93E">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6571C45A">
      <w:pPr>
        <w:spacing w:line="360" w:lineRule="auto"/>
        <w:ind w:firstLine="482" w:firstLineChars="200"/>
        <w:rPr>
          <w:rFonts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2025年</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8</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月</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6</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日</w:t>
      </w:r>
      <w:r>
        <w:rPr>
          <w:rStyle w:val="76"/>
          <w:rFonts w:hint="eastAsia" w:ascii="仿宋" w:hAnsi="仿宋" w:eastAsia="仿宋" w:cs="仿宋"/>
          <w:snapToGrid/>
          <w:color w:val="000000" w:themeColor="text1"/>
          <w:kern w:val="2"/>
          <w:sz w:val="24"/>
          <w:szCs w:val="24"/>
          <w:highlight w:val="none"/>
          <w:u w:val="single"/>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highlight w:val="none"/>
          <w:u w:val="single"/>
          <w14:textFill>
            <w14:solidFill>
              <w14:schemeClr w14:val="tx1"/>
            </w14:solidFill>
          </w14:textFill>
        </w:rPr>
        <w:t>点30分</w:t>
      </w:r>
      <w:r>
        <w:rPr>
          <w:rFonts w:hint="eastAsia" w:ascii="仿宋" w:hAnsi="仿宋" w:eastAsia="仿宋" w:cs="仿宋"/>
          <w:color w:val="000000" w:themeColor="text1"/>
          <w:sz w:val="24"/>
          <w:highlight w:val="none"/>
          <w:u w:val="single"/>
          <w14:textFill>
            <w14:solidFill>
              <w14:schemeClr w14:val="tx1"/>
            </w14:solidFill>
          </w14:textFill>
        </w:rPr>
        <w:t>00秒</w:t>
      </w:r>
    </w:p>
    <w:p w14:paraId="412BA8D4">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开标地点（网址）：</w:t>
      </w:r>
      <w:r>
        <w:rPr>
          <w:rFonts w:hint="eastAsia" w:ascii="仿宋" w:hAnsi="仿宋" w:eastAsia="仿宋"/>
          <w:strike w:val="0"/>
          <w:dstrike w:val="0"/>
          <w:color w:val="auto"/>
          <w:sz w:val="24"/>
          <w:szCs w:val="28"/>
          <w:highlight w:val="none"/>
        </w:rPr>
        <w:t>柯桥区杨汛桥街道文化活动中心二楼开标室（杨汛桥街道办事处隔壁）</w:t>
      </w:r>
      <w:r>
        <w:rPr>
          <w:rFonts w:hint="eastAsia" w:ascii="仿宋" w:hAnsi="仿宋" w:eastAsia="仿宋"/>
          <w:color w:val="000000" w:themeColor="text1"/>
          <w:sz w:val="24"/>
          <w:szCs w:val="28"/>
          <w:highlight w:val="none"/>
          <w14:textFill>
            <w14:solidFill>
              <w14:schemeClr w14:val="tx1"/>
            </w14:solidFill>
          </w14:textFill>
        </w:rPr>
        <w:t>通过政府采购云平台（https://www.zcygov.cn）在线开标</w:t>
      </w:r>
    </w:p>
    <w:p w14:paraId="61619900">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 xml:space="preserve">五、公告期限 </w:t>
      </w:r>
    </w:p>
    <w:p w14:paraId="6251756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63E7CC57">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六、其他补充事宜</w:t>
      </w:r>
    </w:p>
    <w:p w14:paraId="77D26B5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517835C9">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6B1548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48F9835">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D88A4E3">
      <w:pPr>
        <w:spacing w:line="360" w:lineRule="auto"/>
        <w:ind w:firstLine="480" w:firstLineChars="200"/>
        <w:rPr>
          <w:rFonts w:ascii="黑体" w:hAnsi="黑体" w:eastAsia="黑体" w:cs="黑体"/>
          <w:bCs/>
          <w:color w:val="000000" w:themeColor="text1"/>
          <w:sz w:val="24"/>
          <w:highlight w:val="none"/>
          <w14:textFill>
            <w14:solidFill>
              <w14:schemeClr w14:val="tx1"/>
            </w14:solidFill>
          </w14:textFill>
        </w:rPr>
      </w:pPr>
      <w:r>
        <w:rPr>
          <w:rFonts w:hint="eastAsia" w:ascii="黑体" w:hAnsi="黑体" w:eastAsia="黑体" w:cs="黑体"/>
          <w:bCs/>
          <w:color w:val="000000" w:themeColor="text1"/>
          <w:sz w:val="24"/>
          <w:highlight w:val="none"/>
          <w14:textFill>
            <w14:solidFill>
              <w14:schemeClr w14:val="tx1"/>
            </w14:solidFill>
          </w14:textFill>
        </w:rPr>
        <w:t>七、对本次采购提出询问、质疑、投诉，请按以下方式联系</w:t>
      </w:r>
    </w:p>
    <w:p w14:paraId="20B50862">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strike w:val="0"/>
          <w:dstrike w:val="0"/>
          <w:color w:val="auto"/>
          <w:sz w:val="24"/>
          <w:szCs w:val="24"/>
          <w:highlight w:val="none"/>
        </w:rPr>
      </w:pPr>
      <w:bookmarkStart w:id="5" w:name="_Toc35393637"/>
      <w:bookmarkStart w:id="6" w:name="_Toc28359096"/>
      <w:bookmarkStart w:id="7" w:name="_Toc28359019"/>
      <w:bookmarkStart w:id="8" w:name="_Toc35393806"/>
      <w:bookmarkStart w:id="9" w:name="_Toc28359098"/>
      <w:bookmarkStart w:id="10" w:name="_Toc35393639"/>
      <w:bookmarkStart w:id="11" w:name="_Toc35393808"/>
      <w:bookmarkStart w:id="12" w:name="_Toc28359021"/>
      <w:r>
        <w:rPr>
          <w:rFonts w:hint="eastAsia" w:ascii="仿宋" w:hAnsi="仿宋" w:eastAsia="仿宋" w:cs="仿宋"/>
          <w:strike w:val="0"/>
          <w:dstrike w:val="0"/>
          <w:color w:val="auto"/>
          <w:sz w:val="24"/>
          <w:szCs w:val="24"/>
          <w:highlight w:val="none"/>
        </w:rPr>
        <w:t>1.采购人信息</w:t>
      </w:r>
      <w:bookmarkEnd w:id="5"/>
      <w:bookmarkEnd w:id="6"/>
      <w:bookmarkEnd w:id="7"/>
      <w:bookmarkEnd w:id="8"/>
      <w:r>
        <w:rPr>
          <w:rFonts w:hint="eastAsia" w:ascii="仿宋" w:hAnsi="仿宋" w:eastAsia="仿宋" w:cs="仿宋"/>
          <w:strike w:val="0"/>
          <w:dstrike w:val="0"/>
          <w:color w:val="auto"/>
          <w:sz w:val="24"/>
          <w:szCs w:val="24"/>
          <w:highlight w:val="none"/>
        </w:rPr>
        <w:t>：</w:t>
      </w:r>
    </w:p>
    <w:p w14:paraId="1BA100A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名 称：绍兴市柯桥区杨汛桥街道办事处</w:t>
      </w:r>
    </w:p>
    <w:p w14:paraId="480B42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地 址：柯桥区杨汛桥街道</w:t>
      </w:r>
    </w:p>
    <w:p w14:paraId="456A00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传 真：/</w:t>
      </w:r>
    </w:p>
    <w:p w14:paraId="5E968F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rPr>
        <w:t>项目联系人（询问）：李</w:t>
      </w:r>
      <w:r>
        <w:rPr>
          <w:rFonts w:hint="eastAsia" w:ascii="仿宋" w:hAnsi="仿宋" w:eastAsia="仿宋" w:cs="仿宋"/>
          <w:strike w:val="0"/>
          <w:dstrike w:val="0"/>
          <w:color w:val="auto"/>
          <w:sz w:val="24"/>
          <w:highlight w:val="none"/>
          <w:lang w:val="en-US" w:eastAsia="zh-CN"/>
        </w:rPr>
        <w:t>先生</w:t>
      </w:r>
    </w:p>
    <w:p w14:paraId="7B5209E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strike w:val="0"/>
          <w:dstrike w:val="0"/>
          <w:color w:val="auto"/>
          <w:sz w:val="24"/>
          <w:highlight w:val="none"/>
          <w:lang w:val="en-US" w:eastAsia="zh-CN"/>
        </w:rPr>
      </w:pPr>
      <w:r>
        <w:rPr>
          <w:rFonts w:hint="eastAsia" w:ascii="仿宋" w:hAnsi="仿宋" w:eastAsia="仿宋" w:cs="仿宋"/>
          <w:strike w:val="0"/>
          <w:dstrike w:val="0"/>
          <w:color w:val="auto"/>
          <w:sz w:val="24"/>
          <w:highlight w:val="none"/>
        </w:rPr>
        <w:t>项目联系方式（询问）：0575-85516688</w:t>
      </w:r>
    </w:p>
    <w:p w14:paraId="1D12BD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质疑联系人：傅雅利</w:t>
      </w:r>
    </w:p>
    <w:p w14:paraId="09635C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质疑联系方式：0575-84575866</w:t>
      </w:r>
    </w:p>
    <w:p w14:paraId="638CD327">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strike w:val="0"/>
          <w:dstrike w:val="0"/>
          <w:color w:val="auto"/>
          <w:sz w:val="24"/>
          <w:highlight w:val="none"/>
        </w:rPr>
      </w:pPr>
      <w:bookmarkStart w:id="13" w:name="_Toc28359020"/>
      <w:bookmarkStart w:id="14" w:name="_Toc28359097"/>
      <w:bookmarkStart w:id="15" w:name="_Toc35393638"/>
      <w:bookmarkStart w:id="16" w:name="_Toc35393807"/>
      <w:r>
        <w:rPr>
          <w:rFonts w:hint="eastAsia" w:ascii="仿宋" w:hAnsi="仿宋" w:eastAsia="仿宋" w:cs="仿宋"/>
          <w:strike w:val="0"/>
          <w:dstrike w:val="0"/>
          <w:color w:val="auto"/>
          <w:sz w:val="24"/>
          <w:szCs w:val="24"/>
          <w:highlight w:val="none"/>
        </w:rPr>
        <w:t>2.采购代理机构信息</w:t>
      </w:r>
      <w:bookmarkEnd w:id="13"/>
      <w:bookmarkEnd w:id="14"/>
      <w:bookmarkEnd w:id="15"/>
      <w:bookmarkEnd w:id="16"/>
      <w:r>
        <w:rPr>
          <w:rFonts w:hint="eastAsia" w:ascii="仿宋" w:hAnsi="仿宋" w:eastAsia="仿宋" w:cs="仿宋"/>
          <w:strike w:val="0"/>
          <w:dstrike w:val="0"/>
          <w:color w:val="auto"/>
          <w:sz w:val="24"/>
          <w:szCs w:val="24"/>
          <w:highlight w:val="none"/>
        </w:rPr>
        <w:t>：</w:t>
      </w:r>
    </w:p>
    <w:p w14:paraId="51821A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名称：浙江景成工程管理有限公司</w:t>
      </w:r>
    </w:p>
    <w:p w14:paraId="37C994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地址：柯桥区外贸大厦10楼D座</w:t>
      </w:r>
    </w:p>
    <w:p w14:paraId="13DE52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传真：0575-85288099</w:t>
      </w:r>
    </w:p>
    <w:p w14:paraId="298CFD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 项目联系人（询问）：何丹娜</w:t>
      </w:r>
    </w:p>
    <w:p w14:paraId="73572F7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项目联系方式（询问）：15968507340</w:t>
      </w:r>
    </w:p>
    <w:p w14:paraId="425096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trike w:val="0"/>
          <w:dstrike w:val="0"/>
          <w:color w:val="auto"/>
          <w:sz w:val="24"/>
          <w:highlight w:val="none"/>
        </w:rPr>
      </w:pPr>
      <w:r>
        <w:rPr>
          <w:rFonts w:hint="eastAsia" w:ascii="仿宋" w:hAnsi="仿宋" w:eastAsia="仿宋" w:cs="仿宋"/>
          <w:strike w:val="0"/>
          <w:dstrike w:val="0"/>
          <w:color w:val="auto"/>
          <w:sz w:val="24"/>
          <w:highlight w:val="none"/>
        </w:rPr>
        <w:t>质疑联系人：姚东</w:t>
      </w:r>
    </w:p>
    <w:p w14:paraId="7A9AD194">
      <w:pPr>
        <w:widowControl/>
        <w:spacing w:line="360" w:lineRule="auto"/>
        <w:ind w:firstLine="480" w:firstLineChars="200"/>
        <w:jc w:val="left"/>
        <w:rPr>
          <w:rFonts w:ascii="仿宋" w:hAnsi="仿宋" w:eastAsia="仿宋" w:cs="宋体"/>
          <w:color w:val="000000" w:themeColor="text1"/>
          <w:sz w:val="24"/>
          <w:szCs w:val="28"/>
          <w:highlight w:val="none"/>
          <w14:textFill>
            <w14:solidFill>
              <w14:schemeClr w14:val="tx1"/>
            </w14:solidFill>
          </w14:textFill>
        </w:rPr>
      </w:pPr>
      <w:r>
        <w:rPr>
          <w:rFonts w:hint="eastAsia" w:ascii="仿宋" w:hAnsi="仿宋" w:eastAsia="仿宋" w:cs="仿宋"/>
          <w:strike w:val="0"/>
          <w:dstrike w:val="0"/>
          <w:color w:val="auto"/>
          <w:sz w:val="24"/>
          <w:highlight w:val="none"/>
        </w:rPr>
        <w:t>质疑联系方式：</w:t>
      </w:r>
      <w:r>
        <w:rPr>
          <w:rFonts w:hint="eastAsia" w:ascii="仿宋" w:hAnsi="仿宋" w:eastAsia="仿宋" w:cs="仿宋"/>
          <w:strike w:val="0"/>
          <w:dstrike w:val="0"/>
          <w:color w:val="auto"/>
          <w:sz w:val="24"/>
          <w:highlight w:val="none"/>
          <w:lang w:val="en-US" w:eastAsia="zh-CN"/>
        </w:rPr>
        <w:t>13777319199</w:t>
      </w:r>
    </w:p>
    <w:p w14:paraId="2D44FF2C">
      <w:pPr>
        <w:spacing w:line="360" w:lineRule="auto"/>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同级政府采购监督管理部门</w:t>
      </w:r>
    </w:p>
    <w:bookmarkEnd w:id="9"/>
    <w:bookmarkEnd w:id="10"/>
    <w:bookmarkEnd w:id="11"/>
    <w:bookmarkEnd w:id="12"/>
    <w:p w14:paraId="33D8083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名称：绍兴市柯桥区财政局</w:t>
      </w:r>
    </w:p>
    <w:p w14:paraId="2F609BA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地址：绍兴市柯桥区育才路财税大楼</w:t>
      </w:r>
    </w:p>
    <w:p w14:paraId="6BDBDB1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3A7699E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联系人：王涛</w:t>
      </w:r>
    </w:p>
    <w:p w14:paraId="039E610A">
      <w:pPr>
        <w:spacing w:line="360" w:lineRule="auto"/>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监督投诉电话：0575-</w:t>
      </w:r>
      <w:r>
        <w:rPr>
          <w:rFonts w:hint="eastAsia" w:ascii="仿宋" w:hAnsi="仿宋" w:eastAsia="仿宋" w:cs="仿宋"/>
          <w:color w:val="000000" w:themeColor="text1"/>
          <w:sz w:val="24"/>
          <w:highlight w:val="none"/>
          <w:lang w:val="en-US" w:eastAsia="zh-CN"/>
          <w14:textFill>
            <w14:solidFill>
              <w14:schemeClr w14:val="tx1"/>
            </w14:solidFill>
          </w14:textFill>
        </w:rPr>
        <w:t>85672135</w:t>
      </w:r>
    </w:p>
    <w:p w14:paraId="1F4B397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7FDC6BD">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03FE81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2E7F594B">
      <w:pPr>
        <w:widowControl/>
        <w:adjustRightInd/>
        <w:jc w:val="left"/>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1A11F0A9">
      <w:pPr>
        <w:adjustRightInd/>
        <w:spacing w:line="360" w:lineRule="auto"/>
        <w:jc w:val="center"/>
        <w:outlineLvl w:val="0"/>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5A6C8961">
      <w:pPr>
        <w:adjustRightInd/>
        <w:spacing w:line="360" w:lineRule="auto"/>
        <w:ind w:firstLine="3845" w:firstLineChars="1197"/>
        <w:outlineLvl w:val="0"/>
        <w:rPr>
          <w:rFonts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14:paraId="090E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A04FD1E">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75AF503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B67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2FAF47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265BC7A9">
            <w:pPr>
              <w:snapToGrid w:val="0"/>
              <w:spacing w:line="440" w:lineRule="exact"/>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7582443A">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3BA1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14:paraId="1D0C97DC">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73E26111">
            <w:pPr>
              <w:spacing w:line="440" w:lineRule="exact"/>
              <w:jc w:val="left"/>
              <w:rPr>
                <w:rFonts w:ascii="仿宋" w:hAnsi="仿宋" w:eastAsia="仿宋" w:cs="仿宋_GB2312"/>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报价要求：</w:t>
            </w:r>
          </w:p>
          <w:p w14:paraId="7B6A7425">
            <w:pPr>
              <w:spacing w:line="360" w:lineRule="auto"/>
              <w:rPr>
                <w:rFonts w:ascii="仿宋" w:hAnsi="仿宋" w:eastAsia="仿宋" w:cs="宋体"/>
                <w:b/>
                <w:color w:val="000000" w:themeColor="text1"/>
                <w:kern w:val="0"/>
                <w:sz w:val="24"/>
                <w:highlight w:val="none"/>
                <w:lang w:val="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有关本项目开展所需的人员工资、福利、工具、利润、税金、保险及不可预见等费用均计入报价。</w:t>
            </w:r>
            <w:r>
              <w:rPr>
                <w:rFonts w:hint="eastAsia" w:ascii="宋体" w:hAnsi="宋体" w:cs="宋体"/>
                <w:b/>
                <w:color w:val="000000" w:themeColor="text1"/>
                <w:kern w:val="0"/>
                <w:sz w:val="24"/>
                <w:highlight w:val="none"/>
                <w:lang w:val="zh-CN"/>
                <w14:textFill>
                  <w14:solidFill>
                    <w14:schemeClr w14:val="tx1"/>
                  </w14:solidFill>
                </w14:textFill>
              </w:rPr>
              <w:t>投标文件</w:t>
            </w:r>
            <w:r>
              <w:rPr>
                <w:rFonts w:hint="eastAsia" w:ascii="宋体" w:hAnsi="宋体" w:cs="宋体"/>
                <w:b/>
                <w:color w:val="000000" w:themeColor="text1"/>
                <w:sz w:val="24"/>
                <w:highlight w:val="none"/>
                <w14:textFill>
                  <w14:solidFill>
                    <w14:schemeClr w14:val="tx1"/>
                  </w14:solidFill>
                </w14:textFill>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highlight w:val="none"/>
                <w14:textFill>
                  <w14:solidFill>
                    <w14:schemeClr w14:val="tx1"/>
                  </w14:solidFill>
                </w14:textFill>
              </w:rPr>
              <w:t>投标文件中价格全部采用人民币报价。招标文件未列明，而投标人认为必需的费用也需列入报价。</w:t>
            </w:r>
            <w:r>
              <w:rPr>
                <w:rFonts w:hint="eastAsia" w:ascii="仿宋" w:hAnsi="仿宋" w:eastAsia="仿宋" w:cs="宋体"/>
                <w:b/>
                <w:color w:val="000000" w:themeColor="text1"/>
                <w:kern w:val="0"/>
                <w:sz w:val="24"/>
                <w:highlight w:val="none"/>
                <w:lang w:val="zh-CN"/>
                <w14:textFill>
                  <w14:solidFill>
                    <w14:schemeClr w14:val="tx1"/>
                  </w14:solidFill>
                </w14:textFill>
              </w:rPr>
              <w:t>提醒：验收时检测费用由采购人承担，不包含在投标总价中；</w:t>
            </w:r>
          </w:p>
          <w:p w14:paraId="1D5FF43B">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lang w:val="zh-CN"/>
                <w14:textFill>
                  <w14:solidFill>
                    <w14:schemeClr w14:val="tx1"/>
                  </w14:solidFill>
                </w14:textFill>
              </w:rPr>
              <w:t>投标报价出现下列情形的，投标无效：</w:t>
            </w:r>
          </w:p>
          <w:p w14:paraId="688F39BD">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投标文</w:t>
            </w:r>
            <w:bookmarkStart w:id="17" w:name="OLE_LINK21"/>
            <w:r>
              <w:rPr>
                <w:rFonts w:hint="eastAsia" w:ascii="宋体" w:hAnsi="宋体" w:cs="宋体"/>
                <w:b/>
                <w:color w:val="000000" w:themeColor="text1"/>
                <w:sz w:val="24"/>
                <w:highlight w:val="none"/>
                <w:lang w:val="zh-CN"/>
                <w14:textFill>
                  <w14:solidFill>
                    <w14:schemeClr w14:val="tx1"/>
                  </w14:solidFill>
                </w14:textFill>
              </w:rPr>
              <w:t>件出现不是唯一的</w:t>
            </w:r>
            <w:bookmarkEnd w:id="17"/>
            <w:r>
              <w:rPr>
                <w:rFonts w:hint="eastAsia" w:ascii="宋体" w:hAnsi="宋体" w:cs="宋体"/>
                <w:b/>
                <w:color w:val="000000" w:themeColor="text1"/>
                <w:sz w:val="24"/>
                <w:highlight w:val="none"/>
                <w:lang w:val="zh-CN"/>
                <w14:textFill>
                  <w14:solidFill>
                    <w14:schemeClr w14:val="tx1"/>
                  </w14:solidFill>
                </w14:textFill>
              </w:rPr>
              <w:t>、有选择性投标报价的；</w:t>
            </w:r>
          </w:p>
          <w:p w14:paraId="420BEEBE">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w:t>
            </w:r>
            <w:r>
              <w:rPr>
                <w:rFonts w:hint="eastAsia" w:ascii="宋体" w:hAnsi="宋体" w:cs="宋体"/>
                <w:b/>
                <w:color w:val="000000" w:themeColor="text1"/>
                <w:sz w:val="24"/>
                <w:highlight w:val="none"/>
                <w:lang w:val="zh-CN"/>
                <w14:textFill>
                  <w14:solidFill>
                    <w14:schemeClr w14:val="tx1"/>
                  </w14:solidFill>
                </w14:textFill>
              </w:rPr>
              <w:t>报价超过招标文件中规定的预算金额或最高限价的;</w:t>
            </w:r>
          </w:p>
          <w:p w14:paraId="50B4B747">
            <w:pPr>
              <w:spacing w:line="360" w:lineRule="auto"/>
              <w:rPr>
                <w:rFonts w:ascii="宋体" w:hAnsi="宋体" w:cs="宋体"/>
                <w:b/>
                <w:color w:val="000000" w:themeColor="text1"/>
                <w:sz w:val="24"/>
                <w:highlight w:val="none"/>
                <w:lang w:val="zh-CN"/>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评标委员会认为报价明显低于其他通过符合性审查投标人的报价，有可能影响产品质量或者不能诚信履约的，未能按要求提供书面说明或者提交相关证明材料，不</w:t>
            </w:r>
            <w:bookmarkStart w:id="18" w:name="OLE_LINK28"/>
            <w:r>
              <w:rPr>
                <w:rFonts w:hint="eastAsia" w:ascii="宋体" w:hAnsi="宋体" w:cs="宋体"/>
                <w:b/>
                <w:color w:val="000000" w:themeColor="text1"/>
                <w:sz w:val="24"/>
                <w:highlight w:val="none"/>
                <w:lang w:val="zh-CN"/>
                <w14:textFill>
                  <w14:solidFill>
                    <w14:schemeClr w14:val="tx1"/>
                  </w14:solidFill>
                </w14:textFill>
              </w:rPr>
              <w:t>能证明其报价合理性的</w:t>
            </w:r>
            <w:bookmarkEnd w:id="18"/>
            <w:r>
              <w:rPr>
                <w:rFonts w:hint="eastAsia" w:ascii="宋体" w:hAnsi="宋体" w:cs="宋体"/>
                <w:b/>
                <w:color w:val="000000" w:themeColor="text1"/>
                <w:sz w:val="24"/>
                <w:highlight w:val="none"/>
                <w:lang w:val="zh-CN"/>
                <w14:textFill>
                  <w14:solidFill>
                    <w14:schemeClr w14:val="tx1"/>
                  </w14:solidFill>
                </w14:textFill>
              </w:rPr>
              <w:t>；</w:t>
            </w:r>
          </w:p>
          <w:p w14:paraId="219814FD">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w:t>
            </w:r>
            <w:r>
              <w:rPr>
                <w:rFonts w:hint="eastAsia" w:ascii="宋体" w:hAnsi="宋体" w:cs="宋体"/>
                <w:b/>
                <w:color w:val="000000" w:themeColor="text1"/>
                <w:sz w:val="24"/>
                <w:highlight w:val="none"/>
                <w:lang w:val="zh-CN"/>
                <w14:textFill>
                  <w14:solidFill>
                    <w14:schemeClr w14:val="tx1"/>
                  </w14:solidFill>
                </w14:textFill>
              </w:rPr>
              <w:t>报价低于项目预算50%</w:t>
            </w:r>
            <w:r>
              <w:rPr>
                <w:rFonts w:hint="eastAsia" w:ascii="宋体" w:hAnsi="宋体" w:cs="宋体"/>
                <w:b/>
                <w:color w:val="000000" w:themeColor="text1"/>
                <w:sz w:val="24"/>
                <w:highlight w:val="none"/>
                <w14:textFill>
                  <w14:solidFill>
                    <w14:schemeClr w14:val="tx1"/>
                  </w14:solidFill>
                </w14:textFill>
              </w:rPr>
              <w:t>的投标报价，投标人应在投标文件中提供成本测算资料，未在投标文件中提供成本测算资料的，将被视为投标人</w:t>
            </w:r>
            <w:bookmarkStart w:id="19" w:name="OLE_LINK23"/>
            <w:r>
              <w:rPr>
                <w:rFonts w:hint="eastAsia" w:ascii="宋体" w:hAnsi="宋体" w:cs="宋体"/>
                <w:b/>
                <w:color w:val="000000" w:themeColor="text1"/>
                <w:sz w:val="24"/>
                <w:highlight w:val="none"/>
                <w14:textFill>
                  <w14:solidFill>
                    <w14:schemeClr w14:val="tx1"/>
                  </w14:solidFill>
                </w14:textFill>
              </w:rPr>
              <w:t>不能证明其报价合理性；</w:t>
            </w:r>
          </w:p>
          <w:bookmarkEnd w:id="19"/>
          <w:p w14:paraId="0BB5D40D">
            <w:pPr>
              <w:spacing w:line="360" w:lineRule="auto"/>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★《开标一览表（报价表）》填写不完整或字迹不能辨认或有漏项的,经评标委员会认定属于</w:t>
            </w:r>
            <w:bookmarkStart w:id="20" w:name="OLE_LINK29"/>
            <w:r>
              <w:rPr>
                <w:rFonts w:hint="eastAsia" w:ascii="宋体" w:hAnsi="宋体" w:cs="宋体"/>
                <w:b/>
                <w:color w:val="000000" w:themeColor="text1"/>
                <w:sz w:val="24"/>
                <w:highlight w:val="none"/>
                <w14:textFill>
                  <w14:solidFill>
                    <w14:schemeClr w14:val="tx1"/>
                  </w14:solidFill>
                </w14:textFill>
              </w:rPr>
              <w:t>重大偏差</w:t>
            </w:r>
            <w:bookmarkEnd w:id="20"/>
            <w:r>
              <w:rPr>
                <w:rFonts w:hint="eastAsia" w:ascii="宋体" w:hAnsi="宋体" w:cs="宋体"/>
                <w:b/>
                <w:color w:val="000000" w:themeColor="text1"/>
                <w:sz w:val="24"/>
                <w:highlight w:val="none"/>
                <w14:textFill>
                  <w14:solidFill>
                    <w14:schemeClr w14:val="tx1"/>
                  </w14:solidFill>
                </w14:textFill>
              </w:rPr>
              <w:t>的；</w:t>
            </w:r>
          </w:p>
          <w:p w14:paraId="69AA0324">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★投标人对根据修正原则修</w:t>
            </w:r>
            <w:bookmarkStart w:id="21" w:name="OLE_LINK30"/>
            <w:r>
              <w:rPr>
                <w:rFonts w:hint="eastAsia" w:ascii="宋体" w:hAnsi="宋体" w:cs="宋体"/>
                <w:b/>
                <w:color w:val="000000" w:themeColor="text1"/>
                <w:sz w:val="24"/>
                <w:highlight w:val="none"/>
                <w14:textFill>
                  <w14:solidFill>
                    <w14:schemeClr w14:val="tx1"/>
                  </w14:solidFill>
                </w14:textFill>
              </w:rPr>
              <w:t>正后的报价不</w:t>
            </w:r>
            <w:bookmarkEnd w:id="21"/>
            <w:r>
              <w:rPr>
                <w:rFonts w:hint="eastAsia" w:ascii="宋体" w:hAnsi="宋体" w:cs="宋体"/>
                <w:b/>
                <w:color w:val="000000" w:themeColor="text1"/>
                <w:sz w:val="24"/>
                <w:highlight w:val="none"/>
                <w14:textFill>
                  <w14:solidFill>
                    <w14:schemeClr w14:val="tx1"/>
                  </w14:solidFill>
                </w14:textFill>
              </w:rPr>
              <w:t>确认的。</w:t>
            </w:r>
          </w:p>
        </w:tc>
      </w:tr>
      <w:tr w14:paraId="16839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7F5C7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212A2C11">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393B7A74">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5060749C">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65D7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BD302D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5199F7C6">
            <w:pPr>
              <w:autoSpaceDE w:val="0"/>
              <w:autoSpaceDN w:val="0"/>
              <w:spacing w:line="440" w:lineRule="exact"/>
              <w:textAlignment w:val="bottom"/>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52119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B8307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2E7433C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4B8B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C1D02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44F7A002">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同意将非主体、非关键性的工作分包。</w:t>
            </w:r>
          </w:p>
          <w:p w14:paraId="2CB87251">
            <w:pPr>
              <w:spacing w:line="440" w:lineRule="exact"/>
              <w:ind w:firstLine="720" w:firstLineChars="3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5FB5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0B901B5">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322AD12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7590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069F170">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0E9A3EC5">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52CB6C7F">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2F349568">
            <w:pPr>
              <w:autoSpaceDE w:val="0"/>
              <w:autoSpaceDN w:val="0"/>
              <w:spacing w:line="440" w:lineRule="exact"/>
              <w:textAlignment w:val="bottom"/>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时间：,地点：，联系人：，联系方式：</w:t>
            </w:r>
            <w:r>
              <w:rPr>
                <w:rFonts w:hint="eastAsia" w:ascii="仿宋" w:hAnsi="仿宋" w:eastAsia="仿宋" w:cs="仿宋"/>
                <w:color w:val="000000" w:themeColor="text1"/>
                <w:sz w:val="24"/>
                <w:szCs w:val="20"/>
                <w:highlight w:val="none"/>
                <w14:textFill>
                  <w14:solidFill>
                    <w14:schemeClr w14:val="tx1"/>
                  </w14:solidFill>
                </w14:textFill>
              </w:rPr>
              <w:t>。</w:t>
            </w:r>
          </w:p>
        </w:tc>
      </w:tr>
      <w:tr w14:paraId="5E65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2BFCD5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7E550D04">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5417EE15">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0E228AB0">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□B要求提供，</w:t>
            </w:r>
          </w:p>
          <w:p w14:paraId="0DD937D7">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kern w:val="0"/>
                <w:sz w:val="24"/>
                <w:highlight w:val="none"/>
                <w14:textFill>
                  <w14:solidFill>
                    <w14:schemeClr w14:val="tx1"/>
                  </w14:solidFill>
                </w14:textFill>
              </w:rPr>
              <w:t>；</w:t>
            </w:r>
          </w:p>
          <w:p w14:paraId="3577874B">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kern w:val="0"/>
                <w:sz w:val="24"/>
                <w:highlight w:val="none"/>
                <w14:textFill>
                  <w14:solidFill>
                    <w14:schemeClr w14:val="tx1"/>
                  </w14:solidFill>
                </w14:textFill>
              </w:rPr>
              <w:t>；</w:t>
            </w:r>
          </w:p>
          <w:p w14:paraId="1B1AB2B6">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579C0A99">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p>
          <w:p w14:paraId="03E1BE9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kern w:val="0"/>
                <w:sz w:val="24"/>
                <w:highlight w:val="none"/>
                <w14:textFill>
                  <w14:solidFill>
                    <w14:schemeClr w14:val="tx1"/>
                  </w14:solidFill>
                </w14:textFill>
              </w:rPr>
              <w:t>；地点：；联系人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1100A4EE">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8D705D2">
            <w:pPr>
              <w:autoSpaceDE w:val="0"/>
              <w:autoSpaceDN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45176F54">
            <w:pPr>
              <w:autoSpaceDE w:val="0"/>
              <w:autoSpaceDN w:val="0"/>
              <w:spacing w:line="440" w:lineRule="exact"/>
              <w:jc w:val="left"/>
              <w:rPr>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）未按招标文件要求提供样品或提供样品不满足采购需求实质性条件的，投标无效。</w:t>
            </w:r>
          </w:p>
        </w:tc>
      </w:tr>
      <w:tr w14:paraId="1660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BDD34B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370" w:type="dxa"/>
            <w:gridSpan w:val="2"/>
            <w:vAlign w:val="center"/>
          </w:tcPr>
          <w:p w14:paraId="537EB1BA">
            <w:pPr>
              <w:spacing w:line="440" w:lineRule="exact"/>
              <w:rPr>
                <w:rFonts w:ascii="仿宋_GB2312" w:hAnsi="宋体" w:eastAsia="仿宋_GB2312"/>
                <w:b/>
                <w:color w:val="000000" w:themeColor="text1"/>
                <w:sz w:val="24"/>
                <w:highlight w:val="none"/>
                <w14:textFill>
                  <w14:solidFill>
                    <w14:schemeClr w14:val="tx1"/>
                  </w14:solidFill>
                </w14:textFill>
              </w:rPr>
            </w:pPr>
            <w:r>
              <w:rPr>
                <w:rFonts w:hint="eastAsia" w:ascii="仿宋_GB2312" w:hAnsi="宋体" w:eastAsia="仿宋_GB2312"/>
                <w:b/>
                <w:color w:val="000000" w:themeColor="text1"/>
                <w:sz w:val="24"/>
                <w:highlight w:val="none"/>
                <w14:textFill>
                  <w14:solidFill>
                    <w14:schemeClr w14:val="tx1"/>
                  </w14:solidFill>
                </w14:textFill>
              </w:rPr>
              <w:t>方案讲解演示：</w:t>
            </w:r>
          </w:p>
          <w:p w14:paraId="46948FE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☑A无方案讲解演示。</w:t>
            </w:r>
          </w:p>
          <w:p w14:paraId="316DF70F">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□B有方案讲解演示：</w:t>
            </w:r>
          </w:p>
          <w:p w14:paraId="5FD469F4">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highlight w:val="none"/>
                <w:u w:val="single"/>
                <w14:textFill>
                  <w14:solidFill>
                    <w14:schemeClr w14:val="tx1"/>
                  </w14:solidFill>
                </w14:textFill>
              </w:rPr>
              <w:t xml:space="preserve">20 </w:t>
            </w:r>
            <w:r>
              <w:rPr>
                <w:rFonts w:hint="eastAsia" w:ascii="仿宋" w:hAnsi="仿宋" w:eastAsia="仿宋" w:cs="仿宋"/>
                <w:color w:val="000000" w:themeColor="text1"/>
                <w:sz w:val="24"/>
                <w:highlight w:val="none"/>
                <w:lang w:val="zh-CN"/>
                <w14:textFill>
                  <w14:solidFill>
                    <w14:schemeClr w14:val="tx1"/>
                  </w14:solidFill>
                </w14:textFill>
              </w:rPr>
              <w:t>分钟（编制时可根据项目情况进行调整），讲解次序以投标文件解密时间先后次序为准。讲解演示结束后按要求解答评标委员会提问。</w:t>
            </w:r>
          </w:p>
          <w:p w14:paraId="3CDBF6CD">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（2）方案讲解演示可选择以下其中一种方式：</w:t>
            </w:r>
          </w:p>
          <w:p w14:paraId="54B89C95">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06C9408F">
            <w:pPr>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highlight w:val="none"/>
                <w:u w:val="single"/>
                <w14:textFill>
                  <w14:solidFill>
                    <w14:schemeClr w14:val="tx1"/>
                  </w14:solidFill>
                </w14:textFill>
              </w:rPr>
              <w:t>3</w:t>
            </w:r>
            <w:r>
              <w:rPr>
                <w:rFonts w:hint="eastAsia" w:ascii="仿宋" w:hAnsi="仿宋" w:eastAsia="仿宋" w:cs="仿宋"/>
                <w:color w:val="000000" w:themeColor="text1"/>
                <w:kern w:val="0"/>
                <w:sz w:val="24"/>
                <w:highlight w:val="none"/>
                <w:lang w:val="zh-CN"/>
                <w14:textFill>
                  <w14:solidFill>
                    <w14:schemeClr w14:val="tx1"/>
                  </w14:solidFill>
                </w14:textFill>
              </w:rPr>
              <w:t>人（编制时可根据项目情况进行调整）。</w:t>
            </w:r>
            <w:r>
              <w:rPr>
                <w:rFonts w:hint="eastAsia" w:ascii="仿宋" w:hAnsi="仿宋" w:eastAsia="仿宋" w:cs="仿宋"/>
                <w:color w:val="000000" w:themeColor="text1"/>
                <w:sz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39A9982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4646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33AD0AA">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w:t>
            </w:r>
          </w:p>
        </w:tc>
        <w:tc>
          <w:tcPr>
            <w:tcW w:w="1785" w:type="dxa"/>
            <w:vAlign w:val="center"/>
          </w:tcPr>
          <w:p w14:paraId="2F129F87">
            <w:pPr>
              <w:snapToGrid w:val="0"/>
              <w:spacing w:line="440" w:lineRule="exact"/>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6585" w:type="dxa"/>
            <w:vAlign w:val="center"/>
          </w:tcPr>
          <w:p w14:paraId="3EE9555B">
            <w:pPr>
              <w:spacing w:line="440" w:lineRule="exac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6B2489AA">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11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DF3AE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w:t>
            </w:r>
          </w:p>
        </w:tc>
        <w:tc>
          <w:tcPr>
            <w:tcW w:w="1785" w:type="dxa"/>
            <w:vAlign w:val="center"/>
          </w:tcPr>
          <w:p w14:paraId="5848381B">
            <w:pPr>
              <w:snapToGrid w:val="0"/>
              <w:spacing w:line="440" w:lineRule="exact"/>
              <w:ind w:left="14" w:hanging="14" w:hangingChars="7"/>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6585" w:type="dxa"/>
            <w:vAlign w:val="center"/>
          </w:tcPr>
          <w:p w14:paraId="52FEFFC3">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14:textFill>
                  <w14:solidFill>
                    <w14:schemeClr w14:val="tx1"/>
                  </w14:solidFill>
                </w14:textFill>
              </w:rPr>
              <w:t>。</w:t>
            </w:r>
          </w:p>
          <w:p w14:paraId="50760CB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69B4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20735583">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w:t>
            </w:r>
          </w:p>
        </w:tc>
        <w:tc>
          <w:tcPr>
            <w:tcW w:w="1785" w:type="dxa"/>
            <w:vAlign w:val="center"/>
          </w:tcPr>
          <w:p w14:paraId="6EC6FF23">
            <w:pPr>
              <w:snapToGrid w:val="0"/>
              <w:spacing w:line="440" w:lineRule="exact"/>
              <w:ind w:hanging="1"/>
              <w:jc w:val="center"/>
              <w:rPr>
                <w:rFonts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6585" w:type="dxa"/>
            <w:vAlign w:val="center"/>
          </w:tcPr>
          <w:p w14:paraId="136AFD84">
            <w:pPr>
              <w:snapToGrid w:val="0"/>
              <w:spacing w:line="440" w:lineRule="exac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olor w:val="000000" w:themeColor="text1"/>
                <w:sz w:val="24"/>
                <w:szCs w:val="28"/>
                <w:highlight w:val="none"/>
                <w:u w:val="single"/>
                <w:lang w:eastAsia="zh-CN"/>
                <w14:textFill>
                  <w14:solidFill>
                    <w14:schemeClr w14:val="tx1"/>
                  </w14:solidFill>
                </w14:textFill>
              </w:rPr>
              <w:t>杨汛桥街道办事处、派出所食堂大宗食品配送项目</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eastAsia="仿宋"/>
                <w:b/>
                <w:bCs/>
                <w:color w:val="000000" w:themeColor="text1"/>
                <w:sz w:val="24"/>
                <w:highlight w:val="none"/>
                <w:u w:val="single"/>
                <w14:textFill>
                  <w14:solidFill>
                    <w14:schemeClr w14:val="tx1"/>
                  </w14:solidFill>
                </w14:textFill>
              </w:rPr>
              <w:t>餐饮业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490C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0B39DC9">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w:t>
            </w:r>
          </w:p>
        </w:tc>
        <w:tc>
          <w:tcPr>
            <w:tcW w:w="1785" w:type="dxa"/>
            <w:vMerge w:val="restart"/>
            <w:vAlign w:val="center"/>
          </w:tcPr>
          <w:p w14:paraId="4B0D1463">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6585" w:type="dxa"/>
            <w:vAlign w:val="center"/>
          </w:tcPr>
          <w:p w14:paraId="49378F5B">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37E0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B3791C">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1785" w:type="dxa"/>
            <w:vMerge w:val="continue"/>
            <w:vAlign w:val="center"/>
          </w:tcPr>
          <w:p w14:paraId="51C3C165">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6585" w:type="dxa"/>
            <w:vAlign w:val="center"/>
          </w:tcPr>
          <w:p w14:paraId="7EE29134">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16F7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B73D613">
            <w:pPr>
              <w:spacing w:line="440" w:lineRule="exact"/>
              <w:jc w:val="center"/>
              <w:rPr>
                <w:rFonts w:ascii="仿宋" w:hAnsi="仿宋" w:eastAsia="仿宋" w:cs="仿宋"/>
                <w:color w:val="000000" w:themeColor="text1"/>
                <w:sz w:val="24"/>
                <w:highlight w:val="none"/>
                <w14:textFill>
                  <w14:solidFill>
                    <w14:schemeClr w14:val="tx1"/>
                  </w14:solidFill>
                </w14:textFill>
              </w:rPr>
            </w:pPr>
          </w:p>
        </w:tc>
        <w:tc>
          <w:tcPr>
            <w:tcW w:w="1785" w:type="dxa"/>
            <w:vMerge w:val="continue"/>
            <w:vAlign w:val="center"/>
          </w:tcPr>
          <w:p w14:paraId="0F7EE28F">
            <w:pPr>
              <w:snapToGrid w:val="0"/>
              <w:spacing w:line="440" w:lineRule="exact"/>
              <w:rPr>
                <w:rFonts w:ascii="仿宋" w:hAnsi="仿宋" w:eastAsia="仿宋" w:cs="仿宋"/>
                <w:b/>
                <w:color w:val="000000" w:themeColor="text1"/>
                <w:sz w:val="24"/>
                <w:highlight w:val="none"/>
                <w14:textFill>
                  <w14:solidFill>
                    <w14:schemeClr w14:val="tx1"/>
                  </w14:solidFill>
                </w14:textFill>
              </w:rPr>
            </w:pPr>
          </w:p>
        </w:tc>
        <w:tc>
          <w:tcPr>
            <w:tcW w:w="6585" w:type="dxa"/>
            <w:vAlign w:val="center"/>
          </w:tcPr>
          <w:p w14:paraId="66C51611">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经查询列入失信被执行人名单、重大税收违法失信主体、政府采购严重违法失信行为记录名单的投标人将被拒绝参与政府采购活动。</w:t>
            </w:r>
          </w:p>
          <w:p w14:paraId="2E5694BC">
            <w:pPr>
              <w:snapToGrid w:val="0"/>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E92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330B855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w:t>
            </w:r>
          </w:p>
        </w:tc>
        <w:tc>
          <w:tcPr>
            <w:tcW w:w="8370" w:type="dxa"/>
            <w:gridSpan w:val="2"/>
            <w:vAlign w:val="center"/>
          </w:tcPr>
          <w:p w14:paraId="74D0DDE0">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6E912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25FB7F">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w:t>
            </w:r>
          </w:p>
        </w:tc>
        <w:tc>
          <w:tcPr>
            <w:tcW w:w="8370" w:type="dxa"/>
            <w:gridSpan w:val="2"/>
            <w:vAlign w:val="center"/>
          </w:tcPr>
          <w:p w14:paraId="34E3DD8D">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更正补充公告请自行登录浙江政府采购网查看下载。</w:t>
            </w:r>
          </w:p>
        </w:tc>
      </w:tr>
      <w:tr w14:paraId="2746B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4574B8">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w:t>
            </w:r>
          </w:p>
        </w:tc>
        <w:tc>
          <w:tcPr>
            <w:tcW w:w="8370" w:type="dxa"/>
            <w:gridSpan w:val="2"/>
            <w:vAlign w:val="center"/>
          </w:tcPr>
          <w:p w14:paraId="674E3FE9">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1FEAD192">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25896F0A">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49ACBF">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18E290D0">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453BAADB">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066AD4D6">
            <w:pPr>
              <w:snapToGrid w:val="0"/>
              <w:spacing w:line="440" w:lineRule="exact"/>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3AAC3EDB">
            <w:pPr>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101A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27B3372">
            <w:pPr>
              <w:spacing w:line="44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w:t>
            </w:r>
          </w:p>
        </w:tc>
        <w:tc>
          <w:tcPr>
            <w:tcW w:w="8370" w:type="dxa"/>
            <w:gridSpan w:val="2"/>
            <w:vAlign w:val="center"/>
          </w:tcPr>
          <w:p w14:paraId="60875D22">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068E21F1">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451E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7B3753A">
            <w:pPr>
              <w:spacing w:line="440" w:lineRule="exact"/>
              <w:rPr>
                <w:rFonts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667F706D">
            <w:pPr>
              <w:spacing w:line="440" w:lineRule="exact"/>
              <w:rPr>
                <w:rFonts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6D1B9087">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2751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4AEA58B">
            <w:pPr>
              <w:snapToGrid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w:t>
            </w:r>
          </w:p>
        </w:tc>
        <w:tc>
          <w:tcPr>
            <w:tcW w:w="8370" w:type="dxa"/>
            <w:gridSpan w:val="2"/>
            <w:vAlign w:val="center"/>
          </w:tcPr>
          <w:p w14:paraId="1B6B3292">
            <w:pP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_GB2312"/>
                <w:b/>
                <w:color w:val="000000" w:themeColor="text1"/>
                <w:sz w:val="24"/>
                <w:highlight w:val="none"/>
                <w14:textFill>
                  <w14:solidFill>
                    <w14:schemeClr w14:val="tx1"/>
                  </w14:solidFill>
                </w14:textFill>
              </w:rPr>
              <w:t>履约保证金金额：无。</w:t>
            </w:r>
          </w:p>
        </w:tc>
      </w:tr>
      <w:tr w14:paraId="7E098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459E0B36">
            <w:pPr>
              <w:snapToGrid w:val="0"/>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20</w:t>
            </w:r>
          </w:p>
        </w:tc>
        <w:tc>
          <w:tcPr>
            <w:tcW w:w="8370" w:type="dxa"/>
            <w:gridSpan w:val="2"/>
            <w:vAlign w:val="center"/>
          </w:tcPr>
          <w:p w14:paraId="3779BC70">
            <w:pP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采购代理服务费：费用由采购人支付，具体以双方签订的合同为准。</w:t>
            </w:r>
          </w:p>
        </w:tc>
      </w:tr>
      <w:tr w14:paraId="5352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5E5471B">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4224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089DD90">
            <w:pPr>
              <w:spacing w:line="440" w:lineRule="exac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6215EF88">
      <w:pPr>
        <w:rPr>
          <w:rFonts w:ascii="仿宋" w:hAnsi="仿宋" w:eastAsia="仿宋" w:cs="仿宋"/>
          <w:b/>
          <w:color w:val="000000" w:themeColor="text1"/>
          <w:sz w:val="32"/>
          <w:szCs w:val="32"/>
          <w:highlight w:val="none"/>
          <w14:textFill>
            <w14:solidFill>
              <w14:schemeClr w14:val="tx1"/>
            </w14:solidFill>
          </w14:textFill>
        </w:rPr>
      </w:pPr>
      <w:bookmarkStart w:id="22" w:name="第三部分"/>
      <w:bookmarkStart w:id="23" w:name="_Toc164416483"/>
      <w:r>
        <w:rPr>
          <w:rFonts w:hint="eastAsia" w:ascii="仿宋" w:hAnsi="仿宋" w:eastAsia="仿宋" w:cs="仿宋"/>
          <w:b/>
          <w:color w:val="000000" w:themeColor="text1"/>
          <w:sz w:val="32"/>
          <w:szCs w:val="32"/>
          <w:highlight w:val="none"/>
          <w14:textFill>
            <w14:solidFill>
              <w14:schemeClr w14:val="tx1"/>
            </w14:solidFill>
          </w14:textFill>
        </w:rPr>
        <w:br w:type="page"/>
      </w:r>
    </w:p>
    <w:p w14:paraId="42EC851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398FEC98">
      <w:pPr>
        <w:snapToGrid w:val="0"/>
        <w:spacing w:line="440" w:lineRule="exact"/>
        <w:ind w:firstLine="482" w:firstLineChars="200"/>
        <w:jc w:val="left"/>
        <w:outlineLvl w:val="1"/>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4160B3E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090601D5">
      <w:pPr>
        <w:adjustRightInd/>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655104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7DA457C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“采购代理机构”系指招标公告中载明的本项目的采购代理机构。</w:t>
      </w:r>
    </w:p>
    <w:p w14:paraId="16530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3F3E6B5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2.4“监督单位”系指政府采购法定义监督管理部门。</w:t>
      </w:r>
    </w:p>
    <w:p w14:paraId="3E3D9E8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 “负责人”系指法人企业的法定负责人，或其他组织为法律、行政法规规定代表单位行使职权的主要负责人，或自然人本人。</w:t>
      </w:r>
    </w:p>
    <w:p w14:paraId="31F9799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6604A5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2.7“电子交易平台”系指本项目政府采购活动所依托的政府采购云平台（https://www.zcygov.cn/）。</w:t>
      </w:r>
    </w:p>
    <w:p w14:paraId="68BE169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747ECC83">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299E9D0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E7AA9E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 支持绿色发展</w:t>
      </w:r>
    </w:p>
    <w:p w14:paraId="6B51D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43E0372">
      <w:pPr>
        <w:spacing w:line="440" w:lineRule="exact"/>
        <w:ind w:firstLine="480"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3.2.2采</w:t>
      </w:r>
      <w:r>
        <w:rPr>
          <w:rFonts w:hint="eastAsia" w:ascii="仿宋" w:hAnsi="仿宋" w:eastAsia="仿宋" w:cs="仿宋"/>
          <w:b/>
          <w:color w:val="000000" w:themeColor="text1"/>
          <w:sz w:val="24"/>
          <w:highlight w:val="none"/>
          <w14:textFill>
            <w14:solidFill>
              <w14:schemeClr w14:val="tx1"/>
            </w14:solidFill>
          </w14:textFill>
        </w:rPr>
        <w:t>购人拟采购的产品属于政府强制采购的节能产品品目清单范围的，投标人未按招标文件要求提供国家确定的认证机构出具的、处于有效期之内的节能产品认证证书，投标无效。</w:t>
      </w:r>
    </w:p>
    <w:p w14:paraId="76471BB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3.2.3 纳入政府采购管理的修缮、装修类项目采购建材的，采购单位应将绿色建材性能、指标等作为实质性条件纳入采购文件和合同，具体性能指标要求按照相关绿色建材政府采购需求标准执行。</w:t>
      </w:r>
    </w:p>
    <w:p w14:paraId="01F244B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2BB68C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7BAA30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w:t>
      </w:r>
      <w:r>
        <w:rPr>
          <w:rFonts w:hint="eastAsia" w:ascii="仿宋" w:hAnsi="仿宋" w:eastAsia="仿宋" w:cs="仿宋"/>
          <w:bCs/>
          <w:color w:val="000000" w:themeColor="text1"/>
          <w:sz w:val="24"/>
          <w:highlight w:val="none"/>
          <w14:textFill>
            <w14:solidFill>
              <w14:schemeClr w14:val="tx1"/>
            </w14:solidFill>
          </w14:textFill>
        </w:rPr>
        <w:t>小微</w:t>
      </w:r>
      <w:r>
        <w:rPr>
          <w:rFonts w:hint="eastAsia" w:ascii="仿宋" w:hAnsi="仿宋" w:eastAsia="仿宋" w:cs="仿宋"/>
          <w:color w:val="000000" w:themeColor="text1"/>
          <w:sz w:val="24"/>
          <w:highlight w:val="none"/>
          <w14:textFill>
            <w14:solidFill>
              <w14:schemeClr w14:val="tx1"/>
            </w14:solidFill>
          </w14:textFill>
        </w:rPr>
        <w:t>企业价格扣除（按财库〔2022〕19号文件规定执行）</w:t>
      </w:r>
    </w:p>
    <w:p w14:paraId="5E03EA99">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3.3.1小微企业是指</w:t>
      </w:r>
      <w:r>
        <w:rPr>
          <w:rFonts w:hint="eastAsia" w:ascii="仿宋" w:hAnsi="仿宋" w:eastAsia="仿宋" w:cs="仿宋"/>
          <w:bCs/>
          <w:color w:val="000000" w:themeColor="text1"/>
          <w:sz w:val="24"/>
          <w:highlight w:val="none"/>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404F2BC8">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符合中小企业划分标准的个体工商户，在政府采购活动中视同中小企业。</w:t>
      </w:r>
    </w:p>
    <w:p w14:paraId="0619811B">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highlight w:val="none"/>
          <w14:textFill>
            <w14:solidFill>
              <w14:schemeClr w14:val="tx1"/>
            </w14:solidFill>
          </w14:textFill>
        </w:rPr>
        <w:t>供应商提供的货物既有中小企业制造货物，也有大型企业制造货物的，不享受中小企业扶持政策。</w:t>
      </w:r>
    </w:p>
    <w:p w14:paraId="2D4F99F9">
      <w:pPr>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3.3.3在服务采购项目中，服务由小微企业承接，即提供服务的人员为小微企业依照《中华人民共和国劳动合同法》订立劳动合同的从业人员。</w:t>
      </w:r>
    </w:p>
    <w:p w14:paraId="0877B4A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3.3.4小微企业应按照招标文件格式要求提供《中小企业声明函》。</w:t>
      </w:r>
    </w:p>
    <w:p w14:paraId="7ACEB90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6BB488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58F5052">
      <w:pPr>
        <w:spacing w:line="44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C03BA7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17A4CC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0B245D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w:t>
      </w:r>
      <w:r>
        <w:rPr>
          <w:rFonts w:hint="eastAsia" w:ascii="仿宋" w:hAnsi="仿宋" w:eastAsia="仿宋" w:cs="仿宋"/>
          <w:bCs/>
          <w:color w:val="000000" w:themeColor="text1"/>
          <w:sz w:val="24"/>
          <w:highlight w:val="none"/>
          <w14:textFill>
            <w14:solidFill>
              <w14:schemeClr w14:val="tx1"/>
            </w14:solidFill>
          </w14:textFill>
        </w:rPr>
        <w:t>支持科技创新发展</w:t>
      </w:r>
    </w:p>
    <w:p w14:paraId="05C9746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对省级以上主管部门认定的首台套产品，自纳入《省推广应用指导目录》起三年内参加政府采购活动，视同已具备相应销售业绩，业绩分为满分。</w:t>
      </w:r>
    </w:p>
    <w:p w14:paraId="2DFD37F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3.5平等对待内外资企业和符合条件的破产重整企业</w:t>
      </w:r>
    </w:p>
    <w:p w14:paraId="7C525D1D">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平等对待内外资企业和符合条件的破产重整企业，切实保障企业公平竞争，平等维护企业的合法利益。</w:t>
      </w:r>
    </w:p>
    <w:p w14:paraId="232230D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★4.特别说明：</w:t>
      </w:r>
    </w:p>
    <w:p w14:paraId="6AF4AC9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4.1供应商投标所使用的资格、信誉、荣誉与企业认证必须为投标单位所拥有。供应商投标所使用的采购项目实施人员必须为投标单位正式员工。</w:t>
      </w:r>
    </w:p>
    <w:p w14:paraId="4BF5573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4.2供应商应仔细阅读招标文件的所有内容，按照招标文件的要求提交投标文件，并对所提供的全部资料的真实性承担法律责任。</w:t>
      </w:r>
    </w:p>
    <w:p w14:paraId="064A7CA5">
      <w:pPr>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19AD746">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20E7621B">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p>
    <w:p w14:paraId="5F1D7F42">
      <w:pPr>
        <w:adjustRightInd/>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br w:type="textWrapping"/>
      </w: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293A876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4078402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0BB71AC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76095C2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5CCA52A1">
      <w:pPr>
        <w:pStyle w:val="24"/>
        <w:snapToGrid w:val="0"/>
        <w:spacing w:line="440" w:lineRule="exact"/>
        <w:ind w:firstLine="482"/>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2.授权委托</w:t>
      </w:r>
    </w:p>
    <w:p w14:paraId="0011C02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本项目为电子投标项目，投标人的法定代表人或其授权代表或个体工商户不需要参加现场投标和开标。</w:t>
      </w:r>
    </w:p>
    <w:p w14:paraId="2BC81FE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273565D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投标人应自行承担编制投标文件及参加本次投标所涉及的一切费用。不管投标结果如何，采购人对上述费用不负任何责任。</w:t>
      </w:r>
    </w:p>
    <w:p w14:paraId="543ECFC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15FFE58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4.1招标文件包括本招标文件及所有的招标答疑记录（澄清、修改）和发出的补充通知。</w:t>
      </w:r>
    </w:p>
    <w:p w14:paraId="474C1C9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4.2招标文件的澄清 </w:t>
      </w:r>
    </w:p>
    <w:p w14:paraId="4F6C446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01F67805">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4.3招标文件的修改</w:t>
      </w:r>
    </w:p>
    <w:p w14:paraId="2DB2313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AC29D0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7AD6753">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4C04199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67C1EBC8">
      <w:pPr>
        <w:pStyle w:val="23"/>
        <w:rPr>
          <w:color w:val="000000" w:themeColor="text1"/>
          <w:highlight w:val="none"/>
          <w:lang w:val="en-US"/>
          <w14:textFill>
            <w14:solidFill>
              <w14:schemeClr w14:val="tx1"/>
            </w14:solidFill>
          </w14:textFill>
        </w:rPr>
      </w:pPr>
    </w:p>
    <w:p w14:paraId="439F6E0F">
      <w:pPr>
        <w:adjustRightInd/>
        <w:spacing w:line="360" w:lineRule="auto"/>
        <w:jc w:val="center"/>
        <w:outlineLvl w:val="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三、投标文件</w:t>
      </w:r>
    </w:p>
    <w:p w14:paraId="37A61305">
      <w:pPr>
        <w:snapToGrid w:val="0"/>
        <w:spacing w:line="440" w:lineRule="exact"/>
        <w:ind w:firstLine="482" w:firstLineChars="200"/>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1.投标文件的语言、计量单位、形式及效力</w:t>
      </w:r>
    </w:p>
    <w:p w14:paraId="523982D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3F5E060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6B42D0E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6E43EC9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4980DE2A">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2B0AC18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4280D107">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3B27B939">
      <w:pPr>
        <w:snapToGrid w:val="0"/>
        <w:spacing w:line="440" w:lineRule="exact"/>
        <w:ind w:firstLine="482" w:firstLineChars="200"/>
        <w:jc w:val="left"/>
        <w:rPr>
          <w:rFonts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37CAF180">
      <w:pPr>
        <w:pStyle w:val="32"/>
        <w:spacing w:line="440" w:lineRule="exact"/>
        <w:ind w:firstLine="482" w:firstLineChars="200"/>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2.投标文件的组成</w:t>
      </w:r>
    </w:p>
    <w:p w14:paraId="521D076A">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投标文件由“资格文件”、“商务技术文件”、“报价文件”三部分组成，其中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3B5D94E0">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182E83A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2.1.1符合参加政府采购活动应当具备的一般条件的承诺函；</w:t>
      </w:r>
    </w:p>
    <w:p w14:paraId="5EA34676">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2.1.2联合协议（如果有)；</w:t>
      </w:r>
    </w:p>
    <w:p w14:paraId="7CCBA782">
      <w:pPr>
        <w:snapToGrid w:val="0"/>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49B72CE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2.1.4落实政府采购政策需满足的资格要求；</w:t>
      </w:r>
    </w:p>
    <w:p w14:paraId="7A78AC8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2.1.5本项目的特定资格要求。</w:t>
      </w:r>
    </w:p>
    <w:p w14:paraId="5C493E31">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2.</w:t>
      </w:r>
      <w:r>
        <w:rPr>
          <w:rFonts w:hint="eastAsia" w:ascii="仿宋" w:hAnsi="仿宋" w:eastAsia="仿宋" w:cs="仿宋"/>
          <w:b/>
          <w:color w:val="000000" w:themeColor="text1"/>
          <w:sz w:val="24"/>
          <w:highlight w:val="none"/>
          <w14:textFill>
            <w14:solidFill>
              <w14:schemeClr w14:val="tx1"/>
            </w14:solidFill>
          </w14:textFill>
        </w:rPr>
        <w:t>2商务技术</w:t>
      </w:r>
      <w:r>
        <w:rPr>
          <w:rFonts w:hint="eastAsia" w:ascii="仿宋" w:hAnsi="仿宋" w:eastAsia="仿宋" w:cs="仿宋"/>
          <w:b/>
          <w:color w:val="000000" w:themeColor="text1"/>
          <w:sz w:val="24"/>
          <w:highlight w:val="none"/>
          <w:lang w:val="zh-CN"/>
          <w14:textFill>
            <w14:solidFill>
              <w14:schemeClr w14:val="tx1"/>
            </w14:solidFill>
          </w14:textFill>
        </w:rPr>
        <w:t>文件：</w:t>
      </w:r>
    </w:p>
    <w:p w14:paraId="732DAE1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2.2.1投标函；</w:t>
      </w:r>
    </w:p>
    <w:p w14:paraId="6AA4269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2.2.2法定代表人授权委托书；</w:t>
      </w:r>
    </w:p>
    <w:p w14:paraId="4BB6A342">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2.2.3法定代表人及其授权代表身份证复印件；</w:t>
      </w:r>
    </w:p>
    <w:p w14:paraId="67D91B6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2.2.4授权代表社保证明；</w:t>
      </w:r>
    </w:p>
    <w:p w14:paraId="1515645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2.2.5法定代表人身份证明书；</w:t>
      </w:r>
    </w:p>
    <w:p w14:paraId="51BE97A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53CD8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2.2.7廉政承诺书（格式见第六部分附件）；</w:t>
      </w:r>
    </w:p>
    <w:p w14:paraId="2FE2C4B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000000" w:themeColor="text1"/>
          <w:sz w:val="24"/>
          <w:highlight w:val="none"/>
          <w14:textFill>
            <w14:solidFill>
              <w14:schemeClr w14:val="tx1"/>
            </w14:solidFill>
          </w14:textFill>
        </w:rPr>
        <w:t>必须为投标分公司本身所具有，</w:t>
      </w:r>
      <w:r>
        <w:rPr>
          <w:rFonts w:hint="eastAsia" w:ascii="仿宋" w:hAnsi="仿宋" w:eastAsia="仿宋" w:cs="仿宋"/>
          <w:color w:val="000000" w:themeColor="text1"/>
          <w:sz w:val="24"/>
          <w:highlight w:val="none"/>
          <w14:textFill>
            <w14:solidFill>
              <w14:schemeClr w14:val="tx1"/>
            </w14:solidFill>
          </w14:textFill>
        </w:rPr>
        <w:t>总公司或其他分公司的人员、业绩、荣誉、知识产权、项目案例等，不能作为该投标分公司的文件予以确认）；</w:t>
      </w:r>
    </w:p>
    <w:p w14:paraId="4B5FCCB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2.2.9供应商应提供针对项目的完整技术解决方案：</w:t>
      </w:r>
    </w:p>
    <w:p w14:paraId="429A542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3CF415C">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D25FF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64A1A7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6D30DBF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2.2.11项目验收之前、验收之后的维护方案；针对本项目的维护方案，</w:t>
      </w:r>
      <w:r>
        <w:rPr>
          <w:rFonts w:hint="eastAsia" w:ascii="仿宋" w:hAnsi="仿宋" w:eastAsia="仿宋" w:cs="仿宋"/>
          <w:b/>
          <w:bCs/>
          <w:color w:val="000000" w:themeColor="text1"/>
          <w:sz w:val="24"/>
          <w:highlight w:val="none"/>
          <w14:textFill>
            <w14:solidFill>
              <w14:schemeClr w14:val="tx1"/>
            </w14:solidFill>
          </w14:textFill>
        </w:rPr>
        <w:t>包括售后服务机构及人员情况等</w:t>
      </w:r>
      <w:r>
        <w:rPr>
          <w:rFonts w:hint="eastAsia" w:ascii="仿宋" w:hAnsi="仿宋" w:eastAsia="仿宋" w:cs="仿宋"/>
          <w:color w:val="000000" w:themeColor="text1"/>
          <w:sz w:val="24"/>
          <w:highlight w:val="none"/>
          <w14:textFill>
            <w14:solidFill>
              <w14:schemeClr w14:val="tx1"/>
            </w14:solidFill>
          </w14:textFill>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EFD8DFE">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2.2.12供应商售后服务证明材料：</w:t>
      </w:r>
      <w:r>
        <w:rPr>
          <w:rFonts w:hint="eastAsia" w:ascii="仿宋" w:hAnsi="仿宋" w:eastAsia="仿宋" w:cs="仿宋"/>
          <w:b/>
          <w:bCs/>
          <w:color w:val="000000" w:themeColor="text1"/>
          <w:sz w:val="24"/>
          <w:highlight w:val="none"/>
          <w14:textFill>
            <w14:solidFill>
              <w14:schemeClr w14:val="tx1"/>
            </w14:solidFill>
          </w14:textFill>
        </w:rPr>
        <w:t>由供应商根据本项目要求提供相应的售后服务证明材料或售后服务承诺</w:t>
      </w:r>
      <w:r>
        <w:rPr>
          <w:rFonts w:hint="eastAsia" w:ascii="仿宋" w:hAnsi="仿宋" w:eastAsia="仿宋" w:cs="仿宋"/>
          <w:color w:val="000000" w:themeColor="text1"/>
          <w:sz w:val="24"/>
          <w:highlight w:val="none"/>
          <w14:textFill>
            <w14:solidFill>
              <w14:schemeClr w14:val="tx1"/>
            </w14:solidFill>
          </w14:textFill>
        </w:rPr>
        <w:t>；</w:t>
      </w:r>
    </w:p>
    <w:p w14:paraId="75D8AD15">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8F3D77">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89DF60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2.2.15备品备件清单（含随机自带的备品备件和质保期后供采购人选择的备品备件及配套零部件，明细备品备件及价格，且供货价格不高于成交价格；成交货物设备应提供易损部件的备件和整机备品）；（如有）</w:t>
      </w:r>
    </w:p>
    <w:p w14:paraId="63863F2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2.2.16培训计划（如有）；</w:t>
      </w:r>
    </w:p>
    <w:p w14:paraId="13F8091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2.2.17验收方案；</w:t>
      </w:r>
    </w:p>
    <w:p w14:paraId="29BCC89B">
      <w:pPr>
        <w:snapToGrid w:val="0"/>
        <w:spacing w:line="440" w:lineRule="exact"/>
        <w:ind w:firstLine="480" w:firstLineChars="200"/>
        <w:rPr>
          <w:rFonts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55DE8B7C">
      <w:pPr>
        <w:snapToGrid w:val="0"/>
        <w:spacing w:line="440" w:lineRule="exact"/>
        <w:ind w:firstLine="480" w:firstLineChars="200"/>
        <w:rPr>
          <w:rFonts w:ascii="仿宋" w:hAnsi="仿宋" w:eastAsia="仿宋" w:cs="仿宋"/>
          <w:color w:val="000000" w:themeColor="text1"/>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2.2.19投标人需要说明的其他文件和说明（格式自拟）。</w:t>
      </w:r>
    </w:p>
    <w:p w14:paraId="1AA11252">
      <w:pPr>
        <w:snapToGrid w:val="0"/>
        <w:spacing w:line="440" w:lineRule="exact"/>
        <w:ind w:firstLine="482" w:firstLineChars="200"/>
        <w:rPr>
          <w:rFonts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79E1C252">
      <w:pPr>
        <w:pStyle w:val="60"/>
        <w:autoSpaceDE/>
        <w:autoSpaceDN/>
        <w:snapToGrid w:val="0"/>
        <w:spacing w:line="44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2.3.1开标一览表（报价表）；</w:t>
      </w:r>
    </w:p>
    <w:p w14:paraId="57A767EB">
      <w:pPr>
        <w:pStyle w:val="60"/>
        <w:autoSpaceDE/>
        <w:autoSpaceDN/>
        <w:snapToGrid w:val="0"/>
        <w:spacing w:line="440" w:lineRule="exact"/>
        <w:ind w:firstLine="480" w:firstLineChars="2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2.3.2中小企业声明函（如有）；</w:t>
      </w:r>
    </w:p>
    <w:p w14:paraId="212C4ED5">
      <w:pPr>
        <w:pStyle w:val="60"/>
        <w:autoSpaceDE/>
        <w:autoSpaceDN/>
        <w:snapToGrid w:val="0"/>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2.3.3 残疾人福利性单位声明函（如有）。</w:t>
      </w:r>
    </w:p>
    <w:p w14:paraId="6D2D56C1">
      <w:pPr>
        <w:pStyle w:val="60"/>
        <w:autoSpaceDE/>
        <w:autoSpaceDN/>
        <w:snapToGrid w:val="0"/>
        <w:spacing w:line="44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lang w:val="en-US"/>
          <w14:textFill>
            <w14:solidFill>
              <w14:schemeClr w14:val="tx1"/>
            </w14:solidFill>
          </w14:textFill>
        </w:rPr>
        <w:t>3.投标报价</w:t>
      </w:r>
    </w:p>
    <w:p w14:paraId="610E8BC5">
      <w:pPr>
        <w:pStyle w:val="60"/>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3.1供应商应按招标文件中</w:t>
      </w:r>
      <w:r>
        <w:rPr>
          <w:rFonts w:hint="eastAsia" w:ascii="仿宋" w:hAnsi="仿宋" w:eastAsia="仿宋" w:cs="仿宋"/>
          <w:color w:val="000000" w:themeColor="text1"/>
          <w:highlight w:val="none"/>
          <w14:textFill>
            <w14:solidFill>
              <w14:schemeClr w14:val="tx1"/>
            </w14:solidFill>
          </w14:textFill>
        </w:rPr>
        <w:t>《开标一览表》（报价表）</w:t>
      </w:r>
      <w:r>
        <w:rPr>
          <w:rFonts w:hint="eastAsia" w:ascii="仿宋" w:hAnsi="仿宋" w:eastAsia="仿宋" w:cs="仿宋"/>
          <w:color w:val="000000" w:themeColor="text1"/>
          <w:highlight w:val="none"/>
          <w:lang w:val="en-US"/>
          <w14:textFill>
            <w14:solidFill>
              <w14:schemeClr w14:val="tx1"/>
            </w14:solidFill>
          </w14:textFill>
        </w:rPr>
        <w:t>等附表要求填写。</w:t>
      </w:r>
    </w:p>
    <w:p w14:paraId="5C4C8FDE">
      <w:pPr>
        <w:pStyle w:val="60"/>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3.2报价为采购人可以合格使用产品的价格，包括货款、包装、运输、保险、货到就位以及安装、调试、培训、保修及产品知识产权等一切费用。</w:t>
      </w:r>
    </w:p>
    <w:p w14:paraId="09C28133">
      <w:pPr>
        <w:pStyle w:val="60"/>
        <w:autoSpaceDE/>
        <w:autoSpaceDN/>
        <w:snapToGrid w:val="0"/>
        <w:spacing w:line="440" w:lineRule="exact"/>
        <w:ind w:firstLine="480" w:firstLineChars="200"/>
        <w:rPr>
          <w:rFonts w:ascii="仿宋" w:hAnsi="仿宋" w:eastAsia="仿宋" w:cs="仿宋"/>
          <w:color w:val="000000" w:themeColor="text1"/>
          <w:highlight w:val="none"/>
          <w:lang w:val="en-US"/>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3.3招标文件未列明，而供应商认为必需的费用也需列入报价。</w:t>
      </w:r>
    </w:p>
    <w:p w14:paraId="65B23764">
      <w:pPr>
        <w:pStyle w:val="60"/>
        <w:autoSpaceDE/>
        <w:autoSpaceDN/>
        <w:snapToGrid w:val="0"/>
        <w:spacing w:line="440" w:lineRule="exact"/>
        <w:ind w:left="479" w:leftChars="228" w:firstLine="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bCs/>
          <w:color w:val="000000" w:themeColor="text1"/>
          <w:highlight w:val="none"/>
          <w:lang w:val="en-US"/>
          <w14:textFill>
            <w14:solidFill>
              <w14:schemeClr w14:val="tx1"/>
            </w14:solidFill>
          </w14:textFill>
        </w:rPr>
        <w:t>3.4投标报价只允许有一个报价，有选择的报价将不予接受（除指定外）。</w:t>
      </w:r>
      <w:r>
        <w:rPr>
          <w:rFonts w:hint="eastAsia"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投标文件的编制和</w:t>
      </w:r>
      <w:r>
        <w:rPr>
          <w:rFonts w:hint="eastAsia" w:ascii="仿宋" w:hAnsi="仿宋" w:eastAsia="仿宋" w:cs="仿宋"/>
          <w:b/>
          <w:color w:val="000000" w:themeColor="text1"/>
          <w:highlight w:val="none"/>
          <w14:textFill>
            <w14:solidFill>
              <w14:schemeClr w14:val="tx1"/>
            </w14:solidFill>
          </w14:textFill>
        </w:rPr>
        <w:t>签署</w:t>
      </w:r>
    </w:p>
    <w:p w14:paraId="11B3EB2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4889184">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0FB4BD77">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58588AFF">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68C7BC71">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D08D73D">
      <w:pPr>
        <w:snapToGrid w:val="0"/>
        <w:spacing w:line="44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24EE9A2D">
      <w:pPr>
        <w:pStyle w:val="131"/>
        <w:spacing w:before="0" w:line="440" w:lineRule="exact"/>
        <w:ind w:firstLine="482"/>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5.投标文件的提交、补充、修改、撤回</w:t>
      </w:r>
    </w:p>
    <w:p w14:paraId="6D5BE49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6AED72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6359556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40C58931">
      <w:pPr>
        <w:spacing w:line="440" w:lineRule="exact"/>
        <w:ind w:firstLine="482" w:firstLineChars="200"/>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6.投标有效期</w:t>
      </w:r>
    </w:p>
    <w:p w14:paraId="6AD7F073">
      <w:pPr>
        <w:snapToGrid w:val="0"/>
        <w:spacing w:line="440" w:lineRule="exact"/>
        <w:ind w:firstLine="480" w:firstLineChars="200"/>
        <w:jc w:val="left"/>
        <w:rPr>
          <w:rFonts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6.1投标有效期为从提交投标文件的截止之日起90天。投标人的投标文件中承诺的投标有效期少于招标文件中载明的投标有效期的，投标无效。</w:t>
      </w:r>
    </w:p>
    <w:p w14:paraId="27D2143B">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6.2投标文件合格投递后，自投标截止日期起，在投标有效期内有效。</w:t>
      </w:r>
    </w:p>
    <w:p w14:paraId="18B09E4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0BD9BA14">
      <w:pPr>
        <w:pStyle w:val="131"/>
        <w:spacing w:before="0"/>
        <w:ind w:firstLine="643"/>
        <w:rPr>
          <w:rFonts w:ascii="仿宋" w:hAnsi="仿宋" w:eastAsia="仿宋" w:cs="仿宋"/>
          <w:b/>
          <w:color w:val="000000" w:themeColor="text1"/>
          <w:sz w:val="32"/>
          <w:highlight w:val="none"/>
          <w14:textFill>
            <w14:solidFill>
              <w14:schemeClr w14:val="tx1"/>
            </w14:solidFill>
          </w14:textFill>
        </w:rPr>
      </w:pPr>
    </w:p>
    <w:p w14:paraId="23BDF37C">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bookmarkStart w:id="24"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2DD768D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570C55B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1.1投标截止时间后，主持人宣布开标会开始。</w:t>
      </w:r>
    </w:p>
    <w:p w14:paraId="4DFCC9F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1.2投标人登录政采云平台，用“项目采购-开标评标”功能对电子投标文件进行在线解密。在线解密电子投标文件时间为开标时间起30分钟内。</w:t>
      </w:r>
    </w:p>
    <w:p w14:paraId="38997DF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1.3采购人或采购代理机构对投标人进行资格审查。</w:t>
      </w:r>
    </w:p>
    <w:p w14:paraId="6F97B1B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1.4评标委员会对商务技术响应文件进行评审。</w:t>
      </w:r>
    </w:p>
    <w:p w14:paraId="3FF5284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1.5主持人宣布商务技术得分及无效（废）投标情形（如有），公布经商务技术（资信）评审符合招标文件要求的投标人名单及其商务技术得分。</w:t>
      </w:r>
    </w:p>
    <w:p w14:paraId="28DD975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1.6启封报价文件资料，主持人宣读投标人名称、投标价格和投标文件的其他内容。未宣读的投标报价和招标文件未允许提供的备选投标方案等实质性内容，评标时不予承认。</w:t>
      </w:r>
    </w:p>
    <w:p w14:paraId="7472A13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1.7评标委员会对投标文件报价文件资料进行评审，核准投标报价及计算价格分，汇总商务技术分、价格分，根据得分排序确定中标候选人。</w:t>
      </w:r>
    </w:p>
    <w:p w14:paraId="57B2950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1.8主持人公布评标结果。</w:t>
      </w:r>
    </w:p>
    <w:p w14:paraId="4048524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609F9731">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904943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2.1电子交易平台发生故障而无法登录访问的； </w:t>
      </w:r>
    </w:p>
    <w:p w14:paraId="3956F95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2.2电子交易平台应用或数据库出现错误，不能进行正常操作的；</w:t>
      </w:r>
    </w:p>
    <w:p w14:paraId="31D0B14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2.3电子交易平台发现严重安全漏洞，有潜在泄密危险的；</w:t>
      </w:r>
    </w:p>
    <w:p w14:paraId="026860D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2.4病毒发作导致不能进行正常操作的； </w:t>
      </w:r>
    </w:p>
    <w:p w14:paraId="339E7A0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2.5其他无法保证电子交易的公平、公正和安全的情况。</w:t>
      </w:r>
    </w:p>
    <w:p w14:paraId="00B715C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05724ED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4EC1D53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3.1评标委员会由招标采购单位依法组建，负责评标活动。评标委员会遵循公开、公平、公正、科学合理、竞争择优的原则。</w:t>
      </w:r>
    </w:p>
    <w:p w14:paraId="2441A9F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3.2评标委员会由采购人代表和有关方面的专家组成，成员人数为五人以上单数。</w:t>
      </w:r>
    </w:p>
    <w:p w14:paraId="504F78B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3.3评标委员会可以要求投标人对其投标文件中含义不明确的内容作必要的澄清或者说明，但澄清或者说明不得超过投标文件的范围或者改变投标文件的实质性内容。</w:t>
      </w:r>
    </w:p>
    <w:p w14:paraId="171F412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B074F3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供应商通过政采云平台交换的数据电文必须进行电子签章。</w:t>
      </w:r>
    </w:p>
    <w:p w14:paraId="2DF7685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81DA13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3.5评标委员会对投标文件的判定，只依据投标文件和招标文件内容本身，不依据任何外来证明。</w:t>
      </w:r>
    </w:p>
    <w:p w14:paraId="203C68F1">
      <w:pPr>
        <w:snapToGrid w:val="0"/>
        <w:spacing w:line="440" w:lineRule="exact"/>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3.6评标委员会不向落标方解释落标的原因。</w:t>
      </w:r>
    </w:p>
    <w:p w14:paraId="68DE9E8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2BBD0ED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4.1资格性审查</w:t>
      </w:r>
    </w:p>
    <w:p w14:paraId="206693C5">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4.1.1依据法律、法规和招标文件规定，采购人或采购人代表对投标人进行资格审查，以确定投标人是否具备投标资格。</w:t>
      </w:r>
    </w:p>
    <w:p w14:paraId="6DA8AAB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4.2符合性审查</w:t>
      </w:r>
    </w:p>
    <w:p w14:paraId="63B0B94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5BDFA9C">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07D6D37F">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3B51A76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5.1投标文件中开标一览表（报价表）内容与投标文件中相应内容不一致的，以开标一览表（报价表）为准；</w:t>
      </w:r>
    </w:p>
    <w:p w14:paraId="2DB7CD2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5.2大写金额和小写金额不一致的，以大写金额为准；</w:t>
      </w:r>
    </w:p>
    <w:p w14:paraId="154934E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5.3单价金额小数点或者百分比有明显错位的，以《开标一览表》（报价表）的总价为准，并修改单价；</w:t>
      </w:r>
    </w:p>
    <w:p w14:paraId="568182E6">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5.4总价金额与按单价汇总金额不一致的，以单价金额计算结果为准。</w:t>
      </w:r>
    </w:p>
    <w:p w14:paraId="71D0ED7D">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135C3EC">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69BD77A7">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6.1评标委员会将对在实质上响应招标文件要求的投标文件进行评估和比较。</w:t>
      </w:r>
    </w:p>
    <w:p w14:paraId="4F469239">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1F72932">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6.3在评标过程中，如发现与招标文件要求相偏离的，评标委员会可对其偏离情形进行必要的核实。</w:t>
      </w:r>
    </w:p>
    <w:p w14:paraId="63983DA8">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43E3110F">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6.5比较与评价。评标委员会应当按照评标标准，对符合性审查合格的投标文件进行商务和技术评估，综合比较与评价。</w:t>
      </w:r>
    </w:p>
    <w:p w14:paraId="05A8195A">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6.6汇总（商务技术得分情况）。评标委员会各成员应当独立对每个投标人的商务技术文件进行评价，并汇总商务技术得分情况。</w:t>
      </w:r>
    </w:p>
    <w:p w14:paraId="5CCABFD4">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 报价审核。对符合采购需求且通过商务技术（资信）评审的投标人的报价的合理性、准确性等进行审查核实。</w:t>
      </w:r>
    </w:p>
    <w:p w14:paraId="66227C0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D591EB1">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703C4D0">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6.7.3如需投标价格修正，按财政部87号令第五十九条的规定对投标价格进行修正。</w:t>
      </w:r>
    </w:p>
    <w:p w14:paraId="32F388D3">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C9FDBEE">
      <w:pPr>
        <w:pStyle w:val="32"/>
        <w:snapToGrid w:val="0"/>
        <w:spacing w:line="44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7.投标文件的澄清</w:t>
      </w:r>
    </w:p>
    <w:p w14:paraId="60A4652E">
      <w:pPr>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4908F736">
      <w:pPr>
        <w:pStyle w:val="32"/>
        <w:snapToGrid w:val="0"/>
        <w:spacing w:line="440" w:lineRule="exact"/>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8.无效投标的情形</w:t>
      </w:r>
    </w:p>
    <w:p w14:paraId="659A6D29">
      <w:pPr>
        <w:tabs>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投标文件有下列情形之一的作无效投标处理：</w:t>
      </w:r>
    </w:p>
    <w:p w14:paraId="7307270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8.1未按照招标文件规定要求电子签章、签字或盖章的；</w:t>
      </w:r>
    </w:p>
    <w:p w14:paraId="34A775C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6612851F">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2185DDB0">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0A5BE78">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7A9F04D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5A8EFE9E">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ECDCF7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8.8投标文件中的投标函无投标人的电子签章或填写不全的；</w:t>
      </w:r>
    </w:p>
    <w:p w14:paraId="3372E00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223FCF72">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07E0879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8.11出现同一标的物或本次招标产品(服务)内的主要产品(重要组成部分)出现商务技术文件、报价文件描述不一致或前后描述不一致，经评标委员会认定后为无法评审的；</w:t>
      </w:r>
    </w:p>
    <w:p w14:paraId="35C01A87">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8.12《技术偏离说明表》不真实填写或弄虚作假的；</w:t>
      </w:r>
    </w:p>
    <w:p w14:paraId="436FF3DD">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8.13投标文件含有采购人不能接受的附加条件；</w:t>
      </w:r>
    </w:p>
    <w:p w14:paraId="0BC1736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0D578E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8.15报价超过招标文件中规定的预算金额或最高限价的；</w:t>
      </w:r>
    </w:p>
    <w:p w14:paraId="0F79208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8.16投标文件“商务技术文件”部分中出现《开标一览表》（报价表）相关内容的；</w:t>
      </w:r>
    </w:p>
    <w:p w14:paraId="6712AD5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32A1AD9">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8.18《开标一览表》（报价表）填写不完整或字迹不能辨认或有漏项的，经评标委员会认定属于重大偏差的；</w:t>
      </w:r>
    </w:p>
    <w:p w14:paraId="128926D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8.19投标人对根据修正原则修正后的报价不确认的；</w:t>
      </w:r>
    </w:p>
    <w:p w14:paraId="6988812C">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8.20投标人提供虚假材料投标的（包括但不限于以下情节）；</w:t>
      </w:r>
    </w:p>
    <w:p w14:paraId="263423DA">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8.20.1使用伪造、变造的许可证件；</w:t>
      </w:r>
    </w:p>
    <w:p w14:paraId="4D2B6AB4">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8.20.2提供虚假的财务状况或者业绩；</w:t>
      </w:r>
    </w:p>
    <w:p w14:paraId="75E0C263">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8.20.3提供虚假的项目负责人或者主要技术人员简历、劳动关系证明；</w:t>
      </w:r>
    </w:p>
    <w:p w14:paraId="20B6B5F2">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8.20.4提供虚假的信用状况；</w:t>
      </w:r>
    </w:p>
    <w:p w14:paraId="50FD654C">
      <w:pPr>
        <w:tabs>
          <w:tab w:val="left" w:pos="3870"/>
          <w:tab w:val="left" w:pos="4085"/>
        </w:tabs>
        <w:snapToGrid w:val="0"/>
        <w:spacing w:line="440" w:lineRule="exact"/>
        <w:ind w:left="479" w:leftChars="228"/>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8.20.5其他弄虚作假的行为。</w:t>
      </w:r>
    </w:p>
    <w:p w14:paraId="6E360954">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8.21下列情形之一的，视为投标人串通投标，其投标无效：</w:t>
      </w:r>
    </w:p>
    <w:p w14:paraId="689B7AE8">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8.21.1不同投标人的投标文件由同一单位或者个人编制；</w:t>
      </w:r>
    </w:p>
    <w:p w14:paraId="4203C9D6">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8.21.2不同投标人委托同一单位或者个人办理投标事宜；</w:t>
      </w:r>
    </w:p>
    <w:p w14:paraId="04B9D16B">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8.21.3不同投标人的投标文件载明的项目管理成员或者联系人员为同一人；</w:t>
      </w:r>
    </w:p>
    <w:p w14:paraId="1EACD9A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8.21.4不同投标人的投标文件异常一致或者投标报价呈规律性差异；</w:t>
      </w:r>
    </w:p>
    <w:p w14:paraId="2C9B51B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8.21.5不同投标人的投标文件相互混装；</w:t>
      </w:r>
    </w:p>
    <w:p w14:paraId="4575097E">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2EFE4346">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8.22有下列情形之一的，属于恶意串通，其投标无效：</w:t>
      </w:r>
    </w:p>
    <w:p w14:paraId="3598B639">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26DCCF25">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8.22.2供应商按照采购人或者采购机构的授意撤换、修改投标文件或者响应文件；</w:t>
      </w:r>
    </w:p>
    <w:p w14:paraId="4B33D22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8.22.3供应商之间协商报价、技术方案等投标文件或者响应文件的实质性内容；</w:t>
      </w:r>
    </w:p>
    <w:p w14:paraId="7D0017B4">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4C92C47F">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8.22.5供应商之间事先约定由某一特定供应商中标、成交；</w:t>
      </w:r>
    </w:p>
    <w:p w14:paraId="3E52C073">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8.22.6供应商之间商定部分供应商放弃参加政府采购活动或者放弃中标、成交；</w:t>
      </w:r>
    </w:p>
    <w:p w14:paraId="193DCAEC">
      <w:pPr>
        <w:tabs>
          <w:tab w:val="left" w:pos="3870"/>
          <w:tab w:val="left" w:pos="4085"/>
        </w:tabs>
        <w:snapToGrid w:val="0"/>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14C99D1B">
      <w:pPr>
        <w:snapToGrid w:val="0"/>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8.23评标委员会认定有重大偏差或实质性不响应招标文件要求的；</w:t>
      </w:r>
    </w:p>
    <w:p w14:paraId="5052D428">
      <w:pPr>
        <w:tabs>
          <w:tab w:val="left" w:pos="3870"/>
          <w:tab w:val="left" w:pos="4085"/>
        </w:tabs>
        <w:snapToGrid w:val="0"/>
        <w:spacing w:line="440" w:lineRule="exact"/>
        <w:ind w:firstLine="482" w:firstLineChars="200"/>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8.24投标文件出现不是唯一的、有选择性投标报价的；</w:t>
      </w:r>
    </w:p>
    <w:p w14:paraId="69093DE6">
      <w:pPr>
        <w:snapToGrid w:val="0"/>
        <w:spacing w:line="440" w:lineRule="exact"/>
        <w:ind w:firstLine="482" w:firstLineChars="20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8.25未按招标文件要求提供样品或提供样品不满足采购需求实质性条件的；</w:t>
      </w:r>
    </w:p>
    <w:p w14:paraId="3E38D7F6">
      <w:pPr>
        <w:snapToGrid w:val="0"/>
        <w:spacing w:line="440" w:lineRule="exact"/>
        <w:ind w:firstLine="482" w:firstLineChars="20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8.26参与同一个采购包(标段)的供应商存在下列情形之一且无法合理解释的，其投标(响应)文件无效:</w:t>
      </w:r>
    </w:p>
    <w:p w14:paraId="6CA19466">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8.26.1不同供应商的电子投标(响应)文件上传计算机的网卡MAC地址或硬盘序列号等硬件信息相同的;</w:t>
      </w:r>
    </w:p>
    <w:p w14:paraId="5371BF9A">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8.26.2上传的电子投标(响应)文件若出现使用本项目其他投标(响应)供应商的数字证书加密的，或者加盖本项目其他投标(响应)供应商的电子印章的;</w:t>
      </w:r>
    </w:p>
    <w:p w14:paraId="52FAEF46">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8.26.3不同供应商的投标(响应)文件的内容存在3处(含)以上错误一致的;</w:t>
      </w:r>
    </w:p>
    <w:p w14:paraId="36B62D43">
      <w:pPr>
        <w:snapToGrid w:val="0"/>
        <w:spacing w:line="440" w:lineRule="exact"/>
        <w:ind w:firstLine="480" w:firstLineChars="200"/>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8.26.4不同供应商联系人为同一人或不同联系人的联系电话一致的。</w:t>
      </w:r>
    </w:p>
    <w:p w14:paraId="6AF1D7DE">
      <w:pPr>
        <w:snapToGrid w:val="0"/>
        <w:spacing w:line="440" w:lineRule="exact"/>
        <w:ind w:firstLine="482" w:firstLineChars="200"/>
        <w:jc w:val="left"/>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8.2</w:t>
      </w:r>
      <w:r>
        <w:rPr>
          <w:rFonts w:ascii="仿宋" w:hAnsi="仿宋" w:eastAsia="仿宋" w:cs="仿宋"/>
          <w:b/>
          <w:color w:val="000000" w:themeColor="text1"/>
          <w:sz w:val="24"/>
          <w:highlight w:val="none"/>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其他违反法律、法规的情形。</w:t>
      </w:r>
    </w:p>
    <w:p w14:paraId="280CDCAE">
      <w:pPr>
        <w:snapToGrid w:val="0"/>
        <w:spacing w:line="440" w:lineRule="exact"/>
        <w:ind w:firstLine="482" w:firstLineChars="200"/>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9.评标过程保密</w:t>
      </w:r>
    </w:p>
    <w:p w14:paraId="5428A1C5">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4B1CD16">
      <w:pPr>
        <w:snapToGrid w:val="0"/>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color w:val="000000" w:themeColor="text1"/>
          <w:kern w:val="0"/>
          <w:sz w:val="24"/>
          <w:highlight w:val="none"/>
          <w14:textFill>
            <w14:solidFill>
              <w14:schemeClr w14:val="tx1"/>
            </w14:solidFill>
          </w14:textFill>
        </w:rPr>
        <w:t>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6B73CC14">
      <w:pPr>
        <w:snapToGrid w:val="0"/>
        <w:spacing w:line="440" w:lineRule="exact"/>
        <w:ind w:firstLine="482" w:firstLineChars="150"/>
        <w:jc w:val="center"/>
        <w:rPr>
          <w:rFonts w:ascii="仿宋" w:hAnsi="仿宋" w:eastAsia="仿宋" w:cs="仿宋"/>
          <w:b/>
          <w:color w:val="000000" w:themeColor="text1"/>
          <w:sz w:val="32"/>
          <w:highlight w:val="none"/>
          <w14:textFill>
            <w14:solidFill>
              <w14:schemeClr w14:val="tx1"/>
            </w14:solidFill>
          </w14:textFill>
        </w:rPr>
      </w:pPr>
    </w:p>
    <w:bookmarkEnd w:id="24"/>
    <w:p w14:paraId="36530736">
      <w:pPr>
        <w:pStyle w:val="32"/>
        <w:spacing w:line="440" w:lineRule="exact"/>
        <w:ind w:firstLine="726"/>
        <w:jc w:val="center"/>
        <w:rPr>
          <w:rFonts w:ascii="仿宋" w:hAnsi="仿宋" w:eastAsia="仿宋" w:cs="仿宋"/>
          <w:b/>
          <w:bCs/>
          <w:color w:val="000000" w:themeColor="text1"/>
          <w:sz w:val="24"/>
          <w:highlight w:val="none"/>
          <w14:textFill>
            <w14:solidFill>
              <w14:schemeClr w14:val="tx1"/>
            </w14:solidFill>
          </w14:textFill>
        </w:rPr>
      </w:pPr>
      <w:bookmarkStart w:id="25" w:name="_Hlt74707468"/>
      <w:bookmarkEnd w:id="25"/>
      <w:bookmarkStart w:id="26" w:name="_Hlt68403820"/>
      <w:bookmarkEnd w:id="26"/>
      <w:bookmarkStart w:id="27" w:name="_Hlt75236011"/>
      <w:bookmarkEnd w:id="27"/>
      <w:bookmarkStart w:id="28" w:name="_Hlt68072990"/>
      <w:bookmarkEnd w:id="28"/>
      <w:bookmarkStart w:id="29" w:name="_Hlt75236290"/>
      <w:bookmarkEnd w:id="29"/>
      <w:bookmarkStart w:id="30" w:name="_Hlt68073093"/>
      <w:bookmarkEnd w:id="30"/>
      <w:bookmarkStart w:id="31" w:name="_Hlt74729768"/>
      <w:bookmarkEnd w:id="31"/>
      <w:bookmarkStart w:id="32" w:name="_Hlt75236101"/>
      <w:bookmarkEnd w:id="32"/>
      <w:bookmarkStart w:id="33" w:name="_Hlt68057669"/>
      <w:bookmarkEnd w:id="33"/>
      <w:bookmarkStart w:id="34" w:name="_Hlt68072998"/>
      <w:bookmarkEnd w:id="34"/>
      <w:bookmarkStart w:id="35" w:name="_Hlt74714665"/>
      <w:bookmarkEnd w:id="35"/>
      <w:bookmarkStart w:id="36" w:name="_Hlt74730295"/>
      <w:bookmarkEnd w:id="36"/>
      <w:bookmarkStart w:id="37" w:name="_Toc84325929"/>
      <w:bookmarkStart w:id="38" w:name="_Toc81372953"/>
      <w:bookmarkStart w:id="39" w:name="_Toc81372776"/>
      <w:r>
        <w:rPr>
          <w:rFonts w:hint="eastAsia" w:ascii="仿宋" w:hAnsi="仿宋" w:eastAsia="仿宋" w:cs="仿宋"/>
          <w:b/>
          <w:color w:val="000000" w:themeColor="text1"/>
          <w:sz w:val="32"/>
          <w:szCs w:val="32"/>
          <w:highlight w:val="none"/>
          <w14:textFill>
            <w14:solidFill>
              <w14:schemeClr w14:val="tx1"/>
            </w14:solidFill>
          </w14:textFill>
        </w:rPr>
        <w:t>五、授予合同</w:t>
      </w:r>
      <w:bookmarkEnd w:id="37"/>
      <w:bookmarkEnd w:id="38"/>
      <w:bookmarkEnd w:id="39"/>
    </w:p>
    <w:p w14:paraId="2AED924B">
      <w:pPr>
        <w:snapToGrid w:val="0"/>
        <w:spacing w:line="360" w:lineRule="exact"/>
        <w:ind w:firstLine="482" w:firstLineChars="200"/>
        <w:rPr>
          <w:rFonts w:ascii="仿宋" w:hAnsi="仿宋" w:eastAsia="仿宋" w:cs="仿宋"/>
          <w:b/>
          <w:bCs/>
          <w:color w:val="000000" w:themeColor="text1"/>
          <w:sz w:val="24"/>
          <w:highlight w:val="none"/>
          <w14:textFill>
            <w14:solidFill>
              <w14:schemeClr w14:val="tx1"/>
            </w14:solidFill>
          </w14:textFill>
        </w:rPr>
      </w:pPr>
    </w:p>
    <w:p w14:paraId="446F6619">
      <w:pPr>
        <w:pStyle w:val="15"/>
        <w:tabs>
          <w:tab w:val="clear" w:pos="390"/>
          <w:tab w:val="clear" w:pos="454"/>
        </w:tabs>
        <w:spacing w:after="120" w:line="440" w:lineRule="exact"/>
        <w:ind w:left="0"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4F8244DD">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3EECF57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0B6A946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1.3实施方案最合理并对采购人最为有利，最大限度满足招标文件的要求；</w:t>
      </w:r>
    </w:p>
    <w:p w14:paraId="6F7ABE5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233ECAC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1.5采购人将把中标通知书授予最佳投标者，但最低价不是中标的绝对保证。</w:t>
      </w:r>
    </w:p>
    <w:p w14:paraId="1AEF828E">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7A63C5F9">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2.1采购人应当自收到评标报告之日起5个工作日内，在评标报告确定的中标候选人名单中按顺序确定中标人。</w:t>
      </w:r>
    </w:p>
    <w:p w14:paraId="3B89C110">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E106B8A">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1CA177C7">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7DC423FF">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2493F0FE">
      <w:pPr>
        <w:snapToGrid w:val="0"/>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15B9B77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5D0D952D">
      <w:pPr>
        <w:pStyle w:val="24"/>
        <w:tabs>
          <w:tab w:val="left" w:pos="2760"/>
        </w:tabs>
        <w:spacing w:line="360" w:lineRule="auto"/>
        <w:ind w:firstLine="482"/>
        <w:rPr>
          <w:rFonts w:ascii="仿宋" w:hAnsi="仿宋" w:eastAsia="仿宋" w:cs="仿宋_GB2312"/>
          <w:b/>
          <w:color w:val="000000" w:themeColor="text1"/>
          <w:highlight w:val="none"/>
          <w14:textFill>
            <w14:solidFill>
              <w14:schemeClr w14:val="tx1"/>
            </w14:solidFill>
          </w14:textFill>
        </w:rPr>
      </w:pPr>
      <w:r>
        <w:rPr>
          <w:rFonts w:hint="eastAsia" w:ascii="仿宋" w:hAnsi="仿宋" w:eastAsia="仿宋" w:cs="仿宋_GB2312"/>
          <w:b/>
          <w:color w:val="000000" w:themeColor="text1"/>
          <w:highlight w:val="none"/>
          <w14:textFill>
            <w14:solidFill>
              <w14:schemeClr w14:val="tx1"/>
            </w14:solidFill>
          </w14:textFill>
        </w:rPr>
        <w:t>4. 履约保证金</w:t>
      </w:r>
      <w:r>
        <w:rPr>
          <w:rFonts w:ascii="仿宋" w:hAnsi="仿宋" w:eastAsia="仿宋" w:cs="仿宋_GB2312"/>
          <w:b/>
          <w:color w:val="000000" w:themeColor="text1"/>
          <w:highlight w:val="none"/>
          <w14:textFill>
            <w14:solidFill>
              <w14:schemeClr w14:val="tx1"/>
            </w14:solidFill>
          </w14:textFill>
        </w:rPr>
        <w:tab/>
      </w:r>
    </w:p>
    <w:p w14:paraId="7B08665B">
      <w:pPr>
        <w:tabs>
          <w:tab w:val="left" w:pos="0"/>
        </w:tabs>
        <w:spacing w:line="360" w:lineRule="auto"/>
        <w:ind w:firstLine="482"/>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Helvetica"/>
          <w:color w:val="000000" w:themeColor="text1"/>
          <w:kern w:val="0"/>
          <w:sz w:val="24"/>
          <w:highlight w:val="none"/>
          <w14:textFill>
            <w14:solidFill>
              <w14:schemeClr w14:val="tx1"/>
            </w14:solidFill>
          </w14:textFill>
        </w:rPr>
        <w:t>拟签订的合同文本要求中标供应商提交履约保证金的，供应商应当以支票、汇票、本票或者金融机构、担保机构出具的保函等非现金形式提交</w:t>
      </w:r>
      <w:r>
        <w:rPr>
          <w:rFonts w:hint="eastAsia" w:ascii="仿宋" w:hAnsi="仿宋" w:eastAsia="仿宋"/>
          <w:color w:val="000000" w:themeColor="text1"/>
          <w:sz w:val="24"/>
          <w:highlight w:val="none"/>
          <w14:textFill>
            <w14:solidFill>
              <w14:schemeClr w14:val="tx1"/>
            </w14:solidFill>
          </w14:textFill>
        </w:rPr>
        <w:t>。履约保证金的数额不得超过政府采购合同金额的</w:t>
      </w:r>
      <w:r>
        <w:rPr>
          <w:rFonts w:hint="eastAsia" w:ascii="仿宋" w:hAnsi="仿宋" w:eastAsia="仿宋"/>
          <w:b/>
          <w:color w:val="000000" w:themeColor="text1"/>
          <w:sz w:val="24"/>
          <w:highlight w:val="none"/>
          <w14:textFill>
            <w14:solidFill>
              <w14:schemeClr w14:val="tx1"/>
            </w14:solidFill>
          </w14:textFill>
        </w:rPr>
        <w:t>0.5</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s="宋体"/>
          <w:color w:val="000000" w:themeColor="text1"/>
          <w:sz w:val="24"/>
          <w:highlight w:val="none"/>
          <w14:textFill>
            <w14:solidFill>
              <w14:schemeClr w14:val="tx1"/>
            </w14:solidFill>
          </w14:textFill>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000000" w:themeColor="text1"/>
          <w:sz w:val="24"/>
          <w:highlight w:val="none"/>
          <w14:textFill>
            <w14:solidFill>
              <w14:schemeClr w14:val="tx1"/>
            </w14:solidFill>
          </w14:textFill>
        </w:rPr>
        <w:t>延迟退还的，应当按照合同约定和法律规定承担相应的赔偿责任</w:t>
      </w:r>
      <w:r>
        <w:rPr>
          <w:rFonts w:hint="eastAsia" w:ascii="仿宋" w:hAnsi="仿宋" w:eastAsia="仿宋" w:cs="宋体"/>
          <w:color w:val="000000" w:themeColor="text1"/>
          <w:sz w:val="24"/>
          <w:highlight w:val="none"/>
          <w14:textFill>
            <w14:solidFill>
              <w14:schemeClr w14:val="tx1"/>
            </w14:solidFill>
          </w14:textFill>
        </w:rPr>
        <w:t>。</w:t>
      </w:r>
    </w:p>
    <w:p w14:paraId="109B060E">
      <w:pPr>
        <w:tabs>
          <w:tab w:val="left" w:pos="0"/>
        </w:tabs>
        <w:spacing w:line="360" w:lineRule="auto"/>
        <w:ind w:firstLine="482"/>
        <w:rPr>
          <w:rFonts w:ascii="仿宋" w:eastAsia="仿宋" w:cs="宋体"/>
          <w:snapToGrid w:val="0"/>
          <w:color w:val="000000" w:themeColor="text1"/>
          <w:kern w:val="28"/>
          <w:sz w:val="24"/>
          <w:highlight w:val="none"/>
          <w14:textFill>
            <w14:solidFill>
              <w14:schemeClr w14:val="tx1"/>
            </w14:solidFill>
          </w14:textFill>
        </w:rPr>
      </w:pPr>
      <w:r>
        <w:rPr>
          <w:rFonts w:hint="eastAsia" w:ascii="仿宋" w:eastAsia="仿宋" w:cs="宋体"/>
          <w:snapToGrid w:val="0"/>
          <w:color w:val="000000" w:themeColor="text1"/>
          <w:kern w:val="28"/>
          <w:sz w:val="24"/>
          <w:highlight w:val="none"/>
          <w14:textFill>
            <w14:solidFill>
              <w14:schemeClr w14:val="tx1"/>
            </w14:solidFill>
          </w14:textFill>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46710A4">
      <w:pPr>
        <w:tabs>
          <w:tab w:val="left" w:pos="0"/>
        </w:tabs>
        <w:spacing w:line="360" w:lineRule="auto"/>
        <w:ind w:firstLine="482"/>
        <w:rPr>
          <w:rFonts w:ascii="仿宋" w:eastAsia="仿宋" w:cs="宋体"/>
          <w:b/>
          <w:bCs/>
          <w:snapToGrid w:val="0"/>
          <w:color w:val="000000" w:themeColor="text1"/>
          <w:kern w:val="28"/>
          <w:sz w:val="24"/>
          <w:highlight w:val="none"/>
          <w:lang w:val="zh-CN"/>
          <w14:textFill>
            <w14:solidFill>
              <w14:schemeClr w14:val="tx1"/>
            </w14:solidFill>
          </w14:textFill>
        </w:rPr>
      </w:pPr>
      <w:r>
        <w:rPr>
          <w:rFonts w:hint="eastAsia" w:ascii="仿宋" w:eastAsia="仿宋" w:cs="宋体"/>
          <w:b/>
          <w:bCs/>
          <w:snapToGrid w:val="0"/>
          <w:color w:val="000000" w:themeColor="text1"/>
          <w:kern w:val="28"/>
          <w:sz w:val="24"/>
          <w:highlight w:val="none"/>
          <w14:textFill>
            <w14:solidFill>
              <w14:schemeClr w14:val="tx1"/>
            </w14:solidFill>
          </w14:textFill>
        </w:rPr>
        <w:t>5.</w:t>
      </w:r>
      <w:r>
        <w:rPr>
          <w:rFonts w:hint="eastAsia" w:ascii="仿宋" w:eastAsia="仿宋" w:cs="宋体"/>
          <w:b/>
          <w:bCs/>
          <w:snapToGrid w:val="0"/>
          <w:color w:val="000000" w:themeColor="text1"/>
          <w:kern w:val="28"/>
          <w:sz w:val="24"/>
          <w:highlight w:val="none"/>
          <w:lang w:val="zh-CN"/>
          <w14:textFill>
            <w14:solidFill>
              <w14:schemeClr w14:val="tx1"/>
            </w14:solidFill>
          </w14:textFill>
        </w:rPr>
        <w:t>预付款</w:t>
      </w:r>
      <w:bookmarkStart w:id="40" w:name="OLE_LINK10"/>
    </w:p>
    <w:p w14:paraId="301C7D56">
      <w:pPr>
        <w:tabs>
          <w:tab w:val="left" w:pos="0"/>
        </w:tabs>
        <w:spacing w:line="360" w:lineRule="auto"/>
        <w:ind w:firstLine="482"/>
        <w:rPr>
          <w:rFonts w:ascii="仿宋" w:eastAsia="仿宋" w:cs="宋体"/>
          <w:snapToGrid w:val="0"/>
          <w:color w:val="000000" w:themeColor="text1"/>
          <w:kern w:val="28"/>
          <w:sz w:val="24"/>
          <w:highlight w:val="none"/>
          <w:lang w:val="zh-CN"/>
          <w14:textFill>
            <w14:solidFill>
              <w14:schemeClr w14:val="tx1"/>
            </w14:solidFill>
          </w14:textFill>
        </w:rPr>
      </w:pPr>
      <w:r>
        <w:rPr>
          <w:rFonts w:hint="eastAsia" w:ascii="仿宋" w:eastAsia="仿宋" w:cs="宋体"/>
          <w:snapToGrid w:val="0"/>
          <w:color w:val="000000" w:themeColor="text1"/>
          <w:kern w:val="28"/>
          <w:sz w:val="24"/>
          <w:highlight w:val="none"/>
          <w:lang w:val="zh-CN"/>
          <w14:textFill>
            <w14:solidFill>
              <w14:schemeClr w14:val="tx1"/>
            </w14:solidFill>
          </w14:textFill>
        </w:rPr>
        <w:t>采购单位应当在政府采购合同中约定预付款，</w:t>
      </w:r>
      <w:bookmarkEnd w:id="40"/>
      <w:r>
        <w:rPr>
          <w:rFonts w:hint="eastAsia" w:ascii="仿宋" w:eastAsia="仿宋" w:cs="宋体"/>
          <w:snapToGrid w:val="0"/>
          <w:color w:val="000000" w:themeColor="text1"/>
          <w:kern w:val="28"/>
          <w:sz w:val="24"/>
          <w:highlight w:val="none"/>
          <w:lang w:val="zh-CN"/>
          <w14:textFill>
            <w14:solidFill>
              <w14:schemeClr w14:val="tx1"/>
            </w14:solidFill>
          </w14:textFill>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000000" w:themeColor="text1"/>
          <w:kern w:val="28"/>
          <w:sz w:val="24"/>
          <w:highlight w:val="none"/>
          <w14:textFill>
            <w14:solidFill>
              <w14:schemeClr w14:val="tx1"/>
            </w14:solidFill>
          </w14:textFill>
        </w:rPr>
        <w:t>7</w:t>
      </w:r>
      <w:r>
        <w:rPr>
          <w:rFonts w:hint="eastAsia" w:ascii="仿宋" w:eastAsia="仿宋" w:cs="宋体"/>
          <w:snapToGrid w:val="0"/>
          <w:color w:val="000000" w:themeColor="text1"/>
          <w:kern w:val="28"/>
          <w:sz w:val="24"/>
          <w:highlight w:val="none"/>
          <w:lang w:val="zh-CN"/>
          <w14:textFill>
            <w14:solidFill>
              <w14:schemeClr w14:val="tx1"/>
            </w14:solidFill>
          </w14:textFill>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98C1BA8">
      <w:pPr>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6．合同签订及备案</w:t>
      </w:r>
    </w:p>
    <w:p w14:paraId="6A333E6C">
      <w:pPr>
        <w:snapToGrid w:val="0"/>
        <w:spacing w:line="440" w:lineRule="exact"/>
        <w:ind w:firstLine="480" w:firstLineChars="200"/>
        <w:rPr>
          <w:rFonts w:ascii="仿宋" w:hAnsi="仿宋" w:eastAsia="仿宋" w:cs="宋体"/>
          <w:snapToGrid w:val="0"/>
          <w:color w:val="000000" w:themeColor="text1"/>
          <w:kern w:val="28"/>
          <w:sz w:val="24"/>
          <w:szCs w:val="32"/>
          <w:highlight w:val="none"/>
          <w14:textFill>
            <w14:solidFill>
              <w14:schemeClr w14:val="tx1"/>
            </w14:solidFill>
          </w14:textFill>
        </w:rPr>
      </w:pPr>
      <w:r>
        <w:rPr>
          <w:rFonts w:hint="eastAsia" w:ascii="仿宋" w:hAnsi="仿宋" w:eastAsia="仿宋" w:cs="宋体"/>
          <w:snapToGrid w:val="0"/>
          <w:color w:val="000000" w:themeColor="text1"/>
          <w:kern w:val="28"/>
          <w:sz w:val="24"/>
          <w:szCs w:val="32"/>
          <w:highlight w:val="none"/>
          <w14:textFill>
            <w14:solidFill>
              <w14:schemeClr w14:val="tx1"/>
            </w14:solidFill>
          </w14:textFill>
        </w:rPr>
        <w:t>6.1中标人应当在中标通知书发出之日起30天内与采购人签订合同，自采购合同签订之日起2个工作日内，通过电子交易平台进行备案。</w:t>
      </w:r>
    </w:p>
    <w:p w14:paraId="2604A0FB">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6.2如中标人为联合体的，由联合体成员各方法定代表人或其授权代表与采购人代表签订合同。</w:t>
      </w:r>
    </w:p>
    <w:p w14:paraId="08BC7C43">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7.验收</w:t>
      </w:r>
    </w:p>
    <w:p w14:paraId="30ED5B66">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4ED5391">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7.2采购人可以邀请参加本项目的其他投标人或者第三方机构参与验收。参与验收的投标人或者第三方机构的意见作为验收书的参考资料一并存档。</w:t>
      </w:r>
    </w:p>
    <w:p w14:paraId="4E40BC18">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7.3 采购人负责加强对中标人的履约管理，并按照采购合同约定，及时向中标人支付采购资金。对于中标人违反采购合同约定的行为，采购人应当及时处理，依法追究其违约责任。</w:t>
      </w:r>
    </w:p>
    <w:p w14:paraId="2E03EFF7">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8.售后服务考核</w:t>
      </w:r>
    </w:p>
    <w:p w14:paraId="753B9013">
      <w:pPr>
        <w:snapToGrid w:val="0"/>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3E4E418C">
      <w:pPr>
        <w:tabs>
          <w:tab w:val="left" w:pos="0"/>
        </w:tabs>
        <w:spacing w:line="360" w:lineRule="auto"/>
        <w:ind w:firstLine="480"/>
        <w:rPr>
          <w:rFonts w:ascii="仿宋" w:hAnsi="仿宋" w:eastAsia="仿宋" w:cs="仿宋"/>
          <w:color w:val="000000" w:themeColor="text1"/>
          <w:kern w:val="0"/>
          <w:sz w:val="24"/>
          <w:highlight w:val="none"/>
          <w14:textFill>
            <w14:solidFill>
              <w14:schemeClr w14:val="tx1"/>
            </w14:solidFill>
          </w14:textFill>
        </w:rPr>
      </w:pPr>
    </w:p>
    <w:p w14:paraId="4CA38C98">
      <w:pPr>
        <w:adjustRightInd/>
        <w:spacing w:line="440" w:lineRule="exact"/>
        <w:jc w:val="center"/>
        <w:outlineLvl w:val="0"/>
        <w:rPr>
          <w:rFonts w:ascii="仿宋" w:hAnsi="仿宋" w:eastAsia="仿宋" w:cs="仿宋"/>
          <w:b/>
          <w:bCs/>
          <w:color w:val="000000" w:themeColor="text1"/>
          <w:sz w:val="24"/>
          <w:szCs w:val="20"/>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ascii="仿宋" w:hAnsi="仿宋" w:eastAsia="仿宋" w:cs="仿宋"/>
          <w:b/>
          <w:bCs/>
          <w:color w:val="000000" w:themeColor="text1"/>
          <w:sz w:val="32"/>
          <w:szCs w:val="20"/>
          <w:highlight w:val="none"/>
          <w14:textFill>
            <w14:solidFill>
              <w14:schemeClr w14:val="tx1"/>
            </w14:solidFill>
          </w14:textFill>
        </w:rPr>
        <w:t>询问、质疑与投诉</w:t>
      </w:r>
    </w:p>
    <w:p w14:paraId="336D6C8F">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1.在线询问、质疑、投诉</w:t>
      </w:r>
    </w:p>
    <w:p w14:paraId="28C664F4">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ascii="仿宋" w:hAnsi="仿宋" w:eastAsia="仿宋" w:cs="仿宋"/>
          <w:color w:val="000000" w:themeColor="text1"/>
          <w:sz w:val="24"/>
          <w:szCs w:val="20"/>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szCs w:val="20"/>
          <w:highlight w:val="none"/>
          <w14:textFill>
            <w14:solidFill>
              <w14:schemeClr w14:val="tx1"/>
            </w14:solidFill>
          </w14:textFill>
        </w:rPr>
        <w:t>政务</w:t>
      </w:r>
      <w:r>
        <w:rPr>
          <w:rFonts w:ascii="仿宋" w:hAnsi="仿宋" w:eastAsia="仿宋" w:cs="仿宋"/>
          <w:color w:val="000000" w:themeColor="text1"/>
          <w:sz w:val="24"/>
          <w:szCs w:val="20"/>
          <w:highlight w:val="none"/>
          <w14:textFill>
            <w14:solidFill>
              <w14:schemeClr w14:val="tx1"/>
            </w14:solidFill>
          </w14:textFill>
        </w:rPr>
        <w:t>服务网-政府采购投诉处理-在线办理。</w:t>
      </w:r>
    </w:p>
    <w:p w14:paraId="428413FE">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2. 供应商询问</w:t>
      </w:r>
    </w:p>
    <w:p w14:paraId="2EC5A565">
      <w:pPr>
        <w:autoSpaceDE w:val="0"/>
        <w:autoSpaceDN w:val="0"/>
        <w:spacing w:line="440" w:lineRule="exact"/>
        <w:ind w:firstLine="480" w:firstLineChars="200"/>
        <w:jc w:val="left"/>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highlight w:val="none"/>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E77CCAD">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3. 供应商质疑</w:t>
      </w:r>
    </w:p>
    <w:p w14:paraId="5FB97038">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sz w:val="24"/>
          <w:szCs w:val="20"/>
          <w:highlight w:val="none"/>
          <w14:textFill>
            <w14:solidFill>
              <w14:schemeClr w14:val="tx1"/>
            </w14:solidFill>
          </w14:textFill>
        </w:rPr>
        <w:t>.1质疑提出时效</w:t>
      </w:r>
    </w:p>
    <w:p w14:paraId="0204EA06">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3.1.1提出质疑的供应商应当是参与所质疑项目采购活动的供应商。潜在供应商已依法获取其可质疑的采购文件的，可以对该文件提出质疑。</w:t>
      </w:r>
    </w:p>
    <w:p w14:paraId="189CC832">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kern w:val="0"/>
          <w:sz w:val="24"/>
          <w:szCs w:val="20"/>
          <w:highlight w:val="none"/>
          <w:lang w:val="zh-CN"/>
          <w14:textFill>
            <w14:solidFill>
              <w14:schemeClr w14:val="tx1"/>
            </w14:solidFill>
          </w14:textFill>
        </w:rPr>
        <w:t>3</w:t>
      </w:r>
      <w:r>
        <w:rPr>
          <w:rFonts w:ascii="仿宋" w:hAnsi="仿宋" w:eastAsia="仿宋" w:cs="仿宋"/>
          <w:color w:val="000000" w:themeColor="text1"/>
          <w:sz w:val="24"/>
          <w:szCs w:val="20"/>
          <w:highlight w:val="none"/>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B5C78BF">
      <w:pPr>
        <w:widowControl/>
        <w:snapToGrid w:val="0"/>
        <w:spacing w:line="440" w:lineRule="exact"/>
        <w:ind w:firstLine="434" w:firstLineChars="181"/>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59FCB99A">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3.1.2.2对采购过程提出质疑的，质疑期限为各采购程序环节结束之日起计算。</w:t>
      </w:r>
    </w:p>
    <w:p w14:paraId="136BADBC">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3.1.2.3对采购结果提出质疑的，质疑期限自采购结果公告期限届满之日起计算。</w:t>
      </w:r>
    </w:p>
    <w:p w14:paraId="67D3E331">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3.1.2.4对同一采购程序环节的质疑，供应商须一次性提出。</w:t>
      </w:r>
    </w:p>
    <w:p w14:paraId="7D691F35">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kern w:val="0"/>
          <w:sz w:val="24"/>
          <w:szCs w:val="20"/>
          <w:highlight w:val="none"/>
          <w:lang w:val="zh-CN"/>
          <w14:textFill>
            <w14:solidFill>
              <w14:schemeClr w14:val="tx1"/>
            </w14:solidFill>
          </w14:textFill>
        </w:rPr>
        <w:t>3.</w:t>
      </w:r>
      <w:r>
        <w:rPr>
          <w:rFonts w:ascii="仿宋" w:hAnsi="仿宋" w:eastAsia="仿宋" w:cs="仿宋"/>
          <w:b/>
          <w:bCs/>
          <w:color w:val="000000" w:themeColor="text1"/>
          <w:kern w:val="0"/>
          <w:sz w:val="24"/>
          <w:szCs w:val="20"/>
          <w:highlight w:val="none"/>
          <w14:textFill>
            <w14:solidFill>
              <w14:schemeClr w14:val="tx1"/>
            </w14:solidFill>
          </w14:textFill>
        </w:rPr>
        <w:t>2</w:t>
      </w:r>
      <w:r>
        <w:rPr>
          <w:rFonts w:ascii="仿宋" w:hAnsi="仿宋" w:eastAsia="仿宋" w:cs="仿宋"/>
          <w:b/>
          <w:bCs/>
          <w:color w:val="000000" w:themeColor="text1"/>
          <w:kern w:val="0"/>
          <w:sz w:val="24"/>
          <w:szCs w:val="20"/>
          <w:highlight w:val="none"/>
          <w:lang w:val="zh-CN"/>
          <w14:textFill>
            <w14:solidFill>
              <w14:schemeClr w14:val="tx1"/>
            </w14:solidFill>
          </w14:textFill>
        </w:rPr>
        <w:t>质疑函</w:t>
      </w:r>
    </w:p>
    <w:p w14:paraId="38F79AEF">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3.2.1供应商提出质疑应当提交质疑函和必要的证明材料。质疑函应当包括下列内容：</w:t>
      </w:r>
    </w:p>
    <w:p w14:paraId="7576DC5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供应商的姓名或者名称、地址、邮编、联系人及联系电话；</w:t>
      </w:r>
    </w:p>
    <w:p w14:paraId="662FBA7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质疑项目的名称、编号；</w:t>
      </w:r>
    </w:p>
    <w:p w14:paraId="4D6B95AB">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具体、明确的质疑事项和与质疑事项相关的请求；</w:t>
      </w:r>
    </w:p>
    <w:p w14:paraId="69FFD75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事实依据；</w:t>
      </w:r>
    </w:p>
    <w:p w14:paraId="7CB80E2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必要的法律依据；</w:t>
      </w:r>
    </w:p>
    <w:p w14:paraId="7CD71DCE">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提出质疑的日期。</w:t>
      </w:r>
    </w:p>
    <w:p w14:paraId="7758E923">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35807ED1">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质疑函范本及制作说明详见附件1。</w:t>
      </w:r>
    </w:p>
    <w:p w14:paraId="504E4CF8">
      <w:pPr>
        <w:spacing w:line="440" w:lineRule="exact"/>
        <w:ind w:firstLine="482"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w:t>4.供应商投诉</w:t>
      </w:r>
    </w:p>
    <w:p w14:paraId="0E17D085">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776DBD1">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4.2供应商投诉的事项不得超出已质疑事项的范围，基于质疑答复内容提出的投诉事项除外。</w:t>
      </w:r>
    </w:p>
    <w:p w14:paraId="4D8CA4ED">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4.3供应商投诉应当有明确的请求和必要的证明材料。</w:t>
      </w:r>
    </w:p>
    <w:p w14:paraId="682F6D52">
      <w:pPr>
        <w:spacing w:line="440" w:lineRule="exact"/>
        <w:ind w:firstLine="480" w:firstLineChars="20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color w:val="000000" w:themeColor="text1"/>
          <w:sz w:val="24"/>
          <w:szCs w:val="20"/>
          <w:highlight w:val="none"/>
          <w14:textFill>
            <w14:solidFill>
              <w14:schemeClr w14:val="tx1"/>
            </w14:solidFill>
          </w14:textFill>
        </w:rPr>
        <w:t>4.4以联合体形式参加政府采购活动的，其投诉应当由组成联合体的所有供应商共同提出。</w:t>
      </w:r>
    </w:p>
    <w:p w14:paraId="56EF363B">
      <w:pPr>
        <w:snapToGrid w:val="0"/>
        <w:spacing w:line="440" w:lineRule="exact"/>
        <w:ind w:firstLine="482" w:firstLineChars="200"/>
        <w:jc w:val="left"/>
        <w:outlineLvl w:val="0"/>
        <w:rPr>
          <w:rFonts w:ascii="仿宋" w:hAnsi="仿宋" w:eastAsia="仿宋" w:cs="仿宋"/>
          <w:b/>
          <w:color w:val="000000" w:themeColor="text1"/>
          <w:sz w:val="32"/>
          <w:szCs w:val="32"/>
          <w:highlight w:val="none"/>
          <w14:textFill>
            <w14:solidFill>
              <w14:schemeClr w14:val="tx1"/>
            </w14:solidFill>
          </w14:textFill>
        </w:rPr>
      </w:pPr>
      <w:r>
        <w:rPr>
          <w:rFonts w:ascii="仿宋" w:hAnsi="仿宋" w:eastAsia="仿宋" w:cs="仿宋"/>
          <w:b/>
          <w:bCs/>
          <w:color w:val="000000" w:themeColor="text1"/>
          <w:sz w:val="24"/>
          <w:szCs w:val="20"/>
          <w:highlight w:val="none"/>
          <w14:textFill>
            <w14:solidFill>
              <w14:schemeClr w14:val="tx1"/>
            </w14:solidFill>
          </w14:textFill>
        </w:rPr>
        <w:t>投诉书范本及制作说明详见附件2。</w:t>
      </w:r>
    </w:p>
    <w:p w14:paraId="6B0EB333">
      <w:pPr>
        <w:pStyle w:val="23"/>
        <w:spacing w:line="440" w:lineRule="exact"/>
        <w:ind w:firstLine="480" w:firstLineChars="200"/>
        <w:rPr>
          <w:rFonts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start="1"/>
          <w:cols w:space="720" w:num="1"/>
          <w:docGrid w:linePitch="312" w:charSpace="0"/>
        </w:sectPr>
      </w:pPr>
    </w:p>
    <w:bookmarkEnd w:id="22"/>
    <w:bookmarkEnd w:id="23"/>
    <w:p w14:paraId="46CFC11D">
      <w:pPr>
        <w:spacing w:line="420" w:lineRule="exact"/>
        <w:jc w:val="center"/>
        <w:outlineLvl w:val="0"/>
        <w:rPr>
          <w:rFonts w:ascii="仿宋" w:hAnsi="仿宋" w:eastAsia="仿宋" w:cs="仿宋"/>
          <w:b/>
          <w:color w:val="000000" w:themeColor="text1"/>
          <w:sz w:val="36"/>
          <w:szCs w:val="36"/>
          <w:highlight w:val="none"/>
          <w14:textFill>
            <w14:solidFill>
              <w14:schemeClr w14:val="tx1"/>
            </w14:solidFill>
          </w14:textFill>
        </w:rPr>
      </w:pPr>
      <w:bookmarkStart w:id="41"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41"/>
    <w:p w14:paraId="3F0C488E">
      <w:pPr>
        <w:pStyle w:val="2"/>
        <w:numPr>
          <w:ilvl w:val="1"/>
          <w:numId w:val="0"/>
        </w:numPr>
        <w:spacing w:line="420" w:lineRule="exact"/>
        <w:ind w:firstLine="643" w:firstLineChars="200"/>
        <w:jc w:val="center"/>
        <w:rPr>
          <w:rFonts w:ascii="仿宋" w:eastAsia="仿宋" w:cs="仿宋_GB2312"/>
          <w:color w:val="000000" w:themeColor="text1"/>
          <w:highlight w:val="none"/>
          <w:lang w:val="en-US"/>
          <w14:textFill>
            <w14:solidFill>
              <w14:schemeClr w14:val="tx1"/>
            </w14:solidFill>
          </w14:textFill>
        </w:rPr>
      </w:pPr>
      <w:bookmarkStart w:id="42" w:name="_Toc86217003"/>
      <w:bookmarkStart w:id="43" w:name="第五部分"/>
      <w:r>
        <w:rPr>
          <w:rFonts w:hint="eastAsia" w:ascii="仿宋" w:eastAsia="仿宋" w:cs="仿宋_GB2312"/>
          <w:color w:val="000000" w:themeColor="text1"/>
          <w:highlight w:val="none"/>
          <w:lang w:val="en-US"/>
          <w14:textFill>
            <w14:solidFill>
              <w14:schemeClr w14:val="tx1"/>
            </w14:solidFill>
          </w14:textFill>
        </w:rPr>
        <w:t>一、</w:t>
      </w:r>
      <w:r>
        <w:rPr>
          <w:rFonts w:hint="eastAsia" w:ascii="仿宋" w:eastAsia="仿宋" w:cs="仿宋_GB2312"/>
          <w:color w:val="000000" w:themeColor="text1"/>
          <w:highlight w:val="none"/>
          <w14:textFill>
            <w14:solidFill>
              <w14:schemeClr w14:val="tx1"/>
            </w14:solidFill>
          </w14:textFill>
        </w:rPr>
        <w:t>服务清单及要求</w:t>
      </w:r>
    </w:p>
    <w:p w14:paraId="6F7DCDAA">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1.1项目情况</w:t>
      </w:r>
    </w:p>
    <w:p w14:paraId="0C437B41">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w:t>
      </w:r>
      <w:r>
        <w:rPr>
          <w:rFonts w:hint="eastAsia" w:ascii="仿宋" w:hAnsi="仿宋" w:eastAsia="仿宋" w:cs="仿宋"/>
          <w:color w:val="auto"/>
          <w:sz w:val="24"/>
          <w:szCs w:val="24"/>
          <w:highlight w:val="none"/>
          <w:lang w:val="en-US" w:eastAsia="zh-CN"/>
        </w:rPr>
        <w:t>项目招标</w:t>
      </w:r>
      <w:r>
        <w:rPr>
          <w:rFonts w:hint="eastAsia" w:ascii="仿宋" w:hAnsi="仿宋" w:eastAsia="仿宋" w:cs="仿宋"/>
          <w:color w:val="auto"/>
          <w:sz w:val="24"/>
          <w:szCs w:val="24"/>
          <w:highlight w:val="none"/>
        </w:rPr>
        <w:t>内容</w:t>
      </w:r>
      <w:r>
        <w:rPr>
          <w:rFonts w:hint="eastAsia" w:ascii="仿宋" w:hAnsi="仿宋" w:eastAsia="仿宋" w:cs="仿宋"/>
          <w:color w:val="auto"/>
          <w:sz w:val="24"/>
          <w:szCs w:val="24"/>
          <w:highlight w:val="none"/>
          <w:lang w:val="en-US" w:eastAsia="zh-CN"/>
        </w:rPr>
        <w:t>为柯桥区杨汛桥街道食堂大宗食品配送项目，包括但不限于：畜</w:t>
      </w:r>
      <w:r>
        <w:rPr>
          <w:rFonts w:hint="eastAsia" w:ascii="仿宋" w:hAnsi="仿宋" w:eastAsia="仿宋" w:cs="仿宋"/>
          <w:color w:val="auto"/>
          <w:sz w:val="24"/>
          <w:szCs w:val="24"/>
          <w:highlight w:val="none"/>
          <w:lang w:eastAsia="zh-CN"/>
        </w:rPr>
        <w:t>肉类、</w:t>
      </w:r>
      <w:r>
        <w:rPr>
          <w:rFonts w:hint="eastAsia" w:ascii="仿宋" w:hAnsi="仿宋" w:eastAsia="仿宋" w:cs="仿宋"/>
          <w:color w:val="auto"/>
          <w:sz w:val="24"/>
          <w:szCs w:val="24"/>
          <w:highlight w:val="none"/>
          <w:lang w:val="en-US" w:eastAsia="zh-CN"/>
        </w:rPr>
        <w:t>禽肉（蛋）类、蔬菜综合类、</w:t>
      </w:r>
      <w:r>
        <w:rPr>
          <w:rFonts w:hint="eastAsia" w:ascii="仿宋" w:hAnsi="仿宋" w:eastAsia="仿宋" w:cs="仿宋"/>
          <w:color w:val="auto"/>
          <w:sz w:val="24"/>
          <w:szCs w:val="24"/>
          <w:highlight w:val="none"/>
          <w:lang w:eastAsia="zh-CN"/>
        </w:rPr>
        <w:t>水产</w:t>
      </w:r>
      <w:r>
        <w:rPr>
          <w:rFonts w:hint="eastAsia" w:ascii="仿宋" w:hAnsi="仿宋" w:eastAsia="仿宋" w:cs="仿宋"/>
          <w:color w:val="auto"/>
          <w:sz w:val="24"/>
          <w:szCs w:val="24"/>
          <w:highlight w:val="none"/>
          <w:lang w:val="en-US" w:eastAsia="zh-CN"/>
        </w:rPr>
        <w:t>类</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粮油类、</w:t>
      </w:r>
      <w:r>
        <w:rPr>
          <w:rFonts w:hint="eastAsia" w:ascii="仿宋" w:hAnsi="仿宋" w:eastAsia="仿宋" w:cs="仿宋"/>
          <w:color w:val="auto"/>
          <w:sz w:val="24"/>
          <w:szCs w:val="24"/>
          <w:highlight w:val="none"/>
          <w:lang w:eastAsia="zh-CN"/>
        </w:rPr>
        <w:t>水果</w:t>
      </w:r>
      <w:r>
        <w:rPr>
          <w:rFonts w:hint="eastAsia" w:ascii="仿宋" w:hAnsi="仿宋" w:eastAsia="仿宋" w:cs="仿宋"/>
          <w:color w:val="auto"/>
          <w:sz w:val="24"/>
          <w:szCs w:val="24"/>
          <w:highlight w:val="none"/>
          <w:lang w:val="en-US" w:eastAsia="zh-CN"/>
        </w:rPr>
        <w:t>类、奶制品类、副食品类、调味品类、</w:t>
      </w:r>
      <w:r>
        <w:rPr>
          <w:rFonts w:hint="eastAsia" w:ascii="仿宋" w:hAnsi="仿宋" w:eastAsia="仿宋" w:cs="仿宋"/>
          <w:color w:val="auto"/>
          <w:sz w:val="24"/>
          <w:szCs w:val="24"/>
          <w:highlight w:val="none"/>
          <w:lang w:eastAsia="zh-CN"/>
        </w:rPr>
        <w:t>豆制品类、干货</w:t>
      </w:r>
      <w:r>
        <w:rPr>
          <w:rFonts w:hint="eastAsia" w:ascii="仿宋" w:hAnsi="仿宋" w:eastAsia="仿宋" w:cs="仿宋"/>
          <w:color w:val="auto"/>
          <w:sz w:val="24"/>
          <w:szCs w:val="24"/>
          <w:highlight w:val="none"/>
          <w:lang w:val="en-US" w:eastAsia="zh-CN"/>
        </w:rPr>
        <w:t>类、咸腌酱制品类、预包装食品类、冻品类等</w:t>
      </w:r>
      <w:r>
        <w:rPr>
          <w:rFonts w:hint="eastAsia" w:ascii="仿宋" w:hAnsi="仿宋" w:eastAsia="仿宋" w:cs="仿宋"/>
          <w:color w:val="auto"/>
          <w:sz w:val="24"/>
          <w:szCs w:val="24"/>
          <w:highlight w:val="none"/>
        </w:rPr>
        <w:t>。</w:t>
      </w:r>
    </w:p>
    <w:p w14:paraId="59A1FB60">
      <w:pPr>
        <w:keepNext w:val="0"/>
        <w:keepLines w:val="0"/>
        <w:pageBreakBefore w:val="0"/>
        <w:kinsoku/>
        <w:wordWrap/>
        <w:overflowPunct/>
        <w:topLinePunct w:val="0"/>
        <w:bidi w:val="0"/>
        <w:adjustRightInd w:val="0"/>
        <w:snapToGrid/>
        <w:spacing w:line="288" w:lineRule="auto"/>
        <w:textAlignment w:val="auto"/>
        <w:rPr>
          <w:rFonts w:hint="eastAsia" w:ascii="仿宋" w:hAnsi="仿宋" w:eastAsia="仿宋" w:cs="仿宋"/>
          <w:b/>
          <w:color w:val="auto"/>
          <w:sz w:val="24"/>
          <w:szCs w:val="24"/>
          <w:highlight w:val="none"/>
        </w:rPr>
      </w:pPr>
      <w:bookmarkStart w:id="44" w:name="_Toc258594148"/>
      <w:bookmarkStart w:id="45" w:name="_Toc255974604"/>
      <w:bookmarkStart w:id="46" w:name="_Toc373223050"/>
      <w:bookmarkStart w:id="47" w:name="_Toc257799727"/>
      <w:bookmarkStart w:id="48" w:name="_Toc373222961"/>
      <w:bookmarkStart w:id="49" w:name="_Toc374515869"/>
      <w:bookmarkStart w:id="50" w:name="_Toc258595212"/>
      <w:r>
        <w:rPr>
          <w:rFonts w:hint="eastAsia" w:ascii="仿宋" w:hAnsi="仿宋" w:eastAsia="仿宋" w:cs="仿宋"/>
          <w:b/>
          <w:color w:val="auto"/>
          <w:sz w:val="24"/>
          <w:szCs w:val="24"/>
          <w:highlight w:val="none"/>
          <w:lang w:val="en-US" w:eastAsia="zh-CN"/>
        </w:rPr>
        <w:t>1.2</w:t>
      </w:r>
      <w:r>
        <w:rPr>
          <w:rFonts w:hint="eastAsia" w:ascii="仿宋" w:hAnsi="仿宋" w:eastAsia="仿宋" w:cs="仿宋"/>
          <w:b/>
          <w:color w:val="auto"/>
          <w:sz w:val="24"/>
          <w:szCs w:val="24"/>
          <w:highlight w:val="none"/>
        </w:rPr>
        <w:t>总体要求</w:t>
      </w:r>
      <w:bookmarkEnd w:id="44"/>
      <w:bookmarkEnd w:id="45"/>
      <w:bookmarkEnd w:id="46"/>
      <w:bookmarkEnd w:id="47"/>
      <w:bookmarkEnd w:id="48"/>
      <w:bookmarkEnd w:id="49"/>
      <w:bookmarkEnd w:id="50"/>
    </w:p>
    <w:p w14:paraId="419C2D56">
      <w:pPr>
        <w:pStyle w:val="32"/>
        <w:keepNext w:val="0"/>
        <w:keepLines w:val="0"/>
        <w:pageBreakBefore w:val="0"/>
        <w:widowControl w:val="0"/>
        <w:kinsoku/>
        <w:wordWrap w:val="0"/>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1.2.1中标供应商须遵守本项目采购人规定的采购规则，价格按照按照每周一政府采购云平台（https://www.zcygov.cn/)→行业馆→绍兴食采馆的价格清单的平均价为基准价；如采购人需要采购的物品在“政府采购云平台绍兴食采馆”无价格的，则物品的价格依次按</w:t>
      </w:r>
      <w:r>
        <w:rPr>
          <w:rFonts w:hint="eastAsia" w:ascii="仿宋" w:hAnsi="仿宋" w:eastAsia="仿宋" w:cs="仿宋"/>
          <w:bCs/>
          <w:color w:val="auto"/>
          <w:sz w:val="24"/>
          <w:szCs w:val="24"/>
          <w:highlight w:val="none"/>
          <w:lang w:val="en-US" w:eastAsia="zh-CN"/>
        </w:rPr>
        <w:t>绍兴E价通</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柯桥区教育网指导价</w:t>
      </w:r>
      <w:r>
        <w:rPr>
          <w:rFonts w:hint="eastAsia" w:ascii="仿宋" w:hAnsi="仿宋" w:eastAsia="仿宋" w:cs="仿宋"/>
          <w:bCs/>
          <w:color w:val="auto"/>
          <w:sz w:val="24"/>
          <w:szCs w:val="24"/>
          <w:highlight w:val="none"/>
        </w:rPr>
        <w:t>对应价格为基准价，中标结算价格=</w:t>
      </w:r>
      <w:r>
        <w:rPr>
          <w:rFonts w:hint="eastAsia" w:ascii="仿宋" w:hAnsi="仿宋" w:eastAsia="仿宋" w:cs="仿宋"/>
          <w:bCs/>
          <w:color w:val="auto"/>
          <w:sz w:val="24"/>
          <w:szCs w:val="24"/>
          <w:highlight w:val="none"/>
          <w:lang w:val="en-US" w:eastAsia="zh-CN"/>
        </w:rPr>
        <w:t>商品</w:t>
      </w:r>
      <w:r>
        <w:rPr>
          <w:rFonts w:hint="eastAsia" w:ascii="仿宋" w:hAnsi="仿宋" w:eastAsia="仿宋" w:cs="仿宋"/>
          <w:bCs/>
          <w:color w:val="auto"/>
          <w:sz w:val="24"/>
          <w:szCs w:val="24"/>
          <w:highlight w:val="none"/>
        </w:rPr>
        <w:t>基准价×</w:t>
      </w:r>
      <w:r>
        <w:rPr>
          <w:rFonts w:hint="eastAsia" w:ascii="仿宋" w:hAnsi="仿宋" w:eastAsia="仿宋" w:cs="仿宋"/>
          <w:bCs/>
          <w:color w:val="auto"/>
          <w:sz w:val="24"/>
          <w:szCs w:val="24"/>
          <w:highlight w:val="none"/>
          <w:lang w:val="en-US" w:eastAsia="zh-CN"/>
        </w:rPr>
        <w:t>中标折扣率</w:t>
      </w:r>
      <w:r>
        <w:rPr>
          <w:rFonts w:hint="eastAsia" w:ascii="仿宋" w:hAnsi="仿宋" w:eastAsia="仿宋" w:cs="仿宋"/>
          <w:bCs/>
          <w:color w:val="auto"/>
          <w:sz w:val="24"/>
          <w:szCs w:val="24"/>
          <w:highlight w:val="none"/>
        </w:rPr>
        <w:t>。</w:t>
      </w:r>
    </w:p>
    <w:p w14:paraId="7588FD1F">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报价包含利润、税费、包装、运输、装卸、库运、保险、检验等所有费用。</w:t>
      </w:r>
    </w:p>
    <w:p w14:paraId="20B9249F">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1.2.2中标供应商提供的物品，必须符合</w:t>
      </w:r>
      <w:r>
        <w:rPr>
          <w:rFonts w:hint="eastAsia" w:ascii="仿宋" w:hAnsi="仿宋" w:eastAsia="仿宋" w:cs="仿宋"/>
          <w:bCs/>
          <w:color w:val="auto"/>
          <w:sz w:val="24"/>
          <w:szCs w:val="24"/>
          <w:highlight w:val="none"/>
          <w:lang w:eastAsia="zh-CN"/>
        </w:rPr>
        <w:t>招标文件</w:t>
      </w:r>
      <w:r>
        <w:rPr>
          <w:rFonts w:hint="eastAsia" w:ascii="仿宋" w:hAnsi="仿宋" w:eastAsia="仿宋" w:cs="仿宋"/>
          <w:bCs/>
          <w:color w:val="auto"/>
          <w:sz w:val="24"/>
          <w:szCs w:val="24"/>
          <w:highlight w:val="none"/>
        </w:rPr>
        <w:t>要求，原料送达采购人，如有不符，采购人可以无条件退货，所造成的损失由中标供应商承担。</w:t>
      </w:r>
    </w:p>
    <w:p w14:paraId="467568AF">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1.2.3中标供应商所供食品,必须符合食品标准,如出现食品安全质量问题,采购人无条件退货或换货。</w:t>
      </w:r>
    </w:p>
    <w:p w14:paraId="43EABFFF">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1.2.4中标供应商在供货时应提供食品检验合格证或者化验单。</w:t>
      </w:r>
    </w:p>
    <w:p w14:paraId="4CE06A0A">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1.2.5中标供应商在供货时不得提供以下食品:</w:t>
      </w:r>
    </w:p>
    <w:p w14:paraId="7F8052E6">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(1)无品名、产地、厂名、生产日期、保质期及中文标识及原料说明的定型包装食品。</w:t>
      </w:r>
    </w:p>
    <w:p w14:paraId="60C4F3E6">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(2)超过保质期限或不符合食品标签规定的定型包装食品。</w:t>
      </w:r>
    </w:p>
    <w:p w14:paraId="1CB7A911">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(3)腐败变质、油脂酸败、霉变、生虫、污秽不洁、混有异物或者其他感官性状异常、含有毒有害物质污染、可能对人体健康有害的食品。</w:t>
      </w:r>
    </w:p>
    <w:p w14:paraId="76278C01">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(4)劣质食用油、不合格调味品、工业用盐、非碘盐或非食品原料和滥用食品添加剂等。</w:t>
      </w:r>
    </w:p>
    <w:p w14:paraId="2E81AB09">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(5)病死或者死因不明的水产品、畜、禽及其制品,滥用食品添加剂、农药残留超标的蔬菜等。</w:t>
      </w:r>
    </w:p>
    <w:p w14:paraId="53687468">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(6）其他不符合食品卫生标准和要求的食品。</w:t>
      </w:r>
    </w:p>
    <w:p w14:paraId="1A1374BE">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1.2.6中标供应商必须根据采购人提出的品种、规格、品牌、数量送货,并在采购人规定的时间内及时送到指定地点，送货车辆及交通安全由中标供应商负责。</w:t>
      </w:r>
    </w:p>
    <w:p w14:paraId="7AB689A1">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1.2.7采购人建立食品索证制度,向中标供货商索取食品的检验合格证或者化验单,并进行验收。做好索证登记工作,加强食品库房管理。</w:t>
      </w:r>
    </w:p>
    <w:p w14:paraId="7E3C28AD">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1.2.8对验收不符要求的货物采购人有权拒收，中标供应商需无条件调换。合同期内有二次以上发生验收不合格的或缺斤少两的情况，采购人有权终止与供应商合同。</w:t>
      </w:r>
    </w:p>
    <w:p w14:paraId="76AE7629">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1.2.9 违约责任:中标供应商违反以上协议,采购人有权</w:t>
      </w:r>
      <w:r>
        <w:rPr>
          <w:rFonts w:hint="eastAsia" w:ascii="仿宋" w:hAnsi="仿宋" w:eastAsia="仿宋" w:cs="仿宋"/>
          <w:bCs/>
          <w:color w:val="auto"/>
          <w:sz w:val="24"/>
          <w:szCs w:val="24"/>
          <w:highlight w:val="none"/>
          <w:lang w:val="en-US" w:eastAsia="zh-CN"/>
        </w:rPr>
        <w:t>终</w:t>
      </w:r>
      <w:r>
        <w:rPr>
          <w:rFonts w:hint="eastAsia" w:ascii="仿宋" w:hAnsi="仿宋" w:eastAsia="仿宋" w:cs="仿宋"/>
          <w:bCs/>
          <w:color w:val="auto"/>
          <w:sz w:val="24"/>
          <w:szCs w:val="24"/>
          <w:highlight w:val="none"/>
        </w:rPr>
        <w:t>止配送供应商的供货商资格。因食品的质量问题引起食物中毒等食源性疾病的发生或其他事故由供应商负全部责任,并承担由此而引起的全部经济损失。</w:t>
      </w:r>
    </w:p>
    <w:p w14:paraId="28AD6E0A">
      <w:pPr>
        <w:pStyle w:val="32"/>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bCs/>
          <w:color w:val="auto"/>
          <w:sz w:val="24"/>
          <w:szCs w:val="24"/>
          <w:highlight w:val="none"/>
          <w:lang w:val="en-US" w:eastAsia="zh-CN"/>
        </w:rPr>
        <w:t>1.2.10中标供应商在签订合同前应固定配送车辆和人员，并向采购人提供车辆行驶证复印件，配送人员驾驶证、健康证和社保证明复印件备案；未经采购人同意不可轻易更换。</w:t>
      </w:r>
    </w:p>
    <w:p w14:paraId="7230048C">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1.3招标内容的具体要求</w:t>
      </w:r>
    </w:p>
    <w:p w14:paraId="3465DC73">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1.3.1畜</w:t>
      </w:r>
      <w:r>
        <w:rPr>
          <w:rFonts w:hint="eastAsia" w:ascii="仿宋" w:hAnsi="仿宋" w:eastAsia="仿宋" w:cs="仿宋"/>
          <w:b/>
          <w:bCs/>
          <w:color w:val="auto"/>
          <w:sz w:val="24"/>
          <w:szCs w:val="24"/>
          <w:highlight w:val="none"/>
          <w:lang w:eastAsia="zh-CN"/>
        </w:rPr>
        <w:t>肉类</w:t>
      </w:r>
    </w:p>
    <w:p w14:paraId="07165A7B">
      <w:pPr>
        <w:keepNext w:val="0"/>
        <w:keepLines w:val="0"/>
        <w:pageBreakBefore w:val="0"/>
        <w:numPr>
          <w:ilvl w:val="0"/>
          <w:numId w:val="0"/>
        </w:numPr>
        <w:tabs>
          <w:tab w:val="left" w:pos="3420"/>
        </w:tabs>
        <w:kinsoku/>
        <w:wordWrap/>
        <w:overflowPunct/>
        <w:topLinePunct w:val="0"/>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冷鲜肉等必须符合鲜(冻)畜肉卫生标准GB2707-2005</w:t>
      </w:r>
    </w:p>
    <w:p w14:paraId="6235E580">
      <w:pPr>
        <w:keepNext w:val="0"/>
        <w:keepLines w:val="0"/>
        <w:pageBreakBefore w:val="0"/>
        <w:tabs>
          <w:tab w:val="left" w:pos="3420"/>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1.3.1</w:t>
      </w:r>
      <w:r>
        <w:rPr>
          <w:rFonts w:hint="eastAsia" w:ascii="仿宋" w:hAnsi="仿宋" w:eastAsia="仿宋" w:cs="仿宋"/>
          <w:color w:val="auto"/>
          <w:sz w:val="24"/>
          <w:szCs w:val="24"/>
          <w:highlight w:val="none"/>
        </w:rPr>
        <w:t>.1猪肉：当日新鲜，颜色呈鲜红色或深红色、有光泽，脂肪呈乳白色或微黄色。具有猪肉正常气味，无异味；瘦肉切面纹理清晰，皮下脂肪适度、均匀、形态丰满；肉质紧密、有弹性、表面湿润、不黏手、无注水。供货时须提供当批次的定点屠宰场证明及动物检疫和猪肉的肉品品质检验合格证。</w:t>
      </w:r>
    </w:p>
    <w:p w14:paraId="506F3328">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1.3.1</w:t>
      </w:r>
      <w:r>
        <w:rPr>
          <w:rFonts w:hint="eastAsia" w:ascii="仿宋" w:hAnsi="仿宋" w:eastAsia="仿宋" w:cs="仿宋"/>
          <w:color w:val="auto"/>
          <w:sz w:val="24"/>
          <w:szCs w:val="24"/>
          <w:highlight w:val="none"/>
        </w:rPr>
        <w:t>.2牛羊肉、禽肉等必须具有动物检验检疫合格证明，定型包装的必须有“SC”食品质量安全认证标志。运输须使用符合国家卫生标准的专用运载工具，运输冷鲜（冻）肉应当使用具有保温措施的车辆，车辆必须要保持清洁、卫生，使用前后要清洗消毒。</w:t>
      </w:r>
    </w:p>
    <w:p w14:paraId="69D6398E">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1.3.2禽肉（蛋）类</w:t>
      </w:r>
    </w:p>
    <w:p w14:paraId="07FF8B29">
      <w:pPr>
        <w:keepNext w:val="0"/>
        <w:keepLines w:val="0"/>
        <w:pageBreakBefore w:val="0"/>
        <w:numPr>
          <w:ilvl w:val="0"/>
          <w:numId w:val="0"/>
        </w:numPr>
        <w:tabs>
          <w:tab w:val="left" w:pos="3420"/>
        </w:tabs>
        <w:kinsoku/>
        <w:wordWrap/>
        <w:overflowPunct/>
        <w:topLinePunct w:val="0"/>
        <w:bidi w:val="0"/>
        <w:adjustRightInd w:val="0"/>
        <w:snapToGrid/>
        <w:spacing w:line="288" w:lineRule="auto"/>
        <w:ind w:firstLine="482" w:firstLineChars="20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1.3.2.1</w:t>
      </w:r>
      <w:r>
        <w:rPr>
          <w:rFonts w:hint="eastAsia" w:ascii="仿宋" w:hAnsi="仿宋" w:eastAsia="仿宋" w:cs="仿宋"/>
          <w:b/>
          <w:bCs/>
          <w:color w:val="auto"/>
          <w:sz w:val="24"/>
          <w:szCs w:val="24"/>
          <w:highlight w:val="none"/>
        </w:rPr>
        <w:t>冷鲜肉等必须符合鲜(冻)畜肉卫生标准GB2707-2005</w:t>
      </w:r>
    </w:p>
    <w:p w14:paraId="35747810">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禽肉</w:t>
      </w:r>
      <w:r>
        <w:rPr>
          <w:rFonts w:hint="eastAsia" w:ascii="仿宋" w:hAnsi="仿宋" w:eastAsia="仿宋" w:cs="仿宋"/>
          <w:color w:val="auto"/>
          <w:sz w:val="24"/>
          <w:szCs w:val="24"/>
          <w:highlight w:val="none"/>
          <w:lang w:val="en-US" w:eastAsia="zh-CN"/>
        </w:rPr>
        <w:t>类</w:t>
      </w:r>
      <w:r>
        <w:rPr>
          <w:rFonts w:hint="eastAsia" w:ascii="仿宋" w:hAnsi="仿宋" w:eastAsia="仿宋" w:cs="仿宋"/>
          <w:color w:val="auto"/>
          <w:sz w:val="24"/>
          <w:szCs w:val="24"/>
          <w:highlight w:val="none"/>
        </w:rPr>
        <w:t>必须具有动物检验检疫合格证明，定型包装的必须有“SC”食品质量安全认证标志。运输须使用符合国家卫生标准的专用运载工具，运输冷鲜（冻）肉应当使用具有保温措施的车辆，车辆必须要保持清洁、卫生，使用前后要清洗消毒。</w:t>
      </w:r>
    </w:p>
    <w:p w14:paraId="21C15826">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1.3.2.1蛋类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eastAsia="zh-CN"/>
        </w:rPr>
        <w:t>（GB 2749-2015 食品安全国家标准 蛋与蛋制品）；</w:t>
      </w:r>
    </w:p>
    <w:p w14:paraId="4B7C4B5B">
      <w:pPr>
        <w:pStyle w:val="60"/>
        <w:keepNext w:val="0"/>
        <w:keepLines w:val="0"/>
        <w:pageBreakBefore w:val="0"/>
        <w:numPr>
          <w:ilvl w:val="0"/>
          <w:numId w:val="0"/>
        </w:numPr>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蛋壳清洁完整，色泽鲜明，无破损、裂纹，无霉斑，灯光透视时，整个蛋呈桔黄色至橙红色，蛋黄不见或略见阴影，没有霉味、酸味，臭味等不良气味，打开后蛋黄凸起、完整、有韧性，蛋白澄清、透明、稀稠分明，无异味。咸蛋：</w:t>
      </w:r>
      <w:r>
        <w:rPr>
          <w:rFonts w:hint="eastAsia" w:ascii="仿宋" w:hAnsi="仿宋" w:eastAsia="仿宋" w:cs="仿宋"/>
          <w:color w:val="auto"/>
          <w:sz w:val="24"/>
          <w:szCs w:val="24"/>
          <w:highlight w:val="none"/>
        </w:rPr>
        <w:t>蛋壳完整无损，无裂纹或霉斑，摇动时有轻度水荡漾感觉，灯光透视蛋黄凝结、呈橙黄色且靠近蛋壳，蛋清呈白色水样透明，生蛋打开可见蛋清稀薄透明，蛋黄呈红色或淡红色，浓缩粘度增强，但不硬固，煮熟后打开，可见蛋清白嫩，蛋黄口味有细沙感，富于油脂，品尝则有咸蛋固有的香味。</w:t>
      </w:r>
    </w:p>
    <w:p w14:paraId="314169AF">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1.3.3蔬菜综合类</w:t>
      </w:r>
    </w:p>
    <w:p w14:paraId="7ECF2152">
      <w:pPr>
        <w:keepNext w:val="0"/>
        <w:keepLines w:val="0"/>
        <w:pageBreakBefore w:val="0"/>
        <w:numPr>
          <w:ilvl w:val="0"/>
          <w:numId w:val="0"/>
        </w:numPr>
        <w:kinsoku/>
        <w:wordWrap/>
        <w:overflowPunct/>
        <w:topLinePunct w:val="0"/>
        <w:bidi w:val="0"/>
        <w:adjustRightInd w:val="0"/>
        <w:snapToGrid/>
        <w:spacing w:line="288" w:lineRule="auto"/>
        <w:ind w:leftChars="0" w:firstLine="482"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bCs/>
          <w:color w:val="auto"/>
          <w:sz w:val="24"/>
          <w:szCs w:val="24"/>
          <w:highlight w:val="none"/>
        </w:rPr>
        <w:t>水果蔬菜必须符合国家现行标准</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GB 5009.232-2016食品安全国家标准 水果、蔬菜及其制品甲酸含量的测定</w:t>
      </w:r>
      <w:r>
        <w:rPr>
          <w:rFonts w:hint="eastAsia" w:ascii="仿宋" w:hAnsi="仿宋" w:eastAsia="仿宋" w:cs="仿宋"/>
          <w:b/>
          <w:bCs/>
          <w:color w:val="auto"/>
          <w:sz w:val="24"/>
          <w:szCs w:val="24"/>
          <w:highlight w:val="none"/>
          <w:lang w:val="en-US" w:eastAsia="zh-CN"/>
        </w:rPr>
        <w:t>)</w:t>
      </w:r>
    </w:p>
    <w:p w14:paraId="5FD0AAFC">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 xml:space="preserve">（1）货物应具有该蔬菜可食用时应有的特性。成熟度适中，新鲜，色泽良好，形态正常，个体均匀外观清洁，无腐烂、无霉变、无异味，无残留沙土，无枯萎黄叶，符合绿色蔬菜、无公害蔬菜等国家食品卫生有关标准，无影响食用的病虫危害状及机械损伤。 </w:t>
      </w:r>
    </w:p>
    <w:p w14:paraId="7C5C5244">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（2）做到每批次均进行农药残留检验，48小时留样备查，农药残留量不超过国家的有关标准（食品中农药最大残留限量（GB2763-2014）），每批蔬菜附有农药残留检测证明。</w:t>
      </w:r>
    </w:p>
    <w:p w14:paraId="004E479C">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（3）因蔬菜的季节性特性，采购人具体采购蔬菜的品种按需求进行选择，中标人按照采购人的书面采购清单进行供货。</w:t>
      </w:r>
    </w:p>
    <w:p w14:paraId="21E84F51">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1.3.4</w:t>
      </w:r>
      <w:r>
        <w:rPr>
          <w:rFonts w:hint="eastAsia" w:ascii="仿宋" w:hAnsi="仿宋" w:eastAsia="仿宋" w:cs="仿宋"/>
          <w:b/>
          <w:bCs/>
          <w:color w:val="auto"/>
          <w:sz w:val="24"/>
          <w:szCs w:val="24"/>
          <w:highlight w:val="none"/>
          <w:lang w:eastAsia="zh-CN"/>
        </w:rPr>
        <w:t>水产</w:t>
      </w:r>
      <w:r>
        <w:rPr>
          <w:rFonts w:hint="eastAsia" w:ascii="仿宋" w:hAnsi="仿宋" w:eastAsia="仿宋" w:cs="仿宋"/>
          <w:b/>
          <w:bCs/>
          <w:color w:val="auto"/>
          <w:sz w:val="24"/>
          <w:szCs w:val="24"/>
          <w:highlight w:val="none"/>
          <w:lang w:val="en-US" w:eastAsia="zh-CN"/>
        </w:rPr>
        <w:t>类</w:t>
      </w:r>
    </w:p>
    <w:p w14:paraId="229F0552">
      <w:pPr>
        <w:keepNext w:val="0"/>
        <w:keepLines w:val="0"/>
        <w:pageBreakBefore w:val="0"/>
        <w:tabs>
          <w:tab w:val="left" w:pos="3420"/>
        </w:tabs>
        <w:kinsoku/>
        <w:wordWrap/>
        <w:overflowPunct/>
        <w:topLinePunct w:val="0"/>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水产</w:t>
      </w:r>
      <w:r>
        <w:rPr>
          <w:rFonts w:hint="eastAsia" w:ascii="仿宋" w:hAnsi="仿宋" w:eastAsia="仿宋" w:cs="仿宋"/>
          <w:b/>
          <w:bCs/>
          <w:color w:val="auto"/>
          <w:sz w:val="24"/>
          <w:szCs w:val="24"/>
          <w:highlight w:val="none"/>
          <w:lang w:val="en-US" w:eastAsia="zh-CN"/>
        </w:rPr>
        <w:t>品</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GB 2733-2015 </w:t>
      </w:r>
      <w:r>
        <w:rPr>
          <w:rFonts w:hint="eastAsia" w:ascii="仿宋" w:hAnsi="仿宋" w:eastAsia="仿宋" w:cs="仿宋"/>
          <w:b/>
          <w:bCs/>
          <w:i w:val="0"/>
          <w:iCs w:val="0"/>
          <w:caps w:val="0"/>
          <w:color w:val="auto"/>
          <w:spacing w:val="0"/>
          <w:sz w:val="24"/>
          <w:szCs w:val="24"/>
          <w:highlight w:val="none"/>
          <w:shd w:val="clear" w:color="auto" w:fill="FFFFFF"/>
        </w:rPr>
        <w:t>食品安全国家标准 鲜、冻动物性水产品</w:t>
      </w:r>
      <w:r>
        <w:rPr>
          <w:rFonts w:hint="eastAsia" w:ascii="仿宋" w:hAnsi="仿宋" w:eastAsia="仿宋" w:cs="仿宋"/>
          <w:b/>
          <w:bCs/>
          <w:i w:val="0"/>
          <w:iCs w:val="0"/>
          <w:caps w:val="0"/>
          <w:color w:val="auto"/>
          <w:spacing w:val="0"/>
          <w:sz w:val="24"/>
          <w:szCs w:val="24"/>
          <w:highlight w:val="none"/>
          <w:shd w:val="clear" w:color="auto" w:fill="FFFFFF"/>
          <w:lang w:eastAsia="zh-CN"/>
        </w:rPr>
        <w:t>）</w:t>
      </w:r>
    </w:p>
    <w:p w14:paraId="3EF680C1">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水产品质量标准必须符合国家关于《水产品卫生管理规定》的要求。</w:t>
      </w:r>
    </w:p>
    <w:p w14:paraId="3B7B33EF">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鲜鱼类要达到：体表粘液透明、色有光泽，气味正常，鱼鳃紧闭色泽鲜红或粉红，揭开鳃盖可嗅到新鲜鱼所特有的气味；眼角膜光亮、透明，眼球突出；腹部发白、正常，不膨胀；鱼鳞完整，闪光滑润，不易脱落；手持鱼体头尾下垂，不弯曲，鱼体肌肉有弹性，不易压出凹陷或凹陷能迅速复平；肌肉呈现正常颜色。</w:t>
      </w:r>
    </w:p>
    <w:p w14:paraId="1BCEB8CF">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虾类质量标准应达到：鲜虾头尾完整，有一定的弯曲度，虾身较挺，呈青白色，半透明不发红，外壳有光泽，稍湿润。</w:t>
      </w:r>
    </w:p>
    <w:p w14:paraId="791EAF3E">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蟹类质量标准应达到：腿肉坚实，肥壮，蟹壳纹理清楚，用手夹持背腹两面平直，体重，气味正常。</w:t>
      </w:r>
    </w:p>
    <w:p w14:paraId="76605C05">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贝类质量标准应达到：鲜蛤外壳紧闭，肉质新鲜，无臭味，两贝壳相碰时发出实响。</w:t>
      </w:r>
    </w:p>
    <w:p w14:paraId="03F8254C">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乌贼质量标准应达到：色鲜艳，皮微红，有光彩，多粘液，体型完整，肌肉柔软，有弹性、光滑。</w:t>
      </w:r>
    </w:p>
    <w:p w14:paraId="72437D0D">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冻品（海鲜）必须符合国家现行标准，并拥有“SC”食品质量安全认证。交货时的剩余保质期应不低于应有保质期的一半。</w:t>
      </w:r>
    </w:p>
    <w:p w14:paraId="4BD5A71B">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0"/>
          <w:sz w:val="24"/>
          <w:szCs w:val="24"/>
          <w:highlight w:val="none"/>
        </w:rPr>
        <w:t>注：鲜活水产品必须到指定食堂内现场进行活杀</w:t>
      </w:r>
      <w:r>
        <w:rPr>
          <w:rFonts w:hint="eastAsia" w:ascii="仿宋" w:hAnsi="仿宋" w:eastAsia="仿宋" w:cs="仿宋"/>
          <w:b/>
          <w:bCs/>
          <w:color w:val="auto"/>
          <w:kern w:val="0"/>
          <w:sz w:val="24"/>
          <w:szCs w:val="24"/>
          <w:highlight w:val="none"/>
          <w:lang w:eastAsia="zh-CN"/>
        </w:rPr>
        <w:t>。</w:t>
      </w:r>
    </w:p>
    <w:p w14:paraId="56593F8A">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1.3.5粮油类</w:t>
      </w:r>
    </w:p>
    <w:p w14:paraId="1FDBD183">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米类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i w:val="0"/>
          <w:iCs w:val="0"/>
          <w:caps w:val="0"/>
          <w:color w:val="auto"/>
          <w:spacing w:val="0"/>
          <w:sz w:val="24"/>
          <w:szCs w:val="24"/>
          <w:highlight w:val="none"/>
          <w:shd w:val="clear" w:color="auto" w:fill="FFFFFF"/>
        </w:rPr>
        <w:t>GB/T1354、GB/T19266和GB/T22000</w:t>
      </w:r>
      <w:r>
        <w:rPr>
          <w:rFonts w:hint="eastAsia" w:ascii="仿宋" w:hAnsi="仿宋" w:eastAsia="仿宋" w:cs="仿宋"/>
          <w:b/>
          <w:bCs/>
          <w:i w:val="0"/>
          <w:iCs w:val="0"/>
          <w:caps w:val="0"/>
          <w:color w:val="auto"/>
          <w:spacing w:val="0"/>
          <w:sz w:val="24"/>
          <w:szCs w:val="24"/>
          <w:highlight w:val="none"/>
          <w:shd w:val="clear" w:color="auto" w:fill="FFFFFF"/>
          <w:lang w:eastAsia="zh-CN"/>
        </w:rPr>
        <w:t>；</w:t>
      </w:r>
      <w:r>
        <w:rPr>
          <w:rFonts w:hint="eastAsia" w:ascii="仿宋" w:hAnsi="仿宋" w:eastAsia="仿宋" w:cs="仿宋"/>
          <w:b/>
          <w:bCs/>
          <w:i w:val="0"/>
          <w:iCs w:val="0"/>
          <w:caps w:val="0"/>
          <w:color w:val="auto"/>
          <w:spacing w:val="0"/>
          <w:sz w:val="24"/>
          <w:szCs w:val="24"/>
          <w:highlight w:val="none"/>
          <w:shd w:val="clear" w:color="auto" w:fill="FFFFFF"/>
          <w:lang w:val="en-US" w:eastAsia="zh-CN"/>
        </w:rPr>
        <w:t>面类</w:t>
      </w:r>
      <w:r>
        <w:rPr>
          <w:rFonts w:hint="eastAsia" w:ascii="仿宋" w:hAnsi="仿宋" w:eastAsia="仿宋" w:cs="仿宋"/>
          <w:b/>
          <w:bCs/>
          <w:color w:val="auto"/>
          <w:sz w:val="24"/>
          <w:szCs w:val="24"/>
          <w:highlight w:val="none"/>
        </w:rPr>
        <w:t>必须符合国家现行标准GB/T8607</w:t>
      </w:r>
      <w:r>
        <w:rPr>
          <w:rFonts w:hint="eastAsia" w:ascii="仿宋" w:hAnsi="仿宋" w:eastAsia="仿宋" w:cs="仿宋"/>
          <w:b/>
          <w:bCs/>
          <w:color w:val="auto"/>
          <w:sz w:val="24"/>
          <w:szCs w:val="24"/>
          <w:highlight w:val="none"/>
          <w:lang w:eastAsia="zh-CN"/>
        </w:rPr>
        <w:t>、GB/T1355、GB/T8608；油</w:t>
      </w:r>
      <w:r>
        <w:rPr>
          <w:rFonts w:hint="eastAsia" w:ascii="仿宋" w:hAnsi="仿宋" w:eastAsia="仿宋" w:cs="仿宋"/>
          <w:b/>
          <w:bCs/>
          <w:i w:val="0"/>
          <w:iCs w:val="0"/>
          <w:caps w:val="0"/>
          <w:color w:val="auto"/>
          <w:spacing w:val="0"/>
          <w:sz w:val="24"/>
          <w:szCs w:val="24"/>
          <w:highlight w:val="none"/>
          <w:shd w:val="clear" w:color="auto" w:fill="FFFFFF"/>
          <w:lang w:val="en-US" w:eastAsia="zh-CN"/>
        </w:rPr>
        <w:t>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kern w:val="0"/>
          <w:sz w:val="24"/>
          <w:szCs w:val="24"/>
          <w:highlight w:val="none"/>
          <w:lang w:val="en-US" w:eastAsia="zh-CN"/>
        </w:rPr>
        <w:t>(</w:t>
      </w:r>
      <w:r>
        <w:rPr>
          <w:rFonts w:hint="eastAsia" w:ascii="仿宋" w:hAnsi="仿宋" w:eastAsia="仿宋" w:cs="仿宋"/>
          <w:b/>
          <w:bCs/>
          <w:color w:val="auto"/>
          <w:sz w:val="24"/>
          <w:szCs w:val="24"/>
          <w:highlight w:val="none"/>
        </w:rPr>
        <w:t>GB 2716-2018食品安全国家标准植物油</w:t>
      </w:r>
      <w:r>
        <w:rPr>
          <w:rFonts w:hint="eastAsia" w:ascii="仿宋" w:hAnsi="仿宋" w:eastAsia="仿宋" w:cs="仿宋"/>
          <w:b/>
          <w:bCs/>
          <w:color w:val="auto"/>
          <w:sz w:val="24"/>
          <w:szCs w:val="24"/>
          <w:highlight w:val="none"/>
          <w:lang w:val="en-US" w:eastAsia="zh-CN"/>
        </w:rPr>
        <w:t>)；</w:t>
      </w:r>
    </w:p>
    <w:p w14:paraId="5FEC8513">
      <w:pPr>
        <w:keepNext w:val="0"/>
        <w:keepLines w:val="0"/>
        <w:pageBreakBefore w:val="0"/>
        <w:tabs>
          <w:tab w:val="left" w:pos="3420"/>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米，面应达到</w:t>
      </w:r>
      <w:r>
        <w:rPr>
          <w:rFonts w:hint="eastAsia" w:ascii="仿宋" w:hAnsi="仿宋" w:eastAsia="仿宋" w:cs="仿宋"/>
          <w:color w:val="auto"/>
          <w:kern w:val="0"/>
          <w:sz w:val="24"/>
          <w:szCs w:val="24"/>
          <w:highlight w:val="none"/>
        </w:rPr>
        <w:t>卫生安全、新鲜，</w:t>
      </w:r>
      <w:r>
        <w:rPr>
          <w:rFonts w:hint="eastAsia" w:ascii="仿宋" w:hAnsi="仿宋" w:eastAsia="仿宋" w:cs="仿宋"/>
          <w:color w:val="auto"/>
          <w:sz w:val="24"/>
          <w:szCs w:val="24"/>
          <w:highlight w:val="none"/>
          <w:lang w:val="en-US" w:eastAsia="zh-CN"/>
        </w:rPr>
        <w:t>大米有清香味和光泽，无米糠和其他杂质，无异味无霉变，用手摸时滑润；</w:t>
      </w:r>
      <w:r>
        <w:rPr>
          <w:rFonts w:hint="eastAsia" w:ascii="仿宋" w:hAnsi="仿宋" w:eastAsia="仿宋" w:cs="仿宋"/>
          <w:color w:val="auto"/>
          <w:kern w:val="0"/>
          <w:sz w:val="24"/>
          <w:szCs w:val="24"/>
          <w:highlight w:val="none"/>
        </w:rPr>
        <w:t>须符合相应的国家标准和行业标准的要求以及食品、卫生管理部门的要求。</w:t>
      </w:r>
    </w:p>
    <w:p w14:paraId="7769D520">
      <w:pPr>
        <w:keepNext w:val="0"/>
        <w:keepLines w:val="0"/>
        <w:pageBreakBefore w:val="0"/>
        <w:tabs>
          <w:tab w:val="left" w:pos="3420"/>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szCs w:val="24"/>
          <w:highlight w:val="none"/>
        </w:rPr>
        <w:t>食用油必须为一级非转基因</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外包装完整，色泽具有油脂应有的气味，</w:t>
      </w:r>
      <w:r>
        <w:rPr>
          <w:rFonts w:hint="eastAsia" w:ascii="仿宋" w:hAnsi="仿宋" w:eastAsia="仿宋" w:cs="仿宋"/>
          <w:color w:val="auto"/>
          <w:kern w:val="0"/>
          <w:sz w:val="24"/>
          <w:szCs w:val="24"/>
          <w:highlight w:val="none"/>
        </w:rPr>
        <w:t>符合国家标准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必须具有“SC”</w:t>
      </w:r>
      <w:r>
        <w:rPr>
          <w:rFonts w:hint="eastAsia" w:ascii="仿宋" w:hAnsi="仿宋" w:eastAsia="仿宋" w:cs="仿宋"/>
          <w:color w:val="auto"/>
          <w:kern w:val="0"/>
          <w:sz w:val="24"/>
          <w:szCs w:val="24"/>
          <w:highlight w:val="none"/>
          <w:lang w:val="en-US" w:eastAsia="zh-CN"/>
        </w:rPr>
        <w:t>标志</w:t>
      </w:r>
      <w:r>
        <w:rPr>
          <w:rFonts w:hint="eastAsia" w:ascii="仿宋" w:hAnsi="仿宋" w:eastAsia="仿宋" w:cs="仿宋"/>
          <w:color w:val="auto"/>
          <w:kern w:val="0"/>
          <w:sz w:val="24"/>
          <w:szCs w:val="24"/>
          <w:highlight w:val="none"/>
          <w:lang w:eastAsia="zh-CN"/>
        </w:rPr>
        <w:t>。</w:t>
      </w:r>
    </w:p>
    <w:p w14:paraId="0013E258">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1.3.6</w:t>
      </w:r>
      <w:r>
        <w:rPr>
          <w:rFonts w:hint="eastAsia" w:ascii="仿宋" w:hAnsi="仿宋" w:eastAsia="仿宋" w:cs="仿宋"/>
          <w:b/>
          <w:bCs/>
          <w:color w:val="auto"/>
          <w:sz w:val="24"/>
          <w:szCs w:val="24"/>
          <w:highlight w:val="none"/>
          <w:lang w:eastAsia="zh-CN"/>
        </w:rPr>
        <w:t>水果</w:t>
      </w:r>
      <w:r>
        <w:rPr>
          <w:rFonts w:hint="eastAsia" w:ascii="仿宋" w:hAnsi="仿宋" w:eastAsia="仿宋" w:cs="仿宋"/>
          <w:b/>
          <w:bCs/>
          <w:color w:val="auto"/>
          <w:sz w:val="24"/>
          <w:szCs w:val="24"/>
          <w:highlight w:val="none"/>
          <w:lang w:val="en-US" w:eastAsia="zh-CN"/>
        </w:rPr>
        <w:t>类</w:t>
      </w:r>
    </w:p>
    <w:p w14:paraId="7D0A2A3F">
      <w:pPr>
        <w:keepNext w:val="0"/>
        <w:keepLines w:val="0"/>
        <w:pageBreakBefore w:val="0"/>
        <w:numPr>
          <w:ilvl w:val="0"/>
          <w:numId w:val="0"/>
        </w:numPr>
        <w:kinsoku/>
        <w:wordWrap/>
        <w:overflowPunct/>
        <w:topLinePunct w:val="0"/>
        <w:bidi w:val="0"/>
        <w:adjustRightInd w:val="0"/>
        <w:snapToGrid/>
        <w:spacing w:line="288" w:lineRule="auto"/>
        <w:ind w:leftChars="0" w:firstLine="482"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水果蔬菜必须符合国家现行标准</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GB 5009.232-2016食品安全国家标准 水果、蔬菜及其制品甲酸含量的测定</w:t>
      </w:r>
      <w:r>
        <w:rPr>
          <w:rFonts w:hint="eastAsia" w:ascii="仿宋" w:hAnsi="仿宋" w:eastAsia="仿宋" w:cs="仿宋"/>
          <w:b/>
          <w:bCs/>
          <w:color w:val="auto"/>
          <w:sz w:val="24"/>
          <w:szCs w:val="24"/>
          <w:highlight w:val="none"/>
          <w:lang w:val="en-US" w:eastAsia="zh-CN"/>
        </w:rPr>
        <w:t>)</w:t>
      </w:r>
    </w:p>
    <w:p w14:paraId="1F80B54C">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梨类：果形端正，大小均匀，无畸形果，带果柄；果面新鲜洁净，无刺划伤，无压痕，无病虫害；身重结实，味道爽甜。</w:t>
      </w:r>
    </w:p>
    <w:p w14:paraId="78CC27D0">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苹果类：具有本品种特有的外形，大小均匀，果面光滑有光泽，具有本品种应有的自然色泽；无斑点或极少果锈，不起皱，无裂口，无压痕及其他机械损伤和冻伤黑斑；果身重，硬朗；口感汁液饱满，无苦涩味，无木栓化组织。</w:t>
      </w:r>
    </w:p>
    <w:p w14:paraId="46E73BD6">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柑桔类：（1）柑类：果实大近似球形，无异状突起瘤、无病虫害所呈现的绿斑、黑斑，无霉烂，无机械伤，果面清新洁净，大小均匀，果实无萎焉，色泽自然。（2）桔类：果实小而扁，大小均匀，果面新鲜光洁无裂口，无机械伤、病斑及腐烂现象，果蒂完整平齐，易剥落，桔络少。</w:t>
      </w:r>
    </w:p>
    <w:p w14:paraId="74F121DE">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橙类：大小均匀，皮光滑并有光泽，手感重，无机械损伤。难剥离，果汁多，味可口，无萎焉。</w:t>
      </w:r>
    </w:p>
    <w:p w14:paraId="077DA334">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柚类：果实大，圆形或梨形，果皮厚达1cm，难剥离，酸甜合适，大小均匀。</w:t>
      </w:r>
    </w:p>
    <w:p w14:paraId="3B715F55">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柠檬：色泽浅黄，果实椭圆或圆形；大小均匀，顶端有乳头状突起，肉汁极酸并有浓香，无任何机械损伤。</w:t>
      </w:r>
    </w:p>
    <w:p w14:paraId="0D38B213">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蕉类：果实丰满，果形端正，梳柄完整，不缺只口，单果均匀；色泽自然、光亮；皮色青黄，果面光滑，无病黑斑，无虫疤，无霉菌，无创伤；果肉稍硬；果皮可剥或易剥。</w:t>
      </w:r>
    </w:p>
    <w:p w14:paraId="5ECDDBBD">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葡萄类：具有本品种应具有的外形、色泽；果粒面完好，皮上无斑痕，果珠饱满，大小均匀；轻提果穗枝梗，微微抖动，果实不抖落或抖落极少。</w:t>
      </w:r>
    </w:p>
    <w:p w14:paraId="06C237FB">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桃类：具有本品种应具有的外形及色泽，大小均匀，果形端正，果面无不正常斑点，无裂口及其他机械损伤，无腐烂，无病虫害，无药害，无破皮。</w:t>
      </w:r>
    </w:p>
    <w:p w14:paraId="7A3DA8C2">
      <w:pPr>
        <w:keepNext w:val="0"/>
        <w:keepLines w:val="0"/>
        <w:pageBreakBefore w:val="0"/>
        <w:widowControl/>
        <w:tabs>
          <w:tab w:val="left" w:pos="851"/>
        </w:tabs>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瓜类：具有本品种应有的形状，大小均匀，果色清新光亮，条纹清晰，果皮无伤痕，无水分腐烂，无干疤，无虫眼，无斑病，果柄茸毛脱落，脐部凹陷，水分大，甜度高，切开鲜艳光泽，无异味。</w:t>
      </w:r>
    </w:p>
    <w:p w14:paraId="5B5C4A65">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1.3.7奶制品类</w:t>
      </w:r>
    </w:p>
    <w:p w14:paraId="63DB60F7">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奶制品</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eastAsia="zh-CN"/>
        </w:rPr>
        <w:t>（食品安全国家标准 灭菌乳《GB25190-2010》和食品安全国家标准 巴氏杀菌乳《GB19645-2010》）</w:t>
      </w:r>
    </w:p>
    <w:p w14:paraId="281A4CA4">
      <w:pPr>
        <w:keepNext w:val="0"/>
        <w:keepLines w:val="0"/>
        <w:pageBreakBefore w:val="0"/>
        <w:widowControl/>
        <w:kinsoku/>
        <w:wordWrap/>
        <w:overflowPunct/>
        <w:topLinePunct w:val="0"/>
        <w:bidi w:val="0"/>
        <w:adjustRightInd w:val="0"/>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highlight w:val="none"/>
        </w:rPr>
        <w:t>质优、卫生安全、新鲜，须符合相应的国家标准和行业标准的要求以及食品、卫生管理部门的要求。 奶制品必须具有“SC”食品质量安全认证。交货时的剩余保质期应不低于应有保质期的一半。运输须使用符合国家卫生标准的专用运载工具，车辆必须要保持清洁、卫生，使用前后要清洗消毒。</w:t>
      </w:r>
    </w:p>
    <w:p w14:paraId="2466876D">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1.3.8副食品类</w:t>
      </w:r>
    </w:p>
    <w:p w14:paraId="22DC5E44">
      <w:pPr>
        <w:keepNext w:val="0"/>
        <w:keepLines w:val="0"/>
        <w:pageBreakBefore w:val="0"/>
        <w:widowControl/>
        <w:kinsoku/>
        <w:wordWrap/>
        <w:overflowPunct/>
        <w:topLinePunct w:val="0"/>
        <w:bidi w:val="0"/>
        <w:adjustRightInd w:val="0"/>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highlight w:val="none"/>
        </w:rPr>
        <w:t xml:space="preserve">质优、卫生安全、新鲜，须符合相应的国家标准和行业标准的要求以及食品、卫生管理部门的要求。 </w:t>
      </w:r>
      <w:r>
        <w:rPr>
          <w:rFonts w:hint="eastAsia" w:ascii="仿宋" w:hAnsi="仿宋" w:eastAsia="仿宋" w:cs="仿宋"/>
          <w:color w:val="auto"/>
          <w:sz w:val="24"/>
          <w:szCs w:val="24"/>
          <w:highlight w:val="none"/>
        </w:rPr>
        <w:t>成品包装食品必须具有“SC”标志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色泽正常，具有各种固有的香味，滋味无异味；包装应封口平正，无破包夹包漏包；无污染，商品到货时保质期应至少剩余2/3。</w:t>
      </w:r>
      <w:r>
        <w:rPr>
          <w:rFonts w:hint="eastAsia" w:ascii="仿宋" w:hAnsi="仿宋" w:eastAsia="仿宋" w:cs="仿宋"/>
          <w:color w:val="auto"/>
          <w:kern w:val="0"/>
          <w:sz w:val="24"/>
          <w:highlight w:val="none"/>
        </w:rPr>
        <w:t>冷冻（食品）必须符合国家现行标准，并拥有“SC”食品质量安全认证。交货时的剩余保质期应不低于应有保质期的一半。运输须使用符合国家卫生标准的专用运载工具，车辆必须要保持清洁、卫生，使用前后要清洗消毒。</w:t>
      </w:r>
    </w:p>
    <w:p w14:paraId="2BAC3489">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1.3.9调味品类</w:t>
      </w:r>
    </w:p>
    <w:p w14:paraId="191984A6">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调料类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eastAsia="zh-CN"/>
        </w:rPr>
        <w:t>（GB 31644-2018 食品安全国家标准 复合调味料）。</w:t>
      </w:r>
    </w:p>
    <w:p w14:paraId="59F593C2">
      <w:pPr>
        <w:pStyle w:val="257"/>
        <w:keepNext w:val="0"/>
        <w:keepLines w:val="0"/>
        <w:pageBreakBefore w:val="0"/>
        <w:kinsoku/>
        <w:wordWrap/>
        <w:overflowPunct/>
        <w:topLinePunct w:val="0"/>
        <w:autoSpaceDE/>
        <w:autoSpaceDN/>
        <w:bidi w:val="0"/>
        <w:adjustRightInd w:val="0"/>
        <w:snapToGrid/>
        <w:spacing w:line="288" w:lineRule="auto"/>
        <w:ind w:left="0" w:leftChars="0" w:right="0" w:rightChars="0" w:firstLine="480"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调味品符合国家食品质量安全标准；色泽正常；具有各种固有的香味，滋味无异味；包装应封口平正，无破包夹包漏包；无污染，商品到货时保质期应至少剩余2/3。</w:t>
      </w:r>
    </w:p>
    <w:p w14:paraId="4E62246F">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1.3.10</w:t>
      </w:r>
      <w:r>
        <w:rPr>
          <w:rFonts w:hint="eastAsia" w:ascii="仿宋" w:hAnsi="仿宋" w:eastAsia="仿宋" w:cs="仿宋"/>
          <w:b/>
          <w:bCs/>
          <w:color w:val="auto"/>
          <w:sz w:val="24"/>
          <w:szCs w:val="24"/>
          <w:highlight w:val="none"/>
          <w:lang w:eastAsia="zh-CN"/>
        </w:rPr>
        <w:t>豆制品类</w:t>
      </w:r>
    </w:p>
    <w:p w14:paraId="5C25F357">
      <w:pPr>
        <w:keepNext w:val="0"/>
        <w:keepLines w:val="0"/>
        <w:pageBreakBefore w:val="0"/>
        <w:widowControl/>
        <w:tabs>
          <w:tab w:val="left" w:pos="851"/>
        </w:tabs>
        <w:kinsoku/>
        <w:wordWrap/>
        <w:overflowPunct/>
        <w:topLinePunct w:val="0"/>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豆制品必须符合国家现行标准</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GB 2712-2014食品安全国家标准豆制品</w:t>
      </w:r>
      <w:r>
        <w:rPr>
          <w:rFonts w:hint="eastAsia" w:ascii="仿宋" w:hAnsi="仿宋" w:eastAsia="仿宋" w:cs="仿宋"/>
          <w:b/>
          <w:bCs/>
          <w:color w:val="auto"/>
          <w:sz w:val="24"/>
          <w:szCs w:val="24"/>
          <w:highlight w:val="none"/>
          <w:lang w:val="en-US" w:eastAsia="zh-CN"/>
        </w:rPr>
        <w:t>)</w:t>
      </w:r>
    </w:p>
    <w:p w14:paraId="0DD41874">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rPr>
        <w:t>必须符合国家现行标准，并拥有“SC”食品质量安全认证。豆制品内不能加入添加剂（如保鲜剂、防腐剂、保水剂），所有豆制品送到应保持新鲜、不腐败、不变质，48小时留样备查。应当使用保温措施确保豆制品的保鲜，交货时的剩余保质期应不低于应有保质期的一半。</w:t>
      </w:r>
    </w:p>
    <w:p w14:paraId="256C4CD6">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1.3.11</w:t>
      </w:r>
      <w:r>
        <w:rPr>
          <w:rFonts w:hint="eastAsia" w:ascii="仿宋" w:hAnsi="仿宋" w:eastAsia="仿宋" w:cs="仿宋"/>
          <w:b/>
          <w:bCs/>
          <w:color w:val="auto"/>
          <w:sz w:val="24"/>
          <w:szCs w:val="24"/>
          <w:highlight w:val="none"/>
          <w:lang w:eastAsia="zh-CN"/>
        </w:rPr>
        <w:t>干货</w:t>
      </w:r>
      <w:r>
        <w:rPr>
          <w:rFonts w:hint="eastAsia" w:ascii="仿宋" w:hAnsi="仿宋" w:eastAsia="仿宋" w:cs="仿宋"/>
          <w:b/>
          <w:bCs/>
          <w:color w:val="auto"/>
          <w:sz w:val="24"/>
          <w:szCs w:val="24"/>
          <w:highlight w:val="none"/>
          <w:lang w:val="en-US" w:eastAsia="zh-CN"/>
        </w:rPr>
        <w:t>类</w:t>
      </w:r>
    </w:p>
    <w:p w14:paraId="0818703E">
      <w:pPr>
        <w:keepNext w:val="0"/>
        <w:keepLines w:val="0"/>
        <w:pageBreakBefore w:val="0"/>
        <w:tabs>
          <w:tab w:val="left" w:pos="3420"/>
        </w:tabs>
        <w:kinsoku/>
        <w:wordWrap/>
        <w:overflowPunct/>
        <w:topLinePunct w:val="0"/>
        <w:bidi w:val="0"/>
        <w:adjustRightInd w:val="0"/>
        <w:snapToGrid/>
        <w:spacing w:line="288"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干货</w:t>
      </w:r>
      <w:r>
        <w:rPr>
          <w:rFonts w:hint="eastAsia" w:ascii="仿宋" w:hAnsi="仿宋" w:eastAsia="仿宋" w:cs="仿宋"/>
          <w:b/>
          <w:bCs/>
          <w:color w:val="auto"/>
          <w:sz w:val="24"/>
          <w:szCs w:val="24"/>
          <w:highlight w:val="none"/>
        </w:rPr>
        <w:t>必须符合国家现行标准《食品安全国家标准 食品中污染物限量》GB 2762-2017</w:t>
      </w:r>
    </w:p>
    <w:p w14:paraId="18AA8A94">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干货成品包装食品必须具有“SC”标志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色泽正常，具有各种固有的香味，滋味无异味；包装应封口平正，无破包夹包漏包；无污染，商品到货时保质期应至少剩余2/3。</w:t>
      </w:r>
    </w:p>
    <w:p w14:paraId="02A136E1">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1.3.12咸腌酱制品类</w:t>
      </w:r>
    </w:p>
    <w:p w14:paraId="5078CAA1">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咸腌酱制品类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val="en-US" w:eastAsia="zh-CN"/>
        </w:rPr>
        <w:t>GB 2714-2015 食品安全国家标准酱腌菜</w:t>
      </w:r>
    </w:p>
    <w:p w14:paraId="5A16A2A4">
      <w:pPr>
        <w:pStyle w:val="23"/>
        <w:keepNext w:val="0"/>
        <w:keepLines w:val="0"/>
        <w:pageBreakBefore w:val="0"/>
        <w:kinsoku/>
        <w:wordWrap/>
        <w:overflowPunct/>
        <w:topLinePunct w:val="0"/>
        <w:bidi w:val="0"/>
        <w:adjustRightInd w:val="0"/>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产品必须保证新鲜度，无腐败变质，油脂酸败，霉变，生虫，污秽不洁，混有异物或者其他感官性状异常。产品在常温下交货时的剩余保质期应不低于3个月。</w:t>
      </w:r>
    </w:p>
    <w:p w14:paraId="09DCFDB4">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1.3.13预包装食品类</w:t>
      </w:r>
    </w:p>
    <w:p w14:paraId="24E71681">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预包装食品类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val="en-US" w:eastAsia="zh-CN"/>
        </w:rPr>
        <w:t>（GB 29921-2021食品安全国家标准 预包装食品中致病菌限量）</w:t>
      </w:r>
    </w:p>
    <w:p w14:paraId="37782419">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必须具有“SC”标志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色泽正常，具有各种固有的香味，滋味无异味；包装应封口平正，无破包夹包漏包；无污染，商品到货时保质期应至少剩余2/3。</w:t>
      </w:r>
    </w:p>
    <w:p w14:paraId="0E186787">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1.3.14冻品类</w:t>
      </w:r>
    </w:p>
    <w:p w14:paraId="2A3D2D58">
      <w:pPr>
        <w:pStyle w:val="23"/>
        <w:keepNext w:val="0"/>
        <w:keepLines w:val="0"/>
        <w:pageBreakBefore w:val="0"/>
        <w:kinsoku/>
        <w:wordWrap/>
        <w:overflowPunct/>
        <w:topLinePunct w:val="0"/>
        <w:bidi w:val="0"/>
        <w:adjustRightInd w:val="0"/>
        <w:spacing w:line="288"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冻品类</w:t>
      </w:r>
      <w:r>
        <w:rPr>
          <w:rFonts w:hint="eastAsia" w:ascii="仿宋" w:hAnsi="仿宋" w:eastAsia="仿宋" w:cs="仿宋"/>
          <w:b/>
          <w:bCs/>
          <w:color w:val="auto"/>
          <w:sz w:val="24"/>
          <w:szCs w:val="24"/>
          <w:highlight w:val="none"/>
        </w:rPr>
        <w:t>必须符合国家现行标准</w:t>
      </w:r>
      <w:r>
        <w:rPr>
          <w:rFonts w:hint="eastAsia" w:ascii="仿宋" w:hAnsi="仿宋" w:eastAsia="仿宋" w:cs="仿宋"/>
          <w:b/>
          <w:bCs/>
          <w:color w:val="auto"/>
          <w:sz w:val="24"/>
          <w:szCs w:val="24"/>
          <w:highlight w:val="none"/>
          <w:lang w:val="en-US" w:eastAsia="zh-CN"/>
        </w:rPr>
        <w:t>《食品安全国家标准 速冻面米与调制食品》(GB 19295-2021)</w:t>
      </w:r>
    </w:p>
    <w:p w14:paraId="4C39A413">
      <w:pPr>
        <w:keepNext w:val="0"/>
        <w:keepLines w:val="0"/>
        <w:pageBreakBefore w:val="0"/>
        <w:kinsoku/>
        <w:wordWrap/>
        <w:overflowPunct/>
        <w:topLinePunct w:val="0"/>
        <w:bidi w:val="0"/>
        <w:adjustRightInd w:val="0"/>
        <w:snapToGrid/>
        <w:spacing w:line="288" w:lineRule="auto"/>
        <w:ind w:firstLine="480"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包装应封口平正，无破包夹包漏包；无污染，商品到货时保质期应至少剩余2/3。</w:t>
      </w:r>
    </w:p>
    <w:p w14:paraId="459DD28F">
      <w:pPr>
        <w:pStyle w:val="23"/>
        <w:keepNext w:val="0"/>
        <w:keepLines w:val="0"/>
        <w:pageBreakBefore w:val="0"/>
        <w:kinsoku/>
        <w:wordWrap/>
        <w:overflowPunct/>
        <w:topLinePunct w:val="0"/>
        <w:bidi w:val="0"/>
        <w:adjustRightInd w:val="0"/>
        <w:spacing w:line="288"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1.4食材验收标准</w:t>
      </w:r>
    </w:p>
    <w:tbl>
      <w:tblPr>
        <w:tblStyle w:val="62"/>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742"/>
        <w:gridCol w:w="885"/>
        <w:gridCol w:w="2873"/>
        <w:gridCol w:w="3758"/>
      </w:tblGrid>
      <w:tr w14:paraId="00EB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tblHeader/>
          <w:jc w:val="center"/>
        </w:trPr>
        <w:tc>
          <w:tcPr>
            <w:tcW w:w="742" w:type="dxa"/>
            <w:noWrap w:val="0"/>
            <w:vAlign w:val="center"/>
          </w:tcPr>
          <w:p w14:paraId="4F0B560C">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类别</w:t>
            </w:r>
          </w:p>
        </w:tc>
        <w:tc>
          <w:tcPr>
            <w:tcW w:w="885" w:type="dxa"/>
            <w:noWrap w:val="0"/>
            <w:vAlign w:val="center"/>
          </w:tcPr>
          <w:p w14:paraId="5A9A5EC4">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品种</w:t>
            </w:r>
          </w:p>
        </w:tc>
        <w:tc>
          <w:tcPr>
            <w:tcW w:w="2873" w:type="dxa"/>
            <w:noWrap w:val="0"/>
            <w:vAlign w:val="center"/>
          </w:tcPr>
          <w:p w14:paraId="5B742C24">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验收标准</w:t>
            </w:r>
          </w:p>
        </w:tc>
        <w:tc>
          <w:tcPr>
            <w:tcW w:w="3758" w:type="dxa"/>
            <w:noWrap w:val="0"/>
            <w:vAlign w:val="center"/>
          </w:tcPr>
          <w:p w14:paraId="15965E0A">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退货依据</w:t>
            </w:r>
          </w:p>
        </w:tc>
      </w:tr>
      <w:tr w14:paraId="5236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restart"/>
            <w:noWrap w:val="0"/>
            <w:vAlign w:val="center"/>
          </w:tcPr>
          <w:p w14:paraId="4DF729BA">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肉类</w:t>
            </w:r>
          </w:p>
        </w:tc>
        <w:tc>
          <w:tcPr>
            <w:tcW w:w="885" w:type="dxa"/>
            <w:noWrap w:val="0"/>
            <w:vAlign w:val="center"/>
          </w:tcPr>
          <w:p w14:paraId="6D5D4760">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猪肉类</w:t>
            </w:r>
          </w:p>
        </w:tc>
        <w:tc>
          <w:tcPr>
            <w:tcW w:w="2873" w:type="dxa"/>
            <w:noWrap w:val="0"/>
            <w:vAlign w:val="center"/>
          </w:tcPr>
          <w:p w14:paraId="48D40EB8">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肉色鲜红色，光泽好，肌肉质地坚实，纹理致密，脂肪色为白色，无病变、不注水层次分明。提供相关进货渠道和合格检验证明。</w:t>
            </w:r>
          </w:p>
        </w:tc>
        <w:tc>
          <w:tcPr>
            <w:tcW w:w="3758" w:type="dxa"/>
            <w:noWrap w:val="0"/>
            <w:vAlign w:val="center"/>
          </w:tcPr>
          <w:p w14:paraId="1798744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鲜度嫩度明显不佳，</w:t>
            </w:r>
            <w:r>
              <w:rPr>
                <w:rFonts w:hint="eastAsia" w:ascii="仿宋" w:hAnsi="仿宋" w:eastAsia="仿宋" w:cs="仿宋"/>
                <w:color w:val="auto"/>
                <w:kern w:val="0"/>
                <w:sz w:val="24"/>
                <w:szCs w:val="24"/>
                <w:highlight w:val="none"/>
              </w:rPr>
              <w:t>肉切面纹理</w:t>
            </w:r>
            <w:r>
              <w:rPr>
                <w:rFonts w:hint="eastAsia" w:ascii="仿宋" w:hAnsi="仿宋" w:eastAsia="仿宋" w:cs="仿宋"/>
                <w:color w:val="auto"/>
                <w:kern w:val="0"/>
                <w:sz w:val="24"/>
                <w:szCs w:val="24"/>
                <w:highlight w:val="none"/>
                <w:lang w:val="en-US" w:eastAsia="zh-CN"/>
              </w:rPr>
              <w:t>不</w:t>
            </w:r>
            <w:r>
              <w:rPr>
                <w:rFonts w:hint="eastAsia" w:ascii="仿宋" w:hAnsi="仿宋" w:eastAsia="仿宋" w:cs="仿宋"/>
                <w:color w:val="auto"/>
                <w:kern w:val="0"/>
                <w:sz w:val="24"/>
                <w:szCs w:val="24"/>
                <w:highlight w:val="none"/>
              </w:rPr>
              <w:t>清晰</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有气味等</w:t>
            </w:r>
          </w:p>
        </w:tc>
      </w:tr>
      <w:tr w14:paraId="271E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top"/>
          </w:tcPr>
          <w:p w14:paraId="2A202ABF">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p>
        </w:tc>
        <w:tc>
          <w:tcPr>
            <w:tcW w:w="885" w:type="dxa"/>
            <w:noWrap w:val="0"/>
            <w:vAlign w:val="center"/>
          </w:tcPr>
          <w:p w14:paraId="189927F2">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牛羊肉、</w:t>
            </w:r>
          </w:p>
          <w:p w14:paraId="1CD669A5">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禽肉</w:t>
            </w:r>
          </w:p>
        </w:tc>
        <w:tc>
          <w:tcPr>
            <w:tcW w:w="2873" w:type="dxa"/>
            <w:noWrap w:val="0"/>
            <w:vAlign w:val="center"/>
          </w:tcPr>
          <w:p w14:paraId="3475089E">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肉色为均匀红色，肉质有弹性，不注水，指压凹陷部分会立刻恢复，切面有光泽及微湿润，皮为白色。提供相关进货渠道和合格检验证明。</w:t>
            </w:r>
          </w:p>
        </w:tc>
        <w:tc>
          <w:tcPr>
            <w:tcW w:w="3758" w:type="dxa"/>
            <w:noWrap w:val="0"/>
            <w:vAlign w:val="center"/>
          </w:tcPr>
          <w:p w14:paraId="3ABA26AD">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鲜度嫩度明显不佳，</w:t>
            </w:r>
            <w:r>
              <w:rPr>
                <w:rFonts w:hint="eastAsia" w:ascii="仿宋" w:hAnsi="仿宋" w:eastAsia="仿宋" w:cs="仿宋"/>
                <w:color w:val="auto"/>
                <w:kern w:val="0"/>
                <w:sz w:val="24"/>
                <w:szCs w:val="24"/>
                <w:highlight w:val="none"/>
              </w:rPr>
              <w:t>肉切面纹理</w:t>
            </w:r>
            <w:r>
              <w:rPr>
                <w:rFonts w:hint="eastAsia" w:ascii="仿宋" w:hAnsi="仿宋" w:eastAsia="仿宋" w:cs="仿宋"/>
                <w:color w:val="auto"/>
                <w:kern w:val="0"/>
                <w:sz w:val="24"/>
                <w:szCs w:val="24"/>
                <w:highlight w:val="none"/>
                <w:lang w:val="en-US" w:eastAsia="zh-CN"/>
              </w:rPr>
              <w:t>不</w:t>
            </w:r>
            <w:r>
              <w:rPr>
                <w:rFonts w:hint="eastAsia" w:ascii="仿宋" w:hAnsi="仿宋" w:eastAsia="仿宋" w:cs="仿宋"/>
                <w:color w:val="auto"/>
                <w:kern w:val="0"/>
                <w:sz w:val="24"/>
                <w:szCs w:val="24"/>
                <w:highlight w:val="none"/>
              </w:rPr>
              <w:t>清晰</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highlight w:val="none"/>
                <w:lang w:val="en-US" w:eastAsia="zh-CN"/>
              </w:rPr>
              <w:t>有气味等</w:t>
            </w:r>
          </w:p>
        </w:tc>
      </w:tr>
      <w:tr w14:paraId="1895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1415E5EE">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蛋类</w:t>
            </w:r>
          </w:p>
        </w:tc>
        <w:tc>
          <w:tcPr>
            <w:tcW w:w="2873" w:type="dxa"/>
            <w:noWrap w:val="0"/>
            <w:vAlign w:val="center"/>
          </w:tcPr>
          <w:p w14:paraId="65F5E605">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提供的各类货品，保证新鲜度，注意保质期，外包装清洁卫生，完整坚固</w:t>
            </w:r>
            <w:r>
              <w:rPr>
                <w:rFonts w:hint="eastAsia" w:ascii="仿宋" w:hAnsi="仿宋" w:eastAsia="仿宋" w:cs="仿宋"/>
                <w:color w:val="auto"/>
                <w:kern w:val="0"/>
                <w:sz w:val="24"/>
                <w:szCs w:val="24"/>
                <w:highlight w:val="none"/>
                <w:lang w:eastAsia="zh-CN"/>
              </w:rPr>
              <w:t>。</w:t>
            </w:r>
          </w:p>
        </w:tc>
        <w:tc>
          <w:tcPr>
            <w:tcW w:w="3758" w:type="dxa"/>
            <w:noWrap w:val="0"/>
            <w:vAlign w:val="center"/>
          </w:tcPr>
          <w:p w14:paraId="5B008581">
            <w:pPr>
              <w:keepNext w:val="0"/>
              <w:keepLines w:val="0"/>
              <w:pageBreakBefore w:val="0"/>
              <w:widowControl/>
              <w:tabs>
                <w:tab w:val="left" w:pos="851"/>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（1）鸡蛋：蛋壳清洁完整，色泽鲜明，无破损、裂纹，无霉斑，蛋白澄清、透明、稀稠分明，无异味。（2）咸蛋：</w:t>
            </w:r>
            <w:r>
              <w:rPr>
                <w:rFonts w:hint="eastAsia" w:ascii="仿宋" w:hAnsi="仿宋" w:eastAsia="仿宋" w:cs="仿宋"/>
                <w:color w:val="auto"/>
                <w:sz w:val="24"/>
                <w:szCs w:val="24"/>
                <w:highlight w:val="none"/>
              </w:rPr>
              <w:t>蛋壳完整无损，无裂纹或霉斑，蛋清呈白色水样透明，蛋黄呈红色或淡红色</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提供相关进货渠道和合格检验证明。</w:t>
            </w:r>
          </w:p>
        </w:tc>
      </w:tr>
      <w:tr w14:paraId="58DF8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restart"/>
            <w:noWrap w:val="0"/>
            <w:vAlign w:val="center"/>
          </w:tcPr>
          <w:p w14:paraId="3CD1D95E">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蔬菜类</w:t>
            </w:r>
          </w:p>
        </w:tc>
        <w:tc>
          <w:tcPr>
            <w:tcW w:w="885" w:type="dxa"/>
            <w:noWrap w:val="0"/>
            <w:vAlign w:val="center"/>
          </w:tcPr>
          <w:p w14:paraId="2A2C06C7">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叶菜类</w:t>
            </w:r>
          </w:p>
        </w:tc>
        <w:tc>
          <w:tcPr>
            <w:tcW w:w="2873" w:type="dxa"/>
            <w:noWrap w:val="0"/>
            <w:vAlign w:val="center"/>
          </w:tcPr>
          <w:p w14:paraId="0651D989">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外形正常，叶梗光滑幼嫩，不干瘪凋萎，无过多黄叶，色泽正常。去除根须，不含土， 大白菜、卷心菜切开心不变黑，无腐烂，无明显浸水现象；农药残留不超标。提供相关进货渠道和合格检验证明。</w:t>
            </w:r>
          </w:p>
        </w:tc>
        <w:tc>
          <w:tcPr>
            <w:tcW w:w="3758" w:type="dxa"/>
            <w:noWrap w:val="0"/>
            <w:vAlign w:val="center"/>
          </w:tcPr>
          <w:p w14:paraId="328F8ACA">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味苦，鲜度嫩度明显不佳，含黄叶须根，泥土、虫害严重，萎捏严重浸水后仍不可恢复；农药残留超标</w:t>
            </w:r>
          </w:p>
        </w:tc>
      </w:tr>
      <w:tr w14:paraId="7E92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center"/>
          </w:tcPr>
          <w:p w14:paraId="3272D243">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p>
        </w:tc>
        <w:tc>
          <w:tcPr>
            <w:tcW w:w="885" w:type="dxa"/>
            <w:noWrap w:val="0"/>
            <w:vAlign w:val="center"/>
          </w:tcPr>
          <w:p w14:paraId="185E1165">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根茎类</w:t>
            </w:r>
          </w:p>
        </w:tc>
        <w:tc>
          <w:tcPr>
            <w:tcW w:w="2873" w:type="dxa"/>
            <w:noWrap w:val="0"/>
            <w:vAlign w:val="center"/>
          </w:tcPr>
          <w:p w14:paraId="0F9BD205">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无虫咬、发芽、发霉现象，新鲜，形态大小均匀相当。农药残留不超标。提供相关进货渠道和合格检验证明。</w:t>
            </w:r>
          </w:p>
        </w:tc>
        <w:tc>
          <w:tcPr>
            <w:tcW w:w="3758" w:type="dxa"/>
            <w:noWrap w:val="0"/>
            <w:vAlign w:val="center"/>
          </w:tcPr>
          <w:p w14:paraId="7DB4B1E9">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发芽严重、发霉，新鲜度不佳，形态大小偏差较大。农药残留超标。</w:t>
            </w:r>
          </w:p>
        </w:tc>
      </w:tr>
      <w:tr w14:paraId="1218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restart"/>
            <w:noWrap w:val="0"/>
            <w:vAlign w:val="center"/>
          </w:tcPr>
          <w:p w14:paraId="650BFE71">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水产类</w:t>
            </w:r>
          </w:p>
        </w:tc>
        <w:tc>
          <w:tcPr>
            <w:tcW w:w="885" w:type="dxa"/>
            <w:noWrap w:val="0"/>
            <w:vAlign w:val="center"/>
          </w:tcPr>
          <w:p w14:paraId="08B91665">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鱼类</w:t>
            </w:r>
          </w:p>
        </w:tc>
        <w:tc>
          <w:tcPr>
            <w:tcW w:w="2873" w:type="dxa"/>
            <w:noWrap w:val="0"/>
            <w:vAlign w:val="center"/>
          </w:tcPr>
          <w:p w14:paraId="6CF35260">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鳞完整或稍有花鳞，紧贴不易剥落，有透明黏液；鳃盖紧合，鳃丝鲜红，色清晰，黏液透明无异味；鱼眼饱满，角膜光亮透明；腹部呈白色，无异味。提供相关进货渠道和合格检验证明。</w:t>
            </w:r>
          </w:p>
        </w:tc>
        <w:tc>
          <w:tcPr>
            <w:tcW w:w="3758" w:type="dxa"/>
            <w:noWrap w:val="0"/>
            <w:vAlign w:val="center"/>
          </w:tcPr>
          <w:p w14:paraId="561017A9">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鳞</w:t>
            </w:r>
            <w:r>
              <w:rPr>
                <w:rFonts w:hint="eastAsia" w:ascii="仿宋" w:hAnsi="仿宋" w:eastAsia="仿宋" w:cs="仿宋"/>
                <w:color w:val="auto"/>
                <w:sz w:val="24"/>
                <w:szCs w:val="24"/>
                <w:highlight w:val="none"/>
                <w:lang w:eastAsia="zh-CN"/>
              </w:rPr>
              <w:t>片大量缺失</w:t>
            </w:r>
            <w:r>
              <w:rPr>
                <w:rFonts w:hint="eastAsia" w:ascii="仿宋" w:hAnsi="仿宋" w:eastAsia="仿宋" w:cs="仿宋"/>
                <w:color w:val="auto"/>
                <w:sz w:val="24"/>
                <w:szCs w:val="24"/>
                <w:highlight w:val="none"/>
              </w:rPr>
              <w:t>或花鳞</w:t>
            </w:r>
            <w:r>
              <w:rPr>
                <w:rFonts w:hint="eastAsia" w:ascii="仿宋" w:hAnsi="仿宋" w:eastAsia="仿宋" w:cs="仿宋"/>
                <w:color w:val="auto"/>
                <w:sz w:val="24"/>
                <w:szCs w:val="24"/>
                <w:highlight w:val="none"/>
                <w:lang w:eastAsia="zh-CN"/>
              </w:rPr>
              <w:t>状况严重</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鱼体表面干燥无粘液</w:t>
            </w:r>
            <w:r>
              <w:rPr>
                <w:rFonts w:hint="eastAsia" w:ascii="仿宋" w:hAnsi="仿宋" w:eastAsia="仿宋" w:cs="仿宋"/>
                <w:color w:val="auto"/>
                <w:sz w:val="24"/>
                <w:szCs w:val="24"/>
                <w:highlight w:val="none"/>
              </w:rPr>
              <w:t>；鳃盖</w:t>
            </w:r>
            <w:r>
              <w:rPr>
                <w:rFonts w:hint="eastAsia" w:ascii="仿宋" w:hAnsi="仿宋" w:eastAsia="仿宋" w:cs="仿宋"/>
                <w:color w:val="auto"/>
                <w:sz w:val="24"/>
                <w:szCs w:val="24"/>
                <w:highlight w:val="none"/>
                <w:lang w:eastAsia="zh-CN"/>
              </w:rPr>
              <w:t>张开</w:t>
            </w:r>
            <w:r>
              <w:rPr>
                <w:rFonts w:hint="eastAsia" w:ascii="仿宋" w:hAnsi="仿宋" w:eastAsia="仿宋" w:cs="仿宋"/>
                <w:color w:val="auto"/>
                <w:sz w:val="24"/>
                <w:szCs w:val="24"/>
                <w:highlight w:val="none"/>
              </w:rPr>
              <w:t>，鳃丝</w:t>
            </w:r>
            <w:r>
              <w:rPr>
                <w:rFonts w:hint="eastAsia" w:ascii="仿宋" w:hAnsi="仿宋" w:eastAsia="仿宋" w:cs="仿宋"/>
                <w:color w:val="auto"/>
                <w:sz w:val="24"/>
                <w:szCs w:val="24"/>
                <w:highlight w:val="none"/>
                <w:lang w:eastAsia="zh-CN"/>
              </w:rPr>
              <w:t>呈暗红或棕色的</w:t>
            </w:r>
            <w:r>
              <w:rPr>
                <w:rFonts w:hint="eastAsia" w:ascii="仿宋" w:hAnsi="仿宋" w:eastAsia="仿宋" w:cs="仿宋"/>
                <w:color w:val="auto"/>
                <w:sz w:val="24"/>
                <w:szCs w:val="24"/>
                <w:highlight w:val="none"/>
              </w:rPr>
              <w:t>，黏液</w:t>
            </w:r>
            <w:r>
              <w:rPr>
                <w:rFonts w:hint="eastAsia" w:ascii="仿宋" w:hAnsi="仿宋" w:eastAsia="仿宋" w:cs="仿宋"/>
                <w:color w:val="auto"/>
                <w:sz w:val="24"/>
                <w:szCs w:val="24"/>
                <w:highlight w:val="none"/>
                <w:lang w:eastAsia="zh-CN"/>
              </w:rPr>
              <w:t>浑浊有明显</w:t>
            </w:r>
            <w:r>
              <w:rPr>
                <w:rFonts w:hint="eastAsia" w:ascii="仿宋" w:hAnsi="仿宋" w:eastAsia="仿宋" w:cs="仿宋"/>
                <w:color w:val="auto"/>
                <w:sz w:val="24"/>
                <w:szCs w:val="24"/>
                <w:highlight w:val="none"/>
              </w:rPr>
              <w:t>异味；鱼眼</w:t>
            </w:r>
            <w:r>
              <w:rPr>
                <w:rFonts w:hint="eastAsia" w:ascii="仿宋" w:hAnsi="仿宋" w:eastAsia="仿宋" w:cs="仿宋"/>
                <w:color w:val="auto"/>
                <w:sz w:val="24"/>
                <w:szCs w:val="24"/>
                <w:highlight w:val="none"/>
                <w:lang w:eastAsia="zh-CN"/>
              </w:rPr>
              <w:t>凹陷</w:t>
            </w:r>
            <w:r>
              <w:rPr>
                <w:rFonts w:hint="eastAsia" w:ascii="仿宋" w:hAnsi="仿宋" w:eastAsia="仿宋" w:cs="仿宋"/>
                <w:color w:val="auto"/>
                <w:sz w:val="24"/>
                <w:szCs w:val="24"/>
                <w:highlight w:val="none"/>
              </w:rPr>
              <w:t>，角膜</w:t>
            </w:r>
            <w:r>
              <w:rPr>
                <w:rFonts w:hint="eastAsia" w:ascii="仿宋" w:hAnsi="仿宋" w:eastAsia="仿宋" w:cs="仿宋"/>
                <w:color w:val="auto"/>
                <w:sz w:val="24"/>
                <w:szCs w:val="24"/>
                <w:highlight w:val="none"/>
                <w:lang w:eastAsia="zh-CN"/>
              </w:rPr>
              <w:t>浑浊</w:t>
            </w:r>
            <w:r>
              <w:rPr>
                <w:rFonts w:hint="eastAsia" w:ascii="仿宋" w:hAnsi="仿宋" w:eastAsia="仿宋" w:cs="仿宋"/>
                <w:color w:val="auto"/>
                <w:sz w:val="24"/>
                <w:szCs w:val="24"/>
                <w:highlight w:val="none"/>
              </w:rPr>
              <w:t>；腹部呈</w:t>
            </w:r>
            <w:r>
              <w:rPr>
                <w:rFonts w:hint="eastAsia" w:ascii="仿宋" w:hAnsi="仿宋" w:eastAsia="仿宋" w:cs="仿宋"/>
                <w:color w:val="auto"/>
                <w:sz w:val="24"/>
                <w:szCs w:val="24"/>
                <w:highlight w:val="none"/>
                <w:lang w:eastAsia="zh-CN"/>
              </w:rPr>
              <w:t>灰色</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有明显</w:t>
            </w:r>
            <w:r>
              <w:rPr>
                <w:rFonts w:hint="eastAsia" w:ascii="仿宋" w:hAnsi="仿宋" w:eastAsia="仿宋" w:cs="仿宋"/>
                <w:color w:val="auto"/>
                <w:sz w:val="24"/>
                <w:szCs w:val="24"/>
                <w:highlight w:val="none"/>
              </w:rPr>
              <w:t>异味。</w:t>
            </w:r>
          </w:p>
        </w:tc>
      </w:tr>
      <w:tr w14:paraId="44F5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center"/>
          </w:tcPr>
          <w:p w14:paraId="11E2CA97">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p>
        </w:tc>
        <w:tc>
          <w:tcPr>
            <w:tcW w:w="885" w:type="dxa"/>
            <w:noWrap w:val="0"/>
            <w:vAlign w:val="center"/>
          </w:tcPr>
          <w:p w14:paraId="130B643A">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螃蟹类</w:t>
            </w:r>
          </w:p>
        </w:tc>
        <w:tc>
          <w:tcPr>
            <w:tcW w:w="2873" w:type="dxa"/>
            <w:noWrap w:val="0"/>
            <w:vAlign w:val="center"/>
          </w:tcPr>
          <w:p w14:paraId="2F78C4AA">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蟹腿坚实肥壮，脐部饱满，翻扣地上很快能翻转过来，外壳洁净。提供相关进货渠道和合格检验证明。</w:t>
            </w:r>
          </w:p>
        </w:tc>
        <w:tc>
          <w:tcPr>
            <w:tcW w:w="3758" w:type="dxa"/>
            <w:noWrap w:val="0"/>
            <w:vAlign w:val="center"/>
          </w:tcPr>
          <w:p w14:paraId="48056538">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蟹腿</w:t>
            </w:r>
            <w:r>
              <w:rPr>
                <w:rFonts w:hint="eastAsia" w:ascii="仿宋" w:hAnsi="仿宋" w:eastAsia="仿宋" w:cs="仿宋"/>
                <w:color w:val="auto"/>
                <w:sz w:val="24"/>
                <w:szCs w:val="24"/>
                <w:highlight w:val="none"/>
                <w:lang w:eastAsia="zh-CN"/>
              </w:rPr>
              <w:t>干瘪且呈空腔</w:t>
            </w:r>
            <w:r>
              <w:rPr>
                <w:rFonts w:hint="eastAsia" w:ascii="仿宋" w:hAnsi="仿宋" w:eastAsia="仿宋" w:cs="仿宋"/>
                <w:color w:val="auto"/>
                <w:sz w:val="24"/>
                <w:szCs w:val="24"/>
                <w:highlight w:val="none"/>
              </w:rPr>
              <w:t>，脐部</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饱满，翻扣地上</w:t>
            </w:r>
            <w:r>
              <w:rPr>
                <w:rFonts w:hint="eastAsia" w:ascii="仿宋" w:hAnsi="仿宋" w:eastAsia="仿宋" w:cs="仿宋"/>
                <w:color w:val="auto"/>
                <w:sz w:val="24"/>
                <w:szCs w:val="24"/>
                <w:highlight w:val="none"/>
                <w:lang w:eastAsia="zh-CN"/>
              </w:rPr>
              <w:t>无反应</w:t>
            </w:r>
            <w:r>
              <w:rPr>
                <w:rFonts w:hint="eastAsia" w:ascii="仿宋" w:hAnsi="仿宋" w:eastAsia="仿宋" w:cs="仿宋"/>
                <w:color w:val="auto"/>
                <w:sz w:val="24"/>
                <w:szCs w:val="24"/>
                <w:highlight w:val="none"/>
              </w:rPr>
              <w:t>，外壳</w:t>
            </w:r>
            <w:r>
              <w:rPr>
                <w:rFonts w:hint="eastAsia" w:ascii="仿宋" w:hAnsi="仿宋" w:eastAsia="仿宋" w:cs="仿宋"/>
                <w:color w:val="auto"/>
                <w:sz w:val="24"/>
                <w:szCs w:val="24"/>
                <w:highlight w:val="none"/>
                <w:lang w:eastAsia="zh-CN"/>
              </w:rPr>
              <w:t>污浊</w:t>
            </w:r>
            <w:r>
              <w:rPr>
                <w:rFonts w:hint="eastAsia" w:ascii="仿宋" w:hAnsi="仿宋" w:eastAsia="仿宋" w:cs="仿宋"/>
                <w:color w:val="auto"/>
                <w:sz w:val="24"/>
                <w:szCs w:val="24"/>
                <w:highlight w:val="none"/>
              </w:rPr>
              <w:t>。</w:t>
            </w:r>
          </w:p>
        </w:tc>
      </w:tr>
      <w:tr w14:paraId="2135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center"/>
          </w:tcPr>
          <w:p w14:paraId="2C64D374">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p>
        </w:tc>
        <w:tc>
          <w:tcPr>
            <w:tcW w:w="885" w:type="dxa"/>
            <w:noWrap w:val="0"/>
            <w:vAlign w:val="center"/>
          </w:tcPr>
          <w:p w14:paraId="22CB276C">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虾类</w:t>
            </w:r>
          </w:p>
        </w:tc>
        <w:tc>
          <w:tcPr>
            <w:tcW w:w="2873" w:type="dxa"/>
            <w:noWrap w:val="0"/>
            <w:vAlign w:val="center"/>
          </w:tcPr>
          <w:p w14:paraId="64113044">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头尾完整，有一定弯曲度，肉质坚实，虾壳呈青灰色。提供相关进货渠道和合格检验证明。</w:t>
            </w:r>
          </w:p>
        </w:tc>
        <w:tc>
          <w:tcPr>
            <w:tcW w:w="3758" w:type="dxa"/>
            <w:noWrap w:val="0"/>
            <w:vAlign w:val="center"/>
          </w:tcPr>
          <w:p w14:paraId="2668DA1E">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头尾</w:t>
            </w:r>
            <w:r>
              <w:rPr>
                <w:rFonts w:hint="eastAsia" w:ascii="仿宋" w:hAnsi="仿宋" w:eastAsia="仿宋" w:cs="仿宋"/>
                <w:color w:val="auto"/>
                <w:sz w:val="24"/>
                <w:szCs w:val="24"/>
                <w:highlight w:val="none"/>
                <w:lang w:eastAsia="zh-CN"/>
              </w:rPr>
              <w:t>分离或缺失</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虾体完全弯曲</w:t>
            </w:r>
            <w:r>
              <w:rPr>
                <w:rFonts w:hint="eastAsia" w:ascii="仿宋" w:hAnsi="仿宋" w:eastAsia="仿宋" w:cs="仿宋"/>
                <w:color w:val="auto"/>
                <w:sz w:val="24"/>
                <w:szCs w:val="24"/>
                <w:highlight w:val="none"/>
              </w:rPr>
              <w:t>，肉质</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坚实，虾壳呈</w:t>
            </w:r>
            <w:r>
              <w:rPr>
                <w:rFonts w:hint="eastAsia" w:ascii="仿宋" w:hAnsi="仿宋" w:eastAsia="仿宋" w:cs="仿宋"/>
                <w:color w:val="auto"/>
                <w:sz w:val="24"/>
                <w:szCs w:val="24"/>
                <w:highlight w:val="none"/>
                <w:lang w:eastAsia="zh-CN"/>
              </w:rPr>
              <w:t>浑浊</w:t>
            </w:r>
            <w:r>
              <w:rPr>
                <w:rFonts w:hint="eastAsia" w:ascii="仿宋" w:hAnsi="仿宋" w:eastAsia="仿宋" w:cs="仿宋"/>
                <w:color w:val="auto"/>
                <w:sz w:val="24"/>
                <w:szCs w:val="24"/>
                <w:highlight w:val="none"/>
              </w:rPr>
              <w:t>色。</w:t>
            </w:r>
          </w:p>
        </w:tc>
      </w:tr>
      <w:tr w14:paraId="45CE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restart"/>
            <w:noWrap w:val="0"/>
            <w:vAlign w:val="center"/>
          </w:tcPr>
          <w:p w14:paraId="5A7F02C1">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粮油</w:t>
            </w:r>
          </w:p>
        </w:tc>
        <w:tc>
          <w:tcPr>
            <w:tcW w:w="885" w:type="dxa"/>
            <w:noWrap w:val="0"/>
            <w:vAlign w:val="center"/>
          </w:tcPr>
          <w:p w14:paraId="46191E01">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米</w:t>
            </w:r>
          </w:p>
        </w:tc>
        <w:tc>
          <w:tcPr>
            <w:tcW w:w="2873" w:type="dxa"/>
            <w:noWrap w:val="0"/>
            <w:vAlign w:val="center"/>
          </w:tcPr>
          <w:p w14:paraId="1E3AB4CF">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3CD1FDE4">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(1)无品名、产地、厂名、生产日期、保质期及中文标识及原料说明的定型包装食品，</w:t>
            </w:r>
            <w:r>
              <w:rPr>
                <w:rFonts w:hint="eastAsia" w:ascii="仿宋" w:hAnsi="仿宋" w:eastAsia="仿宋" w:cs="仿宋"/>
                <w:color w:val="auto"/>
                <w:kern w:val="0"/>
                <w:sz w:val="24"/>
                <w:szCs w:val="24"/>
                <w:highlight w:val="none"/>
              </w:rPr>
              <w:t>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2C782C2D">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(2)超过保质期限或不符合食品标签规定的包装食品。</w:t>
            </w:r>
          </w:p>
          <w:p w14:paraId="6EA66D32">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(3)腐败变质,油脂酸败,霉变,生虫,污秽不洁, 混有异物或者其他感官性状异常,含有毒,有害物质污染,可能对人体健康有害的食品。</w:t>
            </w:r>
          </w:p>
        </w:tc>
      </w:tr>
      <w:tr w14:paraId="6CC1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center"/>
          </w:tcPr>
          <w:p w14:paraId="6050ADA0">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p>
        </w:tc>
        <w:tc>
          <w:tcPr>
            <w:tcW w:w="885" w:type="dxa"/>
            <w:noWrap w:val="0"/>
            <w:vAlign w:val="center"/>
          </w:tcPr>
          <w:p w14:paraId="11D1393B">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面</w:t>
            </w:r>
          </w:p>
        </w:tc>
        <w:tc>
          <w:tcPr>
            <w:tcW w:w="2873" w:type="dxa"/>
            <w:noWrap w:val="0"/>
            <w:vAlign w:val="center"/>
          </w:tcPr>
          <w:p w14:paraId="55881F8F">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提供的各类货品，证新鲜度注意保质期，外包装清洁卫生，完整坚固，且包装上的商品名 称、厂址、规格等与内容物相符，标示清晰，批次清楚。</w:t>
            </w:r>
          </w:p>
        </w:tc>
        <w:tc>
          <w:tcPr>
            <w:tcW w:w="3758" w:type="dxa"/>
            <w:noWrap w:val="0"/>
            <w:vAlign w:val="center"/>
          </w:tcPr>
          <w:p w14:paraId="3E25B777">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(1)无品名、产地、厂名、生产日期、保质期及中文标识及原料说明的定型包装食品，</w:t>
            </w:r>
            <w:r>
              <w:rPr>
                <w:rFonts w:hint="eastAsia" w:ascii="仿宋" w:hAnsi="仿宋" w:eastAsia="仿宋" w:cs="仿宋"/>
                <w:color w:val="auto"/>
                <w:kern w:val="0"/>
                <w:sz w:val="24"/>
                <w:szCs w:val="24"/>
                <w:highlight w:val="none"/>
              </w:rPr>
              <w:t>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66DFA7D8">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(2)超过保质期限或不符合食品标签规定的包装食品。</w:t>
            </w:r>
          </w:p>
          <w:p w14:paraId="33A4C36E">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(3)腐败变质,油脂酸败,霉变,生虫,污秽不洁, 混有异物或者其他感官性状异常,含有毒,有害物质污染,可能对人体健康有害的食品。</w:t>
            </w:r>
          </w:p>
        </w:tc>
      </w:tr>
      <w:tr w14:paraId="62C5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vMerge w:val="continue"/>
            <w:noWrap w:val="0"/>
            <w:vAlign w:val="center"/>
          </w:tcPr>
          <w:p w14:paraId="763CCC4E">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p>
        </w:tc>
        <w:tc>
          <w:tcPr>
            <w:tcW w:w="885" w:type="dxa"/>
            <w:noWrap w:val="0"/>
            <w:vAlign w:val="center"/>
          </w:tcPr>
          <w:p w14:paraId="004CB590">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油</w:t>
            </w:r>
          </w:p>
        </w:tc>
        <w:tc>
          <w:tcPr>
            <w:tcW w:w="2873" w:type="dxa"/>
            <w:noWrap w:val="0"/>
            <w:vAlign w:val="center"/>
          </w:tcPr>
          <w:p w14:paraId="3D2B9C62">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4A6CF786">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（1）无品名、产地、厂名、生产日期、保质期及中文标识及原料说明的定型包装食品，</w:t>
            </w:r>
            <w:r>
              <w:rPr>
                <w:rFonts w:hint="eastAsia" w:ascii="仿宋" w:hAnsi="仿宋" w:eastAsia="仿宋" w:cs="仿宋"/>
                <w:color w:val="auto"/>
                <w:kern w:val="0"/>
                <w:sz w:val="24"/>
                <w:szCs w:val="24"/>
                <w:highlight w:val="none"/>
              </w:rPr>
              <w:t>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5FCEB077">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（2）超过保质期限或不符合食品标签规定的包装食品。</w:t>
            </w:r>
          </w:p>
          <w:p w14:paraId="37BF9162">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（3）腐败变质,油脂酸败,霉变,生虫,污秽不洁, 混有异物或，者其他感官性状异常,含有毒,有害物质污染,可能对人体健康有害的食品。</w:t>
            </w:r>
          </w:p>
        </w:tc>
      </w:tr>
      <w:tr w14:paraId="0F22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742" w:type="dxa"/>
            <w:noWrap w:val="0"/>
            <w:vAlign w:val="center"/>
          </w:tcPr>
          <w:p w14:paraId="2C9F4D99">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水果类</w:t>
            </w:r>
          </w:p>
        </w:tc>
        <w:tc>
          <w:tcPr>
            <w:tcW w:w="885" w:type="dxa"/>
            <w:noWrap w:val="0"/>
            <w:vAlign w:val="center"/>
          </w:tcPr>
          <w:p w14:paraId="3A9D70FE">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各类水果</w:t>
            </w:r>
          </w:p>
        </w:tc>
        <w:tc>
          <w:tcPr>
            <w:tcW w:w="2873" w:type="dxa"/>
            <w:noWrap w:val="0"/>
            <w:vAlign w:val="center"/>
          </w:tcPr>
          <w:p w14:paraId="6D22F588">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果形端正、大小均匀，果面新鲜洁净，无病虫害，无斑点、不起皱、无裂口。提供相关进货渠道和合格检验证明。</w:t>
            </w:r>
          </w:p>
        </w:tc>
        <w:tc>
          <w:tcPr>
            <w:tcW w:w="3758" w:type="dxa"/>
            <w:noWrap w:val="0"/>
            <w:vAlign w:val="center"/>
          </w:tcPr>
          <w:p w14:paraId="0B63E46C">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不新鲜，虫害过多，大小不一。农药残留超标。</w:t>
            </w:r>
          </w:p>
        </w:tc>
      </w:tr>
      <w:tr w14:paraId="5095D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1292CB8E">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奶制品</w:t>
            </w:r>
          </w:p>
        </w:tc>
        <w:tc>
          <w:tcPr>
            <w:tcW w:w="2873" w:type="dxa"/>
            <w:noWrap w:val="0"/>
            <w:vAlign w:val="center"/>
          </w:tcPr>
          <w:p w14:paraId="50999CCA">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原料奶应为乳白色或微带黄色的均匀胶状流体，无沉淀、凝块和杂质，不得有苦、咸、涩的滋味和异色，不能有其他异常气味。</w:t>
            </w:r>
          </w:p>
        </w:tc>
        <w:tc>
          <w:tcPr>
            <w:tcW w:w="3758" w:type="dxa"/>
            <w:noWrap w:val="0"/>
            <w:vAlign w:val="center"/>
          </w:tcPr>
          <w:p w14:paraId="0360D545">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1）无品名、产地、厂名、生产日期、保质期及中文标识及原料说明的定型包装食品，无“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35E80AF6">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（2）超过保质期限或不符合食品标签规定的包装食品。</w:t>
            </w:r>
          </w:p>
          <w:p w14:paraId="57B87E67">
            <w:pPr>
              <w:keepNext w:val="0"/>
              <w:keepLines w:val="0"/>
              <w:pageBreakBefore w:val="0"/>
              <w:widowControl/>
              <w:tabs>
                <w:tab w:val="left" w:pos="851"/>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（3）</w:t>
            </w:r>
            <w:r>
              <w:rPr>
                <w:rFonts w:hint="eastAsia" w:ascii="仿宋" w:hAnsi="仿宋" w:eastAsia="仿宋" w:cs="仿宋"/>
                <w:color w:val="auto"/>
                <w:kern w:val="0"/>
                <w:sz w:val="24"/>
                <w:szCs w:val="24"/>
                <w:highlight w:val="none"/>
                <w:lang w:val="en-US" w:eastAsia="zh-CN"/>
              </w:rPr>
              <w:t>破损，</w:t>
            </w:r>
            <w:r>
              <w:rPr>
                <w:rFonts w:hint="eastAsia" w:ascii="仿宋" w:hAnsi="仿宋" w:eastAsia="仿宋" w:cs="仿宋"/>
                <w:color w:val="auto"/>
                <w:kern w:val="0"/>
                <w:sz w:val="24"/>
                <w:szCs w:val="24"/>
                <w:highlight w:val="none"/>
              </w:rPr>
              <w:t>混有异物或者其他感官性状异常,</w:t>
            </w:r>
          </w:p>
        </w:tc>
      </w:tr>
      <w:tr w14:paraId="36A1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552984DE">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副食品</w:t>
            </w:r>
          </w:p>
        </w:tc>
        <w:tc>
          <w:tcPr>
            <w:tcW w:w="2873" w:type="dxa"/>
            <w:noWrap w:val="0"/>
            <w:vAlign w:val="center"/>
          </w:tcPr>
          <w:p w14:paraId="4E7798A5">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6A19B719">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1）无品名、产地、厂名、生产日期、保质期及中文标识及原料说明的定型包装食品，无“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4FE2B6AF">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（2）超过保质期限或不符合食品标签规定的包装食品。</w:t>
            </w:r>
          </w:p>
          <w:p w14:paraId="329B35B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（3）腐败变质,油脂酸败,霉变,生虫,污秽不洁, 混有异物或者其他感官性状异常,含有毒,有害物质污染,可能对人体健康有害的食品。</w:t>
            </w:r>
          </w:p>
        </w:tc>
      </w:tr>
      <w:tr w14:paraId="3699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18C5DCC0">
            <w:pPr>
              <w:keepNext w:val="0"/>
              <w:keepLines w:val="0"/>
              <w:pageBreakBefore w:val="0"/>
              <w:tabs>
                <w:tab w:val="left" w:pos="3420"/>
              </w:tabs>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调料品类</w:t>
            </w:r>
          </w:p>
        </w:tc>
        <w:tc>
          <w:tcPr>
            <w:tcW w:w="2873" w:type="dxa"/>
            <w:noWrap w:val="0"/>
            <w:vAlign w:val="center"/>
          </w:tcPr>
          <w:p w14:paraId="2D4040A1">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1576DFE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（1）无品名、产地、厂名、生产日期、保质期及中文标识及原料说明的定型包装食品，</w:t>
            </w:r>
            <w:r>
              <w:rPr>
                <w:rFonts w:hint="eastAsia" w:ascii="仿宋" w:hAnsi="仿宋" w:eastAsia="仿宋" w:cs="仿宋"/>
                <w:color w:val="auto"/>
                <w:kern w:val="0"/>
                <w:sz w:val="24"/>
                <w:szCs w:val="24"/>
                <w:highlight w:val="none"/>
              </w:rPr>
              <w:t>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4853DCFD">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（2）超过保质期限或不符合食品标签规定的包装食品。</w:t>
            </w:r>
          </w:p>
          <w:p w14:paraId="19E5ED6B">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（3）腐败变质,油脂酸败,霉变,生虫,污秽不洁, 混有异物或，者其他感官性状异常,含有毒,有害物质污染,可能对人体健康有害的食品。</w:t>
            </w:r>
          </w:p>
        </w:tc>
      </w:tr>
      <w:tr w14:paraId="250B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4738AA3B">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豆制品</w:t>
            </w:r>
            <w:r>
              <w:rPr>
                <w:rFonts w:hint="eastAsia" w:ascii="仿宋" w:hAnsi="仿宋" w:eastAsia="仿宋" w:cs="仿宋"/>
                <w:color w:val="auto"/>
                <w:sz w:val="24"/>
                <w:szCs w:val="24"/>
                <w:highlight w:val="none"/>
                <w:lang w:val="en-US" w:eastAsia="zh-CN"/>
              </w:rPr>
              <w:t>类</w:t>
            </w:r>
          </w:p>
        </w:tc>
        <w:tc>
          <w:tcPr>
            <w:tcW w:w="2873" w:type="dxa"/>
            <w:noWrap w:val="0"/>
            <w:vAlign w:val="center"/>
          </w:tcPr>
          <w:p w14:paraId="1637C2B1">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4A870DBD">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1）无品名、产地、厂名、生产日期、保质期及中文标识及原料说明的定型包装食品，无“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0FFE620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（2）超过保质期限或不符合食品标签规定的包装食品。</w:t>
            </w:r>
          </w:p>
          <w:p w14:paraId="51FB30E5">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（3）腐败变质,油脂酸败,霉变,生虫,污秽不洁, 混有异物或，者其他感官性状异常,含有毒,有害物质污染,可能对人体健康有害的食品。</w:t>
            </w:r>
          </w:p>
        </w:tc>
      </w:tr>
      <w:tr w14:paraId="7BF3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6C2014F8">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干货类</w:t>
            </w:r>
          </w:p>
        </w:tc>
        <w:tc>
          <w:tcPr>
            <w:tcW w:w="2873" w:type="dxa"/>
            <w:noWrap w:val="0"/>
            <w:vAlign w:val="center"/>
          </w:tcPr>
          <w:p w14:paraId="731218D6">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310244AB">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1）无品名、产地、厂名、生产日期、保质期及中文标识及原料说明的定型包装食品，无“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05CD3477">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（2）超过保质期限或不符合食品标签规定的包装食品。</w:t>
            </w:r>
          </w:p>
          <w:p w14:paraId="0F71C5CE">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（3）腐败变质,油脂酸败,霉变,生虫,污秽不洁, 混有异物或者其他感官性状异常,含有毒,有害物质污染,可能对人体健康有害的食品。</w:t>
            </w:r>
          </w:p>
        </w:tc>
      </w:tr>
      <w:tr w14:paraId="2671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111" w:hRule="atLeast"/>
          <w:jc w:val="center"/>
        </w:trPr>
        <w:tc>
          <w:tcPr>
            <w:tcW w:w="1627" w:type="dxa"/>
            <w:gridSpan w:val="2"/>
            <w:noWrap w:val="0"/>
            <w:vAlign w:val="center"/>
          </w:tcPr>
          <w:p w14:paraId="348FD48B">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咸腌酱制品类</w:t>
            </w:r>
          </w:p>
        </w:tc>
        <w:tc>
          <w:tcPr>
            <w:tcW w:w="2873" w:type="dxa"/>
            <w:noWrap w:val="0"/>
            <w:vAlign w:val="center"/>
          </w:tcPr>
          <w:p w14:paraId="45198CCB">
            <w:pPr>
              <w:keepNext w:val="0"/>
              <w:keepLines w:val="0"/>
              <w:pageBreakBefore w:val="0"/>
              <w:kinsoku/>
              <w:wordWrap/>
              <w:overflowPunct/>
              <w:topLinePunct w:val="0"/>
              <w:bidi w:val="0"/>
              <w:adjustRightInd w:val="0"/>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仿宋"/>
                <w:bCs/>
                <w:color w:val="auto"/>
                <w:sz w:val="24"/>
                <w:szCs w:val="24"/>
                <w:highlight w:val="none"/>
              </w:rPr>
              <w:t>产品必须保证新鲜度，无腐败变质，油脂酸败，霉变，生虫，污秽不洁，混有异物或者其他感官性状异常。产品在常温下交货时的剩余保质期应不低于3个月。</w:t>
            </w:r>
          </w:p>
        </w:tc>
        <w:tc>
          <w:tcPr>
            <w:tcW w:w="3758" w:type="dxa"/>
            <w:noWrap w:val="0"/>
            <w:vAlign w:val="center"/>
          </w:tcPr>
          <w:p w14:paraId="2AA4A38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腐败变质,油脂酸败,霉变,生虫,污秽不洁, 混有异物或者其他感官性状异常,含有毒,有害物质污染,可能对人体健康有害的食品。</w:t>
            </w:r>
          </w:p>
        </w:tc>
      </w:tr>
      <w:tr w14:paraId="3487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057389E5">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预包装食品类</w:t>
            </w:r>
          </w:p>
        </w:tc>
        <w:tc>
          <w:tcPr>
            <w:tcW w:w="2873" w:type="dxa"/>
            <w:noWrap w:val="0"/>
            <w:vAlign w:val="center"/>
          </w:tcPr>
          <w:p w14:paraId="72A23709">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提供的各类货品，保证新鲜度，注意保质期，外包装清洁卫生，完整坚固，且包装上的商品名称、厂址、规格等与内容物相符，标示清晰，批次清楚。</w:t>
            </w:r>
          </w:p>
        </w:tc>
        <w:tc>
          <w:tcPr>
            <w:tcW w:w="3758" w:type="dxa"/>
            <w:noWrap w:val="0"/>
            <w:vAlign w:val="center"/>
          </w:tcPr>
          <w:p w14:paraId="1330681A">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1）无品名、产地、厂名、生产日期、保质期及中文标识及原料说明的定型包装食品，无“</w:t>
            </w:r>
            <w:r>
              <w:rPr>
                <w:rFonts w:hint="eastAsia" w:ascii="仿宋" w:hAnsi="仿宋" w:eastAsia="仿宋" w:cs="仿宋"/>
                <w:color w:val="auto"/>
                <w:kern w:val="0"/>
                <w:sz w:val="24"/>
                <w:szCs w:val="24"/>
                <w:highlight w:val="none"/>
                <w:lang w:val="en-US" w:eastAsia="zh-CN"/>
              </w:rPr>
              <w:t>SC</w:t>
            </w:r>
            <w:r>
              <w:rPr>
                <w:rFonts w:hint="eastAsia" w:ascii="仿宋" w:hAnsi="仿宋" w:eastAsia="仿宋" w:cs="仿宋"/>
                <w:color w:val="auto"/>
                <w:kern w:val="0"/>
                <w:sz w:val="24"/>
                <w:szCs w:val="24"/>
                <w:highlight w:val="none"/>
              </w:rPr>
              <w:t>”产品。</w:t>
            </w:r>
          </w:p>
          <w:p w14:paraId="6989BEE1">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（2）超过保质期限或不符合食品标签规定的包装食品。</w:t>
            </w:r>
          </w:p>
          <w:p w14:paraId="153DADC8">
            <w:pPr>
              <w:keepNext w:val="0"/>
              <w:keepLines w:val="0"/>
              <w:pageBreakBefore w:val="0"/>
              <w:tabs>
                <w:tab w:val="left" w:pos="3420"/>
              </w:tabs>
              <w:kinsoku/>
              <w:wordWrap/>
              <w:overflowPunct/>
              <w:topLinePunct w:val="0"/>
              <w:autoSpaceDE/>
              <w:autoSpaceDN/>
              <w:bidi w:val="0"/>
              <w:adjustRightInd w:val="0"/>
              <w:snapToGrid/>
              <w:spacing w:line="240" w:lineRule="auto"/>
              <w:jc w:val="both"/>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（3）腐败变质,油脂酸败,霉变,生虫,污秽不洁, 混有异物或者其他感官性状异常,含有毒,有害物质污染,可能对人体健康有害的食品。</w:t>
            </w:r>
          </w:p>
        </w:tc>
      </w:tr>
      <w:tr w14:paraId="2428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09" w:hRule="atLeast"/>
          <w:jc w:val="center"/>
        </w:trPr>
        <w:tc>
          <w:tcPr>
            <w:tcW w:w="1627" w:type="dxa"/>
            <w:gridSpan w:val="2"/>
            <w:noWrap w:val="0"/>
            <w:vAlign w:val="center"/>
          </w:tcPr>
          <w:p w14:paraId="51B43701">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冻品类</w:t>
            </w:r>
          </w:p>
        </w:tc>
        <w:tc>
          <w:tcPr>
            <w:tcW w:w="2873" w:type="dxa"/>
            <w:noWrap w:val="0"/>
            <w:vAlign w:val="center"/>
          </w:tcPr>
          <w:p w14:paraId="0412C2B4">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符合网上公示的品牌；包装完整并有生产厂址和生产日期；有产品防疫检疫合格证明及防疫要求的合格证明。不超过保质期限的三分之二。不注水（氢氧化水浸泡）、不包冰。</w:t>
            </w:r>
          </w:p>
        </w:tc>
        <w:tc>
          <w:tcPr>
            <w:tcW w:w="3758" w:type="dxa"/>
            <w:noWrap w:val="0"/>
            <w:vAlign w:val="center"/>
          </w:tcPr>
          <w:p w14:paraId="6C3D11FD">
            <w:pPr>
              <w:keepNext w:val="0"/>
              <w:keepLines w:val="0"/>
              <w:pageBreakBefore w:val="0"/>
              <w:tabs>
                <w:tab w:val="left" w:pos="3420"/>
              </w:tabs>
              <w:kinsoku/>
              <w:wordWrap/>
              <w:overflowPunct/>
              <w:topLinePunct w:val="0"/>
              <w:autoSpaceDE/>
              <w:autoSpaceDN/>
              <w:bidi w:val="0"/>
              <w:adjustRightInd w:val="0"/>
              <w:snapToGrid/>
              <w:spacing w:line="240" w:lineRule="auto"/>
              <w:ind w:right="0" w:rightChars="0"/>
              <w:jc w:val="both"/>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符合网上公示的品牌；包装</w:t>
            </w:r>
            <w:r>
              <w:rPr>
                <w:rFonts w:hint="eastAsia" w:ascii="仿宋" w:hAnsi="仿宋" w:eastAsia="仿宋" w:cs="仿宋"/>
                <w:color w:val="auto"/>
                <w:sz w:val="24"/>
                <w:szCs w:val="24"/>
                <w:highlight w:val="none"/>
                <w:lang w:eastAsia="zh-CN"/>
              </w:rPr>
              <w:t>不</w:t>
            </w:r>
            <w:r>
              <w:rPr>
                <w:rFonts w:hint="eastAsia" w:ascii="仿宋" w:hAnsi="仿宋" w:eastAsia="仿宋" w:cs="仿宋"/>
                <w:color w:val="auto"/>
                <w:sz w:val="24"/>
                <w:szCs w:val="24"/>
                <w:highlight w:val="none"/>
              </w:rPr>
              <w:t>完整</w:t>
            </w:r>
            <w:r>
              <w:rPr>
                <w:rFonts w:hint="eastAsia" w:ascii="仿宋" w:hAnsi="仿宋" w:eastAsia="仿宋" w:cs="仿宋"/>
                <w:color w:val="auto"/>
                <w:sz w:val="24"/>
                <w:szCs w:val="24"/>
                <w:highlight w:val="none"/>
                <w:lang w:eastAsia="zh-CN"/>
              </w:rPr>
              <w:t>且没</w:t>
            </w:r>
            <w:r>
              <w:rPr>
                <w:rFonts w:hint="eastAsia" w:ascii="仿宋" w:hAnsi="仿宋" w:eastAsia="仿宋" w:cs="仿宋"/>
                <w:color w:val="auto"/>
                <w:sz w:val="24"/>
                <w:szCs w:val="24"/>
                <w:highlight w:val="none"/>
              </w:rPr>
              <w:t>有生产厂址和生产日期；</w:t>
            </w:r>
            <w:r>
              <w:rPr>
                <w:rFonts w:hint="eastAsia" w:ascii="仿宋" w:hAnsi="仿宋" w:eastAsia="仿宋" w:cs="仿宋"/>
                <w:color w:val="auto"/>
                <w:sz w:val="24"/>
                <w:szCs w:val="24"/>
                <w:highlight w:val="none"/>
                <w:lang w:eastAsia="zh-CN"/>
              </w:rPr>
              <w:t>不具</w:t>
            </w:r>
            <w:r>
              <w:rPr>
                <w:rFonts w:hint="eastAsia" w:ascii="仿宋" w:hAnsi="仿宋" w:eastAsia="仿宋" w:cs="仿宋"/>
                <w:color w:val="auto"/>
                <w:sz w:val="24"/>
                <w:szCs w:val="24"/>
                <w:highlight w:val="none"/>
              </w:rPr>
              <w:t>有产品防疫检疫合格证明及防疫要求的合格证明。超过保质期限的三分之二。注水</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包冰。</w:t>
            </w:r>
          </w:p>
        </w:tc>
      </w:tr>
    </w:tbl>
    <w:p w14:paraId="6BFA5DD6">
      <w:pPr>
        <w:snapToGrid w:val="0"/>
        <w:spacing w:line="440" w:lineRule="exact"/>
        <w:ind w:firstLine="643" w:firstLineChars="200"/>
        <w:jc w:val="center"/>
        <w:rPr>
          <w:rFonts w:hint="eastAsia" w:ascii="仿宋" w:hAnsi="仿宋" w:eastAsia="仿宋" w:cs="仿宋_GB2312"/>
          <w:b/>
          <w:color w:val="000000" w:themeColor="text1"/>
          <w:sz w:val="32"/>
          <w:highlight w:val="none"/>
          <w14:textFill>
            <w14:solidFill>
              <w14:schemeClr w14:val="tx1"/>
            </w14:solidFill>
          </w14:textFill>
        </w:rPr>
      </w:pPr>
    </w:p>
    <w:p w14:paraId="4B9C099B">
      <w:pPr>
        <w:snapToGrid w:val="0"/>
        <w:spacing w:line="440" w:lineRule="exact"/>
        <w:ind w:firstLine="643" w:firstLineChars="200"/>
        <w:jc w:val="center"/>
        <w:rPr>
          <w:rFonts w:ascii="仿宋" w:hAnsi="仿宋" w:eastAsia="仿宋"/>
          <w:b/>
          <w:color w:val="000000" w:themeColor="text1"/>
          <w:sz w:val="28"/>
          <w:szCs w:val="28"/>
          <w:highlight w:val="none"/>
          <w14:textFill>
            <w14:solidFill>
              <w14:schemeClr w14:val="tx1"/>
            </w14:solidFill>
          </w14:textFill>
        </w:rPr>
      </w:pPr>
      <w:r>
        <w:rPr>
          <w:rFonts w:hint="eastAsia" w:ascii="仿宋" w:hAnsi="仿宋" w:eastAsia="仿宋" w:cs="仿宋_GB2312"/>
          <w:b/>
          <w:color w:val="000000" w:themeColor="text1"/>
          <w:sz w:val="32"/>
          <w:highlight w:val="none"/>
          <w14:textFill>
            <w14:solidFill>
              <w14:schemeClr w14:val="tx1"/>
            </w14:solidFill>
          </w14:textFill>
        </w:rPr>
        <w:t>二、商务要求</w:t>
      </w:r>
    </w:p>
    <w:p w14:paraId="29E2469A">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2.1服务期限</w:t>
      </w:r>
    </w:p>
    <w:p w14:paraId="24364B20">
      <w:pPr>
        <w:widowControl/>
        <w:snapToGrid w:val="0"/>
        <w:spacing w:line="420" w:lineRule="exact"/>
        <w:ind w:firstLine="480" w:firstLineChars="200"/>
        <w:rPr>
          <w:rFonts w:ascii="仿宋_GB2312" w:hAnsi="仿宋" w:eastAsia="仿宋_GB2312" w:cs="Helvetica"/>
          <w:color w:val="000000" w:themeColor="text1"/>
          <w:kern w:val="0"/>
          <w:sz w:val="24"/>
          <w:highlight w:val="none"/>
          <w14:textFill>
            <w14:solidFill>
              <w14:schemeClr w14:val="tx1"/>
            </w14:solidFill>
          </w14:textFill>
        </w:rPr>
      </w:pPr>
      <w:r>
        <w:rPr>
          <w:rFonts w:hint="eastAsia" w:ascii="仿宋_GB2312" w:hAnsi="仿宋" w:eastAsia="仿宋_GB2312" w:cs="Helvetica"/>
          <w:color w:val="000000" w:themeColor="text1"/>
          <w:kern w:val="0"/>
          <w:sz w:val="24"/>
          <w:highlight w:val="none"/>
          <w14:textFill>
            <w14:solidFill>
              <w14:schemeClr w14:val="tx1"/>
            </w14:solidFill>
          </w14:textFill>
        </w:rPr>
        <w:t>合同期为</w:t>
      </w:r>
      <w:r>
        <w:rPr>
          <w:rFonts w:hint="eastAsia" w:ascii="仿宋_GB2312" w:hAnsi="仿宋" w:eastAsia="仿宋_GB2312" w:cs="Helvetica"/>
          <w:color w:val="000000" w:themeColor="text1"/>
          <w:kern w:val="0"/>
          <w:sz w:val="24"/>
          <w:highlight w:val="none"/>
          <w:lang w:val="en-US" w:eastAsia="zh-CN"/>
          <w14:textFill>
            <w14:solidFill>
              <w14:schemeClr w14:val="tx1"/>
            </w14:solidFill>
          </w14:textFill>
        </w:rPr>
        <w:t>一</w:t>
      </w:r>
      <w:r>
        <w:rPr>
          <w:rFonts w:hint="eastAsia" w:ascii="仿宋_GB2312" w:hAnsi="仿宋" w:eastAsia="仿宋_GB2312" w:cs="Helvetica"/>
          <w:color w:val="000000" w:themeColor="text1"/>
          <w:kern w:val="0"/>
          <w:sz w:val="24"/>
          <w:highlight w:val="none"/>
          <w14:textFill>
            <w14:solidFill>
              <w14:schemeClr w14:val="tx1"/>
            </w14:solidFill>
          </w14:textFill>
        </w:rPr>
        <w:t>年。</w:t>
      </w:r>
    </w:p>
    <w:p w14:paraId="43BE44ED">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2.2质量要求</w:t>
      </w:r>
    </w:p>
    <w:p w14:paraId="696C9C3E">
      <w:pPr>
        <w:widowControl/>
        <w:snapToGrid w:val="0"/>
        <w:spacing w:line="420" w:lineRule="exact"/>
        <w:ind w:firstLine="480" w:firstLineChars="200"/>
        <w:rPr>
          <w:rFonts w:ascii="仿宋_GB2312" w:hAnsi="仿宋" w:eastAsia="仿宋_GB2312" w:cs="Helvetica"/>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优质服务且必须符合国家法律法规、行业标准及本表文所有条款要求。</w:t>
      </w:r>
    </w:p>
    <w:p w14:paraId="059E6D2C">
      <w:pPr>
        <w:widowControl/>
        <w:snapToGrid w:val="0"/>
        <w:spacing w:line="420" w:lineRule="exact"/>
        <w:ind w:firstLine="480" w:firstLineChars="200"/>
        <w:rPr>
          <w:rFonts w:asci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sz w:val="24"/>
          <w:highlight w:val="none"/>
          <w14:textFill>
            <w14:solidFill>
              <w14:schemeClr w14:val="tx1"/>
            </w14:solidFill>
          </w14:textFill>
        </w:rPr>
        <w:t>2.3数量调整</w:t>
      </w:r>
    </w:p>
    <w:p w14:paraId="115DDDC1">
      <w:pPr>
        <w:widowControl/>
        <w:snapToGrid w:val="0"/>
        <w:spacing w:line="420" w:lineRule="exact"/>
        <w:ind w:firstLine="480" w:firstLineChars="200"/>
        <w:rPr>
          <w:rFonts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14:textFill>
            <w14:solidFill>
              <w14:schemeClr w14:val="tx1"/>
            </w14:solidFill>
          </w14:textFill>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2C422D3C">
      <w:pPr>
        <w:widowControl/>
        <w:snapToGrid w:val="0"/>
        <w:spacing w:line="420" w:lineRule="exact"/>
        <w:ind w:firstLine="480" w:firstLineChars="200"/>
        <w:rPr>
          <w:rFonts w:ascii="仿宋" w:eastAsia="仿宋"/>
          <w:b/>
          <w:bCs/>
          <w:color w:val="000000" w:themeColor="text1"/>
          <w:kern w:val="0"/>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w:t>
      </w:r>
      <w:r>
        <w:rPr>
          <w:rFonts w:hint="eastAsia" w:ascii="仿宋" w:eastAsia="仿宋"/>
          <w:b/>
          <w:bCs/>
          <w:color w:val="000000" w:themeColor="text1"/>
          <w:kern w:val="0"/>
          <w:sz w:val="24"/>
          <w:highlight w:val="none"/>
          <w14:textFill>
            <w14:solidFill>
              <w14:schemeClr w14:val="tx1"/>
            </w14:solidFill>
          </w14:textFill>
        </w:rPr>
        <w:t>2.4付款方式</w:t>
      </w:r>
    </w:p>
    <w:p w14:paraId="7C920E7E">
      <w:pPr>
        <w:widowControl/>
        <w:snapToGrid w:val="0"/>
        <w:spacing w:line="420" w:lineRule="exact"/>
        <w:ind w:firstLine="480" w:firstLineChars="200"/>
        <w:rPr>
          <w:rFonts w:hint="default" w:ascii="仿宋" w:eastAsia="仿宋"/>
          <w:color w:val="000000" w:themeColor="text1"/>
          <w:kern w:val="0"/>
          <w:sz w:val="24"/>
          <w:highlight w:val="none"/>
          <w:lang w:val="en-US"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2.4.1本项目不支付预付款。</w:t>
      </w:r>
    </w:p>
    <w:p w14:paraId="43083BAD">
      <w:pPr>
        <w:widowControl/>
        <w:snapToGrid w:val="0"/>
        <w:spacing w:line="420" w:lineRule="exact"/>
        <w:ind w:firstLine="480" w:firstLineChars="200"/>
        <w:rPr>
          <w:rFonts w:hint="eastAsia" w:ascii="仿宋" w:eastAsia="仿宋"/>
          <w:color w:val="000000" w:themeColor="text1"/>
          <w:kern w:val="0"/>
          <w:sz w:val="24"/>
          <w:highlight w:val="none"/>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2.4.2</w:t>
      </w:r>
      <w:r>
        <w:rPr>
          <w:rFonts w:hint="eastAsia" w:ascii="仿宋" w:eastAsia="仿宋"/>
          <w:color w:val="000000" w:themeColor="text1"/>
          <w:kern w:val="0"/>
          <w:sz w:val="24"/>
          <w:highlight w:val="none"/>
          <w14:textFill>
            <w14:solidFill>
              <w14:schemeClr w14:val="tx1"/>
            </w14:solidFill>
          </w14:textFill>
        </w:rPr>
        <w:t>从服务开始之日起，费用按月结算，次月1日对账，对账无误后，根据结算单足额开具国税局认定的正规发票，采购人验证无误后付款。</w:t>
      </w:r>
    </w:p>
    <w:p w14:paraId="37C6974E">
      <w:pPr>
        <w:widowControl/>
        <w:snapToGrid w:val="0"/>
        <w:spacing w:line="420" w:lineRule="exact"/>
        <w:ind w:firstLine="480" w:firstLineChars="200"/>
        <w:rPr>
          <w:rFonts w:hint="eastAsia" w:ascii="仿宋" w:eastAsia="仿宋"/>
          <w:color w:val="000000" w:themeColor="text1"/>
          <w:kern w:val="0"/>
          <w:sz w:val="24"/>
          <w:highlight w:val="none"/>
          <w:lang w:eastAsia="zh-CN"/>
          <w14:textFill>
            <w14:solidFill>
              <w14:schemeClr w14:val="tx1"/>
            </w14:solidFill>
          </w14:textFill>
        </w:rPr>
      </w:pPr>
      <w:r>
        <w:rPr>
          <w:rFonts w:hint="eastAsia" w:ascii="仿宋" w:eastAsia="仿宋"/>
          <w:color w:val="000000" w:themeColor="text1"/>
          <w:kern w:val="0"/>
          <w:sz w:val="24"/>
          <w:highlight w:val="none"/>
          <w:lang w:val="en-US" w:eastAsia="zh-CN"/>
          <w14:textFill>
            <w14:solidFill>
              <w14:schemeClr w14:val="tx1"/>
            </w14:solidFill>
          </w14:textFill>
        </w:rPr>
        <w:t>2.4.3</w:t>
      </w:r>
      <w:r>
        <w:rPr>
          <w:rFonts w:hint="eastAsia" w:ascii="仿宋" w:eastAsia="仿宋"/>
          <w:color w:val="000000" w:themeColor="text1"/>
          <w:kern w:val="0"/>
          <w:sz w:val="24"/>
          <w:highlight w:val="none"/>
          <w14:textFill>
            <w14:solidFill>
              <w14:schemeClr w14:val="tx1"/>
            </w14:solidFill>
          </w14:textFill>
        </w:rPr>
        <w:t>涉及中小企业合同的，付款根据浙财采监〔2022〕3号文件相关规定执行</w:t>
      </w:r>
      <w:r>
        <w:rPr>
          <w:rFonts w:hint="eastAsia" w:ascii="仿宋" w:eastAsia="仿宋"/>
          <w:color w:val="000000" w:themeColor="text1"/>
          <w:kern w:val="0"/>
          <w:sz w:val="24"/>
          <w:highlight w:val="none"/>
          <w:lang w:eastAsia="zh-CN"/>
          <w14:textFill>
            <w14:solidFill>
              <w14:schemeClr w14:val="tx1"/>
            </w14:solidFill>
          </w14:textFill>
        </w:rPr>
        <w:t>。</w:t>
      </w:r>
    </w:p>
    <w:p w14:paraId="17A70AA8">
      <w:pPr>
        <w:adjustRightInd/>
        <w:spacing w:line="42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★2.5违约责任</w:t>
      </w:r>
    </w:p>
    <w:p w14:paraId="1A15D90C">
      <w:pPr>
        <w:pStyle w:val="23"/>
        <w:spacing w:line="420" w:lineRule="exact"/>
        <w:ind w:firstLine="480" w:firstLineChars="200"/>
        <w:rPr>
          <w:rFonts w:ascii="仿宋" w:hAnsi="Times New Roman" w:eastAsia="仿宋" w:cs="Times New Roman"/>
          <w:snapToGrid/>
          <w:color w:val="000000" w:themeColor="text1"/>
          <w:kern w:val="0"/>
          <w:szCs w:val="24"/>
          <w:highlight w:val="none"/>
          <w:lang w:val="en-US"/>
          <w14:textFill>
            <w14:solidFill>
              <w14:schemeClr w14:val="tx1"/>
            </w14:solidFill>
          </w14:textFill>
        </w:rPr>
      </w:pPr>
      <w:r>
        <w:rPr>
          <w:rFonts w:hint="eastAsia" w:ascii="仿宋" w:hAnsi="Times New Roman" w:eastAsia="仿宋" w:cs="Times New Roman"/>
          <w:snapToGrid/>
          <w:color w:val="000000" w:themeColor="text1"/>
          <w:kern w:val="0"/>
          <w:szCs w:val="24"/>
          <w:highlight w:val="none"/>
          <w:lang w:val="en-US"/>
          <w14:textFill>
            <w14:solidFill>
              <w14:schemeClr w14:val="tx1"/>
            </w14:solidFill>
          </w14:textFill>
        </w:rPr>
        <w:t>2.5.1若中标人违反合同规定导致本合同无法履行，招标人有权终止合同，并对由此造成的损失有权要求赔偿。</w:t>
      </w:r>
    </w:p>
    <w:p w14:paraId="3719D23D">
      <w:pPr>
        <w:pStyle w:val="23"/>
        <w:spacing w:line="420" w:lineRule="exact"/>
        <w:ind w:firstLine="480" w:firstLineChars="200"/>
        <w:rPr>
          <w:rFonts w:ascii="仿宋" w:hAnsi="Times New Roman" w:eastAsia="仿宋" w:cs="Times New Roman"/>
          <w:snapToGrid/>
          <w:color w:val="000000" w:themeColor="text1"/>
          <w:kern w:val="0"/>
          <w:szCs w:val="24"/>
          <w:highlight w:val="none"/>
          <w:lang w:val="en-US"/>
          <w14:textFill>
            <w14:solidFill>
              <w14:schemeClr w14:val="tx1"/>
            </w14:solidFill>
          </w14:textFill>
        </w:rPr>
      </w:pPr>
      <w:r>
        <w:rPr>
          <w:rFonts w:hint="eastAsia" w:ascii="仿宋" w:hAnsi="Times New Roman" w:eastAsia="仿宋" w:cs="Times New Roman"/>
          <w:snapToGrid/>
          <w:color w:val="000000" w:themeColor="text1"/>
          <w:kern w:val="0"/>
          <w:szCs w:val="24"/>
          <w:highlight w:val="none"/>
          <w:lang w:val="en-US"/>
          <w14:textFill>
            <w14:solidFill>
              <w14:schemeClr w14:val="tx1"/>
            </w14:solidFill>
          </w14:textFill>
        </w:rPr>
        <w:t>2.5.2若因中标人违约造成对方不良社会影响或经济损失，则招标人有权追究违约方责任，并要求相应的经济赔偿，直至终止本合同。</w:t>
      </w:r>
    </w:p>
    <w:p w14:paraId="157C9311">
      <w:pP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387CEB5F">
      <w:pPr>
        <w:spacing w:line="360" w:lineRule="auto"/>
        <w:jc w:val="center"/>
        <w:outlineLvl w:val="0"/>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484F2283">
      <w:pPr>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合同编号：</w:t>
      </w:r>
    </w:p>
    <w:p w14:paraId="300855A9">
      <w:pPr>
        <w:spacing w:line="480" w:lineRule="auto"/>
        <w:jc w:val="center"/>
        <w:rPr>
          <w:rFonts w:ascii="仿宋" w:hAnsi="仿宋" w:eastAsia="仿宋" w:cs="仿宋"/>
          <w:b/>
          <w:color w:val="000000" w:themeColor="text1"/>
          <w:sz w:val="28"/>
          <w:szCs w:val="28"/>
          <w:highlight w:val="none"/>
          <w14:textFill>
            <w14:solidFill>
              <w14:schemeClr w14:val="tx1"/>
            </w14:solidFill>
          </w14:textFill>
        </w:rPr>
      </w:pPr>
    </w:p>
    <w:p w14:paraId="0DE3AA5C">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682419B8">
      <w:pPr>
        <w:spacing w:line="480" w:lineRule="auto"/>
        <w:jc w:val="center"/>
        <w:rPr>
          <w:rFonts w:ascii="仿宋" w:hAnsi="仿宋" w:eastAsia="仿宋" w:cs="仿宋"/>
          <w:b/>
          <w:color w:val="000000" w:themeColor="text1"/>
          <w:sz w:val="24"/>
          <w:highlight w:val="none"/>
          <w14:textFill>
            <w14:solidFill>
              <w14:schemeClr w14:val="tx1"/>
            </w14:solidFill>
          </w14:textFill>
        </w:rPr>
      </w:pPr>
    </w:p>
    <w:p w14:paraId="7CF7C4B4">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1F140FD6">
      <w:pPr>
        <w:spacing w:line="48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10256F02">
      <w:pPr>
        <w:pStyle w:val="79"/>
        <w:ind w:firstLine="2843" w:firstLineChars="118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第一部分 合同书</w:t>
      </w:r>
    </w:p>
    <w:p w14:paraId="0EB9779F">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2F2AEDDB">
      <w:pPr>
        <w:pStyle w:val="2"/>
        <w:rPr>
          <w:rFonts w:ascii="仿宋" w:eastAsia="仿宋" w:cs="仿宋"/>
          <w:color w:val="000000" w:themeColor="text1"/>
          <w:highlight w:val="none"/>
          <w14:textFill>
            <w14:solidFill>
              <w14:schemeClr w14:val="tx1"/>
            </w14:solidFill>
          </w14:textFill>
        </w:rPr>
      </w:pPr>
    </w:p>
    <w:p w14:paraId="35E8FD19">
      <w:pPr>
        <w:spacing w:before="120" w:line="22" w:lineRule="atLeast"/>
        <w:ind w:left="96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项目名称：</w:t>
      </w:r>
    </w:p>
    <w:p w14:paraId="182C427C">
      <w:pPr>
        <w:pStyle w:val="598"/>
        <w:spacing w:before="120" w:line="22" w:lineRule="atLeast"/>
        <w:rPr>
          <w:rFonts w:ascii="仿宋" w:hAnsi="仿宋" w:eastAsia="仿宋" w:cs="仿宋"/>
          <w:color w:val="000000" w:themeColor="text1"/>
          <w:szCs w:val="24"/>
          <w:highlight w:val="none"/>
          <w14:textFill>
            <w14:solidFill>
              <w14:schemeClr w14:val="tx1"/>
            </w14:solidFill>
          </w14:textFill>
        </w:rPr>
      </w:pPr>
    </w:p>
    <w:p w14:paraId="4B206774">
      <w:pPr>
        <w:pStyle w:val="598"/>
        <w:spacing w:before="120" w:line="22" w:lineRule="atLeast"/>
        <w:rPr>
          <w:rFonts w:ascii="仿宋" w:hAnsi="仿宋" w:eastAsia="仿宋" w:cs="仿宋"/>
          <w:color w:val="000000" w:themeColor="text1"/>
          <w:szCs w:val="24"/>
          <w:highlight w:val="none"/>
          <w14:textFill>
            <w14:solidFill>
              <w14:schemeClr w14:val="tx1"/>
            </w14:solidFill>
          </w14:textFill>
        </w:rPr>
      </w:pPr>
    </w:p>
    <w:p w14:paraId="6F42E53A">
      <w:pPr>
        <w:rPr>
          <w:rFonts w:ascii="仿宋" w:hAnsi="仿宋" w:eastAsia="仿宋" w:cs="仿宋"/>
          <w:color w:val="000000" w:themeColor="text1"/>
          <w:sz w:val="24"/>
          <w:highlight w:val="none"/>
          <w14:textFill>
            <w14:solidFill>
              <w14:schemeClr w14:val="tx1"/>
            </w14:solidFill>
          </w14:textFill>
        </w:rPr>
      </w:pPr>
    </w:p>
    <w:p w14:paraId="0C801DD8">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甲方：</w:t>
      </w:r>
    </w:p>
    <w:p w14:paraId="4EE49C18">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3450A28D">
      <w:pPr>
        <w:spacing w:before="120" w:line="22" w:lineRule="atLeast"/>
        <w:ind w:left="960"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乙方：</w:t>
      </w:r>
    </w:p>
    <w:p w14:paraId="6070C2B8">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05B3A364">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签订地：</w:t>
      </w:r>
    </w:p>
    <w:p w14:paraId="1E5E8EA0">
      <w:pPr>
        <w:spacing w:before="120" w:line="22" w:lineRule="atLeast"/>
        <w:rPr>
          <w:rFonts w:ascii="仿宋" w:hAnsi="仿宋" w:eastAsia="仿宋" w:cs="仿宋"/>
          <w:color w:val="000000" w:themeColor="text1"/>
          <w:sz w:val="24"/>
          <w:highlight w:val="none"/>
          <w14:textFill>
            <w14:solidFill>
              <w14:schemeClr w14:val="tx1"/>
            </w14:solidFill>
          </w14:textFill>
        </w:rPr>
      </w:pPr>
    </w:p>
    <w:p w14:paraId="6CD58478">
      <w:pPr>
        <w:spacing w:before="120" w:line="22" w:lineRule="atLeast"/>
        <w:ind w:firstLine="1440" w:firstLineChars="6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签订日期：</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w:t>
      </w:r>
    </w:p>
    <w:p w14:paraId="34AA0484">
      <w:pPr>
        <w:widowControl/>
        <w:jc w:val="left"/>
        <w:rPr>
          <w:rFonts w:ascii="仿宋" w:hAnsi="仿宋" w:eastAsia="仿宋" w:cs="仿宋"/>
          <w:color w:val="000000" w:themeColor="text1"/>
          <w:kern w:val="0"/>
          <w:sz w:val="24"/>
          <w:highlight w:val="none"/>
          <w14:textFill>
            <w14:solidFill>
              <w14:schemeClr w14:val="tx1"/>
            </w14:solidFill>
          </w14:textFill>
        </w:rPr>
        <w:sectPr>
          <w:pgSz w:w="11907" w:h="16840"/>
          <w:pgMar w:top="1474" w:right="1814" w:bottom="1474" w:left="1814" w:header="851" w:footer="851" w:gutter="0"/>
          <w:cols w:space="720" w:num="1"/>
        </w:sectPr>
      </w:pPr>
    </w:p>
    <w:p w14:paraId="710991F8">
      <w:pPr>
        <w:rPr>
          <w:rFonts w:ascii="仿宋" w:hAnsi="仿宋" w:eastAsia="仿宋" w:cs="仿宋"/>
          <w:b/>
          <w:color w:val="000000" w:themeColor="text1"/>
          <w:sz w:val="24"/>
          <w:highlight w:val="none"/>
          <w14:textFill>
            <w14:solidFill>
              <w14:schemeClr w14:val="tx1"/>
            </w14:solidFill>
          </w14:textFill>
        </w:rPr>
      </w:pPr>
    </w:p>
    <w:p w14:paraId="09EAB1D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年月日</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14:textFill>
            <w14:solidFill>
              <w14:schemeClr w14:val="tx1"/>
            </w14:solidFill>
          </w14:textFill>
        </w:rPr>
        <w:t>以</w:t>
      </w:r>
      <w:r>
        <w:rPr>
          <w:rFonts w:hint="eastAsia" w:ascii="仿宋" w:hAnsi="仿宋" w:eastAsia="仿宋" w:cs="仿宋"/>
          <w:color w:val="000000" w:themeColor="text1"/>
          <w:sz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highlight w:val="none"/>
          <w14:textFill>
            <w14:solidFill>
              <w14:schemeClr w14:val="tx1"/>
            </w14:solidFill>
          </w14:textFill>
        </w:rPr>
        <w:t>对</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项目进行了采购。经</w:t>
      </w:r>
      <w:r>
        <w:rPr>
          <w:rFonts w:hint="eastAsia" w:ascii="仿宋" w:hAnsi="仿宋" w:eastAsia="仿宋" w:cs="仿宋"/>
          <w:color w:val="000000" w:themeColor="text1"/>
          <w:sz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highlight w:val="none"/>
          <w14:textFill>
            <w14:solidFill>
              <w14:schemeClr w14:val="tx1"/>
            </w14:solidFill>
          </w14:textFill>
        </w:rPr>
        <w:t>评定，</w:t>
      </w:r>
      <w:r>
        <w:rPr>
          <w:rFonts w:hint="eastAsia" w:ascii="仿宋" w:hAnsi="仿宋" w:eastAsia="仿宋" w:cs="仿宋"/>
          <w:color w:val="000000" w:themeColor="text1"/>
          <w:sz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highlight w:val="none"/>
          <w14:textFill>
            <w14:solidFill>
              <w14:schemeClr w14:val="tx1"/>
            </w14:solidFill>
          </w14:textFill>
        </w:rPr>
        <w:t>为该项目中标或者成交供应商。现于中标或者成交通知书发出之日起30日内，按照采购文件确定的事项签订本合同。</w:t>
      </w:r>
    </w:p>
    <w:p w14:paraId="10E6626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highlight w:val="none"/>
          <w:lang w:val="zh-CN"/>
          <w14:textFill>
            <w14:solidFill>
              <w14:schemeClr w14:val="tx1"/>
            </w14:solidFill>
          </w14:textFill>
        </w:rPr>
        <w:t>(以下简称：甲方)和</w:t>
      </w:r>
      <w:r>
        <w:rPr>
          <w:rFonts w:hint="eastAsia" w:ascii="仿宋" w:hAnsi="仿宋" w:eastAsia="仿宋" w:cs="仿宋"/>
          <w:color w:val="000000" w:themeColor="text1"/>
          <w:sz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highlight w:val="none"/>
          <w14:textFill>
            <w14:solidFill>
              <w14:schemeClr w14:val="tx1"/>
            </w14:solidFill>
          </w14:textFill>
        </w:rPr>
        <w:t>条款，以兹共同遵守、全面履行。</w:t>
      </w:r>
    </w:p>
    <w:p w14:paraId="6604491A">
      <w:pPr>
        <w:spacing w:line="440" w:lineRule="exact"/>
        <w:ind w:firstLine="482" w:firstLineChars="200"/>
        <w:outlineLvl w:val="0"/>
        <w:rPr>
          <w:rFonts w:ascii="仿宋" w:hAnsi="仿宋" w:eastAsia="仿宋" w:cs="仿宋"/>
          <w:color w:val="000000" w:themeColor="text1"/>
          <w:sz w:val="24"/>
          <w:highlight w:val="none"/>
          <w14:textFill>
            <w14:solidFill>
              <w14:schemeClr w14:val="tx1"/>
            </w14:solidFill>
          </w14:textFill>
        </w:rPr>
      </w:pPr>
      <w:bookmarkStart w:id="51" w:name="_Toc22967"/>
      <w:bookmarkStart w:id="52" w:name="_Toc19273"/>
      <w:bookmarkStart w:id="53" w:name="_Toc28855"/>
      <w:bookmarkStart w:id="54" w:name="_Toc15367"/>
      <w:bookmarkStart w:id="55" w:name="_Toc20421"/>
      <w:r>
        <w:rPr>
          <w:rFonts w:hint="eastAsia" w:ascii="仿宋" w:hAnsi="仿宋" w:eastAsia="仿宋" w:cs="仿宋"/>
          <w:b/>
          <w:color w:val="000000" w:themeColor="text1"/>
          <w:sz w:val="24"/>
          <w:highlight w:val="none"/>
          <w14:textFill>
            <w14:solidFill>
              <w14:schemeClr w14:val="tx1"/>
            </w14:solidFill>
          </w14:textFill>
        </w:rPr>
        <w:t>1.1 合同组成部分</w:t>
      </w:r>
      <w:bookmarkEnd w:id="51"/>
      <w:bookmarkEnd w:id="52"/>
      <w:bookmarkEnd w:id="53"/>
      <w:bookmarkEnd w:id="54"/>
      <w:bookmarkEnd w:id="55"/>
    </w:p>
    <w:p w14:paraId="00B70394">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AA2127">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1.1.1 本合同及其补充合同、变更协议；</w:t>
      </w:r>
    </w:p>
    <w:p w14:paraId="2486890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1.1.2 中标或者成交通知书；</w:t>
      </w:r>
    </w:p>
    <w:p w14:paraId="73D9778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1.1.3 投标或者响应文件（含澄清或者说明文件）；</w:t>
      </w:r>
    </w:p>
    <w:p w14:paraId="386EC46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1.1.4 采购文件（含澄清或者修改文件）；</w:t>
      </w:r>
    </w:p>
    <w:p w14:paraId="4183F00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1.1.5 其他相关采购文件。</w:t>
      </w:r>
    </w:p>
    <w:p w14:paraId="57C930B6">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56" w:name="_Toc18585"/>
      <w:bookmarkStart w:id="57" w:name="_Toc2918"/>
      <w:bookmarkStart w:id="58" w:name="_Toc22185"/>
      <w:bookmarkStart w:id="59" w:name="_Toc6773"/>
      <w:bookmarkStart w:id="60" w:name="_Toc6311"/>
      <w:r>
        <w:rPr>
          <w:rFonts w:hint="eastAsia" w:ascii="仿宋" w:hAnsi="仿宋" w:eastAsia="仿宋" w:cs="仿宋"/>
          <w:b/>
          <w:color w:val="000000" w:themeColor="text1"/>
          <w:sz w:val="24"/>
          <w:highlight w:val="none"/>
          <w14:textFill>
            <w14:solidFill>
              <w14:schemeClr w14:val="tx1"/>
            </w14:solidFill>
          </w14:textFill>
        </w:rPr>
        <w:t>1.2 标的</w:t>
      </w:r>
      <w:bookmarkEnd w:id="56"/>
      <w:bookmarkEnd w:id="57"/>
      <w:bookmarkEnd w:id="58"/>
      <w:bookmarkEnd w:id="59"/>
      <w:bookmarkEnd w:id="60"/>
    </w:p>
    <w:p w14:paraId="3ABDB46E">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1.2.1 服务内容：；</w:t>
      </w:r>
    </w:p>
    <w:p w14:paraId="10BD47A1">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1.2.2 服务标准：；</w:t>
      </w:r>
    </w:p>
    <w:p w14:paraId="74B774B5">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1.2.3 技术保障：</w:t>
      </w:r>
      <w:r>
        <w:rPr>
          <w:rFonts w:hint="eastAsia" w:ascii="仿宋" w:hAnsi="仿宋" w:eastAsia="仿宋" w:cs="仿宋"/>
          <w:color w:val="000000" w:themeColor="text1"/>
          <w:sz w:val="24"/>
          <w:highlight w:val="none"/>
          <w:u w:val="single"/>
          <w14:textFill>
            <w14:solidFill>
              <w14:schemeClr w14:val="tx1"/>
            </w14:solidFill>
          </w14:textFill>
        </w:rPr>
        <w:t>　　　　　　　　　                      　      ；</w:t>
      </w:r>
    </w:p>
    <w:p w14:paraId="6921F4C0">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1.2.4 服务人员组成：</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12D9A809">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1.2.5合同（是/否）涉及货物。若涉及货物的，则：</w:t>
      </w:r>
    </w:p>
    <w:p w14:paraId="38E99B7C">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bookmarkStart w:id="61" w:name="_Toc4929"/>
      <w:bookmarkStart w:id="62" w:name="_Toc5635"/>
      <w:bookmarkStart w:id="63" w:name="_Toc1386"/>
      <w:bookmarkStart w:id="64" w:name="_Toc13918"/>
      <w:bookmarkStart w:id="65" w:name="_Toc21124"/>
      <w:r>
        <w:rPr>
          <w:rFonts w:hint="eastAsia" w:ascii="仿宋" w:hAnsi="仿宋" w:eastAsia="仿宋" w:cs="仿宋"/>
          <w:color w:val="000000" w:themeColor="text1"/>
          <w:sz w:val="24"/>
          <w:highlight w:val="none"/>
          <w14:textFill>
            <w14:solidFill>
              <w14:schemeClr w14:val="tx1"/>
            </w14:solidFill>
          </w14:textFill>
        </w:rPr>
        <w:t>1.2.5.1 货物名称、品牌、规格型号、花色：；</w:t>
      </w:r>
    </w:p>
    <w:p w14:paraId="1810B16D">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1.2.5.2 货物数量：；</w:t>
      </w:r>
    </w:p>
    <w:p w14:paraId="6C62F078">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1.2.5.3 货物质量：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2284C759">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1.3 价款</w:t>
      </w:r>
      <w:bookmarkEnd w:id="61"/>
      <w:bookmarkEnd w:id="62"/>
      <w:bookmarkEnd w:id="63"/>
      <w:bookmarkEnd w:id="64"/>
      <w:bookmarkEnd w:id="65"/>
    </w:p>
    <w:p w14:paraId="7707006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本项目采用以下第条款规定的计价方式计价。</w:t>
      </w:r>
    </w:p>
    <w:p w14:paraId="6B4B04E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1.3.1总价合同，本合同总价（含税）为：￥元（大写：元人民币）。</w:t>
      </w:r>
    </w:p>
    <w:p w14:paraId="32E47709">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DE6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3CE5200">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vAlign w:val="center"/>
          </w:tcPr>
          <w:p w14:paraId="462EF20C">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vAlign w:val="center"/>
          </w:tcPr>
          <w:p w14:paraId="0D4E7373">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3F00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68B7365">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0150BCA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358613BE">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59EA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0109AE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3E5F49FF">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7F167092">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07777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D1281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1123471">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2877FE05">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240C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4848099">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3402" w:type="dxa"/>
            <w:vAlign w:val="center"/>
          </w:tcPr>
          <w:p w14:paraId="101DFDDD">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c>
          <w:tcPr>
            <w:tcW w:w="2552" w:type="dxa"/>
            <w:vAlign w:val="center"/>
          </w:tcPr>
          <w:p w14:paraId="538EE30E">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r w14:paraId="76BB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6C21821">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vAlign w:val="center"/>
          </w:tcPr>
          <w:p w14:paraId="467117B2">
            <w:pPr>
              <w:pStyle w:val="319"/>
              <w:spacing w:line="440" w:lineRule="exact"/>
              <w:ind w:firstLine="480" w:firstLineChars="200"/>
              <w:jc w:val="center"/>
              <w:rPr>
                <w:rFonts w:ascii="仿宋" w:hAnsi="仿宋" w:eastAsia="仿宋" w:cs="仿宋"/>
                <w:color w:val="000000" w:themeColor="text1"/>
                <w:sz w:val="24"/>
                <w:szCs w:val="24"/>
                <w:highlight w:val="none"/>
                <w14:textFill>
                  <w14:solidFill>
                    <w14:schemeClr w14:val="tx1"/>
                  </w14:solidFill>
                </w14:textFill>
              </w:rPr>
            </w:pPr>
          </w:p>
        </w:tc>
      </w:tr>
    </w:tbl>
    <w:p w14:paraId="309C9F6E">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66" w:name="_Toc30506"/>
      <w:bookmarkStart w:id="67" w:name="_Toc26916"/>
      <w:bookmarkStart w:id="68" w:name="_Toc14993"/>
      <w:bookmarkStart w:id="69" w:name="_Toc3654"/>
      <w:bookmarkStart w:id="70" w:name="_Toc30158"/>
      <w:r>
        <w:rPr>
          <w:rFonts w:hint="eastAsia" w:ascii="仿宋" w:hAnsi="仿宋" w:eastAsia="仿宋" w:cs="仿宋"/>
          <w:bCs/>
          <w:color w:val="000000" w:themeColor="text1"/>
          <w:sz w:val="24"/>
          <w:highlight w:val="none"/>
          <w14:textFill>
            <w14:solidFill>
              <w14:schemeClr w14:val="tx1"/>
            </w14:solidFill>
          </w14:textFill>
        </w:rPr>
        <w:t>1.3.2单价合同，本合同单价（含税）标准为：</w:t>
      </w:r>
      <w:r>
        <w:rPr>
          <w:rFonts w:hint="eastAsia" w:ascii="仿宋" w:hAnsi="仿宋" w:eastAsia="仿宋" w:cs="仿宋"/>
          <w:color w:val="000000" w:themeColor="text1"/>
          <w:sz w:val="24"/>
          <w:highlight w:val="none"/>
          <w14:textFill>
            <w14:solidFill>
              <w14:schemeClr w14:val="tx1"/>
            </w14:solidFill>
          </w14:textFill>
        </w:rPr>
        <w:t>。服务工作量的计量方式为：</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。单价合同，在合同履行期间内，根据实际完成的工作量据实结算，但结算总价上限不得超过预算金额或者双方确定的金额￥元（大写：元人民币）。</w:t>
      </w:r>
    </w:p>
    <w:p w14:paraId="720E9706">
      <w:pPr>
        <w:pStyle w:val="2"/>
        <w:spacing w:line="440" w:lineRule="exact"/>
        <w:ind w:left="0" w:firstLine="480"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sz w:val="24"/>
          <w:highlight w:val="none"/>
          <w:lang w:val="en-US"/>
          <w14:textFill>
            <w14:solidFill>
              <w14:schemeClr w14:val="tx1"/>
            </w14:solidFill>
          </w14:textFill>
        </w:rPr>
        <w:t>1.3.3其他计价方式：</w:t>
      </w:r>
      <w:r>
        <w:rPr>
          <w:rFonts w:hint="eastAsia" w:ascii="仿宋" w:eastAsia="仿宋" w:cs="仿宋"/>
          <w:b w:val="0"/>
          <w:bCs w:val="0"/>
          <w:color w:val="000000" w:themeColor="text1"/>
          <w:sz w:val="24"/>
          <w:highlight w:val="none"/>
          <w14:textFill>
            <w14:solidFill>
              <w14:schemeClr w14:val="tx1"/>
            </w14:solidFill>
          </w14:textFill>
        </w:rPr>
        <w:t>。</w:t>
      </w:r>
    </w:p>
    <w:bookmarkEnd w:id="66"/>
    <w:bookmarkEnd w:id="67"/>
    <w:bookmarkEnd w:id="68"/>
    <w:bookmarkEnd w:id="69"/>
    <w:bookmarkEnd w:id="70"/>
    <w:p w14:paraId="3DD3CC1E">
      <w:pPr>
        <w:pStyle w:val="958"/>
        <w:spacing w:before="0" w:beforeAutospacing="0" w:after="0" w:afterAutospacing="0" w:line="440" w:lineRule="exact"/>
        <w:ind w:firstLine="482" w:firstLineChars="200"/>
        <w:rPr>
          <w:rFonts w:ascii="仿宋" w:hAnsi="仿宋" w:eastAsia="仿宋" w:cs="仿宋"/>
          <w:b/>
          <w:color w:val="000000" w:themeColor="text1"/>
          <w:highlight w:val="none"/>
          <w14:textFill>
            <w14:solidFill>
              <w14:schemeClr w14:val="tx1"/>
            </w14:solidFill>
          </w14:textFill>
        </w:rPr>
      </w:pPr>
      <w:bookmarkStart w:id="71" w:name="_Toc10340"/>
      <w:bookmarkStart w:id="72" w:name="_Toc22618"/>
      <w:bookmarkStart w:id="73" w:name="_Toc1814"/>
      <w:bookmarkStart w:id="74" w:name="_Toc3625"/>
      <w:bookmarkStart w:id="75" w:name="_Toc4760"/>
      <w:bookmarkStart w:id="76" w:name="_Toc31421"/>
      <w:bookmarkStart w:id="77" w:name="_Toc11108"/>
      <w:bookmarkStart w:id="78" w:name="_Toc8772"/>
      <w:r>
        <w:rPr>
          <w:rFonts w:hint="eastAsia" w:ascii="仿宋" w:hAnsi="仿宋" w:eastAsia="仿宋" w:cs="仿宋"/>
          <w:b/>
          <w:color w:val="000000" w:themeColor="text1"/>
          <w:highlight w:val="none"/>
          <w14:textFill>
            <w14:solidFill>
              <w14:schemeClr w14:val="tx1"/>
            </w14:solidFill>
          </w14:textFill>
        </w:rPr>
        <w:t>1.4履约保证金</w:t>
      </w:r>
    </w:p>
    <w:p w14:paraId="41A99604">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乙方（是/否）需要支付履约保证金。若需要支付履约保证金的，则：</w:t>
      </w:r>
    </w:p>
    <w:p w14:paraId="4FB54141">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1.4.1履约保证金的比例为合同金额的%；</w:t>
      </w:r>
    </w:p>
    <w:p w14:paraId="0E4CD2C7">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1.4.2履约保证金支付方式详见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14:textFill>
            <w14:solidFill>
              <w14:schemeClr w14:val="tx1"/>
            </w14:solidFill>
          </w14:textFill>
        </w:rPr>
        <w:t>；</w:t>
      </w:r>
    </w:p>
    <w:p w14:paraId="7271D4DD">
      <w:pPr>
        <w:pStyle w:val="2"/>
        <w:tabs>
          <w:tab w:val="left" w:pos="0"/>
        </w:tabs>
        <w:spacing w:line="440" w:lineRule="exact"/>
        <w:ind w:left="0" w:firstLine="480" w:firstLineChars="200"/>
        <w:rPr>
          <w:rFonts w:ascii="仿宋" w:eastAsia="仿宋" w:cs="仿宋"/>
          <w:color w:val="000000" w:themeColor="text1"/>
          <w:highlight w:val="none"/>
          <w:lang w:val="en-US"/>
          <w14:textFill>
            <w14:solidFill>
              <w14:schemeClr w14:val="tx1"/>
            </w14:solidFill>
          </w14:textFill>
        </w:rPr>
      </w:pPr>
      <w:r>
        <w:rPr>
          <w:rFonts w:hint="eastAsia" w:ascii="仿宋" w:eastAsia="仿宋" w:cs="仿宋"/>
          <w:b w:val="0"/>
          <w:bCs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23CB3D6">
      <w:pPr>
        <w:spacing w:line="440" w:lineRule="exact"/>
        <w:ind w:firstLine="480" w:firstLineChars="200"/>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1D68C607">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w:t>
      </w:r>
      <w:bookmarkEnd w:id="71"/>
      <w:bookmarkEnd w:id="72"/>
      <w:bookmarkEnd w:id="73"/>
      <w:r>
        <w:rPr>
          <w:rFonts w:hint="eastAsia" w:ascii="仿宋" w:hAnsi="仿宋" w:eastAsia="仿宋" w:cs="仿宋"/>
          <w:b/>
          <w:color w:val="000000" w:themeColor="text1"/>
          <w:sz w:val="24"/>
          <w:highlight w:val="none"/>
          <w14:textFill>
            <w14:solidFill>
              <w14:schemeClr w14:val="tx1"/>
            </w14:solidFill>
          </w14:textFill>
        </w:rPr>
        <w:t>预付款</w:t>
      </w:r>
    </w:p>
    <w:p w14:paraId="5FBF5D49">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甲方（是/否）需要支付预付款。若需要支付预付款的，则：</w:t>
      </w:r>
    </w:p>
    <w:p w14:paraId="109B63E7">
      <w:pPr>
        <w:spacing w:line="440" w:lineRule="exact"/>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1.5.1预付款比例、支付方式、时间详见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highlight w:val="none"/>
          <w14:textFill>
            <w14:solidFill>
              <w14:schemeClr w14:val="tx1"/>
            </w14:solidFill>
          </w14:textFill>
        </w:rPr>
        <w:t>；</w:t>
      </w:r>
    </w:p>
    <w:p w14:paraId="737F806D">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1.5.2预付款的扣回方式详见</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14:textFill>
            <w14:solidFill>
              <w14:schemeClr w14:val="tx1"/>
            </w14:solidFill>
          </w14:textFill>
        </w:rPr>
        <w:t>；</w:t>
      </w:r>
    </w:p>
    <w:p w14:paraId="67B9A123">
      <w:pPr>
        <w:pStyle w:val="958"/>
        <w:spacing w:before="0" w:beforeAutospacing="0" w:after="0" w:afterAutospacing="0" w:line="440" w:lineRule="exact"/>
        <w:ind w:firstLine="480" w:firstLineChars="200"/>
        <w:rPr>
          <w:rFonts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1.5.3预付款的担保措施详见</w:t>
      </w:r>
      <w:r>
        <w:rPr>
          <w:rFonts w:hint="eastAsia" w:ascii="仿宋" w:hAnsi="仿宋" w:eastAsia="仿宋" w:cs="仿宋"/>
          <w:b/>
          <w:i/>
          <w:color w:val="000000" w:themeColor="text1"/>
          <w:highlight w:val="none"/>
          <w:u w:val="single"/>
          <w14:textFill>
            <w14:solidFill>
              <w14:schemeClr w14:val="tx1"/>
            </w14:solidFill>
          </w14:textFill>
        </w:rPr>
        <w:t>合同专用条款</w:t>
      </w:r>
      <w:r>
        <w:rPr>
          <w:rFonts w:hint="eastAsia" w:ascii="仿宋" w:hAnsi="仿宋" w:eastAsia="仿宋" w:cs="仿宋"/>
          <w:color w:val="000000" w:themeColor="text1"/>
          <w:highlight w:val="none"/>
          <w14:textFill>
            <w14:solidFill>
              <w14:schemeClr w14:val="tx1"/>
            </w14:solidFill>
          </w14:textFill>
        </w:rPr>
        <w:t>。</w:t>
      </w:r>
    </w:p>
    <w:p w14:paraId="46911E2F">
      <w:pPr>
        <w:pStyle w:val="958"/>
        <w:spacing w:before="0" w:beforeAutospacing="0" w:after="0" w:afterAutospacing="0" w:line="440" w:lineRule="exact"/>
        <w:ind w:firstLine="482" w:firstLineChars="200"/>
        <w:rPr>
          <w:rFonts w:ascii="仿宋" w:hAnsi="仿宋" w:eastAsia="仿宋" w:cs="仿宋"/>
          <w:b/>
          <w:bCs/>
          <w:color w:val="000000" w:themeColor="text1"/>
          <w:highlight w:val="none"/>
          <w14:textFill>
            <w14:solidFill>
              <w14:schemeClr w14:val="tx1"/>
            </w14:solidFill>
          </w14:textFill>
        </w:rPr>
      </w:pPr>
      <w:r>
        <w:rPr>
          <w:rFonts w:hint="eastAsia" w:ascii="仿宋" w:hAnsi="仿宋" w:eastAsia="仿宋" w:cs="仿宋"/>
          <w:b/>
          <w:bCs/>
          <w:color w:val="000000" w:themeColor="text1"/>
          <w:highlight w:val="none"/>
          <w14:textFill>
            <w14:solidFill>
              <w14:schemeClr w14:val="tx1"/>
            </w14:solidFill>
          </w14:textFill>
        </w:rPr>
        <w:t>1.6资金支付</w:t>
      </w:r>
    </w:p>
    <w:p w14:paraId="0571A6F7">
      <w:pPr>
        <w:pStyle w:val="958"/>
        <w:spacing w:before="0" w:beforeAutospacing="0" w:after="0" w:afterAutospacing="0"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6CCA5AF3">
      <w:pPr>
        <w:spacing w:line="440" w:lineRule="exact"/>
        <w:ind w:firstLine="480" w:firstLineChars="200"/>
        <w:outlineLvl w:val="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781FAF1A">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1.7 履行期限、地点和方式</w:t>
      </w:r>
      <w:bookmarkEnd w:id="74"/>
      <w:bookmarkEnd w:id="75"/>
      <w:bookmarkEnd w:id="76"/>
      <w:bookmarkEnd w:id="77"/>
      <w:bookmarkEnd w:id="78"/>
    </w:p>
    <w:p w14:paraId="0BEA4DC3">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100412F">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35656B79">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92D5844">
      <w:pPr>
        <w:spacing w:line="440" w:lineRule="exact"/>
        <w:ind w:firstLine="480" w:firstLineChars="200"/>
        <w:outlineLvl w:val="0"/>
        <w:rPr>
          <w:rFonts w:ascii="仿宋" w:hAnsi="仿宋" w:eastAsia="仿宋" w:cs="仿宋"/>
          <w:bCs/>
          <w:color w:val="000000" w:themeColor="text1"/>
          <w:sz w:val="24"/>
          <w:highlight w:val="none"/>
          <w14:textFill>
            <w14:solidFill>
              <w14:schemeClr w14:val="tx1"/>
            </w14:solidFill>
          </w14:textFill>
        </w:rPr>
      </w:pPr>
      <w:bookmarkStart w:id="79" w:name="_Toc5698"/>
      <w:bookmarkStart w:id="80" w:name="_Toc8586"/>
      <w:bookmarkStart w:id="81" w:name="_Toc3079"/>
      <w:bookmarkStart w:id="82" w:name="_Toc2375"/>
      <w:bookmarkStart w:id="83" w:name="_Toc24662"/>
      <w:r>
        <w:rPr>
          <w:rFonts w:hint="eastAsia" w:ascii="仿宋" w:hAnsi="仿宋" w:eastAsia="仿宋" w:cs="仿宋"/>
          <w:bCs/>
          <w:color w:val="000000" w:themeColor="text1"/>
          <w:sz w:val="24"/>
          <w:highlight w:val="none"/>
          <w14:textFill>
            <w14:solidFill>
              <w14:schemeClr w14:val="tx1"/>
            </w14:solidFill>
          </w14:textFill>
        </w:rPr>
        <w:t>1.7.4若服务涉及货物的，则货物的：</w:t>
      </w:r>
    </w:p>
    <w:p w14:paraId="7AE807CE">
      <w:pPr>
        <w:spacing w:line="440" w:lineRule="exact"/>
        <w:ind w:firstLine="480" w:firstLineChars="20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 交付期限：详见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2E5BD12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 交付地点：</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09B3B24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 交付方式：</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50BF2BFD">
      <w:pPr>
        <w:spacing w:line="440" w:lineRule="exact"/>
        <w:ind w:firstLine="482" w:firstLineChars="200"/>
        <w:outlineLvl w:val="0"/>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1.8违约责任</w:t>
      </w:r>
      <w:bookmarkEnd w:id="79"/>
      <w:bookmarkEnd w:id="80"/>
      <w:bookmarkEnd w:id="81"/>
      <w:bookmarkEnd w:id="82"/>
      <w:bookmarkEnd w:id="83"/>
    </w:p>
    <w:p w14:paraId="6FFF232C">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7B6CF86B">
      <w:pPr>
        <w:pStyle w:val="2"/>
        <w:spacing w:line="440" w:lineRule="exact"/>
        <w:ind w:left="0" w:firstLine="480" w:firstLineChars="200"/>
        <w:rPr>
          <w:rFonts w:ascii="仿宋" w:eastAsia="仿宋" w:cs="仿宋"/>
          <w:b w:val="0"/>
          <w:bCs w:val="0"/>
          <w:color w:val="000000" w:themeColor="text1"/>
          <w:sz w:val="24"/>
          <w:szCs w:val="24"/>
          <w:highlight w:val="none"/>
          <w:lang w:val="en-US"/>
          <w14:textFill>
            <w14:solidFill>
              <w14:schemeClr w14:val="tx1"/>
            </w14:solidFill>
          </w14:textFill>
        </w:rPr>
      </w:pPr>
      <w:r>
        <w:rPr>
          <w:rFonts w:hint="eastAsia" w:ascii="仿宋" w:eastAsia="仿宋" w:cs="仿宋"/>
          <w:b w:val="0"/>
          <w:bCs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375ED66">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5C9BD1D0">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84" w:name="_Toc9497"/>
      <w:bookmarkStart w:id="85" w:name="_Toc18683"/>
      <w:bookmarkStart w:id="86" w:name="_Toc30329"/>
      <w:bookmarkStart w:id="87" w:name="_Toc26807"/>
      <w:bookmarkStart w:id="88" w:name="_Toc32454"/>
      <w:r>
        <w:rPr>
          <w:rFonts w:hint="eastAsia" w:ascii="仿宋" w:hAnsi="仿宋" w:eastAsia="仿宋" w:cs="仿宋"/>
          <w:color w:val="000000" w:themeColor="text1"/>
          <w:sz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8AF5F8A">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DFF2901">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68C40C32">
      <w:pPr>
        <w:spacing w:line="440" w:lineRule="exact"/>
        <w:ind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1.8.7违约责任</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另有约定的，从其约定。</w:t>
      </w:r>
    </w:p>
    <w:bookmarkEnd w:id="84"/>
    <w:bookmarkEnd w:id="85"/>
    <w:bookmarkEnd w:id="86"/>
    <w:bookmarkEnd w:id="87"/>
    <w:bookmarkEnd w:id="88"/>
    <w:p w14:paraId="5F0415A3">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89" w:name="_Toc28375"/>
      <w:bookmarkStart w:id="90" w:name="_Toc15583"/>
      <w:bookmarkStart w:id="91" w:name="_Toc16021"/>
      <w:r>
        <w:rPr>
          <w:rFonts w:hint="eastAsia" w:ascii="仿宋" w:hAnsi="仿宋" w:eastAsia="仿宋" w:cs="仿宋"/>
          <w:b/>
          <w:color w:val="000000" w:themeColor="text1"/>
          <w:sz w:val="24"/>
          <w:highlight w:val="none"/>
          <w14:textFill>
            <w14:solidFill>
              <w14:schemeClr w14:val="tx1"/>
            </w14:solidFill>
          </w14:textFill>
        </w:rPr>
        <w:t>1.9合同争议的解决</w:t>
      </w:r>
      <w:bookmarkEnd w:id="89"/>
      <w:bookmarkEnd w:id="90"/>
      <w:bookmarkEnd w:id="91"/>
    </w:p>
    <w:p w14:paraId="2A8D9DB3">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本合同履行过程中发生的任何争议，双方当事人均可通过和解或者调解解决；不愿和解、调解或者和解、调解不成的，将争议提交绍兴仲裁委员会柯桥分会仲裁。</w:t>
      </w:r>
    </w:p>
    <w:p w14:paraId="0B86635F">
      <w:pPr>
        <w:spacing w:line="44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2" w:name="_Toc11173"/>
      <w:bookmarkStart w:id="93" w:name="_Toc7245"/>
      <w:bookmarkStart w:id="94" w:name="_Toc15322"/>
      <w:r>
        <w:rPr>
          <w:rFonts w:hint="eastAsia" w:ascii="仿宋" w:hAnsi="仿宋" w:eastAsia="仿宋" w:cs="仿宋"/>
          <w:b/>
          <w:color w:val="000000" w:themeColor="text1"/>
          <w:sz w:val="24"/>
          <w:highlight w:val="none"/>
          <w14:textFill>
            <w14:solidFill>
              <w14:schemeClr w14:val="tx1"/>
            </w14:solidFill>
          </w14:textFill>
        </w:rPr>
        <w:t>2.0 合同生效</w:t>
      </w:r>
      <w:bookmarkEnd w:id="92"/>
      <w:bookmarkEnd w:id="93"/>
      <w:bookmarkEnd w:id="94"/>
    </w:p>
    <w:p w14:paraId="08C2B95B">
      <w:pPr>
        <w:spacing w:line="440" w:lineRule="exact"/>
        <w:ind w:firstLine="480" w:firstLineChars="200"/>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本合同自双方当事人盖章签字时生效。</w:t>
      </w:r>
    </w:p>
    <w:p w14:paraId="2EAD6FC5">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甲方</w:t>
      </w:r>
      <w:r>
        <w:rPr>
          <w:rFonts w:hint="eastAsia" w:ascii="仿宋" w:hAnsi="仿宋" w:eastAsia="仿宋" w:cs="仿宋"/>
          <w:color w:val="000000" w:themeColor="text1"/>
          <w:sz w:val="24"/>
          <w:highlight w:val="none"/>
          <w:lang w:val="zh-CN"/>
          <w14:textFill>
            <w14:solidFill>
              <w14:schemeClr w14:val="tx1"/>
            </w14:solidFill>
          </w14:textFill>
        </w:rPr>
        <w:t xml:space="preserve">：                             </w:t>
      </w:r>
      <w:r>
        <w:rPr>
          <w:rFonts w:hint="eastAsia" w:ascii="仿宋" w:hAnsi="仿宋" w:eastAsia="仿宋" w:cs="仿宋"/>
          <w:b/>
          <w:color w:val="000000" w:themeColor="text1"/>
          <w:sz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highlight w:val="none"/>
          <w:lang w:val="zh-CN"/>
          <w14:textFill>
            <w14:solidFill>
              <w14:schemeClr w14:val="tx1"/>
            </w14:solidFill>
          </w14:textFill>
        </w:rPr>
        <w:t>：</w:t>
      </w:r>
    </w:p>
    <w:p w14:paraId="63777C87">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统一社会信用代码：                       统一社会信用代码或身份证号码：</w:t>
      </w:r>
    </w:p>
    <w:p w14:paraId="4C50948E">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住所：                                   住所：</w:t>
      </w:r>
    </w:p>
    <w:p w14:paraId="404153E4">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法定代表人或                             法定代表人或</w:t>
      </w:r>
    </w:p>
    <w:p w14:paraId="4E0BCAB9">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授权代表（签字）：                       授权代表（签字）: </w:t>
      </w:r>
    </w:p>
    <w:p w14:paraId="584EAFE3">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联系人：                                 联系人：</w:t>
      </w:r>
    </w:p>
    <w:p w14:paraId="4844C4BE">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约定送达地址：                           约定送达地址：</w:t>
      </w:r>
    </w:p>
    <w:p w14:paraId="2CA261C7">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邮政编码：                               邮政编码：</w:t>
      </w:r>
    </w:p>
    <w:p w14:paraId="6AE59943">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 xml:space="preserve">电话:                                    电话: </w:t>
      </w:r>
    </w:p>
    <w:p w14:paraId="54556E35">
      <w:pPr>
        <w:autoSpaceDE w:val="0"/>
        <w:autoSpaceDN w:val="0"/>
        <w:spacing w:line="440" w:lineRule="exac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传真:                                    传真:</w:t>
      </w:r>
    </w:p>
    <w:p w14:paraId="240AAFD7">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zh-CN"/>
          <w14:textFill>
            <w14:solidFill>
              <w14:schemeClr w14:val="tx1"/>
            </w14:solidFill>
          </w14:textFill>
        </w:rPr>
        <w:t>电子邮箱：                               电子邮箱：</w:t>
      </w:r>
    </w:p>
    <w:p w14:paraId="0F395E53">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开户银行：                               开户银行： </w:t>
      </w:r>
    </w:p>
    <w:p w14:paraId="309501B1">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开户名称：                               开户名称： </w:t>
      </w:r>
    </w:p>
    <w:p w14:paraId="094DC80C">
      <w:pPr>
        <w:autoSpaceDE w:val="0"/>
        <w:autoSpaceDN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开户账号：开户账号：</w:t>
      </w:r>
    </w:p>
    <w:p w14:paraId="23A3D3E2">
      <w:pPr>
        <w:widowControl/>
        <w:adjustRightInd/>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br w:type="page"/>
      </w:r>
    </w:p>
    <w:p w14:paraId="2489E5B8">
      <w:pPr>
        <w:pStyle w:val="79"/>
        <w:spacing w:line="560" w:lineRule="exact"/>
        <w:ind w:firstLine="482"/>
        <w:jc w:val="center"/>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第二部分 合同一般条款</w:t>
      </w:r>
    </w:p>
    <w:p w14:paraId="096BB1C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95" w:name="_Toc14021"/>
      <w:bookmarkStart w:id="96" w:name="_Toc31297"/>
      <w:bookmarkStart w:id="97" w:name="_Toc5228"/>
      <w:bookmarkStart w:id="98" w:name="_Toc19680"/>
      <w:bookmarkStart w:id="99" w:name="_Toc25079"/>
      <w:r>
        <w:rPr>
          <w:rFonts w:hint="eastAsia" w:ascii="仿宋" w:hAnsi="仿宋" w:eastAsia="仿宋" w:cs="仿宋"/>
          <w:b/>
          <w:color w:val="000000" w:themeColor="text1"/>
          <w:sz w:val="24"/>
          <w:highlight w:val="none"/>
          <w14:textFill>
            <w14:solidFill>
              <w14:schemeClr w14:val="tx1"/>
            </w14:solidFill>
          </w14:textFill>
        </w:rPr>
        <w:t>2.1 定义</w:t>
      </w:r>
      <w:bookmarkEnd w:id="95"/>
      <w:bookmarkEnd w:id="96"/>
      <w:bookmarkEnd w:id="97"/>
      <w:bookmarkEnd w:id="98"/>
      <w:bookmarkEnd w:id="99"/>
    </w:p>
    <w:p w14:paraId="54080F2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本合同中的下列词语应按以下内容进行解释：</w:t>
      </w:r>
    </w:p>
    <w:p w14:paraId="36BD712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7468D109">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2.1.2 “合同价”系指根据合同约定，中标或成交供应商在完全履行合同义务后，采购人应支付给中标或成交供应商的价格。</w:t>
      </w:r>
    </w:p>
    <w:p w14:paraId="1973209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03D9E3B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06D2E07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BBF8A9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2.1.6 “现场”系指合同约定提供服务的地点。</w:t>
      </w:r>
    </w:p>
    <w:p w14:paraId="6F05EAD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0" w:name="_Toc16752"/>
      <w:bookmarkStart w:id="101" w:name="_Toc19539"/>
      <w:bookmarkStart w:id="102" w:name="_Toc31402"/>
      <w:bookmarkStart w:id="103" w:name="_Toc23289"/>
      <w:bookmarkStart w:id="104" w:name="_Toc3769"/>
      <w:r>
        <w:rPr>
          <w:rFonts w:hint="eastAsia" w:ascii="仿宋" w:hAnsi="仿宋" w:eastAsia="仿宋" w:cs="仿宋"/>
          <w:b/>
          <w:color w:val="000000" w:themeColor="text1"/>
          <w:sz w:val="24"/>
          <w:highlight w:val="none"/>
          <w14:textFill>
            <w14:solidFill>
              <w14:schemeClr w14:val="tx1"/>
            </w14:solidFill>
          </w14:textFill>
        </w:rPr>
        <w:t>2.2 技术规范</w:t>
      </w:r>
      <w:bookmarkEnd w:id="100"/>
      <w:bookmarkEnd w:id="101"/>
      <w:bookmarkEnd w:id="102"/>
      <w:bookmarkEnd w:id="103"/>
      <w:bookmarkEnd w:id="104"/>
    </w:p>
    <w:p w14:paraId="4CE7A9D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393CCC1">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05" w:name="_Toc13673"/>
      <w:bookmarkStart w:id="106" w:name="_Toc9161"/>
      <w:bookmarkStart w:id="107" w:name="_Toc4133"/>
      <w:bookmarkStart w:id="108" w:name="_Toc27945"/>
      <w:bookmarkStart w:id="109" w:name="_Toc12412"/>
      <w:r>
        <w:rPr>
          <w:rFonts w:hint="eastAsia" w:ascii="仿宋" w:hAnsi="仿宋" w:eastAsia="仿宋" w:cs="仿宋"/>
          <w:b/>
          <w:color w:val="000000" w:themeColor="text1"/>
          <w:sz w:val="24"/>
          <w:highlight w:val="none"/>
          <w14:textFill>
            <w14:solidFill>
              <w14:schemeClr w14:val="tx1"/>
            </w14:solidFill>
          </w14:textFill>
        </w:rPr>
        <w:t>2.3 知识产权</w:t>
      </w:r>
      <w:bookmarkEnd w:id="105"/>
      <w:bookmarkEnd w:id="106"/>
      <w:bookmarkEnd w:id="107"/>
      <w:bookmarkEnd w:id="108"/>
      <w:bookmarkEnd w:id="109"/>
    </w:p>
    <w:p w14:paraId="6D2299D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C9295D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4E617FAC">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2.4 履约检查和问题反馈</w:t>
      </w:r>
    </w:p>
    <w:p w14:paraId="763BE73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7A77E2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73ABFD9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0" w:name="_Toc15447"/>
      <w:bookmarkStart w:id="111" w:name="_Toc22011"/>
      <w:bookmarkStart w:id="112" w:name="_Toc26555"/>
      <w:bookmarkStart w:id="113" w:name="_Toc32670"/>
      <w:bookmarkStart w:id="114" w:name="_Toc31233"/>
      <w:r>
        <w:rPr>
          <w:rFonts w:hint="eastAsia" w:ascii="仿宋" w:hAnsi="仿宋" w:eastAsia="仿宋" w:cs="仿宋"/>
          <w:b/>
          <w:color w:val="000000" w:themeColor="text1"/>
          <w:sz w:val="24"/>
          <w:highlight w:val="none"/>
          <w14:textFill>
            <w14:solidFill>
              <w14:schemeClr w14:val="tx1"/>
            </w14:solidFill>
          </w14:textFill>
        </w:rPr>
        <w:t>2.5 结算方式和付款条件</w:t>
      </w:r>
      <w:bookmarkEnd w:id="110"/>
      <w:bookmarkEnd w:id="111"/>
      <w:bookmarkEnd w:id="112"/>
      <w:bookmarkEnd w:id="113"/>
      <w:bookmarkEnd w:id="114"/>
    </w:p>
    <w:p w14:paraId="51227FD3">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w:t>
      </w:r>
    </w:p>
    <w:p w14:paraId="6260D52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15" w:name="_Toc13467"/>
      <w:bookmarkStart w:id="116" w:name="_Toc30507"/>
      <w:bookmarkStart w:id="117" w:name="_Toc18990"/>
      <w:bookmarkStart w:id="118" w:name="_Toc13154"/>
      <w:bookmarkStart w:id="119" w:name="_Toc16163"/>
      <w:r>
        <w:rPr>
          <w:rFonts w:hint="eastAsia" w:ascii="仿宋" w:hAnsi="仿宋" w:eastAsia="仿宋" w:cs="仿宋"/>
          <w:b/>
          <w:color w:val="000000" w:themeColor="text1"/>
          <w:sz w:val="24"/>
          <w:highlight w:val="none"/>
          <w14:textFill>
            <w14:solidFill>
              <w14:schemeClr w14:val="tx1"/>
            </w14:solidFill>
          </w14:textFill>
        </w:rPr>
        <w:t>2.6 技术资料和保密义务</w:t>
      </w:r>
      <w:bookmarkEnd w:id="115"/>
      <w:bookmarkEnd w:id="116"/>
      <w:bookmarkEnd w:id="117"/>
      <w:bookmarkEnd w:id="118"/>
      <w:bookmarkEnd w:id="119"/>
    </w:p>
    <w:p w14:paraId="6A3C40D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2.6.1 乙方有权依据合同约定和项目需要，向甲方了解有关情况，调阅有关资料等，甲方应予积极配合；</w:t>
      </w:r>
    </w:p>
    <w:p w14:paraId="75D3C03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2.6.2 乙方有义务妥善保管和保护由甲方提供的前款信息和资料等；</w:t>
      </w:r>
    </w:p>
    <w:p w14:paraId="00E10CE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DD8FDCC">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0" w:name="_Toc19069"/>
      <w:r>
        <w:rPr>
          <w:rFonts w:hint="eastAsia" w:ascii="仿宋" w:hAnsi="仿宋" w:eastAsia="仿宋" w:cs="仿宋"/>
          <w:b/>
          <w:color w:val="000000" w:themeColor="text1"/>
          <w:sz w:val="24"/>
          <w:highlight w:val="none"/>
          <w14:textFill>
            <w14:solidFill>
              <w14:schemeClr w14:val="tx1"/>
            </w14:solidFill>
          </w14:textFill>
        </w:rPr>
        <w:t>2.7 质量保证</w:t>
      </w:r>
      <w:bookmarkEnd w:id="120"/>
    </w:p>
    <w:p w14:paraId="02B8F75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2.7.1 乙方应建立和完善履行合同的内部质量保证体系，并提供相关内部规章制度给甲方，以便甲方进行监督检查；</w:t>
      </w:r>
    </w:p>
    <w:p w14:paraId="23C29EF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112EE50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1" w:name="_Toc22267"/>
      <w:r>
        <w:rPr>
          <w:rFonts w:hint="eastAsia" w:ascii="仿宋" w:hAnsi="仿宋" w:eastAsia="仿宋" w:cs="仿宋"/>
          <w:b/>
          <w:color w:val="000000" w:themeColor="text1"/>
          <w:sz w:val="24"/>
          <w:highlight w:val="none"/>
          <w14:textFill>
            <w14:solidFill>
              <w14:schemeClr w14:val="tx1"/>
            </w14:solidFill>
          </w14:textFill>
        </w:rPr>
        <w:t>2.8 延迟履行</w:t>
      </w:r>
      <w:bookmarkEnd w:id="121"/>
    </w:p>
    <w:p w14:paraId="6D1E474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787E0C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2" w:name="_Toc10611"/>
      <w:r>
        <w:rPr>
          <w:rFonts w:hint="eastAsia" w:ascii="仿宋" w:hAnsi="仿宋" w:eastAsia="仿宋" w:cs="仿宋"/>
          <w:b/>
          <w:color w:val="000000" w:themeColor="text1"/>
          <w:sz w:val="24"/>
          <w:highlight w:val="none"/>
          <w14:textFill>
            <w14:solidFill>
              <w14:schemeClr w14:val="tx1"/>
            </w14:solidFill>
          </w14:textFill>
        </w:rPr>
        <w:t>2.9 合同变更</w:t>
      </w:r>
      <w:bookmarkEnd w:id="122"/>
    </w:p>
    <w:p w14:paraId="6FBFFE1A">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1FCE5A9B">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3" w:name="_Toc10663"/>
      <w:bookmarkStart w:id="124" w:name="_Toc42"/>
      <w:bookmarkStart w:id="125" w:name="_Toc21830"/>
      <w:bookmarkStart w:id="126" w:name="_Toc26689"/>
      <w:bookmarkStart w:id="127" w:name="_Toc23368"/>
      <w:r>
        <w:rPr>
          <w:rFonts w:hint="eastAsia" w:ascii="仿宋" w:hAnsi="仿宋" w:eastAsia="仿宋" w:cs="仿宋"/>
          <w:b/>
          <w:color w:val="000000" w:themeColor="text1"/>
          <w:sz w:val="24"/>
          <w:highlight w:val="none"/>
          <w14:textFill>
            <w14:solidFill>
              <w14:schemeClr w14:val="tx1"/>
            </w14:solidFill>
          </w14:textFill>
        </w:rPr>
        <w:t>2.10 合同转让和分包</w:t>
      </w:r>
      <w:bookmarkEnd w:id="123"/>
      <w:bookmarkEnd w:id="124"/>
      <w:bookmarkEnd w:id="125"/>
      <w:bookmarkEnd w:id="126"/>
      <w:bookmarkEnd w:id="127"/>
    </w:p>
    <w:p w14:paraId="002A28E2">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B842D8">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28" w:name="_Toc25571"/>
      <w:bookmarkStart w:id="129" w:name="_Toc14371"/>
      <w:bookmarkStart w:id="130" w:name="_Toc32494"/>
      <w:bookmarkStart w:id="131" w:name="_Toc26633"/>
      <w:bookmarkStart w:id="132" w:name="_Toc4720"/>
      <w:r>
        <w:rPr>
          <w:rFonts w:hint="eastAsia" w:ascii="仿宋" w:hAnsi="仿宋" w:eastAsia="仿宋" w:cs="仿宋"/>
          <w:b/>
          <w:color w:val="000000" w:themeColor="text1"/>
          <w:sz w:val="24"/>
          <w:highlight w:val="none"/>
          <w14:textFill>
            <w14:solidFill>
              <w14:schemeClr w14:val="tx1"/>
            </w14:solidFill>
          </w14:textFill>
        </w:rPr>
        <w:t>2.11 不可抗力</w:t>
      </w:r>
      <w:bookmarkEnd w:id="128"/>
      <w:bookmarkEnd w:id="129"/>
      <w:bookmarkEnd w:id="130"/>
      <w:bookmarkEnd w:id="131"/>
      <w:bookmarkEnd w:id="132"/>
    </w:p>
    <w:p w14:paraId="36C90A3D">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01C6597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2.11.2 因不可抗力致使不能实现合同目的的，当事人可以解除合同；</w:t>
      </w:r>
    </w:p>
    <w:p w14:paraId="3B3C223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约定时间内以书面形式变更合同；</w:t>
      </w:r>
    </w:p>
    <w:p w14:paraId="3E629B1F">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约定时间内，将有关部门出具的证明文件送达对方当事人。</w:t>
      </w:r>
    </w:p>
    <w:p w14:paraId="3F94490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3" w:name="_Toc14115"/>
      <w:bookmarkStart w:id="134" w:name="_Toc23854"/>
      <w:bookmarkStart w:id="135" w:name="_Toc24465"/>
      <w:bookmarkStart w:id="136" w:name="_Toc25783"/>
      <w:bookmarkStart w:id="137" w:name="_Toc3638"/>
      <w:r>
        <w:rPr>
          <w:rFonts w:hint="eastAsia" w:ascii="仿宋" w:hAnsi="仿宋" w:eastAsia="仿宋" w:cs="仿宋"/>
          <w:b/>
          <w:color w:val="000000" w:themeColor="text1"/>
          <w:sz w:val="24"/>
          <w:highlight w:val="none"/>
          <w14:textFill>
            <w14:solidFill>
              <w14:schemeClr w14:val="tx1"/>
            </w14:solidFill>
          </w14:textFill>
        </w:rPr>
        <w:t>2.12 税费</w:t>
      </w:r>
      <w:bookmarkEnd w:id="133"/>
      <w:bookmarkEnd w:id="134"/>
      <w:bookmarkEnd w:id="135"/>
      <w:bookmarkEnd w:id="136"/>
      <w:bookmarkEnd w:id="137"/>
    </w:p>
    <w:p w14:paraId="0A214B24">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与合同有关的一切税费，均按照中华人民共和国法律的相关规定缴纳。</w:t>
      </w:r>
    </w:p>
    <w:p w14:paraId="351B55C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38" w:name="_Toc7315"/>
      <w:bookmarkStart w:id="139" w:name="_Toc25525"/>
      <w:bookmarkStart w:id="140" w:name="_Toc14814"/>
      <w:bookmarkStart w:id="141" w:name="_Toc30105"/>
      <w:bookmarkStart w:id="142" w:name="_Toc26883"/>
      <w:r>
        <w:rPr>
          <w:rFonts w:hint="eastAsia" w:ascii="仿宋" w:hAnsi="仿宋" w:eastAsia="仿宋" w:cs="仿宋"/>
          <w:b/>
          <w:color w:val="000000" w:themeColor="text1"/>
          <w:sz w:val="24"/>
          <w:highlight w:val="none"/>
          <w14:textFill>
            <w14:solidFill>
              <w14:schemeClr w14:val="tx1"/>
            </w14:solidFill>
          </w14:textFill>
        </w:rPr>
        <w:t>2.13 乙方破产</w:t>
      </w:r>
      <w:bookmarkEnd w:id="138"/>
      <w:bookmarkEnd w:id="139"/>
      <w:bookmarkEnd w:id="140"/>
      <w:bookmarkEnd w:id="141"/>
      <w:bookmarkEnd w:id="142"/>
    </w:p>
    <w:p w14:paraId="2C8D1586">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1934C9A">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3" w:name="_Toc2016"/>
      <w:bookmarkStart w:id="144" w:name="_Toc1123"/>
      <w:bookmarkStart w:id="145" w:name="_Toc23323"/>
      <w:r>
        <w:rPr>
          <w:rFonts w:hint="eastAsia" w:ascii="仿宋" w:hAnsi="仿宋" w:eastAsia="仿宋" w:cs="仿宋"/>
          <w:b/>
          <w:color w:val="000000" w:themeColor="text1"/>
          <w:sz w:val="24"/>
          <w:highlight w:val="none"/>
          <w14:textFill>
            <w14:solidFill>
              <w14:schemeClr w14:val="tx1"/>
            </w14:solidFill>
          </w14:textFill>
        </w:rPr>
        <w:t>2.14 合同中止、终止</w:t>
      </w:r>
      <w:bookmarkEnd w:id="143"/>
      <w:bookmarkEnd w:id="144"/>
      <w:bookmarkEnd w:id="145"/>
    </w:p>
    <w:p w14:paraId="23BCB205">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2.14.1 双方当事人不得擅自中止或者终止合同；</w:t>
      </w:r>
    </w:p>
    <w:p w14:paraId="032C85A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5ED3D99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6" w:name="_Toc14525"/>
      <w:bookmarkStart w:id="147" w:name="_Toc17363"/>
      <w:bookmarkStart w:id="148" w:name="_Toc1969"/>
      <w:r>
        <w:rPr>
          <w:rFonts w:hint="eastAsia" w:ascii="仿宋" w:hAnsi="仿宋" w:eastAsia="仿宋" w:cs="仿宋"/>
          <w:b/>
          <w:color w:val="000000" w:themeColor="text1"/>
          <w:sz w:val="24"/>
          <w:highlight w:val="none"/>
          <w14:textFill>
            <w14:solidFill>
              <w14:schemeClr w14:val="tx1"/>
            </w14:solidFill>
          </w14:textFill>
        </w:rPr>
        <w:t>2.15 检验和验收</w:t>
      </w:r>
      <w:bookmarkEnd w:id="146"/>
      <w:bookmarkEnd w:id="147"/>
      <w:bookmarkEnd w:id="148"/>
    </w:p>
    <w:p w14:paraId="59ADCDB2">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 乙方按照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的约定进行定期验收；</w:t>
      </w:r>
    </w:p>
    <w:p w14:paraId="6B5EC2E3">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8172647">
      <w:pPr>
        <w:tabs>
          <w:tab w:val="left" w:pos="360"/>
          <w:tab w:val="left" w:pos="540"/>
          <w:tab w:val="left" w:pos="1080"/>
        </w:tabs>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i/>
          <w:color w:val="000000" w:themeColor="text1"/>
          <w:sz w:val="24"/>
          <w:highlight w:val="none"/>
          <w14:textFill>
            <w14:solidFill>
              <w14:schemeClr w14:val="tx1"/>
            </w14:solidFill>
          </w14:textFill>
        </w:rPr>
        <w:t>。</w:t>
      </w:r>
    </w:p>
    <w:p w14:paraId="5F7D04AF">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49" w:name="_Toc9808"/>
      <w:bookmarkStart w:id="150" w:name="_Toc2308"/>
      <w:bookmarkStart w:id="151" w:name="_Toc12666"/>
      <w:bookmarkStart w:id="152" w:name="_Toc25198"/>
      <w:bookmarkStart w:id="153" w:name="_Toc31892"/>
      <w:r>
        <w:rPr>
          <w:rFonts w:hint="eastAsia" w:ascii="仿宋" w:hAnsi="仿宋" w:eastAsia="仿宋" w:cs="仿宋"/>
          <w:b/>
          <w:color w:val="000000" w:themeColor="text1"/>
          <w:sz w:val="24"/>
          <w:highlight w:val="none"/>
          <w14:textFill>
            <w14:solidFill>
              <w14:schemeClr w14:val="tx1"/>
            </w14:solidFill>
          </w14:textFill>
        </w:rPr>
        <w:t>2.16 通知和送达</w:t>
      </w:r>
      <w:bookmarkEnd w:id="149"/>
      <w:bookmarkEnd w:id="150"/>
      <w:bookmarkEnd w:id="151"/>
      <w:bookmarkEnd w:id="152"/>
      <w:bookmarkEnd w:id="153"/>
    </w:p>
    <w:p w14:paraId="74C4407D">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bookmarkStart w:id="154" w:name="_Toc27674"/>
      <w:bookmarkStart w:id="155" w:name="_Toc18401"/>
      <w:r>
        <w:rPr>
          <w:rFonts w:hint="eastAsia" w:ascii="仿宋" w:hAnsi="仿宋" w:eastAsia="仿宋" w:cs="仿宋"/>
          <w:color w:val="000000" w:themeColor="text1"/>
          <w:sz w:val="24"/>
          <w:highlight w:val="none"/>
          <w14:textFill>
            <w14:solidFill>
              <w14:schemeClr w14:val="tx1"/>
            </w14:solidFill>
          </w14:textFill>
        </w:rPr>
        <w:t>2.1</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highlight w:val="none"/>
          <w:u w:val="single"/>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个工作日内书面通知对方当事人，在对方当事人收到有关变更通知之前，变更前的约定送达方式或者地址仍视为有效。</w:t>
      </w:r>
    </w:p>
    <w:p w14:paraId="7D1E3160">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w:t>
      </w:r>
      <w:r>
        <w:rPr>
          <w:rFonts w:ascii="仿宋" w:hAnsi="仿宋" w:eastAsia="仿宋" w:cs="仿宋"/>
          <w:color w:val="000000" w:themeColor="text1"/>
          <w:sz w:val="24"/>
          <w:highlight w:val="none"/>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4"/>
      <w:bookmarkEnd w:id="155"/>
    </w:p>
    <w:p w14:paraId="27B0A8B8">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56" w:name="_Toc28906"/>
      <w:bookmarkStart w:id="157" w:name="_Toc27644"/>
      <w:bookmarkStart w:id="158" w:name="_Toc5063"/>
      <w:bookmarkStart w:id="159" w:name="_Toc20808"/>
      <w:bookmarkStart w:id="160" w:name="_Toc12254"/>
      <w:r>
        <w:rPr>
          <w:rFonts w:hint="eastAsia" w:ascii="仿宋" w:hAnsi="仿宋" w:eastAsia="仿宋" w:cs="仿宋"/>
          <w:b/>
          <w:color w:val="000000" w:themeColor="text1"/>
          <w:sz w:val="24"/>
          <w:highlight w:val="none"/>
          <w14:textFill>
            <w14:solidFill>
              <w14:schemeClr w14:val="tx1"/>
            </w14:solidFill>
          </w14:textFill>
        </w:rPr>
        <w:t>2.17 合同使用的文字和适用的法律</w:t>
      </w:r>
      <w:bookmarkEnd w:id="156"/>
      <w:bookmarkEnd w:id="157"/>
      <w:bookmarkEnd w:id="158"/>
      <w:bookmarkEnd w:id="159"/>
      <w:bookmarkEnd w:id="160"/>
    </w:p>
    <w:p w14:paraId="4CA93EA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2.17.1 合同使用汉语书就、变更和解释；</w:t>
      </w:r>
    </w:p>
    <w:p w14:paraId="3F36511C">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2.17.2 合同适用中华人民共和国法律。</w:t>
      </w:r>
    </w:p>
    <w:p w14:paraId="0C3B95EE">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1" w:name="_Toc30599"/>
      <w:bookmarkStart w:id="162" w:name="_Toc4355"/>
      <w:bookmarkStart w:id="163" w:name="_Toc18540"/>
      <w:r>
        <w:rPr>
          <w:rFonts w:hint="eastAsia" w:ascii="仿宋" w:hAnsi="仿宋" w:eastAsia="仿宋" w:cs="仿宋"/>
          <w:b/>
          <w:color w:val="000000" w:themeColor="text1"/>
          <w:sz w:val="24"/>
          <w:highlight w:val="none"/>
          <w14:textFill>
            <w14:solidFill>
              <w14:schemeClr w14:val="tx1"/>
            </w14:solidFill>
          </w14:textFill>
        </w:rPr>
        <w:t>2.18 计量单位</w:t>
      </w:r>
      <w:bookmarkEnd w:id="161"/>
      <w:bookmarkEnd w:id="162"/>
      <w:bookmarkEnd w:id="163"/>
    </w:p>
    <w:p w14:paraId="5830AB6E">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除技术规范中另有规定外,合同的计量单位均使用国家法定计量单位。</w:t>
      </w:r>
    </w:p>
    <w:p w14:paraId="679FC314">
      <w:pPr>
        <w:spacing w:line="560" w:lineRule="exact"/>
        <w:ind w:firstLine="482" w:firstLineChars="200"/>
        <w:outlineLvl w:val="0"/>
        <w:rPr>
          <w:rFonts w:ascii="仿宋" w:hAnsi="仿宋" w:eastAsia="仿宋" w:cs="仿宋"/>
          <w:b/>
          <w:color w:val="000000" w:themeColor="text1"/>
          <w:sz w:val="24"/>
          <w:highlight w:val="none"/>
          <w14:textFill>
            <w14:solidFill>
              <w14:schemeClr w14:val="tx1"/>
            </w14:solidFill>
          </w14:textFill>
        </w:rPr>
      </w:pPr>
      <w:bookmarkStart w:id="164" w:name="_Toc259093692"/>
      <w:bookmarkStart w:id="165" w:name="_Toc10330"/>
      <w:bookmarkStart w:id="166" w:name="_Toc487900373"/>
      <w:bookmarkStart w:id="167" w:name="_Toc18567"/>
      <w:bookmarkStart w:id="168" w:name="_Toc12773"/>
      <w:bookmarkStart w:id="169" w:name="_Toc279701263"/>
      <w:r>
        <w:rPr>
          <w:rFonts w:hint="eastAsia" w:ascii="仿宋" w:hAnsi="仿宋" w:eastAsia="仿宋" w:cs="仿宋"/>
          <w:b/>
          <w:color w:val="000000" w:themeColor="text1"/>
          <w:sz w:val="24"/>
          <w:highlight w:val="none"/>
          <w14:textFill>
            <w14:solidFill>
              <w14:schemeClr w14:val="tx1"/>
            </w14:solidFill>
          </w14:textFill>
        </w:rPr>
        <w:t>2.19 合同使用的文字和适用的法律</w:t>
      </w:r>
      <w:bookmarkEnd w:id="164"/>
      <w:bookmarkEnd w:id="165"/>
      <w:bookmarkEnd w:id="166"/>
      <w:bookmarkEnd w:id="167"/>
      <w:bookmarkEnd w:id="168"/>
      <w:bookmarkEnd w:id="169"/>
    </w:p>
    <w:p w14:paraId="5CDA1258">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2.19.1 合同使用汉语书就、变更和解释；</w:t>
      </w:r>
    </w:p>
    <w:p w14:paraId="7585E9F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2.19.2 合同适用中华人民共和国法律。</w:t>
      </w:r>
    </w:p>
    <w:p w14:paraId="5D97E2B3">
      <w:pPr>
        <w:spacing w:line="560" w:lineRule="exact"/>
        <w:ind w:firstLine="482" w:firstLineChars="20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2.20合同份数</w:t>
      </w:r>
    </w:p>
    <w:p w14:paraId="7AEF02E1">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合同份数按</w:t>
      </w:r>
      <w:r>
        <w:rPr>
          <w:rFonts w:hint="eastAsia" w:ascii="仿宋" w:hAnsi="仿宋" w:eastAsia="仿宋" w:cs="仿宋"/>
          <w:b/>
          <w:i/>
          <w:color w:val="000000" w:themeColor="text1"/>
          <w:sz w:val="24"/>
          <w:highlight w:val="none"/>
          <w:u w:val="single"/>
          <w14:textFill>
            <w14:solidFill>
              <w14:schemeClr w14:val="tx1"/>
            </w14:solidFill>
          </w14:textFill>
        </w:rPr>
        <w:t>合同专用条款</w:t>
      </w:r>
      <w:r>
        <w:rPr>
          <w:rFonts w:hint="eastAsia" w:ascii="仿宋" w:hAnsi="仿宋" w:eastAsia="仿宋" w:cs="仿宋"/>
          <w:color w:val="000000" w:themeColor="text1"/>
          <w:sz w:val="24"/>
          <w:highlight w:val="none"/>
          <w14:textFill>
            <w14:solidFill>
              <w14:schemeClr w14:val="tx1"/>
            </w14:solidFill>
          </w14:textFill>
        </w:rPr>
        <w:t>规定，每份均具有同等法律效力。</w:t>
      </w:r>
    </w:p>
    <w:p w14:paraId="2EBAD561">
      <w:pPr>
        <w:spacing w:line="440" w:lineRule="atLeast"/>
        <w:ind w:firstLine="420" w:firstLineChars="200"/>
        <w:jc w:val="center"/>
        <w:outlineLvl w:val="0"/>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highlight w:val="none"/>
          <w14:textFill>
            <w14:solidFill>
              <w14:schemeClr w14:val="tx1"/>
            </w14:solidFill>
          </w14:textFill>
        </w:rPr>
        <w:br w:type="page"/>
      </w:r>
      <w:bookmarkStart w:id="170" w:name="_Toc331685784"/>
      <w:bookmarkEnd w:id="170"/>
      <w:r>
        <w:rPr>
          <w:rFonts w:hint="eastAsia" w:ascii="仿宋" w:hAnsi="仿宋" w:eastAsia="仿宋" w:cs="仿宋"/>
          <w:b/>
          <w:color w:val="000000" w:themeColor="text1"/>
          <w:sz w:val="24"/>
          <w:highlight w:val="none"/>
          <w14:textFill>
            <w14:solidFill>
              <w14:schemeClr w14:val="tx1"/>
            </w14:solidFill>
          </w14:textFill>
        </w:rPr>
        <w:t>第三部分  合同专用条款</w:t>
      </w:r>
    </w:p>
    <w:p w14:paraId="5F9E97FF">
      <w:pPr>
        <w:spacing w:line="440" w:lineRule="atLeast"/>
        <w:ind w:left="-420" w:leftChars="-200" w:right="-420" w:rightChars="-200" w:firstLine="480" w:firstLineChars="2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67F77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F46BE7">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条款号</w:t>
            </w:r>
          </w:p>
        </w:tc>
        <w:tc>
          <w:tcPr>
            <w:tcW w:w="8149" w:type="dxa"/>
            <w:vAlign w:val="center"/>
          </w:tcPr>
          <w:p w14:paraId="31D8CCA3">
            <w:pPr>
              <w:spacing w:line="360" w:lineRule="auto"/>
              <w:jc w:val="center"/>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约定内容</w:t>
            </w:r>
          </w:p>
        </w:tc>
      </w:tr>
      <w:tr w14:paraId="6690D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8E688C">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1.3.2</w:t>
            </w:r>
          </w:p>
        </w:tc>
        <w:tc>
          <w:tcPr>
            <w:tcW w:w="8149" w:type="dxa"/>
            <w:vAlign w:val="center"/>
          </w:tcPr>
          <w:p w14:paraId="6373A7A1">
            <w:pPr>
              <w:spacing w:line="360" w:lineRule="auto"/>
              <w:rPr>
                <w:rFonts w:ascii="仿宋" w:hAnsi="仿宋" w:eastAsia="仿宋" w:cs="仿宋"/>
                <w:color w:val="000000" w:themeColor="text1"/>
                <w:sz w:val="24"/>
                <w:highlight w:val="none"/>
                <w14:textFill>
                  <w14:solidFill>
                    <w14:schemeClr w14:val="tx1"/>
                  </w14:solidFill>
                </w14:textFill>
              </w:rPr>
            </w:pPr>
          </w:p>
        </w:tc>
      </w:tr>
      <w:tr w14:paraId="144E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D376A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1.4.2</w:t>
            </w:r>
          </w:p>
        </w:tc>
        <w:tc>
          <w:tcPr>
            <w:tcW w:w="8149" w:type="dxa"/>
            <w:vAlign w:val="center"/>
          </w:tcPr>
          <w:p w14:paraId="326B8FBA">
            <w:pPr>
              <w:spacing w:line="360" w:lineRule="auto"/>
              <w:rPr>
                <w:rFonts w:ascii="仿宋" w:hAnsi="仿宋" w:eastAsia="仿宋" w:cs="仿宋"/>
                <w:color w:val="000000" w:themeColor="text1"/>
                <w:sz w:val="24"/>
                <w:highlight w:val="none"/>
                <w14:textFill>
                  <w14:solidFill>
                    <w14:schemeClr w14:val="tx1"/>
                  </w14:solidFill>
                </w14:textFill>
              </w:rPr>
            </w:pPr>
          </w:p>
        </w:tc>
      </w:tr>
      <w:tr w14:paraId="1A07E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22A82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1.5.1 </w:t>
            </w:r>
          </w:p>
        </w:tc>
        <w:tc>
          <w:tcPr>
            <w:tcW w:w="8149" w:type="dxa"/>
            <w:vAlign w:val="center"/>
          </w:tcPr>
          <w:p w14:paraId="3AB01D3C">
            <w:pPr>
              <w:spacing w:line="360" w:lineRule="auto"/>
              <w:rPr>
                <w:rFonts w:ascii="仿宋" w:hAnsi="仿宋" w:eastAsia="仿宋" w:cs="仿宋"/>
                <w:color w:val="000000" w:themeColor="text1"/>
                <w:sz w:val="24"/>
                <w:highlight w:val="none"/>
                <w14:textFill>
                  <w14:solidFill>
                    <w14:schemeClr w14:val="tx1"/>
                  </w14:solidFill>
                </w14:textFill>
              </w:rPr>
            </w:pPr>
          </w:p>
        </w:tc>
      </w:tr>
      <w:tr w14:paraId="39687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D5035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1.5.2</w:t>
            </w:r>
          </w:p>
        </w:tc>
        <w:tc>
          <w:tcPr>
            <w:tcW w:w="8149" w:type="dxa"/>
            <w:vAlign w:val="center"/>
          </w:tcPr>
          <w:p w14:paraId="30A00A11">
            <w:pPr>
              <w:spacing w:line="360" w:lineRule="auto"/>
              <w:rPr>
                <w:rFonts w:ascii="仿宋" w:hAnsi="仿宋" w:eastAsia="仿宋" w:cs="仿宋"/>
                <w:color w:val="000000" w:themeColor="text1"/>
                <w:sz w:val="24"/>
                <w:highlight w:val="none"/>
                <w14:textFill>
                  <w14:solidFill>
                    <w14:schemeClr w14:val="tx1"/>
                  </w14:solidFill>
                </w14:textFill>
              </w:rPr>
            </w:pPr>
          </w:p>
        </w:tc>
      </w:tr>
      <w:tr w14:paraId="52B845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E87C9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1.5.3 </w:t>
            </w:r>
          </w:p>
        </w:tc>
        <w:tc>
          <w:tcPr>
            <w:tcW w:w="8149" w:type="dxa"/>
            <w:vAlign w:val="center"/>
          </w:tcPr>
          <w:p w14:paraId="5A3E9F54">
            <w:pPr>
              <w:spacing w:line="360" w:lineRule="auto"/>
              <w:rPr>
                <w:rFonts w:ascii="仿宋" w:hAnsi="仿宋" w:eastAsia="仿宋" w:cs="仿宋"/>
                <w:color w:val="000000" w:themeColor="text1"/>
                <w:sz w:val="24"/>
                <w:highlight w:val="none"/>
                <w14:textFill>
                  <w14:solidFill>
                    <w14:schemeClr w14:val="tx1"/>
                  </w14:solidFill>
                </w14:textFill>
              </w:rPr>
            </w:pPr>
          </w:p>
        </w:tc>
      </w:tr>
      <w:tr w14:paraId="48A33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90E6F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1.6.2</w:t>
            </w:r>
          </w:p>
        </w:tc>
        <w:tc>
          <w:tcPr>
            <w:tcW w:w="8149" w:type="dxa"/>
            <w:vAlign w:val="center"/>
          </w:tcPr>
          <w:p w14:paraId="7928131F">
            <w:pPr>
              <w:spacing w:line="360" w:lineRule="auto"/>
              <w:rPr>
                <w:rFonts w:ascii="仿宋" w:hAnsi="仿宋" w:eastAsia="仿宋" w:cs="仿宋"/>
                <w:color w:val="000000" w:themeColor="text1"/>
                <w:sz w:val="24"/>
                <w:highlight w:val="none"/>
                <w14:textFill>
                  <w14:solidFill>
                    <w14:schemeClr w14:val="tx1"/>
                  </w14:solidFill>
                </w14:textFill>
              </w:rPr>
            </w:pPr>
          </w:p>
        </w:tc>
      </w:tr>
      <w:tr w14:paraId="4C6A6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13494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1.7.1</w:t>
            </w:r>
          </w:p>
        </w:tc>
        <w:tc>
          <w:tcPr>
            <w:tcW w:w="8149" w:type="dxa"/>
            <w:vAlign w:val="center"/>
          </w:tcPr>
          <w:p w14:paraId="1BB62591">
            <w:pPr>
              <w:spacing w:line="360" w:lineRule="auto"/>
              <w:rPr>
                <w:rFonts w:ascii="仿宋" w:hAnsi="仿宋" w:eastAsia="仿宋" w:cs="仿宋"/>
                <w:color w:val="000000" w:themeColor="text1"/>
                <w:sz w:val="24"/>
                <w:highlight w:val="none"/>
                <w14:textFill>
                  <w14:solidFill>
                    <w14:schemeClr w14:val="tx1"/>
                  </w14:solidFill>
                </w14:textFill>
              </w:rPr>
            </w:pPr>
          </w:p>
        </w:tc>
      </w:tr>
      <w:tr w14:paraId="5C620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43F67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1.7.2</w:t>
            </w:r>
          </w:p>
        </w:tc>
        <w:tc>
          <w:tcPr>
            <w:tcW w:w="8149" w:type="dxa"/>
            <w:vAlign w:val="center"/>
          </w:tcPr>
          <w:p w14:paraId="7A1F443D">
            <w:pPr>
              <w:spacing w:line="360" w:lineRule="auto"/>
              <w:rPr>
                <w:rFonts w:ascii="仿宋" w:hAnsi="仿宋" w:eastAsia="仿宋" w:cs="仿宋"/>
                <w:color w:val="000000" w:themeColor="text1"/>
                <w:sz w:val="24"/>
                <w:highlight w:val="none"/>
                <w14:textFill>
                  <w14:solidFill>
                    <w14:schemeClr w14:val="tx1"/>
                  </w14:solidFill>
                </w14:textFill>
              </w:rPr>
            </w:pPr>
          </w:p>
        </w:tc>
      </w:tr>
      <w:tr w14:paraId="3B52C1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3FBAAF">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1.7.3</w:t>
            </w:r>
          </w:p>
        </w:tc>
        <w:tc>
          <w:tcPr>
            <w:tcW w:w="8149" w:type="dxa"/>
            <w:vAlign w:val="center"/>
          </w:tcPr>
          <w:p w14:paraId="0E75B85B">
            <w:pPr>
              <w:spacing w:line="360" w:lineRule="auto"/>
              <w:rPr>
                <w:rFonts w:ascii="仿宋" w:hAnsi="仿宋" w:eastAsia="仿宋" w:cs="仿宋"/>
                <w:color w:val="000000" w:themeColor="text1"/>
                <w:sz w:val="24"/>
                <w:highlight w:val="none"/>
                <w14:textFill>
                  <w14:solidFill>
                    <w14:schemeClr w14:val="tx1"/>
                  </w14:solidFill>
                </w14:textFill>
              </w:rPr>
            </w:pPr>
          </w:p>
        </w:tc>
      </w:tr>
      <w:tr w14:paraId="035A7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D133D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1.7.4.1</w:t>
            </w:r>
          </w:p>
        </w:tc>
        <w:tc>
          <w:tcPr>
            <w:tcW w:w="8149" w:type="dxa"/>
            <w:vAlign w:val="center"/>
          </w:tcPr>
          <w:p w14:paraId="39CB0635">
            <w:pPr>
              <w:spacing w:line="360" w:lineRule="auto"/>
              <w:rPr>
                <w:rFonts w:ascii="仿宋" w:hAnsi="仿宋" w:eastAsia="仿宋" w:cs="仿宋"/>
                <w:color w:val="000000" w:themeColor="text1"/>
                <w:sz w:val="24"/>
                <w:highlight w:val="none"/>
                <w14:textFill>
                  <w14:solidFill>
                    <w14:schemeClr w14:val="tx1"/>
                  </w14:solidFill>
                </w14:textFill>
              </w:rPr>
            </w:pPr>
          </w:p>
        </w:tc>
      </w:tr>
      <w:tr w14:paraId="5FA2C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00243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1.7.4.2</w:t>
            </w:r>
          </w:p>
        </w:tc>
        <w:tc>
          <w:tcPr>
            <w:tcW w:w="8149" w:type="dxa"/>
            <w:vAlign w:val="center"/>
          </w:tcPr>
          <w:p w14:paraId="2C822D18">
            <w:pPr>
              <w:spacing w:line="360" w:lineRule="auto"/>
              <w:rPr>
                <w:rFonts w:ascii="仿宋" w:hAnsi="仿宋" w:eastAsia="仿宋" w:cs="仿宋"/>
                <w:color w:val="000000" w:themeColor="text1"/>
                <w:sz w:val="24"/>
                <w:highlight w:val="none"/>
                <w14:textFill>
                  <w14:solidFill>
                    <w14:schemeClr w14:val="tx1"/>
                  </w14:solidFill>
                </w14:textFill>
              </w:rPr>
            </w:pPr>
          </w:p>
        </w:tc>
      </w:tr>
      <w:tr w14:paraId="31227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1A1F40">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1.7.4.3</w:t>
            </w:r>
          </w:p>
        </w:tc>
        <w:tc>
          <w:tcPr>
            <w:tcW w:w="8149" w:type="dxa"/>
            <w:vAlign w:val="center"/>
          </w:tcPr>
          <w:p w14:paraId="088043DA">
            <w:pPr>
              <w:spacing w:line="360" w:lineRule="auto"/>
              <w:rPr>
                <w:rFonts w:ascii="仿宋" w:hAnsi="仿宋" w:eastAsia="仿宋" w:cs="仿宋"/>
                <w:color w:val="000000" w:themeColor="text1"/>
                <w:sz w:val="24"/>
                <w:highlight w:val="none"/>
                <w14:textFill>
                  <w14:solidFill>
                    <w14:schemeClr w14:val="tx1"/>
                  </w14:solidFill>
                </w14:textFill>
              </w:rPr>
            </w:pPr>
          </w:p>
        </w:tc>
      </w:tr>
      <w:tr w14:paraId="010F3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47EA16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1.8.7</w:t>
            </w:r>
          </w:p>
        </w:tc>
        <w:tc>
          <w:tcPr>
            <w:tcW w:w="8149" w:type="dxa"/>
            <w:vAlign w:val="center"/>
          </w:tcPr>
          <w:p w14:paraId="0C099311">
            <w:pPr>
              <w:spacing w:line="360" w:lineRule="auto"/>
              <w:rPr>
                <w:rFonts w:ascii="仿宋" w:hAnsi="仿宋" w:eastAsia="仿宋" w:cs="仿宋"/>
                <w:color w:val="000000" w:themeColor="text1"/>
                <w:sz w:val="24"/>
                <w:highlight w:val="none"/>
                <w14:textFill>
                  <w14:solidFill>
                    <w14:schemeClr w14:val="tx1"/>
                  </w14:solidFill>
                </w14:textFill>
              </w:rPr>
            </w:pPr>
          </w:p>
        </w:tc>
      </w:tr>
      <w:tr w14:paraId="113E96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D0F4A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1.9.1</w:t>
            </w:r>
          </w:p>
        </w:tc>
        <w:tc>
          <w:tcPr>
            <w:tcW w:w="8149" w:type="dxa"/>
            <w:vAlign w:val="center"/>
          </w:tcPr>
          <w:p w14:paraId="43CF0EC4">
            <w:pPr>
              <w:spacing w:line="360" w:lineRule="auto"/>
              <w:rPr>
                <w:rFonts w:ascii="仿宋" w:hAnsi="仿宋" w:eastAsia="仿宋" w:cs="仿宋"/>
                <w:color w:val="000000" w:themeColor="text1"/>
                <w:sz w:val="24"/>
                <w:highlight w:val="none"/>
                <w14:textFill>
                  <w14:solidFill>
                    <w14:schemeClr w14:val="tx1"/>
                  </w14:solidFill>
                </w14:textFill>
              </w:rPr>
            </w:pPr>
          </w:p>
        </w:tc>
      </w:tr>
      <w:tr w14:paraId="19608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1314B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1.9.2</w:t>
            </w:r>
          </w:p>
        </w:tc>
        <w:tc>
          <w:tcPr>
            <w:tcW w:w="8149" w:type="dxa"/>
            <w:vAlign w:val="center"/>
          </w:tcPr>
          <w:p w14:paraId="424D5CF5">
            <w:pPr>
              <w:spacing w:line="360" w:lineRule="auto"/>
              <w:rPr>
                <w:rFonts w:ascii="仿宋" w:hAnsi="仿宋" w:eastAsia="仿宋" w:cs="仿宋"/>
                <w:color w:val="000000" w:themeColor="text1"/>
                <w:sz w:val="24"/>
                <w:highlight w:val="none"/>
                <w14:textFill>
                  <w14:solidFill>
                    <w14:schemeClr w14:val="tx1"/>
                  </w14:solidFill>
                </w14:textFill>
              </w:rPr>
            </w:pPr>
          </w:p>
        </w:tc>
      </w:tr>
      <w:tr w14:paraId="44D68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6976F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2.3.2</w:t>
            </w:r>
          </w:p>
        </w:tc>
        <w:tc>
          <w:tcPr>
            <w:tcW w:w="8149" w:type="dxa"/>
            <w:vAlign w:val="center"/>
          </w:tcPr>
          <w:p w14:paraId="052ED513">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3F507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A4605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2.5</w:t>
            </w:r>
          </w:p>
        </w:tc>
        <w:tc>
          <w:tcPr>
            <w:tcW w:w="8149" w:type="dxa"/>
            <w:vAlign w:val="center"/>
          </w:tcPr>
          <w:p w14:paraId="254F774D">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tc>
      </w:tr>
      <w:tr w14:paraId="476CB6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3BD56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2.11.3</w:t>
            </w:r>
          </w:p>
        </w:tc>
        <w:tc>
          <w:tcPr>
            <w:tcW w:w="8149" w:type="dxa"/>
            <w:vAlign w:val="center"/>
          </w:tcPr>
          <w:p w14:paraId="79A3D8C2">
            <w:pPr>
              <w:spacing w:line="360" w:lineRule="auto"/>
              <w:rPr>
                <w:rFonts w:ascii="仿宋" w:hAnsi="仿宋" w:eastAsia="仿宋" w:cs="仿宋"/>
                <w:color w:val="000000" w:themeColor="text1"/>
                <w:sz w:val="24"/>
                <w:highlight w:val="none"/>
                <w14:textFill>
                  <w14:solidFill>
                    <w14:schemeClr w14:val="tx1"/>
                  </w14:solidFill>
                </w14:textFill>
              </w:rPr>
            </w:pPr>
          </w:p>
        </w:tc>
      </w:tr>
      <w:tr w14:paraId="25AC8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9A59A59">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2.11.4 </w:t>
            </w:r>
          </w:p>
        </w:tc>
        <w:tc>
          <w:tcPr>
            <w:tcW w:w="8149" w:type="dxa"/>
          </w:tcPr>
          <w:p w14:paraId="10D2743B">
            <w:pPr>
              <w:spacing w:line="360" w:lineRule="auto"/>
              <w:rPr>
                <w:rFonts w:ascii="仿宋" w:hAnsi="仿宋" w:eastAsia="仿宋" w:cs="仿宋"/>
                <w:color w:val="000000" w:themeColor="text1"/>
                <w:sz w:val="24"/>
                <w:highlight w:val="none"/>
                <w14:textFill>
                  <w14:solidFill>
                    <w14:schemeClr w14:val="tx1"/>
                  </w14:solidFill>
                </w14:textFill>
              </w:rPr>
            </w:pPr>
          </w:p>
        </w:tc>
      </w:tr>
      <w:tr w14:paraId="5911D2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D7FB2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2.15.1</w:t>
            </w:r>
          </w:p>
        </w:tc>
        <w:tc>
          <w:tcPr>
            <w:tcW w:w="8149" w:type="dxa"/>
            <w:vAlign w:val="center"/>
          </w:tcPr>
          <w:p w14:paraId="7709E3C0">
            <w:pPr>
              <w:spacing w:line="360" w:lineRule="auto"/>
              <w:rPr>
                <w:rFonts w:ascii="仿宋" w:hAnsi="仿宋" w:eastAsia="仿宋" w:cs="仿宋"/>
                <w:color w:val="000000" w:themeColor="text1"/>
                <w:sz w:val="24"/>
                <w:highlight w:val="none"/>
                <w14:textFill>
                  <w14:solidFill>
                    <w14:schemeClr w14:val="tx1"/>
                  </w14:solidFill>
                </w14:textFill>
              </w:rPr>
            </w:pPr>
          </w:p>
        </w:tc>
      </w:tr>
      <w:tr w14:paraId="6449E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3613E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2.15.3</w:t>
            </w:r>
          </w:p>
        </w:tc>
        <w:tc>
          <w:tcPr>
            <w:tcW w:w="8149" w:type="dxa"/>
            <w:vAlign w:val="center"/>
          </w:tcPr>
          <w:p w14:paraId="5D84D86D">
            <w:pPr>
              <w:spacing w:line="360" w:lineRule="auto"/>
              <w:rPr>
                <w:rFonts w:ascii="仿宋" w:hAnsi="仿宋" w:eastAsia="仿宋" w:cs="仿宋"/>
                <w:color w:val="000000" w:themeColor="text1"/>
                <w:sz w:val="24"/>
                <w:highlight w:val="none"/>
                <w14:textFill>
                  <w14:solidFill>
                    <w14:schemeClr w14:val="tx1"/>
                  </w14:solidFill>
                </w14:textFill>
              </w:rPr>
            </w:pPr>
          </w:p>
        </w:tc>
      </w:tr>
      <w:tr w14:paraId="7AA8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1C5AAEB">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2.19</w:t>
            </w:r>
          </w:p>
        </w:tc>
        <w:tc>
          <w:tcPr>
            <w:tcW w:w="8149" w:type="dxa"/>
          </w:tcPr>
          <w:p w14:paraId="3BE44BF7">
            <w:pPr>
              <w:spacing w:line="360" w:lineRule="auto"/>
              <w:rPr>
                <w:rFonts w:ascii="仿宋" w:hAnsi="仿宋" w:eastAsia="仿宋" w:cs="仿宋"/>
                <w:color w:val="000000" w:themeColor="text1"/>
                <w:sz w:val="24"/>
                <w:highlight w:val="none"/>
                <w14:textFill>
                  <w14:solidFill>
                    <w14:schemeClr w14:val="tx1"/>
                  </w14:solidFill>
                </w14:textFill>
              </w:rPr>
            </w:pPr>
          </w:p>
        </w:tc>
      </w:tr>
    </w:tbl>
    <w:p w14:paraId="42B49321">
      <w:pPr>
        <w:spacing w:line="360" w:lineRule="auto"/>
        <w:ind w:left="-420" w:leftChars="-200" w:right="-420" w:rightChars="-200" w:firstLine="480" w:firstLineChars="200"/>
        <w:rPr>
          <w:rFonts w:ascii="仿宋" w:hAnsi="仿宋" w:eastAsia="仿宋" w:cs="仿宋"/>
          <w:color w:val="000000" w:themeColor="text1"/>
          <w:sz w:val="24"/>
          <w:highlight w:val="none"/>
          <w14:textFill>
            <w14:solidFill>
              <w14:schemeClr w14:val="tx1"/>
            </w14:solidFill>
          </w14:textFill>
        </w:rPr>
      </w:pPr>
    </w:p>
    <w:p w14:paraId="6AAC75E3">
      <w:pPr>
        <w:spacing w:line="360" w:lineRule="auto"/>
        <w:ind w:left="-420" w:leftChars="-200" w:right="-420" w:rightChars="-200" w:firstLine="480" w:firstLineChars="200"/>
        <w:jc w:val="center"/>
        <w:outlineLvl w:val="0"/>
        <w:rPr>
          <w:rFonts w:ascii="仿宋" w:hAnsi="仿宋" w:eastAsia="仿宋" w:cs="仿宋"/>
          <w:color w:val="000000" w:themeColor="text1"/>
          <w:sz w:val="24"/>
          <w:highlight w:val="none"/>
          <w14:textFill>
            <w14:solidFill>
              <w14:schemeClr w14:val="tx1"/>
            </w14:solidFill>
          </w14:textFill>
        </w:rPr>
      </w:pPr>
    </w:p>
    <w:p w14:paraId="7E39F28D">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EFC7191">
      <w:pPr>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1、评标方法：</w:t>
      </w:r>
    </w:p>
    <w:p w14:paraId="3CF568B5">
      <w:pPr>
        <w:spacing w:line="44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EF2FB8">
      <w:pPr>
        <w:spacing w:line="440" w:lineRule="exact"/>
        <w:ind w:firstLine="472" w:firstLineChars="196"/>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0A89206">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AB6A5D9">
      <w:pPr>
        <w:spacing w:line="440" w:lineRule="exact"/>
        <w:ind w:firstLine="482"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14:textFill>
            <w14:solidFill>
              <w14:schemeClr w14:val="tx1"/>
            </w14:solidFill>
          </w14:textFill>
        </w:rPr>
        <w:t>85</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14:textFill>
            <w14:solidFill>
              <w14:schemeClr w14:val="tx1"/>
            </w14:solidFill>
          </w14:textFill>
        </w:rPr>
        <w:t>15</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4D3DCF10">
      <w:pPr>
        <w:spacing w:line="440" w:lineRule="exact"/>
        <w:ind w:firstLine="482" w:firstLineChars="200"/>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14:textFill>
            <w14:solidFill>
              <w14:schemeClr w14:val="tx1"/>
            </w14:solidFill>
          </w14:textFill>
        </w:rPr>
        <w:t>85</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2"/>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781"/>
        <w:gridCol w:w="6587"/>
        <w:gridCol w:w="816"/>
      </w:tblGrid>
      <w:tr w14:paraId="423A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565FD8FA">
            <w:pPr>
              <w:widowControl/>
              <w:spacing w:line="24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序号</w:t>
            </w:r>
          </w:p>
        </w:tc>
        <w:tc>
          <w:tcPr>
            <w:tcW w:w="781" w:type="dxa"/>
            <w:noWrap w:val="0"/>
            <w:vAlign w:val="center"/>
          </w:tcPr>
          <w:p w14:paraId="500C99CC">
            <w:pPr>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6587" w:type="dxa"/>
            <w:noWrap w:val="0"/>
            <w:vAlign w:val="center"/>
          </w:tcPr>
          <w:p w14:paraId="6476B60C">
            <w:pPr>
              <w:spacing w:line="24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评分细则</w:t>
            </w:r>
          </w:p>
        </w:tc>
        <w:tc>
          <w:tcPr>
            <w:tcW w:w="816" w:type="dxa"/>
            <w:noWrap w:val="0"/>
            <w:vAlign w:val="center"/>
          </w:tcPr>
          <w:p w14:paraId="183E9E96">
            <w:pPr>
              <w:widowControl/>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14:paraId="2308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70DE89BF">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781" w:type="dxa"/>
            <w:noWrap w:val="0"/>
            <w:vAlign w:val="center"/>
          </w:tcPr>
          <w:p w14:paraId="5983F31F">
            <w:pPr>
              <w:adjustRightIn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pacing w:val="-10"/>
                <w:sz w:val="24"/>
                <w:szCs w:val="24"/>
                <w:highlight w:val="none"/>
              </w:rPr>
              <w:t>企业资质</w:t>
            </w:r>
          </w:p>
        </w:tc>
        <w:tc>
          <w:tcPr>
            <w:tcW w:w="6587" w:type="dxa"/>
            <w:noWrap w:val="0"/>
            <w:vAlign w:val="center"/>
          </w:tcPr>
          <w:p w14:paraId="797CE661">
            <w:pPr>
              <w:adjustRightInd/>
              <w:spacing w:line="240" w:lineRule="auto"/>
              <w:jc w:val="left"/>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1.具有ISO9001质量管理体系认证，得</w:t>
            </w:r>
            <w:r>
              <w:rPr>
                <w:rFonts w:hint="eastAsia" w:ascii="仿宋" w:hAnsi="仿宋" w:eastAsia="仿宋" w:cs="仿宋"/>
                <w:color w:val="auto"/>
                <w:spacing w:val="-10"/>
                <w:sz w:val="24"/>
                <w:szCs w:val="24"/>
                <w:highlight w:val="none"/>
                <w:lang w:val="en-US" w:eastAsia="zh-CN"/>
              </w:rPr>
              <w:t>1</w:t>
            </w:r>
            <w:r>
              <w:rPr>
                <w:rFonts w:hint="eastAsia" w:ascii="仿宋" w:hAnsi="仿宋" w:eastAsia="仿宋" w:cs="仿宋"/>
                <w:color w:val="auto"/>
                <w:spacing w:val="-10"/>
                <w:sz w:val="24"/>
                <w:szCs w:val="24"/>
                <w:highlight w:val="none"/>
              </w:rPr>
              <w:t>分；</w:t>
            </w:r>
          </w:p>
          <w:p w14:paraId="79383C66">
            <w:pPr>
              <w:adjustRightInd/>
              <w:spacing w:line="240" w:lineRule="auto"/>
              <w:jc w:val="left"/>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2.具有ISO22000食品安全管理体系认证，得</w:t>
            </w:r>
            <w:r>
              <w:rPr>
                <w:rFonts w:hint="eastAsia" w:ascii="仿宋" w:hAnsi="仿宋" w:eastAsia="仿宋" w:cs="仿宋"/>
                <w:color w:val="auto"/>
                <w:spacing w:val="-10"/>
                <w:sz w:val="24"/>
                <w:szCs w:val="24"/>
                <w:highlight w:val="none"/>
                <w:lang w:val="en-US" w:eastAsia="zh-CN"/>
              </w:rPr>
              <w:t>1</w:t>
            </w:r>
            <w:r>
              <w:rPr>
                <w:rFonts w:hint="eastAsia" w:ascii="仿宋" w:hAnsi="仿宋" w:eastAsia="仿宋" w:cs="仿宋"/>
                <w:color w:val="auto"/>
                <w:spacing w:val="-10"/>
                <w:sz w:val="24"/>
                <w:szCs w:val="24"/>
                <w:highlight w:val="none"/>
              </w:rPr>
              <w:t>分；</w:t>
            </w:r>
          </w:p>
          <w:p w14:paraId="1D77C2FF">
            <w:pPr>
              <w:adjustRightInd/>
              <w:spacing w:line="240" w:lineRule="auto"/>
              <w:jc w:val="left"/>
              <w:rPr>
                <w:rFonts w:hint="eastAsia" w:ascii="仿宋" w:hAnsi="仿宋" w:eastAsia="仿宋" w:cs="仿宋"/>
                <w:color w:val="auto"/>
                <w:spacing w:val="-10"/>
                <w:sz w:val="24"/>
                <w:szCs w:val="24"/>
                <w:highlight w:val="none"/>
              </w:rPr>
            </w:pPr>
            <w:r>
              <w:rPr>
                <w:rFonts w:hint="eastAsia" w:ascii="仿宋" w:hAnsi="仿宋" w:eastAsia="仿宋" w:cs="仿宋"/>
                <w:color w:val="auto"/>
                <w:spacing w:val="-10"/>
                <w:sz w:val="24"/>
                <w:szCs w:val="24"/>
                <w:highlight w:val="none"/>
              </w:rPr>
              <w:t>3.具有ISO14001环境管理体系认证，得</w:t>
            </w:r>
            <w:r>
              <w:rPr>
                <w:rFonts w:hint="eastAsia" w:ascii="仿宋" w:hAnsi="仿宋" w:eastAsia="仿宋" w:cs="仿宋"/>
                <w:color w:val="auto"/>
                <w:spacing w:val="-10"/>
                <w:sz w:val="24"/>
                <w:szCs w:val="24"/>
                <w:highlight w:val="none"/>
                <w:lang w:val="en-US" w:eastAsia="zh-CN"/>
              </w:rPr>
              <w:t>1</w:t>
            </w:r>
            <w:r>
              <w:rPr>
                <w:rFonts w:hint="eastAsia" w:ascii="仿宋" w:hAnsi="仿宋" w:eastAsia="仿宋" w:cs="仿宋"/>
                <w:color w:val="auto"/>
                <w:spacing w:val="-10"/>
                <w:sz w:val="24"/>
                <w:szCs w:val="24"/>
                <w:highlight w:val="none"/>
              </w:rPr>
              <w:t>分；</w:t>
            </w:r>
          </w:p>
          <w:p w14:paraId="7DA51442">
            <w:pPr>
              <w:adjustRightInd/>
              <w:spacing w:line="24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b/>
                <w:bCs/>
                <w:color w:val="auto"/>
                <w:spacing w:val="-10"/>
                <w:sz w:val="24"/>
                <w:szCs w:val="24"/>
                <w:highlight w:val="none"/>
                <w:lang w:val="en-US" w:eastAsia="zh-CN"/>
              </w:rPr>
              <w:t>注：</w:t>
            </w:r>
            <w:r>
              <w:rPr>
                <w:rFonts w:hint="eastAsia" w:ascii="仿宋" w:hAnsi="仿宋" w:eastAsia="仿宋" w:cs="仿宋"/>
                <w:b/>
                <w:bCs/>
                <w:color w:val="auto"/>
                <w:spacing w:val="-10"/>
                <w:sz w:val="24"/>
                <w:szCs w:val="24"/>
                <w:highlight w:val="none"/>
              </w:rPr>
              <w:t>提供证书复印件和全国认证认可公共服务平台http://www.cnca.gov.cn/的查询截图并加盖公章，证明材料不齐全不得分</w:t>
            </w:r>
            <w:r>
              <w:rPr>
                <w:rFonts w:hint="eastAsia" w:ascii="仿宋" w:hAnsi="仿宋" w:eastAsia="仿宋" w:cs="仿宋"/>
                <w:b/>
                <w:bCs/>
                <w:color w:val="auto"/>
                <w:spacing w:val="-10"/>
                <w:sz w:val="24"/>
                <w:szCs w:val="24"/>
                <w:highlight w:val="none"/>
                <w:lang w:eastAsia="zh-CN"/>
              </w:rPr>
              <w:t>。</w:t>
            </w:r>
          </w:p>
        </w:tc>
        <w:tc>
          <w:tcPr>
            <w:tcW w:w="816" w:type="dxa"/>
            <w:noWrap w:val="0"/>
            <w:vAlign w:val="center"/>
          </w:tcPr>
          <w:p w14:paraId="638F484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r w14:paraId="3BAF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5912FAE9">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781" w:type="dxa"/>
            <w:noWrap w:val="0"/>
            <w:vAlign w:val="center"/>
          </w:tcPr>
          <w:p w14:paraId="16373FC5">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业绩</w:t>
            </w:r>
          </w:p>
        </w:tc>
        <w:tc>
          <w:tcPr>
            <w:tcW w:w="6587" w:type="dxa"/>
            <w:noWrap w:val="0"/>
            <w:vAlign w:val="center"/>
          </w:tcPr>
          <w:p w14:paraId="504A6E23">
            <w:pPr>
              <w:keepNext w:val="0"/>
              <w:keepLines w:val="0"/>
              <w:pageBreakBefore w:val="0"/>
              <w:kinsoku/>
              <w:wordWrap/>
              <w:overflowPunct/>
              <w:topLinePunct w:val="0"/>
              <w:bidi w:val="0"/>
              <w:spacing w:line="240"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提供202</w:t>
            </w:r>
            <w:r>
              <w:rPr>
                <w:rFonts w:hint="eastAsia" w:ascii="仿宋" w:hAnsi="仿宋" w:eastAsia="仿宋" w:cs="仿宋"/>
                <w:b w:val="0"/>
                <w:bCs w:val="0"/>
                <w:color w:val="auto"/>
                <w:kern w:val="0"/>
                <w:sz w:val="24"/>
                <w:szCs w:val="24"/>
                <w:highlight w:val="none"/>
                <w:lang w:val="en-US" w:eastAsia="zh-CN"/>
              </w:rPr>
              <w:t>2</w:t>
            </w:r>
            <w:r>
              <w:rPr>
                <w:rFonts w:hint="eastAsia" w:ascii="仿宋" w:hAnsi="仿宋" w:eastAsia="仿宋" w:cs="仿宋"/>
                <w:b w:val="0"/>
                <w:bCs w:val="0"/>
                <w:color w:val="auto"/>
                <w:kern w:val="0"/>
                <w:sz w:val="24"/>
                <w:szCs w:val="24"/>
                <w:highlight w:val="none"/>
              </w:rPr>
              <w:t>年</w:t>
            </w:r>
            <w:r>
              <w:rPr>
                <w:rFonts w:hint="eastAsia" w:ascii="仿宋" w:hAnsi="仿宋" w:eastAsia="仿宋" w:cs="仿宋"/>
                <w:b w:val="0"/>
                <w:bCs w:val="0"/>
                <w:color w:val="auto"/>
                <w:kern w:val="0"/>
                <w:sz w:val="24"/>
                <w:szCs w:val="24"/>
                <w:highlight w:val="none"/>
                <w:lang w:val="en-US" w:eastAsia="zh-CN"/>
              </w:rPr>
              <w:t>1月以来（以签订合同时间为准）</w:t>
            </w:r>
            <w:r>
              <w:rPr>
                <w:rFonts w:hint="eastAsia" w:ascii="仿宋" w:hAnsi="仿宋" w:eastAsia="仿宋" w:cs="仿宋"/>
                <w:b w:val="0"/>
                <w:bCs w:val="0"/>
                <w:color w:val="auto"/>
                <w:kern w:val="0"/>
                <w:sz w:val="24"/>
                <w:szCs w:val="24"/>
                <w:highlight w:val="none"/>
              </w:rPr>
              <w:t>至今同类配送业绩，每份得</w:t>
            </w:r>
            <w:r>
              <w:rPr>
                <w:rFonts w:hint="eastAsia" w:ascii="仿宋" w:hAnsi="仿宋" w:eastAsia="仿宋" w:cs="仿宋"/>
                <w:b w:val="0"/>
                <w:bCs w:val="0"/>
                <w:color w:val="auto"/>
                <w:kern w:val="0"/>
                <w:sz w:val="24"/>
                <w:szCs w:val="24"/>
                <w:highlight w:val="none"/>
                <w:lang w:val="en-US" w:eastAsia="zh-CN"/>
              </w:rPr>
              <w:t>0.5</w:t>
            </w:r>
            <w:r>
              <w:rPr>
                <w:rFonts w:hint="eastAsia" w:ascii="仿宋" w:hAnsi="仿宋" w:eastAsia="仿宋" w:cs="仿宋"/>
                <w:b w:val="0"/>
                <w:bCs w:val="0"/>
                <w:color w:val="auto"/>
                <w:kern w:val="0"/>
                <w:sz w:val="24"/>
                <w:szCs w:val="24"/>
                <w:highlight w:val="none"/>
              </w:rPr>
              <w:t>分，本项最多得</w:t>
            </w:r>
            <w:r>
              <w:rPr>
                <w:rFonts w:hint="eastAsia" w:ascii="仿宋" w:hAnsi="仿宋" w:eastAsia="仿宋" w:cs="仿宋"/>
                <w:b w:val="0"/>
                <w:bCs w:val="0"/>
                <w:color w:val="auto"/>
                <w:kern w:val="0"/>
                <w:sz w:val="24"/>
                <w:szCs w:val="24"/>
                <w:highlight w:val="none"/>
                <w:lang w:val="en-US" w:eastAsia="zh-CN"/>
              </w:rPr>
              <w:t>1.5</w:t>
            </w:r>
            <w:r>
              <w:rPr>
                <w:rFonts w:hint="eastAsia" w:ascii="仿宋" w:hAnsi="仿宋" w:eastAsia="仿宋" w:cs="仿宋"/>
                <w:b w:val="0"/>
                <w:bCs w:val="0"/>
                <w:color w:val="auto"/>
                <w:kern w:val="0"/>
                <w:sz w:val="24"/>
                <w:szCs w:val="24"/>
                <w:highlight w:val="none"/>
              </w:rPr>
              <w:t>分。</w:t>
            </w:r>
          </w:p>
          <w:p w14:paraId="4F563E27">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b/>
                <w:bCs/>
                <w:color w:val="auto"/>
                <w:sz w:val="24"/>
                <w:szCs w:val="24"/>
                <w:highlight w:val="none"/>
                <w:lang w:val="en-US" w:eastAsia="zh-CN"/>
              </w:rPr>
              <w:t>投标文件中提供合同复印件并加盖投标人公章。</w:t>
            </w:r>
          </w:p>
        </w:tc>
        <w:tc>
          <w:tcPr>
            <w:tcW w:w="816" w:type="dxa"/>
            <w:noWrap w:val="0"/>
            <w:vAlign w:val="center"/>
          </w:tcPr>
          <w:p w14:paraId="2F56EB78">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14:paraId="1684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473C81B2">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781" w:type="dxa"/>
            <w:noWrap w:val="0"/>
            <w:vAlign w:val="center"/>
          </w:tcPr>
          <w:p w14:paraId="40FF67E9">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安全保障</w:t>
            </w:r>
          </w:p>
        </w:tc>
        <w:tc>
          <w:tcPr>
            <w:tcW w:w="6587" w:type="dxa"/>
            <w:noWrap w:val="0"/>
            <w:vAlign w:val="center"/>
          </w:tcPr>
          <w:p w14:paraId="06CCB1DB">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①投标人投保的食品安全责任险，每次事故责任限额2000万元得1分，每增加500万元得0.5分,本项最高得2分；</w:t>
            </w:r>
          </w:p>
          <w:p w14:paraId="0B7B8184">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②投标人投保公众责任险，每次事故责任限额不低于1000万元，且每人责任限额不低于100万元且处于保险期内的得2分。</w:t>
            </w:r>
          </w:p>
          <w:p w14:paraId="08D4EEB8">
            <w:pPr>
              <w:widowControl/>
              <w:spacing w:line="240" w:lineRule="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b/>
                <w:bCs/>
                <w:color w:val="auto"/>
                <w:sz w:val="24"/>
                <w:szCs w:val="24"/>
                <w:highlight w:val="none"/>
              </w:rPr>
              <w:t>提供保单复印件并加盖</w:t>
            </w:r>
            <w:r>
              <w:rPr>
                <w:rFonts w:hint="eastAsia" w:ascii="仿宋" w:hAnsi="仿宋" w:eastAsia="仿宋" w:cs="仿宋"/>
                <w:b/>
                <w:bCs/>
                <w:color w:val="auto"/>
                <w:sz w:val="24"/>
                <w:szCs w:val="24"/>
                <w:highlight w:val="none"/>
                <w:lang w:val="en-US" w:eastAsia="zh-CN"/>
              </w:rPr>
              <w:t>投标人</w:t>
            </w:r>
            <w:r>
              <w:rPr>
                <w:rFonts w:hint="eastAsia" w:ascii="仿宋" w:hAnsi="仿宋" w:eastAsia="仿宋" w:cs="仿宋"/>
                <w:b/>
                <w:bCs/>
                <w:color w:val="auto"/>
                <w:sz w:val="24"/>
                <w:szCs w:val="24"/>
                <w:highlight w:val="none"/>
              </w:rPr>
              <w:t>公章</w:t>
            </w:r>
            <w:r>
              <w:rPr>
                <w:rFonts w:hint="eastAsia" w:ascii="仿宋" w:hAnsi="仿宋" w:eastAsia="仿宋" w:cs="仿宋"/>
                <w:b/>
                <w:bCs/>
                <w:color w:val="auto"/>
                <w:sz w:val="24"/>
                <w:szCs w:val="24"/>
                <w:highlight w:val="none"/>
                <w:lang w:eastAsia="zh-CN"/>
              </w:rPr>
              <w:t>。</w:t>
            </w:r>
          </w:p>
        </w:tc>
        <w:tc>
          <w:tcPr>
            <w:tcW w:w="816" w:type="dxa"/>
            <w:noWrap w:val="0"/>
            <w:vAlign w:val="center"/>
          </w:tcPr>
          <w:p w14:paraId="16F57DCB">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r>
      <w:tr w14:paraId="53AC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3C855609">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781" w:type="dxa"/>
            <w:noWrap w:val="0"/>
            <w:vAlign w:val="center"/>
          </w:tcPr>
          <w:p w14:paraId="7669E3E2">
            <w:pPr>
              <w:widowControl/>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检测设备</w:t>
            </w:r>
          </w:p>
        </w:tc>
        <w:tc>
          <w:tcPr>
            <w:tcW w:w="6587" w:type="dxa"/>
            <w:noWrap w:val="0"/>
            <w:vAlign w:val="center"/>
          </w:tcPr>
          <w:p w14:paraId="4A03CA80">
            <w:pPr>
              <w:widowControl/>
              <w:spacing w:line="240" w:lineRule="auto"/>
              <w:rPr>
                <w:rStyle w:val="265"/>
                <w:rFonts w:hint="eastAsia" w:ascii="仿宋" w:hAnsi="仿宋" w:eastAsia="仿宋" w:cs="仿宋"/>
                <w:color w:val="auto"/>
                <w:sz w:val="24"/>
                <w:szCs w:val="24"/>
                <w:highlight w:val="none"/>
                <w:lang w:eastAsia="zh-CN"/>
              </w:rPr>
            </w:pPr>
            <w:r>
              <w:rPr>
                <w:rStyle w:val="265"/>
                <w:rFonts w:hint="eastAsia" w:ascii="仿宋" w:hAnsi="仿宋" w:eastAsia="仿宋" w:cs="仿宋"/>
                <w:color w:val="auto"/>
                <w:sz w:val="24"/>
                <w:szCs w:val="24"/>
                <w:highlight w:val="none"/>
              </w:rPr>
              <w:t>投标企业自有检测室内具备专业检测设备设施:多功能食品安全检测仪，食品细菌快速检测仪，样品浓缩仪，快速蒸馏提取仪，涡旋仪，电子天平，移液枪，手持式采样编码仪，粉碎机，离心机，</w:t>
            </w:r>
            <w:r>
              <w:rPr>
                <w:rFonts w:hint="eastAsia" w:ascii="仿宋" w:hAnsi="仿宋" w:eastAsia="仿宋" w:cs="仿宋"/>
                <w:color w:val="auto"/>
                <w:sz w:val="24"/>
                <w:szCs w:val="24"/>
                <w:highlight w:val="none"/>
                <w:lang w:val="en-US" w:eastAsia="zh-CN"/>
              </w:rPr>
              <w:t>水浴锅，紫外分光光度计，纯水仪</w:t>
            </w:r>
            <w:r>
              <w:rPr>
                <w:rStyle w:val="265"/>
                <w:rFonts w:hint="eastAsia" w:ascii="仿宋" w:hAnsi="仿宋" w:eastAsia="仿宋" w:cs="仿宋"/>
                <w:color w:val="auto"/>
                <w:sz w:val="24"/>
                <w:szCs w:val="24"/>
                <w:highlight w:val="none"/>
              </w:rPr>
              <w:t>，每提供一个设备证明得0.5分，本项最高得6</w:t>
            </w:r>
            <w:r>
              <w:rPr>
                <w:rStyle w:val="265"/>
                <w:rFonts w:hint="eastAsia" w:ascii="仿宋" w:hAnsi="仿宋" w:eastAsia="仿宋" w:cs="仿宋"/>
                <w:color w:val="auto"/>
                <w:sz w:val="24"/>
                <w:szCs w:val="24"/>
                <w:highlight w:val="none"/>
                <w:lang w:val="en-US" w:eastAsia="zh-CN"/>
              </w:rPr>
              <w:t>.5</w:t>
            </w:r>
            <w:r>
              <w:rPr>
                <w:rStyle w:val="265"/>
                <w:rFonts w:hint="eastAsia" w:ascii="仿宋" w:hAnsi="仿宋" w:eastAsia="仿宋" w:cs="仿宋"/>
                <w:color w:val="auto"/>
                <w:sz w:val="24"/>
                <w:szCs w:val="24"/>
                <w:highlight w:val="none"/>
              </w:rPr>
              <w:t>分</w:t>
            </w:r>
            <w:r>
              <w:rPr>
                <w:rStyle w:val="265"/>
                <w:rFonts w:hint="eastAsia" w:ascii="仿宋" w:hAnsi="仿宋" w:eastAsia="仿宋" w:cs="仿宋"/>
                <w:color w:val="auto"/>
                <w:sz w:val="24"/>
                <w:szCs w:val="24"/>
                <w:highlight w:val="none"/>
                <w:lang w:eastAsia="zh-CN"/>
              </w:rPr>
              <w:t>。</w:t>
            </w:r>
          </w:p>
          <w:p w14:paraId="3347E578">
            <w:pPr>
              <w:widowControl/>
              <w:spacing w:line="240" w:lineRule="auto"/>
              <w:rPr>
                <w:rStyle w:val="265"/>
                <w:rFonts w:hint="eastAsia" w:ascii="仿宋" w:hAnsi="仿宋" w:eastAsia="仿宋" w:cs="仿宋"/>
                <w:color w:val="auto"/>
                <w:sz w:val="24"/>
                <w:szCs w:val="24"/>
                <w:highlight w:val="none"/>
              </w:rPr>
            </w:pPr>
            <w:r>
              <w:rPr>
                <w:rStyle w:val="265"/>
                <w:rFonts w:hint="eastAsia" w:ascii="仿宋" w:hAnsi="仿宋" w:eastAsia="仿宋" w:cs="仿宋"/>
                <w:b/>
                <w:bCs/>
                <w:color w:val="auto"/>
                <w:sz w:val="24"/>
                <w:szCs w:val="24"/>
                <w:highlight w:val="none"/>
                <w:lang w:val="en-US" w:eastAsia="zh-CN"/>
              </w:rPr>
              <w:t>注：需</w:t>
            </w:r>
            <w:r>
              <w:rPr>
                <w:rStyle w:val="265"/>
                <w:rFonts w:hint="eastAsia" w:ascii="仿宋" w:hAnsi="仿宋" w:eastAsia="仿宋" w:cs="仿宋"/>
                <w:b/>
                <w:bCs/>
                <w:color w:val="auto"/>
                <w:sz w:val="24"/>
                <w:szCs w:val="24"/>
                <w:highlight w:val="none"/>
              </w:rPr>
              <w:t>提供设备购置发票及设备照片。</w:t>
            </w:r>
          </w:p>
        </w:tc>
        <w:tc>
          <w:tcPr>
            <w:tcW w:w="816" w:type="dxa"/>
            <w:noWrap w:val="0"/>
            <w:vAlign w:val="center"/>
          </w:tcPr>
          <w:p w14:paraId="06A69D42">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6.5</w:t>
            </w:r>
          </w:p>
        </w:tc>
      </w:tr>
      <w:tr w14:paraId="0945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864" w:type="dxa"/>
            <w:noWrap w:val="0"/>
            <w:vAlign w:val="center"/>
          </w:tcPr>
          <w:p w14:paraId="68575B1C">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781" w:type="dxa"/>
            <w:noWrap w:val="0"/>
            <w:vAlign w:val="center"/>
          </w:tcPr>
          <w:p w14:paraId="3434828C">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highlight w:val="none"/>
              </w:rPr>
              <w:t>企业综合实力</w:t>
            </w:r>
          </w:p>
        </w:tc>
        <w:tc>
          <w:tcPr>
            <w:tcW w:w="6587" w:type="dxa"/>
            <w:noWrap w:val="0"/>
            <w:vAlign w:val="center"/>
          </w:tcPr>
          <w:p w14:paraId="400CC062">
            <w:pPr>
              <w:widowControl/>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根据投标人自有或租赁蔬菜种植基地、水产养殖基地的情况进行打分：</w:t>
            </w:r>
          </w:p>
          <w:p w14:paraId="061FE4FA">
            <w:pPr>
              <w:widowControl/>
              <w:numPr>
                <w:ilvl w:val="0"/>
                <w:numId w:val="1"/>
              </w:numPr>
              <w:spacing w:line="24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基地划分清晰、科学、设置合理，且满足项目需求</w:t>
            </w:r>
            <w:r>
              <w:rPr>
                <w:rFonts w:hint="eastAsia" w:ascii="仿宋" w:hAnsi="仿宋" w:eastAsia="仿宋" w:cs="仿宋"/>
                <w:color w:val="auto"/>
                <w:sz w:val="24"/>
                <w:highlight w:val="none"/>
                <w:lang w:val="en-US" w:eastAsia="zh-CN"/>
              </w:rPr>
              <w:t>的得6.1-9</w:t>
            </w:r>
            <w:r>
              <w:rPr>
                <w:rFonts w:hint="eastAsia" w:ascii="仿宋" w:hAnsi="仿宋" w:eastAsia="仿宋" w:cs="仿宋"/>
                <w:color w:val="auto"/>
                <w:sz w:val="24"/>
                <w:highlight w:val="none"/>
              </w:rPr>
              <w:t>；</w:t>
            </w:r>
          </w:p>
          <w:p w14:paraId="65826D69">
            <w:pPr>
              <w:widowControl/>
              <w:numPr>
                <w:ilvl w:val="0"/>
                <w:numId w:val="1"/>
              </w:numPr>
              <w:spacing w:line="240" w:lineRule="auto"/>
              <w:rPr>
                <w:rStyle w:val="265"/>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基地划分较清晰、较科学、设置较合理、比较满足项目需求</w:t>
            </w:r>
            <w:r>
              <w:rPr>
                <w:rFonts w:hint="eastAsia" w:ascii="仿宋" w:hAnsi="仿宋" w:eastAsia="仿宋" w:cs="仿宋"/>
                <w:color w:val="auto"/>
                <w:sz w:val="24"/>
                <w:highlight w:val="none"/>
                <w:lang w:val="en-US" w:eastAsia="zh-CN"/>
              </w:rPr>
              <w:t>的得3.1-6</w:t>
            </w:r>
            <w:r>
              <w:rPr>
                <w:rFonts w:hint="eastAsia" w:ascii="仿宋" w:hAnsi="仿宋" w:eastAsia="仿宋" w:cs="仿宋"/>
                <w:color w:val="auto"/>
                <w:sz w:val="24"/>
                <w:highlight w:val="none"/>
              </w:rPr>
              <w:t>；</w:t>
            </w:r>
          </w:p>
          <w:p w14:paraId="25DF4734">
            <w:pPr>
              <w:widowControl/>
              <w:numPr>
                <w:ilvl w:val="0"/>
                <w:numId w:val="1"/>
              </w:numPr>
              <w:spacing w:line="240" w:lineRule="auto"/>
              <w:rPr>
                <w:rStyle w:val="265"/>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场所划分混乱，且不满足项目需求</w:t>
            </w:r>
            <w:r>
              <w:rPr>
                <w:rFonts w:hint="eastAsia" w:ascii="仿宋" w:hAnsi="仿宋" w:eastAsia="仿宋" w:cs="仿宋"/>
                <w:color w:val="auto"/>
                <w:sz w:val="24"/>
                <w:highlight w:val="none"/>
                <w:lang w:val="en-US" w:eastAsia="zh-CN"/>
              </w:rPr>
              <w:t>的得0.1-3</w:t>
            </w:r>
            <w:r>
              <w:rPr>
                <w:rFonts w:hint="eastAsia" w:ascii="仿宋" w:hAnsi="仿宋" w:eastAsia="仿宋" w:cs="仿宋"/>
                <w:color w:val="auto"/>
                <w:sz w:val="24"/>
                <w:highlight w:val="none"/>
              </w:rPr>
              <w:t>；不提供不得分</w:t>
            </w:r>
            <w:r>
              <w:rPr>
                <w:rFonts w:hint="eastAsia" w:ascii="仿宋" w:hAnsi="仿宋" w:eastAsia="仿宋" w:cs="仿宋"/>
                <w:color w:val="auto"/>
                <w:sz w:val="24"/>
                <w:highlight w:val="none"/>
                <w:lang w:eastAsia="zh-CN"/>
              </w:rPr>
              <w:t>。</w:t>
            </w:r>
          </w:p>
          <w:p w14:paraId="09755E0C">
            <w:pPr>
              <w:widowControl/>
              <w:numPr>
                <w:ilvl w:val="0"/>
                <w:numId w:val="0"/>
              </w:numPr>
              <w:spacing w:line="240" w:lineRule="auto"/>
              <w:rPr>
                <w:rFonts w:hint="eastAsia" w:eastAsia="仿宋"/>
                <w:color w:val="auto"/>
                <w:highlight w:val="none"/>
                <w:lang w:eastAsia="zh-CN"/>
              </w:rPr>
            </w:pPr>
            <w:r>
              <w:rPr>
                <w:rFonts w:hint="eastAsia" w:ascii="仿宋" w:hAnsi="仿宋" w:eastAsia="仿宋" w:cs="仿宋"/>
                <w:b/>
                <w:bCs/>
                <w:color w:val="auto"/>
                <w:sz w:val="24"/>
                <w:highlight w:val="none"/>
                <w:lang w:val="en-US" w:eastAsia="zh-CN"/>
              </w:rPr>
              <w:t>注：</w:t>
            </w:r>
            <w:r>
              <w:rPr>
                <w:rFonts w:hint="eastAsia" w:ascii="仿宋" w:hAnsi="仿宋" w:eastAsia="仿宋" w:cs="仿宋"/>
                <w:b/>
                <w:bCs/>
                <w:color w:val="auto"/>
                <w:sz w:val="24"/>
                <w:highlight w:val="none"/>
              </w:rPr>
              <w:t>提供产权证或租赁合同及相关证明材料并加盖</w:t>
            </w:r>
            <w:r>
              <w:rPr>
                <w:rFonts w:hint="eastAsia" w:ascii="仿宋" w:hAnsi="仿宋" w:eastAsia="仿宋" w:cs="仿宋"/>
                <w:b/>
                <w:bCs/>
                <w:color w:val="auto"/>
                <w:sz w:val="24"/>
                <w:highlight w:val="none"/>
                <w:lang w:val="en-US" w:eastAsia="zh-CN"/>
              </w:rPr>
              <w:t>投标人</w:t>
            </w:r>
            <w:r>
              <w:rPr>
                <w:rFonts w:hint="eastAsia" w:ascii="仿宋" w:hAnsi="仿宋" w:eastAsia="仿宋" w:cs="仿宋"/>
                <w:b/>
                <w:bCs/>
                <w:color w:val="auto"/>
                <w:sz w:val="24"/>
                <w:highlight w:val="none"/>
              </w:rPr>
              <w:t>公章</w:t>
            </w:r>
            <w:r>
              <w:rPr>
                <w:rFonts w:hint="eastAsia" w:ascii="仿宋" w:hAnsi="仿宋" w:eastAsia="仿宋" w:cs="仿宋"/>
                <w:b/>
                <w:bCs/>
                <w:color w:val="auto"/>
                <w:sz w:val="24"/>
                <w:highlight w:val="none"/>
                <w:lang w:eastAsia="zh-CN"/>
              </w:rPr>
              <w:t>。</w:t>
            </w:r>
          </w:p>
        </w:tc>
        <w:tc>
          <w:tcPr>
            <w:tcW w:w="816" w:type="dxa"/>
            <w:noWrap w:val="0"/>
            <w:vAlign w:val="center"/>
          </w:tcPr>
          <w:p w14:paraId="5BE61ACC">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375B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864" w:type="dxa"/>
            <w:noWrap w:val="0"/>
            <w:vAlign w:val="center"/>
          </w:tcPr>
          <w:p w14:paraId="0685E355">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781" w:type="dxa"/>
            <w:vMerge w:val="restart"/>
            <w:noWrap w:val="0"/>
            <w:vAlign w:val="center"/>
          </w:tcPr>
          <w:p w14:paraId="5A722E84">
            <w:pPr>
              <w:widowControl/>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配送保障</w:t>
            </w:r>
          </w:p>
        </w:tc>
        <w:tc>
          <w:tcPr>
            <w:tcW w:w="6587" w:type="dxa"/>
            <w:noWrap w:val="0"/>
            <w:vAlign w:val="center"/>
          </w:tcPr>
          <w:p w14:paraId="243AE6AE">
            <w:pPr>
              <w:keepNext w:val="0"/>
              <w:keepLines w:val="0"/>
              <w:pageBreakBefore w:val="0"/>
              <w:kinsoku/>
              <w:wordWrap/>
              <w:overflowPunct/>
              <w:topLinePunct w:val="0"/>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w:t>
            </w:r>
            <w:r>
              <w:rPr>
                <w:rFonts w:hint="eastAsia" w:ascii="仿宋" w:hAnsi="仿宋" w:eastAsia="仿宋" w:cs="仿宋"/>
                <w:b w:val="0"/>
                <w:bCs w:val="0"/>
                <w:color w:val="auto"/>
                <w:kern w:val="0"/>
                <w:sz w:val="24"/>
                <w:szCs w:val="24"/>
                <w:highlight w:val="none"/>
                <w:lang w:val="en-US" w:eastAsia="zh-CN"/>
              </w:rPr>
              <w:t>投标人</w:t>
            </w:r>
            <w:r>
              <w:rPr>
                <w:rFonts w:hint="eastAsia" w:ascii="仿宋" w:hAnsi="仿宋" w:eastAsia="仿宋" w:cs="仿宋"/>
                <w:color w:val="auto"/>
                <w:sz w:val="24"/>
                <w:szCs w:val="24"/>
                <w:highlight w:val="none"/>
                <w:lang w:eastAsia="zh-CN"/>
              </w:rPr>
              <w:t>提供食材高标准品质保障方案，包括</w:t>
            </w:r>
            <w:r>
              <w:rPr>
                <w:rFonts w:hint="eastAsia" w:ascii="仿宋" w:hAnsi="仿宋" w:eastAsia="仿宋" w:cs="仿宋"/>
                <w:color w:val="auto"/>
                <w:sz w:val="24"/>
                <w:szCs w:val="24"/>
                <w:highlight w:val="none"/>
                <w:lang w:val="en-US" w:eastAsia="zh-CN"/>
              </w:rPr>
              <w:t>但</w:t>
            </w:r>
            <w:r>
              <w:rPr>
                <w:rFonts w:hint="eastAsia" w:ascii="仿宋" w:hAnsi="仿宋" w:eastAsia="仿宋" w:cs="仿宋"/>
                <w:color w:val="auto"/>
                <w:sz w:val="24"/>
                <w:szCs w:val="24"/>
                <w:highlight w:val="none"/>
                <w:lang w:eastAsia="zh-CN"/>
              </w:rPr>
              <w:t>不限于严格的选材，用材方案，选材用材制度，品质保证方案等方面进行</w:t>
            </w:r>
            <w:r>
              <w:rPr>
                <w:rFonts w:hint="eastAsia" w:ascii="仿宋" w:hAnsi="仿宋" w:eastAsia="仿宋" w:cs="仿宋"/>
                <w:color w:val="auto"/>
                <w:sz w:val="24"/>
                <w:szCs w:val="24"/>
                <w:highlight w:val="none"/>
                <w:lang w:val="en-US" w:eastAsia="zh-CN"/>
              </w:rPr>
              <w:t>打分</w:t>
            </w:r>
            <w:r>
              <w:rPr>
                <w:rFonts w:hint="eastAsia" w:ascii="仿宋" w:hAnsi="仿宋" w:eastAsia="仿宋" w:cs="仿宋"/>
                <w:color w:val="auto"/>
                <w:sz w:val="24"/>
                <w:szCs w:val="24"/>
                <w:highlight w:val="none"/>
                <w:lang w:eastAsia="zh-CN"/>
              </w:rPr>
              <w:t>。</w:t>
            </w:r>
          </w:p>
          <w:p w14:paraId="5F5BE50C">
            <w:pPr>
              <w:keepNext w:val="0"/>
              <w:keepLines w:val="0"/>
              <w:pageBreakBefore w:val="0"/>
              <w:numPr>
                <w:ilvl w:val="0"/>
                <w:numId w:val="2"/>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5"/>
                <w:rFonts w:hint="eastAsia" w:ascii="仿宋" w:hAnsi="仿宋" w:eastAsia="仿宋" w:cs="仿宋"/>
                <w:color w:val="auto"/>
                <w:sz w:val="24"/>
                <w:szCs w:val="24"/>
                <w:highlight w:val="none"/>
                <w:lang w:val="en-US" w:eastAsia="zh-CN"/>
              </w:rPr>
              <w:t>提供内容完整充分的得</w:t>
            </w:r>
            <w:r>
              <w:rPr>
                <w:rStyle w:val="265"/>
                <w:rFonts w:hint="eastAsia" w:ascii="仿宋" w:hAnsi="仿宋" w:eastAsia="仿宋" w:cs="仿宋"/>
                <w:color w:val="auto"/>
                <w:sz w:val="24"/>
                <w:szCs w:val="24"/>
                <w:highlight w:val="none"/>
              </w:rPr>
              <w:t>6.1-9分</w:t>
            </w:r>
            <w:r>
              <w:rPr>
                <w:rStyle w:val="265"/>
                <w:rFonts w:hint="eastAsia" w:ascii="仿宋" w:hAnsi="仿宋" w:eastAsia="仿宋" w:cs="仿宋"/>
                <w:color w:val="auto"/>
                <w:sz w:val="24"/>
                <w:szCs w:val="24"/>
                <w:highlight w:val="none"/>
                <w:lang w:eastAsia="zh-CN"/>
              </w:rPr>
              <w:t>；</w:t>
            </w:r>
          </w:p>
          <w:p w14:paraId="253D6ABD">
            <w:pPr>
              <w:keepNext w:val="0"/>
              <w:keepLines w:val="0"/>
              <w:pageBreakBefore w:val="0"/>
              <w:numPr>
                <w:ilvl w:val="0"/>
                <w:numId w:val="2"/>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5"/>
                <w:rFonts w:hint="eastAsia" w:ascii="仿宋" w:hAnsi="仿宋" w:eastAsia="仿宋" w:cs="仿宋"/>
                <w:color w:val="auto"/>
                <w:sz w:val="24"/>
                <w:szCs w:val="24"/>
                <w:highlight w:val="none"/>
                <w:lang w:val="en-US" w:eastAsia="zh-CN"/>
              </w:rPr>
              <w:t>提供内容基本完整充分的得</w:t>
            </w:r>
            <w:r>
              <w:rPr>
                <w:rStyle w:val="265"/>
                <w:rFonts w:hint="eastAsia" w:ascii="仿宋" w:hAnsi="仿宋" w:eastAsia="仿宋" w:cs="仿宋"/>
                <w:color w:val="auto"/>
                <w:sz w:val="24"/>
                <w:szCs w:val="24"/>
                <w:highlight w:val="none"/>
              </w:rPr>
              <w:t>3.1-6.0分</w:t>
            </w:r>
            <w:r>
              <w:rPr>
                <w:rStyle w:val="265"/>
                <w:rFonts w:hint="eastAsia" w:ascii="仿宋" w:hAnsi="仿宋" w:eastAsia="仿宋" w:cs="仿宋"/>
                <w:color w:val="auto"/>
                <w:sz w:val="24"/>
                <w:szCs w:val="24"/>
                <w:highlight w:val="none"/>
                <w:lang w:eastAsia="zh-CN"/>
              </w:rPr>
              <w:t>；</w:t>
            </w:r>
          </w:p>
          <w:p w14:paraId="23DBFADA">
            <w:pPr>
              <w:keepNext w:val="0"/>
              <w:keepLines w:val="0"/>
              <w:pageBreakBefore w:val="0"/>
              <w:numPr>
                <w:ilvl w:val="0"/>
                <w:numId w:val="2"/>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5"/>
                <w:rFonts w:hint="eastAsia" w:ascii="仿宋" w:hAnsi="仿宋" w:eastAsia="仿宋" w:cs="仿宋"/>
                <w:color w:val="auto"/>
                <w:sz w:val="24"/>
                <w:szCs w:val="24"/>
                <w:highlight w:val="none"/>
                <w:lang w:val="en-US" w:eastAsia="zh-CN"/>
              </w:rPr>
              <w:t>提供内容部分完整充分的得</w:t>
            </w:r>
            <w:r>
              <w:rPr>
                <w:rStyle w:val="265"/>
                <w:rFonts w:hint="eastAsia" w:ascii="仿宋" w:hAnsi="仿宋" w:eastAsia="仿宋" w:cs="仿宋"/>
                <w:color w:val="auto"/>
                <w:sz w:val="24"/>
                <w:szCs w:val="24"/>
                <w:highlight w:val="none"/>
              </w:rPr>
              <w:t>0.1-3.0分</w:t>
            </w:r>
            <w:r>
              <w:rPr>
                <w:rStyle w:val="265"/>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不充足</w:t>
            </w:r>
            <w:r>
              <w:rPr>
                <w:rFonts w:hint="eastAsia" w:ascii="仿宋" w:hAnsi="仿宋" w:eastAsia="仿宋" w:cs="仿宋"/>
                <w:color w:val="auto"/>
                <w:sz w:val="24"/>
                <w:szCs w:val="24"/>
                <w:highlight w:val="none"/>
              </w:rPr>
              <w:t>不得分。</w:t>
            </w:r>
          </w:p>
          <w:p w14:paraId="22D22795">
            <w:pPr>
              <w:widowControl/>
              <w:spacing w:line="240" w:lineRule="auto"/>
              <w:rPr>
                <w:rStyle w:val="265"/>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注：投标文件中提供具体方案并加盖投标人公章。</w:t>
            </w:r>
          </w:p>
        </w:tc>
        <w:tc>
          <w:tcPr>
            <w:tcW w:w="816" w:type="dxa"/>
            <w:noWrap w:val="0"/>
            <w:vAlign w:val="center"/>
          </w:tcPr>
          <w:p w14:paraId="15F92B5B">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7F7B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7F3D634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781" w:type="dxa"/>
            <w:vMerge w:val="continue"/>
            <w:noWrap w:val="0"/>
            <w:vAlign w:val="center"/>
          </w:tcPr>
          <w:p w14:paraId="75FEEF3A">
            <w:pPr>
              <w:widowControl/>
              <w:spacing w:line="240" w:lineRule="auto"/>
              <w:jc w:val="center"/>
              <w:rPr>
                <w:rFonts w:hint="eastAsia" w:ascii="仿宋" w:hAnsi="仿宋" w:eastAsia="仿宋" w:cs="仿宋"/>
                <w:color w:val="auto"/>
                <w:sz w:val="24"/>
                <w:szCs w:val="24"/>
                <w:highlight w:val="none"/>
              </w:rPr>
            </w:pPr>
          </w:p>
        </w:tc>
        <w:tc>
          <w:tcPr>
            <w:tcW w:w="6587" w:type="dxa"/>
            <w:noWrap w:val="0"/>
            <w:vAlign w:val="center"/>
          </w:tcPr>
          <w:p w14:paraId="720D3FA5">
            <w:pPr>
              <w:keepNext w:val="0"/>
              <w:keepLines w:val="0"/>
              <w:pageBreakBefore w:val="0"/>
              <w:kinsoku/>
              <w:wordWrap/>
              <w:overflowPunct/>
              <w:topLinePunct w:val="0"/>
              <w:bidi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根据投标人提供的企业管理制度、卫生管理制度、岗位职责、质量考核办法等内容</w:t>
            </w:r>
            <w:r>
              <w:rPr>
                <w:rFonts w:hint="eastAsia" w:ascii="仿宋" w:hAnsi="仿宋" w:eastAsia="仿宋" w:cs="仿宋"/>
                <w:b w:val="0"/>
                <w:bCs w:val="0"/>
                <w:color w:val="auto"/>
                <w:kern w:val="0"/>
                <w:sz w:val="24"/>
                <w:szCs w:val="24"/>
                <w:highlight w:val="none"/>
                <w:lang w:eastAsia="zh-CN"/>
              </w:rPr>
              <w:t>进行打分</w:t>
            </w:r>
            <w:r>
              <w:rPr>
                <w:rFonts w:hint="eastAsia" w:ascii="仿宋" w:hAnsi="仿宋" w:eastAsia="仿宋" w:cs="仿宋"/>
                <w:color w:val="auto"/>
                <w:sz w:val="24"/>
                <w:szCs w:val="24"/>
                <w:highlight w:val="none"/>
                <w:lang w:eastAsia="zh-CN"/>
              </w:rPr>
              <w:t>：</w:t>
            </w:r>
          </w:p>
          <w:p w14:paraId="4A869827">
            <w:pPr>
              <w:keepNext w:val="0"/>
              <w:keepLines w:val="0"/>
              <w:pageBreakBefore w:val="0"/>
              <w:numPr>
                <w:ilvl w:val="0"/>
                <w:numId w:val="3"/>
              </w:numPr>
              <w:kinsoku/>
              <w:wordWrap/>
              <w:overflowPunct/>
              <w:topLinePunct w:val="0"/>
              <w:bidi w:val="0"/>
              <w:adjustRightInd/>
              <w:spacing w:line="240" w:lineRule="auto"/>
              <w:jc w:val="left"/>
              <w:textAlignment w:val="auto"/>
              <w:rPr>
                <w:rStyle w:val="265"/>
                <w:rFonts w:hint="eastAsia" w:ascii="仿宋" w:hAnsi="仿宋" w:eastAsia="仿宋" w:cs="仿宋"/>
                <w:color w:val="auto"/>
                <w:sz w:val="24"/>
                <w:szCs w:val="24"/>
                <w:highlight w:val="none"/>
              </w:rPr>
            </w:pPr>
            <w:r>
              <w:rPr>
                <w:rStyle w:val="265"/>
                <w:rFonts w:hint="eastAsia" w:ascii="仿宋" w:hAnsi="仿宋" w:eastAsia="仿宋" w:cs="仿宋"/>
                <w:color w:val="auto"/>
                <w:sz w:val="24"/>
                <w:szCs w:val="24"/>
                <w:highlight w:val="none"/>
                <w:lang w:val="en-US" w:eastAsia="zh-CN"/>
              </w:rPr>
              <w:t>提供内容完整充分的得6</w:t>
            </w:r>
            <w:r>
              <w:rPr>
                <w:rStyle w:val="265"/>
                <w:rFonts w:hint="eastAsia" w:ascii="仿宋" w:hAnsi="仿宋" w:eastAsia="仿宋" w:cs="仿宋"/>
                <w:color w:val="auto"/>
                <w:sz w:val="24"/>
                <w:szCs w:val="24"/>
                <w:highlight w:val="none"/>
              </w:rPr>
              <w:t>.1-</w:t>
            </w:r>
            <w:r>
              <w:rPr>
                <w:rStyle w:val="265"/>
                <w:rFonts w:hint="eastAsia" w:ascii="仿宋" w:hAnsi="仿宋" w:eastAsia="仿宋" w:cs="仿宋"/>
                <w:color w:val="auto"/>
                <w:sz w:val="24"/>
                <w:szCs w:val="24"/>
                <w:highlight w:val="none"/>
                <w:lang w:val="en-US" w:eastAsia="zh-CN"/>
              </w:rPr>
              <w:t>9</w:t>
            </w:r>
            <w:r>
              <w:rPr>
                <w:rStyle w:val="265"/>
                <w:rFonts w:hint="eastAsia" w:ascii="仿宋" w:hAnsi="仿宋" w:eastAsia="仿宋" w:cs="仿宋"/>
                <w:color w:val="auto"/>
                <w:sz w:val="24"/>
                <w:szCs w:val="24"/>
                <w:highlight w:val="none"/>
              </w:rPr>
              <w:t>分</w:t>
            </w:r>
            <w:r>
              <w:rPr>
                <w:rStyle w:val="265"/>
                <w:rFonts w:hint="eastAsia" w:ascii="仿宋" w:hAnsi="仿宋" w:eastAsia="仿宋" w:cs="仿宋"/>
                <w:color w:val="auto"/>
                <w:sz w:val="24"/>
                <w:szCs w:val="24"/>
                <w:highlight w:val="none"/>
                <w:lang w:eastAsia="zh-CN"/>
              </w:rPr>
              <w:t>；</w:t>
            </w:r>
          </w:p>
          <w:p w14:paraId="1F3420FB">
            <w:pPr>
              <w:keepNext w:val="0"/>
              <w:keepLines w:val="0"/>
              <w:pageBreakBefore w:val="0"/>
              <w:numPr>
                <w:ilvl w:val="0"/>
                <w:numId w:val="3"/>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rPr>
            </w:pPr>
            <w:r>
              <w:rPr>
                <w:rStyle w:val="265"/>
                <w:rFonts w:hint="eastAsia" w:ascii="仿宋" w:hAnsi="仿宋" w:eastAsia="仿宋" w:cs="仿宋"/>
                <w:color w:val="auto"/>
                <w:sz w:val="24"/>
                <w:szCs w:val="24"/>
                <w:highlight w:val="none"/>
                <w:lang w:val="en-US" w:eastAsia="zh-CN"/>
              </w:rPr>
              <w:t>提供内容基本完整充分的得3</w:t>
            </w:r>
            <w:r>
              <w:rPr>
                <w:rStyle w:val="265"/>
                <w:rFonts w:hint="eastAsia" w:ascii="仿宋" w:hAnsi="仿宋" w:eastAsia="仿宋" w:cs="仿宋"/>
                <w:color w:val="auto"/>
                <w:sz w:val="24"/>
                <w:szCs w:val="24"/>
                <w:highlight w:val="none"/>
              </w:rPr>
              <w:t>.1-</w:t>
            </w:r>
            <w:r>
              <w:rPr>
                <w:rStyle w:val="265"/>
                <w:rFonts w:hint="eastAsia" w:ascii="仿宋" w:hAnsi="仿宋" w:eastAsia="仿宋" w:cs="仿宋"/>
                <w:color w:val="auto"/>
                <w:sz w:val="24"/>
                <w:szCs w:val="24"/>
                <w:highlight w:val="none"/>
                <w:lang w:val="en-US" w:eastAsia="zh-CN"/>
              </w:rPr>
              <w:t>6</w:t>
            </w:r>
            <w:r>
              <w:rPr>
                <w:rStyle w:val="265"/>
                <w:rFonts w:hint="eastAsia" w:ascii="仿宋" w:hAnsi="仿宋" w:eastAsia="仿宋" w:cs="仿宋"/>
                <w:color w:val="auto"/>
                <w:sz w:val="24"/>
                <w:szCs w:val="24"/>
                <w:highlight w:val="none"/>
              </w:rPr>
              <w:t>.0分</w:t>
            </w:r>
            <w:r>
              <w:rPr>
                <w:rStyle w:val="265"/>
                <w:rFonts w:hint="eastAsia" w:ascii="仿宋" w:hAnsi="仿宋" w:eastAsia="仿宋" w:cs="仿宋"/>
                <w:color w:val="auto"/>
                <w:sz w:val="24"/>
                <w:szCs w:val="24"/>
                <w:highlight w:val="none"/>
                <w:lang w:eastAsia="zh-CN"/>
              </w:rPr>
              <w:t>；</w:t>
            </w:r>
          </w:p>
          <w:p w14:paraId="3C15D3D5">
            <w:pPr>
              <w:keepNext w:val="0"/>
              <w:keepLines w:val="0"/>
              <w:pageBreakBefore w:val="0"/>
              <w:numPr>
                <w:ilvl w:val="0"/>
                <w:numId w:val="3"/>
              </w:numPr>
              <w:kinsoku/>
              <w:wordWrap/>
              <w:overflowPunct/>
              <w:topLinePunct w:val="0"/>
              <w:bidi w:val="0"/>
              <w:adjustRightInd/>
              <w:spacing w:line="240" w:lineRule="auto"/>
              <w:jc w:val="left"/>
              <w:textAlignment w:val="auto"/>
              <w:rPr>
                <w:rFonts w:hint="eastAsia" w:ascii="仿宋" w:hAnsi="仿宋" w:eastAsia="仿宋" w:cs="仿宋"/>
                <w:color w:val="auto"/>
                <w:sz w:val="24"/>
                <w:szCs w:val="24"/>
                <w:highlight w:val="none"/>
                <w:lang w:val="en-US" w:eastAsia="zh-CN"/>
              </w:rPr>
            </w:pPr>
            <w:r>
              <w:rPr>
                <w:rStyle w:val="265"/>
                <w:rFonts w:hint="eastAsia" w:ascii="仿宋" w:hAnsi="仿宋" w:eastAsia="仿宋" w:cs="仿宋"/>
                <w:color w:val="auto"/>
                <w:sz w:val="24"/>
                <w:szCs w:val="24"/>
                <w:highlight w:val="none"/>
                <w:lang w:val="en-US" w:eastAsia="zh-CN"/>
              </w:rPr>
              <w:t>提供内容部分完整充分的得</w:t>
            </w:r>
            <w:r>
              <w:rPr>
                <w:rStyle w:val="265"/>
                <w:rFonts w:hint="eastAsia" w:ascii="仿宋" w:hAnsi="仿宋" w:eastAsia="仿宋" w:cs="仿宋"/>
                <w:color w:val="auto"/>
                <w:sz w:val="24"/>
                <w:szCs w:val="24"/>
                <w:highlight w:val="none"/>
              </w:rPr>
              <w:t>0.1-</w:t>
            </w:r>
            <w:r>
              <w:rPr>
                <w:rStyle w:val="265"/>
                <w:rFonts w:hint="eastAsia" w:ascii="仿宋" w:hAnsi="仿宋" w:eastAsia="仿宋" w:cs="仿宋"/>
                <w:color w:val="auto"/>
                <w:sz w:val="24"/>
                <w:szCs w:val="24"/>
                <w:highlight w:val="none"/>
                <w:lang w:val="en-US" w:eastAsia="zh-CN"/>
              </w:rPr>
              <w:t>3</w:t>
            </w:r>
            <w:r>
              <w:rPr>
                <w:rStyle w:val="265"/>
                <w:rFonts w:hint="eastAsia" w:ascii="仿宋" w:hAnsi="仿宋" w:eastAsia="仿宋" w:cs="仿宋"/>
                <w:color w:val="auto"/>
                <w:sz w:val="24"/>
                <w:szCs w:val="24"/>
                <w:highlight w:val="none"/>
              </w:rPr>
              <w:t>.0分</w:t>
            </w:r>
            <w:r>
              <w:rPr>
                <w:rStyle w:val="265"/>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p w14:paraId="0F610725">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b/>
                <w:bCs/>
                <w:color w:val="auto"/>
                <w:kern w:val="0"/>
                <w:sz w:val="24"/>
                <w:szCs w:val="24"/>
                <w:highlight w:val="none"/>
              </w:rPr>
              <w:t>投标文件中提供具体方案并加盖投标人公章。</w:t>
            </w:r>
          </w:p>
        </w:tc>
        <w:tc>
          <w:tcPr>
            <w:tcW w:w="816" w:type="dxa"/>
            <w:noWrap w:val="0"/>
            <w:vAlign w:val="center"/>
          </w:tcPr>
          <w:p w14:paraId="506B0AD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7B4D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2EEADDC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781" w:type="dxa"/>
            <w:vMerge w:val="continue"/>
            <w:noWrap w:val="0"/>
            <w:vAlign w:val="center"/>
          </w:tcPr>
          <w:p w14:paraId="6BE58482">
            <w:pPr>
              <w:widowControl/>
              <w:spacing w:line="240" w:lineRule="auto"/>
              <w:jc w:val="center"/>
              <w:rPr>
                <w:rFonts w:hint="eastAsia" w:ascii="仿宋" w:hAnsi="仿宋" w:eastAsia="仿宋" w:cs="仿宋"/>
                <w:color w:val="auto"/>
                <w:sz w:val="24"/>
                <w:szCs w:val="24"/>
                <w:highlight w:val="none"/>
              </w:rPr>
            </w:pPr>
          </w:p>
        </w:tc>
        <w:tc>
          <w:tcPr>
            <w:tcW w:w="6587" w:type="dxa"/>
            <w:noWrap w:val="0"/>
            <w:vAlign w:val="center"/>
          </w:tcPr>
          <w:p w14:paraId="62DF9185">
            <w:pPr>
              <w:keepNext w:val="0"/>
              <w:keepLines w:val="0"/>
              <w:pageBreakBefore w:val="0"/>
              <w:kinsoku/>
              <w:wordWrap/>
              <w:overflowPunct/>
              <w:topLinePunct w:val="0"/>
              <w:bidi w:val="0"/>
              <w:spacing w:line="240" w:lineRule="auto"/>
              <w:textAlignment w:val="auto"/>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投标企业自有</w:t>
            </w:r>
            <w:r>
              <w:rPr>
                <w:rFonts w:hint="eastAsia" w:ascii="仿宋" w:hAnsi="仿宋" w:eastAsia="仿宋" w:cs="仿宋"/>
                <w:b w:val="0"/>
                <w:bCs w:val="0"/>
                <w:color w:val="auto"/>
                <w:kern w:val="0"/>
                <w:sz w:val="24"/>
                <w:szCs w:val="24"/>
                <w:highlight w:val="none"/>
                <w:lang w:val="en-US" w:eastAsia="zh-CN"/>
              </w:rPr>
              <w:t>或租赁</w:t>
            </w:r>
            <w:r>
              <w:rPr>
                <w:rFonts w:hint="eastAsia" w:ascii="仿宋" w:hAnsi="仿宋" w:eastAsia="仿宋" w:cs="仿宋"/>
                <w:b w:val="0"/>
                <w:bCs w:val="0"/>
                <w:color w:val="auto"/>
                <w:kern w:val="0"/>
                <w:sz w:val="24"/>
                <w:szCs w:val="24"/>
                <w:highlight w:val="none"/>
              </w:rPr>
              <w:t>符合配送要求的专用配送运输车辆，2辆得1分，每增加1辆加1分，最高得5分。</w:t>
            </w:r>
          </w:p>
          <w:p w14:paraId="6BC6A21A">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eastAsia="zh-CN"/>
              </w:rPr>
              <w:t>注：投标文件中</w:t>
            </w:r>
            <w:r>
              <w:rPr>
                <w:rFonts w:hint="eastAsia" w:ascii="仿宋" w:hAnsi="仿宋" w:eastAsia="仿宋" w:cs="仿宋"/>
                <w:b/>
                <w:bCs/>
                <w:color w:val="auto"/>
                <w:kern w:val="0"/>
                <w:sz w:val="24"/>
                <w:szCs w:val="24"/>
                <w:highlight w:val="none"/>
              </w:rPr>
              <w:t>提供年检合格的单位行驶证复印件并加盖投标人公章</w:t>
            </w:r>
            <w:r>
              <w:rPr>
                <w:rFonts w:hint="eastAsia" w:ascii="仿宋" w:hAnsi="仿宋" w:eastAsia="仿宋" w:cs="仿宋"/>
                <w:b/>
                <w:bCs/>
                <w:color w:val="auto"/>
                <w:kern w:val="0"/>
                <w:sz w:val="24"/>
                <w:szCs w:val="24"/>
                <w:highlight w:val="none"/>
                <w:lang w:eastAsia="zh-CN"/>
              </w:rPr>
              <w:t>。</w:t>
            </w:r>
          </w:p>
        </w:tc>
        <w:tc>
          <w:tcPr>
            <w:tcW w:w="816" w:type="dxa"/>
            <w:noWrap w:val="0"/>
            <w:vAlign w:val="center"/>
          </w:tcPr>
          <w:p w14:paraId="3BEC6C0B">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08D7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4" w:type="dxa"/>
            <w:noWrap w:val="0"/>
            <w:vAlign w:val="center"/>
          </w:tcPr>
          <w:p w14:paraId="6741886D">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781" w:type="dxa"/>
            <w:noWrap w:val="0"/>
            <w:vAlign w:val="center"/>
          </w:tcPr>
          <w:p w14:paraId="567EC401">
            <w:pPr>
              <w:keepNext w:val="0"/>
              <w:keepLines w:val="0"/>
              <w:pageBreakBefore w:val="0"/>
              <w:kinsoku/>
              <w:wordWrap/>
              <w:bidi w:val="0"/>
              <w:adjustRightInd w:val="0"/>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验收方案</w:t>
            </w:r>
          </w:p>
        </w:tc>
        <w:tc>
          <w:tcPr>
            <w:tcW w:w="6587" w:type="dxa"/>
            <w:noWrap w:val="0"/>
            <w:vAlign w:val="center"/>
          </w:tcPr>
          <w:p w14:paraId="1DA4EE25">
            <w:pPr>
              <w:keepNext w:val="0"/>
              <w:keepLines w:val="0"/>
              <w:pageBreakBefore w:val="0"/>
              <w:kinsoku/>
              <w:wordWrap/>
              <w:topLinePunct/>
              <w:bidi w:val="0"/>
              <w:adjustRightInd w:val="0"/>
              <w:spacing w:line="24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根据方案中的验收流程、验收依据及标准等内容的响应情况是否完整、详细、具有可操作性等进行打分</w:t>
            </w:r>
            <w:r>
              <w:rPr>
                <w:rFonts w:hint="eastAsia" w:ascii="仿宋" w:hAnsi="仿宋" w:eastAsia="仿宋" w:cs="仿宋"/>
                <w:color w:val="auto"/>
                <w:sz w:val="24"/>
                <w:highlight w:val="none"/>
                <w:lang w:eastAsia="zh-CN"/>
              </w:rPr>
              <w:t>：</w:t>
            </w:r>
          </w:p>
          <w:p w14:paraId="27F273F3">
            <w:pPr>
              <w:keepNext w:val="0"/>
              <w:keepLines w:val="0"/>
              <w:pageBreakBefore w:val="0"/>
              <w:widowControl/>
              <w:kinsoku/>
              <w:wordWrap/>
              <w:topLinePunct/>
              <w:bidi w:val="0"/>
              <w:adjustRightInd w:val="0"/>
              <w:spacing w:line="24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rPr>
              <w:t>方案内容完整、详细、可操作性强，阐述的内容针对性强、具体、透彻，能结合项目特点制定验收方案</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5.1-8</w:t>
            </w:r>
            <w:r>
              <w:rPr>
                <w:rFonts w:hint="eastAsia" w:ascii="仿宋" w:hAnsi="仿宋" w:eastAsia="仿宋" w:cs="仿宋"/>
                <w:color w:val="auto"/>
                <w:sz w:val="24"/>
                <w:highlight w:val="none"/>
              </w:rPr>
              <w:t>分；方案内容完整，有具体措施描述，但操作性和针对性不够强</w:t>
            </w:r>
            <w:r>
              <w:rPr>
                <w:rFonts w:hint="eastAsia" w:ascii="仿宋" w:hAnsi="仿宋" w:eastAsia="仿宋" w:cs="仿宋"/>
                <w:color w:val="auto"/>
                <w:sz w:val="24"/>
                <w:highlight w:val="none"/>
                <w:lang w:val="en-US" w:eastAsia="zh-CN"/>
              </w:rPr>
              <w:t>的</w:t>
            </w:r>
            <w:r>
              <w:rPr>
                <w:rFonts w:hint="eastAsia" w:ascii="仿宋" w:hAnsi="仿宋" w:eastAsia="仿宋" w:cs="仿宋"/>
                <w:color w:val="auto"/>
                <w:sz w:val="24"/>
                <w:highlight w:val="none"/>
              </w:rPr>
              <w:t>得</w:t>
            </w:r>
            <w:r>
              <w:rPr>
                <w:rFonts w:hint="eastAsia" w:ascii="仿宋" w:hAnsi="仿宋" w:eastAsia="仿宋" w:cs="仿宋"/>
                <w:color w:val="auto"/>
                <w:sz w:val="24"/>
                <w:highlight w:val="none"/>
                <w:lang w:val="en-US" w:eastAsia="zh-CN"/>
              </w:rPr>
              <w:t>3.1-5</w:t>
            </w:r>
            <w:r>
              <w:rPr>
                <w:rFonts w:hint="eastAsia" w:ascii="仿宋" w:hAnsi="仿宋" w:eastAsia="仿宋" w:cs="仿宋"/>
                <w:color w:val="auto"/>
                <w:sz w:val="24"/>
                <w:highlight w:val="none"/>
              </w:rPr>
              <w:t>分；方案内容仅简单重复（响应）采购需求的得</w:t>
            </w:r>
            <w:r>
              <w:rPr>
                <w:rFonts w:hint="eastAsia" w:ascii="仿宋" w:hAnsi="仿宋" w:eastAsia="仿宋" w:cs="仿宋"/>
                <w:color w:val="auto"/>
                <w:sz w:val="24"/>
                <w:highlight w:val="none"/>
                <w:lang w:val="en-US" w:eastAsia="zh-CN"/>
              </w:rPr>
              <w:t>0.1-3</w:t>
            </w:r>
            <w:r>
              <w:rPr>
                <w:rFonts w:hint="eastAsia" w:ascii="仿宋" w:hAnsi="仿宋" w:eastAsia="仿宋" w:cs="仿宋"/>
                <w:color w:val="auto"/>
                <w:sz w:val="24"/>
                <w:highlight w:val="none"/>
              </w:rPr>
              <w:t>分；</w:t>
            </w:r>
            <w:r>
              <w:rPr>
                <w:rFonts w:hint="eastAsia" w:ascii="仿宋" w:hAnsi="仿宋" w:eastAsia="仿宋" w:cs="仿宋"/>
                <w:color w:val="auto"/>
                <w:sz w:val="24"/>
                <w:szCs w:val="24"/>
                <w:highlight w:val="none"/>
              </w:rPr>
              <w:t>不提供不得分。</w:t>
            </w:r>
          </w:p>
        </w:tc>
        <w:tc>
          <w:tcPr>
            <w:tcW w:w="816" w:type="dxa"/>
            <w:noWrap w:val="0"/>
            <w:vAlign w:val="center"/>
          </w:tcPr>
          <w:p w14:paraId="3788E7BA">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r>
      <w:tr w14:paraId="3C7A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64" w:type="dxa"/>
            <w:noWrap w:val="0"/>
            <w:vAlign w:val="center"/>
          </w:tcPr>
          <w:p w14:paraId="42E62514">
            <w:pPr>
              <w:widowControl/>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781" w:type="dxa"/>
            <w:noWrap w:val="0"/>
            <w:vAlign w:val="center"/>
          </w:tcPr>
          <w:p w14:paraId="5B88731D">
            <w:pPr>
              <w:widowControl/>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服务承诺</w:t>
            </w:r>
          </w:p>
        </w:tc>
        <w:tc>
          <w:tcPr>
            <w:tcW w:w="6587" w:type="dxa"/>
            <w:noWrap w:val="0"/>
            <w:vAlign w:val="center"/>
          </w:tcPr>
          <w:p w14:paraId="346CDDA5">
            <w:pPr>
              <w:widowControl/>
              <w:spacing w:line="24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根据诚信、质量、数量及服从采购人管理、文明经营、职工管理和保障措施等方面得服务承诺等进行打分：</w:t>
            </w:r>
          </w:p>
          <w:p w14:paraId="24660E68">
            <w:pPr>
              <w:widowControl/>
              <w:numPr>
                <w:ilvl w:val="0"/>
                <w:numId w:val="0"/>
              </w:numPr>
              <w:spacing w:line="240" w:lineRule="auto"/>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方案内容</w:t>
            </w:r>
            <w:r>
              <w:rPr>
                <w:rFonts w:hint="eastAsia" w:ascii="仿宋" w:hAnsi="仿宋" w:eastAsia="仿宋" w:cs="仿宋"/>
                <w:color w:val="auto"/>
                <w:sz w:val="24"/>
                <w:szCs w:val="24"/>
                <w:highlight w:val="none"/>
              </w:rPr>
              <w:t>切合本项目采购需求，计划安排</w:t>
            </w:r>
            <w:r>
              <w:rPr>
                <w:rFonts w:hint="eastAsia" w:ascii="仿宋" w:hAnsi="仿宋" w:eastAsia="仿宋" w:cs="仿宋"/>
                <w:color w:val="auto"/>
                <w:sz w:val="24"/>
                <w:szCs w:val="24"/>
                <w:highlight w:val="none"/>
                <w:lang w:val="en-US" w:eastAsia="zh-CN"/>
              </w:rPr>
              <w:t>针对性强</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6.1-9</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方案内容较为</w:t>
            </w:r>
            <w:r>
              <w:rPr>
                <w:rFonts w:hint="eastAsia" w:ascii="仿宋" w:hAnsi="仿宋" w:eastAsia="仿宋" w:cs="仿宋"/>
                <w:color w:val="auto"/>
                <w:sz w:val="24"/>
                <w:szCs w:val="24"/>
                <w:highlight w:val="none"/>
              </w:rPr>
              <w:t>切合本项目采购需求，计划安排</w:t>
            </w:r>
            <w:r>
              <w:rPr>
                <w:rFonts w:hint="eastAsia" w:ascii="仿宋" w:hAnsi="仿宋" w:eastAsia="仿宋" w:cs="仿宋"/>
                <w:color w:val="auto"/>
                <w:sz w:val="24"/>
                <w:szCs w:val="24"/>
                <w:highlight w:val="none"/>
                <w:lang w:val="en-US" w:eastAsia="zh-CN"/>
              </w:rPr>
              <w:t>针对性强</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3.1-6</w:t>
            </w:r>
            <w:r>
              <w:rPr>
                <w:rFonts w:hint="eastAsia" w:ascii="仿宋" w:hAnsi="仿宋" w:eastAsia="仿宋" w:cs="仿宋"/>
                <w:color w:val="auto"/>
                <w:sz w:val="24"/>
                <w:szCs w:val="24"/>
                <w:highlight w:val="none"/>
              </w:rPr>
              <w:t>分；</w:t>
            </w:r>
            <w:r>
              <w:rPr>
                <w:rFonts w:hint="eastAsia" w:ascii="仿宋" w:hAnsi="仿宋" w:eastAsia="仿宋" w:cs="仿宋"/>
                <w:b w:val="0"/>
                <w:bCs w:val="0"/>
                <w:color w:val="auto"/>
                <w:sz w:val="24"/>
                <w:szCs w:val="24"/>
                <w:highlight w:val="none"/>
              </w:rPr>
              <w:t>内容欠缺且不合理的得</w:t>
            </w:r>
            <w:r>
              <w:rPr>
                <w:rFonts w:hint="eastAsia" w:ascii="仿宋" w:hAnsi="仿宋" w:eastAsia="仿宋" w:cs="仿宋"/>
                <w:b w:val="0"/>
                <w:bCs w:val="0"/>
                <w:color w:val="auto"/>
                <w:sz w:val="24"/>
                <w:szCs w:val="24"/>
                <w:highlight w:val="none"/>
                <w:lang w:val="en-US" w:eastAsia="zh-CN"/>
              </w:rPr>
              <w:t>0.1-3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未提供不得分。</w:t>
            </w:r>
          </w:p>
        </w:tc>
        <w:tc>
          <w:tcPr>
            <w:tcW w:w="816" w:type="dxa"/>
            <w:noWrap w:val="0"/>
            <w:vAlign w:val="center"/>
          </w:tcPr>
          <w:p w14:paraId="4EA5F776">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7CB3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03575AA6">
            <w:pPr>
              <w:widowControl/>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781" w:type="dxa"/>
            <w:noWrap w:val="0"/>
            <w:vAlign w:val="center"/>
          </w:tcPr>
          <w:p w14:paraId="16F01C4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kern w:val="0"/>
                <w:sz w:val="24"/>
                <w:szCs w:val="24"/>
                <w:highlight w:val="none"/>
              </w:rPr>
              <w:t>团队人员安排计划</w:t>
            </w:r>
          </w:p>
        </w:tc>
        <w:tc>
          <w:tcPr>
            <w:tcW w:w="6587" w:type="dxa"/>
            <w:noWrap w:val="0"/>
            <w:vAlign w:val="center"/>
          </w:tcPr>
          <w:p w14:paraId="4EFC0F6E">
            <w:pPr>
              <w:keepNext w:val="0"/>
              <w:keepLines w:val="0"/>
              <w:pageBreakBefore w:val="0"/>
              <w:numPr>
                <w:ilvl w:val="0"/>
                <w:numId w:val="0"/>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安排参与本项目团队成员情况进行打分。</w:t>
            </w:r>
          </w:p>
          <w:p w14:paraId="0F818D97">
            <w:pPr>
              <w:keepNext w:val="0"/>
              <w:keepLines w:val="0"/>
              <w:pageBreakBefore w:val="0"/>
              <w:numPr>
                <w:ilvl w:val="0"/>
                <w:numId w:val="0"/>
              </w:numPr>
              <w:kinsoku/>
              <w:wordWrap/>
              <w:overflowPunct/>
              <w:topLinePunct w:val="0"/>
              <w:bidi w:val="0"/>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团队配备合理、团队人员经验丰富、分工明确、人员稳定性好得6.1-9分；团队配备合较理、团队人员具有一定经验、分工较明确、人员稳定性较好得3.1-6分；团队配备欠合理、团队人员无经验、分工不明确、人员稳定性一般得0.1-3分；</w:t>
            </w:r>
            <w:r>
              <w:rPr>
                <w:rFonts w:hint="eastAsia" w:ascii="仿宋" w:hAnsi="仿宋" w:eastAsia="仿宋" w:cs="仿宋"/>
                <w:color w:val="auto"/>
                <w:sz w:val="24"/>
                <w:szCs w:val="24"/>
                <w:highlight w:val="none"/>
              </w:rPr>
              <w:t>不提供不得分。</w:t>
            </w:r>
          </w:p>
          <w:p w14:paraId="61FF6D50">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注：团队人员必须为投标人正式职工，提供人员在投标单位的社保证明并加盖单位公章。</w:t>
            </w:r>
          </w:p>
        </w:tc>
        <w:tc>
          <w:tcPr>
            <w:tcW w:w="816" w:type="dxa"/>
            <w:noWrap w:val="0"/>
            <w:vAlign w:val="center"/>
          </w:tcPr>
          <w:p w14:paraId="1B70F33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r>
      <w:tr w14:paraId="0D46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13315547">
            <w:pPr>
              <w:widowControl/>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781" w:type="dxa"/>
            <w:noWrap w:val="0"/>
            <w:vAlign w:val="center"/>
          </w:tcPr>
          <w:p w14:paraId="2A4B2330">
            <w:pPr>
              <w:widowControl/>
              <w:spacing w:line="24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应急方案</w:t>
            </w:r>
          </w:p>
        </w:tc>
        <w:tc>
          <w:tcPr>
            <w:tcW w:w="6587" w:type="dxa"/>
            <w:noWrap w:val="0"/>
            <w:vAlign w:val="center"/>
          </w:tcPr>
          <w:p w14:paraId="79B6EA3A">
            <w:pPr>
              <w:widowControl/>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根据本项目的服务需求及标准，</w:t>
            </w: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rPr>
              <w:t>投标人对于临时突发事件、紧急任务、应急供餐方案和采购供货当中出现的突发状况等的应急预案和紧急应对机制</w:t>
            </w:r>
            <w:r>
              <w:rPr>
                <w:rFonts w:hint="eastAsia" w:ascii="仿宋" w:hAnsi="仿宋" w:eastAsia="仿宋" w:cs="仿宋"/>
                <w:color w:val="auto"/>
                <w:sz w:val="24"/>
                <w:szCs w:val="24"/>
                <w:highlight w:val="none"/>
                <w:lang w:val="en-US" w:eastAsia="zh-CN"/>
              </w:rPr>
              <w:t>进行打分</w:t>
            </w:r>
            <w:r>
              <w:rPr>
                <w:rFonts w:hint="eastAsia" w:ascii="仿宋" w:hAnsi="仿宋" w:eastAsia="仿宋" w:cs="仿宋"/>
                <w:color w:val="auto"/>
                <w:sz w:val="24"/>
                <w:szCs w:val="24"/>
                <w:highlight w:val="none"/>
              </w:rPr>
              <w:t>：</w:t>
            </w:r>
          </w:p>
          <w:p w14:paraId="7835E01E">
            <w:pPr>
              <w:widowControl/>
              <w:numPr>
                <w:ilvl w:val="0"/>
                <w:numId w:val="0"/>
              </w:numPr>
              <w:spacing w:line="240"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方案详细、可行、合理实施性强的得</w:t>
            </w:r>
            <w:r>
              <w:rPr>
                <w:rFonts w:hint="eastAsia" w:ascii="仿宋" w:hAnsi="仿宋" w:eastAsia="仿宋" w:cs="仿宋"/>
                <w:color w:val="auto"/>
                <w:sz w:val="24"/>
                <w:szCs w:val="24"/>
                <w:highlight w:val="none"/>
                <w:lang w:val="en-US" w:eastAsia="zh-CN"/>
              </w:rPr>
              <w:t>4.1-6</w:t>
            </w:r>
            <w:r>
              <w:rPr>
                <w:rFonts w:hint="eastAsia" w:ascii="仿宋" w:hAnsi="仿宋" w:eastAsia="仿宋" w:cs="仿宋"/>
                <w:color w:val="auto"/>
                <w:sz w:val="24"/>
                <w:szCs w:val="24"/>
                <w:highlight w:val="none"/>
              </w:rPr>
              <w:t>分；方案基本完善、实施性一般的得</w:t>
            </w:r>
            <w:r>
              <w:rPr>
                <w:rFonts w:hint="eastAsia" w:ascii="仿宋" w:hAnsi="仿宋" w:eastAsia="仿宋" w:cs="仿宋"/>
                <w:color w:val="auto"/>
                <w:sz w:val="24"/>
                <w:szCs w:val="24"/>
                <w:highlight w:val="none"/>
                <w:lang w:val="en-US" w:eastAsia="zh-CN"/>
              </w:rPr>
              <w:t>2.1-4分</w:t>
            </w:r>
            <w:r>
              <w:rPr>
                <w:rFonts w:hint="eastAsia" w:ascii="仿宋" w:hAnsi="仿宋" w:eastAsia="仿宋" w:cs="仿宋"/>
                <w:color w:val="auto"/>
                <w:sz w:val="24"/>
                <w:szCs w:val="24"/>
                <w:highlight w:val="none"/>
              </w:rPr>
              <w:t>；方案混乱、实施性较差的得</w:t>
            </w:r>
            <w:r>
              <w:rPr>
                <w:rFonts w:hint="eastAsia" w:ascii="仿宋" w:hAnsi="仿宋" w:eastAsia="仿宋" w:cs="仿宋"/>
                <w:color w:val="auto"/>
                <w:sz w:val="24"/>
                <w:szCs w:val="24"/>
                <w:highlight w:val="none"/>
                <w:lang w:val="en-US" w:eastAsia="zh-CN"/>
              </w:rPr>
              <w:t>0.1-2分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tc>
        <w:tc>
          <w:tcPr>
            <w:tcW w:w="816" w:type="dxa"/>
            <w:noWrap w:val="0"/>
            <w:vAlign w:val="center"/>
          </w:tcPr>
          <w:p w14:paraId="78081DAF">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r w14:paraId="3B78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64" w:type="dxa"/>
            <w:noWrap w:val="0"/>
            <w:vAlign w:val="center"/>
          </w:tcPr>
          <w:p w14:paraId="62BE0106">
            <w:pPr>
              <w:widowControl/>
              <w:spacing w:line="24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781" w:type="dxa"/>
            <w:noWrap w:val="0"/>
            <w:vAlign w:val="center"/>
          </w:tcPr>
          <w:p w14:paraId="328BEE1E">
            <w:pPr>
              <w:keepNext w:val="0"/>
              <w:keepLines w:val="0"/>
              <w:pageBreakBefore w:val="0"/>
              <w:kinsoku/>
              <w:wordWrap/>
              <w:overflowPunct/>
              <w:topLinePunct w:val="0"/>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售后服务</w:t>
            </w:r>
            <w:r>
              <w:rPr>
                <w:rFonts w:hint="eastAsia" w:ascii="仿宋" w:hAnsi="仿宋" w:eastAsia="仿宋" w:cs="仿宋"/>
                <w:color w:val="auto"/>
                <w:kern w:val="0"/>
                <w:sz w:val="24"/>
                <w:szCs w:val="24"/>
                <w:highlight w:val="none"/>
                <w:lang w:val="en-US" w:eastAsia="zh-CN"/>
              </w:rPr>
              <w:t>方案</w:t>
            </w:r>
          </w:p>
        </w:tc>
        <w:tc>
          <w:tcPr>
            <w:tcW w:w="6587" w:type="dxa"/>
            <w:noWrap w:val="0"/>
            <w:vAlign w:val="center"/>
          </w:tcPr>
          <w:p w14:paraId="294C2B79">
            <w:pPr>
              <w:keepNext w:val="0"/>
              <w:keepLines w:val="0"/>
              <w:pageBreakBefore w:val="0"/>
              <w:numPr>
                <w:ilvl w:val="0"/>
                <w:numId w:val="0"/>
              </w:numPr>
              <w:kinsoku/>
              <w:wordWrap/>
              <w:overflowPunct/>
              <w:topLinePunct w:val="0"/>
              <w:bidi w:val="0"/>
              <w:adjustRightInd/>
              <w:spacing w:line="240" w:lineRule="auto"/>
              <w:jc w:val="left"/>
              <w:textAlignment w:val="auto"/>
              <w:rPr>
                <w:rStyle w:val="265"/>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根据投标人提供的针对本项目的售后服务承诺</w:t>
            </w:r>
            <w:r>
              <w:rPr>
                <w:rFonts w:hint="eastAsia" w:ascii="仿宋" w:hAnsi="仿宋" w:eastAsia="仿宋" w:cs="仿宋"/>
                <w:color w:val="auto"/>
                <w:kern w:val="0"/>
                <w:sz w:val="24"/>
                <w:szCs w:val="24"/>
                <w:highlight w:val="none"/>
                <w:lang w:val="en-US" w:eastAsia="zh-CN"/>
              </w:rPr>
              <w:t>全面合理等方面</w:t>
            </w:r>
            <w:r>
              <w:rPr>
                <w:rFonts w:hint="eastAsia" w:ascii="仿宋" w:hAnsi="仿宋" w:eastAsia="仿宋" w:cs="仿宋"/>
                <w:color w:val="auto"/>
                <w:kern w:val="0"/>
                <w:sz w:val="24"/>
                <w:szCs w:val="24"/>
                <w:highlight w:val="none"/>
              </w:rPr>
              <w:t>进行综合打分</w:t>
            </w:r>
            <w:r>
              <w:rPr>
                <w:rFonts w:hint="eastAsia" w:ascii="仿宋" w:hAnsi="仿宋" w:eastAsia="仿宋" w:cs="仿宋"/>
                <w:color w:val="auto"/>
                <w:kern w:val="0"/>
                <w:sz w:val="24"/>
                <w:szCs w:val="24"/>
                <w:highlight w:val="none"/>
                <w:lang w:eastAsia="zh-CN"/>
              </w:rPr>
              <w:t>：</w:t>
            </w:r>
          </w:p>
          <w:p w14:paraId="3FBF2B03">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仿宋" w:hAnsi="仿宋" w:eastAsia="仿宋" w:cs="仿宋"/>
                <w:b w:val="0"/>
                <w:bCs w:val="0"/>
                <w:color w:val="auto"/>
                <w:kern w:val="0"/>
                <w:sz w:val="24"/>
                <w:szCs w:val="24"/>
                <w:highlight w:val="none"/>
                <w:lang w:eastAsia="zh-CN"/>
              </w:rPr>
            </w:pPr>
            <w:r>
              <w:rPr>
                <w:rStyle w:val="265"/>
                <w:rFonts w:hint="eastAsia" w:ascii="仿宋" w:hAnsi="仿宋" w:eastAsia="仿宋" w:cs="仿宋"/>
                <w:color w:val="auto"/>
                <w:sz w:val="24"/>
                <w:szCs w:val="24"/>
                <w:highlight w:val="none"/>
                <w:lang w:val="en-US" w:eastAsia="zh-CN"/>
              </w:rPr>
              <w:t>提供内容完整充分的得4</w:t>
            </w:r>
            <w:r>
              <w:rPr>
                <w:rStyle w:val="265"/>
                <w:rFonts w:hint="eastAsia" w:ascii="仿宋" w:hAnsi="仿宋" w:eastAsia="仿宋" w:cs="仿宋"/>
                <w:color w:val="auto"/>
                <w:sz w:val="24"/>
                <w:szCs w:val="24"/>
                <w:highlight w:val="none"/>
              </w:rPr>
              <w:t>.1-</w:t>
            </w:r>
            <w:r>
              <w:rPr>
                <w:rStyle w:val="265"/>
                <w:rFonts w:hint="eastAsia" w:ascii="仿宋" w:hAnsi="仿宋" w:eastAsia="仿宋" w:cs="仿宋"/>
                <w:color w:val="auto"/>
                <w:sz w:val="24"/>
                <w:szCs w:val="24"/>
                <w:highlight w:val="none"/>
                <w:lang w:val="en-US" w:eastAsia="zh-CN"/>
              </w:rPr>
              <w:t>6</w:t>
            </w:r>
            <w:r>
              <w:rPr>
                <w:rStyle w:val="265"/>
                <w:rFonts w:hint="eastAsia" w:ascii="仿宋" w:hAnsi="仿宋" w:eastAsia="仿宋" w:cs="仿宋"/>
                <w:color w:val="auto"/>
                <w:sz w:val="24"/>
                <w:szCs w:val="24"/>
                <w:highlight w:val="none"/>
              </w:rPr>
              <w:t>分</w:t>
            </w:r>
            <w:r>
              <w:rPr>
                <w:rStyle w:val="265"/>
                <w:rFonts w:hint="eastAsia" w:ascii="仿宋" w:hAnsi="仿宋" w:eastAsia="仿宋" w:cs="仿宋"/>
                <w:color w:val="auto"/>
                <w:sz w:val="24"/>
                <w:szCs w:val="24"/>
                <w:highlight w:val="none"/>
                <w:lang w:eastAsia="zh-CN"/>
              </w:rPr>
              <w:t>；</w:t>
            </w:r>
            <w:r>
              <w:rPr>
                <w:rStyle w:val="265"/>
                <w:rFonts w:hint="eastAsia" w:ascii="仿宋" w:hAnsi="仿宋" w:eastAsia="仿宋" w:cs="仿宋"/>
                <w:color w:val="auto"/>
                <w:sz w:val="24"/>
                <w:szCs w:val="24"/>
                <w:highlight w:val="none"/>
                <w:lang w:val="en-US" w:eastAsia="zh-CN"/>
              </w:rPr>
              <w:t>提供内容基本完整充分的得2</w:t>
            </w:r>
            <w:r>
              <w:rPr>
                <w:rStyle w:val="265"/>
                <w:rFonts w:hint="eastAsia" w:ascii="仿宋" w:hAnsi="仿宋" w:eastAsia="仿宋" w:cs="仿宋"/>
                <w:color w:val="auto"/>
                <w:sz w:val="24"/>
                <w:szCs w:val="24"/>
                <w:highlight w:val="none"/>
              </w:rPr>
              <w:t>.1-</w:t>
            </w:r>
            <w:r>
              <w:rPr>
                <w:rStyle w:val="265"/>
                <w:rFonts w:hint="eastAsia" w:ascii="仿宋" w:hAnsi="仿宋" w:eastAsia="仿宋" w:cs="仿宋"/>
                <w:color w:val="auto"/>
                <w:sz w:val="24"/>
                <w:szCs w:val="24"/>
                <w:highlight w:val="none"/>
                <w:lang w:val="en-US" w:eastAsia="zh-CN"/>
              </w:rPr>
              <w:t>4</w:t>
            </w:r>
            <w:r>
              <w:rPr>
                <w:rStyle w:val="265"/>
                <w:rFonts w:hint="eastAsia" w:ascii="仿宋" w:hAnsi="仿宋" w:eastAsia="仿宋" w:cs="仿宋"/>
                <w:color w:val="auto"/>
                <w:sz w:val="24"/>
                <w:szCs w:val="24"/>
                <w:highlight w:val="none"/>
              </w:rPr>
              <w:t>.0分</w:t>
            </w:r>
            <w:r>
              <w:rPr>
                <w:rStyle w:val="265"/>
                <w:rFonts w:hint="eastAsia" w:ascii="仿宋" w:hAnsi="仿宋" w:eastAsia="仿宋" w:cs="仿宋"/>
                <w:color w:val="auto"/>
                <w:sz w:val="24"/>
                <w:szCs w:val="24"/>
                <w:highlight w:val="none"/>
                <w:lang w:eastAsia="zh-CN"/>
              </w:rPr>
              <w:t>；</w:t>
            </w:r>
            <w:r>
              <w:rPr>
                <w:rStyle w:val="265"/>
                <w:rFonts w:hint="eastAsia" w:ascii="仿宋" w:hAnsi="仿宋" w:eastAsia="仿宋" w:cs="仿宋"/>
                <w:color w:val="auto"/>
                <w:sz w:val="24"/>
                <w:szCs w:val="24"/>
                <w:highlight w:val="none"/>
                <w:lang w:val="en-US" w:eastAsia="zh-CN"/>
              </w:rPr>
              <w:t>提供内容部分完整充分的得</w:t>
            </w:r>
            <w:r>
              <w:rPr>
                <w:rStyle w:val="265"/>
                <w:rFonts w:hint="eastAsia" w:ascii="仿宋" w:hAnsi="仿宋" w:eastAsia="仿宋" w:cs="仿宋"/>
                <w:color w:val="auto"/>
                <w:sz w:val="24"/>
                <w:szCs w:val="24"/>
                <w:highlight w:val="none"/>
              </w:rPr>
              <w:t>0.1-</w:t>
            </w:r>
            <w:r>
              <w:rPr>
                <w:rStyle w:val="265"/>
                <w:rFonts w:hint="eastAsia" w:ascii="仿宋" w:hAnsi="仿宋" w:eastAsia="仿宋" w:cs="仿宋"/>
                <w:color w:val="auto"/>
                <w:sz w:val="24"/>
                <w:szCs w:val="24"/>
                <w:highlight w:val="none"/>
                <w:lang w:val="en-US" w:eastAsia="zh-CN"/>
              </w:rPr>
              <w:t>2</w:t>
            </w:r>
            <w:r>
              <w:rPr>
                <w:rStyle w:val="265"/>
                <w:rFonts w:hint="eastAsia" w:ascii="仿宋" w:hAnsi="仿宋" w:eastAsia="仿宋" w:cs="仿宋"/>
                <w:color w:val="auto"/>
                <w:sz w:val="24"/>
                <w:szCs w:val="24"/>
                <w:highlight w:val="none"/>
              </w:rPr>
              <w:t>.0分</w:t>
            </w:r>
            <w:r>
              <w:rPr>
                <w:rStyle w:val="265"/>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不提供不得分。</w:t>
            </w:r>
          </w:p>
          <w:p w14:paraId="654CE437">
            <w:pPr>
              <w:keepNext w:val="0"/>
              <w:keepLines w:val="0"/>
              <w:pageBreakBefore w:val="0"/>
              <w:kinsoku/>
              <w:wordWrap/>
              <w:overflowPunct/>
              <w:topLinePunct w:val="0"/>
              <w:bidi w:val="0"/>
              <w:spacing w:line="240" w:lineRule="auto"/>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eastAsia="zh-CN"/>
              </w:rPr>
              <w:t>注：投标文件中</w:t>
            </w:r>
            <w:r>
              <w:rPr>
                <w:rFonts w:hint="eastAsia" w:ascii="仿宋" w:hAnsi="仿宋" w:eastAsia="仿宋" w:cs="仿宋"/>
                <w:b/>
                <w:bCs/>
                <w:color w:val="auto"/>
                <w:kern w:val="0"/>
                <w:sz w:val="24"/>
                <w:szCs w:val="24"/>
                <w:highlight w:val="none"/>
              </w:rPr>
              <w:t>提供具体承诺条款等并加盖投标人公章。</w:t>
            </w:r>
          </w:p>
        </w:tc>
        <w:tc>
          <w:tcPr>
            <w:tcW w:w="816" w:type="dxa"/>
            <w:noWrap w:val="0"/>
            <w:vAlign w:val="center"/>
          </w:tcPr>
          <w:p w14:paraId="724E7114">
            <w:pPr>
              <w:widowControl/>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r>
    </w:tbl>
    <w:p w14:paraId="24429AB7">
      <w:pPr>
        <w:spacing w:line="440" w:lineRule="exact"/>
        <w:ind w:firstLine="480"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仿宋_GB2312"/>
          <w:color w:val="000000" w:themeColor="text1"/>
          <w:sz w:val="24"/>
          <w:highlight w:val="none"/>
          <w14:textFill>
            <w14:solidFill>
              <w14:schemeClr w14:val="tx1"/>
            </w14:solidFill>
          </w14:textFill>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themeColor="text1"/>
          <w:sz w:val="24"/>
          <w:highlight w:val="none"/>
          <w14:textFill>
            <w14:solidFill>
              <w14:schemeClr w14:val="tx1"/>
            </w14:solidFill>
          </w14:textFill>
        </w:rPr>
        <w:t>商务技术分低于51分的，</w:t>
      </w:r>
      <w:r>
        <w:rPr>
          <w:rFonts w:hint="eastAsia" w:ascii="仿宋" w:hAnsi="仿宋" w:eastAsia="仿宋"/>
          <w:b/>
          <w:bCs/>
          <w:color w:val="000000" w:themeColor="text1"/>
          <w:sz w:val="24"/>
          <w:highlight w:val="none"/>
          <w14:textFill>
            <w14:solidFill>
              <w14:schemeClr w14:val="tx1"/>
            </w14:solidFill>
          </w14:textFill>
        </w:rPr>
        <w:t>视为采购人不能接受的附加条件。</w:t>
      </w:r>
    </w:p>
    <w:p w14:paraId="11CD4228">
      <w:pPr>
        <w:snapToGrid w:val="0"/>
        <w:spacing w:line="400" w:lineRule="exact"/>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p>
    <w:p w14:paraId="25EBC618">
      <w:pPr>
        <w:spacing w:line="400" w:lineRule="exact"/>
        <w:rPr>
          <w:rFonts w:ascii="仿宋" w:hAnsi="仿宋" w:eastAsia="仿宋" w:cs="仿宋"/>
          <w:b/>
          <w:bCs/>
          <w:iCs/>
          <w:color w:val="000000" w:themeColor="text1"/>
          <w:sz w:val="24"/>
          <w:highlight w:val="none"/>
          <w14:textFill>
            <w14:solidFill>
              <w14:schemeClr w14:val="tx1"/>
            </w14:solidFill>
          </w14:textFill>
        </w:rPr>
      </w:pPr>
    </w:p>
    <w:p w14:paraId="7171CF52">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22.价格分（</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sz w:val="24"/>
          <w:highlight w:val="none"/>
        </w:rPr>
        <w:t>分）</w:t>
      </w:r>
    </w:p>
    <w:tbl>
      <w:tblPr>
        <w:tblStyle w:val="62"/>
        <w:tblW w:w="8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7"/>
        <w:gridCol w:w="6782"/>
      </w:tblGrid>
      <w:tr w14:paraId="6440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2027" w:type="dxa"/>
            <w:tcBorders>
              <w:top w:val="single" w:color="auto" w:sz="4" w:space="0"/>
              <w:left w:val="single" w:color="auto" w:sz="4" w:space="0"/>
              <w:bottom w:val="single" w:color="auto" w:sz="4" w:space="0"/>
              <w:right w:val="single" w:color="auto" w:sz="4" w:space="0"/>
            </w:tcBorders>
            <w:noWrap/>
            <w:vAlign w:val="bottom"/>
          </w:tcPr>
          <w:p w14:paraId="4CD70AEC">
            <w:pPr>
              <w:widowControl/>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价格权值</w:t>
            </w:r>
          </w:p>
        </w:tc>
        <w:tc>
          <w:tcPr>
            <w:tcW w:w="6782" w:type="dxa"/>
            <w:tcBorders>
              <w:top w:val="single" w:color="auto" w:sz="4" w:space="0"/>
              <w:left w:val="single" w:color="auto" w:sz="4" w:space="0"/>
              <w:bottom w:val="single" w:color="auto" w:sz="4" w:space="0"/>
              <w:right w:val="single" w:color="auto" w:sz="4" w:space="0"/>
            </w:tcBorders>
            <w:noWrap/>
            <w:vAlign w:val="center"/>
          </w:tcPr>
          <w:p w14:paraId="7C4EAC09">
            <w:pPr>
              <w:widowControl/>
              <w:spacing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计算方法</w:t>
            </w:r>
          </w:p>
        </w:tc>
      </w:tr>
      <w:tr w14:paraId="0DC0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2027" w:type="dxa"/>
            <w:tcBorders>
              <w:top w:val="single" w:color="auto" w:sz="4" w:space="0"/>
              <w:left w:val="single" w:color="auto" w:sz="4" w:space="0"/>
              <w:bottom w:val="single" w:color="auto" w:sz="4" w:space="0"/>
              <w:right w:val="single" w:color="auto" w:sz="4" w:space="0"/>
            </w:tcBorders>
            <w:noWrap/>
            <w:vAlign w:val="center"/>
          </w:tcPr>
          <w:p w14:paraId="4AA768B8">
            <w:pPr>
              <w:widowControl/>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价格权值=0.</w:t>
            </w:r>
            <w:r>
              <w:rPr>
                <w:rFonts w:hint="eastAsia" w:ascii="仿宋" w:hAnsi="仿宋" w:eastAsia="仿宋" w:cs="仿宋"/>
                <w:color w:val="auto"/>
                <w:sz w:val="24"/>
                <w:highlight w:val="none"/>
                <w:lang w:val="en-US" w:eastAsia="zh-CN"/>
              </w:rPr>
              <w:t>15</w:t>
            </w:r>
          </w:p>
        </w:tc>
        <w:tc>
          <w:tcPr>
            <w:tcW w:w="6782" w:type="dxa"/>
            <w:tcBorders>
              <w:top w:val="single" w:color="auto" w:sz="4" w:space="0"/>
              <w:left w:val="single" w:color="auto" w:sz="4" w:space="0"/>
              <w:bottom w:val="single" w:color="auto" w:sz="4" w:space="0"/>
              <w:right w:val="single" w:color="auto" w:sz="4" w:space="0"/>
            </w:tcBorders>
            <w:noWrap/>
            <w:vAlign w:val="center"/>
          </w:tcPr>
          <w:p w14:paraId="4E2C6CBE">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本项目按折扣率报价</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最低有效投标</w:t>
            </w:r>
            <w:r>
              <w:rPr>
                <w:rFonts w:hint="eastAsia" w:ascii="仿宋" w:hAnsi="仿宋" w:eastAsia="仿宋" w:cs="仿宋"/>
                <w:color w:val="auto"/>
                <w:sz w:val="24"/>
                <w:highlight w:val="none"/>
                <w:lang w:val="en-US" w:eastAsia="zh-CN"/>
              </w:rPr>
              <w:t>折扣率</w:t>
            </w:r>
            <w:r>
              <w:rPr>
                <w:rFonts w:hint="eastAsia" w:ascii="仿宋" w:hAnsi="仿宋" w:eastAsia="仿宋" w:cs="仿宋"/>
                <w:color w:val="auto"/>
                <w:sz w:val="24"/>
                <w:highlight w:val="none"/>
              </w:rPr>
              <w:t>为评标基准</w:t>
            </w:r>
            <w:r>
              <w:rPr>
                <w:rFonts w:hint="eastAsia" w:ascii="仿宋" w:hAnsi="仿宋" w:eastAsia="仿宋" w:cs="仿宋"/>
                <w:color w:val="auto"/>
                <w:sz w:val="24"/>
                <w:highlight w:val="none"/>
                <w:lang w:val="en-US" w:eastAsia="zh-CN"/>
              </w:rPr>
              <w:t>折扣率。</w:t>
            </w:r>
          </w:p>
          <w:p w14:paraId="53E612CB">
            <w:pPr>
              <w:widowControl/>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w:t>
            </w:r>
            <w:r>
              <w:rPr>
                <w:rFonts w:hint="eastAsia" w:ascii="仿宋" w:hAnsi="仿宋" w:eastAsia="仿宋" w:cs="仿宋"/>
                <w:color w:val="auto"/>
                <w:sz w:val="24"/>
                <w:highlight w:val="none"/>
                <w:lang w:val="en-US" w:eastAsia="zh-CN"/>
              </w:rPr>
              <w:t>折扣率</w:t>
            </w:r>
            <w:r>
              <w:rPr>
                <w:rFonts w:hint="eastAsia" w:ascii="仿宋" w:hAnsi="仿宋" w:eastAsia="仿宋" w:cs="仿宋"/>
                <w:color w:val="auto"/>
                <w:sz w:val="24"/>
                <w:highlight w:val="none"/>
              </w:rPr>
              <w:t>／投标</w:t>
            </w:r>
            <w:r>
              <w:rPr>
                <w:rFonts w:hint="eastAsia" w:ascii="仿宋" w:hAnsi="仿宋" w:eastAsia="仿宋" w:cs="仿宋"/>
                <w:color w:val="auto"/>
                <w:sz w:val="24"/>
                <w:highlight w:val="none"/>
                <w:lang w:val="en-US" w:eastAsia="zh-CN"/>
              </w:rPr>
              <w:t>折扣率</w:t>
            </w:r>
            <w:r>
              <w:rPr>
                <w:rFonts w:hint="eastAsia" w:ascii="仿宋" w:hAnsi="仿宋" w:eastAsia="仿宋" w:cs="仿宋"/>
                <w:color w:val="auto"/>
                <w:sz w:val="24"/>
                <w:highlight w:val="none"/>
              </w:rPr>
              <w:t>)×价格权值×100 （计算得分保留小数点后2位）</w:t>
            </w:r>
          </w:p>
        </w:tc>
      </w:tr>
    </w:tbl>
    <w:p w14:paraId="790FE3E6">
      <w:pPr>
        <w:adjustRightInd/>
        <w:spacing w:line="440" w:lineRule="exact"/>
        <w:rPr>
          <w:rFonts w:ascii="仿宋" w:hAnsi="仿宋" w:eastAsia="仿宋" w:cs="宋体"/>
          <w:color w:val="auto"/>
          <w:sz w:val="24"/>
          <w:highlight w:val="none"/>
        </w:rPr>
      </w:pPr>
      <w:r>
        <w:rPr>
          <w:rFonts w:hint="eastAsia" w:ascii="仿宋" w:hAnsi="仿宋" w:eastAsia="仿宋" w:cs="宋体"/>
          <w:color w:val="auto"/>
          <w:sz w:val="24"/>
          <w:highlight w:val="none"/>
          <w:lang w:val="en-US" w:eastAsia="zh-CN"/>
        </w:rPr>
        <w:t>注：按照每周一政府采购云平台（https://www.zcygov.cn/)→行业馆→绍兴食采馆的价格清单的平均价为基准价，</w:t>
      </w:r>
      <w:r>
        <w:rPr>
          <w:rFonts w:hint="eastAsia" w:ascii="仿宋" w:hAnsi="仿宋" w:eastAsia="仿宋" w:cs="宋体"/>
          <w:color w:val="auto"/>
          <w:sz w:val="24"/>
          <w:highlight w:val="none"/>
        </w:rPr>
        <w:t>最多保留小数点后2位，否则按无效报价处理。中标结算价格=商品的基准价×</w:t>
      </w:r>
      <w:r>
        <w:rPr>
          <w:rFonts w:hint="eastAsia" w:ascii="仿宋" w:hAnsi="仿宋" w:eastAsia="仿宋" w:cs="宋体"/>
          <w:color w:val="auto"/>
          <w:sz w:val="24"/>
          <w:highlight w:val="none"/>
          <w:lang w:val="en-US" w:eastAsia="zh-CN"/>
        </w:rPr>
        <w:t>中标折扣率</w:t>
      </w:r>
      <w:r>
        <w:rPr>
          <w:rFonts w:hint="eastAsia" w:ascii="仿宋" w:hAnsi="仿宋" w:eastAsia="仿宋" w:cs="宋体"/>
          <w:color w:val="auto"/>
          <w:sz w:val="24"/>
          <w:highlight w:val="none"/>
        </w:rPr>
        <w:t>。</w:t>
      </w:r>
    </w:p>
    <w:p w14:paraId="24701D83">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99BB28B">
      <w:pPr>
        <w:pStyle w:val="60"/>
      </w:pPr>
    </w:p>
    <w:bookmarkEnd w:id="42"/>
    <w:bookmarkEnd w:id="43"/>
    <w:p w14:paraId="40E7D0E6">
      <w:pPr>
        <w:widowControl/>
        <w:adjustRightInd/>
        <w:jc w:val="center"/>
        <w:rPr>
          <w:rFonts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 投标文件及其附件格式</w:t>
      </w:r>
    </w:p>
    <w:p w14:paraId="41A2CF4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1785FEB">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00AF73B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05D44FEF">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45BE45FD">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1ABC065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6C395EC7">
      <w:pPr>
        <w:pStyle w:val="23"/>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（3）分包协议………………………………………………………………（页码）</w:t>
      </w:r>
    </w:p>
    <w:p w14:paraId="1ECB92EB">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（4）落实政府采购政策需满足的资格要求………………………………（页码）</w:t>
      </w:r>
    </w:p>
    <w:p w14:paraId="1F97DB9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（5）本项目的特定资格要求………………………………………………（页码）</w:t>
      </w:r>
    </w:p>
    <w:p w14:paraId="79A36CD8">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01CE2A48">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09C6F77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一、符合参加政府采购活动应当具备的一般条件的承诺函</w:t>
      </w:r>
    </w:p>
    <w:p w14:paraId="52BA45A6">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68C7FFC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452975DF">
      <w:pPr>
        <w:snapToGrid w:val="0"/>
        <w:spacing w:line="360" w:lineRule="auto"/>
        <w:ind w:firstLine="360" w:firstLineChars="1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6140D6BA">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4BA692C">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13DE5B0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175F0DE6">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5B71A2A0">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50D22895">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059882A2">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（二）未被信用中国（www.creditchina.gov.cn)、中国政府采购网（www.ccgp.gov.cn）列入失信被执行人、重大税收违法失信主体、政府采购严重违法失信行为记录名单。</w:t>
      </w:r>
    </w:p>
    <w:p w14:paraId="2A53B9AE">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401EF936">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4C1DA87A">
      <w:pPr>
        <w:snapToGrid w:val="0"/>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0618166D">
      <w:pPr>
        <w:snapToGrid w:val="0"/>
        <w:spacing w:line="360" w:lineRule="auto"/>
        <w:ind w:firstLine="5520" w:firstLineChars="23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5DAFB2C9">
      <w:pPr>
        <w:snapToGrid w:val="0"/>
        <w:spacing w:line="360" w:lineRule="auto"/>
        <w:ind w:firstLine="5520" w:firstLineChars="23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月日</w:t>
      </w:r>
    </w:p>
    <w:p w14:paraId="19D38DB5">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4F1994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6D9C060">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2C00DAA">
      <w:pPr>
        <w:widowControl/>
        <w:spacing w:line="360" w:lineRule="auto"/>
        <w:ind w:firstLine="643" w:firstLineChars="20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61D69F69">
      <w:pPr>
        <w:widowControl/>
        <w:spacing w:line="360" w:lineRule="auto"/>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55472131">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B7F8A87">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430ACAD4">
      <w:pPr>
        <w:widowControl/>
        <w:spacing w:line="360" w:lineRule="auto"/>
        <w:ind w:firstLine="361" w:firstLineChars="1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203C27B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A3571DE">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四、落实政府采购政策需满足的资格要求</w:t>
      </w:r>
    </w:p>
    <w:p w14:paraId="4E9F7B2E">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38339EEA">
      <w:pPr>
        <w:snapToGrid w:val="0"/>
        <w:spacing w:before="50" w:after="50"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0F249216">
      <w:pPr>
        <w:widowControl/>
        <w:spacing w:line="360" w:lineRule="auto"/>
        <w:ind w:firstLine="472" w:firstLineChars="196"/>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p>
    <w:p w14:paraId="7B1BE788">
      <w:pPr>
        <w:spacing w:line="360" w:lineRule="auto"/>
        <w:ind w:firstLine="482"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4F6F96D6">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p>
    <w:p w14:paraId="4CB9A48F">
      <w:pPr>
        <w:widowControl/>
        <w:spacing w:line="360" w:lineRule="auto"/>
        <w:ind w:left="150"/>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五、本项目的特定资格要求</w:t>
      </w:r>
    </w:p>
    <w:p w14:paraId="218DE712">
      <w:pPr>
        <w:spacing w:line="360"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1184C84C">
      <w:pPr>
        <w:spacing w:line="360"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3DE59CD4">
      <w:pP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br w:type="page"/>
      </w:r>
    </w:p>
    <w:p w14:paraId="5ABDE482">
      <w:pPr>
        <w:spacing w:line="336" w:lineRule="auto"/>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588A3222">
      <w:pPr>
        <w:spacing w:line="336" w:lineRule="auto"/>
        <w:jc w:val="center"/>
        <w:outlineLvl w:val="0"/>
        <w:rPr>
          <w:rFonts w:ascii="仿宋" w:hAnsi="仿宋" w:eastAsia="仿宋" w:cs="仿宋"/>
          <w:b/>
          <w:color w:val="000000" w:themeColor="text1"/>
          <w:kern w:val="0"/>
          <w:sz w:val="24"/>
          <w:highlight w:val="none"/>
          <w14:textFill>
            <w14:solidFill>
              <w14:schemeClr w14:val="tx1"/>
            </w14:solidFill>
          </w14:textFill>
        </w:rPr>
      </w:pPr>
    </w:p>
    <w:p w14:paraId="4E7E6698">
      <w:pPr>
        <w:spacing w:line="336" w:lineRule="auto"/>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357E9013">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投标函…………………………………………………………………………（页码）</w:t>
      </w:r>
    </w:p>
    <w:p w14:paraId="3FB90819">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法定代表人授权委托书 …………………………………………………… （页码）</w:t>
      </w:r>
    </w:p>
    <w:p w14:paraId="46DF098B">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法定代表人及其授权代表身份证复印件……………………………………（页码）</w:t>
      </w:r>
    </w:p>
    <w:p w14:paraId="584CB304">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授权代表社保证明……………………………………………………………（页码）</w:t>
      </w:r>
    </w:p>
    <w:p w14:paraId="50BE3756">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法定代表人身份证明书………………………………………………………（页码）</w:t>
      </w:r>
    </w:p>
    <w:p w14:paraId="2FF08D00">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14:textFill>
            <w14:solidFill>
              <w14:schemeClr w14:val="tx1"/>
            </w14:solidFill>
          </w14:textFill>
        </w:rPr>
        <w:t>商务技术偏离表………………………………………………………………（页码）</w:t>
      </w:r>
    </w:p>
    <w:p w14:paraId="6976FA59">
      <w:pPr>
        <w:pStyle w:val="904"/>
        <w:numPr>
          <w:ilvl w:val="0"/>
          <w:numId w:val="4"/>
        </w:numPr>
        <w:spacing w:line="336" w:lineRule="auto"/>
        <w:ind w:left="0" w:firstLine="0" w:firstLineChars="0"/>
        <w:rPr>
          <w:rFonts w:ascii="仿宋" w:eastAsia="仿宋" w:cs="仿宋"/>
          <w:color w:val="000000" w:themeColor="text1"/>
          <w:highlight w:val="none"/>
          <w14:textFill>
            <w14:solidFill>
              <w14:schemeClr w14:val="tx1"/>
            </w14:solidFill>
          </w14:textFill>
        </w:rPr>
      </w:pPr>
      <w:r>
        <w:rPr>
          <w:rFonts w:hint="eastAsia" w:ascii="仿宋" w:eastAsia="仿宋" w:cs="仿宋"/>
          <w:color w:val="000000" w:themeColor="text1"/>
          <w:highlight w:val="none"/>
          <w:lang w:val="zh-CN"/>
          <w14:textFill>
            <w14:solidFill>
              <w14:schemeClr w14:val="tx1"/>
            </w14:solidFill>
          </w14:textFill>
        </w:rPr>
        <w:t>政府采购供应商廉洁自律承诺书</w:t>
      </w:r>
      <w:r>
        <w:rPr>
          <w:rFonts w:hint="eastAsia" w:ascii="仿宋" w:eastAsia="仿宋" w:cs="仿宋"/>
          <w:color w:val="000000" w:themeColor="text1"/>
          <w:highlight w:val="none"/>
          <w14:textFill>
            <w14:solidFill>
              <w14:schemeClr w14:val="tx1"/>
            </w14:solidFill>
          </w14:textFill>
        </w:rPr>
        <w:t>……………………………………………（页码）</w:t>
      </w:r>
    </w:p>
    <w:p w14:paraId="2C8DE0AC">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304D8B5A">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469AFE3">
      <w:pPr>
        <w:spacing w:line="360" w:lineRule="auto"/>
        <w:ind w:right="-510" w:rightChars="-243"/>
        <w:outlineLvl w:val="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AB4AB6B">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（11）售后服务方案……………………………………………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2F5345D">
      <w:pPr>
        <w:spacing w:line="360" w:lineRule="auto"/>
        <w:ind w:right="-510" w:rightChars="-243"/>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（12）供应商售后服务证明材料……………………………………………………（页码）</w:t>
      </w:r>
    </w:p>
    <w:p w14:paraId="1FB1D999">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（13）项目小组人员名单………………………………………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E8B732D">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（14）</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76D9FD5">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（15）</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557CCE6D">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（16）</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3FED842">
      <w:pPr>
        <w:spacing w:line="360" w:lineRule="auto"/>
        <w:ind w:right="-510" w:rightChars="-243"/>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（17）</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7AB02F4">
      <w:pPr>
        <w:spacing w:line="360" w:lineRule="auto"/>
        <w:ind w:right="-368" w:rightChars="-175"/>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（18）</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D1A87D0">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576C47EF">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35C37391">
      <w:pPr>
        <w:snapToGrid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1408C323">
      <w:pPr>
        <w:snapToGrid w:val="0"/>
        <w:spacing w:line="360" w:lineRule="auto"/>
        <w:rPr>
          <w:rFonts w:ascii="仿宋" w:hAnsi="仿宋" w:eastAsia="仿宋" w:cs="仿宋"/>
          <w:b/>
          <w:color w:val="000000" w:themeColor="text1"/>
          <w:kern w:val="0"/>
          <w:sz w:val="32"/>
          <w:szCs w:val="32"/>
          <w:highlight w:val="none"/>
          <w:lang w:val="zh-CN"/>
          <w14:textFill>
            <w14:solidFill>
              <w14:schemeClr w14:val="tx1"/>
            </w14:solidFill>
          </w14:textFill>
        </w:rPr>
      </w:pPr>
    </w:p>
    <w:p w14:paraId="3DF1A208">
      <w:pPr>
        <w:widowControl/>
        <w:adjustRightInd/>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A79A665">
      <w:pPr>
        <w:snapToGrid w:val="0"/>
        <w:spacing w:line="360" w:lineRule="auto"/>
        <w:jc w:val="center"/>
        <w:outlineLvl w:val="0"/>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2B258394">
      <w:pPr>
        <w:widowControl/>
        <w:snapToGrid w:val="0"/>
        <w:spacing w:afterLines="50" w:line="336"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致：</w:t>
      </w:r>
    </w:p>
    <w:p w14:paraId="6C7A6001">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根据贵方招标文件（</w:t>
      </w:r>
      <w:r>
        <w:rPr>
          <w:rFonts w:hint="eastAsia" w:ascii="仿宋" w:hAnsi="仿宋" w:eastAsia="仿宋" w:cs="仿宋"/>
          <w:b/>
          <w:color w:val="000000" w:themeColor="text1"/>
          <w:kern w:val="0"/>
          <w:sz w:val="24"/>
          <w:highlight w:val="none"/>
          <w:u w:val="single"/>
          <w14:textFill>
            <w14:solidFill>
              <w14:schemeClr w14:val="tx1"/>
            </w14:solidFill>
          </w14:textFill>
        </w:rPr>
        <w:t>填写招标编号：</w:t>
      </w:r>
      <w:r>
        <w:rPr>
          <w:rFonts w:hint="eastAsia" w:ascii="仿宋" w:hAnsi="仿宋" w:eastAsia="仿宋" w:cs="仿宋"/>
          <w:color w:val="000000" w:themeColor="text1"/>
          <w:kern w:val="0"/>
          <w:sz w:val="24"/>
          <w:highlight w:val="none"/>
          <w14:textFill>
            <w14:solidFill>
              <w14:schemeClr w14:val="tx1"/>
            </w14:solidFill>
          </w14:textFill>
        </w:rPr>
        <w:t>）的要求，正式授权</w:t>
      </w:r>
      <w:r>
        <w:rPr>
          <w:rFonts w:hint="eastAsia" w:ascii="仿宋" w:hAnsi="仿宋" w:eastAsia="仿宋" w:cs="仿宋"/>
          <w:b/>
          <w:color w:val="000000" w:themeColor="text1"/>
          <w:kern w:val="0"/>
          <w:sz w:val="24"/>
          <w:highlight w:val="none"/>
          <w:u w:val="single"/>
          <w14:textFill>
            <w14:solidFill>
              <w14:schemeClr w14:val="tx1"/>
            </w14:solidFill>
          </w14:textFill>
        </w:rPr>
        <w:t>（全权代表姓名    、单位    、职务   ）</w:t>
      </w:r>
      <w:r>
        <w:rPr>
          <w:rFonts w:hint="eastAsia" w:ascii="仿宋" w:hAnsi="仿宋" w:eastAsia="仿宋" w:cs="仿宋"/>
          <w:color w:val="000000" w:themeColor="text1"/>
          <w:kern w:val="0"/>
          <w:sz w:val="24"/>
          <w:highlight w:val="none"/>
          <w14:textFill>
            <w14:solidFill>
              <w14:schemeClr w14:val="tx1"/>
            </w14:solidFill>
          </w14:textFill>
        </w:rPr>
        <w:t>代表投标人</w:t>
      </w: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b/>
          <w:color w:val="000000" w:themeColor="text1"/>
          <w:kern w:val="0"/>
          <w:sz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提交投标文件。</w:t>
      </w:r>
    </w:p>
    <w:p w14:paraId="17D2C222">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我方已完全明白招标文件的所有条款要求，兹声明同意如下：</w:t>
      </w:r>
    </w:p>
    <w:p w14:paraId="19D74AC3">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1.我方同意在投标人</w:t>
      </w:r>
      <w:r>
        <w:rPr>
          <w:rFonts w:hint="eastAsia" w:ascii="仿宋" w:hAnsi="仿宋" w:eastAsia="仿宋" w:cs="仿宋"/>
          <w:color w:val="000000" w:themeColor="text1"/>
          <w:kern w:val="44"/>
          <w:szCs w:val="24"/>
          <w:highlight w:val="none"/>
          <w14:textFill>
            <w14:solidFill>
              <w14:schemeClr w14:val="tx1"/>
            </w14:solidFill>
          </w14:textFill>
        </w:rPr>
        <w:t>须知</w:t>
      </w:r>
      <w:r>
        <w:rPr>
          <w:rFonts w:hint="eastAsia" w:ascii="仿宋" w:hAnsi="仿宋" w:eastAsia="仿宋" w:cs="仿宋"/>
          <w:color w:val="000000" w:themeColor="text1"/>
          <w:szCs w:val="24"/>
          <w:highlight w:val="none"/>
          <w14:textFill>
            <w14:solidFill>
              <w14:schemeClr w14:val="tx1"/>
            </w14:solidFill>
          </w14:textFill>
        </w:rPr>
        <w:t>规定的开标日期起遵守本投标文件中的承诺且在投标有效期满之前均具有约束力。</w:t>
      </w:r>
    </w:p>
    <w:p w14:paraId="0E8C98D9">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2.我方承诺已经具备《中华人民共和国政府采购法》中规定的参加政府采购活动的供应商应当具备的条件。</w:t>
      </w:r>
    </w:p>
    <w:p w14:paraId="1E261B8B">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8E74FC9">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4.我方理解贵方将不受你们所收到的最低报价的约束。</w:t>
      </w:r>
    </w:p>
    <w:p w14:paraId="30719846">
      <w:pPr>
        <w:pStyle w:val="13"/>
        <w:tabs>
          <w:tab w:val="clear" w:pos="1697"/>
        </w:tabs>
        <w:spacing w:after="120" w:line="336" w:lineRule="auto"/>
        <w:ind w:left="0" w:firstLine="480" w:firstLineChars="200"/>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5.本投标自开标之日（投标截止之日）起90天内有效。</w:t>
      </w:r>
    </w:p>
    <w:p w14:paraId="17EF0C3B">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0309E12">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a)提供虚假材料谋取中标、成交的；</w:t>
      </w:r>
    </w:p>
    <w:p w14:paraId="15909A3D">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b)采取不正当手段诋毁、排挤其他供应商的；</w:t>
      </w:r>
    </w:p>
    <w:p w14:paraId="3EFCFE4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c)与采购人、其它供应商或者采购代理机构恶意串通的；</w:t>
      </w:r>
    </w:p>
    <w:p w14:paraId="150CC01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d)向采购人、采购代理机构行贿或者提供其他不正当利益的；</w:t>
      </w:r>
    </w:p>
    <w:p w14:paraId="58D621E1">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e)在招标采购过程中与采购人进行协商谈判的；</w:t>
      </w:r>
    </w:p>
    <w:p w14:paraId="7E84525D">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f)拒绝有关部门监督检查或提供虚假情况的。</w:t>
      </w:r>
    </w:p>
    <w:p w14:paraId="55A6AD09">
      <w:pPr>
        <w:snapToGrid w:val="0"/>
        <w:spacing w:line="336"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供应商有前款第a)至e)项情形之一的，中标、成交无效。</w:t>
      </w:r>
    </w:p>
    <w:p w14:paraId="737565AA">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地址：　　　　　　　　　　　　　　　邮政编码：</w:t>
      </w:r>
    </w:p>
    <w:p w14:paraId="0B31D9F6">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电话：                              传真：</w:t>
      </w:r>
    </w:p>
    <w:p w14:paraId="77D7D0A2">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开户银行：                          帐号：</w:t>
      </w:r>
    </w:p>
    <w:p w14:paraId="69C9FCB5">
      <w:pPr>
        <w:widowControl/>
        <w:snapToGrid w:val="0"/>
        <w:spacing w:afterLines="50" w:line="336"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法定代表人或其授权代表(签字或盖章)：</w:t>
      </w:r>
    </w:p>
    <w:p w14:paraId="26781B8C">
      <w:pPr>
        <w:snapToGrid w:val="0"/>
        <w:spacing w:line="336"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p>
    <w:p w14:paraId="35296E6A">
      <w:pPr>
        <w:snapToGrid w:val="0"/>
        <w:spacing w:line="336" w:lineRule="auto"/>
        <w:ind w:firstLine="480" w:firstLineChars="200"/>
        <w:jc w:val="left"/>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投标人(电子签章)：　　　　　　　　　日期：  </w:t>
      </w:r>
    </w:p>
    <w:p w14:paraId="5958FC76">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316F082F">
      <w:pPr>
        <w:jc w:val="center"/>
        <w:rPr>
          <w:rFonts w:ascii="仿宋" w:hAnsi="仿宋" w:eastAsia="仿宋" w:cs="仿宋"/>
          <w:b/>
          <w:color w:val="000000" w:themeColor="text1"/>
          <w:sz w:val="24"/>
          <w:highlight w:val="none"/>
          <w14:textFill>
            <w14:solidFill>
              <w14:schemeClr w14:val="tx1"/>
            </w14:solidFill>
          </w14:textFill>
        </w:rPr>
      </w:pPr>
    </w:p>
    <w:p w14:paraId="3D31B76A">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。以本公司的名义参加组织的投标活动。授权代表在开标、评标、合同谈判过程中所签署的一切文件和处理与之有关的一切事务，我均予以承认。</w:t>
      </w:r>
    </w:p>
    <w:p w14:paraId="5ACCDCA8">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7A810EBB">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00085DBD">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409C8F6E">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6BD1B0A1">
      <w:pPr>
        <w:spacing w:line="360" w:lineRule="exact"/>
        <w:rPr>
          <w:rFonts w:ascii="仿宋" w:hAnsi="仿宋" w:eastAsia="仿宋" w:cs="仿宋"/>
          <w:color w:val="000000" w:themeColor="text1"/>
          <w:sz w:val="24"/>
          <w:highlight w:val="none"/>
          <w14:textFill>
            <w14:solidFill>
              <w14:schemeClr w14:val="tx1"/>
            </w14:solidFill>
          </w14:textFill>
        </w:rPr>
      </w:pPr>
    </w:p>
    <w:p w14:paraId="5C0FBD0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1C74B467">
      <w:pPr>
        <w:spacing w:line="360" w:lineRule="exact"/>
        <w:rPr>
          <w:rFonts w:ascii="仿宋" w:hAnsi="仿宋" w:eastAsia="仿宋" w:cs="仿宋"/>
          <w:color w:val="000000" w:themeColor="text1"/>
          <w:sz w:val="24"/>
          <w:highlight w:val="none"/>
          <w14:textFill>
            <w14:solidFill>
              <w14:schemeClr w14:val="tx1"/>
            </w14:solidFill>
          </w14:textFill>
        </w:rPr>
      </w:pPr>
    </w:p>
    <w:p w14:paraId="25E2A2A8">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9C7AC30">
      <w:pPr>
        <w:spacing w:line="360" w:lineRule="exact"/>
        <w:rPr>
          <w:rFonts w:ascii="仿宋" w:hAnsi="仿宋" w:eastAsia="仿宋" w:cs="仿宋"/>
          <w:color w:val="000000" w:themeColor="text1"/>
          <w:sz w:val="24"/>
          <w:highlight w:val="none"/>
          <w14:textFill>
            <w14:solidFill>
              <w14:schemeClr w14:val="tx1"/>
            </w14:solidFill>
          </w14:textFill>
        </w:rPr>
      </w:pPr>
    </w:p>
    <w:p w14:paraId="5F2EFAED">
      <w:pPr>
        <w:spacing w:line="360" w:lineRule="exact"/>
        <w:rPr>
          <w:rFonts w:ascii="仿宋" w:hAnsi="仿宋" w:eastAsia="仿宋" w:cs="仿宋"/>
          <w:color w:val="000000" w:themeColor="text1"/>
          <w:sz w:val="24"/>
          <w:highlight w:val="none"/>
          <w14:textFill>
            <w14:solidFill>
              <w14:schemeClr w14:val="tx1"/>
            </w14:solidFill>
          </w14:textFill>
        </w:rPr>
      </w:pPr>
    </w:p>
    <w:p w14:paraId="59DEA1B1">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3E0E09E7">
      <w:pPr>
        <w:spacing w:line="360" w:lineRule="exact"/>
        <w:rPr>
          <w:rFonts w:ascii="仿宋" w:hAnsi="仿宋" w:eastAsia="仿宋" w:cs="仿宋"/>
          <w:color w:val="000000" w:themeColor="text1"/>
          <w:sz w:val="24"/>
          <w:highlight w:val="none"/>
          <w14:textFill>
            <w14:solidFill>
              <w14:schemeClr w14:val="tx1"/>
            </w14:solidFill>
          </w14:textFill>
        </w:rPr>
      </w:pPr>
    </w:p>
    <w:p w14:paraId="0438ECDC">
      <w:pPr>
        <w:spacing w:line="360" w:lineRule="exact"/>
        <w:rPr>
          <w:rFonts w:ascii="仿宋" w:hAnsi="仿宋" w:eastAsia="仿宋" w:cs="仿宋"/>
          <w:color w:val="000000" w:themeColor="text1"/>
          <w:sz w:val="24"/>
          <w:highlight w:val="none"/>
          <w14:textFill>
            <w14:solidFill>
              <w14:schemeClr w14:val="tx1"/>
            </w14:solidFill>
          </w14:textFill>
        </w:rPr>
      </w:pPr>
    </w:p>
    <w:p w14:paraId="115F701A">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6A0C1A9E">
      <w:pPr>
        <w:spacing w:line="360" w:lineRule="exact"/>
        <w:rPr>
          <w:rFonts w:ascii="仿宋" w:hAnsi="仿宋" w:eastAsia="仿宋" w:cs="仿宋"/>
          <w:color w:val="000000" w:themeColor="text1"/>
          <w:sz w:val="24"/>
          <w:highlight w:val="none"/>
          <w14:textFill>
            <w14:solidFill>
              <w14:schemeClr w14:val="tx1"/>
            </w14:solidFill>
          </w14:textFill>
        </w:rPr>
      </w:pPr>
    </w:p>
    <w:p w14:paraId="413CD79D">
      <w:pPr>
        <w:spacing w:line="360" w:lineRule="exact"/>
        <w:rPr>
          <w:rFonts w:ascii="仿宋" w:hAnsi="仿宋" w:eastAsia="仿宋" w:cs="仿宋"/>
          <w:color w:val="000000" w:themeColor="text1"/>
          <w:sz w:val="24"/>
          <w:highlight w:val="none"/>
          <w14:textFill>
            <w14:solidFill>
              <w14:schemeClr w14:val="tx1"/>
            </w14:solidFill>
          </w14:textFill>
        </w:rPr>
      </w:pPr>
    </w:p>
    <w:p w14:paraId="4EA5F183">
      <w:pPr>
        <w:ind w:firstLine="5280" w:firstLineChars="2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9A612D4">
      <w:pPr>
        <w:ind w:firstLine="4920" w:firstLineChars="2050"/>
        <w:jc w:val="left"/>
        <w:rPr>
          <w:rFonts w:ascii="仿宋" w:hAnsi="仿宋" w:eastAsia="仿宋" w:cs="仿宋"/>
          <w:color w:val="000000" w:themeColor="text1"/>
          <w:sz w:val="24"/>
          <w:highlight w:val="none"/>
          <w14:textFill>
            <w14:solidFill>
              <w14:schemeClr w14:val="tx1"/>
            </w14:solidFill>
          </w14:textFill>
        </w:rPr>
      </w:pPr>
    </w:p>
    <w:p w14:paraId="37FB5B05">
      <w:pPr>
        <w:spacing w:line="800" w:lineRule="exact"/>
        <w:rPr>
          <w:rFonts w:ascii="仿宋" w:hAnsi="仿宋" w:eastAsia="仿宋" w:cs="仿宋"/>
          <w:b/>
          <w:color w:val="000000" w:themeColor="text1"/>
          <w:sz w:val="24"/>
          <w:highlight w:val="none"/>
          <w14:textFill>
            <w14:solidFill>
              <w14:schemeClr w14:val="tx1"/>
            </w14:solidFill>
          </w14:textFill>
        </w:rPr>
      </w:pPr>
    </w:p>
    <w:p w14:paraId="28C26452">
      <w:pPr>
        <w:spacing w:line="800" w:lineRule="exact"/>
        <w:rPr>
          <w:rFonts w:ascii="仿宋" w:hAnsi="仿宋" w:eastAsia="仿宋" w:cs="仿宋"/>
          <w:b/>
          <w:color w:val="000000" w:themeColor="text1"/>
          <w:sz w:val="24"/>
          <w:highlight w:val="none"/>
          <w14:textFill>
            <w14:solidFill>
              <w14:schemeClr w14:val="tx1"/>
            </w14:solidFill>
          </w14:textFill>
        </w:rPr>
      </w:pPr>
    </w:p>
    <w:p w14:paraId="7C1AC9E2">
      <w:pPr>
        <w:pageBreakBefore/>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04AFE77D">
      <w:pPr>
        <w:jc w:val="center"/>
        <w:rPr>
          <w:rFonts w:ascii="仿宋" w:hAnsi="仿宋" w:eastAsia="仿宋" w:cs="仿宋"/>
          <w:b/>
          <w:color w:val="000000" w:themeColor="text1"/>
          <w:sz w:val="24"/>
          <w:highlight w:val="none"/>
          <w14:textFill>
            <w14:solidFill>
              <w14:schemeClr w14:val="tx1"/>
            </w14:solidFill>
          </w14:textFill>
        </w:rPr>
      </w:pPr>
    </w:p>
    <w:p w14:paraId="2184FC81">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15CB1676">
      <w:pPr>
        <w:snapToGrid w:val="0"/>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。以我方的名义参加组织的投标活动。授权代表在开标、评标、合同谈判过程中所签署的一切文件和处理与之有关的一切事务，我均予以承认。</w:t>
      </w:r>
    </w:p>
    <w:p w14:paraId="47131F92">
      <w:pPr>
        <w:snapToGrid w:val="0"/>
        <w:spacing w:line="56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3CF82F07">
      <w:pPr>
        <w:spacing w:line="56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7D93133D">
      <w:pPr>
        <w:snapToGrid w:val="0"/>
        <w:spacing w:line="600" w:lineRule="exact"/>
        <w:jc w:val="left"/>
        <w:rPr>
          <w:rFonts w:ascii="仿宋" w:hAnsi="仿宋" w:eastAsia="仿宋" w:cs="仿宋"/>
          <w:color w:val="000000" w:themeColor="text1"/>
          <w:sz w:val="24"/>
          <w:highlight w:val="none"/>
          <w14:textFill>
            <w14:solidFill>
              <w14:schemeClr w14:val="tx1"/>
            </w14:solidFill>
          </w14:textFill>
        </w:rPr>
      </w:pPr>
    </w:p>
    <w:p w14:paraId="5EC96DAF">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5652DECD">
      <w:pPr>
        <w:spacing w:line="360" w:lineRule="exact"/>
        <w:rPr>
          <w:rFonts w:ascii="仿宋" w:hAnsi="仿宋" w:eastAsia="仿宋" w:cs="仿宋"/>
          <w:color w:val="000000" w:themeColor="text1"/>
          <w:sz w:val="24"/>
          <w:highlight w:val="none"/>
          <w14:textFill>
            <w14:solidFill>
              <w14:schemeClr w14:val="tx1"/>
            </w14:solidFill>
          </w14:textFill>
        </w:rPr>
      </w:pPr>
    </w:p>
    <w:p w14:paraId="45FA7600">
      <w:pPr>
        <w:spacing w:line="36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4D31CFEF">
      <w:pPr>
        <w:spacing w:line="360" w:lineRule="exact"/>
        <w:rPr>
          <w:rFonts w:ascii="仿宋" w:hAnsi="仿宋" w:eastAsia="仿宋" w:cs="仿宋"/>
          <w:color w:val="000000" w:themeColor="text1"/>
          <w:sz w:val="24"/>
          <w:highlight w:val="none"/>
          <w14:textFill>
            <w14:solidFill>
              <w14:schemeClr w14:val="tx1"/>
            </w14:solidFill>
          </w14:textFill>
        </w:rPr>
      </w:pPr>
    </w:p>
    <w:p w14:paraId="3C80BFE1">
      <w:pPr>
        <w:widowControl/>
        <w:snapToGrid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120DCAC1">
      <w:pPr>
        <w:spacing w:line="360" w:lineRule="exact"/>
        <w:rPr>
          <w:rFonts w:ascii="仿宋" w:hAnsi="仿宋" w:eastAsia="仿宋" w:cs="仿宋"/>
          <w:color w:val="000000" w:themeColor="text1"/>
          <w:sz w:val="24"/>
          <w:highlight w:val="none"/>
          <w14:textFill>
            <w14:solidFill>
              <w14:schemeClr w14:val="tx1"/>
            </w14:solidFill>
          </w14:textFill>
        </w:rPr>
      </w:pPr>
    </w:p>
    <w:p w14:paraId="4A9F8F5F">
      <w:pPr>
        <w:spacing w:line="360" w:lineRule="exact"/>
        <w:rPr>
          <w:rFonts w:ascii="仿宋" w:hAnsi="仿宋" w:eastAsia="仿宋" w:cs="仿宋"/>
          <w:color w:val="000000" w:themeColor="text1"/>
          <w:sz w:val="24"/>
          <w:highlight w:val="none"/>
          <w14:textFill>
            <w14:solidFill>
              <w14:schemeClr w14:val="tx1"/>
            </w14:solidFill>
          </w14:textFill>
        </w:rPr>
      </w:pPr>
    </w:p>
    <w:p w14:paraId="7A0B2AB4">
      <w:pPr>
        <w:jc w:val="center"/>
        <w:rPr>
          <w:rFonts w:ascii="仿宋" w:hAnsi="仿宋" w:eastAsia="仿宋" w:cs="仿宋"/>
          <w:b/>
          <w:color w:val="000000" w:themeColor="text1"/>
          <w:kern w:val="0"/>
          <w:sz w:val="32"/>
          <w:szCs w:val="32"/>
          <w:highlight w:val="none"/>
          <w14:textFill>
            <w14:solidFill>
              <w14:schemeClr w14:val="tx1"/>
            </w14:solidFill>
          </w14:textFill>
        </w:rPr>
      </w:pPr>
    </w:p>
    <w:p w14:paraId="5878AB47">
      <w:pPr>
        <w:rPr>
          <w:rFonts w:ascii="仿宋" w:hAnsi="仿宋" w:eastAsia="仿宋" w:cs="仿宋"/>
          <w:color w:val="000000" w:themeColor="text1"/>
          <w:highlight w:val="none"/>
          <w14:textFill>
            <w14:solidFill>
              <w14:schemeClr w14:val="tx1"/>
            </w14:solidFill>
          </w14:textFill>
        </w:rPr>
      </w:pPr>
    </w:p>
    <w:p w14:paraId="1AF4EB79">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91DB4D9">
      <w:pPr>
        <w:snapToGrid w:val="0"/>
        <w:spacing w:line="360" w:lineRule="auto"/>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E093FAD">
      <w:pPr>
        <w:snapToGrid w:val="0"/>
        <w:spacing w:line="360" w:lineRule="auto"/>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5B6A8771">
      <w:pPr>
        <w:snapToGrid w:val="0"/>
        <w:spacing w:line="360" w:lineRule="auto"/>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76B7E13D">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4D62442">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2E74AC53">
      <w:pPr>
        <w:autoSpaceDE w:val="0"/>
        <w:autoSpaceDN w:val="0"/>
        <w:spacing w:line="360" w:lineRule="auto"/>
        <w:jc w:val="center"/>
        <w:rPr>
          <w:rFonts w:ascii="仿宋" w:hAnsi="仿宋" w:eastAsia="仿宋" w:cs="仿宋"/>
          <w:b/>
          <w:color w:val="000000" w:themeColor="text1"/>
          <w:kern w:val="0"/>
          <w:sz w:val="32"/>
          <w:szCs w:val="32"/>
          <w:highlight w:val="none"/>
          <w:lang w:val="zh-CN"/>
          <w14:textFill>
            <w14:solidFill>
              <w14:schemeClr w14:val="tx1"/>
            </w14:solidFill>
          </w14:textFill>
        </w:rPr>
      </w:pPr>
    </w:p>
    <w:p w14:paraId="0B47525F">
      <w:pPr>
        <w:pageBreakBefore/>
        <w:spacing w:line="8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1124425F">
      <w:pPr>
        <w:spacing w:line="8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75BDF00">
      <w:pPr>
        <w:spacing w:line="800" w:lineRule="exact"/>
        <w:rPr>
          <w:rFonts w:ascii="仿宋" w:hAnsi="仿宋" w:eastAsia="仿宋" w:cs="仿宋"/>
          <w:b/>
          <w:color w:val="000000" w:themeColor="text1"/>
          <w:sz w:val="24"/>
          <w:highlight w:val="none"/>
          <w14:textFill>
            <w14:solidFill>
              <w14:schemeClr w14:val="tx1"/>
            </w14:solidFill>
          </w14:textFill>
        </w:rPr>
      </w:pPr>
    </w:p>
    <w:p w14:paraId="061F0C32">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四、法定代表人及其授权代表身份证复印件（正反面）</w:t>
      </w:r>
    </w:p>
    <w:p w14:paraId="5FB9F8EF">
      <w:pPr>
        <w:spacing w:line="800" w:lineRule="exact"/>
        <w:rPr>
          <w:rFonts w:ascii="仿宋" w:hAnsi="仿宋" w:eastAsia="仿宋" w:cs="仿宋"/>
          <w:b/>
          <w:color w:val="000000" w:themeColor="text1"/>
          <w:sz w:val="24"/>
          <w:highlight w:val="none"/>
          <w14:textFill>
            <w14:solidFill>
              <w14:schemeClr w14:val="tx1"/>
            </w14:solidFill>
          </w14:textFill>
        </w:rPr>
      </w:pPr>
    </w:p>
    <w:p w14:paraId="2343A225">
      <w:pPr>
        <w:spacing w:line="800" w:lineRule="exact"/>
        <w:rPr>
          <w:rFonts w:ascii="仿宋" w:hAnsi="仿宋" w:eastAsia="仿宋" w:cs="仿宋"/>
          <w:b/>
          <w:color w:val="000000" w:themeColor="text1"/>
          <w:sz w:val="24"/>
          <w:highlight w:val="none"/>
          <w14:textFill>
            <w14:solidFill>
              <w14:schemeClr w14:val="tx1"/>
            </w14:solidFill>
          </w14:textFill>
        </w:rPr>
      </w:pPr>
    </w:p>
    <w:p w14:paraId="6E28C20D">
      <w:pPr>
        <w:spacing w:line="800" w:lineRule="exact"/>
        <w:jc w:val="center"/>
        <w:rPr>
          <w:rFonts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五、法定代表人身份证明书(格式)</w:t>
      </w:r>
    </w:p>
    <w:p w14:paraId="7A9F760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p>
    <w:p w14:paraId="7781E897">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p>
    <w:p w14:paraId="00B4102D">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p>
    <w:p w14:paraId="0D6D4B21">
      <w:pPr>
        <w:spacing w:line="440" w:lineRule="exact"/>
        <w:ind w:right="281" w:rightChars="134"/>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p>
    <w:p w14:paraId="54006A58">
      <w:pPr>
        <w:spacing w:line="440" w:lineRule="exact"/>
        <w:ind w:right="281" w:rightChars="134"/>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p>
    <w:p w14:paraId="382279B8">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3E4CD20A">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5329D43B">
      <w:pPr>
        <w:spacing w:line="440" w:lineRule="exact"/>
        <w:rPr>
          <w:rFonts w:ascii="仿宋" w:hAnsi="仿宋" w:eastAsia="仿宋" w:cs="仿宋"/>
          <w:color w:val="000000" w:themeColor="text1"/>
          <w:sz w:val="24"/>
          <w:highlight w:val="none"/>
          <w14:textFill>
            <w14:solidFill>
              <w14:schemeClr w14:val="tx1"/>
            </w14:solidFill>
          </w14:textFill>
        </w:rPr>
      </w:pPr>
    </w:p>
    <w:p w14:paraId="5DD6FDF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                             （电子签章）</w:t>
      </w:r>
    </w:p>
    <w:p w14:paraId="3CA567E9">
      <w:pPr>
        <w:spacing w:line="440" w:lineRule="exact"/>
        <w:ind w:right="480"/>
        <w:rPr>
          <w:rFonts w:ascii="仿宋" w:hAnsi="仿宋" w:eastAsia="仿宋" w:cs="仿宋"/>
          <w:color w:val="000000" w:themeColor="text1"/>
          <w:sz w:val="24"/>
          <w:highlight w:val="none"/>
          <w14:textFill>
            <w14:solidFill>
              <w14:schemeClr w14:val="tx1"/>
            </w14:solidFill>
          </w14:textFill>
        </w:rPr>
      </w:pPr>
    </w:p>
    <w:p w14:paraId="5367CDE6">
      <w:pPr>
        <w:spacing w:line="440" w:lineRule="exact"/>
        <w:ind w:right="72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17B642D5">
      <w:pPr>
        <w:jc w:val="center"/>
        <w:rPr>
          <w:rFonts w:ascii="仿宋" w:hAnsi="仿宋" w:eastAsia="仿宋" w:cs="仿宋"/>
          <w:b/>
          <w:color w:val="000000" w:themeColor="text1"/>
          <w:kern w:val="0"/>
          <w:sz w:val="32"/>
          <w:szCs w:val="32"/>
          <w:highlight w:val="none"/>
          <w14:textFill>
            <w14:solidFill>
              <w14:schemeClr w14:val="tx1"/>
            </w14:solidFill>
          </w14:textFill>
        </w:rPr>
      </w:pPr>
    </w:p>
    <w:p w14:paraId="59D000F0">
      <w:pPr>
        <w:jc w:val="center"/>
        <w:rPr>
          <w:rFonts w:ascii="仿宋" w:hAnsi="仿宋" w:eastAsia="仿宋" w:cs="仿宋"/>
          <w:b/>
          <w:color w:val="000000" w:themeColor="text1"/>
          <w:kern w:val="0"/>
          <w:sz w:val="32"/>
          <w:szCs w:val="32"/>
          <w:highlight w:val="none"/>
          <w14:textFill>
            <w14:solidFill>
              <w14:schemeClr w14:val="tx1"/>
            </w14:solidFill>
          </w14:textFill>
        </w:rPr>
      </w:pPr>
    </w:p>
    <w:p w14:paraId="4DBFD8F8">
      <w:pPr>
        <w:rPr>
          <w:rFonts w:ascii="仿宋" w:hAnsi="仿宋" w:eastAsia="仿宋" w:cs="仿宋"/>
          <w:b/>
          <w:color w:val="000000" w:themeColor="text1"/>
          <w:kern w:val="0"/>
          <w:sz w:val="32"/>
          <w:szCs w:val="32"/>
          <w:highlight w:val="none"/>
          <w14:textFill>
            <w14:solidFill>
              <w14:schemeClr w14:val="tx1"/>
            </w14:solidFill>
          </w14:textFill>
        </w:rPr>
      </w:pPr>
    </w:p>
    <w:p w14:paraId="5B0C96FC">
      <w:pPr>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CA9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33C3CF">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0C46529B">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25353736">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43A75743">
            <w:pPr>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459B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AD2529">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32327504">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6C77DC15">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35028087">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635D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ED7A2E">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0DB2F6C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4861094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392887AD">
            <w:pPr>
              <w:jc w:val="center"/>
              <w:rPr>
                <w:rFonts w:ascii="仿宋" w:hAnsi="仿宋" w:eastAsia="仿宋" w:cs="仿宋"/>
                <w:b/>
                <w:color w:val="000000" w:themeColor="text1"/>
                <w:kern w:val="0"/>
                <w:sz w:val="32"/>
                <w:szCs w:val="32"/>
                <w:highlight w:val="none"/>
                <w14:textFill>
                  <w14:solidFill>
                    <w14:schemeClr w14:val="tx1"/>
                  </w14:solidFill>
                </w14:textFill>
              </w:rPr>
            </w:pPr>
          </w:p>
        </w:tc>
      </w:tr>
      <w:tr w14:paraId="3EA81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0684745">
            <w:pPr>
              <w:jc w:val="center"/>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29A4D1DF">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75FFC3BE">
            <w:pPr>
              <w:jc w:val="center"/>
              <w:rPr>
                <w:rFonts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6F9FE2B1">
            <w:pPr>
              <w:jc w:val="center"/>
              <w:rPr>
                <w:rFonts w:ascii="仿宋" w:hAnsi="仿宋" w:eastAsia="仿宋" w:cs="仿宋"/>
                <w:b/>
                <w:color w:val="000000" w:themeColor="text1"/>
                <w:kern w:val="0"/>
                <w:sz w:val="32"/>
                <w:szCs w:val="32"/>
                <w:highlight w:val="none"/>
                <w14:textFill>
                  <w14:solidFill>
                    <w14:schemeClr w14:val="tx1"/>
                  </w14:solidFill>
                </w14:textFill>
              </w:rPr>
            </w:pPr>
          </w:p>
        </w:tc>
      </w:tr>
    </w:tbl>
    <w:p w14:paraId="5B3203CA">
      <w:pPr>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34FBB198">
      <w:pPr>
        <w:jc w:val="center"/>
        <w:rPr>
          <w:rFonts w:ascii="仿宋" w:hAnsi="仿宋" w:eastAsia="仿宋" w:cs="仿宋"/>
          <w:b/>
          <w:color w:val="000000" w:themeColor="text1"/>
          <w:kern w:val="0"/>
          <w:sz w:val="32"/>
          <w:szCs w:val="32"/>
          <w:highlight w:val="none"/>
          <w14:textFill>
            <w14:solidFill>
              <w14:schemeClr w14:val="tx1"/>
            </w14:solidFill>
          </w14:textFill>
        </w:rPr>
      </w:pPr>
    </w:p>
    <w:p w14:paraId="243BC43F">
      <w:pPr>
        <w:spacing w:line="360" w:lineRule="auto"/>
        <w:ind w:right="420"/>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CC03BFC">
      <w:pPr>
        <w:widowControl/>
        <w:adjustRightInd/>
        <w:jc w:val="left"/>
        <w:rPr>
          <w:rFonts w:ascii="仿宋" w:hAnsi="仿宋" w:eastAsia="仿宋" w:cs="仿宋"/>
          <w:b/>
          <w:bCs/>
          <w:color w:val="000000" w:themeColor="text1"/>
          <w:sz w:val="32"/>
          <w:szCs w:val="32"/>
          <w:highlight w:val="none"/>
          <w14:textFill>
            <w14:solidFill>
              <w14:schemeClr w14:val="tx1"/>
            </w14:solidFill>
          </w14:textFill>
        </w:rPr>
      </w:pPr>
    </w:p>
    <w:p w14:paraId="3E9A8FB8">
      <w:pPr>
        <w:pageBreakBefore/>
        <w:widowControl/>
        <w:adjustRightInd/>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0FD5B991">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7849FC58">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5280CB6">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383A50F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3719D218">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3884D625">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1F82877D">
      <w:pPr>
        <w:autoSpaceDE w:val="0"/>
        <w:autoSpaceDN w:val="0"/>
        <w:spacing w:line="360" w:lineRule="auto"/>
        <w:ind w:left="2" w:leftChars="1"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7E7D023B">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152B4A83">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75A7A3E8">
      <w:pPr>
        <w:autoSpaceDE w:val="0"/>
        <w:autoSpaceDN w:val="0"/>
        <w:spacing w:line="360" w:lineRule="auto"/>
        <w:ind w:left="481" w:leftChars="229"/>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w:t>
      </w:r>
    </w:p>
    <w:p w14:paraId="74118B2F">
      <w:pPr>
        <w:autoSpaceDE w:val="0"/>
        <w:autoSpaceDN w:val="0"/>
        <w:spacing w:line="360" w:lineRule="auto"/>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7988DA19">
      <w:pPr>
        <w:autoSpaceDE w:val="0"/>
        <w:autoSpaceDN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144570E7">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4E121297">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2F93D86B">
      <w:pPr>
        <w:autoSpaceDE w:val="0"/>
        <w:autoSpaceDN w:val="0"/>
        <w:spacing w:line="360" w:lineRule="auto"/>
        <w:ind w:left="2"/>
        <w:jc w:val="left"/>
        <w:rPr>
          <w:rFonts w:ascii="仿宋" w:hAnsi="仿宋" w:eastAsia="仿宋" w:cs="仿宋"/>
          <w:color w:val="000000" w:themeColor="text1"/>
          <w:kern w:val="0"/>
          <w:sz w:val="24"/>
          <w:highlight w:val="none"/>
          <w:lang w:val="zh-CN"/>
          <w14:textFill>
            <w14:solidFill>
              <w14:schemeClr w14:val="tx1"/>
            </w14:solidFill>
          </w14:textFill>
        </w:rPr>
      </w:pPr>
    </w:p>
    <w:p w14:paraId="0E538B4A">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19339B13">
      <w:pPr>
        <w:autoSpaceDE w:val="0"/>
        <w:autoSpaceDN w:val="0"/>
        <w:spacing w:line="360" w:lineRule="auto"/>
        <w:ind w:left="2" w:leftChars="1" w:right="1120" w:firstLine="4560" w:firstLineChars="19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69045453">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16520D2B">
      <w:pPr>
        <w:spacing w:line="360" w:lineRule="auto"/>
        <w:ind w:right="42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C891CF8">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04B520ED">
      <w:pPr>
        <w:pStyle w:val="80"/>
        <w:jc w:val="center"/>
        <w:rPr>
          <w:rFonts w:ascii="仿宋" w:hAnsi="仿宋" w:eastAsia="仿宋" w:cs="仿宋"/>
          <w:b/>
          <w:bCs/>
          <w:color w:val="000000" w:themeColor="text1"/>
          <w:highlight w:val="none"/>
          <w14:textFill>
            <w14:solidFill>
              <w14:schemeClr w14:val="tx1"/>
            </w14:solidFill>
          </w14:textFill>
        </w:rPr>
      </w:pPr>
    </w:p>
    <w:p w14:paraId="3DF919F6">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八、</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67895D4C">
      <w:pPr>
        <w:autoSpaceDE w:val="0"/>
        <w:autoSpaceDN w:val="0"/>
        <w:spacing w:line="360" w:lineRule="auto"/>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1BAA9A7">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AFA45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5FE19B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44612E4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68F766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A64B5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269574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18A8D64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9F0C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4CD5A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EBE052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60D2D6A1">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36F81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A41364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ACDF2F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312B847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000C16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44499BC">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3F5566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06AD842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83A7B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7343A8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713DD74">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797F02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FE389E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37DC0E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43EBE42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1B38F86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2B7809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87C2BC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4161CC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786A97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F809D70">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6691EA6">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CD6F1BA">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755675F6">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注：供应商可按上述的格式自行编制，须随表提交相应的合同复印件并注明页码。</w:t>
      </w:r>
    </w:p>
    <w:p w14:paraId="14844932">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p>
    <w:p w14:paraId="0B0752F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6913EDD3">
      <w:pPr>
        <w:spacing w:line="336" w:lineRule="auto"/>
        <w:ind w:left="3990" w:leftChars="19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31FB01F9">
      <w:pPr>
        <w:spacing w:line="336" w:lineRule="auto"/>
        <w:ind w:left="3990" w:leftChars="19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40720F7D">
      <w:pPr>
        <w:pStyle w:val="648"/>
        <w:ind w:firstLine="0"/>
        <w:jc w:val="both"/>
        <w:rPr>
          <w:rFonts w:hAnsi="仿宋_GB2312" w:cs="仿宋_GB2312"/>
          <w:color w:val="000000" w:themeColor="text1"/>
          <w:highlight w:val="none"/>
          <w14:textFill>
            <w14:solidFill>
              <w14:schemeClr w14:val="tx1"/>
            </w14:solidFill>
          </w14:textFill>
        </w:rPr>
      </w:pPr>
    </w:p>
    <w:p w14:paraId="5105FDEF">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九、技术解决方案</w:t>
      </w:r>
    </w:p>
    <w:p w14:paraId="6B08589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7DFE59C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3EAEE488">
      <w:pPr>
        <w:snapToGrid w:val="0"/>
        <w:spacing w:line="360" w:lineRule="auto"/>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9F3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3F2065">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51D837E9">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37E97F9A">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4C70ABDE">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49A035B6">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441D8271">
            <w:pPr>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63821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63FEEA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4F1792DF">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B501432">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DB217B8">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EA00A54">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30457F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79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6E6FC4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296726C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D40D6E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7714E68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17449C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395F60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FC8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D7D215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57EE2BE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718BA9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3AD5E5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3FD63DAF">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225B4B1">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3F03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1B0747">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1FEE3FAA">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647A8575">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528B9E8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0A0C43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49FCA925">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77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B6F1E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13BD29D8">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5C757F4">
            <w:pPr>
              <w:snapToGrid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3F2F6C0E">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ABC9CEC">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CBA921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1305D560">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189D8CF0">
      <w:pPr>
        <w:autoSpaceDE w:val="0"/>
        <w:autoSpaceDN w:val="0"/>
        <w:spacing w:line="360" w:lineRule="auto"/>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67B12100">
      <w:pPr>
        <w:autoSpaceDE w:val="0"/>
        <w:autoSpaceDN w:val="0"/>
        <w:spacing w:line="360" w:lineRule="auto"/>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72438F67">
      <w:pPr>
        <w:autoSpaceDE w:val="0"/>
        <w:autoSpaceDN w:val="0"/>
        <w:spacing w:line="360" w:lineRule="auto"/>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50AEF6C4">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437BA94B">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9836FB8">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276FA9F1">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7766E518">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45FF5CA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4923A3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917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9A74E7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14A8CA52">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41BA8B2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74F3AF7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7636BC1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1483717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68F2A233">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7CFECF0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5D2EA45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5749451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1071B261">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4B0C0D97">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3E88EFE5">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1508D73A">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7219C51D">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76AD6650">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62F1B53F">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3C2A8A68">
            <w:pP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7658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E0CB25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935278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9F8CE3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B69AE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98C1B4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43C007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B7D70D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4DAA8C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286B9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636CE8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0B72D4">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8E9F73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9BD342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41364B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35DA9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D34E98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984C8A8">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3D8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9733D0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9EF4F2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764AAE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EBF302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47A7B43">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73E9E1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866081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1DF50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A9B537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4EE656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AF9B3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447D0C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A3A71A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383EB06">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145D71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FB87A4F">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3A0F6B2">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232B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1B68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3E2754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0E48F0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3D43B0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8B79B9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0F245279">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64B0AD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7326A3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8E4F0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92BDC0A">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2B2401E">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E98D765">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BD1A601">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28E21D">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62E3840">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84AD0FC">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56C2FA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0CA88855">
      <w:pPr>
        <w:autoSpaceDE w:val="0"/>
        <w:autoSpaceDN w:val="0"/>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5DB7ECB7">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817CAFD">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3FFECAB">
      <w:pPr>
        <w:spacing w:line="360" w:lineRule="auto"/>
        <w:rPr>
          <w:rFonts w:ascii="仿宋_GB2312" w:hAnsi="仿宋_GB2312" w:eastAsia="仿宋_GB2312" w:cs="仿宋_GB2312"/>
          <w:color w:val="000000" w:themeColor="text1"/>
          <w:kern w:val="0"/>
          <w:sz w:val="24"/>
          <w:highlight w:val="none"/>
          <w14:textFill>
            <w14:solidFill>
              <w14:schemeClr w14:val="tx1"/>
            </w14:solidFill>
          </w14:textFill>
        </w:rPr>
      </w:pPr>
    </w:p>
    <w:p w14:paraId="4F88C343">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7C944B3">
      <w:pPr>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十一、售后服务方案</w:t>
      </w:r>
    </w:p>
    <w:p w14:paraId="4AA8F7F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7F11281">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1F8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343F1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4E8FF68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2056D16B">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3B1D2830">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6F871849">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6B6D8C1E">
            <w:pPr>
              <w:autoSpaceDE w:val="0"/>
              <w:autoSpaceDN w:val="0"/>
              <w:spacing w:line="360" w:lineRule="auto"/>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846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0B896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261494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B2A14A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4103D8A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242CC72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58A886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3334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E3FEC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7B8ACD3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59B7C48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0B993AB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468A1EBF">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9E6075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C47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235D9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51466F0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6D70E9A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0334D85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3E9C14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284C58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DAE985F">
      <w:pPr>
        <w:autoSpaceDE w:val="0"/>
        <w:autoSpaceDN w:val="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BD4FC89">
      <w:pPr>
        <w:autoSpaceDE w:val="0"/>
        <w:autoSpaceDN w:val="0"/>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F51D26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0E7193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4ED0FC9">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5EC72C4">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5C105">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59407D">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6B2329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5A18262">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0EC59F">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929AD28">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8141CA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F1C5240">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7D655ED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EEBF66">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73B88FE">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5BD1A32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D2D84A8">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27991F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F72E54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38D94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C553E1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3CB1525">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A6C25F2">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8B3137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D076D0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C0618DC">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2A9536A">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6EA2B761">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92DED0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44E110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A1B0C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08771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5A0236">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87E669B">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C44792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B5797E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47525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50D5901">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23EA78DB">
            <w:pPr>
              <w:autoSpaceDE w:val="0"/>
              <w:autoSpaceDN w:val="0"/>
              <w:spacing w:line="24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6BD75E9A">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5B0FF83">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0A5DE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0ED93A9">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20E0FF">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F09485D">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8B9DCF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32301B0">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8416CAE">
            <w:pPr>
              <w:autoSpaceDE w:val="0"/>
              <w:autoSpaceDN w:val="0"/>
              <w:spacing w:line="24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478BEEED">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250429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67849F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8D667BE">
      <w:pPr>
        <w:spacing w:line="360" w:lineRule="auto"/>
        <w:rPr>
          <w:rFonts w:ascii="仿宋_GB2312" w:hAnsi="仿宋_GB2312" w:eastAsia="仿宋_GB2312" w:cs="仿宋_GB2312"/>
          <w:b/>
          <w:color w:val="000000" w:themeColor="text1"/>
          <w:sz w:val="30"/>
          <w:szCs w:val="30"/>
          <w:highlight w:val="none"/>
          <w14:textFill>
            <w14:solidFill>
              <w14:schemeClr w14:val="tx1"/>
            </w14:solidFill>
          </w14:textFill>
        </w:rPr>
      </w:pPr>
    </w:p>
    <w:p w14:paraId="47F2D9A1">
      <w:pPr>
        <w:pStyle w:val="80"/>
        <w:rPr>
          <w:color w:val="000000" w:themeColor="text1"/>
          <w:highlight w:val="none"/>
          <w14:textFill>
            <w14:solidFill>
              <w14:schemeClr w14:val="tx1"/>
            </w14:solidFill>
          </w14:textFill>
        </w:rPr>
      </w:pPr>
    </w:p>
    <w:p w14:paraId="44B2A726">
      <w:pPr>
        <w:spacing w:line="360" w:lineRule="auto"/>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14:textFill>
            <w14:solidFill>
              <w14:schemeClr w14:val="tx1"/>
            </w14:solidFill>
          </w14:textFill>
        </w:rPr>
        <w:t>十二、投标人售后服务能力证明材料</w:t>
      </w:r>
    </w:p>
    <w:p w14:paraId="63C90883">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（由投标人根据采购需求及磋商文件要求编制）</w:t>
      </w:r>
    </w:p>
    <w:p w14:paraId="69025E1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p>
    <w:p w14:paraId="486B822F">
      <w:pPr>
        <w:pStyle w:val="80"/>
        <w:rPr>
          <w:color w:val="000000" w:themeColor="text1"/>
          <w:highlight w:val="none"/>
          <w14:textFill>
            <w14:solidFill>
              <w14:schemeClr w14:val="tx1"/>
            </w14:solidFill>
          </w14:textFill>
        </w:rPr>
      </w:pPr>
    </w:p>
    <w:p w14:paraId="387A1C2D">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606875AC">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A9BC9FF">
      <w:pPr>
        <w:pStyle w:val="80"/>
        <w:rPr>
          <w:color w:val="000000" w:themeColor="text1"/>
          <w:highlight w:val="none"/>
          <w14:textFill>
            <w14:solidFill>
              <w14:schemeClr w14:val="tx1"/>
            </w14:solidFill>
          </w14:textFill>
        </w:rPr>
      </w:pPr>
    </w:p>
    <w:p w14:paraId="04BCD80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十三、项目小组人员名单</w:t>
      </w:r>
    </w:p>
    <w:p w14:paraId="2FCDA17F">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95E5FBA">
      <w:pPr>
        <w:keepNext/>
        <w:autoSpaceDE w:val="0"/>
        <w:autoSpaceDN w:val="0"/>
        <w:spacing w:line="360" w:lineRule="auto"/>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40E070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2609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181288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CA6CCC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E96D69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02F1D0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15B6C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DE21A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D68779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DCD54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0840FD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B3FB9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6C667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D0479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6ABD1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04B71B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67D83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6ECBF3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C6D915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4D1BC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A589E9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7AD7F6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99F334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17B4C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5CF8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E1C423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D8897B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550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81E50B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466B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6425E5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D3B0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DAF7FA7">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323E8C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8ABB55">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C4E123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6C9F2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42810F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D58F820">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61F7B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834FE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A4D38D">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AEE1E2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71C5306">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8AEF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B39EEE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F17AE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D93EE6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12FE8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0A90E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26EF587D">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8146FFB">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277E3C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4C143E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2768C48">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C0C19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E61A6A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A4CE59">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513BB4AE">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CACB9C">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63CCEEC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B83FB63">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39084971">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17BF1B4">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170F3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233C8B">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338B38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9A96292">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1F4D05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70CABBA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7C2C4D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BBBC421">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EADDAA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AB2834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A46CA1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15D03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0B902A9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704C07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62D1B2A">
            <w:pPr>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6804452">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051E6B">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82E07D7">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E46D9BF">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5DCE0AD">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C0B271E">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1883ED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1CD1183">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6EB2DC5">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308FEB3">
      <w:pPr>
        <w:spacing w:line="360" w:lineRule="auto"/>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4A31F650">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bookmarkStart w:id="181" w:name="_GoBack"/>
      <w:bookmarkEnd w:id="181"/>
    </w:p>
    <w:p w14:paraId="7E1A167B">
      <w:pPr>
        <w:pStyle w:val="60"/>
      </w:pPr>
    </w:p>
    <w:p w14:paraId="4D7BF9F6">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281203DE">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EE24E81">
      <w:pPr>
        <w:snapToGrid w:val="0"/>
        <w:spacing w:line="360" w:lineRule="auto"/>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DC00321">
      <w:pPr>
        <w:snapToGrid w:val="0"/>
        <w:spacing w:line="360" w:lineRule="auto"/>
        <w:ind w:right="960"/>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6E0490C7">
      <w:pPr>
        <w:snapToGrid w:val="0"/>
        <w:spacing w:line="360" w:lineRule="auto"/>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十四、</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13505F80">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63DEB2FE">
      <w:pPr>
        <w:spacing w:line="360" w:lineRule="auto"/>
        <w:rPr>
          <w:rFonts w:ascii="仿宋_GB2312" w:hAnsi="仿宋_GB2312" w:eastAsia="仿宋_GB2312" w:cs="仿宋_GB2312"/>
          <w:color w:val="000000" w:themeColor="text1"/>
          <w:sz w:val="18"/>
          <w:szCs w:val="18"/>
          <w:highlight w:val="none"/>
          <w14:textFill>
            <w14:solidFill>
              <w14:schemeClr w14:val="tx1"/>
            </w14:solidFill>
          </w14:textFill>
        </w:rPr>
      </w:pPr>
    </w:p>
    <w:p w14:paraId="01170057">
      <w:pPr>
        <w:pStyle w:val="80"/>
        <w:rPr>
          <w:color w:val="000000" w:themeColor="text1"/>
          <w:highlight w:val="none"/>
          <w14:textFill>
            <w14:solidFill>
              <w14:schemeClr w14:val="tx1"/>
            </w14:solidFill>
          </w14:textFill>
        </w:rPr>
      </w:pPr>
    </w:p>
    <w:p w14:paraId="7DBC8F5C">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5A4219C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5AE625D">
      <w:pPr>
        <w:spacing w:line="360" w:lineRule="auto"/>
        <w:rPr>
          <w:rFonts w:ascii="仿宋_GB2312" w:hAnsi="仿宋_GB2312" w:eastAsia="仿宋_GB2312" w:cs="仿宋_GB2312"/>
          <w:b/>
          <w:bCs/>
          <w:color w:val="000000" w:themeColor="text1"/>
          <w:sz w:val="18"/>
          <w:szCs w:val="18"/>
          <w:highlight w:val="none"/>
          <w14:textFill>
            <w14:solidFill>
              <w14:schemeClr w14:val="tx1"/>
            </w14:solidFill>
          </w14:textFill>
        </w:rPr>
      </w:pPr>
    </w:p>
    <w:p w14:paraId="20D101B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BA8769F">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378F652A">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4C7C5F3">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十五、</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3D2C5AD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A805D32">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89D823D">
      <w:pPr>
        <w:snapToGrid w:val="0"/>
        <w:spacing w:line="360" w:lineRule="auto"/>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15229483">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31FCE65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283E8010">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1EC107B">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C3F4309">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8F6E34D">
      <w:pPr>
        <w:spacing w:line="360" w:lineRule="auto"/>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5F46FEE">
      <w:pPr>
        <w:pageBreakBefore/>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十六、</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69786146">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593016A9">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891B7D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815B571">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BDE6237">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15062E7B">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409AB517">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40E3B0B0">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7656D1AD">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48B6275">
            <w:pPr>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7F37DB5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202D8F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A3FA1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567E2D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7F220AC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436097B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8631D3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6A3198F">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r w14:paraId="31E3C3C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03EFE0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67388A2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2DB3630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B2B294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1B21CAB">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30756B7">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0901B0FD">
            <w:pPr>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p>
        </w:tc>
      </w:tr>
    </w:tbl>
    <w:p w14:paraId="432D88E1">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7A24E858">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6B5F27C5">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4F7DD84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6380385C">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74FD40B3">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35209348">
      <w:pPr>
        <w:autoSpaceDE w:val="0"/>
        <w:autoSpaceDN w:val="0"/>
        <w:spacing w:line="360" w:lineRule="auto"/>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4FB2B18C">
      <w:pPr>
        <w:autoSpaceDE w:val="0"/>
        <w:autoSpaceDN w:val="0"/>
        <w:spacing w:line="360" w:lineRule="auto"/>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6A976CFC">
      <w:pPr>
        <w:spacing w:line="360" w:lineRule="auto"/>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3D100F1F">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26E94469">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06F81049">
      <w:pPr>
        <w:pageBreakBefore/>
        <w:spacing w:line="360" w:lineRule="auto"/>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十七、验收方案</w:t>
      </w:r>
    </w:p>
    <w:p w14:paraId="55012BE2">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20E86079">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p>
    <w:p w14:paraId="6B697D68">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070BAAC1">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BE15F0B">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3288A699">
      <w:pPr>
        <w:spacing w:line="360" w:lineRule="auto"/>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197DE6EE">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6FE02501">
      <w:pPr>
        <w:spacing w:line="360" w:lineRule="auto"/>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23DA664A">
      <w:pPr>
        <w:spacing w:line="360" w:lineRule="auto"/>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209C0E7D">
      <w:pPr>
        <w:spacing w:line="360" w:lineRule="auto"/>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3FF473AB">
      <w:pPr>
        <w:spacing w:line="360" w:lineRule="auto"/>
        <w:rPr>
          <w:rFonts w:ascii="仿宋_GB2312" w:hAnsi="仿宋_GB2312" w:eastAsia="仿宋_GB2312" w:cs="仿宋_GB2312"/>
          <w:color w:val="000000" w:themeColor="text1"/>
          <w:sz w:val="24"/>
          <w:highlight w:val="none"/>
          <w14:textFill>
            <w14:solidFill>
              <w14:schemeClr w14:val="tx1"/>
            </w14:solidFill>
          </w14:textFill>
        </w:rPr>
      </w:pPr>
    </w:p>
    <w:p w14:paraId="58E9F5A1">
      <w:pPr>
        <w:spacing w:line="336" w:lineRule="auto"/>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投标人名称（电子签名）：                          </w:t>
      </w:r>
    </w:p>
    <w:p w14:paraId="468BCB6F">
      <w:pPr>
        <w:spacing w:line="336"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777053A">
      <w:pPr>
        <w:pStyle w:val="81"/>
        <w:rPr>
          <w:color w:val="000000" w:themeColor="text1"/>
          <w:highlight w:val="none"/>
          <w14:textFill>
            <w14:solidFill>
              <w14:schemeClr w14:val="tx1"/>
            </w14:solidFill>
          </w14:textFill>
        </w:rPr>
        <w:sectPr>
          <w:headerReference r:id="rId10" w:type="first"/>
          <w:footerReference r:id="rId12" w:type="first"/>
          <w:headerReference r:id="rId9" w:type="default"/>
          <w:footerReference r:id="rId11" w:type="default"/>
          <w:pgSz w:w="11906" w:h="16838"/>
          <w:pgMar w:top="1276" w:right="1418" w:bottom="1247" w:left="1418" w:header="851" w:footer="992" w:gutter="0"/>
          <w:cols w:space="720" w:num="1"/>
          <w:titlePg/>
          <w:docGrid w:linePitch="312" w:charSpace="0"/>
        </w:sectPr>
      </w:pPr>
    </w:p>
    <w:p w14:paraId="179203A6">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53B9229F">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2308013E">
      <w:pPr>
        <w:spacing w:line="360" w:lineRule="auto"/>
        <w:jc w:val="center"/>
        <w:outlineLvl w:val="0"/>
        <w:rPr>
          <w:rFonts w:ascii="仿宋" w:hAnsi="仿宋" w:eastAsia="仿宋" w:cs="仿宋"/>
          <w:b/>
          <w:color w:val="000000" w:themeColor="text1"/>
          <w:kern w:val="0"/>
          <w:sz w:val="36"/>
          <w:szCs w:val="36"/>
          <w:highlight w:val="none"/>
          <w14:textFill>
            <w14:solidFill>
              <w14:schemeClr w14:val="tx1"/>
            </w14:solidFill>
          </w14:textFill>
        </w:rPr>
      </w:pPr>
    </w:p>
    <w:p w14:paraId="63FBF7DE">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（1）开标一览表（报价表）………………………………………………………（页码）</w:t>
      </w:r>
    </w:p>
    <w:p w14:paraId="04650C8B">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（2）中小企业声明函………………………………………………………………（页码）</w:t>
      </w:r>
    </w:p>
    <w:p w14:paraId="2779E49D">
      <w:pPr>
        <w:pStyle w:val="23"/>
        <w:snapToGrid w:val="0"/>
        <w:rPr>
          <w:rFonts w:ascii="仿宋" w:hAnsi="仿宋" w:eastAsia="仿宋" w:cs="仿宋"/>
          <w:color w:val="000000" w:themeColor="text1"/>
          <w:highlight w:val="none"/>
          <w14:textFill>
            <w14:solidFill>
              <w14:schemeClr w14:val="tx1"/>
            </w14:solidFill>
          </w14:textFill>
        </w:rPr>
      </w:pPr>
      <w:r>
        <w:rPr>
          <w:rFonts w:ascii="仿宋" w:hAnsi="仿宋" w:eastAsia="仿宋" w:cs="仿宋"/>
          <w:color w:val="000000" w:themeColor="text1"/>
          <w:szCs w:val="24"/>
          <w:highlight w:val="none"/>
          <w:lang w:val="en-US"/>
          <w14:textFill>
            <w14:solidFill>
              <w14:schemeClr w14:val="tx1"/>
            </w14:solidFill>
          </w14:textFill>
        </w:rPr>
        <w:t>（3）残疾人福利性单位声明函……………………………………………………（页码）</w:t>
      </w:r>
    </w:p>
    <w:p w14:paraId="7496F7B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2314DC8">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1F4F86B8">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70288EA">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E6BF0E6">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5C5E4877">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3A072D2">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779DB86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772B793">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485B7BE0">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64A2E9BF">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4C201E4">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3A7C62C5">
      <w:pPr>
        <w:snapToGrid w:val="0"/>
        <w:spacing w:line="360" w:lineRule="auto"/>
        <w:ind w:right="480"/>
        <w:jc w:val="center"/>
        <w:rPr>
          <w:rFonts w:ascii="仿宋" w:hAnsi="仿宋" w:eastAsia="仿宋" w:cs="仿宋"/>
          <w:b/>
          <w:color w:val="000000" w:themeColor="text1"/>
          <w:kern w:val="0"/>
          <w:sz w:val="32"/>
          <w:szCs w:val="32"/>
          <w:highlight w:val="none"/>
          <w14:textFill>
            <w14:solidFill>
              <w14:schemeClr w14:val="tx1"/>
            </w14:solidFill>
          </w14:textFill>
        </w:rPr>
      </w:pPr>
    </w:p>
    <w:p w14:paraId="2D3321B2">
      <w:pPr>
        <w:snapToGrid w:val="0"/>
        <w:spacing w:line="360" w:lineRule="auto"/>
        <w:ind w:right="480"/>
        <w:rPr>
          <w:rFonts w:ascii="仿宋" w:hAnsi="仿宋" w:eastAsia="仿宋" w:cs="仿宋"/>
          <w:b/>
          <w:color w:val="000000" w:themeColor="text1"/>
          <w:kern w:val="0"/>
          <w:sz w:val="32"/>
          <w:szCs w:val="32"/>
          <w:highlight w:val="none"/>
          <w14:textFill>
            <w14:solidFill>
              <w14:schemeClr w14:val="tx1"/>
            </w14:solidFill>
          </w14:textFill>
        </w:rPr>
      </w:pPr>
    </w:p>
    <w:p w14:paraId="110B5D4C">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sectPr>
          <w:headerReference r:id="rId14" w:type="first"/>
          <w:footerReference r:id="rId16" w:type="first"/>
          <w:headerReference r:id="rId13" w:type="default"/>
          <w:footerReference r:id="rId15" w:type="default"/>
          <w:pgSz w:w="11906" w:h="16838"/>
          <w:pgMar w:top="1276" w:right="1418" w:bottom="1247" w:left="1418" w:header="851" w:footer="992" w:gutter="0"/>
          <w:cols w:space="720" w:num="1"/>
          <w:titlePg/>
          <w:docGrid w:linePitch="312" w:charSpace="0"/>
        </w:sectPr>
      </w:pPr>
    </w:p>
    <w:p w14:paraId="1BAA06BD">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7BC7CC00">
      <w:pPr>
        <w:snapToGrid w:val="0"/>
        <w:spacing w:line="360" w:lineRule="auto"/>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A9471BF">
      <w:pPr>
        <w:snapToGrid w:val="0"/>
        <w:spacing w:line="360" w:lineRule="auto"/>
        <w:ind w:firstLine="482"/>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439732">
      <w:pPr>
        <w:spacing w:line="360" w:lineRule="auto"/>
        <w:jc w:val="center"/>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开标一览表（报价表）(单位均为人民币元)</w:t>
      </w:r>
    </w:p>
    <w:tbl>
      <w:tblPr>
        <w:tblStyle w:val="62"/>
        <w:tblpPr w:leftFromText="180" w:rightFromText="180" w:vertAnchor="text" w:horzAnchor="page" w:tblpX="1957" w:tblpY="456"/>
        <w:tblOverlap w:val="never"/>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5670"/>
        <w:gridCol w:w="2814"/>
      </w:tblGrid>
      <w:tr w14:paraId="481A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78DAA18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670" w:type="dxa"/>
            <w:noWrap w:val="0"/>
            <w:vAlign w:val="center"/>
          </w:tcPr>
          <w:p w14:paraId="2C0F401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服务内容</w:t>
            </w:r>
          </w:p>
        </w:tc>
        <w:tc>
          <w:tcPr>
            <w:tcW w:w="2814" w:type="dxa"/>
            <w:noWrap w:val="0"/>
            <w:vAlign w:val="center"/>
          </w:tcPr>
          <w:p w14:paraId="29CC1DC6">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投标折扣率</w:t>
            </w:r>
          </w:p>
        </w:tc>
      </w:tr>
      <w:tr w14:paraId="10223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26E467D9">
            <w:pPr>
              <w:spacing w:line="360" w:lineRule="auto"/>
              <w:jc w:val="center"/>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w:t>
            </w:r>
          </w:p>
        </w:tc>
        <w:tc>
          <w:tcPr>
            <w:tcW w:w="5670" w:type="dxa"/>
            <w:noWrap w:val="0"/>
            <w:vAlign w:val="center"/>
          </w:tcPr>
          <w:p w14:paraId="422F9C4F">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杨汛桥街道办事处、派出所食堂大宗食品配送项目</w:t>
            </w:r>
          </w:p>
        </w:tc>
        <w:tc>
          <w:tcPr>
            <w:tcW w:w="2814" w:type="dxa"/>
            <w:noWrap w:val="0"/>
            <w:vAlign w:val="center"/>
          </w:tcPr>
          <w:p w14:paraId="30146C84">
            <w:pPr>
              <w:spacing w:line="360" w:lineRule="auto"/>
              <w:jc w:val="center"/>
              <w:rPr>
                <w:rFonts w:hint="eastAsia" w:ascii="仿宋" w:hAnsi="仿宋" w:eastAsia="仿宋" w:cs="仿宋"/>
                <w:b w:val="0"/>
                <w:bCs/>
                <w:color w:val="auto"/>
                <w:sz w:val="24"/>
                <w:highlight w:val="none"/>
                <w:lang w:val="en-US" w:eastAsia="zh-CN"/>
              </w:rPr>
            </w:pPr>
          </w:p>
        </w:tc>
      </w:tr>
      <w:tr w14:paraId="261C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492" w:type="dxa"/>
            <w:noWrap w:val="0"/>
            <w:vAlign w:val="center"/>
          </w:tcPr>
          <w:p w14:paraId="59B994C2">
            <w:pPr>
              <w:spacing w:line="360" w:lineRule="auto"/>
              <w:jc w:val="center"/>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w:t>
            </w:r>
          </w:p>
        </w:tc>
        <w:tc>
          <w:tcPr>
            <w:tcW w:w="5670" w:type="dxa"/>
            <w:noWrap w:val="0"/>
            <w:vAlign w:val="center"/>
          </w:tcPr>
          <w:p w14:paraId="30D73E38">
            <w:pPr>
              <w:snapToGrid w:val="0"/>
              <w:spacing w:line="360" w:lineRule="auto"/>
              <w:jc w:val="center"/>
              <w:rPr>
                <w:rFonts w:hint="eastAsia" w:ascii="仿宋" w:hAnsi="仿宋" w:eastAsia="仿宋" w:cs="仿宋"/>
                <w:b w:val="0"/>
                <w:bCs/>
                <w:color w:val="auto"/>
                <w:sz w:val="24"/>
                <w:highlight w:val="none"/>
              </w:rPr>
            </w:pPr>
          </w:p>
        </w:tc>
        <w:tc>
          <w:tcPr>
            <w:tcW w:w="2814" w:type="dxa"/>
            <w:noWrap w:val="0"/>
            <w:vAlign w:val="center"/>
          </w:tcPr>
          <w:p w14:paraId="3FD769E4">
            <w:pPr>
              <w:spacing w:line="360" w:lineRule="auto"/>
              <w:jc w:val="center"/>
              <w:rPr>
                <w:rFonts w:hint="eastAsia" w:ascii="仿宋" w:hAnsi="仿宋" w:eastAsia="仿宋" w:cs="仿宋"/>
                <w:b w:val="0"/>
                <w:bCs/>
                <w:color w:val="auto"/>
                <w:sz w:val="24"/>
                <w:highlight w:val="none"/>
              </w:rPr>
            </w:pPr>
          </w:p>
        </w:tc>
      </w:tr>
      <w:tr w14:paraId="1935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76" w:type="dxa"/>
            <w:gridSpan w:val="3"/>
            <w:noWrap w:val="0"/>
            <w:vAlign w:val="center"/>
          </w:tcPr>
          <w:p w14:paraId="7CC00E46">
            <w:pPr>
              <w:spacing w:line="360" w:lineRule="auto"/>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val="en-US" w:eastAsia="zh-CN"/>
              </w:rPr>
              <w:t>折扣率</w:t>
            </w:r>
            <w:r>
              <w:rPr>
                <w:rFonts w:hint="eastAsia" w:ascii="仿宋" w:hAnsi="仿宋" w:eastAsia="仿宋" w:cs="仿宋"/>
                <w:b/>
                <w:color w:val="auto"/>
                <w:sz w:val="24"/>
                <w:highlight w:val="none"/>
              </w:rPr>
              <w:t>大写：                              小写： ￥</w:t>
            </w:r>
            <w:r>
              <w:rPr>
                <w:rFonts w:hint="eastAsia" w:ascii="仿宋" w:hAnsi="仿宋" w:eastAsia="仿宋" w:cs="仿宋"/>
                <w:b/>
                <w:color w:val="auto"/>
                <w:sz w:val="24"/>
                <w:highlight w:val="none"/>
                <w:u w:val="single"/>
              </w:rPr>
              <w:t xml:space="preserve">         </w:t>
            </w:r>
            <w:r>
              <w:rPr>
                <w:rFonts w:hint="eastAsia" w:ascii="仿宋" w:hAnsi="仿宋" w:eastAsia="仿宋" w:cs="仿宋"/>
                <w:b/>
                <w:color w:val="auto"/>
                <w:sz w:val="24"/>
                <w:highlight w:val="none"/>
              </w:rPr>
              <w:t xml:space="preserve">                                                    </w:t>
            </w:r>
          </w:p>
        </w:tc>
      </w:tr>
    </w:tbl>
    <w:p w14:paraId="74533B49">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p>
    <w:p w14:paraId="46815235">
      <w:pPr>
        <w:snapToGrid w:val="0"/>
        <w:spacing w:line="360" w:lineRule="auto"/>
        <w:jc w:val="right"/>
        <w:rPr>
          <w:rFonts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r>
        <w:rPr>
          <w:rFonts w:ascii="仿宋" w:hAnsi="仿宋" w:eastAsia="仿宋" w:cs="仿宋"/>
          <w:color w:val="000000" w:themeColor="text1"/>
          <w:sz w:val="24"/>
          <w:highlight w:val="none"/>
          <w14:textFill>
            <w14:solidFill>
              <w14:schemeClr w14:val="tx1"/>
            </w14:solidFill>
          </w14:textFill>
        </w:rPr>
        <w:t>:</w:t>
      </w:r>
    </w:p>
    <w:p w14:paraId="4D9123E4">
      <w:pPr>
        <w:snapToGrid w:val="0"/>
        <w:spacing w:line="360" w:lineRule="auto"/>
        <w:jc w:val="right"/>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5DB59DE1">
      <w:pPr>
        <w:snapToGrid w:val="0"/>
        <w:spacing w:line="360" w:lineRule="auto"/>
        <w:ind w:left="480"/>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36CAECA2">
      <w:pPr>
        <w:spacing w:line="360" w:lineRule="auto"/>
        <w:ind w:left="-2" w:leftChars="-1" w:firstLine="480" w:firstLineChars="2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D2F7E9D">
      <w:pPr>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4D18E0E0">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659CB6CE">
      <w:pPr>
        <w:snapToGrid w:val="0"/>
        <w:spacing w:line="360" w:lineRule="auto"/>
        <w:ind w:firstLine="480" w:firstLineChars="200"/>
        <w:jc w:val="lef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C3B02FC">
      <w:pPr>
        <w:spacing w:line="360" w:lineRule="auto"/>
        <w:ind w:firstLine="482" w:firstLineChars="200"/>
        <w:rPr>
          <w:rFonts w:ascii="仿宋" w:hAnsi="仿宋" w:eastAsia="仿宋" w:cs="仿宋"/>
          <w:b/>
          <w:color w:val="000000" w:themeColor="text1"/>
          <w:kern w:val="0"/>
          <w:sz w:val="24"/>
          <w:highlight w:val="none"/>
          <w14:textFill>
            <w14:solidFill>
              <w14:schemeClr w14:val="tx1"/>
            </w14:solidFill>
          </w14:textFill>
        </w:rPr>
      </w:pPr>
    </w:p>
    <w:p w14:paraId="17D29C41">
      <w:pPr>
        <w:pStyle w:val="692"/>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二、</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7C714A41">
      <w:pPr>
        <w:widowControl/>
        <w:spacing w:line="360" w:lineRule="auto"/>
        <w:ind w:firstLine="120" w:firstLineChars="5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74D500E">
      <w:pPr>
        <w:pStyle w:val="80"/>
        <w:rPr>
          <w:rFonts w:ascii="仿宋" w:hAnsi="仿宋" w:eastAsia="仿宋" w:cs="仿宋"/>
          <w:b/>
          <w:color w:val="000000" w:themeColor="text1"/>
          <w:highlight w:val="none"/>
          <w14:textFill>
            <w14:solidFill>
              <w14:schemeClr w14:val="tx1"/>
            </w14:solidFill>
          </w14:textFill>
        </w:rPr>
      </w:pPr>
    </w:p>
    <w:p w14:paraId="41707231">
      <w:pPr>
        <w:pStyle w:val="81"/>
        <w:rPr>
          <w:rFonts w:ascii="仿宋" w:hAnsi="仿宋" w:eastAsia="仿宋" w:cs="仿宋"/>
          <w:b/>
          <w:color w:val="000000" w:themeColor="text1"/>
          <w:sz w:val="24"/>
          <w:highlight w:val="none"/>
          <w14:textFill>
            <w14:solidFill>
              <w14:schemeClr w14:val="tx1"/>
            </w14:solidFill>
          </w14:textFill>
        </w:rPr>
      </w:pPr>
    </w:p>
    <w:p w14:paraId="245DE209">
      <w:pPr>
        <w:rPr>
          <w:rFonts w:ascii="仿宋" w:hAnsi="仿宋" w:eastAsia="仿宋" w:cs="仿宋"/>
          <w:b/>
          <w:color w:val="000000" w:themeColor="text1"/>
          <w:sz w:val="24"/>
          <w:highlight w:val="none"/>
          <w14:textFill>
            <w14:solidFill>
              <w14:schemeClr w14:val="tx1"/>
            </w14:solidFill>
          </w14:textFill>
        </w:rPr>
      </w:pPr>
    </w:p>
    <w:p w14:paraId="5B43039E">
      <w:pPr>
        <w:pStyle w:val="80"/>
        <w:rPr>
          <w:rFonts w:ascii="仿宋" w:hAnsi="仿宋" w:eastAsia="仿宋" w:cs="仿宋"/>
          <w:b/>
          <w:color w:val="000000" w:themeColor="text1"/>
          <w:highlight w:val="none"/>
          <w14:textFill>
            <w14:solidFill>
              <w14:schemeClr w14:val="tx1"/>
            </w14:solidFill>
          </w14:textFill>
        </w:rPr>
      </w:pPr>
    </w:p>
    <w:p w14:paraId="3861C8C3">
      <w:pPr>
        <w:pStyle w:val="81"/>
        <w:rPr>
          <w:rFonts w:ascii="仿宋" w:hAnsi="仿宋" w:eastAsia="仿宋" w:cs="仿宋"/>
          <w:b/>
          <w:color w:val="000000" w:themeColor="text1"/>
          <w:sz w:val="24"/>
          <w:highlight w:val="none"/>
          <w14:textFill>
            <w14:solidFill>
              <w14:schemeClr w14:val="tx1"/>
            </w14:solidFill>
          </w14:textFill>
        </w:rPr>
      </w:pPr>
    </w:p>
    <w:p w14:paraId="35500981">
      <w:pPr>
        <w:rPr>
          <w:color w:val="000000" w:themeColor="text1"/>
          <w:highlight w:val="none"/>
          <w14:textFill>
            <w14:solidFill>
              <w14:schemeClr w14:val="tx1"/>
            </w14:solidFill>
          </w14:textFill>
        </w:rPr>
      </w:pPr>
    </w:p>
    <w:p w14:paraId="3A9EE1E9">
      <w:pPr>
        <w:widowControl/>
        <w:spacing w:line="360" w:lineRule="auto"/>
        <w:ind w:firstLine="161" w:firstLineChars="50"/>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三、残疾人福利性单位声明函（如有）</w:t>
      </w:r>
    </w:p>
    <w:p w14:paraId="3949FBB6">
      <w:pPr>
        <w:pStyle w:val="23"/>
        <w:widowControl/>
        <w:ind w:firstLine="120" w:firstLineChars="50"/>
        <w:jc w:val="left"/>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[符合条件的残疾人福利性单位，提供残疾人福利性单位声明函(附件6)，否则不需要提供。]</w:t>
      </w:r>
    </w:p>
    <w:p w14:paraId="2CE4611F">
      <w:pPr>
        <w:pStyle w:val="692"/>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highlight w:val="none"/>
          <w14:textFill>
            <w14:solidFill>
              <w14:schemeClr w14:val="tx1"/>
            </w14:solidFill>
          </w14:textFill>
        </w:rPr>
      </w:pPr>
    </w:p>
    <w:p w14:paraId="118DF3A8">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21B44459">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3E2EF73B">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0366254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63AB85B9">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538656F1">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132CF518">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633240D7">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440E2CE6">
      <w:pPr>
        <w:spacing w:line="360" w:lineRule="auto"/>
        <w:ind w:right="420" w:firstLine="3614" w:firstLineChars="1000"/>
        <w:rPr>
          <w:rFonts w:ascii="仿宋" w:hAnsi="仿宋" w:eastAsia="仿宋" w:cs="仿宋"/>
          <w:b/>
          <w:color w:val="000000" w:themeColor="text1"/>
          <w:kern w:val="0"/>
          <w:sz w:val="36"/>
          <w:szCs w:val="36"/>
          <w:highlight w:val="none"/>
          <w14:textFill>
            <w14:solidFill>
              <w14:schemeClr w14:val="tx1"/>
            </w14:solidFill>
          </w14:textFill>
        </w:rPr>
      </w:pPr>
    </w:p>
    <w:p w14:paraId="3C81FCEB">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461F0E06">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2007338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3765AB49">
      <w:pPr>
        <w:snapToGrid w:val="0"/>
        <w:spacing w:beforeLines="100"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0481D0F1">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p>
    <w:p w14:paraId="47F71FF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地址：邮编：</w:t>
      </w:r>
    </w:p>
    <w:p w14:paraId="6AA859C2">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5D497894">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p>
    <w:p w14:paraId="3B8D41CA">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14:paraId="76028FF7">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 邮编：</w:t>
      </w:r>
    </w:p>
    <w:p w14:paraId="5421AF09">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4CE1511C">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p>
    <w:p w14:paraId="7BAA6370">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质疑项目的编号：包号：</w:t>
      </w:r>
    </w:p>
    <w:p w14:paraId="7CA46D7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14:paraId="132C11E5">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p>
    <w:p w14:paraId="23C5F77C">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65B16B0B">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p>
    <w:p w14:paraId="3672231C">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14:paraId="37583097">
      <w:pPr>
        <w:snapToGrid w:val="0"/>
        <w:spacing w:line="360" w:lineRule="auto"/>
        <w:rPr>
          <w:rFonts w:ascii="仿宋" w:hAnsi="仿宋" w:eastAsia="仿宋" w:cs="仿宋"/>
          <w:color w:val="000000" w:themeColor="text1"/>
          <w:sz w:val="24"/>
          <w:highlight w:val="none"/>
          <w14:textFill>
            <w14:solidFill>
              <w14:schemeClr w14:val="tx1"/>
            </w14:solidFill>
          </w14:textFill>
        </w:rPr>
      </w:pPr>
    </w:p>
    <w:p w14:paraId="7A110B2F">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14:paraId="77187EF5">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p>
    <w:p w14:paraId="202EC9E2">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78EE3432">
      <w:pPr>
        <w:snapToGrid w:val="0"/>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29568A7">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28694339">
      <w:pPr>
        <w:snapToGrid w:val="0"/>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14:paraId="765C4F2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D867CC7">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9D34894">
      <w:pPr>
        <w:spacing w:line="360" w:lineRule="auto"/>
        <w:jc w:val="center"/>
        <w:rPr>
          <w:rFonts w:ascii="仿宋" w:hAnsi="仿宋" w:eastAsia="仿宋" w:cs="仿宋"/>
          <w:b/>
          <w:bCs/>
          <w:color w:val="000000" w:themeColor="text1"/>
          <w:sz w:val="24"/>
          <w:highlight w:val="none"/>
          <w14:textFill>
            <w14:solidFill>
              <w14:schemeClr w14:val="tx1"/>
            </w14:solidFill>
          </w14:textFill>
        </w:rPr>
      </w:pPr>
    </w:p>
    <w:p w14:paraId="40D6D031">
      <w:pPr>
        <w:spacing w:line="360" w:lineRule="auto"/>
        <w:rPr>
          <w:rFonts w:ascii="仿宋" w:hAnsi="仿宋" w:eastAsia="仿宋" w:cs="仿宋"/>
          <w:b/>
          <w:color w:val="000000" w:themeColor="text1"/>
          <w:sz w:val="24"/>
          <w:highlight w:val="none"/>
          <w14:textFill>
            <w14:solidFill>
              <w14:schemeClr w14:val="tx1"/>
            </w14:solidFill>
          </w14:textFill>
        </w:rPr>
      </w:pPr>
    </w:p>
    <w:p w14:paraId="55741927">
      <w:pPr>
        <w:spacing w:line="360" w:lineRule="auto"/>
        <w:rPr>
          <w:rFonts w:ascii="仿宋" w:hAnsi="仿宋" w:eastAsia="仿宋" w:cs="仿宋"/>
          <w:b/>
          <w:color w:val="000000" w:themeColor="text1"/>
          <w:sz w:val="24"/>
          <w:highlight w:val="none"/>
          <w14:textFill>
            <w14:solidFill>
              <w14:schemeClr w14:val="tx1"/>
            </w14:solidFill>
          </w14:textFill>
        </w:rPr>
      </w:pPr>
    </w:p>
    <w:p w14:paraId="5BB8A2D2">
      <w:pPr>
        <w:spacing w:line="360" w:lineRule="auto"/>
        <w:rPr>
          <w:rFonts w:ascii="仿宋" w:hAnsi="仿宋" w:eastAsia="仿宋" w:cs="仿宋"/>
          <w:b/>
          <w:color w:val="000000" w:themeColor="text1"/>
          <w:sz w:val="24"/>
          <w:highlight w:val="none"/>
          <w14:textFill>
            <w14:solidFill>
              <w14:schemeClr w14:val="tx1"/>
            </w14:solidFill>
          </w14:textFill>
        </w:rPr>
      </w:pPr>
    </w:p>
    <w:p w14:paraId="30BABF9E">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16963262">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51C0D09B">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70FC7B0C">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3C9FEA89">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7388543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469FE4C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79BF47C0">
      <w:pPr>
        <w:widowControl/>
        <w:spacing w:line="360" w:lineRule="auto"/>
        <w:ind w:firstLine="600" w:firstLineChars="200"/>
        <w:jc w:val="left"/>
        <w:rPr>
          <w:rFonts w:ascii="仿宋" w:hAnsi="仿宋" w:eastAsia="仿宋" w:cs="仿宋"/>
          <w:color w:val="000000" w:themeColor="text1"/>
          <w:sz w:val="30"/>
          <w:szCs w:val="30"/>
          <w:highlight w:val="none"/>
          <w14:textFill>
            <w14:solidFill>
              <w14:schemeClr w14:val="tx1"/>
            </w14:solidFill>
          </w14:textFill>
        </w:rPr>
      </w:pPr>
    </w:p>
    <w:p w14:paraId="097FD05B">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31F09EE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080540D9">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8DEA43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41C15055">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05777BA8">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7D06E357">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263D314">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5FBCE2E3">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38B5AC2A">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27767455">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p>
    <w:p w14:paraId="26FD6D7B">
      <w:pPr>
        <w:spacing w:line="360" w:lineRule="auto"/>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附件2：投诉书范本及制作说明</w:t>
      </w:r>
    </w:p>
    <w:p w14:paraId="181C208D">
      <w:pPr>
        <w:spacing w:line="360" w:lineRule="auto"/>
        <w:jc w:val="center"/>
        <w:rPr>
          <w:rFonts w:ascii="仿宋" w:hAnsi="仿宋" w:eastAsia="仿宋" w:cs="仿宋"/>
          <w:b/>
          <w:color w:val="000000" w:themeColor="text1"/>
          <w:sz w:val="24"/>
          <w:highlight w:val="none"/>
          <w14:textFill>
            <w14:solidFill>
              <w14:schemeClr w14:val="tx1"/>
            </w14:solidFill>
          </w14:textFill>
        </w:rPr>
      </w:pPr>
    </w:p>
    <w:p w14:paraId="6BC8C939">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7A61560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4B0EFF9E">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p>
    <w:p w14:paraId="08AE138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312B760D">
      <w:pPr>
        <w:tabs>
          <w:tab w:val="left" w:pos="6510"/>
        </w:tabs>
        <w:spacing w:line="360" w:lineRule="auto"/>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p>
    <w:p w14:paraId="7D61ED7C">
      <w:pPr>
        <w:tabs>
          <w:tab w:val="left" w:pos="6510"/>
        </w:tabs>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p>
    <w:p w14:paraId="76363E3F">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991EC81">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18D0F067">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p>
    <w:p w14:paraId="42439DBC">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50737E11">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04EAC06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C2FC072">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0DE71A8B">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p>
    <w:p w14:paraId="112CB9EA">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址：邮编：</w:t>
      </w:r>
    </w:p>
    <w:p w14:paraId="26F7F170">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联系人：联系电话：</w:t>
      </w:r>
    </w:p>
    <w:p w14:paraId="261806C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124E1906">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p>
    <w:p w14:paraId="75E2C6B4">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采购项目编号：包号：</w:t>
      </w:r>
    </w:p>
    <w:p w14:paraId="7F258DD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p>
    <w:p w14:paraId="0745C296">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p>
    <w:p w14:paraId="71639612">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14:paraId="0C0A2560">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p>
    <w:p w14:paraId="3E50CE6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74DE88BD">
      <w:pPr>
        <w:spacing w:line="360" w:lineRule="auto"/>
        <w:ind w:firstLine="480" w:firstLineChars="200"/>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投诉人于年月日,向提出质疑，质疑事项为：</w:t>
      </w:r>
    </w:p>
    <w:p w14:paraId="6DF58BB0">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6D6996CD">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于年月日,就质疑事项作出了答复/没有在法定期限内作出答复。</w:t>
      </w:r>
    </w:p>
    <w:p w14:paraId="09F6168D">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5B572D26">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p>
    <w:p w14:paraId="40581CFA">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p>
    <w:p w14:paraId="2257946F">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6BC95647">
      <w:pPr>
        <w:spacing w:line="360" w:lineRule="auto"/>
        <w:rPr>
          <w:rFonts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p>
    <w:p w14:paraId="6EEB10D3">
      <w:pPr>
        <w:spacing w:line="360" w:lineRule="auto"/>
        <w:rPr>
          <w:rFonts w:ascii="仿宋" w:hAnsi="仿宋" w:eastAsia="仿宋" w:cs="仿宋"/>
          <w:color w:val="000000" w:themeColor="text1"/>
          <w:sz w:val="24"/>
          <w:highlight w:val="none"/>
          <w:u w:val="dotted"/>
          <w14:textFill>
            <w14:solidFill>
              <w14:schemeClr w14:val="tx1"/>
            </w14:solidFill>
          </w14:textFill>
        </w:rPr>
      </w:pPr>
    </w:p>
    <w:p w14:paraId="74864496">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5E162FA0">
      <w:pPr>
        <w:spacing w:line="360" w:lineRule="auto"/>
        <w:rPr>
          <w:rFonts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FB83AA3">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594361F8">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p>
    <w:p w14:paraId="72E9C7BA">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6F125BF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2A00D701">
      <w:pPr>
        <w:spacing w:line="360" w:lineRule="auto"/>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7E03A6EE">
      <w:pPr>
        <w:spacing w:line="360" w:lineRule="auto"/>
        <w:rPr>
          <w:rFonts w:ascii="仿宋" w:hAnsi="仿宋" w:eastAsia="仿宋" w:cs="仿宋"/>
          <w:b/>
          <w:color w:val="000000" w:themeColor="text1"/>
          <w:sz w:val="24"/>
          <w:highlight w:val="none"/>
          <w14:textFill>
            <w14:solidFill>
              <w14:schemeClr w14:val="tx1"/>
            </w14:solidFill>
          </w14:textFill>
        </w:rPr>
      </w:pPr>
    </w:p>
    <w:p w14:paraId="038EDCED">
      <w:pPr>
        <w:spacing w:line="360" w:lineRule="auto"/>
        <w:rPr>
          <w:rFonts w:ascii="仿宋" w:hAnsi="仿宋" w:eastAsia="仿宋" w:cs="仿宋"/>
          <w:b/>
          <w:color w:val="000000" w:themeColor="text1"/>
          <w:sz w:val="24"/>
          <w:highlight w:val="none"/>
          <w14:textFill>
            <w14:solidFill>
              <w14:schemeClr w14:val="tx1"/>
            </w14:solidFill>
          </w14:textFill>
        </w:rPr>
      </w:pPr>
    </w:p>
    <w:p w14:paraId="3F5E9602">
      <w:pPr>
        <w:spacing w:line="360" w:lineRule="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066127F8">
      <w:pPr>
        <w:widowControl/>
        <w:spacing w:line="360" w:lineRule="auto"/>
        <w:ind w:firstLine="480" w:firstLineChars="200"/>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6D4F7764">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07EC425F">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5930971B">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49C3629A">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37C45553">
      <w:pPr>
        <w:widowControl/>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20C45066">
      <w:pPr>
        <w:widowControl/>
        <w:spacing w:line="360" w:lineRule="auto"/>
        <w:ind w:firstLine="480" w:firstLineChars="200"/>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D801BD7">
      <w:pPr>
        <w:spacing w:line="360" w:lineRule="auto"/>
        <w:rPr>
          <w:rFonts w:ascii="仿宋" w:hAnsi="仿宋" w:eastAsia="仿宋" w:cs="仿宋"/>
          <w:b/>
          <w:color w:val="000000" w:themeColor="text1"/>
          <w:sz w:val="24"/>
          <w:highlight w:val="none"/>
          <w14:textFill>
            <w14:solidFill>
              <w14:schemeClr w14:val="tx1"/>
            </w14:solidFill>
          </w14:textFill>
        </w:rPr>
      </w:pPr>
    </w:p>
    <w:p w14:paraId="0469CD2E">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9ADBC79">
      <w:pPr>
        <w:pStyle w:val="79"/>
      </w:pPr>
    </w:p>
    <w:p w14:paraId="2C41304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595C2C2">
      <w:pPr>
        <w:autoSpaceDE w:val="0"/>
        <w:autoSpaceDN w:val="0"/>
        <w:jc w:val="center"/>
        <w:rPr>
          <w:rFonts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附件3：</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0ACFDC0">
      <w:pPr>
        <w:spacing w:line="360" w:lineRule="auto"/>
        <w:rPr>
          <w:rFonts w:ascii="仿宋" w:hAnsi="仿宋" w:eastAsia="仿宋" w:cs="仿宋"/>
          <w:color w:val="000000" w:themeColor="text1"/>
          <w:sz w:val="24"/>
          <w:highlight w:val="none"/>
          <w:u w:val="single"/>
          <w14:textFill>
            <w14:solidFill>
              <w14:schemeClr w14:val="tx1"/>
            </w14:solidFill>
          </w14:textFill>
        </w:rPr>
      </w:pPr>
    </w:p>
    <w:p w14:paraId="723A3DB6">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single"/>
          <w14:textFill>
            <w14:solidFill>
              <w14:schemeClr w14:val="tx1"/>
            </w14:solidFill>
          </w14:textFill>
        </w:rPr>
        <w:t>（采购人）、（采购代理机构）：</w:t>
      </w:r>
    </w:p>
    <w:p w14:paraId="155C3C72">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你方组织的（项目名称）【招标编号：（采购编号）】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02752028">
      <w:pPr>
        <w:spacing w:line="44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06F12521">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0D264E92">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43832F10">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0AB21C5D">
      <w:pPr>
        <w:spacing w:line="360" w:lineRule="auto"/>
        <w:ind w:firstLine="494"/>
        <w:rPr>
          <w:rFonts w:ascii="仿宋" w:hAnsi="仿宋" w:eastAsia="仿宋" w:cs="仿宋"/>
          <w:color w:val="000000" w:themeColor="text1"/>
          <w:sz w:val="24"/>
          <w:highlight w:val="none"/>
          <w14:textFill>
            <w14:solidFill>
              <w14:schemeClr w14:val="tx1"/>
            </w14:solidFill>
          </w14:textFill>
        </w:rPr>
      </w:pPr>
    </w:p>
    <w:p w14:paraId="7D46A0D5">
      <w:pPr>
        <w:spacing w:line="360" w:lineRule="auto"/>
        <w:ind w:right="480" w:firstLine="4080" w:firstLineChars="17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6989270F">
      <w:pPr>
        <w:ind w:right="1440" w:firstLine="494"/>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82206E1">
      <w:pP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10F075B4">
      <w:pPr>
        <w:spacing w:line="360" w:lineRule="auto"/>
        <w:rPr>
          <w:rFonts w:ascii="仿宋" w:hAnsi="仿宋" w:eastAsia="仿宋" w:cs="仿宋"/>
          <w:bCs/>
          <w:color w:val="000000" w:themeColor="text1"/>
          <w:sz w:val="24"/>
          <w:highlight w:val="none"/>
          <w14:textFill>
            <w14:solidFill>
              <w14:schemeClr w14:val="tx1"/>
            </w14:solidFill>
          </w14:textFill>
        </w:rPr>
      </w:pPr>
      <w:r>
        <w:rPr>
          <w:rFonts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5408"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107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114300" distR="114300" simplePos="0" relativeHeight="251666432"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004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09779F7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6AFB80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0140A7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3735B9">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496C59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54A90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529E8C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7E6490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C0B291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964BA3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1B631B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92C04B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B5AEF8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266201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2E31FC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260AD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D9CC1C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134B751">
      <w:pPr>
        <w:autoSpaceDE w:val="0"/>
        <w:autoSpaceDN w:val="0"/>
        <w:jc w:val="center"/>
        <w:rPr>
          <w:rFonts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附件4：</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01203485">
      <w:pPr>
        <w:widowControl/>
        <w:spacing w:line="44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4116A78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 xml:space="preserve">投标。 </w:t>
      </w:r>
    </w:p>
    <w:p w14:paraId="2B5839E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60AA0D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49CDEEBE">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663D291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14:paraId="7A66690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p>
    <w:p w14:paraId="026F3BD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05C0BB1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1EAC21A9">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71"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71"/>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72"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72"/>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0D84EC0E">
      <w:pPr>
        <w:spacing w:line="440" w:lineRule="exact"/>
        <w:ind w:firstLine="600" w:firstLineChars="25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73" w:name="_Hlk101133173"/>
      <w:r>
        <w:rPr>
          <w:rFonts w:hint="eastAsia" w:ascii="仿宋" w:hAnsi="仿宋" w:eastAsia="仿宋" w:cs="仿宋"/>
          <w:color w:val="000000" w:themeColor="text1"/>
          <w:sz w:val="24"/>
          <w:highlight w:val="none"/>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73"/>
    </w:p>
    <w:p w14:paraId="1820BA6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3071F74">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5CF1DE3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58C41151">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7F137079">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328D1B71">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0516A1EE">
      <w:pPr>
        <w:snapToGrid w:val="0"/>
        <w:spacing w:line="440" w:lineRule="exact"/>
        <w:ind w:firstLine="5040" w:firstLine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1A2418F1">
      <w:pPr>
        <w:snapToGrid w:val="0"/>
        <w:spacing w:line="440" w:lineRule="exact"/>
        <w:jc w:val="center"/>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941C4F4">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34C9225C">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0C3A530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0F5438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731A75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79C57D7">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B53A7D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B34C9F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553EFC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DF3056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EF46C9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2C61EA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53FA6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228A96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7A2E07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987173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CBA247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18AB5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C12DDA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2B6A519">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D4154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2D48F4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1D36A6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4A432C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E7DB355">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0C2B543">
      <w:pPr>
        <w:snapToGrid w:val="0"/>
        <w:spacing w:line="360" w:lineRule="auto"/>
        <w:ind w:firstLine="3666" w:firstLineChars="1100"/>
        <w:rPr>
          <w:rFonts w:ascii="仿宋" w:hAnsi="仿宋" w:eastAsia="仿宋" w:cs="仿宋"/>
          <w:b/>
          <w:color w:val="000000" w:themeColor="text1"/>
          <w:spacing w:val="6"/>
          <w:sz w:val="32"/>
          <w:szCs w:val="32"/>
          <w:highlight w:val="none"/>
          <w14:textFill>
            <w14:solidFill>
              <w14:schemeClr w14:val="tx1"/>
            </w14:solidFill>
          </w14:textFill>
        </w:rPr>
      </w:pPr>
    </w:p>
    <w:p w14:paraId="18291CE8">
      <w:pPr>
        <w:widowControl/>
        <w:adjustRightInd/>
        <w:jc w:val="left"/>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416A46B9">
      <w:pPr>
        <w:snapToGrid w:val="0"/>
        <w:spacing w:line="360" w:lineRule="auto"/>
        <w:jc w:val="center"/>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附件5：</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3E220B25">
      <w:pPr>
        <w:widowControl/>
        <w:spacing w:line="440" w:lineRule="exact"/>
        <w:ind w:firstLine="120" w:firstLineChars="5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722C281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（项目名称）【招标编号：（采购编号）】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EFF1236">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0E8DF04D">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35F6BEDC">
      <w:pPr>
        <w:pStyle w:val="2"/>
        <w:spacing w:line="440" w:lineRule="exact"/>
        <w:ind w:left="0" w:firstLine="229" w:firstLineChars="95"/>
        <w:rPr>
          <w:rFonts w:ascii="仿宋" w:eastAsia="仿宋" w:cs="仿宋"/>
          <w:color w:val="000000" w:themeColor="text1"/>
          <w:kern w:val="0"/>
          <w:sz w:val="24"/>
          <w:szCs w:val="24"/>
          <w:highlight w:val="none"/>
          <w14:textFill>
            <w14:solidFill>
              <w14:schemeClr w14:val="tx1"/>
            </w14:solidFill>
          </w14:textFill>
        </w:rPr>
      </w:pPr>
      <w:r>
        <w:rPr>
          <w:rFonts w:hint="eastAsia" w:ascii="仿宋" w:eastAsia="仿宋" w:cs="仿宋"/>
          <w:color w:val="000000" w:themeColor="text1"/>
          <w:kern w:val="0"/>
          <w:sz w:val="24"/>
          <w:szCs w:val="24"/>
          <w:highlight w:val="none"/>
          <w14:textFill>
            <w14:solidFill>
              <w14:schemeClr w14:val="tx1"/>
            </w14:solidFill>
          </w14:textFill>
        </w:rPr>
        <w:t>……</w:t>
      </w:r>
    </w:p>
    <w:p w14:paraId="49D2D7DB">
      <w:pPr>
        <w:spacing w:line="440" w:lineRule="exact"/>
        <w:rPr>
          <w:rFonts w:ascii="仿宋" w:hAnsi="仿宋" w:eastAsia="仿宋" w:cs="仿宋"/>
          <w:color w:val="000000" w:themeColor="text1"/>
          <w:highlight w:val="none"/>
          <w14:textFill>
            <w14:solidFill>
              <w14:schemeClr w14:val="tx1"/>
            </w14:solidFill>
          </w14:textFill>
        </w:rPr>
      </w:pPr>
    </w:p>
    <w:p w14:paraId="201D47A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3D1B5667">
      <w:pPr>
        <w:snapToGrid w:val="0"/>
        <w:spacing w:line="440" w:lineRule="exact"/>
        <w:ind w:firstLine="576"/>
        <w:rPr>
          <w:rFonts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2108D8A7">
      <w:pPr>
        <w:spacing w:line="440" w:lineRule="exact"/>
        <w:ind w:firstLine="480" w:firstLineChars="200"/>
        <w:rPr>
          <w:rFonts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749AD70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69EB7167">
      <w:pPr>
        <w:snapToGrid w:val="0"/>
        <w:spacing w:line="440" w:lineRule="exact"/>
        <w:ind w:firstLine="576"/>
        <w:rPr>
          <w:rFonts w:ascii="仿宋" w:hAnsi="仿宋" w:eastAsia="仿宋" w:cs="仿宋"/>
          <w:color w:val="000000" w:themeColor="text1"/>
          <w:highlight w:val="none"/>
          <w:u w:val="single"/>
          <w14:textFill>
            <w14:solidFill>
              <w14:schemeClr w14:val="tx1"/>
            </w14:solidFill>
          </w14:textFill>
        </w:rPr>
      </w:pPr>
    </w:p>
    <w:p w14:paraId="275220BE">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68C3E950">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5B9BF98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1DBDA0A7">
      <w:pPr>
        <w:snapToGrid w:val="0"/>
        <w:spacing w:line="440" w:lineRule="exact"/>
        <w:ind w:firstLine="525" w:firstLineChars="250"/>
        <w:rPr>
          <w:rFonts w:ascii="仿宋" w:hAnsi="仿宋" w:eastAsia="仿宋" w:cs="仿宋"/>
          <w:color w:val="000000" w:themeColor="text1"/>
          <w:highlight w:val="none"/>
          <w:u w:val="single"/>
          <w14:textFill>
            <w14:solidFill>
              <w14:schemeClr w14:val="tx1"/>
            </w14:solidFill>
          </w14:textFill>
        </w:rPr>
      </w:pPr>
    </w:p>
    <w:p w14:paraId="2AB856E0">
      <w:pPr>
        <w:snapToGrid w:val="0"/>
        <w:spacing w:line="440" w:lineRule="exact"/>
        <w:ind w:firstLine="600" w:firstLineChars="25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06B17DC7">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4D2A2402">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40E7EAA5">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p>
    <w:p w14:paraId="731D397C">
      <w:pPr>
        <w:snapToGrid w:val="0"/>
        <w:spacing w:line="440" w:lineRule="exact"/>
        <w:ind w:firstLine="576"/>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206B7A12">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1F04E8A4">
      <w:pPr>
        <w:snapToGrid w:val="0"/>
        <w:spacing w:line="440" w:lineRule="exact"/>
        <w:jc w:val="right"/>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3221652E">
      <w:pPr>
        <w:snapToGrid w:val="0"/>
        <w:spacing w:line="440" w:lineRule="exact"/>
        <w:ind w:firstLine="5760" w:firstLineChars="2400"/>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220698A4">
      <w:pPr>
        <w:snapToGrid w:val="0"/>
        <w:spacing w:line="440" w:lineRule="exact"/>
        <w:ind w:left="5040" w:hanging="5040" w:hangingChars="2100"/>
        <w:rPr>
          <w:rFonts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41FDE8FD">
      <w:pPr>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5B1974CA">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F2B446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0F1861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A6AD674">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6D4129F9">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3CEA4B34">
      <w:pPr>
        <w:rPr>
          <w:rFonts w:ascii="仿宋" w:hAnsi="仿宋" w:eastAsia="仿宋" w:cs="仿宋"/>
          <w:b/>
          <w:color w:val="000000" w:themeColor="text1"/>
          <w:spacing w:val="6"/>
          <w:sz w:val="32"/>
          <w:szCs w:val="32"/>
          <w:highlight w:val="none"/>
          <w14:textFill>
            <w14:solidFill>
              <w14:schemeClr w14:val="tx1"/>
            </w14:solidFill>
          </w14:textFill>
        </w:rPr>
      </w:pPr>
    </w:p>
    <w:p w14:paraId="11AC42A1">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4CA41D5A">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414AB6F2">
      <w:pPr>
        <w:rPr>
          <w:rFonts w:ascii="仿宋" w:hAnsi="仿宋" w:eastAsia="仿宋" w:cs="仿宋"/>
          <w:b/>
          <w:color w:val="000000" w:themeColor="text1"/>
          <w:spacing w:val="6"/>
          <w:sz w:val="32"/>
          <w:szCs w:val="32"/>
          <w:highlight w:val="none"/>
          <w14:textFill>
            <w14:solidFill>
              <w14:schemeClr w14:val="tx1"/>
            </w14:solidFill>
          </w14:textFill>
        </w:rPr>
      </w:pPr>
    </w:p>
    <w:p w14:paraId="04F79CBF">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7CF0A358">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641ABD6F">
      <w:pPr>
        <w:rPr>
          <w:rFonts w:ascii="仿宋" w:hAnsi="仿宋" w:eastAsia="仿宋" w:cs="仿宋"/>
          <w:b/>
          <w:color w:val="000000" w:themeColor="text1"/>
          <w:spacing w:val="6"/>
          <w:sz w:val="32"/>
          <w:szCs w:val="32"/>
          <w:highlight w:val="none"/>
          <w14:textFill>
            <w14:solidFill>
              <w14:schemeClr w14:val="tx1"/>
            </w14:solidFill>
          </w14:textFill>
        </w:rPr>
      </w:pPr>
    </w:p>
    <w:p w14:paraId="7A059D30">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354F8090">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1CE7BC14">
      <w:pPr>
        <w:rPr>
          <w:rFonts w:ascii="仿宋" w:hAnsi="仿宋" w:eastAsia="仿宋" w:cs="仿宋"/>
          <w:b/>
          <w:color w:val="000000" w:themeColor="text1"/>
          <w:spacing w:val="6"/>
          <w:sz w:val="32"/>
          <w:szCs w:val="32"/>
          <w:highlight w:val="none"/>
          <w14:textFill>
            <w14:solidFill>
              <w14:schemeClr w14:val="tx1"/>
            </w14:solidFill>
          </w14:textFill>
        </w:rPr>
      </w:pPr>
    </w:p>
    <w:p w14:paraId="6E54136B">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2B990ECF">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165167CB">
      <w:pPr>
        <w:rPr>
          <w:rFonts w:ascii="仿宋" w:hAnsi="仿宋" w:eastAsia="仿宋" w:cs="仿宋"/>
          <w:b/>
          <w:color w:val="000000" w:themeColor="text1"/>
          <w:spacing w:val="6"/>
          <w:sz w:val="32"/>
          <w:szCs w:val="32"/>
          <w:highlight w:val="none"/>
          <w14:textFill>
            <w14:solidFill>
              <w14:schemeClr w14:val="tx1"/>
            </w14:solidFill>
          </w14:textFill>
        </w:rPr>
      </w:pPr>
    </w:p>
    <w:p w14:paraId="2B37993F">
      <w:pPr>
        <w:pStyle w:val="80"/>
        <w:rPr>
          <w:rFonts w:ascii="仿宋" w:hAnsi="仿宋" w:eastAsia="仿宋" w:cs="仿宋"/>
          <w:b/>
          <w:color w:val="000000" w:themeColor="text1"/>
          <w:spacing w:val="6"/>
          <w:sz w:val="32"/>
          <w:szCs w:val="32"/>
          <w:highlight w:val="none"/>
          <w14:textFill>
            <w14:solidFill>
              <w14:schemeClr w14:val="tx1"/>
            </w14:solidFill>
          </w14:textFill>
        </w:rPr>
      </w:pPr>
    </w:p>
    <w:p w14:paraId="2B865842">
      <w:pPr>
        <w:pStyle w:val="81"/>
        <w:rPr>
          <w:rFonts w:ascii="仿宋" w:hAnsi="仿宋" w:eastAsia="仿宋" w:cs="仿宋"/>
          <w:b/>
          <w:color w:val="000000" w:themeColor="text1"/>
          <w:spacing w:val="6"/>
          <w:sz w:val="32"/>
          <w:szCs w:val="32"/>
          <w:highlight w:val="none"/>
          <w14:textFill>
            <w14:solidFill>
              <w14:schemeClr w14:val="tx1"/>
            </w14:solidFill>
          </w14:textFill>
        </w:rPr>
      </w:pPr>
    </w:p>
    <w:p w14:paraId="6F8E6E68">
      <w:pPr>
        <w:rPr>
          <w:rFonts w:ascii="仿宋" w:hAnsi="仿宋" w:eastAsia="仿宋" w:cs="仿宋"/>
          <w:b/>
          <w:color w:val="000000" w:themeColor="text1"/>
          <w:spacing w:val="6"/>
          <w:sz w:val="32"/>
          <w:szCs w:val="32"/>
          <w:highlight w:val="none"/>
          <w14:textFill>
            <w14:solidFill>
              <w14:schemeClr w14:val="tx1"/>
            </w14:solidFill>
          </w14:textFill>
        </w:rPr>
      </w:pPr>
    </w:p>
    <w:p w14:paraId="314B1C8B">
      <w:pPr>
        <w:pStyle w:val="80"/>
        <w:rPr>
          <w:color w:val="000000" w:themeColor="text1"/>
          <w:highlight w:val="none"/>
          <w14:textFill>
            <w14:solidFill>
              <w14:schemeClr w14:val="tx1"/>
            </w14:solidFill>
          </w14:textFill>
        </w:rPr>
      </w:pPr>
    </w:p>
    <w:p w14:paraId="2C6A448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13142E6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4F63EF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DC608C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CE27DF2">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p>
    <w:p w14:paraId="1154EF50">
      <w:pPr>
        <w:spacing w:line="360" w:lineRule="auto"/>
        <w:jc w:val="center"/>
        <w:rPr>
          <w:rFonts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附件6：</w:t>
      </w:r>
      <w:bookmarkStart w:id="174" w:name="OLE_LINK14"/>
      <w:bookmarkStart w:id="175"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74"/>
    <w:bookmarkEnd w:id="175"/>
    <w:p w14:paraId="7139EAEF">
      <w:pPr>
        <w:spacing w:line="360" w:lineRule="auto"/>
        <w:rPr>
          <w:rFonts w:ascii="仿宋" w:hAnsi="仿宋" w:eastAsia="仿宋" w:cs="仿宋"/>
          <w:b/>
          <w:color w:val="000000" w:themeColor="text1"/>
          <w:spacing w:val="6"/>
          <w:sz w:val="30"/>
          <w:szCs w:val="30"/>
          <w:highlight w:val="none"/>
          <w14:textFill>
            <w14:solidFill>
              <w14:schemeClr w14:val="tx1"/>
            </w14:solidFill>
          </w14:textFill>
        </w:rPr>
      </w:pPr>
    </w:p>
    <w:p w14:paraId="6ED4AA7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42EAA39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575CB9F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4083B74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p>
    <w:p w14:paraId="6DC2DEB8">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20FB9AEB">
      <w:pPr>
        <w:tabs>
          <w:tab w:val="left" w:pos="4860"/>
        </w:tabs>
        <w:spacing w:line="360" w:lineRule="auto"/>
        <w:ind w:right="1560" w:firstLine="480" w:firstLineChars="200"/>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77A00382">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F5CAC4D">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F7F39E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55EE8F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D22F453">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5B35243B">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0F8112A6">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CAF972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C5561F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718F314F">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244F9E60">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3F66D7A1">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11AF76C">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693C6FC8">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C068AC4">
      <w:pPr>
        <w:autoSpaceDE w:val="0"/>
        <w:autoSpaceDN w:val="0"/>
        <w:jc w:val="center"/>
        <w:rPr>
          <w:rFonts w:ascii="仿宋" w:hAnsi="仿宋" w:eastAsia="仿宋" w:cs="仿宋"/>
          <w:b/>
          <w:color w:val="000000" w:themeColor="text1"/>
          <w:spacing w:val="6"/>
          <w:sz w:val="32"/>
          <w:szCs w:val="32"/>
          <w:highlight w:val="none"/>
          <w14:textFill>
            <w14:solidFill>
              <w14:schemeClr w14:val="tx1"/>
            </w14:solidFill>
          </w14:textFill>
        </w:rPr>
      </w:pPr>
    </w:p>
    <w:p w14:paraId="4CB956E5">
      <w:pPr>
        <w:pStyle w:val="23"/>
        <w:rPr>
          <w:rFonts w:ascii="仿宋" w:hAnsi="仿宋" w:eastAsia="仿宋" w:cs="仿宋"/>
          <w:color w:val="000000" w:themeColor="text1"/>
          <w:highlight w:val="none"/>
          <w14:textFill>
            <w14:solidFill>
              <w14:schemeClr w14:val="tx1"/>
            </w14:solidFill>
          </w14:textFill>
        </w:rPr>
      </w:pPr>
    </w:p>
    <w:p w14:paraId="3A8B5869">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5988A7C3">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7FCE214E">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p>
    <w:p w14:paraId="1DB5D30A">
      <w:pPr>
        <w:snapToGrid w:val="0"/>
        <w:spacing w:line="360" w:lineRule="auto"/>
        <w:rPr>
          <w:rFonts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附件7：中小企业声明函</w:t>
      </w:r>
    </w:p>
    <w:p w14:paraId="024DDAFB">
      <w:pPr>
        <w:spacing w:line="360" w:lineRule="auto"/>
        <w:jc w:val="center"/>
        <w:rPr>
          <w:rFonts w:ascii="仿宋" w:hAnsi="仿宋" w:eastAsia="仿宋" w:cs="仿宋"/>
          <w:color w:val="000000" w:themeColor="text1"/>
          <w:sz w:val="24"/>
          <w:highlight w:val="none"/>
          <w:u w:val="single"/>
          <w14:textFill>
            <w14:solidFill>
              <w14:schemeClr w14:val="tx1"/>
            </w14:solidFill>
          </w14:textFill>
        </w:rPr>
      </w:pPr>
    </w:p>
    <w:p w14:paraId="4877700B">
      <w:pPr>
        <w:spacing w:line="360" w:lineRule="auto"/>
        <w:jc w:val="center"/>
        <w:rPr>
          <w:rFonts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4E49EC5F">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p>
    <w:p w14:paraId="10160DBD">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7B2A7B41">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041D467B">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585C288C">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5422BEC6">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67333BA1">
      <w:pPr>
        <w:spacing w:line="360" w:lineRule="auto"/>
        <w:ind w:right="176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56E2BEF1">
      <w:pPr>
        <w:spacing w:line="360" w:lineRule="auto"/>
        <w:ind w:right="1120" w:firstLine="4680" w:firstLineChars="195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2422240E">
      <w:pPr>
        <w:spacing w:line="360" w:lineRule="auto"/>
        <w:ind w:firstLine="310" w:firstLineChars="147"/>
        <w:jc w:val="left"/>
        <w:rPr>
          <w:rFonts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08114BA0">
      <w:pPr>
        <w:spacing w:line="360" w:lineRule="auto"/>
        <w:ind w:right="420"/>
        <w:rPr>
          <w:rFonts w:ascii="仿宋" w:hAnsi="仿宋" w:eastAsia="仿宋" w:cs="仿宋"/>
          <w:color w:val="000000" w:themeColor="text1"/>
          <w:sz w:val="24"/>
          <w:highlight w:val="none"/>
          <w14:textFill>
            <w14:solidFill>
              <w14:schemeClr w14:val="tx1"/>
            </w14:solidFill>
          </w14:textFill>
        </w:rPr>
      </w:pPr>
    </w:p>
    <w:p w14:paraId="5F48BAD3">
      <w:pPr>
        <w:spacing w:line="360" w:lineRule="auto"/>
        <w:ind w:right="420"/>
        <w:rPr>
          <w:rFonts w:ascii="仿宋" w:hAnsi="仿宋" w:eastAsia="仿宋" w:cs="仿宋"/>
          <w:color w:val="000000" w:themeColor="text1"/>
          <w:sz w:val="24"/>
          <w:highlight w:val="none"/>
          <w14:textFill>
            <w14:solidFill>
              <w14:schemeClr w14:val="tx1"/>
            </w14:solidFill>
          </w14:textFill>
        </w:rPr>
      </w:pPr>
      <w:bookmarkStart w:id="176" w:name="OLE_LINK6"/>
      <w:r>
        <w:rPr>
          <w:rFonts w:hint="eastAsia" w:ascii="仿宋" w:hAnsi="仿宋" w:eastAsia="仿宋" w:cs="仿宋"/>
          <w:color w:val="000000" w:themeColor="text1"/>
          <w:sz w:val="24"/>
          <w:highlight w:val="none"/>
          <w14:textFill>
            <w14:solidFill>
              <w14:schemeClr w14:val="tx1"/>
            </w14:solidFill>
          </w14:textFill>
        </w:rPr>
        <w:t>注：</w:t>
      </w:r>
    </w:p>
    <w:p w14:paraId="76DA3524">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6"/>
    </w:p>
    <w:p w14:paraId="5101508E">
      <w:pPr>
        <w:spacing w:line="360" w:lineRule="auto"/>
        <w:ind w:right="420"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DC3D91">
      <w:pPr>
        <w:pStyle w:val="2"/>
        <w:rPr>
          <w:rFonts w:ascii="仿宋" w:eastAsia="仿宋" w:cs="仿宋"/>
          <w:color w:val="000000" w:themeColor="text1"/>
          <w:highlight w:val="none"/>
          <w:lang w:val="en-US"/>
          <w14:textFill>
            <w14:solidFill>
              <w14:schemeClr w14:val="tx1"/>
            </w14:solidFill>
          </w14:textFill>
        </w:rPr>
      </w:pPr>
    </w:p>
    <w:p w14:paraId="158873CB">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6810796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0BC7FD72">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0105CA6">
      <w:pPr>
        <w:widowControl/>
        <w:jc w:val="left"/>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34E4223F">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22F8B90E">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3FC876C4">
      <w:pPr>
        <w:pStyle w:val="23"/>
        <w:rPr>
          <w:color w:val="000000" w:themeColor="text1"/>
          <w:highlight w:val="none"/>
          <w:lang w:val="en-US"/>
          <w14:textFill>
            <w14:solidFill>
              <w14:schemeClr w14:val="tx1"/>
            </w14:solidFill>
          </w14:textFill>
        </w:rPr>
      </w:pPr>
    </w:p>
    <w:p w14:paraId="03F87DC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4112D5B1">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06EA5DE3">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6DBDFEED">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1B6E8E6">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4F8770E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74BE41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5C23BAF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0121F668">
      <w:pPr>
        <w:widowControl/>
        <w:jc w:val="left"/>
        <w:rPr>
          <w:rFonts w:ascii="仿宋" w:hAnsi="仿宋" w:eastAsia="仿宋" w:cs="仿宋"/>
          <w:color w:val="000000" w:themeColor="text1"/>
          <w:kern w:val="0"/>
          <w:sz w:val="24"/>
          <w:highlight w:val="none"/>
          <w14:textFill>
            <w14:solidFill>
              <w14:schemeClr w14:val="tx1"/>
            </w14:solidFill>
          </w14:textFill>
        </w:rPr>
      </w:pPr>
    </w:p>
    <w:p w14:paraId="3242441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7BB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1952D63">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681FEA2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4386EF3C">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57D67717">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1BAF038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71B815B2">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3A0ACB66">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148D7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87DBA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550DEFF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BDAF51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409FF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6DCE2F2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FEE9B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33FF422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48A2C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1E43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0B1A15B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74540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EDFF9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78494B9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082341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46EED2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026A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3A8F8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9EA6D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BC8350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583E8B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153AC2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4480D0F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2A1CE7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14F20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6A51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2439838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07E96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E821B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5B8483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6C75D2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6C1427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67F76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7D6F6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C5C87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4136F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F54A98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0A0CE58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0A0831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04E815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6870AB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09A6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1F4306A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A6065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BA334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70F9215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7A20E6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0F096B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6F2CB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6E5D8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8C233B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FC6B2B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E2DEA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4F17745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7F7A43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6BD42D6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778B4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0A897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189816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363D0A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F0ADB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DD549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1C888F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44BDB8E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6461F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4122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554710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B170E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7528B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457A46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46BB71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3665E3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E5DF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8DA0D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1BF91CE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3C800A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61D0B1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F421D8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536EC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9CBF6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5C0D4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969C8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979AD8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9A4CF3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FF6624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807C3E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209C95F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02005B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066D7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31729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177FFC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3B04F5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839925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52E6B6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3A37B1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34014A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2D052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5F380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0B1154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7B98F8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40A472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0FC8EE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3C3CD7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513597A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564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22787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27546A9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91C7FB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40F2DD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EB1678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1A1DD7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34C9074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4B9FB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6924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6AB892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71351D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6DAFA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02F596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1253D0E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73609C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6B7F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277F4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4EEBB70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002691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522BA4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D75A7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7AB0E6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22F43F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76CB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52B5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740355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4BCC6D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906F0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E3CBD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43AC1DA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093B17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3DF0F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27163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559BF37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791F6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0BABD98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434ED5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BB0EF4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970E41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50736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CB47A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BAEC4C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FD2137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05247E1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335433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84D35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CB072C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52C42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9D912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2A65534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CA139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C976B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26BF89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1D28135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653DAF1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96D9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8540F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38A834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ED085B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9D552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2ED4C81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18091C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47AF76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C570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B046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7302AB4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AB403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4FA2F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182270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64EF9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5825D4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5655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B779B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554D7AA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7576D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FE41D2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05E00C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380139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53C124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79BE4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38F8F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27D9489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184FA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1B07DC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0B4B248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24F3F5E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3364F03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13B2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95F91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95552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1D33FC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25D406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5EAFA96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182C32A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14DA4F6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759E3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B375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011019A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7098D4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40318D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EAFE2B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7B4B99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150860E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458C1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D106C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0BD19B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D8C8B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F6140A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337E956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625D01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5F894AB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4CCB6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44B5A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22914C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A71B47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EE93FE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2766137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82AE1F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4E57BE9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D83F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91FDD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C6967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7F49C0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335F6B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1B4F17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33892F9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771B79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63389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022F19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636AFFE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02FFA3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BE1DF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5A00D21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669416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55321FD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629C679F">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5F08A9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1.大型、中型和小型企业须同时满足所列指标的下限，否则下划一档；微型企业只须满足所列指标中的一项即可。 　　</w:t>
      </w:r>
    </w:p>
    <w:p w14:paraId="0CF5191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C10A6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318C2C6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4A7BE55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7BDFB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33BC9E0A">
      <w:pPr>
        <w:widowControl/>
        <w:jc w:val="left"/>
        <w:rPr>
          <w:rFonts w:ascii="仿宋" w:hAnsi="仿宋" w:eastAsia="仿宋" w:cs="仿宋"/>
          <w:color w:val="000000" w:themeColor="text1"/>
          <w:kern w:val="0"/>
          <w:sz w:val="24"/>
          <w:highlight w:val="none"/>
          <w14:textFill>
            <w14:solidFill>
              <w14:schemeClr w14:val="tx1"/>
            </w14:solidFill>
          </w14:textFill>
        </w:rPr>
      </w:pPr>
    </w:p>
    <w:p w14:paraId="38825F58">
      <w:pPr>
        <w:widowControl/>
        <w:jc w:val="left"/>
        <w:rPr>
          <w:rFonts w:ascii="仿宋" w:hAnsi="仿宋" w:eastAsia="仿宋" w:cs="仿宋"/>
          <w:color w:val="000000" w:themeColor="text1"/>
          <w:kern w:val="0"/>
          <w:sz w:val="24"/>
          <w:highlight w:val="none"/>
          <w14:textFill>
            <w14:solidFill>
              <w14:schemeClr w14:val="tx1"/>
            </w14:solidFill>
          </w14:textFill>
        </w:rPr>
      </w:pPr>
    </w:p>
    <w:p w14:paraId="64A9A25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2146C47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2B51A0A0">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4817B44">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CCF00BC">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5F790F8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ABA857F">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5F81E478">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209CC387">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40EDA64B">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139A1DE5">
      <w:pPr>
        <w:widowControl/>
        <w:jc w:val="left"/>
        <w:rPr>
          <w:rFonts w:ascii="仿宋" w:hAnsi="仿宋" w:eastAsia="仿宋" w:cs="仿宋"/>
          <w:color w:val="000000" w:themeColor="text1"/>
          <w:kern w:val="0"/>
          <w:sz w:val="18"/>
          <w:szCs w:val="18"/>
          <w:highlight w:val="none"/>
          <w14:textFill>
            <w14:solidFill>
              <w14:schemeClr w14:val="tx1"/>
            </w14:solidFill>
          </w14:textFill>
        </w:rPr>
      </w:pPr>
    </w:p>
    <w:p w14:paraId="4C8EDCD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3FA5A99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4BC508F2">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05C784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1249D1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428C20A7">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1E80C74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2DB8CA37">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4B505D9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二、适用范围。本规定适用于从事《国民经济行业分类》(GB/T4754-2011)中J门类（金融业）活动的企业。</w:t>
      </w:r>
    </w:p>
    <w:p w14:paraId="6EB1F9EC">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DF737B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5DB731AE">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五、指标标准值。依据指标标准值，将各类金融业企业划分为大、中、小、微四个规模类型，中型企业标准上限及以上的为大型企业。</w:t>
      </w:r>
    </w:p>
    <w:p w14:paraId="5D19C92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399A51F6">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404485E0">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5D4FD0B1">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32C042AD">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788B7D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2890419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F75EBE5">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A7799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452135A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七、标准值的评估和调整。金融业企业划型标准工作组每五年对划型标准值受经济发展与通货膨胀等因素的影响程度进行评估和调整。</w:t>
      </w:r>
    </w:p>
    <w:p w14:paraId="24858679">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八、本规定的中型金融业企业标准上限即为大型金融业企业下限。国务院有关部门据此进行相关数据的统计分析，不得制定与本规定不一致的金融业企业划型标准。</w:t>
      </w:r>
    </w:p>
    <w:p w14:paraId="46718384">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九、融资担保公司参照本规定中“除贷款公司、小额贷款公司、典当行以外的其他金融机构”标准划型。</w:t>
      </w:r>
    </w:p>
    <w:p w14:paraId="54F07862">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十、本规定由人民银行会同银监会，证监会、保监会和统计局负责解释。</w:t>
      </w:r>
    </w:p>
    <w:p w14:paraId="3EC92AF3">
      <w:pPr>
        <w:widowControl/>
        <w:shd w:val="clear" w:color="auto" w:fill="FFFFFF"/>
        <w:spacing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十一、本规定自发布之日起实施。</w:t>
      </w:r>
    </w:p>
    <w:p w14:paraId="1C4E6FDA">
      <w:pPr>
        <w:widowControl/>
        <w:shd w:val="clear" w:color="auto" w:fill="FFFFFF"/>
        <w:spacing w:before="150" w:line="420" w:lineRule="atLeast"/>
        <w:jc w:val="left"/>
        <w:textAlignment w:val="baseline"/>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2C42FC5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B467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A1F47E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22463DDB">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2394632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6CD8C304">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5F59C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80B4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029D6D4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26CDBC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407D03E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0F1DC1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9ED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52B91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515ED2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FD2971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A4A3D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043D3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881A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24B2F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89A3B0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E51273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771E77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8F0A7C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08176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F9AE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20D45F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35236C7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3E6707E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7D97000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62233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9FB48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D66C59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D99D2C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6C92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9B46AB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145A9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AFE9C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382EFB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D2F80B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C9845A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729A3E9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1F3A5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C997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4DA6A8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39BA382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3497C39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93350B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483FD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17233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A7B2CF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42029F3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0EAEBF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5BDF88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0E81A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F0456A">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536E84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7A340B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9BD7F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3DB8AC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52E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BBC19B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2CEF3B2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6D63B16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2AC0FA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563CA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8C4FA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509568E">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B7692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495D37B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7EF97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1192D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220794D">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95EBF5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143C6D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79F95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CD8B55B">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035E720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68F67D2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3856EB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69AD0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7B1480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82B356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E10FEE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70F4FBC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3465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A93CE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B97A69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4EBA9F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7A9588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2C59A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CF867E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512307A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04801833">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431C643E">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E73F20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660F8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9B23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429B83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8A7DA5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6462B1C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A04F060">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044C8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FCFFA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FE67658">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1CA3517">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E2456F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5131676">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50F61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35451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030D703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77CA409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77CEDE1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3ECCFD8">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056F0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84E951">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7043E62">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6827B7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727F5B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A61925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5A74D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6C822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40436A85">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51F4D83">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455F912">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9C9A661">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5D31C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8402D4">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889841A">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2B126659">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4587AF8F">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3A29CCD">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15FC2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C30F9">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30A45AB">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0A1D7A0">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271E2F5">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F232287">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3CD9B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701226">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335C8BF">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2B623BDC">
            <w:pPr>
              <w:widowControl/>
              <w:jc w:val="left"/>
              <w:rPr>
                <w:rFonts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1177F6C">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CB16A94">
            <w:pPr>
              <w:widowControl/>
              <w:jc w:val="left"/>
              <w:rPr>
                <w:rFonts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1585697A">
      <w:pPr>
        <w:rPr>
          <w:rFonts w:ascii="仿宋" w:hAnsi="仿宋" w:eastAsia="仿宋" w:cs="仿宋"/>
          <w:color w:val="000000" w:themeColor="text1"/>
          <w:sz w:val="24"/>
          <w:highlight w:val="none"/>
          <w14:textFill>
            <w14:solidFill>
              <w14:schemeClr w14:val="tx1"/>
            </w14:solidFill>
          </w14:textFill>
        </w:rPr>
      </w:pPr>
    </w:p>
    <w:p w14:paraId="6C723A62">
      <w:pPr>
        <w:ind w:firstLine="420" w:firstLineChars="200"/>
        <w:rPr>
          <w:rFonts w:ascii="仿宋" w:hAnsi="仿宋" w:eastAsia="仿宋" w:cs="仿宋"/>
          <w:color w:val="000000" w:themeColor="text1"/>
          <w:highlight w:val="none"/>
          <w14:textFill>
            <w14:solidFill>
              <w14:schemeClr w14:val="tx1"/>
            </w14:solidFill>
          </w14:textFill>
        </w:rPr>
      </w:pPr>
    </w:p>
    <w:p w14:paraId="2659654E">
      <w:pPr>
        <w:spacing w:line="360" w:lineRule="auto"/>
        <w:ind w:right="420"/>
        <w:rPr>
          <w:rFonts w:ascii="仿宋" w:hAnsi="仿宋" w:eastAsia="仿宋" w:cs="仿宋"/>
          <w:color w:val="000000" w:themeColor="text1"/>
          <w:highlight w:val="none"/>
          <w14:textFill>
            <w14:solidFill>
              <w14:schemeClr w14:val="tx1"/>
            </w14:solidFill>
          </w14:textFill>
        </w:rPr>
      </w:pPr>
    </w:p>
    <w:p w14:paraId="1ACCCFAA">
      <w:pPr>
        <w:spacing w:line="360" w:lineRule="auto"/>
        <w:rPr>
          <w:rFonts w:ascii="宋体" w:hAnsi="宋体" w:cs="宋体"/>
          <w:bCs/>
          <w:color w:val="000000" w:themeColor="text1"/>
          <w:sz w:val="24"/>
          <w:highlight w:val="none"/>
          <w14:textFill>
            <w14:solidFill>
              <w14:schemeClr w14:val="tx1"/>
            </w14:solidFill>
          </w14:textFill>
        </w:rPr>
      </w:pPr>
    </w:p>
    <w:p w14:paraId="2EFF2522">
      <w:pPr>
        <w:spacing w:line="360" w:lineRule="auto"/>
        <w:rPr>
          <w:rFonts w:ascii="宋体" w:hAnsi="宋体" w:cs="宋体"/>
          <w:bCs/>
          <w:color w:val="000000" w:themeColor="text1"/>
          <w:sz w:val="24"/>
          <w:highlight w:val="none"/>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9A97F">
    <w:pPr>
      <w:pStyle w:val="39"/>
      <w:framePr w:wrap="around" w:vAnchor="text" w:hAnchor="margin" w:xAlign="right" w:y="1"/>
      <w:rPr>
        <w:rStyle w:val="72"/>
      </w:rPr>
    </w:pPr>
    <w:r>
      <w:fldChar w:fldCharType="begin"/>
    </w:r>
    <w:r>
      <w:rPr>
        <w:rStyle w:val="72"/>
      </w:rPr>
      <w:instrText xml:space="preserve">PAGE  </w:instrText>
    </w:r>
    <w:r>
      <w:fldChar w:fldCharType="end"/>
    </w:r>
  </w:p>
  <w:p w14:paraId="00C2A549">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F6ADB">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F8A50D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77" w:name="_Toc164085800"/>
                          <w:bookmarkStart w:id="178" w:name="_Toc36110187"/>
                          <w:bookmarkStart w:id="179" w:name="_Toc131845147"/>
                          <w:bookmarkStart w:id="180" w:name="_Toc91899912"/>
                          <w:r>
                            <w:rPr>
                              <w:rFonts w:hint="eastAsia" w:ascii="仿宋_GB2312" w:eastAsia="仿宋_GB2312"/>
                              <w:kern w:val="0"/>
                              <w:szCs w:val="21"/>
                            </w:rPr>
                            <w:t xml:space="preserve"> 页</w:t>
                          </w:r>
                          <w:bookmarkEnd w:id="177"/>
                          <w:bookmarkEnd w:id="178"/>
                          <w:bookmarkEnd w:id="179"/>
                          <w:bookmarkEnd w:id="18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6F8A50D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bookmarkStart w:id="177" w:name="_Toc164085800"/>
                    <w:bookmarkStart w:id="178" w:name="_Toc36110187"/>
                    <w:bookmarkStart w:id="179" w:name="_Toc131845147"/>
                    <w:bookmarkStart w:id="180" w:name="_Toc91899912"/>
                    <w:r>
                      <w:rPr>
                        <w:rFonts w:hint="eastAsia" w:ascii="仿宋_GB2312" w:eastAsia="仿宋_GB2312"/>
                        <w:kern w:val="0"/>
                        <w:szCs w:val="21"/>
                      </w:rPr>
                      <w:t xml:space="preserve"> 页</w:t>
                    </w:r>
                    <w:bookmarkEnd w:id="177"/>
                    <w:bookmarkEnd w:id="178"/>
                    <w:bookmarkEnd w:id="179"/>
                    <w:bookmarkEnd w:id="180"/>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185B6">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6C98">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FEB3C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1FEB3C7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EB536">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28976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228976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90ECAB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D0E10">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49329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1D49329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636952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7CC7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BC051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06BC0513">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19E9B13">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2FA1">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FCC7C2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7FCC7C2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901CAE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6F3FF">
    <w:pPr>
      <w:pStyle w:val="39"/>
      <w:jc w:val="center"/>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2BD60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92BD608">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97</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AD86">
    <w:pPr>
      <w:pStyle w:val="39"/>
      <w:framePr w:wrap="around" w:vAnchor="text" w:hAnchor="margin" w:xAlign="right" w:y="1"/>
      <w:rPr>
        <w:rStyle w:val="72"/>
      </w:rPr>
    </w:pPr>
    <w:r>
      <w:fldChar w:fldCharType="begin"/>
    </w:r>
    <w:r>
      <w:rPr>
        <w:rStyle w:val="72"/>
      </w:rPr>
      <w:instrText xml:space="preserve">PAGE  </w:instrText>
    </w:r>
    <w:r>
      <w:fldChar w:fldCharType="end"/>
    </w:r>
  </w:p>
  <w:p w14:paraId="3F940F4D">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65EF4">
    <w:pPr>
      <w:pStyle w:val="40"/>
      <w:jc w:val="left"/>
      <w:rPr>
        <w:rFonts w:hint="eastAsia" w:eastAsia="仿宋"/>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DB7DF">
    <w:pPr>
      <w:pStyle w:val="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2317C">
    <w:pPr>
      <w:pStyle w:val="40"/>
      <w:jc w:val="left"/>
      <w:rPr>
        <w:rFonts w:hint="eastAsia" w:ascii="仿宋" w:hAnsi="仿宋" w:eastAsia="仿宋" w:cs="仿宋"/>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绍柯采[2025]1144号</w:t>
    </w:r>
  </w:p>
  <w:p w14:paraId="762E8B6A">
    <w:pPr>
      <w:pStyle w:val="40"/>
      <w:pBdr>
        <w:bottom w:val="none" w:color="auto" w:sz="0" w:space="0"/>
      </w:pBdr>
      <w:tabs>
        <w:tab w:val="clear" w:pos="4153"/>
        <w:tab w:val="clear" w:pos="8306"/>
      </w:tabs>
      <w:jc w:val="both"/>
    </w:pPr>
  </w:p>
  <w:p w14:paraId="30BC8F46">
    <w:pPr>
      <w:pStyle w:val="40"/>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C48E">
    <w:pPr>
      <w:pStyle w:val="40"/>
      <w:jc w:val="left"/>
      <w:rPr>
        <w:rFonts w:hint="eastAsia" w:ascii="仿宋_GB2312" w:eastAsia="仿宋"/>
        <w:i/>
        <w:u w:val="single"/>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绍柯采[2025]1144号</w:t>
    </w:r>
  </w:p>
  <w:p w14:paraId="582A5CBF">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DCA9">
    <w:pPr>
      <w:pStyle w:val="40"/>
      <w:jc w:val="left"/>
      <w:rPr>
        <w:rFonts w:hint="eastAsia" w:ascii="仿宋_GB2312" w:eastAsia="仿宋"/>
        <w:i/>
        <w:u w:val="single"/>
        <w:lang w:eastAsia="zh-CN"/>
      </w:rPr>
    </w:pPr>
    <w:r>
      <w:t></w:t>
    </w:r>
    <w:r>
      <w:rPr>
        <w:rFonts w:hint="eastAsia" w:ascii="仿宋" w:hAnsi="仿宋" w:eastAsia="仿宋" w:cs="仿宋"/>
        <w:lang w:eastAsia="zh-CN"/>
      </w:rPr>
      <w:t>浙江景成工程管理有限公司</w:t>
    </w:r>
    <w:r>
      <w:rPr>
        <w:rFonts w:hint="eastAsia" w:ascii="仿宋" w:hAnsi="仿宋" w:eastAsia="仿宋" w:cs="仿宋"/>
      </w:rPr>
      <w:t xml:space="preserve">              文件编号: </w:t>
    </w:r>
    <w:r>
      <w:rPr>
        <w:rFonts w:hint="eastAsia" w:ascii="仿宋" w:hAnsi="仿宋" w:eastAsia="仿宋" w:cs="仿宋"/>
        <w:lang w:eastAsia="zh-CN"/>
      </w:rPr>
      <w:t>绍柯采[2025]1144号</w:t>
    </w:r>
  </w:p>
  <w:p w14:paraId="4A8428FF">
    <w:pPr>
      <w:pStyle w:val="40"/>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42EBB">
    <w:pPr>
      <w:pStyle w:val="40"/>
      <w:jc w:val="left"/>
      <w:rPr>
        <w:rFonts w:hint="eastAsia" w:ascii="仿宋_GB2312" w:eastAsia="仿宋"/>
        <w:b/>
        <w:i/>
        <w:u w:val="single"/>
        <w:lang w:eastAsia="zh-CN"/>
      </w:rPr>
    </w:pPr>
    <w:r>
      <w:rPr>
        <w:rFonts w:hint="eastAsia" w:ascii="仿宋" w:hAnsi="仿宋" w:eastAsia="仿宋" w:cs="仿宋"/>
      </w:rPr>
      <w:t xml:space="preserve">浙江首信项目管理有限公司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绍柯采[2025]1144号</w:t>
    </w:r>
  </w:p>
  <w:p w14:paraId="313AC25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4BDFA">
    <w:pPr>
      <w:pStyle w:val="40"/>
      <w:jc w:val="left"/>
      <w:rPr>
        <w:rFonts w:hint="eastAsia" w:ascii="仿宋_GB2312" w:eastAsia="仿宋"/>
        <w:i/>
        <w:u w:val="single"/>
        <w:lang w:eastAsia="zh-CN"/>
      </w:rPr>
    </w:pPr>
    <w:r>
      <w:rPr>
        <w:rFonts w:hint="eastAsia" w:ascii="仿宋" w:hAnsi="仿宋" w:eastAsia="仿宋" w:cs="仿宋"/>
        <w:lang w:eastAsia="zh-CN"/>
      </w:rPr>
      <w:t>浙江景成工程管理有限公司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绍柯采[2025]1144号</w:t>
    </w:r>
  </w:p>
  <w:p w14:paraId="1A11C87E">
    <w:pPr>
      <w:pStyle w:val="40"/>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28290">
    <w:pPr>
      <w:pStyle w:val="40"/>
      <w:jc w:val="left"/>
      <w:rPr>
        <w:rFonts w:hint="eastAsia" w:eastAsia="仿宋"/>
        <w:lang w:eastAsia="zh-CN"/>
      </w:rPr>
    </w:pPr>
    <w:r>
      <w:rPr>
        <w:rFonts w:hint="eastAsia" w:ascii="仿宋" w:hAnsi="仿宋" w:eastAsia="仿宋" w:cs="仿宋"/>
        <w:lang w:eastAsia="zh-CN"/>
      </w:rPr>
      <w:t>浙江景成工程管理有限公司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绍柯采[2025]1144号</w:t>
    </w:r>
  </w:p>
  <w:p w14:paraId="47FEB567">
    <w:pPr>
      <w:pStyle w:val="40"/>
      <w:pBdr>
        <w:bottom w:val="none" w:color="auto" w:sz="0" w:space="1"/>
      </w:pBdr>
      <w:jc w:val="both"/>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5B50A">
    <w:pPr>
      <w:pStyle w:val="40"/>
      <w:jc w:val="left"/>
      <w:rPr>
        <w:rFonts w:hint="eastAsia" w:ascii="仿宋_GB2312" w:eastAsia="仿宋"/>
        <w:i/>
        <w:u w:val="single"/>
        <w:lang w:eastAsia="zh-CN"/>
      </w:rPr>
    </w:pPr>
    <w:r>
      <w:rPr>
        <w:rFonts w:hint="eastAsia" w:ascii="仿宋" w:hAnsi="仿宋" w:eastAsia="仿宋" w:cs="仿宋"/>
        <w:lang w:eastAsia="zh-CN"/>
      </w:rPr>
      <w:t>浙江景成工程管理有限公司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绍柯采[2025]1144号</w:t>
    </w:r>
  </w:p>
  <w:p w14:paraId="183E2D58">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abstractNum w:abstractNumId="2">
    <w:nsid w:val="197A854B"/>
    <w:multiLevelType w:val="singleLevel"/>
    <w:tmpl w:val="197A854B"/>
    <w:lvl w:ilvl="0" w:tentative="0">
      <w:start w:val="1"/>
      <w:numFmt w:val="decimal"/>
      <w:suff w:val="nothing"/>
      <w:lvlText w:val="%1、"/>
      <w:lvlJc w:val="left"/>
    </w:lvl>
  </w:abstractNum>
  <w:abstractNum w:abstractNumId="3">
    <w:nsid w:val="4D31031D"/>
    <w:multiLevelType w:val="singleLevel"/>
    <w:tmpl w:val="4D31031D"/>
    <w:lvl w:ilvl="0" w:tentative="0">
      <w:start w:val="1"/>
      <w:numFmt w:val="decimal"/>
      <w:suff w:val="nothing"/>
      <w:lvlText w:val="%1、"/>
      <w:lvlJc w:val="left"/>
    </w:lvl>
  </w:abstractNum>
  <w:abstractNum w:abstractNumId="4">
    <w:nsid w:val="65F9593E"/>
    <w:multiLevelType w:val="singleLevel"/>
    <w:tmpl w:val="65F9593E"/>
    <w:lvl w:ilvl="0" w:tentative="0">
      <w:start w:val="1"/>
      <w:numFmt w:val="decimal"/>
      <w:suff w:val="nothing"/>
      <w:lvlText w:val="%1、"/>
      <w:lvlJc w:val="left"/>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iY2ExZDc0YjRiMjFjMzY4YmJiNzk0YzE4ZDgzNzAifQ=="/>
    <w:docVar w:name="KSO_WPS_MARK_KEY" w:val="57dbe859-384a-4b97-aaf5-3f8a6b868f45"/>
  </w:docVars>
  <w:rsids>
    <w:rsidRoot w:val="00172A27"/>
    <w:rsid w:val="0002388D"/>
    <w:rsid w:val="00023F4D"/>
    <w:rsid w:val="001725C4"/>
    <w:rsid w:val="00172A27"/>
    <w:rsid w:val="001E7F17"/>
    <w:rsid w:val="0020247D"/>
    <w:rsid w:val="00221714"/>
    <w:rsid w:val="00282C2B"/>
    <w:rsid w:val="003310E0"/>
    <w:rsid w:val="004D151D"/>
    <w:rsid w:val="00807FE1"/>
    <w:rsid w:val="00835B88"/>
    <w:rsid w:val="00861291"/>
    <w:rsid w:val="008A3FB2"/>
    <w:rsid w:val="008E25BB"/>
    <w:rsid w:val="00936276"/>
    <w:rsid w:val="00AF1E20"/>
    <w:rsid w:val="00B34AC1"/>
    <w:rsid w:val="00BC7294"/>
    <w:rsid w:val="00C56ECA"/>
    <w:rsid w:val="00CD0CF5"/>
    <w:rsid w:val="00CE76C3"/>
    <w:rsid w:val="00D071AD"/>
    <w:rsid w:val="00DA2FEF"/>
    <w:rsid w:val="00DD09EF"/>
    <w:rsid w:val="00E7419B"/>
    <w:rsid w:val="00EC0E91"/>
    <w:rsid w:val="00F67D0C"/>
    <w:rsid w:val="00F94844"/>
    <w:rsid w:val="012706E7"/>
    <w:rsid w:val="012D4E61"/>
    <w:rsid w:val="013F5AB4"/>
    <w:rsid w:val="01822573"/>
    <w:rsid w:val="01AB103F"/>
    <w:rsid w:val="02013C18"/>
    <w:rsid w:val="0256755B"/>
    <w:rsid w:val="02D179C5"/>
    <w:rsid w:val="02D634CE"/>
    <w:rsid w:val="032B6C3A"/>
    <w:rsid w:val="035BEF8B"/>
    <w:rsid w:val="04704C2C"/>
    <w:rsid w:val="050F05C1"/>
    <w:rsid w:val="05690760"/>
    <w:rsid w:val="05D830A9"/>
    <w:rsid w:val="05E673F0"/>
    <w:rsid w:val="05F71177"/>
    <w:rsid w:val="060C4B01"/>
    <w:rsid w:val="068D2ABC"/>
    <w:rsid w:val="069C58E4"/>
    <w:rsid w:val="06F21E30"/>
    <w:rsid w:val="07050D9D"/>
    <w:rsid w:val="0748797D"/>
    <w:rsid w:val="078F1A2B"/>
    <w:rsid w:val="07ED06E0"/>
    <w:rsid w:val="08D408AB"/>
    <w:rsid w:val="09523172"/>
    <w:rsid w:val="09691794"/>
    <w:rsid w:val="097A0AC7"/>
    <w:rsid w:val="09BE7F3C"/>
    <w:rsid w:val="09CB7D0D"/>
    <w:rsid w:val="09EB2C7F"/>
    <w:rsid w:val="0A2004B1"/>
    <w:rsid w:val="0A5D50D2"/>
    <w:rsid w:val="0A693121"/>
    <w:rsid w:val="0A6A2C79"/>
    <w:rsid w:val="0A8B6BDA"/>
    <w:rsid w:val="0ADE6ADF"/>
    <w:rsid w:val="0B194746"/>
    <w:rsid w:val="0B6158EF"/>
    <w:rsid w:val="0B7B7D63"/>
    <w:rsid w:val="0B9419B6"/>
    <w:rsid w:val="0C4548C9"/>
    <w:rsid w:val="0C8B3B1A"/>
    <w:rsid w:val="0CB85725"/>
    <w:rsid w:val="0CD8034A"/>
    <w:rsid w:val="0D5D5C42"/>
    <w:rsid w:val="0D8E229F"/>
    <w:rsid w:val="0E09759B"/>
    <w:rsid w:val="0E38593A"/>
    <w:rsid w:val="0E5A03D3"/>
    <w:rsid w:val="0E657E7C"/>
    <w:rsid w:val="0EA14163"/>
    <w:rsid w:val="0EB837FD"/>
    <w:rsid w:val="0EF40BFF"/>
    <w:rsid w:val="0F096B8F"/>
    <w:rsid w:val="0F1B577B"/>
    <w:rsid w:val="0F362329"/>
    <w:rsid w:val="0F5D130C"/>
    <w:rsid w:val="0F63063F"/>
    <w:rsid w:val="0F6634D4"/>
    <w:rsid w:val="0F9477AA"/>
    <w:rsid w:val="0FE37869"/>
    <w:rsid w:val="0FF94348"/>
    <w:rsid w:val="103E7FAD"/>
    <w:rsid w:val="10685029"/>
    <w:rsid w:val="10702130"/>
    <w:rsid w:val="10CC55B8"/>
    <w:rsid w:val="112F34D4"/>
    <w:rsid w:val="114769A1"/>
    <w:rsid w:val="115E45A5"/>
    <w:rsid w:val="11B81406"/>
    <w:rsid w:val="12042B30"/>
    <w:rsid w:val="135D4BEE"/>
    <w:rsid w:val="135D5823"/>
    <w:rsid w:val="13813031"/>
    <w:rsid w:val="13C95DDF"/>
    <w:rsid w:val="145F4995"/>
    <w:rsid w:val="14A10B0A"/>
    <w:rsid w:val="14AB1989"/>
    <w:rsid w:val="151412DC"/>
    <w:rsid w:val="15185ADB"/>
    <w:rsid w:val="154C3C5D"/>
    <w:rsid w:val="154F3E91"/>
    <w:rsid w:val="15BC0FF8"/>
    <w:rsid w:val="15D12A9F"/>
    <w:rsid w:val="161377E5"/>
    <w:rsid w:val="169C0980"/>
    <w:rsid w:val="16C777FE"/>
    <w:rsid w:val="16DE6045"/>
    <w:rsid w:val="16F64FC5"/>
    <w:rsid w:val="170037C5"/>
    <w:rsid w:val="173B66C4"/>
    <w:rsid w:val="1797518C"/>
    <w:rsid w:val="185A0968"/>
    <w:rsid w:val="186E6F48"/>
    <w:rsid w:val="18DA0A8E"/>
    <w:rsid w:val="18E60774"/>
    <w:rsid w:val="1933711B"/>
    <w:rsid w:val="194A510F"/>
    <w:rsid w:val="19726F19"/>
    <w:rsid w:val="19BE72D2"/>
    <w:rsid w:val="1A45460D"/>
    <w:rsid w:val="1A8005FA"/>
    <w:rsid w:val="1A98650B"/>
    <w:rsid w:val="1B075BBD"/>
    <w:rsid w:val="1B245F4B"/>
    <w:rsid w:val="1B5E1503"/>
    <w:rsid w:val="1BC72207"/>
    <w:rsid w:val="1BE0460E"/>
    <w:rsid w:val="1C266597"/>
    <w:rsid w:val="1CBC0BD7"/>
    <w:rsid w:val="1CFE2569"/>
    <w:rsid w:val="1D0A6937"/>
    <w:rsid w:val="1D1B7898"/>
    <w:rsid w:val="1D2F1C3B"/>
    <w:rsid w:val="1D305121"/>
    <w:rsid w:val="1D8334A3"/>
    <w:rsid w:val="1E00770A"/>
    <w:rsid w:val="1E3824DF"/>
    <w:rsid w:val="1E8841DB"/>
    <w:rsid w:val="1EDD34FE"/>
    <w:rsid w:val="1F1F369F"/>
    <w:rsid w:val="1FBFFEB0"/>
    <w:rsid w:val="1FF05470"/>
    <w:rsid w:val="200B351B"/>
    <w:rsid w:val="208A613A"/>
    <w:rsid w:val="20B12F40"/>
    <w:rsid w:val="20C444FE"/>
    <w:rsid w:val="20F052F3"/>
    <w:rsid w:val="20F52909"/>
    <w:rsid w:val="20FE42D5"/>
    <w:rsid w:val="20FF36FB"/>
    <w:rsid w:val="21C15B38"/>
    <w:rsid w:val="21DC7625"/>
    <w:rsid w:val="22090884"/>
    <w:rsid w:val="22317971"/>
    <w:rsid w:val="22435127"/>
    <w:rsid w:val="22615A67"/>
    <w:rsid w:val="228B3327"/>
    <w:rsid w:val="228D7610"/>
    <w:rsid w:val="22C3204C"/>
    <w:rsid w:val="23211EB0"/>
    <w:rsid w:val="232E3EB1"/>
    <w:rsid w:val="23337719"/>
    <w:rsid w:val="238F68D9"/>
    <w:rsid w:val="24066BDB"/>
    <w:rsid w:val="24682975"/>
    <w:rsid w:val="24881AE7"/>
    <w:rsid w:val="24AF66F7"/>
    <w:rsid w:val="24B93C4E"/>
    <w:rsid w:val="256C0CC0"/>
    <w:rsid w:val="25711C1B"/>
    <w:rsid w:val="25853C66"/>
    <w:rsid w:val="259D7993"/>
    <w:rsid w:val="25EA1554"/>
    <w:rsid w:val="26997893"/>
    <w:rsid w:val="26E457BB"/>
    <w:rsid w:val="275DFFED"/>
    <w:rsid w:val="27724EE3"/>
    <w:rsid w:val="27781B0F"/>
    <w:rsid w:val="279C61D3"/>
    <w:rsid w:val="282C4119"/>
    <w:rsid w:val="28425D08"/>
    <w:rsid w:val="28507308"/>
    <w:rsid w:val="28E00B2D"/>
    <w:rsid w:val="290114EB"/>
    <w:rsid w:val="293276A6"/>
    <w:rsid w:val="294E2C23"/>
    <w:rsid w:val="297209A7"/>
    <w:rsid w:val="298218E8"/>
    <w:rsid w:val="298C321D"/>
    <w:rsid w:val="29DB280F"/>
    <w:rsid w:val="2A3A138D"/>
    <w:rsid w:val="2A3F0BA2"/>
    <w:rsid w:val="2A5A5C60"/>
    <w:rsid w:val="2A9C153D"/>
    <w:rsid w:val="2A9F38E6"/>
    <w:rsid w:val="2AC12217"/>
    <w:rsid w:val="2ACB1715"/>
    <w:rsid w:val="2AFA6E42"/>
    <w:rsid w:val="2B481888"/>
    <w:rsid w:val="2B6A39AF"/>
    <w:rsid w:val="2B8C3F45"/>
    <w:rsid w:val="2BA62429"/>
    <w:rsid w:val="2BBD04C8"/>
    <w:rsid w:val="2C033818"/>
    <w:rsid w:val="2C130A76"/>
    <w:rsid w:val="2C29790B"/>
    <w:rsid w:val="2C3F712F"/>
    <w:rsid w:val="2C527DA2"/>
    <w:rsid w:val="2C5318D5"/>
    <w:rsid w:val="2CD258AD"/>
    <w:rsid w:val="2CE675AA"/>
    <w:rsid w:val="2D183C20"/>
    <w:rsid w:val="2D1B4474"/>
    <w:rsid w:val="2D3B78F6"/>
    <w:rsid w:val="2D401D7D"/>
    <w:rsid w:val="2D636E4D"/>
    <w:rsid w:val="2D8F7653"/>
    <w:rsid w:val="2EE05A21"/>
    <w:rsid w:val="2F0C0A43"/>
    <w:rsid w:val="2F1203F2"/>
    <w:rsid w:val="2F5E71CC"/>
    <w:rsid w:val="2FED1391"/>
    <w:rsid w:val="301408B9"/>
    <w:rsid w:val="302D1A89"/>
    <w:rsid w:val="304237CB"/>
    <w:rsid w:val="304A1F48"/>
    <w:rsid w:val="307360B4"/>
    <w:rsid w:val="30A8543A"/>
    <w:rsid w:val="30CD01D9"/>
    <w:rsid w:val="31533344"/>
    <w:rsid w:val="319B575E"/>
    <w:rsid w:val="31DB0B80"/>
    <w:rsid w:val="31DD33D0"/>
    <w:rsid w:val="31DE2F46"/>
    <w:rsid w:val="31F369F1"/>
    <w:rsid w:val="32052280"/>
    <w:rsid w:val="32195D2C"/>
    <w:rsid w:val="321F6F3E"/>
    <w:rsid w:val="3221146F"/>
    <w:rsid w:val="32321DDA"/>
    <w:rsid w:val="326F4556"/>
    <w:rsid w:val="32D103B5"/>
    <w:rsid w:val="33085308"/>
    <w:rsid w:val="33097011"/>
    <w:rsid w:val="345B262C"/>
    <w:rsid w:val="34755FBF"/>
    <w:rsid w:val="34927A59"/>
    <w:rsid w:val="34FF56AD"/>
    <w:rsid w:val="352549E8"/>
    <w:rsid w:val="353D263B"/>
    <w:rsid w:val="360D5BA8"/>
    <w:rsid w:val="362F2E68"/>
    <w:rsid w:val="36520679"/>
    <w:rsid w:val="36A040E7"/>
    <w:rsid w:val="37415715"/>
    <w:rsid w:val="37AA1BDC"/>
    <w:rsid w:val="38425956"/>
    <w:rsid w:val="38796197"/>
    <w:rsid w:val="38904AB5"/>
    <w:rsid w:val="38A15888"/>
    <w:rsid w:val="38A40870"/>
    <w:rsid w:val="38C73DFB"/>
    <w:rsid w:val="38CC34FA"/>
    <w:rsid w:val="38EF5674"/>
    <w:rsid w:val="39102474"/>
    <w:rsid w:val="39216B01"/>
    <w:rsid w:val="39475874"/>
    <w:rsid w:val="398919E9"/>
    <w:rsid w:val="39A20CFD"/>
    <w:rsid w:val="39DC7A1B"/>
    <w:rsid w:val="39F46179"/>
    <w:rsid w:val="3A540569"/>
    <w:rsid w:val="3A5408F4"/>
    <w:rsid w:val="3A704957"/>
    <w:rsid w:val="3A7570A0"/>
    <w:rsid w:val="3AB17449"/>
    <w:rsid w:val="3B567FF1"/>
    <w:rsid w:val="3B776F92"/>
    <w:rsid w:val="3B9528C7"/>
    <w:rsid w:val="3BC95A6F"/>
    <w:rsid w:val="3C015F1D"/>
    <w:rsid w:val="3C290FB9"/>
    <w:rsid w:val="3CA3789E"/>
    <w:rsid w:val="3CA52FDE"/>
    <w:rsid w:val="3CC316B6"/>
    <w:rsid w:val="3D1B6DFC"/>
    <w:rsid w:val="3E152713"/>
    <w:rsid w:val="3E3D433B"/>
    <w:rsid w:val="3E574F0E"/>
    <w:rsid w:val="3E6DF6DC"/>
    <w:rsid w:val="3EFE0783"/>
    <w:rsid w:val="3F8805CA"/>
    <w:rsid w:val="3FCFDA4A"/>
    <w:rsid w:val="3FF63E3E"/>
    <w:rsid w:val="4043468C"/>
    <w:rsid w:val="40730CFD"/>
    <w:rsid w:val="407F3835"/>
    <w:rsid w:val="408B29C6"/>
    <w:rsid w:val="40A24EE0"/>
    <w:rsid w:val="40B75386"/>
    <w:rsid w:val="41307A7B"/>
    <w:rsid w:val="41A82C28"/>
    <w:rsid w:val="421A6238"/>
    <w:rsid w:val="427E60E8"/>
    <w:rsid w:val="429C09DF"/>
    <w:rsid w:val="43361F5E"/>
    <w:rsid w:val="434D7845"/>
    <w:rsid w:val="435B43F6"/>
    <w:rsid w:val="43B35A16"/>
    <w:rsid w:val="43EA3469"/>
    <w:rsid w:val="43F14D5A"/>
    <w:rsid w:val="44242FCC"/>
    <w:rsid w:val="44B51DA1"/>
    <w:rsid w:val="44B6424B"/>
    <w:rsid w:val="455455A1"/>
    <w:rsid w:val="45CD1448"/>
    <w:rsid w:val="47120C28"/>
    <w:rsid w:val="47161613"/>
    <w:rsid w:val="475C698F"/>
    <w:rsid w:val="47835CCA"/>
    <w:rsid w:val="489753BD"/>
    <w:rsid w:val="489B5B6C"/>
    <w:rsid w:val="491A440C"/>
    <w:rsid w:val="49AE2F15"/>
    <w:rsid w:val="49EA64D4"/>
    <w:rsid w:val="4AA04D0E"/>
    <w:rsid w:val="4ADA7312"/>
    <w:rsid w:val="4B5856BF"/>
    <w:rsid w:val="4B763D8E"/>
    <w:rsid w:val="4B9F6F7C"/>
    <w:rsid w:val="4BB9615E"/>
    <w:rsid w:val="4BC44B03"/>
    <w:rsid w:val="4BDA60D4"/>
    <w:rsid w:val="4BE76075"/>
    <w:rsid w:val="4CC811B9"/>
    <w:rsid w:val="4CF02F19"/>
    <w:rsid w:val="4D7367E0"/>
    <w:rsid w:val="4DCD36EB"/>
    <w:rsid w:val="4DE91580"/>
    <w:rsid w:val="4E530E23"/>
    <w:rsid w:val="4EBE2EB6"/>
    <w:rsid w:val="4EDC7FC8"/>
    <w:rsid w:val="4EE85483"/>
    <w:rsid w:val="4EFA45AB"/>
    <w:rsid w:val="4F4B3D85"/>
    <w:rsid w:val="4F8503B4"/>
    <w:rsid w:val="504B134F"/>
    <w:rsid w:val="506840C5"/>
    <w:rsid w:val="513242BC"/>
    <w:rsid w:val="51CA3430"/>
    <w:rsid w:val="53D33244"/>
    <w:rsid w:val="53ED03DE"/>
    <w:rsid w:val="54111E99"/>
    <w:rsid w:val="54446715"/>
    <w:rsid w:val="54A62A09"/>
    <w:rsid w:val="55557E9D"/>
    <w:rsid w:val="55C11D64"/>
    <w:rsid w:val="564D58E7"/>
    <w:rsid w:val="56501F08"/>
    <w:rsid w:val="56764C4B"/>
    <w:rsid w:val="568B06F7"/>
    <w:rsid w:val="56925E96"/>
    <w:rsid w:val="56955EC3"/>
    <w:rsid w:val="57472D1B"/>
    <w:rsid w:val="5765363E"/>
    <w:rsid w:val="57B97181"/>
    <w:rsid w:val="57CC35D0"/>
    <w:rsid w:val="57F01045"/>
    <w:rsid w:val="5886087C"/>
    <w:rsid w:val="58AC5A63"/>
    <w:rsid w:val="58B303FF"/>
    <w:rsid w:val="58D02D39"/>
    <w:rsid w:val="590636E5"/>
    <w:rsid w:val="59124A1E"/>
    <w:rsid w:val="596576A6"/>
    <w:rsid w:val="59A8072C"/>
    <w:rsid w:val="59AA358A"/>
    <w:rsid w:val="59BB69C3"/>
    <w:rsid w:val="59BC612C"/>
    <w:rsid w:val="59D57377"/>
    <w:rsid w:val="5A2C5B56"/>
    <w:rsid w:val="5AB346C0"/>
    <w:rsid w:val="5AF078D1"/>
    <w:rsid w:val="5B2759BA"/>
    <w:rsid w:val="5B73EE39"/>
    <w:rsid w:val="5BFE196B"/>
    <w:rsid w:val="5C581867"/>
    <w:rsid w:val="5C7550A1"/>
    <w:rsid w:val="5CA06E14"/>
    <w:rsid w:val="5CDA7BA2"/>
    <w:rsid w:val="5CFAC9C4"/>
    <w:rsid w:val="5DD83E1C"/>
    <w:rsid w:val="5E334DCB"/>
    <w:rsid w:val="5E562092"/>
    <w:rsid w:val="5E5B30A5"/>
    <w:rsid w:val="5E6261E1"/>
    <w:rsid w:val="5E9345EC"/>
    <w:rsid w:val="5EA734E4"/>
    <w:rsid w:val="5F042B46"/>
    <w:rsid w:val="5F221E14"/>
    <w:rsid w:val="5F4C72CA"/>
    <w:rsid w:val="5F561B6F"/>
    <w:rsid w:val="5F57E5CA"/>
    <w:rsid w:val="5F693276"/>
    <w:rsid w:val="5FC27F9A"/>
    <w:rsid w:val="617213B6"/>
    <w:rsid w:val="61AF6A92"/>
    <w:rsid w:val="61DA69D6"/>
    <w:rsid w:val="6232458F"/>
    <w:rsid w:val="62DC368C"/>
    <w:rsid w:val="6315592F"/>
    <w:rsid w:val="633108B9"/>
    <w:rsid w:val="6347009B"/>
    <w:rsid w:val="63F57AF7"/>
    <w:rsid w:val="643147FC"/>
    <w:rsid w:val="64AFCBD0"/>
    <w:rsid w:val="65472817"/>
    <w:rsid w:val="65864EAB"/>
    <w:rsid w:val="65A03C6A"/>
    <w:rsid w:val="65EB348B"/>
    <w:rsid w:val="66304E17"/>
    <w:rsid w:val="669C35D3"/>
    <w:rsid w:val="670C04C4"/>
    <w:rsid w:val="67C35F6E"/>
    <w:rsid w:val="68522A3E"/>
    <w:rsid w:val="687E00BB"/>
    <w:rsid w:val="688B2364"/>
    <w:rsid w:val="68B83154"/>
    <w:rsid w:val="695B664F"/>
    <w:rsid w:val="69624CBE"/>
    <w:rsid w:val="6A7E7B5D"/>
    <w:rsid w:val="6AFF2A6C"/>
    <w:rsid w:val="6B215F14"/>
    <w:rsid w:val="6B3610CD"/>
    <w:rsid w:val="6B480E55"/>
    <w:rsid w:val="6B4E646B"/>
    <w:rsid w:val="6CCA20EC"/>
    <w:rsid w:val="6CD10152"/>
    <w:rsid w:val="6CE71F6D"/>
    <w:rsid w:val="6D29110E"/>
    <w:rsid w:val="6D583155"/>
    <w:rsid w:val="6D677957"/>
    <w:rsid w:val="6DAF616D"/>
    <w:rsid w:val="6E5F098F"/>
    <w:rsid w:val="6EBAEEF7"/>
    <w:rsid w:val="6ED22F0F"/>
    <w:rsid w:val="6F11681F"/>
    <w:rsid w:val="6F571290"/>
    <w:rsid w:val="6FC37AD4"/>
    <w:rsid w:val="702E23C7"/>
    <w:rsid w:val="70910BA8"/>
    <w:rsid w:val="70F869CD"/>
    <w:rsid w:val="71493231"/>
    <w:rsid w:val="717E12CB"/>
    <w:rsid w:val="71AD7BD9"/>
    <w:rsid w:val="727A5D97"/>
    <w:rsid w:val="72B6327F"/>
    <w:rsid w:val="72C6616E"/>
    <w:rsid w:val="731267E8"/>
    <w:rsid w:val="732E26DE"/>
    <w:rsid w:val="733F5811"/>
    <w:rsid w:val="734747AB"/>
    <w:rsid w:val="740B2A1F"/>
    <w:rsid w:val="74147B26"/>
    <w:rsid w:val="74493C73"/>
    <w:rsid w:val="74FD4A5E"/>
    <w:rsid w:val="752D3F1E"/>
    <w:rsid w:val="7596337E"/>
    <w:rsid w:val="75B415C0"/>
    <w:rsid w:val="760343CA"/>
    <w:rsid w:val="77343747"/>
    <w:rsid w:val="773D7394"/>
    <w:rsid w:val="778C4711"/>
    <w:rsid w:val="778CFDC4"/>
    <w:rsid w:val="77AE0291"/>
    <w:rsid w:val="77B533CE"/>
    <w:rsid w:val="77BA6C36"/>
    <w:rsid w:val="77EDE09C"/>
    <w:rsid w:val="785819ED"/>
    <w:rsid w:val="787465B6"/>
    <w:rsid w:val="78A52E74"/>
    <w:rsid w:val="78AD1F79"/>
    <w:rsid w:val="78E601D0"/>
    <w:rsid w:val="79B31B8F"/>
    <w:rsid w:val="7A785944"/>
    <w:rsid w:val="7AD2794A"/>
    <w:rsid w:val="7AEA15E0"/>
    <w:rsid w:val="7B0F6B0F"/>
    <w:rsid w:val="7B432FC7"/>
    <w:rsid w:val="7B590514"/>
    <w:rsid w:val="7B9844AF"/>
    <w:rsid w:val="7BFC278B"/>
    <w:rsid w:val="7C7C095E"/>
    <w:rsid w:val="7CAE594A"/>
    <w:rsid w:val="7CDF1FF3"/>
    <w:rsid w:val="7D321345"/>
    <w:rsid w:val="7D3D00ED"/>
    <w:rsid w:val="7D4B0EE3"/>
    <w:rsid w:val="7D9E7019"/>
    <w:rsid w:val="7DFF3A1B"/>
    <w:rsid w:val="7E203CC6"/>
    <w:rsid w:val="7E464D80"/>
    <w:rsid w:val="7EBC14E6"/>
    <w:rsid w:val="7EFD64E7"/>
    <w:rsid w:val="7F2A5316"/>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5"/>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1"/>
    <w:qFormat/>
    <w:uiPriority w:val="0"/>
    <w:pPr>
      <w:ind w:left="100" w:leftChars="2500"/>
    </w:pPr>
    <w:rPr>
      <w:rFonts w:ascii="宋体"/>
      <w:sz w:val="24"/>
      <w:szCs w:val="21"/>
      <w:lang w:val="zh-CN"/>
    </w:rPr>
  </w:style>
  <w:style w:type="paragraph" w:styleId="36">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8"/>
    <w:qFormat/>
    <w:uiPriority w:val="0"/>
    <w:rPr>
      <w:sz w:val="18"/>
      <w:szCs w:val="18"/>
    </w:rPr>
  </w:style>
  <w:style w:type="paragraph" w:styleId="39">
    <w:name w:val="footer"/>
    <w:basedOn w:val="1"/>
    <w:link w:val="382"/>
    <w:qFormat/>
    <w:uiPriority w:val="99"/>
    <w:pPr>
      <w:tabs>
        <w:tab w:val="center" w:pos="4153"/>
        <w:tab w:val="right" w:pos="8306"/>
      </w:tabs>
      <w:snapToGrid w:val="0"/>
      <w:jc w:val="left"/>
    </w:pPr>
    <w:rPr>
      <w:sz w:val="18"/>
      <w:szCs w:val="18"/>
    </w:rPr>
  </w:style>
  <w:style w:type="paragraph" w:styleId="40">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4"/>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1"/>
    <w:qFormat/>
    <w:uiPriority w:val="0"/>
    <w:pPr>
      <w:spacing w:after="120" w:line="480" w:lineRule="auto"/>
    </w:pPr>
  </w:style>
  <w:style w:type="paragraph" w:styleId="56">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6"/>
    <w:qFormat/>
    <w:uiPriority w:val="0"/>
    <w:rPr>
      <w:b/>
      <w:bCs/>
    </w:rPr>
  </w:style>
  <w:style w:type="paragraph" w:styleId="60">
    <w:name w:val="Body Text First Indent"/>
    <w:basedOn w:val="23"/>
    <w:next w:val="1"/>
    <w:link w:val="320"/>
    <w:qFormat/>
    <w:uiPriority w:val="0"/>
    <w:pPr>
      <w:ind w:firstLine="420"/>
    </w:pPr>
    <w:rPr>
      <w:rFonts w:hAnsi="Calibri" w:cs="Times New Roman"/>
      <w:snapToGrid/>
      <w:szCs w:val="20"/>
    </w:rPr>
  </w:style>
  <w:style w:type="paragraph" w:styleId="61">
    <w:name w:val="Body Text First Indent 2"/>
    <w:basedOn w:val="24"/>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0">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59"/>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6"/>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5"/>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8"/>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29"/>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4"/>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8"/>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6"/>
    <w:qFormat/>
    <w:uiPriority w:val="0"/>
    <w:rPr>
      <w:rFonts w:ascii="黑体" w:hAnsi="Courier New" w:eastAsia="黑体"/>
    </w:rPr>
  </w:style>
  <w:style w:type="character" w:customStyle="1" w:styleId="301">
    <w:name w:val="正文文本 2 Char1"/>
    <w:link w:val="55"/>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6"/>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49"/>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0"/>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1"/>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2"/>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39"/>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0"/>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9"/>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4"/>
    <w:next w:val="639"/>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421506-1FE6-4A20-91F0-2F98DEEE470D}">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21280</Words>
  <Characters>22628</Characters>
  <Lines>422</Lines>
  <Paragraphs>119</Paragraphs>
  <TotalTime>25</TotalTime>
  <ScaleCrop>false</ScaleCrop>
  <LinksUpToDate>false</LinksUpToDate>
  <CharactersWithSpaces>22738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柚稚</cp:lastModifiedBy>
  <cp:lastPrinted>2025-05-19T15:24:00Z</cp:lastPrinted>
  <dcterms:modified xsi:type="dcterms:W3CDTF">2025-07-17T06:12:07Z</dcterms:modified>
  <dc:title>杭州市市民卡扩大发卡工程</dc:title>
  <cp:revision>314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6B57748E4BB64EFDB57436FACA6E4583_13</vt:lpwstr>
  </property>
  <property fmtid="{D5CDD505-2E9C-101B-9397-08002B2CF9AE}" pid="5" name="KSOTemplateDocerSaveRecord">
    <vt:lpwstr>eyJoZGlkIjoiY2I4ZTc3MGJlNWZmMmY1ODMyOTQ0M2ZmNTcyZmM0MWIiLCJ1c2VySWQiOiIyMzk1ODM3ODEifQ==</vt:lpwstr>
  </property>
</Properties>
</file>