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jc w:val="center"/>
        <w:rPr>
          <w:rFonts w:ascii="宋体" w:hAnsi="宋体" w:cs="宋体"/>
          <w:b/>
          <w:color w:val="auto"/>
          <w:sz w:val="24"/>
          <w:highlight w:val="none"/>
        </w:rPr>
      </w:pPr>
    </w:p>
    <w:p>
      <w:pPr>
        <w:wordWrap w:val="0"/>
        <w:adjustRightInd/>
        <w:spacing w:line="360" w:lineRule="auto"/>
        <w:jc w:val="center"/>
        <w:rPr>
          <w:rFonts w:ascii="隶书" w:hAnsi="Arial" w:eastAsia="隶书" w:cs="Arial"/>
          <w:b/>
          <w:color w:val="auto"/>
          <w:spacing w:val="-12"/>
          <w:sz w:val="48"/>
          <w:szCs w:val="48"/>
          <w:highlight w:val="none"/>
        </w:rPr>
      </w:pPr>
      <w:bookmarkStart w:id="0" w:name="_Hlt67893495"/>
      <w:bookmarkEnd w:id="0"/>
      <w:r>
        <w:rPr>
          <w:rFonts w:hint="eastAsia" w:ascii="隶书" w:hAnsi="Arial" w:eastAsia="隶书" w:cs="Arial"/>
          <w:b/>
          <w:color w:val="auto"/>
          <w:spacing w:val="-12"/>
          <w:sz w:val="48"/>
          <w:szCs w:val="48"/>
          <w:highlight w:val="none"/>
        </w:rPr>
        <w:t>绍兴市妇幼保健院超融合等采购项目</w:t>
      </w:r>
    </w:p>
    <w:p>
      <w:pPr>
        <w:wordWrap w:val="0"/>
        <w:jc w:val="center"/>
        <w:outlineLvl w:val="0"/>
        <w:rPr>
          <w:rFonts w:ascii="仿宋" w:hAnsi="仿宋" w:eastAsia="仿宋" w:cs="仿宋"/>
          <w:b/>
          <w:color w:val="auto"/>
          <w:sz w:val="72"/>
          <w:szCs w:val="72"/>
          <w:highlight w:val="none"/>
        </w:rPr>
      </w:pP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wordWrap w:val="0"/>
        <w:jc w:val="center"/>
        <w:outlineLvl w:val="0"/>
        <w:rPr>
          <w:rFonts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wordWrap w:val="0"/>
        <w:adjustRightInd/>
        <w:spacing w:line="360" w:lineRule="auto"/>
        <w:jc w:val="center"/>
        <w:rPr>
          <w:rFonts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wordWrap w:val="0"/>
        <w:spacing w:line="360" w:lineRule="auto"/>
        <w:rPr>
          <w:rFonts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wordWrap w:val="0"/>
        <w:jc w:val="center"/>
        <w:rPr>
          <w:rFonts w:ascii="隶书" w:hAnsi="隶书" w:eastAsia="隶书" w:cs="隶书"/>
          <w:bCs/>
          <w:color w:val="auto"/>
          <w:sz w:val="28"/>
          <w:szCs w:val="28"/>
          <w:highlight w:val="none"/>
        </w:rPr>
      </w:pPr>
      <w:r>
        <w:rPr>
          <w:rFonts w:hint="eastAsia" w:ascii="隶书" w:hAnsi="隶书" w:eastAsia="隶书" w:cs="隶书"/>
          <w:bCs/>
          <w:color w:val="auto"/>
          <w:sz w:val="28"/>
          <w:szCs w:val="28"/>
          <w:highlight w:val="none"/>
        </w:rPr>
        <w:t>招标编号:</w:t>
      </w:r>
      <w:r>
        <w:rPr>
          <w:rFonts w:hint="eastAsia" w:ascii="隶书" w:hAnsi="隶书" w:eastAsia="隶书" w:cs="隶书"/>
          <w:b/>
          <w:color w:val="auto"/>
          <w:sz w:val="28"/>
          <w:szCs w:val="28"/>
          <w:highlight w:val="none"/>
        </w:rPr>
        <w:t>2025-06-0051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wordWrap w:val="0"/>
              <w:spacing w:line="320" w:lineRule="exact"/>
              <w:outlineLvl w:val="0"/>
              <w:rPr>
                <w:rFonts w:ascii="隶书" w:hAnsi="隶书" w:eastAsia="隶书" w:cs="隶书"/>
                <w:color w:val="auto"/>
                <w:sz w:val="28"/>
                <w:szCs w:val="28"/>
                <w:highlight w:val="none"/>
              </w:rPr>
            </w:pPr>
            <w:r>
              <w:rPr>
                <w:rFonts w:hint="eastAsia" w:ascii="隶书" w:hAnsi="隶书" w:eastAsia="隶书" w:cs="隶书"/>
                <w:color w:val="auto"/>
                <w:sz w:val="28"/>
                <w:szCs w:val="28"/>
                <w:highlight w:val="none"/>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隶书" w:eastAsia="隶书" w:cs="隶书"/>
                <w:color w:val="auto"/>
                <w:spacing w:val="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wordWrap w:val="0"/>
              <w:spacing w:after="100" w:afterAutospacing="1" w:line="440" w:lineRule="exact"/>
              <w:rPr>
                <w:rFonts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wordWrap w:val="0"/>
              <w:spacing w:after="100" w:afterAutospacing="1" w:line="440" w:lineRule="exact"/>
              <w:rPr>
                <w:rFonts w:ascii="隶书" w:hAnsi="隶书" w:eastAsia="隶书" w:cs="隶书"/>
                <w:color w:val="auto"/>
                <w:spacing w:val="1400"/>
                <w:kern w:val="0"/>
                <w:sz w:val="28"/>
                <w:szCs w:val="28"/>
                <w:highlight w:val="none"/>
              </w:rPr>
            </w:pPr>
          </w:p>
        </w:tc>
        <w:tc>
          <w:tcPr>
            <w:tcW w:w="5445"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wordWrap w:val="0"/>
              <w:spacing w:after="100" w:afterAutospacing="1" w:line="440" w:lineRule="exact"/>
              <w:jc w:val="center"/>
              <w:rPr>
                <w:rFonts w:ascii="隶书" w:hAnsi="隶书" w:eastAsia="隶书" w:cs="隶书"/>
                <w:color w:val="auto"/>
                <w:sz w:val="28"/>
                <w:szCs w:val="28"/>
                <w:highlight w:val="none"/>
              </w:rPr>
            </w:pPr>
            <w:r>
              <w:rPr>
                <w:rFonts w:hint="eastAsia" w:ascii="隶书" w:hAnsi="隶书" w:eastAsia="隶书" w:cs="隶书"/>
                <w:color w:val="auto"/>
                <w:sz w:val="28"/>
                <w:szCs w:val="28"/>
                <w:highlight w:val="none"/>
              </w:rPr>
              <w:t>二○二五年六月</w:t>
            </w:r>
          </w:p>
        </w:tc>
      </w:tr>
    </w:tbl>
    <w:p>
      <w:pPr>
        <w:pStyle w:val="638"/>
        <w:wordWrap w:val="0"/>
        <w:rPr>
          <w:rFonts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start="1"/>
          <w:cols w:space="720" w:num="1"/>
          <w:titlePg/>
          <w:docGrid w:linePitch="312" w:charSpace="0"/>
        </w:sectPr>
      </w:pPr>
    </w:p>
    <w:p>
      <w:pPr>
        <w:wordWrap w:val="0"/>
        <w:spacing w:line="360" w:lineRule="auto"/>
        <w:jc w:val="center"/>
        <w:rPr>
          <w:rFonts w:ascii="仿宋" w:hAnsi="仿宋" w:eastAsia="仿宋" w:cs="仿宋"/>
          <w:color w:val="auto"/>
          <w:sz w:val="24"/>
          <w:highlight w:val="none"/>
        </w:rPr>
      </w:pPr>
    </w:p>
    <w:p>
      <w:pPr>
        <w:wordWrap w:val="0"/>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wordWrap w:val="0"/>
        <w:spacing w:line="360" w:lineRule="auto"/>
        <w:jc w:val="center"/>
        <w:rPr>
          <w:rFonts w:ascii="仿宋" w:hAnsi="仿宋" w:eastAsia="仿宋" w:cs="仿宋"/>
          <w:b/>
          <w:color w:val="auto"/>
          <w:sz w:val="44"/>
          <w:szCs w:val="44"/>
          <w:highlight w:val="none"/>
        </w:rPr>
      </w:pPr>
    </w:p>
    <w:p>
      <w:pPr>
        <w:wordWrap w:val="0"/>
        <w:spacing w:line="360" w:lineRule="auto"/>
        <w:jc w:val="center"/>
        <w:rPr>
          <w:rFonts w:ascii="仿宋" w:hAnsi="仿宋" w:eastAsia="仿宋" w:cs="仿宋"/>
          <w:color w:val="auto"/>
          <w:highlight w:val="none"/>
        </w:rPr>
      </w:pP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rPr>
          <w:rFonts w:ascii="仿宋" w:hAnsi="仿宋" w:eastAsia="仿宋" w:cs="仿宋"/>
          <w:color w:val="auto"/>
          <w:sz w:val="24"/>
          <w:highlight w:val="none"/>
        </w:rPr>
      </w:pPr>
    </w:p>
    <w:bookmarkEnd w:id="2"/>
    <w:p>
      <w:pPr>
        <w:wordWrap w:val="0"/>
        <w:adjustRightInd/>
        <w:spacing w:line="360" w:lineRule="auto"/>
        <w:jc w:val="center"/>
        <w:outlineLvl w:val="0"/>
        <w:rPr>
          <w:rFonts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07423"/>
      <w:bookmarkEnd w:id="4"/>
      <w:bookmarkStart w:id="5" w:name="_Hlt74728647"/>
      <w:bookmarkEnd w:id="5"/>
      <w:bookmarkStart w:id="6" w:name="_Hlt74729822"/>
      <w:bookmarkEnd w:id="6"/>
      <w:bookmarkStart w:id="7" w:name="第二部分"/>
      <w:bookmarkStart w:id="8" w:name="_Toc91899870"/>
      <w:bookmarkStart w:id="9" w:name="_Toc91899871"/>
    </w:p>
    <w:p>
      <w:pPr>
        <w:wordWrap w:val="0"/>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项目概况：</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rPr>
        <w:t xml:space="preserve"> 绍兴市妇幼保健院超融合等采购项目 </w:t>
      </w:r>
      <w:r>
        <w:rPr>
          <w:rFonts w:hint="eastAsia" w:ascii="仿宋_GB2312" w:hAnsi="仿宋_GB2312" w:eastAsia="仿宋_GB2312" w:cs="仿宋_GB2312"/>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https://www.zcygov.cn/）获取（下载）招标文件，并于2025年</w:t>
      </w:r>
      <w:r>
        <w:rPr>
          <w:rStyle w:val="77"/>
          <w:rFonts w:hint="eastAsia" w:ascii="仿宋_GB2312" w:hAnsi="仿宋_GB2312" w:eastAsia="仿宋_GB2312" w:cs="仿宋_GB2312"/>
          <w:snapToGrid/>
          <w:color w:val="auto"/>
          <w:kern w:val="2"/>
          <w:sz w:val="24"/>
          <w:szCs w:val="24"/>
          <w:highlight w:val="none"/>
          <w:lang w:val="en-US" w:eastAsia="zh-CN"/>
        </w:rPr>
        <w:t>7</w:t>
      </w:r>
      <w:r>
        <w:rPr>
          <w:rStyle w:val="77"/>
          <w:rFonts w:hint="eastAsia" w:ascii="仿宋_GB2312" w:hAnsi="仿宋_GB2312" w:eastAsia="仿宋_GB2312" w:cs="仿宋_GB2312"/>
          <w:snapToGrid/>
          <w:color w:val="auto"/>
          <w:kern w:val="2"/>
          <w:sz w:val="24"/>
          <w:szCs w:val="24"/>
          <w:highlight w:val="none"/>
        </w:rPr>
        <w:t>月</w:t>
      </w:r>
      <w:r>
        <w:rPr>
          <w:rStyle w:val="77"/>
          <w:rFonts w:hint="eastAsia" w:ascii="仿宋_GB2312" w:hAnsi="仿宋_GB2312" w:eastAsia="仿宋_GB2312" w:cs="仿宋_GB2312"/>
          <w:snapToGrid/>
          <w:color w:val="auto"/>
          <w:kern w:val="2"/>
          <w:sz w:val="24"/>
          <w:szCs w:val="24"/>
          <w:highlight w:val="none"/>
          <w:lang w:val="en-US" w:eastAsia="zh-CN"/>
        </w:rPr>
        <w:t>15</w:t>
      </w:r>
      <w:r>
        <w:rPr>
          <w:rStyle w:val="77"/>
          <w:rFonts w:hint="eastAsia" w:ascii="仿宋_GB2312" w:hAnsi="仿宋_GB2312" w:eastAsia="仿宋_GB2312" w:cs="仿宋_GB2312"/>
          <w:snapToGrid/>
          <w:color w:val="auto"/>
          <w:kern w:val="2"/>
          <w:sz w:val="24"/>
          <w:szCs w:val="24"/>
          <w:highlight w:val="none"/>
        </w:rPr>
        <w:t>日</w:t>
      </w:r>
      <w:r>
        <w:rPr>
          <w:rStyle w:val="77"/>
          <w:rFonts w:hint="eastAsia" w:ascii="仿宋_GB2312" w:hAnsi="仿宋_GB2312" w:eastAsia="仿宋_GB2312" w:cs="仿宋_GB2312"/>
          <w:snapToGrid/>
          <w:color w:val="auto"/>
          <w:kern w:val="2"/>
          <w:sz w:val="24"/>
          <w:szCs w:val="24"/>
          <w:highlight w:val="none"/>
          <w:lang w:val="en-US" w:eastAsia="zh-CN"/>
        </w:rPr>
        <w:t>9</w:t>
      </w:r>
      <w:r>
        <w:rPr>
          <w:rStyle w:val="77"/>
          <w:rFonts w:hint="eastAsia" w:ascii="仿宋_GB2312" w:hAnsi="仿宋_GB2312" w:eastAsia="仿宋_GB2312" w:cs="仿宋_GB2312"/>
          <w:snapToGrid/>
          <w:color w:val="auto"/>
          <w:kern w:val="2"/>
          <w:sz w:val="24"/>
          <w:szCs w:val="24"/>
          <w:highlight w:val="none"/>
        </w:rPr>
        <w:t>点</w:t>
      </w:r>
      <w:r>
        <w:rPr>
          <w:rStyle w:val="77"/>
          <w:rFonts w:hint="eastAsia" w:ascii="仿宋_GB2312" w:hAnsi="仿宋_GB2312" w:eastAsia="仿宋_GB2312" w:cs="仿宋_GB2312"/>
          <w:snapToGrid/>
          <w:color w:val="auto"/>
          <w:kern w:val="2"/>
          <w:sz w:val="24"/>
          <w:szCs w:val="24"/>
          <w:highlight w:val="none"/>
          <w:lang w:val="en-US" w:eastAsia="zh-CN"/>
        </w:rPr>
        <w:t>00</w:t>
      </w:r>
      <w:r>
        <w:rPr>
          <w:rStyle w:val="77"/>
          <w:rFonts w:hint="eastAsia" w:ascii="仿宋_GB2312" w:hAnsi="仿宋_GB2312" w:eastAsia="仿宋_GB2312" w:cs="仿宋_GB2312"/>
          <w:snapToGrid/>
          <w:color w:val="auto"/>
          <w:kern w:val="2"/>
          <w:sz w:val="24"/>
          <w:szCs w:val="24"/>
          <w:highlight w:val="none"/>
        </w:rPr>
        <w:t>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rPr>
        <w:t>2025-06-0051</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rPr>
        <w:t>绍兴市妇幼保健院超融合等采购项目</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Cs/>
          <w:color w:val="auto"/>
          <w:sz w:val="24"/>
          <w:highlight w:val="none"/>
        </w:rPr>
        <w:t>600000</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最高限价（元）： </w:t>
      </w:r>
      <w:r>
        <w:rPr>
          <w:rFonts w:hint="eastAsia" w:ascii="仿宋_GB2312" w:hAnsi="仿宋_GB2312" w:eastAsia="仿宋_GB2312" w:cs="仿宋_GB2312"/>
          <w:bCs/>
          <w:color w:val="auto"/>
          <w:sz w:val="24"/>
          <w:highlight w:val="none"/>
        </w:rPr>
        <w:t>600000</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标项一：</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标项名称：超融合等采购项目</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数量：1</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预算金额（元）：600000</w:t>
      </w:r>
    </w:p>
    <w:p>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p>
    <w:p>
      <w:pPr>
        <w:wordWrap w:val="0"/>
        <w:spacing w:line="440" w:lineRule="exact"/>
        <w:ind w:firstLine="482"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wordWrap w:val="0"/>
        <w:spacing w:line="440" w:lineRule="exact"/>
        <w:ind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color w:val="auto"/>
          <w:sz w:val="24"/>
          <w:highlight w:val="none"/>
        </w:rPr>
        <w:t>是，☐否。</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二、申请人的资格要求</w:t>
      </w:r>
    </w:p>
    <w:p>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wordWrap w:val="0"/>
        <w:spacing w:line="440" w:lineRule="exact"/>
        <w:ind w:firstLine="897" w:firstLineChars="374"/>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□货物全部由符合政策要求的中小企业制造，提供中小企业声明函；</w:t>
      </w:r>
    </w:p>
    <w:p>
      <w:pPr>
        <w:wordWrap w:val="0"/>
        <w:spacing w:line="440" w:lineRule="exact"/>
        <w:ind w:firstLine="897" w:firstLineChars="374"/>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4.本项目的特定资格要求：无；</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三、获取招标文件 </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15</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四、提交投标文件截止时间、开标时间和地点</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2025年</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15</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wordWrap w:val="0"/>
        <w:spacing w:line="440" w:lineRule="exact"/>
        <w:ind w:firstLine="482" w:firstLineChars="200"/>
        <w:rPr>
          <w:rFonts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15</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bookmarkStart w:id="63" w:name="_GoBack"/>
      <w:bookmarkEnd w:id="63"/>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五、公告期限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六、其他补充事宜</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七、对本次采购提出询问、质疑、投诉，请按以下方式联系</w:t>
      </w:r>
    </w:p>
    <w:p>
      <w:pPr>
        <w:pStyle w:val="7"/>
        <w:wordWrap w:val="0"/>
        <w:spacing w:line="440" w:lineRule="exact"/>
        <w:ind w:left="0" w:firstLine="482" w:firstLineChars="200"/>
        <w:rPr>
          <w:rFonts w:hAnsi="仿宋_GB2312" w:cs="仿宋_GB2312"/>
          <w:color w:val="auto"/>
          <w:sz w:val="24"/>
          <w:szCs w:val="24"/>
          <w:highlight w:val="none"/>
        </w:rPr>
      </w:pPr>
      <w:bookmarkStart w:id="11" w:name="_Toc35393806"/>
      <w:bookmarkStart w:id="12" w:name="_Toc35393637"/>
      <w:bookmarkStart w:id="13" w:name="_Toc28359019"/>
      <w:bookmarkStart w:id="14" w:name="_Toc28359096"/>
      <w:r>
        <w:rPr>
          <w:rFonts w:hint="eastAsia" w:hAnsi="仿宋_GB2312" w:cs="仿宋_GB2312"/>
          <w:color w:val="auto"/>
          <w:sz w:val="24"/>
          <w:szCs w:val="24"/>
          <w:highlight w:val="none"/>
        </w:rPr>
        <w:t>1.采购人信息</w:t>
      </w:r>
      <w:bookmarkEnd w:id="11"/>
      <w:bookmarkEnd w:id="12"/>
      <w:bookmarkEnd w:id="13"/>
      <w:bookmarkEnd w:id="14"/>
      <w:r>
        <w:rPr>
          <w:rFonts w:hint="eastAsia" w:hAnsi="仿宋_GB2312" w:cs="仿宋_GB2312"/>
          <w:color w:val="auto"/>
          <w:sz w:val="24"/>
          <w:szCs w:val="24"/>
          <w:highlight w:val="none"/>
        </w:rPr>
        <w:t>：</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    称：绍兴市妇幼保健院</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址：绍兴市越城区凤林东路222号</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项目联系人（询问）：吴寒夕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项目联系方式（询问）：0575-88217200</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质疑联系人：孔月华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质疑联系方式：0575-88217331</w:t>
      </w:r>
    </w:p>
    <w:p>
      <w:pPr>
        <w:pStyle w:val="7"/>
        <w:wordWrap w:val="0"/>
        <w:spacing w:line="440" w:lineRule="exact"/>
        <w:ind w:left="0" w:firstLine="482" w:firstLineChars="200"/>
        <w:rPr>
          <w:rFonts w:hAnsi="仿宋_GB2312" w:cs="仿宋_GB2312"/>
          <w:color w:val="auto"/>
          <w:sz w:val="24"/>
          <w:szCs w:val="24"/>
          <w:highlight w:val="none"/>
        </w:rPr>
      </w:pPr>
      <w:bookmarkStart w:id="15" w:name="_Toc35393638"/>
      <w:bookmarkStart w:id="16" w:name="_Toc28359097"/>
      <w:bookmarkStart w:id="17" w:name="_Toc35393807"/>
      <w:bookmarkStart w:id="18" w:name="_Toc28359020"/>
      <w:r>
        <w:rPr>
          <w:rFonts w:hint="eastAsia" w:hAnsi="仿宋_GB2312" w:cs="仿宋_GB2312"/>
          <w:color w:val="auto"/>
          <w:sz w:val="24"/>
          <w:szCs w:val="24"/>
          <w:highlight w:val="none"/>
        </w:rPr>
        <w:t>2.采购代理机构信息</w:t>
      </w:r>
      <w:bookmarkEnd w:id="15"/>
      <w:bookmarkEnd w:id="16"/>
      <w:bookmarkEnd w:id="17"/>
      <w:bookmarkEnd w:id="18"/>
      <w:r>
        <w:rPr>
          <w:rFonts w:hint="eastAsia" w:hAnsi="仿宋_GB2312" w:cs="仿宋_GB2312"/>
          <w:color w:val="auto"/>
          <w:sz w:val="24"/>
          <w:szCs w:val="24"/>
          <w:highlight w:val="none"/>
        </w:rPr>
        <w:t>：</w:t>
      </w:r>
    </w:p>
    <w:p>
      <w:pPr>
        <w:wordWrap w:val="0"/>
        <w:spacing w:line="440" w:lineRule="exact"/>
        <w:ind w:firstLine="480" w:firstLineChars="200"/>
        <w:rPr>
          <w:rFonts w:ascii="仿宋_GB2312" w:hAnsi="仿宋_GB2312" w:eastAsia="仿宋_GB2312" w:cs="仿宋_GB2312"/>
          <w:color w:val="auto"/>
          <w:sz w:val="24"/>
          <w:highlight w:val="none"/>
        </w:rPr>
      </w:pPr>
      <w:bookmarkStart w:id="19" w:name="_Toc35393639"/>
      <w:bookmarkStart w:id="20" w:name="_Toc28359021"/>
      <w:bookmarkStart w:id="21" w:name="_Toc28359098"/>
      <w:bookmarkStart w:id="22" w:name="_Toc35393808"/>
      <w:r>
        <w:rPr>
          <w:rFonts w:hint="eastAsia" w:ascii="仿宋_GB2312" w:hAnsi="仿宋_GB2312" w:eastAsia="仿宋_GB2312" w:cs="仿宋_GB2312"/>
          <w:color w:val="auto"/>
          <w:sz w:val="24"/>
          <w:highlight w:val="none"/>
        </w:rPr>
        <w:t>名称：绍兴市公共资源交易中心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地址：绍兴市越城区洋江西路699号</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传真：</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质疑联系方式：0575-88307026 　　</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名称：绍兴市财政局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地址：绍兴市越城区凤林西路151号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传真：0575-85209697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联系人 ：张婷婷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监督投诉电话：0575-85209697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wordWrap w:val="0"/>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wordWrap w:val="0"/>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wordWrap w:val="0"/>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wordWrap w:val="0"/>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wordWrap w:val="0"/>
              <w:autoSpaceDE w:val="0"/>
              <w:autoSpaceDN w:val="0"/>
              <w:spacing w:line="440" w:lineRule="exact"/>
              <w:textAlignment w:val="bottom"/>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wordWrap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hint="eastAsia" w:ascii="仿宋_GB2312" w:hAnsi="仿宋_GB2312" w:eastAsia="仿宋_GB2312" w:cs="仿宋_GB2312"/>
                <w:color w:val="auto"/>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wordWrap w:val="0"/>
              <w:spacing w:line="440" w:lineRule="exact"/>
              <w:ind w:firstLine="720" w:firstLineChars="3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w:t>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wordWrap w:val="0"/>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wordWrap w:val="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hint="eastAsia" w:ascii="仿宋_GB2312" w:hAnsi="仿宋_GB2312" w:eastAsia="仿宋_GB2312" w:cs="仿宋_GB2312"/>
                    <w:color w:val="auto"/>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wordWrap w:val="0"/>
              <w:autoSpaceDE w:val="0"/>
              <w:autoSpaceDN w:val="0"/>
              <w:spacing w:line="440" w:lineRule="exact"/>
              <w:textAlignment w:val="bottom"/>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□B要求提供，</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wordWrap w:val="0"/>
              <w:autoSpaceDE w:val="0"/>
              <w:autoSpaceDN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2"/>
              <w:wordWrap w:val="0"/>
              <w:rPr>
                <w:rFonts w:hAnsi="仿宋_GB2312"/>
                <w:color w:val="auto"/>
                <w:highlight w:val="none"/>
              </w:rPr>
            </w:pPr>
            <w:r>
              <w:rPr>
                <w:rFonts w:hint="eastAsia" w:hAnsi="仿宋_GB2312"/>
                <w:b/>
                <w:bCs/>
                <w:color w:val="auto"/>
                <w:highlight w:val="none"/>
              </w:rPr>
              <w:t>（8）未按招标文件要求提供样品或提供样品不满足采购需求实质性条件的，投标无效。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方案讲解演示：</w:t>
            </w:r>
          </w:p>
          <w:p>
            <w:pPr>
              <w:tabs>
                <w:tab w:val="center" w:pos="4077"/>
              </w:tabs>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☑A无方案讲解演示。</w:t>
            </w:r>
            <w:r>
              <w:rPr>
                <w:rFonts w:hint="eastAsia" w:ascii="仿宋_GB2312" w:hAnsi="仿宋_GB2312" w:eastAsia="仿宋_GB2312" w:cs="仿宋_GB2312"/>
                <w:color w:val="auto"/>
                <w:sz w:val="24"/>
                <w:highlight w:val="none"/>
              </w:rPr>
              <w:tab/>
            </w:r>
          </w:p>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□B有方案讲解演示：</w:t>
            </w:r>
          </w:p>
          <w:p>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分钟，讲解次序以投标文件解密时间先后次序为准。讲解演示结束后按要求解答评标委员会提问。</w:t>
            </w:r>
          </w:p>
          <w:p>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（2）方案讲解演示可选择以下其中一种方式：</w:t>
            </w:r>
          </w:p>
          <w:p>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方式一：政采云平台在线讲解演示。政采云平台在线讲解需供应商根据政采云平台操作要求做好准备工作，提前完善软硬件配置环境。</w:t>
            </w:r>
          </w:p>
          <w:p>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wordWrap w:val="0"/>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38" w:type="dxa"/>
            <w:vAlign w:val="center"/>
          </w:tcPr>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本项目不允许采购进口产品。</w:t>
            </w:r>
          </w:p>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wordWrap w:val="0"/>
              <w:snapToGrid w:val="0"/>
              <w:spacing w:line="440" w:lineRule="exact"/>
              <w:ind w:left="1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超融合服务器   </w:t>
            </w:r>
            <w:r>
              <w:rPr>
                <w:rFonts w:hint="eastAsia" w:ascii="仿宋_GB2312" w:hAnsi="仿宋_GB2312" w:eastAsia="仿宋_GB2312" w:cs="仿宋_GB2312"/>
                <w:color w:val="auto"/>
                <w:sz w:val="24"/>
                <w:highlight w:val="none"/>
              </w:rPr>
              <w:t>。</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wordWrap w:val="0"/>
              <w:snapToGrid w:val="0"/>
              <w:spacing w:line="440" w:lineRule="exact"/>
              <w:ind w:hanging="1"/>
              <w:jc w:val="center"/>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wordWrap w:val="0"/>
              <w:snapToGrid w:val="0"/>
              <w:spacing w:line="440" w:lineRule="exact"/>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 w:eastAsia="仿宋_GB2312" w:cs="仿宋"/>
                <w:color w:val="auto"/>
                <w:kern w:val="0"/>
                <w:sz w:val="24"/>
                <w:highlight w:val="none"/>
                <w:u w:val="single"/>
              </w:rPr>
              <w:t>01标</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工业   </w:t>
            </w:r>
            <w:r>
              <w:rPr>
                <w:rFonts w:hint="eastAsia" w:ascii="仿宋_GB2312" w:hAnsi="仿宋_GB2312" w:eastAsia="仿宋_GB2312" w:cs="仿宋_GB2312"/>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pPr>
              <w:wordWrap w:val="0"/>
              <w:snapToGrid w:val="0"/>
              <w:spacing w:line="440" w:lineRule="exact"/>
              <w:rPr>
                <w:rFonts w:ascii="仿宋_GB2312" w:hAnsi="仿宋_GB2312" w:eastAsia="仿宋_GB2312" w:cs="仿宋_GB2312"/>
                <w:b/>
                <w:color w:val="auto"/>
                <w:sz w:val="24"/>
                <w:highlight w:val="none"/>
              </w:rPr>
            </w:pPr>
          </w:p>
        </w:tc>
        <w:tc>
          <w:tcPr>
            <w:tcW w:w="7638" w:type="dxa"/>
            <w:vAlign w:val="center"/>
          </w:tcPr>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pPr>
              <w:wordWrap w:val="0"/>
              <w:snapToGrid w:val="0"/>
              <w:spacing w:line="440" w:lineRule="exact"/>
              <w:rPr>
                <w:rFonts w:ascii="仿宋_GB2312" w:hAnsi="仿宋_GB2312" w:eastAsia="仿宋_GB2312" w:cs="仿宋_GB2312"/>
                <w:b/>
                <w:color w:val="auto"/>
                <w:sz w:val="24"/>
                <w:highlight w:val="none"/>
              </w:rPr>
            </w:pPr>
          </w:p>
        </w:tc>
        <w:tc>
          <w:tcPr>
            <w:tcW w:w="7638" w:type="dxa"/>
            <w:vAlign w:val="center"/>
          </w:tcPr>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经查询列入失信被执行人名单、重大税收违法失信主体、政府采购严重违法失信行为记录名单的投标人将被拒绝参与政府采购活动。</w:t>
            </w:r>
          </w:p>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8493" w:type="dxa"/>
            <w:gridSpan w:val="2"/>
            <w:vAlign w:val="center"/>
          </w:tcPr>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8493" w:type="dxa"/>
            <w:gridSpan w:val="2"/>
            <w:vAlign w:val="center"/>
          </w:tcPr>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8493" w:type="dxa"/>
            <w:gridSpan w:val="2"/>
            <w:vAlign w:val="center"/>
          </w:tcPr>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wordWrap w:val="0"/>
              <w:snapToGrid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w:t>
            </w:r>
          </w:p>
        </w:tc>
        <w:tc>
          <w:tcPr>
            <w:tcW w:w="8493" w:type="dxa"/>
            <w:gridSpan w:val="2"/>
            <w:vAlign w:val="center"/>
          </w:tcPr>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wordWrap w:val="0"/>
              <w:spacing w:line="440" w:lineRule="exact"/>
              <w:rPr>
                <w:rFonts w:ascii="仿宋_GB2312" w:hAnsi="仿宋_GB2312" w:eastAsia="仿宋_GB2312" w:cs="仿宋_GB2312"/>
                <w:color w:val="auto"/>
                <w:sz w:val="24"/>
                <w:highlight w:val="none"/>
              </w:rPr>
            </w:pPr>
          </w:p>
        </w:tc>
        <w:tc>
          <w:tcPr>
            <w:tcW w:w="8493" w:type="dxa"/>
            <w:gridSpan w:val="2"/>
            <w:vAlign w:val="center"/>
          </w:tcPr>
          <w:p>
            <w:pPr>
              <w:wordWrap w:val="0"/>
              <w:spacing w:line="440" w:lineRule="exact"/>
              <w:rPr>
                <w:rFonts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w:t>
            </w:r>
          </w:p>
        </w:tc>
        <w:tc>
          <w:tcPr>
            <w:tcW w:w="8493" w:type="dxa"/>
            <w:gridSpan w:val="2"/>
            <w:vAlign w:val="center"/>
          </w:tcPr>
          <w:p>
            <w:pPr>
              <w:wordWrap w:val="0"/>
              <w:spacing w:line="440" w:lineRule="exact"/>
              <w:rPr>
                <w:rFonts w:ascii="仿宋_GB2312" w:hAnsi="仿宋_GB2312" w:eastAsia="仿宋_GB2312" w:cs="仿宋_GB2312"/>
                <w:color w:val="auto"/>
                <w:kern w:val="0"/>
                <w:sz w:val="24"/>
                <w:szCs w:val="21"/>
                <w:highlight w:val="none"/>
              </w:rPr>
            </w:pPr>
            <w:r>
              <w:rPr>
                <w:rFonts w:hint="eastAsia" w:ascii="仿宋_GB2312" w:hAnsi="仿宋_GB2312" w:eastAsia="仿宋_GB2312" w:cs="仿宋_GB2312"/>
                <w:b/>
                <w:color w:val="auto"/>
                <w:sz w:val="24"/>
                <w:highlight w:val="none"/>
              </w:rPr>
              <w:t>采购代理服务费：无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pageBreakBefore/>
        <w:wordWrap w:val="0"/>
        <w:adjustRightInd/>
        <w:spacing w:line="360" w:lineRule="auto"/>
        <w:jc w:val="center"/>
        <w:outlineLvl w:val="0"/>
        <w:rPr>
          <w:rFonts w:ascii="仿宋_GB2312" w:hAnsi="仿宋_GB2312" w:eastAsia="仿宋_GB2312" w:cs="仿宋_GB2312"/>
          <w:b/>
          <w:color w:val="auto"/>
          <w:sz w:val="32"/>
          <w:szCs w:val="32"/>
          <w:highlight w:val="none"/>
        </w:rPr>
      </w:pPr>
      <w:bookmarkStart w:id="23" w:name="_Hlt74730295"/>
      <w:bookmarkEnd w:id="23"/>
      <w:bookmarkStart w:id="24" w:name="_Hlt75236101"/>
      <w:bookmarkEnd w:id="24"/>
      <w:bookmarkStart w:id="25" w:name="_Hlt74729768"/>
      <w:bookmarkEnd w:id="25"/>
      <w:bookmarkStart w:id="26" w:name="_Hlt68057669"/>
      <w:bookmarkEnd w:id="26"/>
      <w:bookmarkStart w:id="27" w:name="_Hlt74714665"/>
      <w:bookmarkEnd w:id="27"/>
      <w:bookmarkStart w:id="28" w:name="_Hlt75236290"/>
      <w:bookmarkEnd w:id="28"/>
      <w:bookmarkStart w:id="29" w:name="_Hlt68072990"/>
      <w:bookmarkEnd w:id="29"/>
      <w:bookmarkStart w:id="30" w:name="_Hlt68072998"/>
      <w:bookmarkEnd w:id="30"/>
      <w:bookmarkStart w:id="31" w:name="_Hlt68403820"/>
      <w:bookmarkEnd w:id="31"/>
      <w:bookmarkStart w:id="32" w:name="_Hlt68073093"/>
      <w:bookmarkEnd w:id="32"/>
      <w:bookmarkStart w:id="33" w:name="_Hlt74707468"/>
      <w:bookmarkEnd w:id="33"/>
      <w:bookmarkStart w:id="34" w:name="_Hlt75236011"/>
      <w:bookmarkEnd w:id="34"/>
      <w:bookmarkStart w:id="35" w:name="_Toc164416483"/>
      <w:bookmarkStart w:id="36" w:name="第三部分"/>
      <w:r>
        <w:rPr>
          <w:rFonts w:hint="eastAsia" w:ascii="仿宋_GB2312" w:hAnsi="仿宋_GB2312" w:eastAsia="仿宋_GB2312" w:cs="仿宋_GB2312"/>
          <w:b/>
          <w:color w:val="auto"/>
          <w:sz w:val="32"/>
          <w:szCs w:val="32"/>
          <w:highlight w:val="none"/>
        </w:rPr>
        <w:t>一、总则</w:t>
      </w:r>
    </w:p>
    <w:p>
      <w:pPr>
        <w:wordWrap w:val="0"/>
        <w:snapToGrid w:val="0"/>
        <w:spacing w:line="440" w:lineRule="exact"/>
        <w:ind w:firstLine="482" w:firstLineChars="200"/>
        <w:jc w:val="left"/>
        <w:outlineLvl w:val="1"/>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wordWrap w:val="0"/>
        <w:adjustRightInd/>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“采购代理机构”系指招标公告中载明的本项目的采购代理机构。</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2.4“监督单位”系指政府采购法定义监督管理部门。</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 “负责人”系指法人企业的法定负责人，或其他组织为法律、行政法规规定代表单位行使职权的主要负责人，或自然人本人。</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2.7“电子交易平台”系指本项目政府采购活动所依托的政府采购云平台（https://www.zcygov.cn/）。</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rPr>
        <w:t>☑</w:t>
      </w:r>
      <w:r>
        <w:rPr>
          <w:rFonts w:hint="eastAsia" w:ascii="仿宋_GB2312" w:hAnsi="仿宋_GB2312" w:eastAsia="仿宋_GB2312" w:cs="仿宋_GB2312"/>
          <w:color w:val="auto"/>
          <w:sz w:val="24"/>
          <w:highlight w:val="none"/>
        </w:rPr>
        <w:t>” 系指适用本项目的要求，“☐” 系指不适用本项目的要求。</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wordWrap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wordWrap w:val="0"/>
        <w:rPr>
          <w:rFonts w:hAnsi="仿宋_GB2312"/>
          <w:color w:val="auto"/>
          <w:highlight w:val="none"/>
        </w:rPr>
      </w:pPr>
    </w:p>
    <w:p>
      <w:pPr>
        <w:pStyle w:val="133"/>
        <w:wordWrap w:val="0"/>
        <w:snapToGrid w:val="0"/>
        <w:spacing w:before="0" w:line="440" w:lineRule="exact"/>
        <w:ind w:firstLine="640"/>
        <w:rPr>
          <w:rFonts w:ascii="仿宋_GB2312" w:hAnsi="仿宋_GB2312" w:eastAsia="仿宋_GB2312" w:cs="仿宋_GB2312"/>
          <w:color w:val="auto"/>
          <w:sz w:val="32"/>
          <w:szCs w:val="32"/>
          <w:highlight w:val="none"/>
        </w:rPr>
      </w:pPr>
    </w:p>
    <w:p>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3"/>
        <w:wordWrap w:val="0"/>
        <w:snapToGrid w:val="0"/>
        <w:spacing w:line="440" w:lineRule="exact"/>
        <w:ind w:firstLine="482"/>
        <w:jc w:val="left"/>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2.授权委托</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本项目为电子投标项目，投标人的法定代表人或其授权代表或个体工商户不需要参加现场投标和开标。</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投标人应自行承担编制投标文件及参加本次投标所涉及的一切费用。不管投标结果如何，招标人对上述费用不负任何责任。</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4.1招标文件包括本招标文件及所有的招标答疑记录（澄清、修改）和发出的补充通知。</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4.2招标文件的澄清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4.3招标文件的修改</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wordWrap w:val="0"/>
        <w:rPr>
          <w:rFonts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三、投标文件</w:t>
      </w:r>
    </w:p>
    <w:p>
      <w:pPr>
        <w:wordWrap w:val="0"/>
        <w:snapToGrid w:val="0"/>
        <w:spacing w:line="44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1.投标文件的语言、计量单位、形式及效力</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wordWrap w:val="0"/>
        <w:spacing w:line="440" w:lineRule="exact"/>
        <w:ind w:firstLine="482" w:firstLineChars="200"/>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2.投标文件的组成</w:t>
      </w:r>
    </w:p>
    <w:p>
      <w:pPr>
        <w:wordWrap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投标文件由“资格文件”、“商务技术文件资料”、“报价文件资料”三部分组成，其中</w:t>
      </w:r>
      <w:r>
        <w:rPr>
          <w:rFonts w:hint="eastAsia" w:ascii="仿宋_GB2312" w:hAnsi="仿宋_GB2312" w:eastAsia="仿宋_GB2312" w:cs="仿宋_GB2312"/>
          <w:b/>
          <w:color w:val="auto"/>
          <w:sz w:val="24"/>
          <w:highlight w:val="none"/>
        </w:rPr>
        <w:t>电子投标文件中所须加盖公章部分均应采用电子签章。</w:t>
      </w:r>
    </w:p>
    <w:p>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zh-CN"/>
        </w:rPr>
        <w:t>.1资格文件：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2.1.1符合参加政府采购活动应当具备的一般条件的承诺函；</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2.1.2联合协议（如果有)；</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2.1.4落实政府采购政策需满足的资格要求（如果有)；</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2.1.5本项目的特定资格要求（如果有)。</w:t>
      </w:r>
    </w:p>
    <w:p>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2.2.1投标函；</w:t>
      </w:r>
      <w:r>
        <w:rPr>
          <w:rFonts w:hint="eastAsia" w:ascii="仿宋_GB2312" w:hAnsi="仿宋_GB2312" w:eastAsia="仿宋_GB2312" w:cs="仿宋_GB2312"/>
          <w:color w:val="auto"/>
          <w:sz w:val="24"/>
          <w:highlight w:val="none"/>
          <w:lang w:val="zh-CN"/>
        </w:rPr>
        <w:t xml:space="preserve"> </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wordWrap w:val="0"/>
        <w:snapToGrid w:val="0"/>
        <w:spacing w:line="336" w:lineRule="auto"/>
        <w:ind w:firstLine="480" w:firstLineChars="200"/>
        <w:rPr>
          <w:rFonts w:ascii="仿宋_GB2312" w:hAnsi="仿宋_GB2312" w:eastAsia="仿宋_GB2312" w:cs="仿宋_GB2312"/>
          <w:b/>
          <w:bCs/>
          <w:color w:val="auto"/>
          <w:highlight w:val="none"/>
        </w:rPr>
      </w:pPr>
      <w:r>
        <w:rPr>
          <w:rFonts w:hint="eastAsia" w:ascii="仿宋_GB2312" w:hAnsi="仿宋_GB2312" w:eastAsia="仿宋_GB2312" w:cs="仿宋_GB2312"/>
          <w:color w:val="auto"/>
          <w:sz w:val="24"/>
          <w:highlight w:val="none"/>
        </w:rPr>
        <w:t>2.2.3法定代表人及其授权代表身份证复印件；</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2.2.4授权代表社保证明；</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2.2.5法定代表人身份证明书；</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2.2.7廉政承诺书（格式见第六部分附件）；</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2.2.9供应商应提供针对项目的完整技术解决方案：</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针对本项目的完整技术解决方案和实施方案；详细阐述项目方案的实现思路及关键技术；符合本项目对当前和未来发展的要求；以及对功能设计和实施计划的建议；</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本项目如需采购政府强制采购的节能产品的或投标人提供的产品是环境标志产品，投标人须按格式提供节能产品、环境标志产品认证证书复印件。</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2.2.12供应商售后服务证明材料：由供应商根据本项目要求提供相应的售后服务证明材料或售后服务承诺；</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2.2.16培训计划（如有）；</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2.2.17验收方案；</w:t>
      </w:r>
    </w:p>
    <w:p>
      <w:pPr>
        <w:wordWrap w:val="0"/>
        <w:snapToGrid w:val="0"/>
        <w:spacing w:line="336" w:lineRule="auto"/>
        <w:ind w:firstLine="480" w:firstLineChars="200"/>
        <w:rPr>
          <w:rFonts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wordWrap w:val="0"/>
        <w:snapToGrid w:val="0"/>
        <w:spacing w:line="336" w:lineRule="auto"/>
        <w:ind w:firstLine="480" w:firstLineChars="200"/>
        <w:rPr>
          <w:rFonts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2.2.19投标人需要说明的其他文件和说明（格式自拟）。</w:t>
      </w:r>
    </w:p>
    <w:p>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2.3.1开标一览表（报价表）；</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2.3.2中小企业声明函（如有）。</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sz w:val="24"/>
          <w:highlight w:val="none"/>
        </w:rPr>
        <w:t>2.3.3 残疾人福利性单位声明函（如有）</w:t>
      </w:r>
    </w:p>
    <w:p>
      <w:pPr>
        <w:wordWrap w:val="0"/>
        <w:snapToGrid w:val="0"/>
        <w:spacing w:line="440" w:lineRule="exact"/>
        <w:ind w:firstLine="482" w:firstLineChars="200"/>
        <w:rPr>
          <w:rFonts w:ascii="仿宋_GB2312" w:hAnsi="仿宋_GB2312" w:eastAsia="仿宋_GB2312" w:cs="仿宋_GB2312"/>
          <w:b/>
          <w:bCs/>
          <w:color w:val="auto"/>
          <w:sz w:val="32"/>
          <w:highlight w:val="none"/>
        </w:rPr>
      </w:pPr>
      <w:r>
        <w:rPr>
          <w:rFonts w:hint="eastAsia" w:ascii="仿宋_GB2312" w:hAnsi="仿宋_GB2312" w:eastAsia="仿宋_GB2312" w:cs="仿宋_GB2312"/>
          <w:b/>
          <w:bCs/>
          <w:color w:val="auto"/>
          <w:sz w:val="24"/>
          <w:szCs w:val="20"/>
          <w:highlight w:val="none"/>
        </w:rPr>
        <w:t>3.投标报价</w:t>
      </w:r>
    </w:p>
    <w:p>
      <w:pPr>
        <w:wordWrap w:val="0"/>
        <w:snapToGrid w:val="0"/>
        <w:spacing w:line="440" w:lineRule="exact"/>
        <w:ind w:firstLine="480"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3.1报价为采购人可以合格使用产品的价格，包括货款、包装、运输、保险、货到就位以及安装、调试、培训、保修及产品知识产权等一切费用。</w:t>
      </w:r>
    </w:p>
    <w:p>
      <w:pPr>
        <w:wordWrap w:val="0"/>
        <w:snapToGrid w:val="0"/>
        <w:spacing w:line="440" w:lineRule="exact"/>
        <w:ind w:firstLine="480"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3.2招标文件未列明，而投标人认为必需的费用也需列入报价。</w:t>
      </w:r>
    </w:p>
    <w:p>
      <w:pPr>
        <w:wordWrap w:val="0"/>
        <w:snapToGrid w:val="0"/>
        <w:spacing w:line="440" w:lineRule="exact"/>
        <w:ind w:firstLine="480"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3.3投标报价只允许有一个报价，有选择的报价将不予接受（除指定外）。</w:t>
      </w:r>
    </w:p>
    <w:p>
      <w:pPr>
        <w:wordWrap w:val="0"/>
        <w:snapToGrid w:val="0"/>
        <w:spacing w:line="440" w:lineRule="exact"/>
        <w:ind w:firstLine="480"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3.4投标人提供虚假材料投标的，投标无效。</w:t>
      </w:r>
    </w:p>
    <w:p>
      <w:pPr>
        <w:pStyle w:val="133"/>
        <w:wordWrap w:val="0"/>
        <w:snapToGrid w:val="0"/>
        <w:spacing w:before="0" w:line="440" w:lineRule="exact"/>
        <w:ind w:firstLine="482"/>
        <w:outlineLvl w:val="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投标文件的编制和</w:t>
      </w:r>
      <w:r>
        <w:rPr>
          <w:rFonts w:hint="eastAsia" w:ascii="仿宋_GB2312" w:hAnsi="仿宋_GB2312" w:eastAsia="仿宋_GB2312" w:cs="仿宋_GB2312"/>
          <w:b/>
          <w:color w:val="auto"/>
          <w:highlight w:val="none"/>
        </w:rPr>
        <w:t>签署</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3"/>
        <w:wordWrap w:val="0"/>
        <w:spacing w:before="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5.投标文件的提交、补充、修改、撤回</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wordWrap w:val="0"/>
        <w:spacing w:line="440" w:lineRule="exact"/>
        <w:ind w:firstLine="482"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b/>
          <w:bCs/>
          <w:color w:val="auto"/>
          <w:sz w:val="24"/>
          <w:highlight w:val="none"/>
        </w:rPr>
        <w:t>6.投标有效期</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6.1投标有效期为从提交投标文件的截止之日起90天。投标人的投标文件中承诺的投标有效期少于招标文件中载明的投标有效期的，投标无效。</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6.2投标文件合格投递后，自投标截止日期起，在投标有效期内有效。在投标截止时间起至投标有效期届满，供应商投标文件不可撤销。</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wordWrap w:val="0"/>
        <w:spacing w:line="360" w:lineRule="auto"/>
        <w:jc w:val="center"/>
        <w:rPr>
          <w:rFonts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1.1投标截止时间后，主持人宣布开标会开始。</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1.2投标人登录政采云平台，用“项目采购-开标评标”功能对电子投标文件进行在线解密。在线解密电子投标文件时间为开标时间起30分钟内。</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1.3评标委员会对资格和商务技术响应文件进行评审。</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1.4主持人宣布商务技术得分及无效（废）投标情形（如有），公布经商务技术（资信）评审符合招标文件要求的投标人名单及其商务技术得分。</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1.6评标委员会对投标文件报价文件资料进行评审，核准投标报价及计算价格分，汇总商务技术分、价格分，根据得分排序确定中标候选人。</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1.7主持人公布评标结果。</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2.1电子交易平台发生故障而无法登录访问的； </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2.2电子交易平台应用或数据库出现错误，不能进行正常操作的；</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2.3电子交易平台发现严重安全漏洞，有潜在泄密危险的；</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2.4病毒发作导致不能进行正常操作的； </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2.5其他无法保证电子交易的公平、公正和安全的情况。</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3.1评标委员会由招标采购单位依法组建，负责评标活动。评标委员会遵循公开、公平、公正、科学合理、竞争择优的原则。</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3.2评标委员会由采购人代表和有关方面的专家组成，成员人数为五人以上单数。</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3.3评标委员会负责对投标人资格的最终审定。</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供应商通过政采云平台交换的数据电文必须进行电子签章。</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3.6评标委员会对投标文件的判定，只依据投标文件和招标文件内容本身，不依据任何外来证明。</w:t>
      </w:r>
    </w:p>
    <w:p>
      <w:pPr>
        <w:wordWrap w:val="0"/>
        <w:snapToGrid w:val="0"/>
        <w:spacing w:line="440" w:lineRule="exact"/>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3.7评标委员会不向落标方解释落标的原因。</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4.1资格性审查</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4.1.1依据法律、法规和招标文件规定，采购人或采购人代表对投标人进行资格审查，以确定投标人是否具备投标资格。</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4.2符合性审查</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5.1投标文件中开标一览表（报价表）内容与投标文件中相应内容不一致的，以开标一览表（报价表）为准；</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5.2大写金额和小写金额不一致的，以大写金额为准；</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5.3单价金额小数点或者百分比有明显错位的，以开标一览表的总价为准，并修改单价；</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5.4总价金额与按单价汇总金额不一致的，以单价金额计算结果为准。</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6.1评标委员会将对在实质上响应招标文件要求的投标文件进行评估和比较。</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6.3在评标过程中，如发现与招标文件要求相偏离的，评标委员会可对其偏离情形进行必要的核实。</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6.4在评审过程中，如属于实质性偏离或符合无效响应条件的，应当询问相关投标人，并可对其通过政采云平台进行线上确认，但不允许对偏离条款进行补充、修正或撤回。</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6.5比较与评价。评标委员会应当按照评标标准，对符合性审查合格的投标文件进行商务和技术评估，综合比较与评价。</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6.6汇总（商务技术得分情况）。评标委员会各成员应当独立对每个投标人的商务技术文件进行评价，并汇总商务技术得分情况。</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 报价审核。对符合采购需求且通过商务技术（资信）评审的投标人的报价的合理性、准确性等进行审查核实。</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6.7.3如需投标价格修正，按财政部87号令第五十九条的规定对投标价格进行修正。</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9"/>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9"/>
        <w:widowControl w:val="0"/>
        <w:tabs>
          <w:tab w:val="clear" w:pos="390"/>
          <w:tab w:val="clear" w:pos="454"/>
        </w:tabs>
        <w:wordWrap w:val="0"/>
        <w:spacing w:after="120" w:line="440" w:lineRule="exact"/>
        <w:ind w:left="0"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wordWrap w:val="0"/>
        <w:snapToGrid w:val="0"/>
        <w:spacing w:line="440" w:lineRule="exact"/>
        <w:ind w:firstLine="482" w:firstLineChars="200"/>
        <w:jc w:val="left"/>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tabs>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wordWrap w:val="0"/>
        <w:snapToGrid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8.25未按招标文件要求提供样品或提供样品不满足采购需求实质性条件的；</w:t>
      </w:r>
    </w:p>
    <w:p>
      <w:pPr>
        <w:wordWrap w:val="0"/>
        <w:snapToGrid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8.26参与同一个采购包(标段)的供应商存在下列情形之一的其投标(响应)文件无效:</w:t>
      </w:r>
    </w:p>
    <w:p>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8.26.1不同供应商的电子投标(响应)文件上传计算机的网卡MAC地址、CPU序列号和硬盘序列号等硬件信息相同的;</w:t>
      </w:r>
    </w:p>
    <w:p>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8.26.2上传的电子投标(响应)文件若出现使用本项目其他投标(响应)供应商的数字证书加密的，或者加盖本项目其他投标(响应)供应商的电子印章的;</w:t>
      </w:r>
    </w:p>
    <w:p>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8.26.3不同供应商的投标(响应)文件的内容存在三处(含)以上错误一致，且无法合理解释的;</w:t>
      </w:r>
    </w:p>
    <w:p>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8.26.4不同供应商联系人为同一人或不同联系人的联系电话一致，且无法合理解释的。</w:t>
      </w:r>
    </w:p>
    <w:p>
      <w:pPr>
        <w:wordWrap w:val="0"/>
        <w:snapToGrid w:val="0"/>
        <w:spacing w:line="440" w:lineRule="exact"/>
        <w:ind w:firstLine="482"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8.27其他违反法律、法规的情形。</w:t>
      </w:r>
    </w:p>
    <w:p>
      <w:pPr>
        <w:wordWrap w:val="0"/>
        <w:snapToGrid w:val="0"/>
        <w:spacing w:line="440" w:lineRule="exact"/>
        <w:ind w:firstLine="482" w:firstLineChars="200"/>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wordWrap w:val="0"/>
        <w:snapToGrid w:val="0"/>
        <w:spacing w:line="360" w:lineRule="auto"/>
        <w:ind w:firstLine="482" w:firstLineChars="150"/>
        <w:jc w:val="center"/>
        <w:rPr>
          <w:rFonts w:ascii="仿宋_GB2312" w:hAnsi="仿宋_GB2312" w:eastAsia="仿宋_GB2312" w:cs="仿宋_GB2312"/>
          <w:b/>
          <w:color w:val="auto"/>
          <w:sz w:val="32"/>
          <w:highlight w:val="none"/>
        </w:rPr>
      </w:pPr>
    </w:p>
    <w:bookmarkEnd w:id="37"/>
    <w:p>
      <w:pPr>
        <w:pStyle w:val="34"/>
        <w:wordWrap w:val="0"/>
        <w:spacing w:line="360" w:lineRule="auto"/>
        <w:ind w:firstLine="726"/>
        <w:jc w:val="center"/>
        <w:rPr>
          <w:rFonts w:ascii="仿宋_GB2312" w:hAnsi="仿宋_GB2312" w:eastAsia="仿宋_GB2312" w:cs="仿宋_GB2312"/>
          <w:b/>
          <w:color w:val="auto"/>
          <w:sz w:val="32"/>
          <w:szCs w:val="32"/>
          <w:highlight w:val="none"/>
        </w:rPr>
      </w:pPr>
      <w:bookmarkStart w:id="38" w:name="_Toc84325929"/>
      <w:bookmarkStart w:id="39" w:name="_Toc81372776"/>
      <w:bookmarkStart w:id="40" w:name="_Toc81372953"/>
      <w:r>
        <w:rPr>
          <w:rFonts w:hint="eastAsia" w:ascii="仿宋_GB2312" w:hAnsi="仿宋_GB2312" w:eastAsia="仿宋_GB2312" w:cs="仿宋_GB2312"/>
          <w:b/>
          <w:color w:val="auto"/>
          <w:sz w:val="32"/>
          <w:szCs w:val="32"/>
          <w:highlight w:val="none"/>
        </w:rPr>
        <w:t>五、授予合同</w:t>
      </w:r>
    </w:p>
    <w:bookmarkEnd w:id="38"/>
    <w:bookmarkEnd w:id="39"/>
    <w:bookmarkEnd w:id="40"/>
    <w:p>
      <w:pPr>
        <w:pStyle w:val="19"/>
        <w:tabs>
          <w:tab w:val="clear" w:pos="390"/>
          <w:tab w:val="clear" w:pos="454"/>
        </w:tabs>
        <w:wordWrap w:val="0"/>
        <w:spacing w:after="120" w:line="440" w:lineRule="exact"/>
        <w:ind w:left="0" w:firstLine="482" w:firstLineChars="20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wordWrap w:val="0"/>
        <w:snapToGrid w:val="0"/>
        <w:spacing w:line="440" w:lineRule="exact"/>
        <w:ind w:firstLine="480" w:firstLineChars="200"/>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4．履约保证金</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4.2项目验收结束后，采购人应及时退还履约保证金。</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4.3供应商以银行、保险公司出具保函形式提交履约保证金的，采购人不得拒收。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4.4政府采购货物和服务项目不得收取质量保证金。</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5．合同签订及备案</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5.1中标人应当在中标通知书发出之日起30天内与采购人签订合同，自采购合同签订之日起2个工作日内，通过电子交易平台进行备案。</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5.2如中标人为联合体的，由联合体成员各方法定代表人或其授权代表与采购人代表签订合同。</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6.验收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6.2采购人可以邀请参加本项目的其他投标人或者第三方机构参与验收。参与验收的投标人或者第三方机构的意见作为验收书的参考资料一并存档。</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7.售后服务考核</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wordWrap w:val="0"/>
        <w:spacing w:line="360" w:lineRule="auto"/>
        <w:ind w:firstLine="480"/>
        <w:rPr>
          <w:rFonts w:ascii="仿宋_GB2312" w:hAnsi="仿宋_GB2312" w:eastAsia="仿宋_GB2312" w:cs="仿宋_GB2312"/>
          <w:color w:val="auto"/>
          <w:kern w:val="0"/>
          <w:sz w:val="24"/>
          <w:highlight w:val="none"/>
        </w:rPr>
      </w:pPr>
    </w:p>
    <w:p>
      <w:pPr>
        <w:wordWrap w:val="0"/>
        <w:adjustRightInd/>
        <w:spacing w:line="336"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color w:val="auto"/>
          <w:sz w:val="32"/>
          <w:szCs w:val="20"/>
          <w:highlight w:val="none"/>
        </w:rPr>
        <w:t>询问、质疑与投诉</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1.在线询问、质疑、投诉</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2.供应商询问</w:t>
      </w:r>
    </w:p>
    <w:p>
      <w:pPr>
        <w:wordWrap w:val="0"/>
        <w:autoSpaceDE w:val="0"/>
        <w:autoSpaceDN w:val="0"/>
        <w:spacing w:line="336" w:lineRule="auto"/>
        <w:ind w:firstLine="480" w:firstLineChars="200"/>
        <w:jc w:val="left"/>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3.供应商质疑</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sz w:val="24"/>
          <w:szCs w:val="20"/>
          <w:highlight w:val="none"/>
        </w:rPr>
        <w:t>.1质疑提出时效</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3.1.1提出质疑的供应商应当是参与所质疑项目采购活动的供应商。潜在供应商已依法获取其可质疑的采购文件的，可以对该文件提出质疑。</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szCs w:val="20"/>
          <w:highlight w:val="none"/>
          <w:lang w:val="zh-CN"/>
        </w:rPr>
        <w:t>3</w:t>
      </w:r>
      <w:r>
        <w:rPr>
          <w:rFonts w:hint="eastAsia" w:ascii="仿宋_GB2312" w:hAnsi="仿宋_GB2312" w:eastAsia="仿宋_GB2312" w:cs="仿宋_GB2312"/>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wordWrap w:val="0"/>
        <w:snapToGrid w:val="0"/>
        <w:spacing w:line="336" w:lineRule="auto"/>
        <w:ind w:firstLine="434" w:firstLineChars="181"/>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3.1.2.2对采购过程提出质疑的，质疑期限为各采购程序环节结束之日起计算。</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3.1.2.3对采购结果提出质疑的，质疑期限自采购结果公告期限届满之日起计算。</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3.1.2.4对同一采购程序环节的质疑，供应商须一次性提出。</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zh-CN"/>
        </w:rPr>
        <w:t>质疑函</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3.2.1供应商提出质疑应当提交质疑函和必要的证明材料。质疑函应当包括下列内容：</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供应商的姓名或者名称、地址、邮编、联系人及联系电话；</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质疑项目的名称、编号；</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具体、明确的质疑事项和与质疑事项相关的请求；</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事实依据；</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必要的法律依据；</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提出质疑的日期。</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质疑函范本及制作说明详见附件1。</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4.供应商投诉</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4.2供应商投诉的事项不得超出已质疑事项的范围，基于质疑答复内容提出的投诉事项除外。</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4.3供应商投诉应当有明确的请求和必要的证明材料。</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4.4以联合体形式参加政府采购活动的，其投诉应当由组成联合体的所有供应商共同提出。</w:t>
      </w:r>
    </w:p>
    <w:p>
      <w:pPr>
        <w:wordWrap w:val="0"/>
        <w:snapToGrid w:val="0"/>
        <w:spacing w:line="360" w:lineRule="auto"/>
        <w:ind w:firstLine="482" w:firstLineChars="200"/>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投诉书范本及制作说明详见附件2。</w:t>
      </w:r>
    </w:p>
    <w:p>
      <w:pPr>
        <w:pStyle w:val="4"/>
        <w:wordWrap w:val="0"/>
        <w:spacing w:line="440" w:lineRule="exact"/>
        <w:ind w:firstLine="480" w:firstLineChars="200"/>
        <w:rPr>
          <w:rFonts w:ascii="仿宋_GB2312" w:hAnsi="仿宋_GB2312" w:eastAsia="仿宋_GB2312" w:cs="仿宋_GB2312"/>
          <w:color w:val="auto"/>
          <w:kern w:val="0"/>
          <w:highlight w:val="none"/>
        </w:rPr>
        <w:sectPr>
          <w:footerReference r:id="rId11" w:type="first"/>
          <w:footerReference r:id="rId10" w:type="default"/>
          <w:pgSz w:w="11906" w:h="16838"/>
          <w:pgMar w:top="1814" w:right="1474" w:bottom="1814" w:left="1474" w:header="851" w:footer="992" w:gutter="0"/>
          <w:cols w:space="720" w:num="1"/>
          <w:docGrid w:linePitch="312" w:charSpace="0"/>
        </w:sectPr>
      </w:pPr>
    </w:p>
    <w:bookmarkEnd w:id="35"/>
    <w:bookmarkEnd w:id="36"/>
    <w:p>
      <w:pPr>
        <w:wordWrap w:val="0"/>
        <w:spacing w:line="360" w:lineRule="auto"/>
        <w:jc w:val="center"/>
        <w:outlineLvl w:val="0"/>
        <w:rPr>
          <w:rFonts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wordWrap w:val="0"/>
        <w:spacing w:line="360" w:lineRule="auto"/>
        <w:jc w:val="left"/>
        <w:outlineLvl w:val="0"/>
        <w:rPr>
          <w:rFonts w:ascii="仿宋_GB2312" w:hAnsi="新宋体" w:eastAsia="仿宋_GB2312" w:cs="Arial"/>
          <w:b/>
          <w:bCs/>
          <w:color w:val="auto"/>
          <w:sz w:val="24"/>
          <w:highlight w:val="none"/>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rPr>
        <w:t>超融合等采购项目</w:t>
      </w:r>
    </w:p>
    <w:p>
      <w:pP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一、配置清单</w:t>
      </w:r>
    </w:p>
    <w:tbl>
      <w:tblPr>
        <w:tblStyle w:val="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4229"/>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52" w:type="pct"/>
            <w:vAlign w:val="center"/>
          </w:tcPr>
          <w:p>
            <w:pPr>
              <w:spacing w:line="400" w:lineRule="exact"/>
              <w:jc w:val="center"/>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序号</w:t>
            </w:r>
          </w:p>
        </w:tc>
        <w:tc>
          <w:tcPr>
            <w:tcW w:w="2481" w:type="pct"/>
            <w:vAlign w:val="center"/>
          </w:tcPr>
          <w:p>
            <w:pPr>
              <w:spacing w:line="400" w:lineRule="exact"/>
              <w:ind w:firstLine="482"/>
              <w:jc w:val="center"/>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名称</w:t>
            </w:r>
          </w:p>
        </w:tc>
        <w:tc>
          <w:tcPr>
            <w:tcW w:w="1667" w:type="pct"/>
            <w:vAlign w:val="center"/>
          </w:tcPr>
          <w:p>
            <w:pPr>
              <w:spacing w:line="400" w:lineRule="exact"/>
              <w:jc w:val="center"/>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52" w:type="pct"/>
            <w:vAlign w:val="center"/>
          </w:tcPr>
          <w:p>
            <w:pPr>
              <w:spacing w:line="400" w:lineRule="exact"/>
              <w:ind w:firstLine="48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2481" w:type="pct"/>
            <w:vAlign w:val="center"/>
          </w:tcPr>
          <w:p>
            <w:pPr>
              <w:spacing w:line="400" w:lineRule="exact"/>
              <w:ind w:firstLine="48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超融合服务器</w:t>
            </w:r>
            <w:r>
              <w:rPr>
                <w:rFonts w:hint="eastAsia" w:ascii="仿宋_GB2312" w:hAnsi="仿宋_GB2312" w:eastAsia="仿宋_GB2312" w:cs="仿宋_GB2312"/>
                <w:b/>
                <w:bCs/>
                <w:color w:val="auto"/>
                <w:kern w:val="0"/>
                <w:sz w:val="24"/>
                <w:highlight w:val="none"/>
              </w:rPr>
              <w:t>（核心产品）</w:t>
            </w:r>
          </w:p>
        </w:tc>
        <w:tc>
          <w:tcPr>
            <w:tcW w:w="1667" w:type="pct"/>
            <w:vAlign w:val="center"/>
          </w:tcPr>
          <w:p>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52" w:type="pct"/>
            <w:vAlign w:val="center"/>
          </w:tcPr>
          <w:p>
            <w:pPr>
              <w:spacing w:line="400" w:lineRule="exact"/>
              <w:ind w:firstLine="48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2481" w:type="pct"/>
            <w:vAlign w:val="center"/>
          </w:tcPr>
          <w:p>
            <w:pPr>
              <w:spacing w:line="400" w:lineRule="exact"/>
              <w:ind w:firstLine="48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超融合软件</w:t>
            </w:r>
          </w:p>
        </w:tc>
        <w:tc>
          <w:tcPr>
            <w:tcW w:w="1667" w:type="pct"/>
            <w:vAlign w:val="center"/>
          </w:tcPr>
          <w:p>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52" w:type="pct"/>
            <w:vAlign w:val="center"/>
          </w:tcPr>
          <w:p>
            <w:pPr>
              <w:spacing w:line="400" w:lineRule="exact"/>
              <w:ind w:firstLine="48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w:t>
            </w:r>
          </w:p>
        </w:tc>
        <w:tc>
          <w:tcPr>
            <w:tcW w:w="2481" w:type="pct"/>
            <w:vAlign w:val="center"/>
          </w:tcPr>
          <w:p>
            <w:pPr>
              <w:spacing w:line="400" w:lineRule="exact"/>
              <w:ind w:firstLine="48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仲裁节点</w:t>
            </w:r>
          </w:p>
        </w:tc>
        <w:tc>
          <w:tcPr>
            <w:tcW w:w="1667" w:type="pct"/>
            <w:vAlign w:val="center"/>
          </w:tcPr>
          <w:p>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52" w:type="pct"/>
            <w:vAlign w:val="center"/>
          </w:tcPr>
          <w:p>
            <w:pPr>
              <w:spacing w:line="400" w:lineRule="exact"/>
              <w:ind w:firstLine="48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w:t>
            </w:r>
          </w:p>
        </w:tc>
        <w:tc>
          <w:tcPr>
            <w:tcW w:w="2481" w:type="pct"/>
            <w:vAlign w:val="center"/>
          </w:tcPr>
          <w:p>
            <w:pPr>
              <w:spacing w:line="400" w:lineRule="exact"/>
              <w:ind w:firstLine="48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万兆交换机</w:t>
            </w:r>
          </w:p>
        </w:tc>
        <w:tc>
          <w:tcPr>
            <w:tcW w:w="1667" w:type="pct"/>
            <w:vAlign w:val="center"/>
          </w:tcPr>
          <w:p>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52" w:type="pct"/>
            <w:vAlign w:val="center"/>
          </w:tcPr>
          <w:p>
            <w:pPr>
              <w:spacing w:line="400" w:lineRule="exact"/>
              <w:ind w:firstLine="48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w:t>
            </w:r>
          </w:p>
        </w:tc>
        <w:tc>
          <w:tcPr>
            <w:tcW w:w="2481" w:type="pct"/>
            <w:vAlign w:val="center"/>
          </w:tcPr>
          <w:p>
            <w:pPr>
              <w:spacing w:line="400" w:lineRule="exact"/>
              <w:ind w:firstLine="48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国产化操作系统</w:t>
            </w:r>
          </w:p>
        </w:tc>
        <w:tc>
          <w:tcPr>
            <w:tcW w:w="1667" w:type="pct"/>
            <w:vAlign w:val="center"/>
          </w:tcPr>
          <w:p>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52" w:type="pct"/>
            <w:vAlign w:val="center"/>
          </w:tcPr>
          <w:p>
            <w:pPr>
              <w:spacing w:line="400" w:lineRule="exact"/>
              <w:ind w:firstLine="48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w:t>
            </w:r>
          </w:p>
        </w:tc>
        <w:tc>
          <w:tcPr>
            <w:tcW w:w="2481" w:type="pct"/>
            <w:vAlign w:val="center"/>
          </w:tcPr>
          <w:p>
            <w:pPr>
              <w:spacing w:line="400" w:lineRule="exact"/>
              <w:ind w:firstLine="48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国产化数据库</w:t>
            </w:r>
          </w:p>
        </w:tc>
        <w:tc>
          <w:tcPr>
            <w:tcW w:w="1667" w:type="pct"/>
            <w:vAlign w:val="center"/>
          </w:tcPr>
          <w:p>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52" w:type="pct"/>
            <w:vAlign w:val="center"/>
          </w:tcPr>
          <w:p>
            <w:pPr>
              <w:spacing w:line="400" w:lineRule="exact"/>
              <w:ind w:firstLine="48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7</w:t>
            </w:r>
          </w:p>
        </w:tc>
        <w:tc>
          <w:tcPr>
            <w:tcW w:w="2481" w:type="pct"/>
            <w:vAlign w:val="center"/>
          </w:tcPr>
          <w:p>
            <w:pPr>
              <w:spacing w:line="400" w:lineRule="exact"/>
              <w:ind w:firstLine="48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国产化中间件</w:t>
            </w:r>
          </w:p>
        </w:tc>
        <w:tc>
          <w:tcPr>
            <w:tcW w:w="1667" w:type="pct"/>
            <w:vAlign w:val="center"/>
          </w:tcPr>
          <w:p>
            <w:pPr>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2套</w:t>
            </w:r>
          </w:p>
        </w:tc>
      </w:tr>
    </w:tbl>
    <w:p>
      <w:pP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二、超融合项目主要技术参数</w:t>
      </w:r>
    </w:p>
    <w:p>
      <w:pPr>
        <w:rPr>
          <w:rFonts w:ascii="仿宋_GB2312" w:hAnsi="仿宋_GB2312" w:eastAsia="仿宋_GB2312" w:cs="仿宋_GB2312"/>
          <w:b/>
          <w:bCs/>
          <w:color w:val="auto"/>
          <w:sz w:val="24"/>
          <w:highlight w:val="none"/>
        </w:rPr>
      </w:pPr>
      <w:bookmarkStart w:id="43" w:name="_Toc190868916"/>
      <w:r>
        <w:rPr>
          <w:rFonts w:hint="eastAsia" w:ascii="仿宋_GB2312" w:hAnsi="仿宋_GB2312" w:eastAsia="仿宋_GB2312" w:cs="仿宋_GB2312"/>
          <w:b/>
          <w:bCs/>
          <w:color w:val="auto"/>
          <w:sz w:val="24"/>
          <w:highlight w:val="none"/>
        </w:rPr>
        <w:t>1、超融合服务器</w:t>
      </w:r>
      <w:bookmarkEnd w:id="43"/>
      <w:r>
        <w:rPr>
          <w:rFonts w:hint="eastAsia" w:ascii="仿宋_GB2312" w:hAnsi="仿宋_GB2312" w:eastAsia="仿宋_GB2312" w:cs="仿宋_GB2312"/>
          <w:b/>
          <w:bCs/>
          <w:color w:val="auto"/>
          <w:sz w:val="24"/>
          <w:highlight w:val="none"/>
        </w:rPr>
        <w:t>（核心产品）：</w:t>
      </w:r>
    </w:p>
    <w:tbl>
      <w:tblPr>
        <w:tblStyle w:val="63"/>
        <w:tblW w:w="61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53"/>
        <w:gridCol w:w="1253"/>
        <w:gridCol w:w="1490"/>
        <w:gridCol w:w="5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59" w:type="dxa"/>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b/>
                <w:bCs/>
                <w:color w:val="auto"/>
                <w:kern w:val="0"/>
                <w:sz w:val="24"/>
                <w:highlight w:val="none"/>
              </w:rPr>
              <w:t>序号</w:t>
            </w:r>
          </w:p>
        </w:tc>
        <w:tc>
          <w:tcPr>
            <w:tcW w:w="1250" w:type="dxa"/>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b/>
                <w:bCs/>
                <w:color w:val="auto"/>
                <w:kern w:val="0"/>
                <w:sz w:val="24"/>
                <w:highlight w:val="none"/>
              </w:rPr>
              <w:t>指标分类</w:t>
            </w:r>
          </w:p>
        </w:tc>
        <w:tc>
          <w:tcPr>
            <w:tcW w:w="1250" w:type="dxa"/>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b/>
                <w:bCs/>
                <w:color w:val="auto"/>
                <w:kern w:val="0"/>
                <w:sz w:val="24"/>
                <w:highlight w:val="none"/>
              </w:rPr>
              <w:t>一级指标</w:t>
            </w:r>
          </w:p>
        </w:tc>
        <w:tc>
          <w:tcPr>
            <w:tcW w:w="1487" w:type="dxa"/>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b/>
                <w:bCs/>
                <w:color w:val="auto"/>
                <w:kern w:val="0"/>
                <w:sz w:val="24"/>
                <w:highlight w:val="none"/>
              </w:rPr>
              <w:t>二级指标</w:t>
            </w:r>
          </w:p>
        </w:tc>
        <w:tc>
          <w:tcPr>
            <w:tcW w:w="5733" w:type="dxa"/>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b/>
                <w:bCs/>
                <w:color w:val="auto"/>
                <w:kern w:val="0"/>
                <w:sz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center"/>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产品规格</w:t>
            </w: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主要参数</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基本要求</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配置≥2*C86架构处理器(2.2GHz/24核处理器)；</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配置≥8*32GB DDR4-3200内存；</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配置≥2块480GB SSD系统盘，≥2块1.92TB NVME SSD缓存盘，≥8块6TB机械盘；</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配置双电源模块；</w:t>
            </w:r>
          </w:p>
          <w:p>
            <w:pPr>
              <w:pStyle w:val="4"/>
              <w:snapToGrid w:val="0"/>
              <w:spacing w:line="360" w:lineRule="exact"/>
              <w:jc w:val="lef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配置≥4个千兆电口，≥4个万兆光口（含万兆多模光模块）；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center"/>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CPU规格</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CPU信息</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配置≥2颗C86架构处理器，支持多线程，单颗CPU物理核心数≥24核，主频≥2.2GHz、末级缓存容量≥64MB、TDP功耗≤180W、最高内存频率≥3200MHz、内存通道数≥8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center"/>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主板规格</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主板支持的CPU和内存情况</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主板支持C86架构CPU≥2颗、内存数量支持≥32个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center"/>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主板内存槽数量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主板内存槽位数量≥16个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center"/>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主板存储接口</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支持SATA、SAS、M.2、U.2，中的三种及以上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center"/>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bookmarkStart w:id="44" w:name="OLE_LINK3"/>
            <w:bookmarkStart w:id="45" w:name="OLE_LINK4"/>
            <w:r>
              <w:rPr>
                <w:rFonts w:hint="eastAsia" w:ascii="仿宋_GB2312" w:hAnsi="仿宋_GB2312" w:eastAsia="仿宋_GB2312" w:cs="仿宋_GB2312"/>
                <w:color w:val="auto"/>
                <w:kern w:val="0"/>
                <w:sz w:val="24"/>
                <w:highlight w:val="none"/>
              </w:rPr>
              <w:t>★</w:t>
            </w:r>
            <w:bookmarkEnd w:id="44"/>
            <w:bookmarkEnd w:id="45"/>
            <w:r>
              <w:rPr>
                <w:rFonts w:hint="eastAsia" w:ascii="仿宋_GB2312" w:hAnsi="仿宋_GB2312" w:eastAsia="仿宋_GB2312" w:cs="仿宋_GB2312"/>
                <w:color w:val="auto"/>
                <w:sz w:val="24"/>
                <w:highlight w:val="none"/>
              </w:rPr>
              <w:t>PCIe插槽接口</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符合PCIe3.0或以上插槽，可支持向下兼容至PCIe2.0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center"/>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主板PCIe插槽数量及规格</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双路支持PCIe3.0扩展插槽≥10个，单路支持PCIe3.0扩展插槽≥3个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center"/>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板载网络接口</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若支持板载网络接口应不少于1个1GE网口；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center"/>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主板OCP插槽数量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支持OCP2.0及以上插槽的数量不少于1个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内存规格</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内存数量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配置内存≥8条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内存规格</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配置单条内存≥32GB DDR4 3200MHz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内存通道</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支持多个内存接口通道，每个通道可支持1DPC或2DPC，当支持2DPC时，印制电路板上应具备插槽的序号标识，具体通道数应在随机文件中明确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存储规格</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硬盘类型</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可选SATA/NVMeM.2选件,DSD模块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硬磁盘实配容量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系统盘：</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480GB SSD硬盘，缓存盘：</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1.92TB NVME SSD硬盘，数据盘：</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6TB机械盘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硬盘接口类型</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提供SATA3.0及以上接口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硬盘实配数量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系统盘≥2块，缓存盘≥2块，数据盘≥8块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硬盘插槽数量及规格</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支持配置≥12块3.5寸硬盘，支持配置SATA和PCIeM.2选件，支持双MicroSD卡套件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网络规格</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网口速率和数量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配置≥4个千兆RJ45网口、≥4个万兆光口（带模块）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独立网卡网口数量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配置≥1块四口千兆网卡、≥2块双口万兆网卡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外部接口规格</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显示接口</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显示接口类型应不少于1种，如：VGA、DP、HDMI等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USB接口</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配备不少于2个USB3.0接口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电源规格</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电源冗余模式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整机电源模块按1+1冗余或N+1冗余配置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电源模块数量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配置≥2个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电源功率</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提供220VAC/240HVDC交直流兼容电源，根据机房环境提供电源线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电源指示灯</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配备电源指示灯，指示待机、工作异常等状态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整机规格</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外观和结构</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a）服务器的零部件应紧固无松动，可插拔部件应可靠连接，开关、按钮和其它控制部件应灵活可靠，布局应方便使用；</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b）产品表面不应有明显的凹痕、划伤、裂缝、变形和污染等。表面涂层均匀，不应起泡、龟裂、脱落和磨损，金属零部件无锈蚀及其它机械损伤；</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c）产品表面说明功能的文字、符号和标志应清晰、端正且牢固；</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d）应在服务器的显著位置提供运行状态的指示功能，并在随机文件中明确具体含义；</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e）机架、机箱的尺寸应符合通用机柜的安装要求，插入总线插座的电路板接口外形尺寸应符合有关总线标准的规定，将机箱固定在机柜上，机箱底面最大下垂变形不得干涉相邻机体；</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w:t>
            </w:r>
            <w:r>
              <w:rPr>
                <w:rFonts w:hint="eastAsia" w:ascii="仿宋_GB2312" w:hAnsi="仿宋_GB2312" w:eastAsia="仿宋_GB2312" w:cs="仿宋_GB2312"/>
                <w:color w:val="auto"/>
                <w:kern w:val="0"/>
                <w:sz w:val="24"/>
                <w:highlight w:val="none"/>
              </w:rPr>
              <w:t>2U机架式双颗CPU服务器</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g）服务器尺寸具体要求在随机文件中明确。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尺寸（高×宽×深）</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设计应遵循标准化、系列化的要求；机箱的内部结构符合通用部件的安装需要，</w:t>
            </w:r>
            <w:r>
              <w:rPr>
                <w:rFonts w:hint="eastAsia" w:ascii="仿宋_GB2312" w:hAnsi="仿宋_GB2312" w:eastAsia="仿宋_GB2312" w:cs="仿宋_GB2312"/>
                <w:color w:val="auto"/>
                <w:kern w:val="0"/>
                <w:sz w:val="24"/>
                <w:highlight w:val="none"/>
              </w:rPr>
              <w:t>尺寸要求（高×宽×深）：≦100</w:t>
            </w:r>
            <w:r>
              <w:rPr>
                <w:rFonts w:hint="eastAsia" w:ascii="仿宋_GB2312" w:hAnsi="仿宋_GB2312" w:eastAsia="仿宋_GB2312" w:cs="仿宋_GB2312"/>
                <w:color w:val="auto"/>
                <w:sz w:val="24"/>
                <w:highlight w:val="none"/>
              </w:rPr>
              <w:t>mm x 500mm x 900mm。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环境适应性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气候环境适应性应符合GB/T 9813.3的有关规定，工作温度10～35℃，贮存运输温度-40～55℃；工作相对湿度35％～80％，贮存运输相对湿度20％～93％（40℃）；大气压86～106kPa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机械环境适应性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机械环境适应性应符合GB/T 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噪声</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9813.3的有关规定，在产品说明中给出具体测试值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机柜规格</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机柜尺寸</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≦高</w:t>
            </w:r>
            <w:r>
              <w:rPr>
                <w:rFonts w:hint="eastAsia" w:ascii="仿宋_GB2312" w:hAnsi="仿宋_GB2312" w:eastAsia="仿宋_GB2312" w:cs="仿宋_GB2312"/>
                <w:color w:val="auto"/>
                <w:sz w:val="24"/>
                <w:highlight w:val="none"/>
              </w:rPr>
              <w:t>2000mm x 宽600mm x 深1200mm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功能要求</w:t>
            </w:r>
          </w:p>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主板功能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主板外部接口种类</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支持USB、显示、管理等接口，如：VGA、DP、HDMI、USB3.0、PS/2接口、BMC管理端口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主板防烧板设计</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支持主板防烧板设计，需保证电源故障后不扩散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网络功能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网络功能</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支持网络连接、网络访问、数据交换和网络管控功能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CPU功能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计算处理</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支持通用计算及虚拟化功能。处理器需集成整型计算单元、浮点计算单元、内存控制器、I/O模块等，处理器与存储部件、网络部件、I/O部件等组成计算系统，提供数据处理、网络接入等计算相关功能。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★密码算法实现</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CPU芯片应符合GM/T 0008的相关规定，或芯片密码模块应符合GB/T 37092或GM/T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RAID卡功能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RAID卡RAID级别支持</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支持RAID0/1/10/5/6/50/60/1E/SimpleVolume等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电源功能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电源热插拔</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整机电源模块应具备热插拔功能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电源过流保护</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支持过流及短路保护的功能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整机功能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散热方式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支持风冷或液冷等散热方式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其他功能</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a）支持关键部件冗余（包括电源、风扇等）；</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b）支持熔断保护与恢复功能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管理系统功能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BMC固件基础功能</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1）支持DHCP设置网络功能；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2）支持静态IP设置网络功能；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3）支持设备日志记录，包括但不限于登录日志、操作日志和报警日志等功能；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4）支持日志信息导出和记录删除功能；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5）支持通过管理接口向外输出准确的报警信息功能；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6）设备的BMC管理软件应能够按报警的严重程度进行区分；</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7）支持IPMI2.0、SNMP或Redfish等接口功能；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8）支持键盘、鼠标和视频的重定向、文本控制台的重定向、远程虚拟媒体、高可靠的硬件监控和管理功能；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9）支持基于网络开启、关闭和重启设备的功能，并查询当前设备开机运行状态；</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10）支持故障提示功能，并可通过接口读取服务器故障信息；</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11）支持基于网络的固件更新功能，包括BMC和BIOS等；</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12）支持基于网络安装操作系统的功能，并可通过网络控制台访问设备；</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13）支持通过本地的硬盘或光驱等存储设备，基于网络完成设备的操作系统安装功能；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14）支持通过浏览器打开管理界面并登录功能；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15）支持设置口令策略功能；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16）支持访问权限设置功能，并通过日志记录访问事件；</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17）支持对出厂默认的用户名及口令进行安全保护功能，并提供默认口令修改提示；</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18）支持读取设备主板的工作环境温度功能；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19）支持读取服务器CPU等核心器件的温度功能；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20）支持通过外部管理工具进行BMC参数设置的功能，并可基于网络通过外部管理工具对BMC进行管理；</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21）应支持固件版本查询、固件升级</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22）支持基于网络实现开关机和复位控制的功能；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23）BMC启动时间应不超过180s，实现功能包括网络、IPMI、散热、传感器服务可用；</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24）支持BMC固件设置的恢复出厂功能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BMC固件增强功能</w:t>
            </w:r>
          </w:p>
        </w:tc>
        <w:tc>
          <w:tcPr>
            <w:tcW w:w="573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1）网络控制、安装提供图形访问界面网络；</w:t>
            </w:r>
          </w:p>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2）设备的BMC 管理软件界面显示报警信息，且能够按报警的严重程度进行区分；</w:t>
            </w:r>
          </w:p>
          <w:p>
            <w:pPr>
              <w:widowControl/>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3）Web GUI 采用BMC 端口直连，平均响应时间为不大于1s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BIOS固件基础功能</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1）支持查看固件版本、内存信息、主板信息、处理器信息和系统时间信息功能；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2）支持上电初始化界面显示CPU信息、内存信息、固件版本和部分快捷键信息功能；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3）支持设置界面中英文显示切换功能；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4）支持查看PCIe设备信息，SATA设备信息功能；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5）支持操作系统安装和引导功能，应并向操作系统提供计算机主板信息和服务接口；</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6）支持设置启动顺序，并按照设置的启动顺序启动功能；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7）支持安全启动功能；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8）支持设置口令、修改口令、验证口令功能；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9）支持板载显示控制或独立显卡的显示控制功能；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10）支持RAID识别和启动功能；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11）支持串口重定向功能；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12）支持固件更新功能；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13）支持BIOS固件设置的恢复出厂功能；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14）支持网络引导启用和关闭功能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BIOS固件增强功能</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BMC可以根据主机系统工作负载的特性，自动推荐和场景匹配的性能模板。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可通过BMC配置BIOS性能模板，实现利用预配置的配置文件，自动调优内部服务器资源，系统内置10种以上场景模板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远程控制</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支持远程关机和重新启动功能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操作系统及驱动功能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操作系统及驱动的升级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支持通过网络、闪存盘对操作系统、驱动进行升级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操作系统功能</w:t>
            </w:r>
          </w:p>
        </w:tc>
        <w:tc>
          <w:tcPr>
            <w:tcW w:w="5733" w:type="dxa"/>
            <w:shd w:val="clear" w:color="auto" w:fill="auto"/>
            <w:vAlign w:val="center"/>
          </w:tcPr>
          <w:p>
            <w:pPr>
              <w:pStyle w:val="2"/>
              <w:snapToGrid w:val="0"/>
              <w:ind w:left="0" w:leftChars="0" w:firstLine="0" w:firstLineChars="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1）支持访问控制、安全审计、网络接入鉴别等功能；</w:t>
            </w:r>
          </w:p>
          <w:p>
            <w:pPr>
              <w:pStyle w:val="2"/>
              <w:adjustRightInd w:val="0"/>
              <w:snapToGrid w:val="0"/>
              <w:spacing w:after="0"/>
              <w:ind w:left="0" w:leftChars="0" w:firstLine="0" w:firstLineChars="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2）操作系统其他功能应满足操作系统政府采购需求标准中加*的指标要求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中文信息处理功能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中文信息处理</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 18030的有关规定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安全要求</w:t>
            </w:r>
          </w:p>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关键部件安全要求</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关键部件安全要求</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CPU和操作系统等关键部件应当符合安全可靠测评要求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固件安全要求</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故障检测</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支持故障检测功能，可以检测到具体的FRU（内存、硬盘等）的故障并发出告警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系统安全要求</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弱口令字典检查</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支持弱口令字典检查功能，出现在弱口令字典中的字符串不能被设置为用户口令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白名单访问控制</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支持基于时间、IP或MAC白名单访问控制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二次鉴别</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支持二次鉴别功能。对于用户配置、权限配置、公钥导入等重要的管理操作，已登录用户应通过二次鉴别后，才能执行操作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密码证书安全加密存储</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支持对带外管理系统中的用户口令和证书等敏感信息进行加密存储，禁止使用私有的和业界已知不安全的密码算法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敏感信息安全加密传输</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支持使用安全的传输加密协议（如SSH或HTTPS等）传输用户的敏感信息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信息安全要求</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研发过程安全</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物理安全</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物理安全</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安全要求应符合GB 4943.1的规定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限用物质的限量要求</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限用物质的限量要求</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限用物质的限量应符合GB/T 26572的要求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性能要求</w:t>
            </w:r>
          </w:p>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CPU性能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CPU主频</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单CPU核数</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单CPU末级缓存容量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≥64MB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内存性能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单内存模块容量</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单内存模块容量≥32GB，总内存≥256GB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widowControl/>
              <w:snapToGrid w:val="0"/>
              <w:jc w:val="left"/>
              <w:rPr>
                <w:rFonts w:ascii="仿宋_GB2312" w:hAnsi="仿宋_GB2312" w:eastAsia="仿宋_GB2312" w:cs="仿宋_GB2312"/>
                <w:color w:val="auto"/>
                <w:kern w:val="0"/>
                <w:sz w:val="24"/>
                <w:highlight w:val="none"/>
              </w:rPr>
            </w:pPr>
          </w:p>
        </w:tc>
        <w:tc>
          <w:tcPr>
            <w:tcW w:w="1487" w:type="dxa"/>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内存速率</w:t>
            </w:r>
          </w:p>
        </w:tc>
        <w:tc>
          <w:tcPr>
            <w:tcW w:w="5733" w:type="dxa"/>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网络性能</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独立网卡速率</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板载网卡速率</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电源能耗</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电源能耗</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兼容要求</w:t>
            </w:r>
          </w:p>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部件兼容性要求</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内存兼容性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适配3种及以上厂商的内存产品，且均不低于产品支持的内存规格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固态存储兼容性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适配3种或以上厂商的固态存储产品，且均不低于产品支持的固态存储设备规格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FC HBA卡兼容性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FC HBA应适配2种或以上厂商产品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RAID卡兼容性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RAID卡应适配2种或以上厂商产品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网卡兼容性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网卡应适配2种或以上厂商产品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功能卡兼容性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内置或适配符合PCIe的功能卡，如：网络功能卡、存储功能卡及图形显示功能卡。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外设兼容性</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外设兼容性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兼容多种主流生产商的外部设备，包括显示器、键盘、鼠标、闪存盘、移动硬盘、USB光驱及KVM等，要求使用不同厂商的外部设备时，系统均能正常识别和安装驱动。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软件兼容性</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数据库兼容</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中间件兼容</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兼容3个及以上厂商的中间件产品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平台软件兼容</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兼容3个及以上厂商的大数据平台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虚拟化软件兼容</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兼容2款及以上虚拟化软件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可靠性要求</w:t>
            </w:r>
          </w:p>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整机可靠性要求</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整机可靠性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m1值（MTBF的不可接受值）不得低于30000h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风扇可靠性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风扇寿命应不低于40000h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部件可靠性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支持硬盘、电源、风扇热插拔(内置风扇除外)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包装及运输要求</w:t>
            </w: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包装及运输要求</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标志、包装、运输和贮存</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9813.3和商品包装政府采购需求标准的相关规定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服务要求</w:t>
            </w:r>
          </w:p>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服务响应</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服务响应</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a）提供电话、电子邮件、远程连接等多种形式服务；</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b）提供同城4h、异地12h技术响应服务，2个工作日解决问题，对于未能解决的问题和故障应提供可行的升级方案，并提供周转设备；</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c）建立全国技术服务体系和服务团体，符合专业服务体系标准要求，提供原厂中文服务；</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d）服务周期内提供产品的维修、换件和升级服务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培训服务</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服务周期</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服务周期</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a）产品整机免费服务周期3年（含换件和维修）；</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b）设备停产后继续提供质量保障服务（含备品备件），服务终止时间与最后一批设备交付时间间隔不低于3年；</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c)产品停止服务时间应提前1年告知客户；</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d)产品发布日期需在随机文件中明确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服务工具要求</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工具要求</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供应商提供设置服务器硬件、辅助操作系统安装等功能的辅助工具和管理软件。且随附软件应具有合法授权或版权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辅助工具</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支持如下功能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a）本地的数据备份和还原功能；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b）网络的数据备份和还原功能；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c）服务器操作系统的自动安装功能；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d）服务器所配硬件需要的驱动程序和系统补丁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驱动安装升级指引</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供应商提供出厂安装的配件所需的驱动程序，形式包括但不限于驱动光盘、驱动下载链接等。其他配件应提供指引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随机附开盖工具</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随服务器打包提供开机箱工具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管理软件</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具备资源管理、系统管理、性能监控、健康监控、基于网络控制、报警设置功能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增值服务</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厂家升级产品软件与扩容服务</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供应商提供原厂级的部件/软件产品升级和扩容能力3年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服务保障升级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供应商提供远程技术支持、软件授权服务、备件更换服务、现场支持服务3年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提供上门服务</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提供3年上门保修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业务场景性能优化服务及整体架构升级服务</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供应商提供针对特定业务场景性能优化服务及整体架构升级服务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vMerge w:val="restart"/>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widowControl/>
              <w:snapToGrid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供保要求</w:t>
            </w:r>
          </w:p>
          <w:p>
            <w:pPr>
              <w:widowControl/>
              <w:snapToGrid w:val="0"/>
              <w:jc w:val="left"/>
              <w:rPr>
                <w:rFonts w:ascii="仿宋_GB2312" w:hAnsi="仿宋_GB2312" w:eastAsia="仿宋_GB2312" w:cs="仿宋_GB2312"/>
                <w:color w:val="auto"/>
                <w:kern w:val="0"/>
                <w:sz w:val="24"/>
                <w:highlight w:val="none"/>
              </w:rPr>
            </w:pPr>
          </w:p>
        </w:tc>
        <w:tc>
          <w:tcPr>
            <w:tcW w:w="1250" w:type="dxa"/>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供应链质量</w:t>
            </w: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抗干扰性</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当产品部件出现供应风险时，应通知客户并提供风险应对方案确保产品的服务保障，必要时应停止相关受影响产品的销售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vMerge w:val="continue"/>
            <w:shd w:val="clear" w:color="auto" w:fill="auto"/>
            <w:vAlign w:val="center"/>
          </w:tcPr>
          <w:p>
            <w:pPr>
              <w:pStyle w:val="972"/>
              <w:widowControl/>
              <w:numPr>
                <w:ilvl w:val="0"/>
                <w:numId w:val="1"/>
              </w:numPr>
              <w:snapToGrid w:val="0"/>
              <w:ind w:left="0" w:firstLine="0"/>
              <w:jc w:val="left"/>
              <w:rPr>
                <w:rFonts w:ascii="仿宋_GB2312" w:hAnsi="仿宋_GB2312" w:eastAsia="仿宋_GB2312" w:cs="仿宋_GB2312"/>
                <w:color w:val="auto"/>
                <w:kern w:val="0"/>
                <w:sz w:val="24"/>
                <w:highlight w:val="none"/>
              </w:rPr>
            </w:pPr>
          </w:p>
        </w:tc>
        <w:tc>
          <w:tcPr>
            <w:tcW w:w="1250" w:type="dxa"/>
            <w:vMerge w:val="continue"/>
            <w:shd w:val="clear" w:color="auto" w:fill="auto"/>
            <w:vAlign w:val="center"/>
          </w:tcPr>
          <w:p>
            <w:pPr>
              <w:widowControl/>
              <w:snapToGrid w:val="0"/>
              <w:jc w:val="left"/>
              <w:rPr>
                <w:rFonts w:ascii="仿宋_GB2312" w:hAnsi="仿宋_GB2312" w:eastAsia="仿宋_GB2312" w:cs="仿宋_GB2312"/>
                <w:color w:val="auto"/>
                <w:kern w:val="0"/>
                <w:sz w:val="24"/>
                <w:highlight w:val="none"/>
              </w:rPr>
            </w:pPr>
          </w:p>
        </w:tc>
        <w:tc>
          <w:tcPr>
            <w:tcW w:w="1250" w:type="dxa"/>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487"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供应能力证明</w:t>
            </w:r>
          </w:p>
        </w:tc>
        <w:tc>
          <w:tcPr>
            <w:tcW w:w="5733" w:type="dxa"/>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供应商提供供应链稳定承诺书，确保产品的部件在产品服务周期内稳定供货</w:t>
            </w:r>
          </w:p>
        </w:tc>
      </w:tr>
    </w:tbl>
    <w:p>
      <w:pP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2、超融合软件：</w:t>
      </w:r>
    </w:p>
    <w:tbl>
      <w:tblPr>
        <w:tblStyle w:val="63"/>
        <w:tblW w:w="58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376"/>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364" w:type="pct"/>
            <w:shd w:val="clear" w:color="auto" w:fill="auto"/>
            <w:noWrap/>
            <w:vAlign w:val="center"/>
          </w:tcPr>
          <w:p>
            <w:pPr>
              <w:widowControl/>
              <w:snapToGrid w:val="0"/>
              <w:spacing w:line="400" w:lineRule="exact"/>
              <w:jc w:val="center"/>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序号</w:t>
            </w:r>
          </w:p>
        </w:tc>
        <w:tc>
          <w:tcPr>
            <w:tcW w:w="687" w:type="pct"/>
            <w:vAlign w:val="center"/>
          </w:tcPr>
          <w:p>
            <w:pPr>
              <w:widowControl/>
              <w:snapToGrid w:val="0"/>
              <w:spacing w:line="400" w:lineRule="exact"/>
              <w:jc w:val="center"/>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指标分类</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代码自主可控</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rPr>
              <w:t>投标产品代码自主率（“自研代码量比例”）大于95%。要求代码检测量在100万以上，非特殊裁剪版本。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多芯片支持</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rPr>
              <w:t>支持在通用的X86、arm架构服务器上安装超融合软件，支持飞腾、鲲鹏等业界主流的ARM平台，并且可以与原有的X86系统混合部署、统一管理。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功能要求</w:t>
            </w:r>
          </w:p>
          <w:p>
            <w:pPr>
              <w:widowControl/>
              <w:snapToGrid w:val="0"/>
              <w:spacing w:line="400" w:lineRule="exact"/>
              <w:jc w:val="center"/>
              <w:rPr>
                <w:rFonts w:ascii="仿宋_GB2312" w:hAnsi="仿宋_GB2312" w:eastAsia="仿宋_GB2312" w:cs="仿宋_GB2312"/>
                <w:color w:val="auto"/>
                <w:kern w:val="0"/>
                <w:sz w:val="24"/>
                <w:highlight w:val="none"/>
              </w:rPr>
            </w:pP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rPr>
              <w:t>虚拟化平台内置虚拟化系统健康度评价模型，基于多维度的性能监控指标及告警等信息，支持对虚拟化系统及主机进行健康评测，并能够以直观的数字呈现系统及主机健康程度。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一键资源分析</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rPr>
              <w:t>支持使用一键鼠标按钮分析虚拟机、主机历史资源使用情况，提供规划决策数据支撑，</w:t>
            </w:r>
            <w:r>
              <w:rPr>
                <w:rFonts w:hint="eastAsia" w:ascii="仿宋_GB2312" w:hAnsi="仿宋_GB2312" w:eastAsia="仿宋_GB2312" w:cs="仿宋_GB2312"/>
                <w:b/>
                <w:bCs/>
                <w:color w:val="auto"/>
                <w:sz w:val="24"/>
                <w:highlight w:val="none"/>
              </w:rPr>
              <w:t>提供相关功能界面截图</w:t>
            </w:r>
            <w:r>
              <w:rPr>
                <w:rFonts w:hint="eastAsia" w:ascii="仿宋_GB2312" w:hAnsi="仿宋_GB2312" w:eastAsia="仿宋_GB2312" w:cs="仿宋_GB2312"/>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一键无效文件分析</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▲1、支持使用一键鼠标按钮分析后端存储上的无效镜像文件，并提供一键清理和释放存储空间能力。</w:t>
            </w:r>
          </w:p>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2、</w:t>
            </w:r>
            <w:r>
              <w:rPr>
                <w:rFonts w:hint="eastAsia" w:ascii="仿宋_GB2312" w:hAnsi="仿宋_GB2312" w:eastAsia="仿宋_GB2312" w:cs="仿宋_GB2312"/>
                <w:b/>
                <w:bCs/>
                <w:color w:val="auto"/>
                <w:sz w:val="24"/>
                <w:highlight w:val="none"/>
              </w:rPr>
              <w:t>上述第1点参数提供相关功能界面截图</w:t>
            </w:r>
            <w:r>
              <w:rPr>
                <w:rFonts w:hint="eastAsia" w:ascii="仿宋_GB2312" w:hAnsi="仿宋_GB2312" w:eastAsia="仿宋_GB2312" w:cs="仿宋_GB2312"/>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一键僵尸虚拟机清理</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▲1、支持使用一键鼠标按钮快速查看、启动、删除、批量启动和批量删除长时间未使用且处于关闭状态的虚拟机，进行资源利用率统计。</w:t>
            </w:r>
          </w:p>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2、</w:t>
            </w:r>
            <w:r>
              <w:rPr>
                <w:rFonts w:hint="eastAsia" w:ascii="仿宋_GB2312" w:hAnsi="仿宋_GB2312" w:eastAsia="仿宋_GB2312" w:cs="仿宋_GB2312"/>
                <w:b/>
                <w:bCs/>
                <w:color w:val="auto"/>
                <w:sz w:val="24"/>
                <w:highlight w:val="none"/>
              </w:rPr>
              <w:t>上述第1点参数提供相关功能界面截图</w:t>
            </w:r>
            <w:r>
              <w:rPr>
                <w:rFonts w:hint="eastAsia" w:ascii="仿宋_GB2312" w:hAnsi="仿宋_GB2312" w:eastAsia="仿宋_GB2312" w:cs="仿宋_GB2312"/>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网络拓扑可视</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▲1、支持对整个平台实现网络拓扑管理，支持在网络拓扑页面查看当前网络配置、增删虚拟交换机、增删虚拟网卡、增删虚拟防火墙、操作虚拟机、防火墙关联虚拟机网卡。</w:t>
            </w:r>
          </w:p>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2、</w:t>
            </w:r>
            <w:r>
              <w:rPr>
                <w:rFonts w:hint="eastAsia" w:ascii="仿宋_GB2312" w:hAnsi="仿宋_GB2312" w:eastAsia="仿宋_GB2312" w:cs="仿宋_GB2312"/>
                <w:b/>
                <w:bCs/>
                <w:color w:val="auto"/>
                <w:sz w:val="24"/>
                <w:highlight w:val="none"/>
              </w:rPr>
              <w:t>上述第1点参数提供相关功能界面截图</w:t>
            </w:r>
            <w:r>
              <w:rPr>
                <w:rFonts w:hint="eastAsia" w:ascii="仿宋_GB2312" w:hAnsi="仿宋_GB2312" w:eastAsia="仿宋_GB2312" w:cs="仿宋_GB2312"/>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融合存储</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▲1、同一节点同时支持虚拟化和</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3种存储功能，最少只需3个节点集群即可同时提供虚拟化、分布式块、对象、文件存储服务。其中对象和文件服务必须在宿主机上提供，和超融合自研同品牌，不能以应用跑在虚拟机上的形式提供。</w:t>
            </w:r>
          </w:p>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b/>
                <w:bCs/>
                <w:color w:val="auto"/>
                <w:kern w:val="0"/>
                <w:sz w:val="24"/>
                <w:highlight w:val="none"/>
              </w:rPr>
              <w:t>2、</w:t>
            </w:r>
            <w:r>
              <w:rPr>
                <w:rFonts w:hint="eastAsia" w:ascii="仿宋_GB2312" w:hAnsi="仿宋_GB2312" w:eastAsia="仿宋_GB2312" w:cs="仿宋_GB2312"/>
                <w:b/>
                <w:bCs/>
                <w:color w:val="auto"/>
                <w:sz w:val="24"/>
                <w:highlight w:val="none"/>
              </w:rPr>
              <w:t>上述第1点参数提供相关功能界面截图</w:t>
            </w:r>
            <w:r>
              <w:rPr>
                <w:rFonts w:hint="eastAsia" w:ascii="仿宋_GB2312" w:hAnsi="仿宋_GB2312" w:eastAsia="仿宋_GB2312" w:cs="仿宋_GB2312"/>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反磨损均衡</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rPr>
              <w:t>对系统中的盘磨损度进行检测，当盘达到设计的磨损度后增大到该盘的IO数量，使其提前磨损并重构，避免系统中多个盘寿命同时到达后同时故障。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网卡检测隔离</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rPr>
              <w:t>支持物理网卡至物理交换机端到端的物理网络故障检测与隔离功能，支持网络物理亚健康故障检测、故障告警，支持故障发生后自动隔离从而不会对集群的正常工作造成影响，支持自定义配置阈值，支持IP冲突自动检测与告警，</w:t>
            </w:r>
            <w:r>
              <w:rPr>
                <w:rFonts w:hint="eastAsia" w:ascii="仿宋_GB2312" w:hAnsi="仿宋_GB2312" w:eastAsia="仿宋_GB2312" w:cs="仿宋_GB2312"/>
                <w:b/>
                <w:bCs/>
                <w:color w:val="auto"/>
                <w:sz w:val="24"/>
                <w:highlight w:val="none"/>
              </w:rPr>
              <w:t>提供相关功能界面截图。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兼容性要求</w:t>
            </w:r>
          </w:p>
        </w:tc>
        <w:tc>
          <w:tcPr>
            <w:tcW w:w="3949" w:type="pct"/>
            <w:shd w:val="clear" w:color="auto" w:fill="auto"/>
            <w:vAlign w:val="center"/>
          </w:tcPr>
          <w:p>
            <w:pPr>
              <w:pStyle w:val="4"/>
              <w:snapToGrid w:val="0"/>
              <w:spacing w:line="400" w:lineRule="exac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kern w:val="0"/>
                <w:szCs w:val="24"/>
                <w:highlight w:val="none"/>
              </w:rPr>
              <w:t>▲支持超融合集群无缝兼容及纳管现网H3C S7506交换机及超融合配套交换机，实现在超融合界面完成对交换机的配置管理，提升运维效率，降低运维复杂度。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w:t>
            </w:r>
          </w:p>
        </w:tc>
        <w:tc>
          <w:tcPr>
            <w:tcW w:w="687" w:type="pct"/>
            <w:vAlign w:val="center"/>
          </w:tcPr>
          <w:p>
            <w:pPr>
              <w:widowControl/>
              <w:snapToGrid w:val="0"/>
              <w:spacing w:line="400" w:lineRule="exact"/>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可靠性要求</w:t>
            </w:r>
          </w:p>
        </w:tc>
        <w:tc>
          <w:tcPr>
            <w:tcW w:w="3949" w:type="pct"/>
            <w:shd w:val="clear" w:color="auto" w:fill="auto"/>
            <w:vAlign w:val="center"/>
          </w:tcPr>
          <w:p>
            <w:pPr>
              <w:widowControl/>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rPr>
              <w:t>采用仲裁机制预防脑裂风险；要求平台可从2节点在线平滑扩容至3节点及以上，不需要重新开局，不需要迁移数据。</w:t>
            </w:r>
          </w:p>
        </w:tc>
      </w:tr>
    </w:tbl>
    <w:p>
      <w:pP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3、仲裁节点：</w:t>
      </w:r>
    </w:p>
    <w:tbl>
      <w:tblPr>
        <w:tblStyle w:val="63"/>
        <w:tblW w:w="5820" w:type="pct"/>
        <w:jc w:val="center"/>
        <w:tblLayout w:type="autofit"/>
        <w:tblCellMar>
          <w:top w:w="0" w:type="dxa"/>
          <w:left w:w="108" w:type="dxa"/>
          <w:bottom w:w="0" w:type="dxa"/>
          <w:right w:w="108" w:type="dxa"/>
        </w:tblCellMar>
      </w:tblPr>
      <w:tblGrid>
        <w:gridCol w:w="1016"/>
        <w:gridCol w:w="570"/>
        <w:gridCol w:w="702"/>
        <w:gridCol w:w="1461"/>
        <w:gridCol w:w="6171"/>
      </w:tblGrid>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auto" w:sz="4" w:space="0"/>
            </w:tcBorders>
            <w:shd w:val="clear" w:color="auto" w:fill="auto"/>
            <w:vAlign w:val="center"/>
          </w:tcPr>
          <w:p>
            <w:pPr>
              <w:widowControl/>
              <w:snapToGrid w:val="0"/>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287" w:type="pct"/>
            <w:tcBorders>
              <w:top w:val="single" w:color="auto" w:sz="4" w:space="0"/>
              <w:left w:val="single" w:color="auto" w:sz="4" w:space="0"/>
              <w:bottom w:val="single" w:color="auto" w:sz="4" w:space="0"/>
              <w:right w:val="single" w:color="auto" w:sz="4" w:space="0"/>
            </w:tcBorders>
            <w:vAlign w:val="center"/>
          </w:tcPr>
          <w:p>
            <w:pPr>
              <w:widowControl/>
              <w:snapToGrid w:val="0"/>
              <w:textAlignment w:val="center"/>
              <w:rPr>
                <w:rFonts w:ascii="仿宋_GB2312" w:hAnsi="仿宋_GB2312" w:eastAsia="仿宋_GB2312" w:cs="仿宋_GB2312"/>
                <w:b/>
                <w:bCs/>
                <w:color w:val="auto"/>
                <w:kern w:val="0"/>
                <w:sz w:val="24"/>
                <w:highlight w:val="none"/>
                <w:lang w:bidi="ar"/>
              </w:rPr>
            </w:pPr>
            <w:r>
              <w:rPr>
                <w:rFonts w:hint="eastAsia" w:ascii="仿宋_GB2312" w:hAnsi="仿宋_GB2312" w:eastAsia="仿宋_GB2312" w:cs="仿宋_GB2312"/>
                <w:b/>
                <w:bCs/>
                <w:color w:val="auto"/>
                <w:kern w:val="0"/>
                <w:sz w:val="24"/>
                <w:highlight w:val="none"/>
                <w:lang w:bidi="ar"/>
              </w:rPr>
              <w:t>指标分类</w:t>
            </w: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lang w:bidi="ar"/>
              </w:rPr>
              <w:t>指标要求</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2"/>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restart"/>
            <w:tcBorders>
              <w:top w:val="single" w:color="auto" w:sz="4" w:space="0"/>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产品规格</w:t>
            </w:r>
          </w:p>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主要参数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bookmarkStart w:id="46" w:name="OLE_LINK10"/>
            <w:bookmarkStart w:id="47" w:name="OLE_LINK9"/>
            <w:r>
              <w:rPr>
                <w:rFonts w:hint="eastAsia" w:ascii="仿宋_GB2312" w:hAnsi="仿宋_GB2312" w:eastAsia="仿宋_GB2312" w:cs="仿宋_GB2312"/>
                <w:color w:val="auto"/>
                <w:sz w:val="24"/>
                <w:highlight w:val="none"/>
              </w:rPr>
              <w:t>▲</w:t>
            </w:r>
            <w:bookmarkEnd w:id="46"/>
            <w:bookmarkEnd w:id="47"/>
            <w:r>
              <w:rPr>
                <w:rFonts w:hint="eastAsia" w:ascii="仿宋_GB2312" w:hAnsi="仿宋_GB2312" w:eastAsia="仿宋_GB2312" w:cs="仿宋_GB2312"/>
                <w:color w:val="auto"/>
                <w:sz w:val="24"/>
                <w:highlight w:val="none"/>
              </w:rPr>
              <w:t>基本要求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处理器≥4核，主频≥3.0GHz</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内存≥8GB DDR4</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硬盘≥256GB SSD</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内存配置容量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配置≥1条8GB DDR4内存</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支持DDR4及以上内存类型</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主板集成模块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集成资源扩展模块、计算处理模块、音频扩展模块等，主板的互联拓扑可通过处理器或交换电路实现</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主板支持的CPU和内存情况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支持X86架构CPU和DDR4及以上内存</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主板内置PCle插槽数量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支持PCIe插槽数量不少于1个</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主板其他内置接口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供应商给出相关SATA、M.2、USB接口数量及占用状态</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存储设备规格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固态盘数量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≥1个</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固态存储容量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≥256GB</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固态存储形态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采用插卡或板载等形态，可选用符合M.2或2.5寸SATA或mSATA等标准的插卡形态</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存储设备其他参数要求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固态盘应符合SJ/T 11654相关规定</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网络设备规格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有线网卡数量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外部接口规格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USB接口数量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视频接口数量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kern w:val="0"/>
                <w:sz w:val="24"/>
                <w:highlight w:val="none"/>
                <w:lang w:bidi="ar"/>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音频接口数量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整机基础规格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整机外观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a)产品表面不应有凹痕、划伤、裂缝、变形和污染等。表面涂层均匀，不应起泡、龟裂、脱落和磨损，金属零部件无锈蚀及其它机械损伤；</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b)产品表面说明功能的文字、符号、标志，应清晰、端正、牢固；</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状态指示灯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在产品显著位置提供状态指示功能，如运行状态，并由供应商提供详细参数</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a)机箱应符合GB/T4208、GB/T26246的相关规定；</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b)产品内部结构应符合通用部件的安装需求；</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c)所有输入输出接口应符合相关国家或行业标准；</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d)产品零部件应紧固无松动，可插拔部件应可靠连接，开关、按钮和其它控制部件应灵活可靠，布局应方便使用；</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e)所有I/O连接器及需插接线缆的部位应预留采购人操作空间，方便插拔解锁与插拔线缆；</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f)可插拔板卡插槽部位应预留安装、拆卸或更换板卡空间；</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g)拆装可能接触到的金属剪口或金属尖角部位应做防划伤处理，以保证安全；</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h)整机内部走线应规整，固线结构和位置要合理可靠并做防割线处理，需便于理线和插拔操作，走线应不影响系统各主要部件组装和拆卸；</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i)如需通过孔走线，过线孔应做防割线处理；</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j)各插头位置和插拔方向应合理，应做到插拔无障碍设计，具备防呆设计，有效避免误操作；</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k)各主要部件拆装无障碍，使用常规工具拆装，无特殊拆装工具需求；</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l)各主要部件拆装步骤要少，各自拆装需避免相互干扰；</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m)对于整机或零部件外表面为高亮面的，应粘贴保护膜，保护膜需粘贴牢固，运输、组装等过程不易脱落，撕下无残留；</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n)其它要求应符合GB/T 9813.1的相关规定</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机箱防护要求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机箱应符合GB/T4208中IP20防护要求</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整机噪音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产品工作在空闲状态下，产品的声功率级应不超过20dB(A)</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整机散热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在环境温度25℃及处理器满载情况下，产品表面温度应符合如下要求：</w:t>
            </w:r>
          </w:p>
          <w:p>
            <w:pPr>
              <w:widowControl/>
              <w:snapToGrid w:val="0"/>
              <w:textAlignment w:val="center"/>
              <w:rPr>
                <w:rFonts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a)出风口在机箱后面板情况下，出风口温度不高于55℃；</w:t>
            </w:r>
          </w:p>
          <w:p>
            <w:pPr>
              <w:widowControl/>
              <w:snapToGrid w:val="0"/>
              <w:textAlignment w:val="center"/>
              <w:rPr>
                <w:rFonts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b)可触及面温度不高于45℃；</w:t>
            </w:r>
          </w:p>
          <w:p>
            <w:pPr>
              <w:widowControl/>
              <w:snapToGrid w:val="0"/>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c)显示器表面温度：显示屏不高于38℃，显示屏上下灯带位置温度（如涉及）不高于40℃，出风口温度不高于45℃</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整机能效限定值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产品能效限定值应达到GB28380-2012标准中能效等级2级及以上</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机身材质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金属</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bottom w:val="single" w:color="auto"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机身颜色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黑色</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restart"/>
            <w:tcBorders>
              <w:top w:val="single" w:color="auto" w:sz="4" w:space="0"/>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性能要求</w:t>
            </w:r>
          </w:p>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CPU性能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CPU物理核数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CPU主频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≥3GHz</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CPU支持的内存最高速率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≥3200MT/s</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内存性能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内存读写速率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≥3200MT/s</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bottom w:val="single" w:color="auto"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网络设备性能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有线网卡速率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最高速率应不低于1000Mbps，应支持10Mbps、100Mbps、1000Mbps速率自适应</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restart"/>
            <w:tcBorders>
              <w:top w:val="single" w:color="auto" w:sz="4" w:space="0"/>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功能要求</w:t>
            </w:r>
          </w:p>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内存扩展接口(板载内存不涉及)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≥1个</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存储扩展接口(板载存储不涉及)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供应商给出主板支持存储扩展接口类型，如UFS3.0、SATA3.0、SAS3.0、M.2等类型接口</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主板USB瞬间过流保护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支持有瞬间过流保护功能</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主板防静电保护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支持防静电保护功能</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I/O接口功能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存储功能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▲存储功能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通过SATA固态存储/PCIe固态存储/UFS固态存储/SATA硬磁盘等存储部件提供存储功能</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网络设备功能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网络功能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a)支持网络连接、网络开启/关闭功能；</w:t>
            </w:r>
          </w:p>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b)支持访问网络和数据交换功能</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数据传输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支持数据传输能力，并提供数据流量和异常日志记录功能</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有线网卡接口类型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支持RJ45接口</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网络设备拆装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网络设备支持物理拆装，包括无线网卡和蓝牙模块等（若配置无线网卡和蓝牙模块）</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外部接口功能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音频接口类型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支持3.5mm孔径3段式或4段式接口</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视频接口类型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至少支持VGA、HDMI、DVI、DP、Type-C中1种显示接口</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HDMI、DP、Type-C显示接口要求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若提供HDMI或DP或Type-C作为显示接口，应支持音频和视频同步输出</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bottom w:val="single" w:color="auto"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电源功能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电源线适配能力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电源适配器电线组件应符合GB/T 15934的要求，可拆线的插头和连接器可以不做要求</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restart"/>
            <w:tcBorders>
              <w:top w:val="single" w:color="auto" w:sz="4" w:space="0"/>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可靠性要求</w:t>
            </w:r>
          </w:p>
          <w:p>
            <w:pPr>
              <w:snapToGrid w:val="0"/>
              <w:rPr>
                <w:rFonts w:ascii="仿宋_GB2312" w:hAnsi="仿宋_GB2312" w:eastAsia="仿宋_GB2312" w:cs="仿宋_GB2312"/>
                <w:color w:val="auto"/>
                <w:sz w:val="24"/>
                <w:highlight w:val="none"/>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存储设备可靠性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固态存储寿命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TBW≥80TB</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机械硬盘寿命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通电时间≥5万小时</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显示设备可靠性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显示屏屏幕失效点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9813.2的要求</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整机可靠性要求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电磁兼容性要求的抗扰度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9254.2的规定</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环境条件要求的气候环境适应性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9813.1中规定</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环境条件要求的振动适应性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9813.1中规定</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环境条件要求的冲击适应性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9813.1中规定</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环境条件要求的碰撞适应性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9813.1中规定</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环境条件要求的运输包装件跌落适应性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9813.1中规定</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bottom w:val="single" w:color="auto"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MTBF测试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MTBF(m1)≥50万小时</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restart"/>
            <w:tcBorders>
              <w:top w:val="single" w:color="auto" w:sz="4" w:space="0"/>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兼容要求</w:t>
            </w:r>
          </w:p>
          <w:p>
            <w:pPr>
              <w:snapToGrid w:val="0"/>
              <w:rPr>
                <w:rFonts w:ascii="仿宋_GB2312" w:hAnsi="仿宋_GB2312" w:eastAsia="仿宋_GB2312" w:cs="仿宋_GB2312"/>
                <w:color w:val="auto"/>
                <w:sz w:val="24"/>
                <w:highlight w:val="none"/>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常用软件兼容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支持流式软件、版式软件、浏览器、邮件采购人端、解压软件、多媒体、图形图像处理等常用软件</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▲数据库兼容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兼容3个及以上厂商的数据库产品</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中间件兼容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兼容3个及以上厂商中间件产品</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bottom w:val="single" w:color="auto"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平台软件兼容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兼容3个及以上厂商云计算及大数据平台</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auto"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tcBorders>
              <w:top w:val="single" w:color="auto" w:sz="4" w:space="0"/>
              <w:left w:val="single" w:color="auto" w:sz="4" w:space="0"/>
              <w:bottom w:val="single" w:color="auto"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包装及运输要求</w:t>
            </w: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包装及运输要求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标志、包装、运输和贮存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符合GB/T 9813.1和商品包装政府采购需求标准的相关规定</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restart"/>
            <w:tcBorders>
              <w:top w:val="single" w:color="auto" w:sz="4" w:space="0"/>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服务要求</w:t>
            </w:r>
          </w:p>
          <w:p>
            <w:pPr>
              <w:snapToGrid w:val="0"/>
              <w:rPr>
                <w:rFonts w:ascii="仿宋_GB2312" w:hAnsi="仿宋_GB2312" w:eastAsia="仿宋_GB2312" w:cs="仿宋_GB2312"/>
                <w:color w:val="auto"/>
                <w:sz w:val="24"/>
                <w:highlight w:val="none"/>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配置检查工具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供应商提供自检测试工具</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服务响应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a)供应商提供电话、电子邮件、远程连接等多种形式服务；</w:t>
            </w:r>
          </w:p>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b)供应商应提供7×24小时的免费技术服务，对故障在1小时内响应，2小时以内到现场，4小时以内解决问题；12小时内不能解决问题的，必须提供周转设备或更换设备，以保证采购单位的正常使用。</w:t>
            </w:r>
          </w:p>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c)建立全国技术服务体系和服务团体，符合专业服务体系标准要求，提供原厂中文服务；</w:t>
            </w:r>
          </w:p>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d)服务周期内提供产品的维修、换件和升级服务</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服务周期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a)设备停产后应继续提供质量保障服务（含备品备件），服务终止时间与最后一批设备交付时间间隔不低于3年；</w:t>
            </w:r>
          </w:p>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b)产品停止服务时间应提前1年告知；</w:t>
            </w:r>
          </w:p>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c)应明确产品发布日期</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供应商提供培训材料、产品手册、培训视频等培训相关内容</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典型问题解决手册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供应商提供典型问题解决说明文档或视频</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厂家升级软件与扩容服务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供应商提供上门升级部件/软件与扩容的增值服务</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整机质量服务要求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免费服务周期（含换件和维修）应不小于3年</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开箱组装/使用指导要求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供应商提供开箱组装/使用指导</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驱动下载服务要求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供应商提供驱动光盘或下载方式</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bottom w:val="single" w:color="auto"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兼容适配软件下载服务要求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snapToGrid w:val="0"/>
              <w:spacing w:line="36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供应商提供兼容适配软件下载渠道（光盘、网站）</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restart"/>
            <w:tcBorders>
              <w:top w:val="single" w:color="auto" w:sz="4" w:space="0"/>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供应保障要求</w:t>
            </w:r>
          </w:p>
          <w:p>
            <w:pPr>
              <w:snapToGrid w:val="0"/>
              <w:rPr>
                <w:rFonts w:ascii="仿宋_GB2312" w:hAnsi="仿宋_GB2312" w:eastAsia="仿宋_GB2312" w:cs="仿宋_GB2312"/>
                <w:color w:val="auto"/>
                <w:sz w:val="24"/>
                <w:highlight w:val="none"/>
              </w:rPr>
            </w:pPr>
          </w:p>
        </w:tc>
        <w:tc>
          <w:tcPr>
            <w:tcW w:w="354" w:type="pc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供应链合规性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产品部件保障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供应商保障产品主要部件，提供3年的备件服务能力（自购买之日起），或提供可兼容原设备的升级换代产品</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right w:val="single" w:color="auto" w:sz="4" w:space="0"/>
            </w:tcBorders>
            <w:vAlign w:val="center"/>
          </w:tcPr>
          <w:p>
            <w:pPr>
              <w:widowControl/>
              <w:snapToGrid w:val="0"/>
              <w:textAlignment w:val="center"/>
              <w:rPr>
                <w:rFonts w:ascii="仿宋_GB2312" w:hAnsi="仿宋_GB2312" w:eastAsia="仿宋_GB2312" w:cs="仿宋_GB2312"/>
                <w:color w:val="auto"/>
                <w:kern w:val="0"/>
                <w:sz w:val="24"/>
                <w:highlight w:val="none"/>
                <w:lang w:bidi="ar"/>
              </w:rPr>
            </w:pPr>
          </w:p>
        </w:tc>
        <w:tc>
          <w:tcPr>
            <w:tcW w:w="354"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供应链质量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抗干扰性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当产品部件出现供应风险时，供应商应通知采购人并提供风险应对方案确保产品的服务保障</w:t>
            </w:r>
          </w:p>
        </w:tc>
      </w:tr>
      <w:tr>
        <w:tblPrEx>
          <w:tblCellMar>
            <w:top w:w="0" w:type="dxa"/>
            <w:left w:w="108" w:type="dxa"/>
            <w:bottom w:w="0" w:type="dxa"/>
            <w:right w:w="108" w:type="dxa"/>
          </w:tblCellMar>
        </w:tblPrEx>
        <w:trPr>
          <w:cantSplit/>
          <w:trHeight w:val="20" w:hRule="atLeast"/>
          <w:tblHeader/>
          <w:jc w:val="center"/>
        </w:trPr>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napToGrid w:val="0"/>
              <w:jc w:val="center"/>
              <w:textAlignment w:val="center"/>
              <w:rPr>
                <w:rFonts w:ascii="仿宋_GB2312" w:hAnsi="仿宋_GB2312" w:eastAsia="仿宋_GB2312" w:cs="仿宋_GB2312"/>
                <w:color w:val="auto"/>
                <w:sz w:val="24"/>
                <w:highlight w:val="none"/>
              </w:rPr>
            </w:pPr>
          </w:p>
        </w:tc>
        <w:tc>
          <w:tcPr>
            <w:tcW w:w="287" w:type="pct"/>
            <w:vMerge w:val="continue"/>
            <w:tcBorders>
              <w:left w:val="single" w:color="000000" w:sz="4" w:space="0"/>
              <w:bottom w:val="single" w:color="auto" w:sz="4" w:space="0"/>
              <w:right w:val="single" w:color="auto" w:sz="4" w:space="0"/>
            </w:tcBorders>
            <w:vAlign w:val="center"/>
          </w:tcPr>
          <w:p>
            <w:pPr>
              <w:snapToGrid w:val="0"/>
              <w:rPr>
                <w:rFonts w:ascii="仿宋_GB2312" w:hAnsi="仿宋_GB2312" w:eastAsia="仿宋_GB2312" w:cs="仿宋_GB2312"/>
                <w:color w:val="auto"/>
                <w:sz w:val="24"/>
                <w:highlight w:val="none"/>
              </w:rPr>
            </w:pPr>
          </w:p>
        </w:tc>
        <w:tc>
          <w:tcPr>
            <w:tcW w:w="354"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供应能力证明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供应商提供供应链稳定承诺书，确保产品的部件在产品服务周期内稳定供货</w:t>
            </w:r>
          </w:p>
        </w:tc>
      </w:tr>
    </w:tbl>
    <w:p>
      <w:pP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4、万兆交换机：</w:t>
      </w:r>
    </w:p>
    <w:tbl>
      <w:tblPr>
        <w:tblStyle w:val="63"/>
        <w:tblW w:w="58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110"/>
        <w:gridCol w:w="1402"/>
        <w:gridCol w:w="1986"/>
        <w:gridCol w:w="4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46" w:type="pct"/>
            <w:shd w:val="clear" w:color="auto" w:fill="auto"/>
            <w:vAlign w:val="center"/>
          </w:tcPr>
          <w:p>
            <w:pPr>
              <w:widowControl/>
              <w:snapToGrid w:val="0"/>
              <w:jc w:val="left"/>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rPr>
              <w:t>序号</w:t>
            </w:r>
          </w:p>
        </w:tc>
        <w:tc>
          <w:tcPr>
            <w:tcW w:w="568" w:type="pct"/>
            <w:vAlign w:val="center"/>
          </w:tcPr>
          <w:p>
            <w:pPr>
              <w:widowControl/>
              <w:snapToGrid w:val="0"/>
              <w:jc w:val="left"/>
              <w:textAlignment w:val="center"/>
              <w:rPr>
                <w:rFonts w:ascii="仿宋_GB2312" w:hAnsi="仿宋_GB2312" w:eastAsia="仿宋_GB2312" w:cs="仿宋_GB2312"/>
                <w:b/>
                <w:bCs/>
                <w:color w:val="auto"/>
                <w:kern w:val="0"/>
                <w:sz w:val="24"/>
                <w:highlight w:val="none"/>
                <w:lang w:bidi="ar"/>
              </w:rPr>
            </w:pPr>
            <w:r>
              <w:rPr>
                <w:rFonts w:hint="eastAsia" w:ascii="仿宋_GB2312" w:hAnsi="仿宋_GB2312" w:eastAsia="仿宋_GB2312" w:cs="仿宋_GB2312"/>
                <w:b/>
                <w:bCs/>
                <w:color w:val="auto"/>
                <w:kern w:val="0"/>
                <w:sz w:val="24"/>
                <w:highlight w:val="none"/>
              </w:rPr>
              <w:t>指标分类</w:t>
            </w:r>
          </w:p>
        </w:tc>
        <w:tc>
          <w:tcPr>
            <w:tcW w:w="715" w:type="pct"/>
            <w:shd w:val="clear" w:color="auto" w:fill="auto"/>
            <w:vAlign w:val="center"/>
          </w:tcPr>
          <w:p>
            <w:pPr>
              <w:widowControl/>
              <w:snapToGrid w:val="0"/>
              <w:jc w:val="left"/>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rPr>
              <w:t>一级指标</w:t>
            </w:r>
          </w:p>
        </w:tc>
        <w:tc>
          <w:tcPr>
            <w:tcW w:w="1010" w:type="pct"/>
            <w:shd w:val="clear" w:color="auto" w:fill="auto"/>
            <w:vAlign w:val="center"/>
          </w:tcPr>
          <w:p>
            <w:pPr>
              <w:widowControl/>
              <w:snapToGrid w:val="0"/>
              <w:jc w:val="left"/>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rPr>
              <w:t>二级指标</w:t>
            </w:r>
          </w:p>
        </w:tc>
        <w:tc>
          <w:tcPr>
            <w:tcW w:w="2261" w:type="pct"/>
            <w:shd w:val="clear" w:color="auto" w:fill="auto"/>
            <w:vAlign w:val="center"/>
          </w:tcPr>
          <w:p>
            <w:pPr>
              <w:widowControl/>
              <w:snapToGrid w:val="0"/>
              <w:jc w:val="left"/>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6" w:type="pct"/>
            <w:shd w:val="clear" w:color="auto" w:fill="auto"/>
            <w:vAlign w:val="center"/>
          </w:tcPr>
          <w:p>
            <w:pPr>
              <w:pStyle w:val="972"/>
              <w:widowControl/>
              <w:numPr>
                <w:ilvl w:val="0"/>
                <w:numId w:val="3"/>
              </w:numPr>
              <w:snapToGrid w:val="0"/>
              <w:ind w:left="210" w:leftChars="0" w:firstLine="0" w:firstLineChars="0"/>
              <w:jc w:val="left"/>
              <w:textAlignment w:val="center"/>
              <w:rPr>
                <w:rFonts w:ascii="仿宋_GB2312" w:hAnsi="仿宋_GB2312" w:eastAsia="仿宋_GB2312" w:cs="仿宋_GB2312"/>
                <w:color w:val="auto"/>
                <w:sz w:val="24"/>
                <w:highlight w:val="none"/>
              </w:rPr>
            </w:pPr>
          </w:p>
        </w:tc>
        <w:tc>
          <w:tcPr>
            <w:tcW w:w="568" w:type="pct"/>
            <w:vMerge w:val="restart"/>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产品规格</w:t>
            </w:r>
          </w:p>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715" w:type="pct"/>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硬件要求</w:t>
            </w:r>
          </w:p>
        </w:tc>
        <w:tc>
          <w:tcPr>
            <w:tcW w:w="1010" w:type="pct"/>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设备性能</w:t>
            </w:r>
          </w:p>
        </w:tc>
        <w:tc>
          <w:tcPr>
            <w:tcW w:w="2261"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交换容量≥4.8Tbps，包转发率≥2000Mpps，以官网所列最低参数为准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46" w:type="pct"/>
            <w:shd w:val="clear" w:color="auto" w:fill="auto"/>
            <w:vAlign w:val="center"/>
          </w:tcPr>
          <w:p>
            <w:pPr>
              <w:pStyle w:val="972"/>
              <w:widowControl/>
              <w:numPr>
                <w:ilvl w:val="0"/>
                <w:numId w:val="3"/>
              </w:numPr>
              <w:snapToGrid w:val="0"/>
              <w:ind w:left="210" w:leftChars="0" w:firstLine="0" w:firstLineChars="0"/>
              <w:jc w:val="left"/>
              <w:textAlignment w:val="center"/>
              <w:rPr>
                <w:rFonts w:ascii="仿宋_GB2312" w:hAnsi="仿宋_GB2312" w:eastAsia="仿宋_GB2312" w:cs="仿宋_GB2312"/>
                <w:color w:val="auto"/>
                <w:sz w:val="24"/>
                <w:highlight w:val="none"/>
              </w:rPr>
            </w:pPr>
          </w:p>
        </w:tc>
        <w:tc>
          <w:tcPr>
            <w:tcW w:w="568" w:type="pct"/>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715" w:type="pct"/>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010" w:type="pct"/>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2261"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≥48个1/10GESFP+光接口，≥2个QSFP+光接口,≥4个QSFP28光接口；模块化双电源四风扇；≥10个万兆多模光模块；≥1条万兆堆叠线；≥4个千兆电模块。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6" w:type="pct"/>
            <w:shd w:val="clear" w:color="auto" w:fill="auto"/>
            <w:vAlign w:val="center"/>
          </w:tcPr>
          <w:p>
            <w:pPr>
              <w:pStyle w:val="972"/>
              <w:widowControl/>
              <w:numPr>
                <w:ilvl w:val="0"/>
                <w:numId w:val="3"/>
              </w:numPr>
              <w:snapToGrid w:val="0"/>
              <w:ind w:left="210" w:leftChars="0" w:firstLine="0" w:firstLineChars="0"/>
              <w:jc w:val="left"/>
              <w:textAlignment w:val="center"/>
              <w:rPr>
                <w:rFonts w:ascii="仿宋_GB2312" w:hAnsi="仿宋_GB2312" w:eastAsia="仿宋_GB2312" w:cs="仿宋_GB2312"/>
                <w:color w:val="auto"/>
                <w:sz w:val="24"/>
                <w:highlight w:val="none"/>
              </w:rPr>
            </w:pPr>
          </w:p>
        </w:tc>
        <w:tc>
          <w:tcPr>
            <w:tcW w:w="568" w:type="pct"/>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715" w:type="pct"/>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010"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国产化</w:t>
            </w:r>
          </w:p>
        </w:tc>
        <w:tc>
          <w:tcPr>
            <w:tcW w:w="2261"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CPU和LSW要求国产化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6" w:type="pct"/>
            <w:shd w:val="clear" w:color="auto" w:fill="auto"/>
            <w:vAlign w:val="center"/>
          </w:tcPr>
          <w:p>
            <w:pPr>
              <w:pStyle w:val="972"/>
              <w:widowControl/>
              <w:numPr>
                <w:ilvl w:val="0"/>
                <w:numId w:val="3"/>
              </w:numPr>
              <w:snapToGrid w:val="0"/>
              <w:ind w:left="210" w:leftChars="0" w:firstLine="0" w:firstLineChars="0"/>
              <w:jc w:val="left"/>
              <w:textAlignment w:val="center"/>
              <w:rPr>
                <w:rFonts w:ascii="仿宋_GB2312" w:hAnsi="仿宋_GB2312" w:eastAsia="仿宋_GB2312" w:cs="仿宋_GB2312"/>
                <w:color w:val="auto"/>
                <w:sz w:val="24"/>
                <w:highlight w:val="none"/>
              </w:rPr>
            </w:pPr>
          </w:p>
        </w:tc>
        <w:tc>
          <w:tcPr>
            <w:tcW w:w="568" w:type="pct"/>
            <w:vMerge w:val="restart"/>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功能要求</w:t>
            </w:r>
          </w:p>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715" w:type="pct"/>
            <w:vMerge w:val="restar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软件要求</w:t>
            </w:r>
          </w:p>
        </w:tc>
        <w:tc>
          <w:tcPr>
            <w:tcW w:w="1010"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路由</w:t>
            </w:r>
          </w:p>
        </w:tc>
        <w:tc>
          <w:tcPr>
            <w:tcW w:w="2261"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支持静态路由、RIP，OSPF，ISISv4，BGP4、IPv6静态路由、RIPng、OSPFv3、BGP4+、等价路由、MSTP、VRRP等协议；支持IPv4和IPv6环境下的策略路由；支持IPv6手动隧道、6to4隧道和ISATAP隧道；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6" w:type="pct"/>
            <w:shd w:val="clear" w:color="auto" w:fill="auto"/>
            <w:vAlign w:val="center"/>
          </w:tcPr>
          <w:p>
            <w:pPr>
              <w:pStyle w:val="972"/>
              <w:widowControl/>
              <w:numPr>
                <w:ilvl w:val="0"/>
                <w:numId w:val="3"/>
              </w:numPr>
              <w:snapToGrid w:val="0"/>
              <w:ind w:left="210" w:leftChars="0" w:firstLine="0" w:firstLineChars="0"/>
              <w:jc w:val="left"/>
              <w:textAlignment w:val="center"/>
              <w:rPr>
                <w:rFonts w:ascii="仿宋_GB2312" w:hAnsi="仿宋_GB2312" w:eastAsia="仿宋_GB2312" w:cs="仿宋_GB2312"/>
                <w:color w:val="auto"/>
                <w:sz w:val="24"/>
                <w:highlight w:val="none"/>
              </w:rPr>
            </w:pPr>
          </w:p>
        </w:tc>
        <w:tc>
          <w:tcPr>
            <w:tcW w:w="568" w:type="pct"/>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715" w:type="pct"/>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010"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PTP</w:t>
            </w:r>
          </w:p>
        </w:tc>
        <w:tc>
          <w:tcPr>
            <w:tcW w:w="2261"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PTP支持4种profile：1588v2\802.1AS\ST2059-2\AES67-2015；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6" w:type="pct"/>
            <w:shd w:val="clear" w:color="auto" w:fill="auto"/>
            <w:vAlign w:val="center"/>
          </w:tcPr>
          <w:p>
            <w:pPr>
              <w:pStyle w:val="972"/>
              <w:widowControl/>
              <w:numPr>
                <w:ilvl w:val="0"/>
                <w:numId w:val="3"/>
              </w:numPr>
              <w:snapToGrid w:val="0"/>
              <w:ind w:left="210" w:leftChars="0" w:firstLine="0" w:firstLineChars="0"/>
              <w:jc w:val="left"/>
              <w:textAlignment w:val="center"/>
              <w:rPr>
                <w:rFonts w:ascii="仿宋_GB2312" w:hAnsi="仿宋_GB2312" w:eastAsia="仿宋_GB2312" w:cs="仿宋_GB2312"/>
                <w:color w:val="auto"/>
                <w:sz w:val="24"/>
                <w:highlight w:val="none"/>
              </w:rPr>
            </w:pPr>
          </w:p>
        </w:tc>
        <w:tc>
          <w:tcPr>
            <w:tcW w:w="568" w:type="pct"/>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715" w:type="pct"/>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010"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虚拟化</w:t>
            </w:r>
          </w:p>
        </w:tc>
        <w:tc>
          <w:tcPr>
            <w:tcW w:w="2261"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支持集群或堆叠多虚一技术，实现单一界面管理多台设备，IRF成员数4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6" w:type="pct"/>
            <w:shd w:val="clear" w:color="auto" w:fill="auto"/>
            <w:vAlign w:val="center"/>
          </w:tcPr>
          <w:p>
            <w:pPr>
              <w:pStyle w:val="972"/>
              <w:widowControl/>
              <w:numPr>
                <w:ilvl w:val="0"/>
                <w:numId w:val="3"/>
              </w:numPr>
              <w:snapToGrid w:val="0"/>
              <w:ind w:left="210" w:leftChars="0" w:firstLine="0" w:firstLineChars="0"/>
              <w:jc w:val="left"/>
              <w:textAlignment w:val="center"/>
              <w:rPr>
                <w:rFonts w:ascii="仿宋_GB2312" w:hAnsi="仿宋_GB2312" w:eastAsia="仿宋_GB2312" w:cs="仿宋_GB2312"/>
                <w:color w:val="auto"/>
                <w:sz w:val="24"/>
                <w:highlight w:val="none"/>
              </w:rPr>
            </w:pPr>
          </w:p>
        </w:tc>
        <w:tc>
          <w:tcPr>
            <w:tcW w:w="568" w:type="pct"/>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715" w:type="pct"/>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010"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端口镜像</w:t>
            </w:r>
          </w:p>
        </w:tc>
        <w:tc>
          <w:tcPr>
            <w:tcW w:w="2261"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支持本地端口镜像和远程端口镜,支持流镜像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446" w:type="pct"/>
            <w:shd w:val="clear" w:color="auto" w:fill="auto"/>
            <w:vAlign w:val="center"/>
          </w:tcPr>
          <w:p>
            <w:pPr>
              <w:pStyle w:val="972"/>
              <w:widowControl/>
              <w:numPr>
                <w:ilvl w:val="0"/>
                <w:numId w:val="3"/>
              </w:numPr>
              <w:snapToGrid w:val="0"/>
              <w:ind w:left="210" w:leftChars="0" w:firstLine="0" w:firstLineChars="0"/>
              <w:jc w:val="left"/>
              <w:textAlignment w:val="center"/>
              <w:rPr>
                <w:rFonts w:ascii="仿宋_GB2312" w:hAnsi="仿宋_GB2312" w:eastAsia="仿宋_GB2312" w:cs="仿宋_GB2312"/>
                <w:color w:val="auto"/>
                <w:sz w:val="24"/>
                <w:highlight w:val="none"/>
              </w:rPr>
            </w:pPr>
          </w:p>
        </w:tc>
        <w:tc>
          <w:tcPr>
            <w:tcW w:w="568" w:type="pct"/>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715" w:type="pct"/>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010"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▲GRE隧道剥离封装</w:t>
            </w:r>
          </w:p>
        </w:tc>
        <w:tc>
          <w:tcPr>
            <w:tcW w:w="2261" w:type="pct"/>
            <w:shd w:val="clear" w:color="auto" w:fill="auto"/>
            <w:vAlign w:val="center"/>
          </w:tcPr>
          <w:p>
            <w:pPr>
              <w:autoSpaceDE w:val="0"/>
              <w:autoSpaceDN w:val="0"/>
              <w:snapToGrid w:val="0"/>
              <w:spacing w:line="360" w:lineRule="exact"/>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sz w:val="24"/>
                <w:highlight w:val="none"/>
              </w:rPr>
              <w:t>支持GRE隧道剥离封装，支持同源同宿，支持报文截断。</w:t>
            </w:r>
          </w:p>
          <w:p>
            <w:pPr>
              <w:autoSpaceDE w:val="0"/>
              <w:autoSpaceDN w:val="0"/>
              <w:snapToGrid w:val="0"/>
              <w:spacing w:line="360" w:lineRule="exact"/>
              <w:jc w:val="left"/>
              <w:rPr>
                <w:rFonts w:ascii="仿宋_GB2312" w:hAnsi="仿宋_GB2312" w:eastAsia="仿宋_GB2312" w:cs="仿宋_GB2312"/>
                <w:color w:val="auto"/>
                <w:szCs w:val="24"/>
                <w:highlight w:val="none"/>
              </w:rPr>
            </w:pPr>
            <w:r>
              <w:rPr>
                <w:rFonts w:hint="eastAsia" w:ascii="仿宋_GB2312" w:hAnsi="仿宋_GB2312" w:eastAsia="仿宋_GB2312" w:cs="仿宋_GB2312"/>
                <w:b/>
                <w:bCs/>
                <w:color w:val="auto"/>
                <w:sz w:val="24"/>
                <w:highlight w:val="none"/>
              </w:rPr>
              <w:t>2、上述第1点参数提供相关功能界面截图。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6" w:type="pct"/>
            <w:shd w:val="clear" w:color="auto" w:fill="auto"/>
            <w:vAlign w:val="center"/>
          </w:tcPr>
          <w:p>
            <w:pPr>
              <w:pStyle w:val="972"/>
              <w:widowControl/>
              <w:numPr>
                <w:ilvl w:val="0"/>
                <w:numId w:val="3"/>
              </w:numPr>
              <w:snapToGrid w:val="0"/>
              <w:ind w:left="210" w:leftChars="0" w:firstLine="0" w:firstLineChars="0"/>
              <w:jc w:val="left"/>
              <w:textAlignment w:val="center"/>
              <w:rPr>
                <w:rFonts w:ascii="仿宋_GB2312" w:hAnsi="仿宋_GB2312" w:eastAsia="仿宋_GB2312" w:cs="仿宋_GB2312"/>
                <w:color w:val="auto"/>
                <w:sz w:val="24"/>
                <w:highlight w:val="none"/>
              </w:rPr>
            </w:pPr>
          </w:p>
        </w:tc>
        <w:tc>
          <w:tcPr>
            <w:tcW w:w="568" w:type="pct"/>
            <w:vMerge w:val="continue"/>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715" w:type="pct"/>
            <w:vMerge w:val="continue"/>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p>
        </w:tc>
        <w:tc>
          <w:tcPr>
            <w:tcW w:w="1010" w:type="pct"/>
            <w:shd w:val="clear" w:color="auto" w:fill="auto"/>
            <w:vAlign w:val="center"/>
          </w:tcPr>
          <w:p>
            <w:pPr>
              <w:autoSpaceDE w:val="0"/>
              <w:autoSpaceDN w:val="0"/>
              <w:snapToGrid w:val="0"/>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▲TAP功能</w:t>
            </w:r>
          </w:p>
        </w:tc>
        <w:tc>
          <w:tcPr>
            <w:tcW w:w="2261" w:type="pct"/>
            <w:shd w:val="clear" w:color="auto" w:fill="auto"/>
            <w:vAlign w:val="center"/>
          </w:tcPr>
          <w:p>
            <w:pPr>
              <w:autoSpaceDE w:val="0"/>
              <w:autoSpaceDN w:val="0"/>
              <w:snapToGrid w:val="0"/>
              <w:spacing w:line="360" w:lineRule="exact"/>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1、支持TAP功能增加时间戳及以太网头。</w:t>
            </w:r>
          </w:p>
          <w:p>
            <w:pPr>
              <w:autoSpaceDE w:val="0"/>
              <w:autoSpaceDN w:val="0"/>
              <w:snapToGrid w:val="0"/>
              <w:spacing w:line="360" w:lineRule="exact"/>
              <w:jc w:val="left"/>
              <w:rPr>
                <w:rFonts w:ascii="仿宋_GB2312" w:hAnsi="仿宋_GB2312" w:eastAsia="仿宋_GB2312" w:cs="仿宋_GB2312"/>
                <w:color w:val="auto"/>
                <w:szCs w:val="24"/>
                <w:highlight w:val="none"/>
              </w:rPr>
            </w:pPr>
            <w:r>
              <w:rPr>
                <w:rFonts w:hint="eastAsia" w:ascii="仿宋_GB2312" w:hAnsi="仿宋_GB2312" w:eastAsia="仿宋_GB2312" w:cs="仿宋_GB2312"/>
                <w:b/>
                <w:bCs/>
                <w:color w:val="auto"/>
                <w:kern w:val="0"/>
                <w:sz w:val="24"/>
                <w:highlight w:val="none"/>
              </w:rPr>
              <w:t>2、上述第1点参数提供相关功能界面截图。</w:t>
            </w:r>
          </w:p>
        </w:tc>
      </w:tr>
    </w:tbl>
    <w:p>
      <w:pPr>
        <w:widowControl/>
        <w:jc w:val="left"/>
        <w:rPr>
          <w:rFonts w:ascii="仿宋_GB2312" w:hAnsi="仿宋_GB2312" w:eastAsia="仿宋_GB2312" w:cs="仿宋_GB2312"/>
          <w:color w:val="auto"/>
          <w:sz w:val="24"/>
          <w:highlight w:val="none"/>
        </w:rPr>
      </w:pPr>
      <w:bookmarkStart w:id="48" w:name="_Toc190868917"/>
      <w:r>
        <w:rPr>
          <w:rFonts w:hint="eastAsia" w:ascii="仿宋_GB2312" w:hAnsi="仿宋_GB2312" w:eastAsia="仿宋_GB2312" w:cs="仿宋_GB2312"/>
          <w:b/>
          <w:bCs/>
          <w:color w:val="auto"/>
          <w:sz w:val="24"/>
          <w:highlight w:val="none"/>
        </w:rPr>
        <w:t>5、操作系统招标参数：</w:t>
      </w:r>
    </w:p>
    <w:tbl>
      <w:tblPr>
        <w:tblStyle w:val="6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288"/>
        <w:gridCol w:w="1270"/>
        <w:gridCol w:w="1985"/>
        <w:gridCol w:w="4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jc w:val="center"/>
        </w:trPr>
        <w:tc>
          <w:tcPr>
            <w:tcW w:w="702" w:type="dxa"/>
            <w:shd w:val="clear" w:color="auto" w:fill="auto"/>
            <w:vAlign w:val="center"/>
          </w:tcPr>
          <w:p>
            <w:pPr>
              <w:widowControl/>
              <w:snapToGrid w:val="0"/>
              <w:spacing w:line="400" w:lineRule="exac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序号</w:t>
            </w:r>
          </w:p>
        </w:tc>
        <w:tc>
          <w:tcPr>
            <w:tcW w:w="1288" w:type="dxa"/>
            <w:shd w:val="clear" w:color="auto" w:fill="auto"/>
            <w:vAlign w:val="center"/>
          </w:tcPr>
          <w:p>
            <w:pPr>
              <w:widowControl/>
              <w:snapToGrid w:val="0"/>
              <w:spacing w:line="400" w:lineRule="exac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指标分类</w:t>
            </w:r>
          </w:p>
        </w:tc>
        <w:tc>
          <w:tcPr>
            <w:tcW w:w="1270" w:type="dxa"/>
            <w:shd w:val="clear" w:color="auto" w:fill="auto"/>
            <w:vAlign w:val="center"/>
          </w:tcPr>
          <w:p>
            <w:pPr>
              <w:widowControl/>
              <w:snapToGrid w:val="0"/>
              <w:spacing w:line="400" w:lineRule="exac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一级指标</w:t>
            </w:r>
          </w:p>
        </w:tc>
        <w:tc>
          <w:tcPr>
            <w:tcW w:w="1985" w:type="dxa"/>
            <w:shd w:val="clear" w:color="auto" w:fill="auto"/>
            <w:vAlign w:val="center"/>
          </w:tcPr>
          <w:p>
            <w:pPr>
              <w:widowControl/>
              <w:snapToGrid w:val="0"/>
              <w:spacing w:line="400" w:lineRule="exac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二级指标</w:t>
            </w:r>
          </w:p>
        </w:tc>
        <w:tc>
          <w:tcPr>
            <w:tcW w:w="4393" w:type="dxa"/>
            <w:shd w:val="clear" w:color="auto" w:fill="auto"/>
            <w:vAlign w:val="center"/>
          </w:tcPr>
          <w:p>
            <w:pPr>
              <w:widowControl/>
              <w:snapToGrid w:val="0"/>
              <w:spacing w:line="400" w:lineRule="exac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w:t>
            </w:r>
          </w:p>
        </w:tc>
        <w:tc>
          <w:tcPr>
            <w:tcW w:w="1288"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功能要求</w:t>
            </w:r>
          </w:p>
          <w:p>
            <w:pPr>
              <w:widowControl/>
              <w:snapToGrid w:val="0"/>
              <w:spacing w:line="400" w:lineRule="exact"/>
              <w:jc w:val="left"/>
              <w:rPr>
                <w:rFonts w:ascii="仿宋_GB2312" w:hAnsi="仿宋_GB2312" w:eastAsia="仿宋_GB2312" w:cs="仿宋_GB2312"/>
                <w:color w:val="auto"/>
                <w:kern w:val="0"/>
                <w:sz w:val="24"/>
                <w:highlight w:val="none"/>
              </w:rPr>
            </w:pPr>
          </w:p>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操作系统支持多CPU架构</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★同源兼容多CPU平台架构</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操作系统支持同源兼容ARM、LoongArch、MIPS、SW64、x86架构的CPU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操作系统支持CPU内置功能</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★多核支持</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操作系统支持双核及多核处理器，包括核间负载均衡、线程绑定等，并提供接口，通过访问接口获取运行状态和控制多核调度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★CPU虚拟化支持</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操作系统支持CPU虚拟化技术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★动态调节CPU运行频率</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操作系统根据负载情况，自动调节CPU的运行频率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★支持多CPU</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支持跨路内存访问，支持CPU间负载均衡，支持并优化NUMA体系架构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★支持CPU内置安全功能</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操作系统支持CPU硬件密码运算与随机数生成等功能；提供编程接口供应用程序调用；支持通过硬件指令判别临界区冲突；支持调用CPU指令，实现自旋锁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安装部署</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★安装方式</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操作系统支持光盘安装、USB闪存盘安装、网络安装和无人值守安装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★安装模式</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操作系统支持图形或文本安装模式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★安装过程配置</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安装界面文种设置、逻辑分区配置（如LVM）、自定义分区设置、安装组件设置、时区设置、键盘布局设置、初始用户设置、计算机名设置和网络设置，支持通过USB闪存盘等方式加载硬件驱动、支持设置加密文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★系统引导</w:t>
            </w:r>
          </w:p>
        </w:tc>
        <w:tc>
          <w:tcPr>
            <w:tcW w:w="4393" w:type="dxa"/>
            <w:shd w:val="clear" w:color="auto" w:fill="auto"/>
            <w:vAlign w:val="center"/>
          </w:tcPr>
          <w:p>
            <w:pPr>
              <w:widowControl/>
              <w:numPr>
                <w:ilvl w:val="0"/>
                <w:numId w:val="4"/>
              </w:numPr>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操作系统应支持UEFI2.0及以上规范固件引导，当计算机以UEFI模式启动安装时，安装程序应分配ESP，并在ESP中放置启动引导文件，使系统能以UEFI模式引导；</w:t>
            </w:r>
          </w:p>
          <w:p>
            <w:pPr>
              <w:widowControl/>
              <w:numPr>
                <w:ilvl w:val="0"/>
                <w:numId w:val="4"/>
              </w:numPr>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支持bootloader引导，支持MBR及GPT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★引导修复</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操作系统安装媒体提供系统引导修复功能，当已安装的系统引导被破坏时，可重建系统引导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★引导参数编辑</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操作系统支持用户编辑引导参数，支持GRUB口令保护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★数据保护</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安装程序在安装执行前明确提示用户可能会删除已有数据，并提供退出/取消功能，当用户取消安装时，不改变硬盘上已有数据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★分辨率自适应</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操作系统安装完成后应自动适配显示器最佳分辨率(文本模式除外)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★安装配置正确性校验</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操作系统安装和配置过程中，如用户自定义的某些配置可能会影响系统启动或正常使用，予以明确提示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系统内核</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★内核要求</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a)若操作系统是基于Linux内核的服务器操作系统应兼容4.19版内核</w:t>
            </w:r>
          </w:p>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b)若操作系统属于其他类型内核不做要求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进程、线程调度</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★NUMA</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操作系统支持基于NUMA的亲和调度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★多核轮询</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操作系统支持CPU多核轮询调度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★进程调度</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操作系统具备进程优先级动态调整能力，允许在进程运行时对优先级进行调整；区分实时进程与非实时进程，分别进行调度；支持进程运行状态检查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内存管理</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★内存容量</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操作系统支持最大内存不小于4TB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★内存大页管理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操作系统允许应用申请内存大页降低页表转换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★NUMA</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操作系统支持NUMA近节点优化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★内存超分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操作系统支持虚拟内存超分，提升内存的使用率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存储管理</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★RAID支持</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操作系统支持硬RAID和软RAID，支持软RAID级别0、1、5、6、10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★虚拟文件系统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操作系统支持将不同功能的外部设备抽象为统一的文件操作接口，包括存储、输入输出设备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★文件管理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操作系统支持文件存储、检索和共享；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文件保护</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操作系统提供自研文件保护箱，提供用户间数据隔离和加密保护功能，支持创建多个密码不同的加密文件夹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★可移动存储</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操作系统支持对可移动外部存储的管理，包括启停、禁用、恢复等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29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★外部独立存储</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操作系统支持使用外部独立存储设备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★多路径聚合</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操作系统支持存储多路径聚合及I/O动态负载均衡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★故障检测</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操作系统支持硬盘损坏或老化检测及信息收集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★虚拟内存</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操作系统支持将硬盘的特定分区或文件作为虚拟扩展内存用于存放内存数据，支持虚拟内存压缩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★网络块设备挂载</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操作系统支持FCoE、iSCSI，支持将Ceph块设备视为常规存储设备挂载到某个目录并作为标准文件系统使用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★存储缓存</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操作系统支持快速块设备作为慢速块设备缓存以加速I/O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网络管理</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★网络链路检测</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操作系统支持网络链路故障检测、链路事件通知和链路状态查询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★TCP卸载引擎</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操作系统支持运行TCP协议卸载引擎的网卡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★网络协议</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操作系统支持IPv4、IPv6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★多网卡绑定</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操作系统支持多网卡绑定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39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★用户态TCP/IP协议栈</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操作系统支持用户态TCP/IP协议栈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文件系统</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★文件系统支持</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操作系统支持XFS、EXT3、EXT4、NTFS、FAT32等文件系统，支持相应格式分区创建、删除、格式化等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★日志式文件系统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操作系统支持日志式文件系统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★文件处理能力</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操作系统支持最大文件不小于4TB，最大分区与文件系统不小于10PB，最大文件名长度不小于255字节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★分区大小调整</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操作系统支持动态调整分区大小，对系统分区容量进行改变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授权激活</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★产品许可机制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a)操作系统支持序列号授权、批量激活服务、场地授权等方式；未激活期间，系统不得频繁提示干扰用户正常使用；未激活系统不得影响用户数据安全与完整性；</w:t>
            </w:r>
          </w:p>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b)免激活的系统不适用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应用开发运行环境</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★集成开发环境/开发框架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操作系统通过内置、软件仓库或附加光盘等方式提供开发环境，包括Qt、Eclipse、VSCode等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★开发工具库</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操作系统通过内置、软件仓库或附加光盘等方式提供开发库，包括GNUC、GNUC++、Java、Qt、Gtk+、Cairo、OpenGL、Perl、Python、Ruby、Rust、Golang、JS等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★编译器开发工具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操作系统通过内置、软件仓库或附加光盘等方式提供编译开发工具，包括GCC、G++、Binutils、GDB、Make、CMake等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★文本编辑工具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操作系统通过内置、软件仓库或附加光盘等方式提供文本编辑工具，包括Emacs、Vim等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49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★软件包管理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操作系统支持查询软件包描述和包含文件，以及软件包依赖；支持在安装时自动提示并下载安装缺失的依赖软件包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★开发文档</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供应商应提供软件开发参考文档、驱动开发参考文档、应用移植开发文档、API文档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服务支持</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操作系统支持TCP/UDP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★网络共享</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操作系统支持基于NFS、SMB、FTP、CIFS等协议的数据网络共享服务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★WEB服务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操作系统支持基于HTTP、HTTPS、FastCGI等协议WEB服务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★加密传输服务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操作系统支持基于IPSec和SSL协议的隧道加密传输服务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★数字证书服务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操作系统支持基于PKI体系的数字证书服务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★访问控制服务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操作系统支持基于RBAC(基于角色的访问控制)机制的访问控制服务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★网络管理服务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操作系统支持基于SNMP、NETCONF、RESTCONF等协议的网络管理服务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★时间同步服务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操作系统支持基于NTP协议网络时间同步服务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59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★远程连接服务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操作系统支持RPC、rsync、SSH等远程服务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★邮件服务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操作系统支持基于SMTP、POP3、IMAP等的邮件服务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★身份鉴别服务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操作系统支持基于轻量级目录访问协议的统一身份鉴别服务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★数据存储和查询服务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操作系统支持结构化和非结构化格式数据的存储和查询服务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操作系统支持块、文件、对象等类型的数据存储服务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操作系统支持SQL、NoSQL、键值等类型的数据库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★存储服务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操作系统支持多种传输速率和存储协议的SAN和NAS存储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★集群支持</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操作系统支持服务基于主备机制的分布式集群、高可用集群的部署模式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操作系统支持服务基于分布式通信协议的分布式集群、高可用集群的部署模式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操作系统支持基于虚拟路由器冗余协议的高可用集群部署模式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69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★分布式服务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操作系统支持基于同步、异步请求处理机制的分布式服务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★负载均衡模式</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操作系统支持基于OSI模型的4/7层和链路层的负载均衡模式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操作系统支持基于不同调度算法的负载均衡模式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★高可用服务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操作系统提供对HA的支持，支持多种集群配置模式，包括主主模式、主备模式、N+1模式和N+M模式，支持资源及节点故障检测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开源组件</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★开源数据库</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供应商可通过安装镜像内置、软件仓库或附加光盘等方式提供开源数据库，并对提供的开源组件进行签名认证，确保组件的安全性、稳定性、可靠性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★开源中间件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供应商可通过安装镜像内置、软件仓库或附加光盘等方式提供开源中间件，并对提供的开源组件进行签名认证，确保组件的安全性、稳定性、可靠性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★单机虚拟化管理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供应商可通过安装镜像内置、软件仓库或附加光盘等方式提供开源单机虚拟化管理软件，并对提供的开源组件进行签名认证，确保组件的安全性、稳定性、可靠性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★容器虚拟化软件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供应商可通过安装镜像内置、软件仓库或附加光盘等方式提供开源容器虚拟化软件，并对提供的开源组件进行签名认证，确保组件的安全性、稳定性、可靠性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★容器管理工具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供应商可通过安装镜像内置、软件仓库或附加光盘等方式提供开源容器管理工具，并对提供的开源组件进行签名认证，确保组件的安全性、稳定性、可靠性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★分布式存储软件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供应商可通过安装镜像内置、软件仓库或附加光盘等方式提供开源分布式存储软件，并对提供的开源组件进行签名认证，确保组件的安全性、稳定性、可靠性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79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★云计算管理平台</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供应商可通过安装镜像内置、软件仓库或附加光盘等方式提供开源云计算管理平台，并对提供的开源组件进行签名认证，确保组件的安全性、稳定性、可靠性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虚拟化</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★虚拟化部署</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操作系统支持在KVM、Xen、Hyper-V虚拟机上安装部署操作系统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★内核虚拟化(KVM)</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KVM虚拟化：对虚拟机进行启、停等管理操作；对虚拟机硬盘做快照并从快照恢复；兼容qemu、libvirt标准接口；支持UEFI或legacyBIOS方式启动；支持虚拟时钟arch-timer；支持虚拟鼠标、键盘、触控板、声卡、显卡、硬盘、CDROM、串口pty/pipe/file等设备；支持Virtio协议下的虚拟设备，包括串口、blk驱动硬盘、SCSI驱动硬盘、不同后端控制器类型的Virtio网卡(包括内核态、用户态、qemu)、GPU、vsock设备等；支持硬盘和网卡选择类型VFIO设备；支持虚拟机CPU、内存、网卡、硬盘等离线调整；支持虚拟机网卡、硬盘、USB设备热插拔；支持PCI/PCIE设备直通；支持虚拟机热迁移和加密传输；支持虚拟机远程访问；支持虚拟机CPU和I/O线程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★KVM虚拟机管理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虚拟机对主机的访问控制；虚拟机可以拥有独立的物理资源，且各个虚拟机之间严格隔离；支持大页内存运行虚拟机；支持三种CPU型号模拟模式，包括直通、宿主模型、自定义；支持虚拟机资源调配控制，包括Numa、CPU、内存、I/O、网卡；支持CPU拓扑模拟和透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容器</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★容器虚拟化</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OCI；支持进程命名空间隔离技术包括不限于mnt、pid、ipc、uts、user、network等；支持在同CPU指令架构下的不同规格硬件上无缝分发，保障运行兼容性；支持沙箱扩展；支持面向容器的独立逻辑文件管理，具备在容器创建时指定专用根文件夹，容器内进程文件访问重定向等功能；支持日志查询功能；支持通过控制终端对容器内主进程的标准输入输出对接交互；支持通过控制终端对容器内新建进程的标准输入输出对接交互；支持容器存储卷管理（新增、删除、卷容量配置、自动回收）、卷共享；支持面向容器的网络设备资源分配和使用；支持CNI；支持容器获取物理节点资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★容器镜像和存储管理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操作系统支持容器镜像导入、导出；支持容器镜像分层保存、导入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★容器资源隔离和调配</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容器资源在线调整，包括CPU资源、内存资源、I/O资源等；支持文件配额分配、存储带宽资源使用量监控等机制，实现容器级I/O控制能力；支持面向容器的网络带宽调度策略，实现容器级网络带宽分配、使用量监控等机制；支持面向容器的存储空间使用监控、分配机制；支持容器CPU核独占；支持面向容器的CPU时间片资源按需划分机制；支持面向容器的内存分配和回收机制，实现内存使用量跟踪和管理；支持同一集群在线、离线业务混合部署；支持对容器的编排、负载均衡、调度等能力；支持根据容器在线与离线混合部署状态进行资源优先调度，提高计算机资源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86</w:t>
            </w:r>
          </w:p>
        </w:tc>
        <w:tc>
          <w:tcPr>
            <w:tcW w:w="1288"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易用性要求</w:t>
            </w:r>
          </w:p>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中文支持</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★字符编码集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操作系统应符合GB18030的要求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★中文帮助文档</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操作系统内置中文帮助文档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★多语言图形界面</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操作系统的多文种图形用户界面应支持GB18030规定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89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★中文图形界面</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操作系统支持中文图形操作界面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管理工具</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★系统信息查看工具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操作系统支持查看系统版本、内核版本、内存容量、CPU型号等信息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★网络管理工具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操作系统支持多网口自动连接、网络地址（常被称为“IP地址”）设置、DNS设置、路由设置；支持多网卡链路聚合，模式类型包括但不仅限于轮询、主备、802.3AD动态链路聚合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★日期和时间管理工具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操作系统可设置时间同步服务器地址，支持局域网和广域网的同步设置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★日志服务管理工具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操作系统支持收集系统日志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★帐户管理工具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操作系统支持帐户添加、删除、属性修改等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★用户操作审计工具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操作系统支持用户操作痕迹查询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★存储管理工具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操作系统支持EXT、XFS、NTFS、FAT、SWAP等多种格式的分区管理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★SNMP协议工具包</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操作系统支持SNMP设备和操作信息检索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★文本终端连接工具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操作系统支持多终端协同管理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99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★服务管理工具集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操作系统支持服务启动与停止，查看服务状态及日志，查询服务启动顺序及依赖关系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★配置管理工具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操作系统提供配置管理工具，可以简化任务配置及服务管理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★监控管理工具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操作系统支持监控系统资源使用情况，包含CPU、内存、存储I/O、网络I/O等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★守护进程</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操作系统支持按需启动守护进程，用户可自定义设定需求守护的进程，如遇异常可重新加载，实现应用持续运行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103</w:t>
            </w:r>
          </w:p>
        </w:tc>
        <w:tc>
          <w:tcPr>
            <w:tcW w:w="1288"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兼容性要求</w:t>
            </w:r>
          </w:p>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基础组件兼容</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★版本兼容</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操作系统基础运行库或开发环境向后（向下）兼容，即系统版本升级后，能兼容上一版本所运行的软件与设备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★兼容周期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操作系统主版本兼容维护时间自发布之日起不低于5年，包括但不限于安全修复、功能升级、新硬件支持等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★兼容方式</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操作系统支持以增量升级包的方式实现版本更新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运行环境</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★文件系统层次结构</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供应商应给出长期兼容支持的文件系统层次结构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★运行库</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供应商应给出长期兼容支持的运行库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★命令</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供应商应给出长期兼容支持的常用命令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109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桌面运行环境</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系统使用自研UKUI桌面环境，支持登录界面查看明文密码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软件包格式</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★软件包格式转换</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操作系统支持RPM或DEB格式的软件包，当系统不支持RPM或DEB格式的软件包时，提供工具对软件包格式进行转换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软件兼容</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集群软件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供应商提供兼容的集群软件清单，且至少兼容一款产品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虚拟化云平台</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供应商提供兼容的虚拟化平台软件清单，且至少兼容三款产品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容器云</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供应商提供兼容的容器云软件清单，且至少兼容三款产品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存储软件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供应商提供兼容的存储软件清单，且至少兼容一款产品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数据库管理系统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供应商提供兼容的数据库软件清单，且至少兼容三款产品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中间件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供应商提供兼容的中间件软件清单，且至少兼容三款产品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运维平台</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供应商提供兼容的运维平台软件清单，且至少兼容一款产品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备份软件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供应商提供兼容的备份恢复软件清单，且至少兼容一款产品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119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大数据平台</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供应商提供兼容的大数据平台软件清单，且至少兼容一款产品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终端防护及杀毒</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供应商提供兼容的终端防护及杀毒软件清单，且至少兼容一款产品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网络防护</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供应商提供兼容的网络防护软件清单，且至少兼容一款产品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身份认证</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供应商提供兼容的身份认证软件清单，且至少兼容一款产品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硬件兼容</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★服务器整机</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供应商提供兼容的服务器整机品牌及型号清单，且至少兼容一款产品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★AI服务器</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供应商提供兼容的AI服务器整机品牌及型号清单，且至少兼容一款产品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★存储</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供应商提供兼容的存储服务器整机品牌及型号清单，且至少兼容一款产品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★部件兼容</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供应商提供兼容的系统总线、HBA卡、RAID卡、网卡、光纤卡、AI加速卡、GPU、NPU等品牌及型号清单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127</w:t>
            </w:r>
          </w:p>
        </w:tc>
        <w:tc>
          <w:tcPr>
            <w:tcW w:w="1288"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可靠性要求</w:t>
            </w:r>
          </w:p>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稳定性</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★操作系统连续运行168小时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操作系统高负载下连续常态运行168小时无故障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备份还原</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★备份还原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操作系统提供备份还原功能，支持生成系统状态快照及恢复系统状态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129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内存纠错</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★内存纠错</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操作系统支持DDR3、DDR4等内存上的ECC查错、纠错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热插拔</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★CPU热插拔</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硬件支持时，操作系统支持CPU热插拔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★内存热插拔</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硬件支持时，操作系统支持内存热插拔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★硬盘热插拔</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硬件支持时，操作系统支持硬盘热插拔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133</w:t>
            </w:r>
          </w:p>
        </w:tc>
        <w:tc>
          <w:tcPr>
            <w:tcW w:w="1288"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可维护性要求</w:t>
            </w:r>
          </w:p>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维护工具</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★远程维护</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操作系统提供远程控制管理工具，支持RDP、SSH、SPICE、VNC等协议，方便用户进行文本或图形化形式的远程连接及维护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安全授权管理工具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为保障操作系统高安全性，供应商所投操作系统的安全授权管理工具、安全白名单共享库、系统安全配置修改工具、安全模块等组件功能开源率为0%。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★文件完整检查</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操作系统提供文件系统检查工具，对文件系统完整性进行检测和修复</w:t>
            </w:r>
          </w:p>
        </w:tc>
      </w:tr>
      <w:tr>
        <w:tblPrEx>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★内核分析</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操作系统提供内核性能分析工具，提供性能分析框架，支持对内核函数层面进行分析；提供内核探测工具，支持对内核及用户态程序动态追踪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★集中管可控</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操作系统提供集中管控工具，支持对区域内服务器操作系统进行集中管理维护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★兼容性评价</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操作系统提供软硬件兼容性检查工具，自动分析应用软件、硬件兼容性，定位兼容性问题；提供操作系统跨版本兼容性分析工具，在迁移前检查分析软硬件，定位兼容性问题。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139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★性能调优</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操作系统提供性能测试调优工具，按系统工作特点（如计算为主、存储为主等）自动优化系统配置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日志管理</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★日志记录与存储</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对安全事件的日志记录，包括帐户增删改、成功登录、失败登录、敏感服务开启关闭、配置修改等，日志信息详实，包括所属用户、访问时间、访问地址等；支持内核异常日志信息的记录和存储；支持内核崩溃转储机制，系统崩溃时可收集整个内存信息；支持配置远程日志功能，可将指定日志内容归档到日志服务器；支持对日志功能进行访问控制，防止未经授权的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★日志处理与分析</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操作系统提供系统错误问题回溯分析工具，对系统崩溃问题及错误问题进行回溯；支持日志切分、一键收集、转储、同步机制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脆弱性管理</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★脆弱性管理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故障管理框架，内置故障分析专家系统，可与外部同类型系统互联；具备故障响应、故障警告功能，提供用户接口，支持故障响应、警告信息分发；支持故障管理守护进程，使用统一的传输信道或机制上报故障信息；具备硬件故障信息捕获、紧急处理功能，包括CPU、内存及PCIe设备等硬件的故障；支持诊断/响应组件动态加载机制；提供或支持第三方远程诊断框架及调测工具集，实现远程诊断及调试断点功能；</w:t>
            </w:r>
          </w:p>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支持物理机、虚拟机中操作系统的故障恢复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热补丁</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★热补丁</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对内核热补丁进行编号，每个热补丁拥有独立编号；支持增量修复以及回滚机制；提供热补丁合法性和一致性校验功能；提供热补丁管理机制和工具，功能至少覆盖补丁查询、安装、移除；提供热补丁升级和回滚系统日志，便于查询或回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系统升级</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★升级内容</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操作系统支持系统增量升级功能，对系统部件、安全补丁等升级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★升级方式</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操作系统支持在线升级和离线升级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★数据保护</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操作系统升级不得修改破坏用户数据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★兼容性</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操作系统升级不得影响原有软硬件兼容性，如有影响应显式的提示告知用户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★回退</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操作系统提供升级回退机制，能卸载已升级的软件包，恢复系统原有状态，如升级为不可回退，则系统升级前以显式的提示告知用户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149</w:t>
            </w:r>
          </w:p>
        </w:tc>
        <w:tc>
          <w:tcPr>
            <w:tcW w:w="1288"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服务要求</w:t>
            </w:r>
          </w:p>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交付方式</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★交付方式</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供应商提供光盘、USB闪存盘、镜像文件（下载）等交付方式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服务周期</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★产品维护周期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产品自发布之日起至产品停止功能升级（包含不限于新特性、新硬件支持、问题修复、安全补丁等）之日止≥5年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★产品延伸服务周期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产品停止功能升级之日起至产品停止功能维护（包括问题修复、安全补丁等）之日止≥5年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★产品延伸安全服务周期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★售后服务最小保障期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售后服务</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★原厂服务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服务由操作系统厂商的正式员工提供，不由代理商提供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服务热线电话</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操作系统厂商为最终用户提供工作日每日不少于8h（覆盖一般工作时间，具体时间由企业标准给出）中文技术服务热线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技术服务标准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操作系统厂商提供工作日每日不少于8h技术支持服务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★定制优化增值服务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操作系统厂商提供代码级定制优化服务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技术服务时效</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操作系统厂商满足同城4h、异地12h响要求，两个工作日解决问题，对于未能解决的问题和故障提供可行的升级方案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159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★技术服务保障</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发生非人为因素故障，在七日内由操作系统厂商原厂人员免费对产品进行补充或更换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现场交付与安装调试</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★现场安装调试</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操作系统厂商提供产品安装与现场调试，并提供安装与调试所需的工具和设备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★配套资料</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交付产品时操作系统厂商提供配套的技术资料，包括但不限于系统说明文件、用户手册（用户安装、操作、维护、故障排除）等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系统更换</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★系统更换</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服务期内，操作系统厂商支持版本免费更换（注：更换后不延长服务期）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厂商能力要求</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★服务团队</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操作系统厂商建立全国技术服务体系和服务团队，为客户提供专业的原厂中文服务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164</w:t>
            </w:r>
          </w:p>
        </w:tc>
        <w:tc>
          <w:tcPr>
            <w:tcW w:w="1288"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供应保障要求</w:t>
            </w:r>
          </w:p>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数据安全保障</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★数据收集安全保障</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除用户授权采集的信息外不采集其他数据，相关信息采集无安全风险，相关数据存储在大陆境内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★数据供给安全保障</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涉及数据下载的线上服务物理服务器不出境，包括代码仓库、系统补丁、安全补丁、服务网站等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代码无风险</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★代码无风险</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操作系统厂商提供源代码，源代码可供第三方机构审查，开源许可合规，代码知识产权无风险，无恶意安全漏洞或后门，代码可追溯、可重构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工程构建体系</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★工程构建体系</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操作系统厂商具备统一的工程构建体系，能用一套操作系统源码构建用于云侧计算、边侧计算场景中部署运行的操作系统，降低部署后系统维护、使用复杂度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702" w:type="dxa"/>
            <w:shd w:val="clear" w:color="auto" w:fill="auto"/>
            <w:noWrap/>
            <w:vAlign w:val="center"/>
          </w:tcPr>
          <w:p>
            <w:pPr>
              <w:widowControl/>
              <w:snapToGrid w:val="0"/>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bidi="ar"/>
              </w:rPr>
              <w:t>168</w:t>
            </w:r>
          </w:p>
        </w:tc>
        <w:tc>
          <w:tcPr>
            <w:tcW w:w="1288"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安全要求</w:t>
            </w:r>
          </w:p>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基本要求</w:t>
            </w:r>
          </w:p>
          <w:p>
            <w:pPr>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★基本要求</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val="en-US" w:eastAsia="zh-CN" w:bidi="ar"/>
              </w:rPr>
              <w:t>69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软件供应链安全能力</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国产服务器操作系统具备软件供应链安全能力，产品符合CCID-Gz70736-2023《软件供应链安全能力认证实施规则》的要求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17</w:t>
            </w:r>
            <w:r>
              <w:rPr>
                <w:rFonts w:hint="eastAsia" w:ascii="仿宋_GB2312" w:hAnsi="仿宋_GB2312" w:eastAsia="仿宋_GB2312" w:cs="仿宋_GB2312"/>
                <w:color w:val="auto"/>
                <w:kern w:val="0"/>
                <w:sz w:val="24"/>
                <w:highlight w:val="none"/>
                <w:lang w:val="en-US" w:eastAsia="zh-CN" w:bidi="ar"/>
              </w:rPr>
              <w:t>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密码算法支持</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★密码算法实现</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操作系统支持GM/T0002、GM/T0003和GM/T0004规定的密码算法运算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17</w:t>
            </w:r>
            <w:r>
              <w:rPr>
                <w:rFonts w:hint="eastAsia" w:ascii="仿宋_GB2312" w:hAnsi="仿宋_GB2312" w:eastAsia="仿宋_GB2312" w:cs="仿宋_GB2312"/>
                <w:color w:val="auto"/>
                <w:kern w:val="0"/>
                <w:sz w:val="24"/>
                <w:highlight w:val="none"/>
                <w:lang w:val="en-US" w:eastAsia="zh-CN" w:bidi="ar"/>
              </w:rPr>
              <w:t>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★随机数生成</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操作系统随机数质量符合GM/T0005《随机性检测规范》或GB/T32915《信息安全技术二元序列随机性检测方法》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17</w:t>
            </w:r>
            <w:r>
              <w:rPr>
                <w:rFonts w:hint="eastAsia" w:ascii="仿宋_GB2312" w:hAnsi="仿宋_GB2312" w:eastAsia="仿宋_GB2312" w:cs="仿宋_GB2312"/>
                <w:color w:val="auto"/>
                <w:kern w:val="0"/>
                <w:sz w:val="24"/>
                <w:highlight w:val="none"/>
                <w:lang w:val="en-US" w:eastAsia="zh-CN" w:bidi="ar"/>
              </w:rPr>
              <w:t>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★内置数字证书</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操作系统内置国家电子认证根CA的根证书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17</w:t>
            </w:r>
            <w:r>
              <w:rPr>
                <w:rFonts w:hint="eastAsia" w:ascii="仿宋_GB2312" w:hAnsi="仿宋_GB2312" w:eastAsia="仿宋_GB2312" w:cs="仿宋_GB2312"/>
                <w:color w:val="auto"/>
                <w:kern w:val="0"/>
                <w:sz w:val="24"/>
                <w:highlight w:val="none"/>
                <w:lang w:val="en-US" w:eastAsia="zh-CN" w:bidi="ar"/>
              </w:rPr>
              <w:t>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★密码协议实现</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操作系统支持符合GB/T38636—2020的TLCP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17</w:t>
            </w:r>
            <w:r>
              <w:rPr>
                <w:rFonts w:hint="eastAsia" w:ascii="仿宋_GB2312" w:hAnsi="仿宋_GB2312" w:eastAsia="仿宋_GB2312" w:cs="仿宋_GB2312"/>
                <w:color w:val="auto"/>
                <w:kern w:val="0"/>
                <w:sz w:val="24"/>
                <w:highlight w:val="none"/>
                <w:lang w:val="en-US" w:eastAsia="zh-CN" w:bidi="ar"/>
              </w:rPr>
              <w:t>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安全管理</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★防火墙</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操作系统提供防火墙配置管理工具，支持基于协议、网络地址、端口的访问控制规则配置，规则修改后立即生效；支持关闭指定服务和端口，包括但不限于关闭远程访问、共享访问等；支持防止ARP欺骗攻击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17</w:t>
            </w:r>
            <w:r>
              <w:rPr>
                <w:rFonts w:hint="eastAsia" w:ascii="仿宋_GB2312" w:hAnsi="仿宋_GB2312" w:eastAsia="仿宋_GB2312" w:cs="仿宋_GB2312"/>
                <w:color w:val="auto"/>
                <w:kern w:val="0"/>
                <w:sz w:val="24"/>
                <w:highlight w:val="none"/>
                <w:lang w:val="en-US" w:eastAsia="zh-CN" w:bidi="ar"/>
              </w:rPr>
              <w:t>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★安全框架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操作系统提供统一访问控制安全框架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17</w:t>
            </w:r>
            <w:r>
              <w:rPr>
                <w:rFonts w:hint="eastAsia" w:ascii="仿宋_GB2312" w:hAnsi="仿宋_GB2312" w:eastAsia="仿宋_GB2312" w:cs="仿宋_GB2312"/>
                <w:color w:val="auto"/>
                <w:kern w:val="0"/>
                <w:sz w:val="24"/>
                <w:highlight w:val="none"/>
                <w:lang w:val="en-US" w:eastAsia="zh-CN" w:bidi="ar"/>
              </w:rPr>
              <w:t>6</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★三员管理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操作系统支持系统管理员、安全管理员、审计管理员分权管理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17</w:t>
            </w:r>
            <w:r>
              <w:rPr>
                <w:rFonts w:hint="eastAsia" w:ascii="仿宋_GB2312" w:hAnsi="仿宋_GB2312" w:eastAsia="仿宋_GB2312" w:cs="仿宋_GB2312"/>
                <w:color w:val="auto"/>
                <w:kern w:val="0"/>
                <w:sz w:val="24"/>
                <w:highlight w:val="none"/>
                <w:lang w:val="en-US" w:eastAsia="zh-CN" w:bidi="ar"/>
              </w:rPr>
              <w:t>7</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★文件完整性</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操作系统支持静态文件度量（如IMA）和动态内存度量，保障特定文件及内存中运行程序的完整性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17</w:t>
            </w:r>
            <w:r>
              <w:rPr>
                <w:rFonts w:hint="eastAsia" w:ascii="仿宋_GB2312" w:hAnsi="仿宋_GB2312" w:eastAsia="仿宋_GB2312" w:cs="仿宋_GB2312"/>
                <w:color w:val="auto"/>
                <w:kern w:val="0"/>
                <w:sz w:val="24"/>
                <w:highlight w:val="none"/>
                <w:lang w:val="en-US" w:eastAsia="zh-CN" w:bidi="ar"/>
              </w:rPr>
              <w:t>8</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★可信计算</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操作系统支持机密计算框架，提供机密计算SDK，能接入1种以上可信执行环境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val="en-US" w:eastAsia="zh-CN" w:bidi="ar"/>
              </w:rPr>
              <w:t>79</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★内核保护</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操作系统支持内核完整性保护，保障内核不被非授权改变；提供内核模块加载黑名单机制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bidi="ar"/>
              </w:rPr>
              <w:t>1</w:t>
            </w:r>
            <w:r>
              <w:rPr>
                <w:rFonts w:hint="eastAsia" w:ascii="仿宋_GB2312" w:hAnsi="仿宋_GB2312" w:eastAsia="仿宋_GB2312" w:cs="仿宋_GB2312"/>
                <w:color w:val="auto"/>
                <w:kern w:val="0"/>
                <w:sz w:val="24"/>
                <w:highlight w:val="none"/>
                <w:lang w:val="en-US" w:eastAsia="zh-CN" w:bidi="ar"/>
              </w:rPr>
              <w:t>80</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身份鉴别</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★身份鉴别服务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用户标识使用帐户名和帐户ID，在操作系统的整个生存周期内用户标识具有唯一性；支持用户口令复杂度校验及强口令管理；支持用户口令有效期配置；支持口令鉴别失败控制；支持口令加密算法配置，用户口令进行加密后以不可逆的密文形式保存；支持禁止根帐户（root）远程登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18</w:t>
            </w:r>
            <w:r>
              <w:rPr>
                <w:rFonts w:hint="eastAsia" w:ascii="仿宋_GB2312" w:hAnsi="仿宋_GB2312" w:eastAsia="仿宋_GB2312" w:cs="仿宋_GB2312"/>
                <w:color w:val="auto"/>
                <w:kern w:val="0"/>
                <w:sz w:val="24"/>
                <w:highlight w:val="none"/>
                <w:lang w:val="en-US" w:eastAsia="zh-CN" w:bidi="ar"/>
              </w:rPr>
              <w:t>1</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restart"/>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访问控制</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★自主访问控制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允许客体拥有者以普通帐户决定并控制对客体的访问，并阻止非授权用户对客体的访问；普通用户缺省拥有新建、读写和删除私有目录下文件的权限；支持细粒度的自主访问控制，将访问控制的粒度控制在单个用户，对系统中的每一个客体，实现由客体拥有者以指定用户方式确定其对该客体的访问权限，而其他同组用户或非同组的用户和用户组对该客体的访问权则由客体拥有者授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18</w:t>
            </w:r>
            <w:r>
              <w:rPr>
                <w:rFonts w:hint="eastAsia" w:ascii="仿宋_GB2312" w:hAnsi="仿宋_GB2312" w:eastAsia="仿宋_GB2312" w:cs="仿宋_GB2312"/>
                <w:color w:val="auto"/>
                <w:kern w:val="0"/>
                <w:sz w:val="24"/>
                <w:highlight w:val="none"/>
                <w:lang w:val="en-US" w:eastAsia="zh-CN" w:bidi="ar"/>
              </w:rPr>
              <w:t>2</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★强制访问控制</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操作系统支持对应用程序的访问控制与资源限制，包括对文件、网络等客体的访问控制；支持应用安装控制、应用执行控制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18</w:t>
            </w:r>
            <w:r>
              <w:rPr>
                <w:rFonts w:hint="eastAsia" w:ascii="仿宋_GB2312" w:hAnsi="仿宋_GB2312" w:eastAsia="仿宋_GB2312" w:cs="仿宋_GB2312"/>
                <w:color w:val="auto"/>
                <w:kern w:val="0"/>
                <w:sz w:val="24"/>
                <w:highlight w:val="none"/>
                <w:lang w:val="en-US" w:eastAsia="zh-CN" w:bidi="ar"/>
              </w:rPr>
              <w:t>3</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多种强制访问控制联合加载</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 xml:space="preserve">提供多种强制访问控制联合加载，包括SELINUX、APPARMOR等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18</w:t>
            </w:r>
            <w:r>
              <w:rPr>
                <w:rFonts w:hint="eastAsia" w:ascii="仿宋_GB2312" w:hAnsi="仿宋_GB2312" w:eastAsia="仿宋_GB2312" w:cs="仿宋_GB2312"/>
                <w:color w:val="auto"/>
                <w:kern w:val="0"/>
                <w:sz w:val="24"/>
                <w:highlight w:val="none"/>
                <w:lang w:val="en-US" w:eastAsia="zh-CN" w:bidi="ar"/>
              </w:rPr>
              <w:t>4</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vMerge w:val="continue"/>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★安全审计</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能对身份鉴别的使用、自主访问控制、标记和强制访问控制策略的修改等生成审计日志；审计记录包括：事件类型、事件发生的日期、触发事件的用户、事件成功或失败等字段；支持审计日志查询和导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widowControl/>
              <w:snapToGrid w:val="0"/>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bidi="ar"/>
              </w:rPr>
              <w:t>18</w:t>
            </w:r>
            <w:r>
              <w:rPr>
                <w:rFonts w:hint="eastAsia" w:ascii="仿宋_GB2312" w:hAnsi="仿宋_GB2312" w:eastAsia="仿宋_GB2312" w:cs="仿宋_GB2312"/>
                <w:color w:val="auto"/>
                <w:kern w:val="0"/>
                <w:sz w:val="24"/>
                <w:highlight w:val="none"/>
                <w:lang w:val="en-US" w:eastAsia="zh-CN" w:bidi="ar"/>
              </w:rPr>
              <w:t>5</w:t>
            </w:r>
          </w:p>
        </w:tc>
        <w:tc>
          <w:tcPr>
            <w:tcW w:w="1288" w:type="dxa"/>
            <w:vMerge w:val="continue"/>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p>
        </w:tc>
        <w:tc>
          <w:tcPr>
            <w:tcW w:w="1270"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漏洞管理</w:t>
            </w:r>
          </w:p>
        </w:tc>
        <w:tc>
          <w:tcPr>
            <w:tcW w:w="1985"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★漏洞管理</w:t>
            </w:r>
          </w:p>
        </w:tc>
        <w:tc>
          <w:tcPr>
            <w:tcW w:w="4393" w:type="dxa"/>
            <w:shd w:val="clear" w:color="auto" w:fill="auto"/>
            <w:vAlign w:val="center"/>
          </w:tcPr>
          <w:p>
            <w:pPr>
              <w:widowControl/>
              <w:snapToGrid w:val="0"/>
              <w:spacing w:line="400" w:lineRule="exact"/>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操作系统支持漏洞编号，每个漏洞独立编号，可直接使用NVDB、CNVD或CVE编号；漏洞提醒，发现或获悉漏洞信息时，通过系统推送、电子邮件或官方网站等方式通知用户；漏洞修复，对已发现的安全漏洞通过补丁等方式对系统漏洞进行修复；漏洞列表，提供每个版本已修复的漏洞列表，提供命令或网页等方式方便用户查询漏洞及其修复情况</w:t>
            </w:r>
          </w:p>
        </w:tc>
      </w:tr>
    </w:tbl>
    <w:p>
      <w:pP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6、数据库招标参数</w:t>
      </w:r>
      <w:bookmarkEnd w:id="48"/>
      <w:r>
        <w:rPr>
          <w:rFonts w:hint="eastAsia" w:ascii="仿宋_GB2312" w:hAnsi="仿宋_GB2312" w:eastAsia="仿宋_GB2312" w:cs="仿宋_GB2312"/>
          <w:b/>
          <w:bCs/>
          <w:color w:val="auto"/>
          <w:sz w:val="24"/>
          <w:highlight w:val="none"/>
        </w:rPr>
        <w:t>：</w:t>
      </w:r>
    </w:p>
    <w:tbl>
      <w:tblPr>
        <w:tblStyle w:val="63"/>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260"/>
        <w:gridCol w:w="1273"/>
        <w:gridCol w:w="1856"/>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73"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653"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指标分类</w:t>
            </w:r>
          </w:p>
        </w:tc>
        <w:tc>
          <w:tcPr>
            <w:tcW w:w="660"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一级指标</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二级指标</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w:t>
            </w:r>
          </w:p>
        </w:tc>
        <w:tc>
          <w:tcPr>
            <w:tcW w:w="653"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功能要求</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安装与升级</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数据库安装</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a)支持命令行或图形化的安装；</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b)支持命令行或图形化的可配置安装能力；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c)依据安装环境提供相应的初始化参数配置值；</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d)提供图形化软件组件管理向导工具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数据库重启</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a)支持命令行或图形化的方式关闭和启动服务；</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b)关闭服务后，再启动服务，服务正常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安装配置日志</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a)提供软件安装的日志记录功能；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b)记录的软件安装信息完整正确；</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c)提供安装配置操作的日志记录功能；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d)记录的配置操作信息完整正确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升级维护</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a)支持版本升级，保证版本间功能和数据的兼容性；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b)厂商提供当前版本与历史版本的差异说明文档，包含新版本对软件和硬件的支持情况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安装和升级的兼容性</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支持在不同CPU架构的节点上安装配置、升级，且安装配置、升级数据库的命令行或图形界面相同或相似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节点部署</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a)支持节点安装配置；</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b)支持通过单一节点发起并将数据库部署在多个节点上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数据配置</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参数配置</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a)依据工作负载和运行环境，提供配置参数修改的能力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b)修改数据库配置参数后，配置参数立即生效或数据库重新启动生效，立即生效的配置参数和需要数据库重新启动方可生效的配置参数在相关文档中明确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存储配置</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a)提供数据库级物理存储位置、逻辑存储参数配置功能；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b)在数据库初始化阶段，提供数据库物理读写块大小的配置功能；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c)提供数据库存储对象空间使用参数的配置功能；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d)提供索引数据存储参数管理功能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内存配置</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a)提供数据库内存规划和配置建议；</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b)依据物理内存规划数据库可用内存；</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c)依据可用内存或负载情况，自动设置或向用户建议不同数据缓存区大小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SQL功能</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基础数据类型</w:t>
            </w:r>
          </w:p>
        </w:tc>
        <w:tc>
          <w:tcPr>
            <w:tcW w:w="2351" w:type="pct"/>
            <w:vAlign w:val="center"/>
          </w:tcPr>
          <w:p>
            <w:pPr>
              <w:numPr>
                <w:ilvl w:val="255"/>
                <w:numId w:val="0"/>
              </w:num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a)支持数值类型；</w:t>
            </w:r>
          </w:p>
          <w:p>
            <w:pPr>
              <w:numPr>
                <w:ilvl w:val="255"/>
                <w:numId w:val="0"/>
              </w:num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b)支持字符类型；</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c)支持二进制类型；</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d)支持日期和时间类型；</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e)支持布尔类型；</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f)支持（大）文本类型；</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g)支持大对象类型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11</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扩展数据类型</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支持间隔、XML、JSON等数据类型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自定义数据类型</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具备用户自定义数据类型的能力，可支持不同应用场景的数据类型需求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数据存储基础功能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支持基础数据类型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数据存储增强功能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a)支持扩展数据类型；</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b)支持自定义数据类型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数据检索基础功能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支持基础数据类型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数据检索增强功能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a)支持扩展数据类型；</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b)支持自定义数据类型；</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c)支持中文检索功能，如使用中国纪年历法进行检索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核心SQL能力</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a)支持左外连接；</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b)支持右外连接；</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c)支持内连接；</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d)支持全连接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字符集</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中文字符集符合GB18030的要求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常用操作符</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a)支持逻辑操作符及相关运算；</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b)支持比较操作符及相关运算；</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c)支持算术运算符及相关运算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20</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条件表达式</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a)支持对比条件表达式；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b)支持逻辑条件表达式；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c)支持空值条件表达式；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d)支持等于条件表达式；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e)支持模式匹配条件表达式；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f)支持区间条件表达式；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g)支持IN条件表达式；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h)支持存在条件表达式；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i)支持以上条件表达式的复合表达式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21</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SQL执行计划</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支持SQL计划，使SQL按照指定的语句执行，并实现预期结果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数据库对象</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基础对象类型</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a)支持用户的创建、删除、修改；</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b)支持角色的创建、删除、修改；</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c)支持存储过程的创建、删除、修改；</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d)支持表操作功能；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e)支持自增序列；</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f)支持主键约束、外键约束、唯一性约束、检查约束和联合主键约束；</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g)支持游标功能；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h)支持视图的创建、删除、修改；</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i)支持数值计算函数、字符处理函数、日期时间值函数、间隔函数、类型转换函数、位运算函数、聚合函数、格式化、系统信息等常用函数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扩展对象类型</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a)支持包的创建、删除、修改；</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b)支持触发器的创建、删除、修改；</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c)支持外部链接的创建、删除，并可以通过外部链接进行外部访问；</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d)支持作业的创建、删除、修改；</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e)支持全局唯一的自增序列；</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f)支持创建函数索引；</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g)支持定义同义词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基础表分区管理</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a)哈希分区方式；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b)范围分区方式；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c)列表分区方式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扩展表分区管理</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a)支持数据库表分区及二级分区能力；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b)支持建立分区索引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查看对象</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a)支持查看数据库信息；</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b)支持查看表对象信息；</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c)支持查看索引对象信息；</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d)支持查看字段对象信息；</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e）支持查看约束对象信息；</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f）支持查看数据库实例信息；</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g）支持查看表空间信息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查看日志、系统信息</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a)支持查看日志文件的能力；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b）厂商提供查看实例数据缓存的视图或图形化管理工具；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c）厂商提供查看日志缓存的视图或图形化管理工具；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d）厂商提供查看数据字典的视图或图形化管理工具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对象变更</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a)支持数据库的创建、删除、更新以及数据库属性的查询；</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b)支持在线变更表结构、索引；</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c)支持数据的增加、删除、修改和查询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查看会话系统表/视图</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a)提供查看会话标识的视图或图形化管理工具；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b)提供查看进程/线程标识的视图或图形化管理工具；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c)提供查看用户标识的视图或图形化管理工具；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d)提供查看最近的用户请求命令的视图或图形化管理工具；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e)提供查看缺省模式的视图或图形化管理工具；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f)提供查看登录时间/会话状态的视图或图形化管理工具；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g)提供查看会话状态的视图或图形化管理工具；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h)提供查看等待会话的锁信息的视图或图形化管理工具；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i)提供查看等待时间统计信息的视图或图形化管理工具；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j)提供查看使用时间统计信息的视图或图形化管理工具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30</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查看监控连接系统表/视图</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a)提供查看连接标识的视图或图形化管理工具；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b)提供查看连接状态的视图或图形化管理工具；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c)提供查看连接用户的视图或图形化管理工具；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d)提供查看连接类型的视图或图形化管理工具；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e)提供查看当前事务信息的视图或图形化管理工具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31</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异构数据库联机访问</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提供异构数据库数据联机访问功能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完整性管理</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a)支持验证表存储完整性；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b)支持验证索引存储完整性；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c)支持验证数据库存储结构完整性；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d)支持查看视图定义完整性；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e)支持查看存储过程/函数定义完整性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事务能力</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事务基础特性</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支持事务的ACID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死锁检测与处理</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a)在并发执行过程中，能检测到死锁；</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b)提供解决全局死锁的机制；</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c)具备死锁处理能力；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d)具备死锁超时回滚的能力；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e)具备死锁检测与处理记录功能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运维</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运行时统计信息基础功能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a)数据库慢SQL统计：</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1）支持统计SQL语句；</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2）支持统计用户名；</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3）支持统计数据库名；</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4）支持统计执行时长；</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b）数据库性能状态统计：</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1）支持统计每秒事务数和查询数；</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2）支持统计SQL平均响应时间；</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3）支持统计高频SQL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运维</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运行时统计信息增强功能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a)支持统计集群节点CPU使用情况；</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b)支持统计集群节点内存使用情况；</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c)支持统计集群节点磁盘使用情况；</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d)支持统计集群节点网络使用情况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日志</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a)具备对各类事件进行日志记录的功能，可通过日志查看操作内容、执行过程和结果；</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b)具备提示和警告功能，提示或警告数据库结构修改、数据库运行配置修改等重要操作；</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c)日志完整正确，并且提供可读文本的形式；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d)支持中文日志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远程运维</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具备远程维护功能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报警</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a)厂商提供通知管理员的方法或工具；</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b)支持设置报警基线，数据库运行中遇到重要事件、异常事件和状态、超过报警阈值等情况时，通知管理员；</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c)提供报警API；</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d)报警发生时，支持报警信息的实时展示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40</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SQL监测与优化建议</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a)实时监测SQL执行过程中资源使用情况；</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b)提供查询计划的缓存管理功能；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c)提供SQL改写的优化建议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41</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迁移</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应用迁移</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a)提供SQL、存储过程等价语法转换，并将转换后的语法在目标库进行校验，转换后语法可编译可执行；</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b)对转换出错或校验出错的语法进行定位，引导用户进行错误校正后再次编译校验；</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c)尽量减少应用的修改，从源数据库迁移到目标数据库，并可运行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数据迁移</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a)提供元数据、数据库、数据库对象、表数据快速迁移的功能；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b)支持数据迁移工具实现同构或异构数据库之间的数据迁移；</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c)支持全量数据迁移、增量数据持续同步等迁移模式；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d)在数据迁移过程中具备应对传输异</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常的能力，保障数据迁移的稳定性、连续性和一致性；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e)支持存量数据的一次性迁移和增量数据库的持续同步；</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f)支持多种不同类型的源数据库和目标数据库之间的数据迁移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数据比对基础功能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对源数据库和目标数据库之间的数据进行比对，支持数据一致性，并提供一致性比对报告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数据比对增强功能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数据比对规模是可配置的，用户可根据业务需求，进行库级、表级等级别的比对，提供数据修复功能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备份恢复</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数据备份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a)运行状态下支持对数据库进行全库备份；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b)运行状态下支持对数据库进行部分备份；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c)运行状态下支持对数据库进行增量备份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备份数据管理</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a)支持备份数据的加密；</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b)支持备份数据的压缩；</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c)支持备份数据的存储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用户/模式备份、恢复</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a)支持对数据库的所有或指定用户/模式下的数据进行备份；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b)支持对数据库的所有或指定用户/模式下的数据备份进行恢复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多种存储媒体备份、还原</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支持多种备份存储媒体，支持多种存储媒体的部分、完整数据库数据还原处理能力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备份还原的一致性校验</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提供数据库备份数据一致性校验的命令或工具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50</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集群管理</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集群构建与管理</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a)支持集群的运行环境；</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b)支持创建并配置数据库集群；</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c)配置信息至少包括日常运维管理、容灾管理、日志管理、备份管理、监控等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51</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集群构建与管理扩展要求</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在读写操作负载差距较大时，提供读写分离能力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共享存储架构下的集群要求</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在共享存储集群架构的基础上：</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a)支持管理硬件存储资源，包括为共享存储扩展存储容量；</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b)支持集群多个节点同时写入或一写多读，事务支持ACID特性；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c)支持节点间的缓存一致性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工具</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数据库开发调试工具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a)具备图形化功能，提高易用性；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b)具备导入、编辑、保存、执行SQL语句和SQL脚本功能；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c)具备复制、编辑现有数据库对象功能；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d)具备关键词显示标记、动态语法提示的SQL编辑器功能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数据库预编译工具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厂商提供预编译工具，支持嵌入式SQL编程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网络配置工具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a)提供客户端、服务器端网络配置向导；</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b)支持配置网络连接参数、主机、端口、协议等内容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创建、修改、删除工具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a)支持数据库的创建、修改和删除；</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b)支持配置数据库数据文件、日志文件、归档文件的存储位置、逻辑空间（如表空间）等参数；</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c)支持配置数据库属性相关参数（如最大连接数等）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用户、角色管理工具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a)支持创建、修改、删除用户的功能；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b）提供定义用户的功能；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c)支持创建、修改、删除角色的功能，且提供用户自定义角色的功能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SQL执行计划查看工具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a)提供与数据库管理系统进行SQL交互的工具，方便运维工作；</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b)支持查看SQL语句查询执行计划与统计信息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数据库对象工具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a)支持创建、修改、删除表的功能，支持定义表结构、约束、存储配置管理的功能；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b)支持创建、修改、删除索引的功能，支持定义索引结构、类型、存储配置管理的功能；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c)支持创建、修改、删除视图的功能，支持视图定义的功能；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d)支持创建、修改、删除约束的功能，支持约束定义的功能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60</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导入导出工具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a)支持导出不同格式，可以将不同格</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式数据导入到数据库中；</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b)支持不同级别和不同数据库对象的导入/导出功能；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c)支持从文本文件或者其他上游数据源将数据导入；</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d)支持SQL脚本进行导入导出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61</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触发器、存储过程/函数工具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a)支持创建、修改、删除触发器的功</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能，支持触发条件、事件的设置；</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b)支持创建、修改、删除存储过程/函数的功能，提供定义存储过程/函数的工具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数据库运维工具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a)支持数据库、数据库存储对象结构、</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数据、统计信息更新维护；</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b)支持数据库创建、数据库修改、数据库删除、数据库模板维护；</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c)支持数据库任务自动化调度作业管理；</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d)支持图形化展示数据库管理的各种元数据界面，展示的内容具有层次性，包括模式、非模式数据字典信息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监控跟踪工具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a)收集和统计数据库某时间段的运行</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状态及性能信息，判断该时间的数据库运行性能瓶颈；</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b)支持系统状态监控能力，包括对集</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群、服务器和数据库状态的监控等；</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c)支持性能瓶颈跟踪、运行过程监测与调优；</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d)提供数据库实例、网络通信、数据库对象的跟踪日志，日志数据准确、完整；</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e)支持特定事件或事务发生时收集监控数据库活动事务数据；</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f)支持跟踪数据库等待事件；</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g)提供捕获并记录实例、数据库在特定时间点的状态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图形化管理</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图形化远程启动、关闭数据库</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a)提供数据库资源配置向导；</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b)提供远程数据库服务启动、关闭功能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图形化的开发工具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厂商提供图形化的开发工具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图形化运维工具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厂商提供图形化的运维工具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图形化展示工具</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厂商提供图形化数据展示工具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图形界面配置参数基础功能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a）基本配置参数：</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1）配置资源使用限额；</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2）配置连接数；</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3）配置白名单；</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b）逻辑存储配置：</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1）图形界面支持逻辑存储配置；</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2）提供图形化界面管理数据库对象逻辑空间分配功能；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c）提供图形界面配置参数功能，支持图形界面配置用户口令；</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d）配置审计：</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1）支持图形化界面配置审计策略；</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2）支持查看审计数据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图形化管理数据库对象</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图形化管理统一的数据库实例、数据库日志文件、数据库运行模式、表对象、表数据存储空间、索引定义类型、视图、触发器、存储过程/函数、角色/用户权限、同义词、序列、外部表、物化视图、作业调度、数据库链接、分区表数据、服务器资源分配、自增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70</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图形化监控</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a)支持多实例集成监控与管理；</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b）支持操作系统和网络资源集成监控与管理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71</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图形化管理归档</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支持对归档模式、归档文件位置、归档启用/停用进行管理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图形化管理数据的备份、还原/恢复</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提供图形化管理数据的备份、还原/恢复的功能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图形化界面易用性</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a)支持浏览器图形界面管理；</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b)图形化管理工具界面窗口、选单、图标、文字、快捷键统一并易于理解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74</w:t>
            </w:r>
          </w:p>
        </w:tc>
        <w:tc>
          <w:tcPr>
            <w:tcW w:w="653"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可靠性要求</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稳定运行</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稳定运行</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a)支持连续稳定运行；</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b)支持数据库管理系统运行风险的报警能力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故障切换</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快速切换</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支持快速切换，在主数据库出现故障时，能够快速切换到备用数据库，保障业务正常运行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恢复无断点</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支持无断点恢复能力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容灾能力</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主备备份</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a)支持多副本，支持主副本与从副本之间的数据同步，最低时延由生产厂商提供；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b)提供基于主机的数据库复制技术，包括基于日志的备用数据库远程数据库备份技术，并具备数据副本间的复制能力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实例容灾</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a)在任意数据库实例出现故障时，集群内服务正常运行，数据不丢失，集群整体业务可用；</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b)在实例故障、节点故障等单数据库实例故障时，RPO时间等于0，RTO时间小于30s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容灾部署</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a)提供远程容灾部署与管理功能；</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b)提供生产中心与备份中心之间的容灾部署与管理功能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80</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同城容灾</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a)支持同城双中心部署，当主中心故障时，业务切换到备中心；</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b)由于网络、供电等原因造成的可用区级故障，触发集群计划外停机，在同城多可用区场景下，RPO时间等于0，RTO时间小于1分钟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81</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异地容灾</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a)城市级故障，比如地震，业务可以切换到异地；</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b)异地灾备场景支持两地三中心部署架构，在本地建立同城灾备中心，在异地建立异地灾备中心，RPO时间小于1分钟，RTO时间小于10分钟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容错性</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服务端编程稳定性</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支持当用户自定义的存储过程、函数运行异常时，数据库稳定运行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网络容错</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支持网络中断时，保障事务一致性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检测报警</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a)支持数据库实例启动时错误检测能力；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b)支持加载不同文件格式、不同大小数据出现错误时的故障检测和处理能力；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c)支持数据库备份执行过程中发生故障时报错或者报警能力；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d)支持数据库恢复发生故障时报错或者报警能力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故障恢复</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a)系统故障重启后能正常运行且支持数据一致性；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b)支持完全媒体故障恢复的能力；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c)提供基于时间点故障恢复功能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不同级别故障可恢复</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支持数据库事务故障、系统故障、存储媒体故障不同级别的可恢复能力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87</w:t>
            </w:r>
          </w:p>
        </w:tc>
        <w:tc>
          <w:tcPr>
            <w:tcW w:w="653"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兼容要求</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软件兼容</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云化部署</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持虚拟化部署或容器化部署等云化部署方式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硬件兼容</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硬件平台兼容</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a)同源支持以下至少三种CPU平台架</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构：</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1)ARM；</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2)LoongArch；</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3)MIPS；</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4)SW64；</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5)x86；</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b)支持SMP和NUMA的运行环境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标准兼容</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ODBC</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支持ODBC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90</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JDBC</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支持JDBC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91</w:t>
            </w:r>
          </w:p>
        </w:tc>
        <w:tc>
          <w:tcPr>
            <w:tcW w:w="653"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服务要求</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交付方式</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交付方式</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以光盘、便携式移动设备、镜像文件、在线下载等交付方式提供产品交付物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服务周期</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产品维护周期</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产品自发布之日起至产品停止功能升级（包含不限于新特性、新硬件支持、问题修复、安全补丁等）之日止≥5年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产品延伸服务周期</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产品停止功能升级之日起至产品停止功能维护（包括问题修复、安全补丁等）之日止≥4年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产品延伸安全服务周期</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产品功能维护停止之日起至产品停止安全维护（包括中高风险漏洞修复）之日止≥2年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售后服务最小保障期</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自销售之日起，产品售后服务周期≥6年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供应链与服务保障</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供应链与服务保障基础要求</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a)提供多种形式支持服务，包含电话、电子邮件、远程连接等；</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b)提供技术支持服务，支持同城4h、异地12h响应要求，两个工作日解决问题，对于未能解决的问题和故障提供可行的升级方案；</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c)提供培训材料、产品手册、培训视频等培训相关内容；</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d)建立全国技术服务体系和服务团队，符合专业服务体系标准要求，提供原厂中文服务；</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e)服务周期内支持版本免费升级；</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f)开源产品对获得的社区源代码进行安全性和知识产权审查与管理；</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g)提供数据库参数、慢SQL语句的性能优化指南，包含性能优化的具体措施、技巧、案例及建议等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定制服务</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针对关键客户提供代码级定制优化服务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驻场服务</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提供原厂团队驻场服务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99</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在线反馈</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支持在线问题反馈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100</w:t>
            </w:r>
          </w:p>
        </w:tc>
        <w:tc>
          <w:tcPr>
            <w:tcW w:w="653"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安全要求</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基本要求</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基本要求</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数据库应当符合安全可靠测评要求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101</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基础安全</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安全架构</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将系统管理员分为数据库管理员、数据库安全员和数据库审计员三种类型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102</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漏洞管理</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建立漏洞管理机制，及时通过邮件、网站等方式将安全漏洞告知用户，并提供安全补丁对漏洞进行修复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103</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身份鉴别及访问控制</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提供身份鉴别及访问控制，加解密的密码要求符合GM/T0028的相关规定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104</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restar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增强安全</w:t>
            </w: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防篡改</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a)支持对指定的表开启防篡改能力，开启后，对重要数据的增、删、改操作，记录篡改校验信息，并提供篡改校验能力；</w:t>
            </w:r>
          </w:p>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b)支持对指定的表开启追溯能力，开启后，对数据的变更具有全向追溯能力，能够记录数据变更的历史信息以及相应的操作记录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105</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全密态</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支持全密态的等值、非等值查询能力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106</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安全扩展要求</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支持自身数据的动态脱敏和透明加密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107</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闪回查询</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支持数据库闪回查询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3" w:type="pct"/>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108</w:t>
            </w:r>
          </w:p>
        </w:tc>
        <w:tc>
          <w:tcPr>
            <w:tcW w:w="653"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660" w:type="pct"/>
            <w:vMerge w:val="continue"/>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p>
        </w:tc>
        <w:tc>
          <w:tcPr>
            <w:tcW w:w="962"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闪回恢复</w:t>
            </w:r>
          </w:p>
        </w:tc>
        <w:tc>
          <w:tcPr>
            <w:tcW w:w="2351" w:type="pct"/>
            <w:vAlign w:val="center"/>
          </w:tcPr>
          <w:p>
            <w:pPr>
              <w:tabs>
                <w:tab w:val="left" w:pos="1106"/>
                <w:tab w:val="left" w:pos="2211"/>
                <w:tab w:val="left" w:pos="3317"/>
                <w:tab w:val="left" w:pos="4423"/>
                <w:tab w:val="left" w:pos="5528"/>
                <w:tab w:val="left" w:pos="6634"/>
                <w:tab w:val="left" w:pos="7740"/>
              </w:tabs>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支持闪回查询实时恢复数据，支持不同级别（如库级、表级等）的闪回恢复</w:t>
            </w:r>
          </w:p>
        </w:tc>
      </w:tr>
    </w:tbl>
    <w:p>
      <w:pPr>
        <w:tabs>
          <w:tab w:val="left" w:pos="1106"/>
          <w:tab w:val="left" w:pos="2211"/>
          <w:tab w:val="left" w:pos="3317"/>
          <w:tab w:val="left" w:pos="4423"/>
          <w:tab w:val="left" w:pos="5528"/>
          <w:tab w:val="left" w:pos="6634"/>
          <w:tab w:val="left" w:pos="7740"/>
        </w:tabs>
        <w:spacing w:line="400" w:lineRule="exact"/>
        <w:jc w:val="left"/>
        <w:rPr>
          <w:rFonts w:ascii="仿宋_GB2312" w:hAnsi="仿宋_GB2312" w:eastAsia="仿宋_GB2312" w:cs="仿宋_GB2312"/>
          <w:color w:val="auto"/>
          <w:sz w:val="24"/>
          <w:highlight w:val="none"/>
        </w:rPr>
      </w:pPr>
      <w:bookmarkStart w:id="49" w:name="_Toc190868918"/>
      <w:r>
        <w:rPr>
          <w:rFonts w:hint="eastAsia" w:ascii="仿宋_GB2312" w:hAnsi="仿宋_GB2312" w:eastAsia="仿宋_GB2312" w:cs="仿宋_GB2312"/>
          <w:b/>
          <w:bCs/>
          <w:color w:val="auto"/>
          <w:sz w:val="24"/>
          <w:highlight w:val="none"/>
        </w:rPr>
        <w:t>7、中间件招标参数：</w:t>
      </w:r>
    </w:p>
    <w:tbl>
      <w:tblPr>
        <w:tblStyle w:val="63"/>
        <w:tblW w:w="55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42"/>
        <w:gridCol w:w="7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b/>
                <w:bCs/>
                <w:color w:val="auto"/>
                <w:kern w:val="0"/>
                <w:sz w:val="24"/>
                <w:highlight w:val="none"/>
              </w:rPr>
              <w:t>序号</w:t>
            </w:r>
          </w:p>
        </w:tc>
        <w:tc>
          <w:tcPr>
            <w:tcW w:w="1404" w:type="dxa"/>
            <w:shd w:val="clear" w:color="auto" w:fill="auto"/>
            <w:vAlign w:val="center"/>
          </w:tcPr>
          <w:p>
            <w:pPr>
              <w:snapToGrid w:val="0"/>
              <w:spacing w:line="400" w:lineRule="exact"/>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rPr>
              <w:t>指标分类</w:t>
            </w:r>
          </w:p>
        </w:tc>
        <w:tc>
          <w:tcPr>
            <w:tcW w:w="7113" w:type="dxa"/>
            <w:shd w:val="clear" w:color="auto" w:fill="auto"/>
            <w:vAlign w:val="center"/>
          </w:tcPr>
          <w:p>
            <w:pPr>
              <w:snapToGrid w:val="0"/>
              <w:spacing w:line="400" w:lineRule="exact"/>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ind w:firstLine="199" w:firstLineChars="83"/>
              <w:jc w:val="left"/>
              <w:textAlignment w:val="center"/>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lang w:bidi="ar"/>
              </w:rPr>
              <w:t>1</w:t>
            </w:r>
          </w:p>
        </w:tc>
        <w:tc>
          <w:tcPr>
            <w:tcW w:w="1404" w:type="dxa"/>
            <w:shd w:val="clear" w:color="auto" w:fill="auto"/>
            <w:vAlign w:val="center"/>
          </w:tcPr>
          <w:p>
            <w:pPr>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rPr>
              <w:t>软件部署</w:t>
            </w:r>
          </w:p>
        </w:tc>
        <w:tc>
          <w:tcPr>
            <w:tcW w:w="7113" w:type="dxa"/>
            <w:shd w:val="clear" w:color="auto" w:fill="auto"/>
            <w:vAlign w:val="center"/>
          </w:tcPr>
          <w:p>
            <w:pPr>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kern w:val="0"/>
                <w:sz w:val="24"/>
                <w:highlight w:val="none"/>
              </w:rPr>
              <w:t>国产化中间件支持Web服务器软件中间件及应用服务器中间件，两者二选一，可根据部署的业务软件选择其中一种作为数据库中间件。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ind w:firstLine="199" w:firstLineChars="83"/>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功能要求</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为适应业务需求，Web中间件产品需通过Q/KXY EDCC-XC/A-003-2024《信息技术应用创新 兼容适配测试方法》的检验。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ind w:firstLine="199" w:firstLineChars="83"/>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代码自研率</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产品为自研产品，核心代码自主率满足99%代码自研率自主要求。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ind w:firstLine="199" w:firstLineChars="83"/>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4</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信息系统安全测评</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确保产品安全可靠，规避中间件产品的安全漏洞威胁。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8" w:type="dxa"/>
            <w:shd w:val="clear" w:color="auto" w:fill="auto"/>
            <w:vAlign w:val="center"/>
          </w:tcPr>
          <w:p>
            <w:pPr>
              <w:widowControl/>
              <w:snapToGrid w:val="0"/>
              <w:ind w:firstLine="199" w:firstLineChars="83"/>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5</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产品安全性</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为确保Web中间件产品的安全性，产品需通过产品安全检验。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ind w:firstLine="199" w:firstLineChars="83"/>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6</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权限控制机制</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支持提供权限控制机制，限制不同用户的权限。提供审计日志功能，完整的记录用户的操作，包含时间、操作人员、操作类型、操作内容等，审计追溯违规行为，有效保护系统的安全性。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ind w:firstLine="199" w:firstLineChars="83"/>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7</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健康检查</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支持动态脚本语言LUA实现高级特性，支持对后端实例节点做健康检查，包括主动和被动检查方式。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ind w:firstLine="199" w:firstLineChars="83"/>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8</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可视化集中管理</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提供可视化集中管理控制台，支持负载服务跨节点安装、部署、主备模式、多实例模式搭建、参数设置等生命周期管理，提升运维管理效率。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ind w:firstLine="199" w:firstLineChars="83"/>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9</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代理模式</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支持正向代理、反向代理；支持HTTP Connect方法做正向代理；支持组合多个请求的反向代理策略。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10</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熔断限流</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支持熔断限流，基于监控内存、CPU和请求的响应时间，达到设定的阈值时拒绝所有请求，支持自定义熔断后续动作</w:t>
            </w:r>
            <w:r>
              <w:rPr>
                <w:rFonts w:hint="eastAsia" w:ascii="仿宋_GB2312" w:hAnsi="仿宋_GB2312" w:eastAsia="仿宋_GB2312" w:cs="仿宋_GB2312"/>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11</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流量控制策略</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支持多种流量控制策略包括不限于请求数、传输速率、系统保护、并发连接数等参数做流量限制，允许对单个IP请求处理速率、请求连接数量进行控制，支持针对每个请求限制下载速度。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12</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模块管理</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▲1、支持动态模块编译加载及模块在线管理，在运行时动态选择加载或卸载某些模块，扩展起来更加方便快捷，对业务零影响。</w:t>
            </w:r>
          </w:p>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2、上述第1点参数提供相关功能界面截图</w:t>
            </w:r>
            <w:r>
              <w:rPr>
                <w:rFonts w:hint="eastAsia" w:ascii="仿宋_GB2312" w:hAnsi="仿宋_GB2312" w:eastAsia="仿宋_GB2312" w:cs="仿宋_GB2312"/>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13</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云原生能力成熟度</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为适应业务需求，产品需通过Q/KXY MI002-2022《云原生能力成熟度模型 第五部分：中间件》的检验，并获得云原生中间件能力成熟度4级认证。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14</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服务器应用场景测试</w:t>
            </w:r>
          </w:p>
        </w:tc>
        <w:tc>
          <w:tcPr>
            <w:tcW w:w="7113"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为适应信创需求。产品需通过《GCC 7004-2020-服务器应用场景测试方法 Web应用》性能评测。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15</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bookmarkStart w:id="50" w:name="_Hlk192173554"/>
            <w:r>
              <w:rPr>
                <w:rFonts w:hint="eastAsia" w:ascii="仿宋_GB2312" w:hAnsi="仿宋_GB2312" w:eastAsia="仿宋_GB2312" w:cs="仿宋_GB2312"/>
                <w:color w:val="auto"/>
                <w:sz w:val="24"/>
                <w:highlight w:val="none"/>
              </w:rPr>
              <w:t>JAVA认证</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通过JavaEE 7、JavaEE 8、JakartaEE 9.0、JakartaEE 9.1标准认证。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16</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轻量级</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中间件产品提供适合PaaS平台部署的轻量级产品，提供支持SpringBoot内嵌中间件版本，支持SpringBoot1.x版本、SpringBoot2.x版本、SpringBoot3.x版本。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17</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兼容互认</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支持国产化环境，如飞腾、龙芯、鲲鹏、海光、申威、兆芯等平台及麒麟、统信、中科方德等国产操作系统。支持国产数据库，如：神州通用、达梦、人大金仓、华为GaussDB、瀚高数据库等国产数据库</w:t>
            </w:r>
            <w:r>
              <w:rPr>
                <w:rFonts w:hint="eastAsia" w:ascii="仿宋_GB2312" w:hAnsi="仿宋_GB2312" w:eastAsia="仿宋_GB2312" w:cs="仿宋_GB2312"/>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18</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商用密码产品认证</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产品标准和技术要求符合GM/T 0028《密码模块安全技术要求》第二级或以上要求</w:t>
            </w:r>
            <w:r>
              <w:rPr>
                <w:rFonts w:hint="eastAsia" w:ascii="仿宋_GB2312" w:hAnsi="仿宋_GB2312" w:eastAsia="仿宋_GB2312" w:cs="仿宋_GB2312"/>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19</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应用Web接口</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▲1、支持通过应用Web接口的QPS、并发数等指标对应用请求进行限流，限流包括快速失败、预热启动、排队等待等；支持通过应用Web接口的慢请求比例、异常比例、异常数等阈值，熔断Web接口请求。</w:t>
            </w:r>
          </w:p>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2、上述第1点参数提供相关功能界面截图</w:t>
            </w:r>
            <w:r>
              <w:rPr>
                <w:rFonts w:hint="eastAsia" w:ascii="仿宋_GB2312" w:hAnsi="仿宋_GB2312" w:eastAsia="仿宋_GB2312" w:cs="仿宋_GB2312"/>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20</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标准功能完善成熟</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为证明中间件所有标准功能完善并且成熟，需通过软件产品单项功能测试。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21</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高可用</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▲1、支持EJB集群，EJB集群需要支持多种负载管理算法（支持简单轮转、加权轮转、随机、备份等负载均衡策略等）和故障EJB自动隔离功能；EJB容器支持除了IIOP之外的自主序列化协议。</w:t>
            </w:r>
          </w:p>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2、上述第1点参数提供相关功能界面截图</w:t>
            </w:r>
            <w:r>
              <w:rPr>
                <w:rFonts w:hint="eastAsia" w:ascii="仿宋_GB2312" w:hAnsi="仿宋_GB2312" w:eastAsia="仿宋_GB2312" w:cs="仿宋_GB2312"/>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22</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集群管理</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提供完善的集群技术与 Session 管理，内置分布式会话管理方案，支持 Sesison 数据配置接入分布式缓存实现 Sesison 数据的独立管理。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23</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自我保护安全防御</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b/>
                <w:bCs/>
                <w:color w:val="auto"/>
                <w:kern w:val="0"/>
                <w:sz w:val="24"/>
                <w:highlight w:val="none"/>
              </w:rPr>
            </w:pPr>
            <w:r>
              <w:rPr>
                <w:rFonts w:hint="eastAsia" w:ascii="仿宋_GB2312" w:hAnsi="仿宋_GB2312" w:eastAsia="仿宋_GB2312" w:cs="仿宋_GB2312"/>
                <w:color w:val="auto"/>
                <w:sz w:val="24"/>
                <w:highlight w:val="none"/>
              </w:rPr>
              <w:t>▲1、产品具备应用运行时自我保护安全防御机制，支持依据上下文及关键函数的参数等信息动态判断恶意攻击，实时进行安全阻断，内置常见安全漏洞防御选项，灵活配置防御策略，实现对多种攻击手段如SQL注入、命令注入、文件目录列表等进行检测和拦截，并记录攻击的细节信息备查，同时根据攻击事件，发现应用存在的安全漏洞，并提出修复意见。确保产品安全可靠，规避中间件产品的安全漏洞威胁，需支持用户认证、授权；三员分立；国密算法等。</w:t>
            </w:r>
          </w:p>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2、上述第1点参数提供相关功能界面截图</w:t>
            </w:r>
            <w:r>
              <w:rPr>
                <w:rFonts w:hint="eastAsia" w:ascii="仿宋_GB2312" w:hAnsi="仿宋_GB2312" w:eastAsia="仿宋_GB2312" w:cs="仿宋_GB2312"/>
                <w:b/>
                <w:bCs/>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24</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安全攻击防护</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支持拦截多种web安全攻击，包括命令注入、SQL注入、任意文件下载和读取、文件目录列出、任意文件上传、SSRF、文件包含、Struts OGNL代码执行、远程命令执行、XXE、反序列化漏洞、反射型XSS、WebShell等。支持安全防护统计功能。包含攻击次数、攻击类型、Top10攻击来源、Top10被攻击URL等信息。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25</w:t>
            </w:r>
          </w:p>
        </w:tc>
        <w:tc>
          <w:tcPr>
            <w:tcW w:w="1404" w:type="dxa"/>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产品安全性</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为保障产品安全性，应对产品进行安全功能测试和渗透测试，为确保测试全面，安全检测应覆盖SQL注入、XSS跨站、访问控制、身份验证、逻辑型漏洞、敏感信息泄漏、文件操作、安全配置漏洞、会话管理、接口参数、端口测试等几个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26</w:t>
            </w:r>
          </w:p>
        </w:tc>
        <w:tc>
          <w:tcPr>
            <w:tcW w:w="1404" w:type="dxa"/>
            <w:tcBorders>
              <w:bottom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用户访问能力</w:t>
            </w:r>
          </w:p>
        </w:tc>
        <w:tc>
          <w:tcPr>
            <w:tcW w:w="711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为保证系统稳定运行，提供在全国产环境下满足至少五十万在线用户访问能力，平均响应时间低于300毫秒，事务通过率≥98%。</w:t>
            </w:r>
          </w:p>
        </w:tc>
      </w:tr>
      <w:bookmarkEnd w:id="49"/>
      <w:bookmarkEnd w:id="50"/>
    </w:tbl>
    <w:p>
      <w:pPr>
        <w:pStyle w:val="2"/>
        <w:spacing w:after="0" w:line="440" w:lineRule="exact"/>
        <w:ind w:left="0" w:leftChars="0" w:firstLine="482"/>
        <w:jc w:val="left"/>
        <w:rPr>
          <w:rFonts w:ascii="仿宋_GB2312" w:hAnsi="仿宋_GB2312" w:eastAsia="仿宋_GB2312" w:cs="仿宋_GB2312"/>
          <w:b/>
          <w:bCs/>
          <w:color w:val="auto"/>
          <w:sz w:val="24"/>
          <w:highlight w:val="none"/>
          <w:lang w:val="zh-CN"/>
        </w:rPr>
      </w:pPr>
      <w:r>
        <w:rPr>
          <w:rFonts w:hint="eastAsia" w:ascii="仿宋_GB2312" w:hAnsi="仿宋_GB2312" w:eastAsia="仿宋_GB2312" w:cs="仿宋_GB2312"/>
          <w:b/>
          <w:bCs/>
          <w:color w:val="auto"/>
          <w:sz w:val="24"/>
          <w:highlight w:val="none"/>
          <w:lang w:val="zh-CN"/>
        </w:rPr>
        <w:t>三、服务要求：</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1、投标人必须保证所有设备为原装正规渠道行货,如应采购人需要则</w:t>
      </w:r>
      <w:r>
        <w:rPr>
          <w:rFonts w:hint="eastAsia" w:ascii="仿宋_GB2312" w:hAnsi="仿宋_GB2312" w:eastAsia="仿宋_GB2312" w:cs="仿宋_GB2312"/>
          <w:color w:val="auto"/>
          <w:sz w:val="24"/>
          <w:highlight w:val="none"/>
        </w:rPr>
        <w:t>供货时</w:t>
      </w:r>
      <w:r>
        <w:rPr>
          <w:rFonts w:hint="eastAsia" w:ascii="仿宋_GB2312" w:hAnsi="仿宋_GB2312" w:eastAsia="仿宋_GB2312" w:cs="仿宋_GB2312"/>
          <w:color w:val="auto"/>
          <w:sz w:val="24"/>
          <w:highlight w:val="none"/>
          <w:lang w:val="zh-CN"/>
        </w:rPr>
        <w:t>提供正规渠道等相关证明，</w:t>
      </w:r>
      <w:r>
        <w:rPr>
          <w:rFonts w:hint="eastAsia" w:ascii="仿宋_GB2312" w:hAnsi="仿宋_GB2312" w:eastAsia="仿宋_GB2312" w:cs="仿宋_GB2312"/>
          <w:color w:val="auto"/>
          <w:sz w:val="24"/>
          <w:highlight w:val="none"/>
        </w:rPr>
        <w:t>供货时提</w:t>
      </w:r>
      <w:r>
        <w:rPr>
          <w:rFonts w:hint="eastAsia" w:ascii="仿宋_GB2312" w:hAnsi="仿宋_GB2312" w:eastAsia="仿宋_GB2312" w:cs="仿宋_GB2312"/>
          <w:color w:val="auto"/>
          <w:sz w:val="24"/>
          <w:highlight w:val="none"/>
          <w:lang w:val="zh-CN"/>
        </w:rPr>
        <w:t>供原厂质保与服务承诺函（原件），所有产品均原包装到用户，当场开箱验货。同时提供该设备相关技术参数的说明。如不符</w:t>
      </w:r>
      <w:r>
        <w:rPr>
          <w:rFonts w:hint="eastAsia" w:ascii="仿宋_GB2312" w:hAnsi="仿宋_GB2312" w:eastAsia="仿宋_GB2312" w:cs="仿宋_GB2312"/>
          <w:color w:val="auto"/>
          <w:sz w:val="24"/>
          <w:highlight w:val="none"/>
        </w:rPr>
        <w:t>所投产品技术</w:t>
      </w:r>
      <w:r>
        <w:rPr>
          <w:rFonts w:hint="eastAsia" w:ascii="仿宋_GB2312" w:hAnsi="仿宋_GB2312" w:eastAsia="仿宋_GB2312" w:cs="仿宋_GB2312"/>
          <w:color w:val="auto"/>
          <w:sz w:val="24"/>
          <w:highlight w:val="none"/>
          <w:lang w:val="zh-CN"/>
        </w:rPr>
        <w:t>要求的,采购人有权退货并且后果一概由投标人承担。</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2、产品从验收之日起提供售后服务（包括产品版本免费升级、7x24 小时免费人工、现场服务、部件保修服务、4小时响应带备件上门服务）。为保证原厂服务的有效执行，要求所有设备保修信息均为采购人，可以查询验证。最终项目实施由</w:t>
      </w: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val="zh-CN"/>
        </w:rPr>
        <w:t xml:space="preserve">负责，并且提供指定技术对接人。  </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3、质量标准：</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（1）投标人提供的产品及服务必须是经合法途径取得的，同时提供的产品必须是2024年8月1日后出厂的合格</w:t>
      </w:r>
      <w:r>
        <w:rPr>
          <w:rFonts w:hint="eastAsia" w:ascii="仿宋_GB2312" w:hAnsi="仿宋_GB2312" w:eastAsia="仿宋_GB2312" w:cs="仿宋_GB2312"/>
          <w:color w:val="auto"/>
          <w:sz w:val="24"/>
          <w:highlight w:val="none"/>
        </w:rPr>
        <w:t>产品</w:t>
      </w:r>
      <w:r>
        <w:rPr>
          <w:rFonts w:hint="eastAsia" w:ascii="仿宋_GB2312" w:hAnsi="仿宋_GB2312" w:eastAsia="仿宋_GB2312" w:cs="仿宋_GB2312"/>
          <w:color w:val="auto"/>
          <w:sz w:val="24"/>
          <w:highlight w:val="none"/>
          <w:lang w:val="zh-CN"/>
        </w:rPr>
        <w:t>。</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（2）投标人应按现行的国家或行业技术及验收标准和招标文件的规定提供工程、设备或服务，因投标人提供的工程、设备或服务达不到约定的质量标准，投标人承担违约责任。</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4、到货</w:t>
      </w:r>
      <w:r>
        <w:rPr>
          <w:rFonts w:hint="eastAsia" w:ascii="仿宋_GB2312" w:hAnsi="仿宋_GB2312" w:eastAsia="仿宋_GB2312" w:cs="仿宋_GB2312"/>
          <w:color w:val="auto"/>
          <w:sz w:val="24"/>
          <w:highlight w:val="none"/>
        </w:rPr>
        <w:t>期限及安装调试期限</w:t>
      </w:r>
      <w:r>
        <w:rPr>
          <w:rFonts w:hint="eastAsia" w:ascii="仿宋_GB2312" w:hAnsi="仿宋_GB2312" w:eastAsia="仿宋_GB2312" w:cs="仿宋_GB2312"/>
          <w:color w:val="auto"/>
          <w:sz w:val="24"/>
          <w:highlight w:val="none"/>
          <w:lang w:val="zh-CN"/>
        </w:rPr>
        <w:t>：</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投标人在合同签订之日起30天内所有设备全部到货（用户根据</w:t>
      </w:r>
      <w:r>
        <w:rPr>
          <w:rFonts w:hint="eastAsia" w:ascii="仿宋_GB2312" w:hAnsi="仿宋_GB2312" w:eastAsia="仿宋_GB2312" w:cs="仿宋_GB2312"/>
          <w:color w:val="auto"/>
          <w:sz w:val="24"/>
          <w:highlight w:val="none"/>
        </w:rPr>
        <w:t>项目</w:t>
      </w:r>
      <w:r>
        <w:rPr>
          <w:rFonts w:hint="eastAsia" w:ascii="仿宋_GB2312" w:hAnsi="仿宋_GB2312" w:eastAsia="仿宋_GB2312" w:cs="仿宋_GB2312"/>
          <w:color w:val="auto"/>
          <w:sz w:val="24"/>
          <w:highlight w:val="none"/>
          <w:lang w:val="zh-CN"/>
        </w:rPr>
        <w:t>进度需要延迟的除外），开箱验收后根椐采购人要求完成安装调试，安装过程中</w:t>
      </w:r>
      <w:r>
        <w:rPr>
          <w:rFonts w:hint="eastAsia" w:ascii="仿宋_GB2312" w:hAnsi="仿宋_GB2312" w:eastAsia="仿宋_GB2312" w:cs="仿宋_GB2312"/>
          <w:color w:val="auto"/>
          <w:sz w:val="24"/>
          <w:highlight w:val="none"/>
        </w:rPr>
        <w:t>采购人</w:t>
      </w:r>
      <w:r>
        <w:rPr>
          <w:rFonts w:hint="eastAsia" w:ascii="仿宋_GB2312" w:hAnsi="仿宋_GB2312" w:eastAsia="仿宋_GB2312" w:cs="仿宋_GB2312"/>
          <w:color w:val="auto"/>
          <w:sz w:val="24"/>
          <w:highlight w:val="none"/>
          <w:lang w:val="zh-CN"/>
        </w:rPr>
        <w:t>不负责保管，直至系统正式上线的所有费用由投标人自行负责。</w:t>
      </w:r>
      <w:r>
        <w:rPr>
          <w:rFonts w:hint="eastAsia" w:ascii="仿宋_GB2312" w:hAnsi="仿宋_GB2312" w:eastAsia="仿宋_GB2312" w:cs="仿宋_GB2312"/>
          <w:color w:val="auto"/>
          <w:sz w:val="24"/>
          <w:highlight w:val="none"/>
        </w:rPr>
        <w:t>供货完成后，</w:t>
      </w:r>
      <w:r>
        <w:rPr>
          <w:rFonts w:hint="eastAsia" w:ascii="仿宋_GB2312" w:hAnsi="仿宋_GB2312" w:eastAsia="仿宋_GB2312" w:cs="仿宋_GB2312"/>
          <w:color w:val="auto"/>
          <w:sz w:val="24"/>
          <w:highlight w:val="none"/>
          <w:lang w:val="zh-CN"/>
        </w:rPr>
        <w:t>用户保留在一周内对中标的软件或货物进行试用测试的权利，</w:t>
      </w: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val="zh-CN"/>
        </w:rPr>
        <w:t>也有义务配合测试， 如果测试发现与投标文件不一致或投标人有意在一周拖延测试，则被视为欺诈行为。</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到货后30天内完成全部货物安装调试并保证正常使用。</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5、实施期间需要安排专门的工程师现场施工，项目组成员中，需持有</w:t>
      </w:r>
      <w:r>
        <w:rPr>
          <w:rFonts w:hint="eastAsia" w:ascii="仿宋_GB2312" w:hAnsi="仿宋_GB2312" w:eastAsia="仿宋_GB2312" w:cs="仿宋_GB2312"/>
          <w:caps/>
          <w:color w:val="auto"/>
          <w:sz w:val="24"/>
          <w:highlight w:val="none"/>
        </w:rPr>
        <w:t>中国信息安全评测中心颁发的</w:t>
      </w:r>
      <w:r>
        <w:rPr>
          <w:rFonts w:hint="eastAsia" w:ascii="仿宋_GB2312" w:hAnsi="仿宋_GB2312" w:eastAsia="仿宋_GB2312" w:cs="仿宋_GB2312"/>
          <w:color w:val="auto"/>
          <w:sz w:val="24"/>
          <w:highlight w:val="none"/>
          <w:lang w:val="zh-CN"/>
        </w:rPr>
        <w:t>网络安全技术认证证书（CISP或CISAW），做到从开始到结束全程保障该项目的安装、实施、培训，并且在其他项目、设备需要相互协作的情况下无条件配合至上线使用。期间所产生的所有费用由投标人承担。</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6、付款说明:按《浙江省财政厅关于进一步发挥政府采购政策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发票章单位名称必须与投标时公章名称相符合，否则采购人有权拒付相关款项。</w:t>
      </w:r>
    </w:p>
    <w:p>
      <w:pPr>
        <w:pStyle w:val="2"/>
        <w:spacing w:after="0" w:line="440" w:lineRule="exact"/>
        <w:ind w:left="0" w:leftChars="0" w:firstLine="48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7、其他要求：本项目的监理单位为绍兴市妇幼保健院2025年度信息化监理服务中标单位。</w:t>
      </w:r>
    </w:p>
    <w:p>
      <w:pPr>
        <w:pStyle w:val="2"/>
        <w:ind w:firstLine="420"/>
        <w:rPr>
          <w:color w:val="auto"/>
          <w:highlight w:val="none"/>
        </w:rPr>
      </w:pPr>
    </w:p>
    <w:p>
      <w:pPr>
        <w:pageBreakBefore/>
        <w:wordWrap w:val="0"/>
        <w:adjustRightInd/>
        <w:spacing w:line="440" w:lineRule="exact"/>
        <w:jc w:val="center"/>
        <w:outlineLvl w:val="0"/>
        <w:rPr>
          <w:rFonts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wordWrap w:val="0"/>
        <w:adjustRightInd/>
        <w:snapToGrid w:val="0"/>
        <w:spacing w:line="440" w:lineRule="exact"/>
        <w:outlineLvl w:val="0"/>
        <w:rPr>
          <w:rFonts w:ascii="仿宋" w:hAnsi="仿宋" w:eastAsia="仿宋" w:cs="仿宋"/>
          <w:b/>
          <w:color w:val="auto"/>
          <w:kern w:val="0"/>
          <w:sz w:val="36"/>
          <w:szCs w:val="36"/>
          <w:highlight w:val="none"/>
        </w:rPr>
      </w:pPr>
    </w:p>
    <w:p>
      <w:pPr>
        <w:wordWrap w:val="0"/>
        <w:adjustRightInd/>
        <w:spacing w:line="440" w:lineRule="exact"/>
        <w:jc w:val="center"/>
        <w:rPr>
          <w:rFonts w:ascii="仿宋" w:hAnsi="仿宋" w:eastAsia="仿宋" w:cs="仿宋"/>
          <w:b/>
          <w:color w:val="auto"/>
          <w:kern w:val="0"/>
          <w:sz w:val="28"/>
          <w:szCs w:val="28"/>
          <w:highlight w:val="none"/>
        </w:rPr>
      </w:pPr>
    </w:p>
    <w:p>
      <w:pPr>
        <w:pStyle w:val="7"/>
        <w:wordWrap w:val="0"/>
        <w:rPr>
          <w:color w:val="auto"/>
          <w:highlight w:val="none"/>
        </w:rPr>
      </w:pPr>
    </w:p>
    <w:p>
      <w:pPr>
        <w:wordWrap w:val="0"/>
        <w:adjustRightInd/>
        <w:spacing w:line="440" w:lineRule="exact"/>
        <w:rPr>
          <w:rFonts w:ascii="仿宋" w:hAnsi="仿宋" w:eastAsia="仿宋" w:cs="仿宋"/>
          <w:b/>
          <w:color w:val="auto"/>
          <w:kern w:val="0"/>
          <w:sz w:val="24"/>
          <w:szCs w:val="20"/>
          <w:highlight w:val="none"/>
        </w:rPr>
      </w:pPr>
    </w:p>
    <w:p>
      <w:pPr>
        <w:wordWrap w:val="0"/>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wordWrap w:val="0"/>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ordWrap w:val="0"/>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wordWrap w:val="0"/>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wordWrap w:val="0"/>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numPr>
          <w:ilvl w:val="255"/>
          <w:numId w:val="0"/>
        </w:numPr>
        <w:wordWrap w:val="0"/>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pPr>
        <w:numPr>
          <w:ilvl w:val="255"/>
          <w:numId w:val="0"/>
        </w:numPr>
        <w:wordWrap w:val="0"/>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pPr>
        <w:wordWrap w:val="0"/>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pPr>
        <w:wordWrap w:val="0"/>
        <w:spacing w:line="440" w:lineRule="exact"/>
        <w:ind w:left="-420" w:leftChars="-200" w:right="-420" w:rightChars="-200" w:firstLine="480" w:firstLineChars="200"/>
        <w:rPr>
          <w:rFonts w:ascii="仿宋" w:hAnsi="仿宋" w:eastAsia="仿宋" w:cs="仿宋"/>
          <w:color w:val="auto"/>
          <w:sz w:val="24"/>
          <w:highlight w:val="none"/>
        </w:rPr>
        <w:sectPr>
          <w:footerReference r:id="rId12" w:type="default"/>
          <w:pgSz w:w="11906" w:h="16838"/>
          <w:pgMar w:top="1440" w:right="1800" w:bottom="1440" w:left="1800" w:header="851" w:footer="992" w:gutter="0"/>
          <w:cols w:space="720" w:num="1"/>
          <w:docGrid w:type="lines" w:linePitch="312" w:charSpace="0"/>
        </w:sectPr>
      </w:pPr>
    </w:p>
    <w:p>
      <w:pPr>
        <w:pageBreakBefore/>
        <w:wordWrap w:val="0"/>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bookmarkStart w:id="51" w:name="_Toc22209"/>
      <w:r>
        <w:rPr>
          <w:rFonts w:hint="eastAsia" w:ascii="仿宋" w:hAnsi="仿宋" w:eastAsia="仿宋" w:cs="仿宋"/>
          <w:b/>
          <w:bCs/>
          <w:color w:val="auto"/>
          <w:kern w:val="0"/>
          <w:sz w:val="24"/>
          <w:szCs w:val="20"/>
          <w:highlight w:val="none"/>
        </w:rPr>
        <w:t>第一节 政府采购合同协议书</w:t>
      </w:r>
      <w:bookmarkEnd w:id="51"/>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wordWrap w:val="0"/>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pPr>
        <w:wordWrap w:val="0"/>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pPr>
        <w:wordWrap w:val="0"/>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wordWrap w:val="0"/>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pPr>
        <w:wordWrap w:val="0"/>
        <w:adjustRightInd/>
        <w:spacing w:line="440" w:lineRule="exact"/>
        <w:ind w:right="-420" w:rightChars="-200"/>
        <w:rPr>
          <w:rFonts w:ascii="仿宋" w:hAnsi="仿宋" w:eastAsia="仿宋" w:cs="仿宋"/>
          <w:color w:val="auto"/>
          <w:kern w:val="0"/>
          <w:sz w:val="24"/>
          <w:szCs w:val="20"/>
          <w:highlight w:val="none"/>
        </w:rPr>
      </w:pPr>
    </w:p>
    <w:p>
      <w:pPr>
        <w:wordWrap w:val="0"/>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5"/>
        </w:numPr>
        <w:wordWrap w:val="0"/>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255"/>
          <w:numId w:val="0"/>
        </w:numPr>
        <w:wordWrap w:val="0"/>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6"/>
        </w:num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6"/>
        </w:num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w:t>
      </w:r>
      <w:r>
        <w:rPr>
          <w:rFonts w:hint="eastAsia" w:ascii="仿宋" w:hAnsi="仿宋" w:eastAsia="仿宋" w:cs="仿宋"/>
          <w:color w:val="auto"/>
          <w:kern w:val="0"/>
          <w:sz w:val="24"/>
          <w:szCs w:val="20"/>
          <w:highlight w:val="none"/>
          <w:lang w:val="en"/>
        </w:rPr>
        <w:t>/个/架/组等</w:t>
      </w:r>
      <w:r>
        <w:rPr>
          <w:rFonts w:hint="eastAsia" w:ascii="仿宋" w:hAnsi="仿宋" w:eastAsia="仿宋" w:cs="仿宋"/>
          <w:color w:val="auto"/>
          <w:kern w:val="0"/>
          <w:sz w:val="24"/>
          <w:szCs w:val="20"/>
          <w:highlight w:val="none"/>
        </w:rPr>
        <w:t>）：</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rPr>
        <w:t xml:space="preserve">   </w:t>
      </w:r>
      <w:r>
        <w:rPr>
          <w:rFonts w:hint="eastAsia" w:ascii="仿宋" w:hAnsi="仿宋" w:eastAsia="仿宋" w:cs="仿宋"/>
          <w:color w:val="auto"/>
          <w:kern w:val="0"/>
          <w:sz w:val="24"/>
          <w:szCs w:val="20"/>
          <w:highlight w:val="none"/>
        </w:rPr>
        <w:t>规格型号：</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wordWrap w:val="0"/>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4</w:t>
      </w:r>
      <w:r>
        <w:rPr>
          <w:rFonts w:hint="eastAsia" w:ascii="仿宋" w:hAnsi="仿宋" w:eastAsia="仿宋" w:cs="仿宋"/>
          <w:color w:val="auto"/>
          <w:kern w:val="0"/>
          <w:sz w:val="24"/>
          <w:szCs w:val="20"/>
          <w:highlight w:val="none"/>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5</w:t>
      </w:r>
      <w:r>
        <w:rPr>
          <w:rFonts w:hint="eastAsia" w:ascii="仿宋" w:hAnsi="仿宋" w:eastAsia="仿宋" w:cs="仿宋"/>
          <w:color w:val="auto"/>
          <w:kern w:val="0"/>
          <w:sz w:val="24"/>
          <w:szCs w:val="20"/>
          <w:highlight w:val="none"/>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pPr>
        <w:wordWrap w:val="0"/>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6</w:t>
      </w:r>
      <w:r>
        <w:rPr>
          <w:rFonts w:hint="eastAsia" w:ascii="仿宋" w:hAnsi="仿宋" w:eastAsia="仿宋" w:cs="仿宋"/>
          <w:color w:val="auto"/>
          <w:kern w:val="0"/>
          <w:sz w:val="24"/>
          <w:szCs w:val="20"/>
          <w:highlight w:val="none"/>
        </w:rPr>
        <w:t>）中标（成交）采购标的制造商是否为中小企业：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8</w:t>
      </w:r>
      <w:r>
        <w:rPr>
          <w:rFonts w:hint="eastAsia" w:ascii="仿宋" w:hAnsi="仿宋" w:eastAsia="仿宋" w:cs="仿宋"/>
          <w:color w:val="auto"/>
          <w:kern w:val="0"/>
          <w:sz w:val="24"/>
          <w:szCs w:val="20"/>
          <w:highlight w:val="none"/>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9</w:t>
      </w:r>
      <w:r>
        <w:rPr>
          <w:rFonts w:hint="eastAsia" w:ascii="仿宋" w:hAnsi="仿宋" w:eastAsia="仿宋" w:cs="仿宋"/>
          <w:color w:val="auto"/>
          <w:kern w:val="0"/>
          <w:sz w:val="24"/>
          <w:szCs w:val="20"/>
          <w:highlight w:val="none"/>
        </w:rPr>
        <w:t>）是否涉及进口产品：</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w:t>
      </w:r>
      <w:r>
        <w:rPr>
          <w:rFonts w:hint="eastAsia" w:ascii="仿宋" w:hAnsi="仿宋" w:eastAsia="仿宋" w:cs="仿宋"/>
          <w:color w:val="auto"/>
          <w:kern w:val="0"/>
          <w:sz w:val="24"/>
          <w:szCs w:val="20"/>
          <w:highlight w:val="none"/>
          <w:lang w:val="en"/>
        </w:rPr>
        <w:t>0</w:t>
      </w:r>
      <w:r>
        <w:rPr>
          <w:rFonts w:hint="eastAsia" w:ascii="仿宋" w:hAnsi="仿宋" w:eastAsia="仿宋" w:cs="仿宋"/>
          <w:color w:val="auto"/>
          <w:kern w:val="0"/>
          <w:sz w:val="24"/>
          <w:szCs w:val="20"/>
          <w:highlight w:val="none"/>
        </w:rPr>
        <w:t>）是否涉及节能产品：</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
        </w:rPr>
        <w:t>1</w:t>
      </w:r>
      <w:r>
        <w:rPr>
          <w:rFonts w:hint="eastAsia" w:ascii="仿宋" w:hAnsi="仿宋" w:eastAsia="仿宋" w:cs="仿宋"/>
          <w:color w:val="auto"/>
          <w:kern w:val="0"/>
          <w:sz w:val="24"/>
          <w:szCs w:val="20"/>
          <w:highlight w:val="none"/>
        </w:rPr>
        <w:t>）涉及商品包装和快递包装的，是否参考《商品包装政府采购需求标准（试行）》、《快递包装政府采购需求标准（试行）》明确产品及相关快递服务的具体包装要求：</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pPr>
        <w:wordWrap w:val="0"/>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pPr>
        <w:wordWrap w:val="0"/>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pPr>
        <w:wordWrap w:val="0"/>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pPr>
        <w:wordWrap w:val="0"/>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wordWrap w:val="0"/>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wordWrap w:val="0"/>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wordWrap w:val="0"/>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w:t>
      </w:r>
      <w:r>
        <w:rPr>
          <w:rFonts w:hint="eastAsia" w:ascii="仿宋" w:hAnsi="仿宋" w:eastAsia="仿宋" w:cs="仿宋"/>
          <w:bCs/>
          <w:color w:val="auto"/>
          <w:kern w:val="0"/>
          <w:sz w:val="24"/>
          <w:highlight w:val="none"/>
          <w:u w:val="single"/>
          <w:lang w:val="en"/>
        </w:rPr>
        <w:t>/分项验收的工作安排</w:t>
      </w:r>
      <w:r>
        <w:rPr>
          <w:rFonts w:hint="eastAsia"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pPr>
        <w:wordWrap w:val="0"/>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pPr>
        <w:wordWrap w:val="0"/>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wordWrap w:val="0"/>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pPr>
              <w:wordWrap w:val="0"/>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pPr>
              <w:wordWrap w:val="0"/>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wordWrap w:val="0"/>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7"/>
        </w:numPr>
        <w:wordWrap w:val="0"/>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52" w:name="_Toc27624"/>
      <w:r>
        <w:rPr>
          <w:rFonts w:hint="eastAsia" w:ascii="仿宋" w:hAnsi="仿宋" w:eastAsia="仿宋" w:cs="仿宋"/>
          <w:b/>
          <w:bCs/>
          <w:color w:val="auto"/>
          <w:kern w:val="0"/>
          <w:sz w:val="24"/>
          <w:szCs w:val="20"/>
          <w:highlight w:val="none"/>
        </w:rPr>
        <w:t>政府采购合同通用条款</w:t>
      </w:r>
      <w:bookmarkEnd w:id="52"/>
    </w:p>
    <w:p>
      <w:pPr>
        <w:numPr>
          <w:ilvl w:val="255"/>
          <w:numId w:val="0"/>
        </w:num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技术资料和材料等。</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wordWrap w:val="0"/>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pPr>
        <w:wordWrap w:val="0"/>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pPr>
        <w:numPr>
          <w:ilvl w:val="255"/>
          <w:numId w:val="0"/>
        </w:num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pPr>
        <w:numPr>
          <w:ilvl w:val="255"/>
          <w:numId w:val="0"/>
        </w:num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w:t>
      </w:r>
      <w:bookmarkStart w:id="53"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3"/>
      <w:r>
        <w:rPr>
          <w:rFonts w:hint="eastAsia" w:ascii="仿宋" w:hAnsi="仿宋" w:eastAsia="仿宋" w:cs="仿宋"/>
          <w:color w:val="auto"/>
          <w:kern w:val="0"/>
          <w:sz w:val="24"/>
          <w:szCs w:val="20"/>
          <w:highlight w:val="none"/>
        </w:rPr>
        <w:t>。</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pPr>
        <w:wordWrap w:val="0"/>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pPr>
        <w:wordWrap w:val="0"/>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bookmarkStart w:id="54" w:name="_Toc20313"/>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wordWrap w:val="0"/>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54"/>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pPr>
              <w:wordWrap w:val="0"/>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第19.1款</w:t>
            </w:r>
          </w:p>
        </w:tc>
        <w:tc>
          <w:tcPr>
            <w:tcW w:w="1857" w:type="dxa"/>
            <w:tcBorders>
              <w:top w:val="single" w:color="auto" w:sz="2" w:space="0"/>
              <w:left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pPr>
              <w:wordWrap w:val="0"/>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wordWrap w:val="0"/>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pPr>
        <w:wordWrap w:val="0"/>
        <w:spacing w:line="360" w:lineRule="auto"/>
        <w:jc w:val="center"/>
        <w:rPr>
          <w:rFonts w:ascii="仿宋" w:hAnsi="仿宋" w:eastAsia="仿宋" w:cs="仿宋"/>
          <w:b/>
          <w:color w:val="auto"/>
          <w:sz w:val="36"/>
          <w:szCs w:val="36"/>
          <w:highlight w:val="none"/>
        </w:rPr>
      </w:pPr>
    </w:p>
    <w:p>
      <w:pPr>
        <w:wordWrap w:val="0"/>
        <w:spacing w:line="360" w:lineRule="auto"/>
        <w:jc w:val="center"/>
        <w:rPr>
          <w:rFonts w:ascii="仿宋" w:hAnsi="仿宋" w:eastAsia="仿宋" w:cs="仿宋"/>
          <w:b/>
          <w:color w:val="auto"/>
          <w:sz w:val="36"/>
          <w:szCs w:val="36"/>
          <w:highlight w:val="none"/>
        </w:rPr>
      </w:pPr>
    </w:p>
    <w:p>
      <w:pPr>
        <w:wordWrap w:val="0"/>
        <w:spacing w:line="360" w:lineRule="auto"/>
        <w:jc w:val="center"/>
        <w:rPr>
          <w:rFonts w:ascii="仿宋" w:hAnsi="仿宋" w:eastAsia="仿宋" w:cs="仿宋"/>
          <w:b/>
          <w:color w:val="auto"/>
          <w:sz w:val="36"/>
          <w:szCs w:val="36"/>
          <w:highlight w:val="none"/>
        </w:rPr>
      </w:pPr>
    </w:p>
    <w:p>
      <w:pPr>
        <w:wordWrap w:val="0"/>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wordWrap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wordWrap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wordWrap w:val="0"/>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ordWrap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wordWrap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wordWrap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3"/>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84"/>
        <w:gridCol w:w="647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9" w:type="dxa"/>
            <w:tcBorders>
              <w:top w:val="single" w:color="auto" w:sz="4" w:space="0"/>
              <w:left w:val="single" w:color="auto" w:sz="4" w:space="0"/>
              <w:right w:val="single" w:color="auto" w:sz="4" w:space="0"/>
            </w:tcBorders>
            <w:vAlign w:val="center"/>
          </w:tcPr>
          <w:p>
            <w:pPr>
              <w:widowControl/>
              <w:snapToGrid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0"/>
                <w:sz w:val="24"/>
                <w:highlight w:val="none"/>
              </w:rPr>
              <w:t>序号</w:t>
            </w:r>
          </w:p>
        </w:tc>
        <w:tc>
          <w:tcPr>
            <w:tcW w:w="1284" w:type="dxa"/>
            <w:tcBorders>
              <w:top w:val="single" w:color="auto" w:sz="4" w:space="0"/>
              <w:left w:val="single" w:color="auto" w:sz="4" w:space="0"/>
              <w:right w:val="single" w:color="auto" w:sz="4" w:space="0"/>
            </w:tcBorders>
            <w:vAlign w:val="center"/>
          </w:tcPr>
          <w:p>
            <w:pPr>
              <w:widowControl/>
              <w:snapToGrid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0"/>
                <w:sz w:val="24"/>
                <w:highlight w:val="none"/>
              </w:rPr>
              <w:t>评分项</w:t>
            </w:r>
          </w:p>
        </w:tc>
        <w:tc>
          <w:tcPr>
            <w:tcW w:w="6478" w:type="dxa"/>
            <w:tcBorders>
              <w:top w:val="single" w:color="auto" w:sz="4" w:space="0"/>
              <w:left w:val="single" w:color="auto" w:sz="4" w:space="0"/>
              <w:right w:val="single" w:color="auto" w:sz="4" w:space="0"/>
            </w:tcBorders>
            <w:vAlign w:val="center"/>
          </w:tcPr>
          <w:p>
            <w:pPr>
              <w:widowControl/>
              <w:snapToGrid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0"/>
                <w:sz w:val="24"/>
                <w:highlight w:val="none"/>
              </w:rPr>
              <w:t>评审依据及标准</w:t>
            </w:r>
          </w:p>
        </w:tc>
        <w:tc>
          <w:tcPr>
            <w:tcW w:w="868" w:type="dxa"/>
            <w:tcBorders>
              <w:top w:val="single" w:color="auto" w:sz="4" w:space="0"/>
              <w:left w:val="single" w:color="auto" w:sz="4" w:space="0"/>
              <w:right w:val="single" w:color="auto" w:sz="4" w:space="0"/>
            </w:tcBorders>
            <w:vAlign w:val="center"/>
          </w:tcPr>
          <w:p>
            <w:pPr>
              <w:widowControl/>
              <w:snapToGrid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719" w:type="dxa"/>
            <w:tcBorders>
              <w:top w:val="single" w:color="auto" w:sz="4" w:space="0"/>
              <w:left w:val="single" w:color="auto" w:sz="4" w:space="0"/>
              <w:right w:val="single" w:color="auto" w:sz="4" w:space="0"/>
            </w:tcBorders>
            <w:vAlign w:val="center"/>
          </w:tcPr>
          <w:p>
            <w:pPr>
              <w:ind w:right="-21" w:rightChars="-1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84"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企业业绩</w:t>
            </w:r>
          </w:p>
        </w:tc>
        <w:tc>
          <w:tcPr>
            <w:tcW w:w="6478" w:type="dxa"/>
            <w:tcBorders>
              <w:top w:val="single" w:color="auto" w:sz="4" w:space="0"/>
              <w:left w:val="single" w:color="auto" w:sz="4" w:space="0"/>
              <w:right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投标人自2022年1月1日以来（以合同签订时间为准）完成的同类案例，每有1个得1分，满分3分。</w:t>
            </w:r>
          </w:p>
          <w:p>
            <w:pP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注：1.每个案例提供合同复印件，并加盖投标人公章。</w:t>
            </w:r>
          </w:p>
          <w:p>
            <w:pPr>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2.投标产品为省级以上主管部门认定的首台套产品，自纳入《省推广应用指导目录》起三年内参加政府采购活动，视同已具备相应销售业绩，业绩分为满分。</w:t>
            </w:r>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19" w:type="dxa"/>
            <w:tcBorders>
              <w:top w:val="single" w:color="auto" w:sz="4" w:space="0"/>
              <w:left w:val="single" w:color="auto" w:sz="4" w:space="0"/>
              <w:right w:val="single" w:color="auto" w:sz="4" w:space="0"/>
            </w:tcBorders>
            <w:vAlign w:val="center"/>
          </w:tcPr>
          <w:p>
            <w:pPr>
              <w:ind w:right="-21" w:rightChars="-1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284"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企业证书</w:t>
            </w:r>
          </w:p>
        </w:tc>
        <w:tc>
          <w:tcPr>
            <w:tcW w:w="6478" w:type="dxa"/>
            <w:tcBorders>
              <w:top w:val="single" w:color="auto" w:sz="4" w:space="0"/>
              <w:left w:val="single" w:color="auto" w:sz="4" w:space="0"/>
              <w:right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根据投标人企业认证证书情况进行打分，提供相关证明并加盖投标人公章。(本项分值设置为3,2,1,0.5,0分)</w:t>
            </w:r>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19" w:type="dxa"/>
            <w:tcBorders>
              <w:left w:val="single" w:color="auto" w:sz="4" w:space="0"/>
              <w:right w:val="single" w:color="auto" w:sz="4" w:space="0"/>
            </w:tcBorders>
            <w:vAlign w:val="center"/>
          </w:tcPr>
          <w:p>
            <w:pPr>
              <w:ind w:right="-21" w:rightChars="-10" w:firstLine="225" w:firstLineChars="94"/>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284"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技术要求</w:t>
            </w:r>
          </w:p>
        </w:tc>
        <w:tc>
          <w:tcPr>
            <w:tcW w:w="6478" w:type="dxa"/>
            <w:tcBorders>
              <w:top w:val="single" w:color="auto" w:sz="4" w:space="0"/>
              <w:left w:val="single" w:color="auto" w:sz="4" w:space="0"/>
              <w:right w:val="single" w:color="auto" w:sz="4" w:space="0"/>
            </w:tcBorders>
            <w:vAlign w:val="center"/>
          </w:tcPr>
          <w:p>
            <w:pPr>
              <w:widowControl/>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技术要求：对应于招标文件第三部分招标项目范围及要求——“二、超融合项目主要技术参数”，完全满足指标参数得32分。打“★”号的性能指标为实质性指标，若出现负偏离作无效标处理；打“▲”为主要性能指标，每有一项负偏离扣</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分；其他指标，每有一项负偏离扣</w:t>
            </w:r>
            <w:r>
              <w:rPr>
                <w:rFonts w:hint="eastAsia" w:ascii="仿宋_GB2312" w:hAnsi="仿宋_GB2312" w:eastAsia="仿宋_GB2312" w:cs="仿宋_GB2312"/>
                <w:color w:val="auto"/>
                <w:sz w:val="24"/>
                <w:highlight w:val="none"/>
                <w:lang w:val="en-US" w:eastAsia="zh-CN"/>
              </w:rPr>
              <w:t>0.5</w:t>
            </w:r>
            <w:r>
              <w:rPr>
                <w:rFonts w:hint="eastAsia" w:ascii="仿宋_GB2312" w:hAnsi="仿宋_GB2312" w:eastAsia="仿宋_GB2312" w:cs="仿宋_GB2312"/>
                <w:color w:val="auto"/>
                <w:sz w:val="24"/>
                <w:highlight w:val="none"/>
              </w:rPr>
              <w:t>分，扣完为止。</w:t>
            </w:r>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19" w:type="dxa"/>
            <w:tcBorders>
              <w:left w:val="single" w:color="auto" w:sz="4" w:space="0"/>
              <w:right w:val="single" w:color="auto" w:sz="4" w:space="0"/>
            </w:tcBorders>
            <w:vAlign w:val="center"/>
          </w:tcPr>
          <w:p>
            <w:pPr>
              <w:ind w:right="-21" w:rightChars="-10" w:firstLine="225" w:firstLineChars="94"/>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284" w:type="dxa"/>
            <w:tcBorders>
              <w:top w:val="single" w:color="auto" w:sz="4" w:space="0"/>
              <w:left w:val="single" w:color="auto" w:sz="4" w:space="0"/>
              <w:right w:val="single" w:color="auto" w:sz="4" w:space="0"/>
            </w:tcBorders>
            <w:vAlign w:val="center"/>
          </w:tcPr>
          <w:p>
            <w:pPr>
              <w:ind w:right="-21" w:rightChars="-1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总体实施方案</w:t>
            </w:r>
          </w:p>
        </w:tc>
        <w:tc>
          <w:tcPr>
            <w:tcW w:w="6478" w:type="dxa"/>
            <w:tcBorders>
              <w:top w:val="single" w:color="auto" w:sz="4" w:space="0"/>
              <w:left w:val="single" w:color="auto" w:sz="4" w:space="0"/>
              <w:right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根据投标人提供的总体实施方案进行打分，包括但不限于总体设计、供货保障、项目建设、履约验收等内容。</w:t>
            </w:r>
            <w:bookmarkStart w:id="55" w:name="OLE_LINK11"/>
            <w:bookmarkStart w:id="56" w:name="OLE_LINK12"/>
            <w:r>
              <w:rPr>
                <w:rFonts w:hint="eastAsia" w:ascii="仿宋_GB2312" w:hAnsi="仿宋_GB2312" w:eastAsia="仿宋_GB2312" w:cs="仿宋_GB2312"/>
                <w:color w:val="auto"/>
                <w:sz w:val="24"/>
                <w:highlight w:val="none"/>
              </w:rPr>
              <w:t>(本项分值设置为5,4,3,2,1,0.5,0分)。</w:t>
            </w:r>
            <w:bookmarkEnd w:id="55"/>
            <w:bookmarkEnd w:id="56"/>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19" w:type="dxa"/>
            <w:vMerge w:val="restart"/>
            <w:tcBorders>
              <w:left w:val="single" w:color="auto" w:sz="4" w:space="0"/>
              <w:right w:val="single" w:color="auto" w:sz="4" w:space="0"/>
            </w:tcBorders>
            <w:vAlign w:val="center"/>
          </w:tcPr>
          <w:p>
            <w:pPr>
              <w:ind w:right="-21" w:rightChars="-10" w:firstLine="225" w:firstLineChars="94"/>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284" w:type="dxa"/>
            <w:vMerge w:val="restart"/>
            <w:tcBorders>
              <w:top w:val="single" w:color="auto" w:sz="4" w:space="0"/>
              <w:left w:val="single" w:color="auto" w:sz="4" w:space="0"/>
              <w:right w:val="single" w:color="auto" w:sz="4" w:space="0"/>
            </w:tcBorders>
            <w:vAlign w:val="center"/>
          </w:tcPr>
          <w:p>
            <w:pPr>
              <w:ind w:right="-21" w:rightChars="-1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质量保证及应急保障方案</w:t>
            </w:r>
          </w:p>
        </w:tc>
        <w:tc>
          <w:tcPr>
            <w:tcW w:w="6478" w:type="dxa"/>
            <w:tcBorders>
              <w:top w:val="single" w:color="auto" w:sz="4" w:space="0"/>
              <w:left w:val="single" w:color="auto" w:sz="4" w:space="0"/>
              <w:right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根据投标人按采购人要求提供的质量保证目标进行打分，包括但不限于质量保证措施、项目风险控制机制和详细实施内容等。(本项分值设置为3,2,1,0.5,0分)。</w:t>
            </w:r>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19" w:type="dxa"/>
            <w:vMerge w:val="continue"/>
            <w:tcBorders>
              <w:left w:val="single" w:color="auto" w:sz="4" w:space="0"/>
              <w:right w:val="single" w:color="auto" w:sz="4" w:space="0"/>
            </w:tcBorders>
            <w:vAlign w:val="center"/>
          </w:tcPr>
          <w:p>
            <w:pPr>
              <w:ind w:right="-21" w:rightChars="-10" w:firstLine="480"/>
              <w:jc w:val="center"/>
              <w:rPr>
                <w:rFonts w:ascii="仿宋_GB2312" w:hAnsi="仿宋_GB2312" w:eastAsia="仿宋_GB2312" w:cs="仿宋_GB2312"/>
                <w:color w:val="auto"/>
                <w:sz w:val="24"/>
                <w:highlight w:val="none"/>
              </w:rPr>
            </w:pPr>
          </w:p>
        </w:tc>
        <w:tc>
          <w:tcPr>
            <w:tcW w:w="1284" w:type="dxa"/>
            <w:vMerge w:val="continue"/>
            <w:tcBorders>
              <w:left w:val="single" w:color="auto" w:sz="4" w:space="0"/>
              <w:right w:val="single" w:color="auto" w:sz="4" w:space="0"/>
            </w:tcBorders>
            <w:vAlign w:val="center"/>
          </w:tcPr>
          <w:p>
            <w:pPr>
              <w:ind w:right="-21" w:rightChars="-10" w:firstLine="480"/>
              <w:jc w:val="center"/>
              <w:rPr>
                <w:rFonts w:ascii="仿宋_GB2312" w:hAnsi="仿宋_GB2312" w:eastAsia="仿宋_GB2312" w:cs="仿宋_GB2312"/>
                <w:color w:val="auto"/>
                <w:sz w:val="24"/>
                <w:highlight w:val="none"/>
              </w:rPr>
            </w:pPr>
          </w:p>
        </w:tc>
        <w:tc>
          <w:tcPr>
            <w:tcW w:w="6478" w:type="dxa"/>
            <w:tcBorders>
              <w:top w:val="single" w:color="auto" w:sz="4" w:space="0"/>
              <w:left w:val="single" w:color="auto" w:sz="4" w:space="0"/>
              <w:right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根据投标人提供针对本项目的应急方案进行打分，包括系统设施设备的故障紧急预案、应对措施、应急保障及相关承诺等。(本项分值设置为3,2,1,0.5,0分)。</w:t>
            </w:r>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19" w:type="dxa"/>
            <w:tcBorders>
              <w:left w:val="single" w:color="auto" w:sz="4" w:space="0"/>
              <w:right w:val="single" w:color="auto" w:sz="4" w:space="0"/>
            </w:tcBorders>
            <w:vAlign w:val="center"/>
          </w:tcPr>
          <w:p>
            <w:pPr>
              <w:ind w:right="-21" w:rightChars="-10" w:firstLine="225" w:firstLineChars="94"/>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1284" w:type="dxa"/>
            <w:tcBorders>
              <w:left w:val="single" w:color="auto" w:sz="4" w:space="0"/>
              <w:right w:val="single" w:color="auto" w:sz="4" w:space="0"/>
            </w:tcBorders>
            <w:vAlign w:val="center"/>
          </w:tcPr>
          <w:p>
            <w:pPr>
              <w:ind w:right="-21" w:rightChars="-1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重点和难点分析及解决措施</w:t>
            </w:r>
          </w:p>
        </w:tc>
        <w:tc>
          <w:tcPr>
            <w:tcW w:w="6478" w:type="dxa"/>
            <w:tcBorders>
              <w:top w:val="single" w:color="auto" w:sz="4" w:space="0"/>
              <w:left w:val="single" w:color="auto" w:sz="4" w:space="0"/>
              <w:right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根据投标人针对本项目的重点、难点分析及解决措施等进行打分，(本项分值设置为3,2,1,0.5,0分)。</w:t>
            </w:r>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19" w:type="dxa"/>
            <w:vMerge w:val="restart"/>
            <w:tcBorders>
              <w:top w:val="single" w:color="auto" w:sz="4" w:space="0"/>
              <w:left w:val="single" w:color="auto" w:sz="4" w:space="0"/>
              <w:right w:val="single" w:color="auto" w:sz="4" w:space="0"/>
            </w:tcBorders>
            <w:vAlign w:val="center"/>
          </w:tcPr>
          <w:p>
            <w:pPr>
              <w:ind w:right="-21" w:rightChars="-10" w:firstLine="225" w:firstLineChars="94"/>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1284" w:type="dxa"/>
            <w:vMerge w:val="restart"/>
            <w:tcBorders>
              <w:top w:val="single" w:color="auto" w:sz="4" w:space="0"/>
              <w:left w:val="single" w:color="auto" w:sz="4" w:space="0"/>
              <w:right w:val="single" w:color="auto" w:sz="4" w:space="0"/>
            </w:tcBorders>
            <w:vAlign w:val="center"/>
          </w:tcPr>
          <w:p>
            <w:pPr>
              <w:ind w:right="-21" w:rightChars="-1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项目团队人员情况</w:t>
            </w:r>
          </w:p>
        </w:tc>
        <w:tc>
          <w:tcPr>
            <w:tcW w:w="6478" w:type="dxa"/>
            <w:tcBorders>
              <w:top w:val="single" w:color="auto" w:sz="4" w:space="0"/>
              <w:left w:val="single" w:color="auto" w:sz="4" w:space="0"/>
              <w:right w:val="single" w:color="auto" w:sz="4" w:space="0"/>
            </w:tcBorders>
            <w:vAlign w:val="center"/>
          </w:tcPr>
          <w:p>
            <w:pPr>
              <w:ind w:right="-21" w:rightChars="-10"/>
              <w:rPr>
                <w:rFonts w:ascii="仿宋_GB2312" w:hAnsi="仿宋_GB2312" w:eastAsia="仿宋_GB2312" w:cs="仿宋_GB2312"/>
                <w:caps/>
                <w:color w:val="auto"/>
                <w:sz w:val="24"/>
                <w:highlight w:val="none"/>
              </w:rPr>
            </w:pPr>
            <w:r>
              <w:rPr>
                <w:rFonts w:hint="eastAsia" w:ascii="仿宋_GB2312" w:hAnsi="仿宋_GB2312" w:eastAsia="仿宋_GB2312" w:cs="仿宋_GB2312"/>
                <w:caps/>
                <w:color w:val="auto"/>
                <w:sz w:val="24"/>
                <w:highlight w:val="none"/>
              </w:rPr>
              <w:t>拟派项目团队人员持有中国信息安全评测中心颁发的网络安全技术认证证书（CISP或CISAW证书）的得2分。</w:t>
            </w:r>
          </w:p>
          <w:p>
            <w:pPr>
              <w:ind w:right="-21" w:rightChars="-10"/>
              <w:rPr>
                <w:rFonts w:ascii="仿宋_GB2312" w:hAnsi="仿宋_GB2312" w:eastAsia="仿宋_GB2312" w:cs="仿宋_GB2312"/>
                <w:color w:val="auto"/>
                <w:sz w:val="24"/>
                <w:highlight w:val="none"/>
              </w:rPr>
            </w:pPr>
            <w:r>
              <w:rPr>
                <w:rFonts w:hint="eastAsia" w:ascii="仿宋_GB2312" w:hAnsi="仿宋_GB2312" w:eastAsia="仿宋_GB2312" w:cs="仿宋_GB2312"/>
                <w:b/>
                <w:bCs/>
                <w:caps/>
                <w:color w:val="auto"/>
                <w:sz w:val="24"/>
                <w:highlight w:val="none"/>
              </w:rPr>
              <w:t>注：提供相关证书扫描件及本单位社保缴纳证明均加盖投标人公章，否则不得分。</w:t>
            </w:r>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19" w:type="dxa"/>
            <w:vMerge w:val="continue"/>
            <w:tcBorders>
              <w:left w:val="single" w:color="auto" w:sz="4" w:space="0"/>
              <w:right w:val="single" w:color="auto" w:sz="4" w:space="0"/>
            </w:tcBorders>
            <w:vAlign w:val="center"/>
          </w:tcPr>
          <w:p>
            <w:pPr>
              <w:ind w:right="-21" w:rightChars="-10" w:firstLine="225" w:firstLineChars="94"/>
              <w:rPr>
                <w:rFonts w:ascii="仿宋_GB2312" w:hAnsi="仿宋_GB2312" w:eastAsia="仿宋_GB2312" w:cs="仿宋_GB2312"/>
                <w:color w:val="auto"/>
                <w:sz w:val="24"/>
                <w:highlight w:val="none"/>
              </w:rPr>
            </w:pPr>
          </w:p>
        </w:tc>
        <w:tc>
          <w:tcPr>
            <w:tcW w:w="1284" w:type="dxa"/>
            <w:vMerge w:val="continue"/>
            <w:tcBorders>
              <w:left w:val="single" w:color="auto" w:sz="4" w:space="0"/>
              <w:right w:val="single" w:color="auto" w:sz="4" w:space="0"/>
            </w:tcBorders>
            <w:vAlign w:val="center"/>
          </w:tcPr>
          <w:p>
            <w:pPr>
              <w:ind w:right="-21" w:rightChars="-10"/>
              <w:jc w:val="center"/>
              <w:rPr>
                <w:rFonts w:ascii="仿宋_GB2312" w:hAnsi="仿宋_GB2312" w:eastAsia="仿宋_GB2312" w:cs="仿宋_GB2312"/>
                <w:color w:val="auto"/>
                <w:sz w:val="24"/>
                <w:highlight w:val="none"/>
              </w:rPr>
            </w:pPr>
          </w:p>
        </w:tc>
        <w:tc>
          <w:tcPr>
            <w:tcW w:w="6478" w:type="dxa"/>
            <w:tcBorders>
              <w:top w:val="single" w:color="auto" w:sz="4" w:space="0"/>
              <w:left w:val="single" w:color="auto" w:sz="4" w:space="0"/>
              <w:right w:val="single" w:color="auto" w:sz="4" w:space="0"/>
            </w:tcBorders>
            <w:vAlign w:val="center"/>
          </w:tcPr>
          <w:p>
            <w:pPr>
              <w:ind w:right="-21" w:rightChars="-1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根据投标人拟派</w:t>
            </w:r>
            <w:r>
              <w:rPr>
                <w:rFonts w:hint="eastAsia" w:ascii="仿宋_GB2312" w:hAnsi="仿宋_GB2312" w:eastAsia="仿宋_GB2312" w:cs="仿宋_GB2312"/>
                <w:caps/>
                <w:color w:val="auto"/>
                <w:sz w:val="24"/>
                <w:highlight w:val="none"/>
              </w:rPr>
              <w:t>项目</w:t>
            </w:r>
            <w:r>
              <w:rPr>
                <w:rFonts w:hint="eastAsia" w:ascii="仿宋_GB2312" w:hAnsi="仿宋_GB2312" w:eastAsia="仿宋_GB2312" w:cs="仿宋_GB2312"/>
                <w:color w:val="auto"/>
                <w:sz w:val="24"/>
                <w:highlight w:val="none"/>
              </w:rPr>
              <w:t>团队人员其他情况进行打分，包括但不限于人员配置、工作经验、安排部署等方面。(本项分值设置为3,2,1,0.5,0分)。</w:t>
            </w:r>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19" w:type="dxa"/>
            <w:tcBorders>
              <w:top w:val="single" w:color="auto" w:sz="4" w:space="0"/>
              <w:left w:val="single" w:color="auto" w:sz="4" w:space="0"/>
              <w:right w:val="single" w:color="auto" w:sz="4" w:space="0"/>
            </w:tcBorders>
            <w:vAlign w:val="center"/>
          </w:tcPr>
          <w:p>
            <w:pPr>
              <w:ind w:right="-21" w:rightChars="-10" w:firstLine="225" w:firstLineChars="94"/>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8</w:t>
            </w:r>
          </w:p>
        </w:tc>
        <w:tc>
          <w:tcPr>
            <w:tcW w:w="1284" w:type="dxa"/>
            <w:tcBorders>
              <w:top w:val="single" w:color="auto" w:sz="4" w:space="0"/>
              <w:left w:val="single" w:color="auto" w:sz="4" w:space="0"/>
              <w:right w:val="single" w:color="auto" w:sz="4" w:space="0"/>
            </w:tcBorders>
            <w:vAlign w:val="center"/>
          </w:tcPr>
          <w:p>
            <w:pPr>
              <w:ind w:right="-21" w:rightChars="-1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售后服务方案</w:t>
            </w:r>
          </w:p>
        </w:tc>
        <w:tc>
          <w:tcPr>
            <w:tcW w:w="6478" w:type="dxa"/>
            <w:tcBorders>
              <w:top w:val="single" w:color="auto" w:sz="4" w:space="0"/>
              <w:left w:val="single" w:color="auto" w:sz="4" w:space="0"/>
              <w:right w:val="single" w:color="auto" w:sz="4" w:space="0"/>
            </w:tcBorders>
            <w:vAlign w:val="center"/>
          </w:tcPr>
          <w:p>
            <w:pPr>
              <w:ind w:right="-21" w:rightChars="-1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pacing w:val="-4"/>
                <w:sz w:val="24"/>
                <w:highlight w:val="none"/>
              </w:rPr>
              <w:t>根据投标人提供的</w:t>
            </w:r>
            <w:r>
              <w:rPr>
                <w:rFonts w:hint="eastAsia" w:ascii="仿宋_GB2312" w:hAnsi="仿宋_GB2312" w:eastAsia="仿宋_GB2312" w:cs="仿宋_GB2312"/>
                <w:color w:val="auto"/>
                <w:sz w:val="24"/>
                <w:highlight w:val="none"/>
              </w:rPr>
              <w:t>售后服务方案进行打分，包括售后服务承诺、售后服务响应、售后服务措施，售后服务标准，售后人员配置等。(本项分值设置为5,4,3,2,1,0.5,0分)。</w:t>
            </w:r>
          </w:p>
        </w:tc>
        <w:tc>
          <w:tcPr>
            <w:tcW w:w="868" w:type="dxa"/>
            <w:tcBorders>
              <w:top w:val="single" w:color="auto" w:sz="4" w:space="0"/>
              <w:left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19" w:type="dxa"/>
            <w:tcBorders>
              <w:left w:val="single" w:color="auto" w:sz="4" w:space="0"/>
              <w:right w:val="single" w:color="auto" w:sz="4" w:space="0"/>
            </w:tcBorders>
            <w:vAlign w:val="center"/>
          </w:tcPr>
          <w:p>
            <w:pPr>
              <w:ind w:right="-21" w:rightChars="-10" w:firstLine="225" w:firstLineChars="94"/>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9</w:t>
            </w:r>
          </w:p>
        </w:tc>
        <w:tc>
          <w:tcPr>
            <w:tcW w:w="1284" w:type="dxa"/>
            <w:tcBorders>
              <w:left w:val="single" w:color="auto" w:sz="4" w:space="0"/>
              <w:right w:val="single" w:color="auto" w:sz="4" w:space="0"/>
            </w:tcBorders>
            <w:vAlign w:val="center"/>
          </w:tcPr>
          <w:p>
            <w:pPr>
              <w:ind w:right="-21" w:rightChars="-1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培训方案</w:t>
            </w:r>
          </w:p>
        </w:tc>
        <w:tc>
          <w:tcPr>
            <w:tcW w:w="6478" w:type="dxa"/>
            <w:tcBorders>
              <w:top w:val="single" w:color="auto" w:sz="4" w:space="0"/>
              <w:left w:val="single" w:color="auto" w:sz="4" w:space="0"/>
              <w:bottom w:val="single" w:color="auto" w:sz="4" w:space="0"/>
              <w:right w:val="single" w:color="auto" w:sz="4" w:space="0"/>
            </w:tcBorders>
            <w:vAlign w:val="center"/>
          </w:tcPr>
          <w:p>
            <w:pPr>
              <w:ind w:right="-21" w:rightChars="-1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根据投标人提供的培训方案进行打分，包括但不限于培训方式、培训内容、培训课程、培训对象、培训目标、培训计划、人员配备及安排等。(本项分值设置为5,4,3,2,1,0.5,0分)。</w:t>
            </w:r>
          </w:p>
        </w:tc>
        <w:tc>
          <w:tcPr>
            <w:tcW w:w="868" w:type="dxa"/>
            <w:tcBorders>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19" w:type="dxa"/>
            <w:tcBorders>
              <w:left w:val="single" w:color="auto" w:sz="4" w:space="0"/>
              <w:bottom w:val="single" w:color="auto" w:sz="4" w:space="0"/>
              <w:right w:val="single" w:color="auto" w:sz="4" w:space="0"/>
            </w:tcBorders>
            <w:vAlign w:val="center"/>
          </w:tcPr>
          <w:p>
            <w:pPr>
              <w:ind w:right="-21" w:rightChars="-10" w:firstLine="199" w:firstLineChars="83"/>
              <w:jc w:val="left"/>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10</w:t>
            </w:r>
          </w:p>
        </w:tc>
        <w:tc>
          <w:tcPr>
            <w:tcW w:w="1284" w:type="dxa"/>
            <w:tcBorders>
              <w:left w:val="single" w:color="auto" w:sz="4" w:space="0"/>
              <w:bottom w:val="single" w:color="auto" w:sz="4" w:space="0"/>
              <w:right w:val="single" w:color="auto" w:sz="4" w:space="0"/>
            </w:tcBorders>
            <w:vAlign w:val="center"/>
          </w:tcPr>
          <w:p>
            <w:pPr>
              <w:ind w:right="-21" w:rightChars="-10"/>
              <w:jc w:val="center"/>
              <w:rPr>
                <w:rFonts w:ascii="仿宋_GB2312" w:hAnsi="仿宋_GB2312" w:eastAsia="仿宋_GB2312" w:cs="仿宋_GB2312"/>
                <w:caps/>
                <w:color w:val="auto"/>
                <w:sz w:val="24"/>
                <w:highlight w:val="none"/>
              </w:rPr>
            </w:pPr>
            <w:r>
              <w:rPr>
                <w:rFonts w:hint="eastAsia" w:ascii="仿宋_GB2312" w:hAnsi="仿宋_GB2312" w:eastAsia="仿宋_GB2312" w:cs="仿宋_GB2312"/>
                <w:caps/>
                <w:color w:val="auto"/>
                <w:sz w:val="24"/>
                <w:highlight w:val="none"/>
              </w:rPr>
              <w:t>合理化</w:t>
            </w:r>
          </w:p>
          <w:p>
            <w:pPr>
              <w:ind w:right="-21" w:rightChars="-10"/>
              <w:jc w:val="center"/>
              <w:rPr>
                <w:rFonts w:ascii="仿宋_GB2312" w:hAnsi="仿宋_GB2312" w:eastAsia="仿宋_GB2312" w:cs="仿宋_GB2312"/>
                <w:color w:val="auto"/>
                <w:sz w:val="24"/>
                <w:highlight w:val="none"/>
              </w:rPr>
            </w:pPr>
            <w:r>
              <w:rPr>
                <w:rFonts w:hint="eastAsia" w:ascii="仿宋_GB2312" w:hAnsi="仿宋_GB2312" w:eastAsia="仿宋_GB2312" w:cs="仿宋_GB2312"/>
                <w:caps/>
                <w:color w:val="auto"/>
                <w:sz w:val="24"/>
                <w:highlight w:val="none"/>
              </w:rPr>
              <w:t>建议及优惠承诺</w:t>
            </w:r>
          </w:p>
        </w:tc>
        <w:tc>
          <w:tcPr>
            <w:tcW w:w="647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根据供应商针对本项目实际情况提出的合理化建议、切实的优惠承诺（不包括价格优惠）等进行打分。(本项分值设置为3,2,1,0.5,0分)。</w:t>
            </w:r>
          </w:p>
        </w:tc>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3分</w:t>
            </w:r>
          </w:p>
        </w:tc>
      </w:tr>
    </w:tbl>
    <w:p>
      <w:pPr>
        <w:wordWrap w:val="0"/>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wordWrap w:val="0"/>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30 </w:t>
      </w:r>
      <w:r>
        <w:rPr>
          <w:rFonts w:hint="eastAsia" w:ascii="仿宋" w:hAnsi="仿宋" w:eastAsia="仿宋" w:cs="仿宋"/>
          <w:b/>
          <w:bCs/>
          <w:iCs/>
          <w:color w:val="auto"/>
          <w:sz w:val="24"/>
          <w:highlight w:val="none"/>
        </w:rPr>
        <w:t>分）</w:t>
      </w:r>
    </w:p>
    <w:p>
      <w:pPr>
        <w:wordWrap w:val="0"/>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wordWrap w:val="0"/>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 30 </w:t>
      </w:r>
    </w:p>
    <w:bookmarkEnd w:id="41"/>
    <w:bookmarkEnd w:id="42"/>
    <w:p>
      <w:pPr>
        <w:pageBreakBefore/>
        <w:widowControl/>
        <w:wordWrap w:val="0"/>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wordWrap w:val="0"/>
        <w:spacing w:line="360" w:lineRule="auto"/>
        <w:jc w:val="center"/>
        <w:outlineLvl w:val="0"/>
        <w:rPr>
          <w:rFonts w:ascii="仿宋" w:hAnsi="仿宋" w:eastAsia="仿宋" w:cs="仿宋"/>
          <w:b/>
          <w:color w:val="auto"/>
          <w:kern w:val="0"/>
          <w:sz w:val="36"/>
          <w:szCs w:val="36"/>
          <w:highlight w:val="none"/>
        </w:rPr>
      </w:pPr>
    </w:p>
    <w:p>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wordWrap w:val="0"/>
        <w:spacing w:line="360" w:lineRule="auto"/>
        <w:jc w:val="center"/>
        <w:outlineLvl w:val="0"/>
        <w:rPr>
          <w:rFonts w:ascii="仿宋" w:hAnsi="仿宋" w:eastAsia="仿宋" w:cs="仿宋"/>
          <w:b/>
          <w:color w:val="auto"/>
          <w:kern w:val="0"/>
          <w:sz w:val="36"/>
          <w:szCs w:val="36"/>
          <w:highlight w:val="none"/>
        </w:rPr>
      </w:pP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4"/>
        <w:wordWrap w:val="0"/>
        <w:rPr>
          <w:rFonts w:ascii="仿宋" w:hAnsi="仿宋" w:eastAsia="仿宋" w:cs="仿宋"/>
          <w:color w:val="auto"/>
          <w:highlight w:val="none"/>
        </w:rPr>
      </w:pPr>
      <w:r>
        <w:rPr>
          <w:rFonts w:hint="eastAsia" w:ascii="仿宋" w:hAnsi="仿宋" w:eastAsia="仿宋" w:cs="仿宋"/>
          <w:color w:val="auto"/>
          <w:highlight w:val="none"/>
        </w:rPr>
        <w:t>（3）分包协议………………………………………………………………（页码）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wordWrap w:val="0"/>
        <w:snapToGrid w:val="0"/>
        <w:spacing w:line="360" w:lineRule="auto"/>
        <w:rPr>
          <w:rFonts w:ascii="仿宋" w:hAnsi="仿宋" w:eastAsia="仿宋" w:cs="仿宋"/>
          <w:color w:val="auto"/>
          <w:sz w:val="24"/>
          <w:highlight w:val="none"/>
        </w:rPr>
      </w:pPr>
    </w:p>
    <w:p>
      <w:pPr>
        <w:wordWrap w:val="0"/>
        <w:snapToGrid w:val="0"/>
        <w:spacing w:line="360" w:lineRule="auto"/>
        <w:ind w:firstLine="480" w:firstLineChars="200"/>
        <w:rPr>
          <w:rFonts w:ascii="仿宋" w:hAnsi="仿宋" w:eastAsia="仿宋" w:cs="仿宋"/>
          <w:color w:val="auto"/>
          <w:sz w:val="24"/>
          <w:highlight w:val="none"/>
        </w:rPr>
      </w:pPr>
    </w:p>
    <w:p>
      <w:pPr>
        <w:wordWrap w:val="0"/>
        <w:spacing w:line="360" w:lineRule="auto"/>
        <w:ind w:firstLine="480" w:firstLineChars="200"/>
        <w:rPr>
          <w:rFonts w:ascii="仿宋" w:hAnsi="仿宋" w:eastAsia="仿宋" w:cs="仿宋"/>
          <w:color w:val="auto"/>
          <w:sz w:val="24"/>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绍兴市妇幼保健院、绍兴市公共资源交易中心：</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我方参与绍兴市妇幼保健院超融合等采购项目【招标编号：2025-06-0051】政府采购活动，郑重承诺：</w:t>
      </w:r>
    </w:p>
    <w:p>
      <w:pPr>
        <w:wordWrap w:val="0"/>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wordWrap w:val="0"/>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ordWrap w:val="0"/>
        <w:snapToGrid w:val="0"/>
        <w:spacing w:line="360" w:lineRule="auto"/>
        <w:ind w:right="480"/>
        <w:jc w:val="center"/>
        <w:rPr>
          <w:rFonts w:ascii="仿宋" w:hAnsi="仿宋" w:eastAsia="仿宋" w:cs="仿宋"/>
          <w:b/>
          <w:color w:val="auto"/>
          <w:kern w:val="0"/>
          <w:sz w:val="32"/>
          <w:szCs w:val="32"/>
          <w:highlight w:val="none"/>
        </w:rPr>
      </w:pPr>
    </w:p>
    <w:p>
      <w:pPr>
        <w:pageBreakBefore/>
        <w:widowControl/>
        <w:wordWrap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wordWrap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2"/>
        <w:wordWrap w:val="0"/>
        <w:rPr>
          <w:color w:val="auto"/>
          <w:highlight w:val="none"/>
        </w:rPr>
      </w:pPr>
    </w:p>
    <w:p>
      <w:pPr>
        <w:wordWrap w:val="0"/>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wordWrap w:val="0"/>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wordWrap w:val="0"/>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wordWrap w:val="0"/>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wordWrap w:val="0"/>
        <w:spacing w:line="360" w:lineRule="auto"/>
        <w:ind w:left="150"/>
        <w:jc w:val="center"/>
        <w:rPr>
          <w:rFonts w:ascii="仿宋" w:hAnsi="仿宋" w:eastAsia="仿宋" w:cs="仿宋"/>
          <w:b/>
          <w:color w:val="auto"/>
          <w:kern w:val="0"/>
          <w:sz w:val="32"/>
          <w:szCs w:val="32"/>
          <w:highlight w:val="none"/>
        </w:rPr>
      </w:pPr>
    </w:p>
    <w:p>
      <w:pPr>
        <w:widowControl/>
        <w:wordWrap w:val="0"/>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wordWrap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wordWrap w:val="0"/>
        <w:spacing w:line="336" w:lineRule="auto"/>
        <w:jc w:val="center"/>
        <w:outlineLvl w:val="0"/>
        <w:rPr>
          <w:rFonts w:ascii="仿宋" w:hAnsi="仿宋" w:eastAsia="仿宋" w:cs="仿宋"/>
          <w:b/>
          <w:color w:val="auto"/>
          <w:kern w:val="0"/>
          <w:sz w:val="24"/>
          <w:highlight w:val="none"/>
        </w:rPr>
      </w:pPr>
    </w:p>
    <w:p>
      <w:pPr>
        <w:wordWrap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numPr>
          <w:ilvl w:val="0"/>
          <w:numId w:val="8"/>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6"/>
        <w:numPr>
          <w:ilvl w:val="0"/>
          <w:numId w:val="8"/>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pPr>
        <w:pStyle w:val="906"/>
        <w:numPr>
          <w:ilvl w:val="0"/>
          <w:numId w:val="8"/>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6"/>
        <w:numPr>
          <w:ilvl w:val="0"/>
          <w:numId w:val="8"/>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pPr>
        <w:pStyle w:val="906"/>
        <w:numPr>
          <w:ilvl w:val="0"/>
          <w:numId w:val="8"/>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pPr>
        <w:pStyle w:val="906"/>
        <w:numPr>
          <w:ilvl w:val="0"/>
          <w:numId w:val="8"/>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pPr>
        <w:pStyle w:val="906"/>
        <w:numPr>
          <w:ilvl w:val="0"/>
          <w:numId w:val="8"/>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wordWrap w:val="0"/>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wordWrap w:val="0"/>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wordWrap w:val="0"/>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lang w:val="zh-CN"/>
        </w:rPr>
      </w:pPr>
    </w:p>
    <w:p>
      <w:pPr>
        <w:pageBreakBefore/>
        <w:wordWrap w:val="0"/>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wordWrap w:val="0"/>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_GB2312" w:hAnsi="仿宋" w:eastAsia="仿宋_GB2312" w:cs="仿宋"/>
          <w:color w:val="auto"/>
          <w:szCs w:val="24"/>
          <w:highlight w:val="none"/>
          <w:u w:val="single"/>
        </w:rPr>
        <w:t>绍兴市妇幼保健院、绍兴市公共资源交易中心</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7"/>
        <w:tabs>
          <w:tab w:val="clear" w:pos="1697"/>
        </w:tabs>
        <w:wordWrap w:val="0"/>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7"/>
        <w:tabs>
          <w:tab w:val="clear" w:pos="1697"/>
        </w:tabs>
        <w:wordWrap w:val="0"/>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wordWrap w:val="0"/>
        <w:snapToGrid w:val="0"/>
        <w:spacing w:line="336" w:lineRule="auto"/>
        <w:ind w:firstLine="480" w:firstLineChars="200"/>
        <w:jc w:val="left"/>
        <w:rPr>
          <w:rFonts w:ascii="仿宋" w:hAnsi="仿宋" w:eastAsia="仿宋" w:cs="仿宋"/>
          <w:color w:val="auto"/>
          <w:sz w:val="24"/>
          <w:highlight w:val="none"/>
        </w:rPr>
      </w:pPr>
    </w:p>
    <w:p>
      <w:pPr>
        <w:wordWrap w:val="0"/>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wordWrap w:val="0"/>
        <w:snapToGrid w:val="0"/>
        <w:spacing w:line="360" w:lineRule="auto"/>
        <w:jc w:val="center"/>
        <w:rPr>
          <w:rFonts w:ascii="仿宋" w:hAnsi="仿宋" w:eastAsia="仿宋" w:cs="仿宋"/>
          <w:b/>
          <w:color w:val="auto"/>
          <w:kern w:val="0"/>
          <w:sz w:val="32"/>
          <w:szCs w:val="32"/>
          <w:highlight w:val="none"/>
        </w:rPr>
      </w:pPr>
    </w:p>
    <w:p>
      <w:pPr>
        <w:wordWrap w:val="0"/>
        <w:snapToGrid w:val="0"/>
        <w:spacing w:line="360" w:lineRule="auto"/>
        <w:rPr>
          <w:rFonts w:ascii="仿宋" w:hAnsi="仿宋" w:eastAsia="仿宋" w:cs="仿宋"/>
          <w:color w:val="auto"/>
          <w:sz w:val="24"/>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pageBreakBefore/>
        <w:widowControl/>
        <w:wordWrap w:val="0"/>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wordWrap w:val="0"/>
        <w:jc w:val="center"/>
        <w:rPr>
          <w:rFonts w:ascii="仿宋" w:hAnsi="仿宋" w:eastAsia="仿宋" w:cs="仿宋"/>
          <w:b/>
          <w:color w:val="auto"/>
          <w:sz w:val="24"/>
          <w:highlight w:val="none"/>
        </w:rPr>
      </w:pPr>
    </w:p>
    <w:p>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绍兴市妇幼保健院、绍兴市公共资源交易中心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绍兴市妇幼保健院超融合等采购项目（招标编号:2025-06-0051）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wordWrap w:val="0"/>
        <w:snapToGrid w:val="0"/>
        <w:spacing w:line="600" w:lineRule="exact"/>
        <w:jc w:val="lef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wordWrap w:val="0"/>
        <w:spacing w:line="360" w:lineRule="exact"/>
        <w:rPr>
          <w:rFonts w:ascii="仿宋" w:hAnsi="仿宋" w:eastAsia="仿宋" w:cs="仿宋"/>
          <w:color w:val="auto"/>
          <w:sz w:val="24"/>
          <w:highlight w:val="none"/>
        </w:rPr>
      </w:pPr>
    </w:p>
    <w:p>
      <w:pPr>
        <w:widowControl/>
        <w:wordWrap w:val="0"/>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p>
    <w:p>
      <w:pPr>
        <w:wordWrap w:val="0"/>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wordWrap w:val="0"/>
        <w:ind w:firstLine="4920" w:firstLineChars="2050"/>
        <w:jc w:val="left"/>
        <w:rPr>
          <w:rFonts w:ascii="仿宋" w:hAnsi="仿宋" w:eastAsia="仿宋" w:cs="仿宋"/>
          <w:color w:val="auto"/>
          <w:sz w:val="24"/>
          <w:highlight w:val="none"/>
        </w:rPr>
      </w:pPr>
    </w:p>
    <w:p>
      <w:pPr>
        <w:wordWrap w:val="0"/>
        <w:spacing w:line="800" w:lineRule="exact"/>
        <w:rPr>
          <w:rFonts w:ascii="仿宋" w:hAnsi="仿宋" w:eastAsia="仿宋" w:cs="仿宋"/>
          <w:b/>
          <w:color w:val="auto"/>
          <w:sz w:val="24"/>
          <w:highlight w:val="none"/>
        </w:rPr>
      </w:pPr>
    </w:p>
    <w:p>
      <w:pPr>
        <w:pageBreakBefore/>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wordWrap w:val="0"/>
        <w:jc w:val="center"/>
        <w:rPr>
          <w:rFonts w:ascii="仿宋" w:hAnsi="仿宋" w:eastAsia="仿宋" w:cs="仿宋"/>
          <w:b/>
          <w:color w:val="auto"/>
          <w:sz w:val="24"/>
          <w:highlight w:val="none"/>
        </w:rPr>
      </w:pPr>
    </w:p>
    <w:p>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绍兴市妇幼保健院、绍兴市公共资源交易中心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绍兴市妇幼保健院超融合等采购项目（招标编号:2025-06-0051）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wordWrap w:val="0"/>
        <w:snapToGrid w:val="0"/>
        <w:spacing w:line="600" w:lineRule="exact"/>
        <w:jc w:val="lef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wordWrap w:val="0"/>
        <w:spacing w:line="360" w:lineRule="exact"/>
        <w:rPr>
          <w:rFonts w:ascii="仿宋" w:hAnsi="仿宋" w:eastAsia="仿宋" w:cs="仿宋"/>
          <w:color w:val="auto"/>
          <w:sz w:val="24"/>
          <w:highlight w:val="none"/>
        </w:rPr>
      </w:pPr>
    </w:p>
    <w:p>
      <w:pPr>
        <w:widowControl/>
        <w:wordWrap w:val="0"/>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p>
    <w:p>
      <w:pPr>
        <w:wordWrap w:val="0"/>
        <w:jc w:val="center"/>
        <w:rPr>
          <w:rFonts w:ascii="仿宋" w:hAnsi="仿宋" w:eastAsia="仿宋" w:cs="仿宋"/>
          <w:b/>
          <w:color w:val="auto"/>
          <w:kern w:val="0"/>
          <w:sz w:val="32"/>
          <w:szCs w:val="32"/>
          <w:highlight w:val="none"/>
        </w:rPr>
      </w:pPr>
    </w:p>
    <w:p>
      <w:pPr>
        <w:wordWrap w:val="0"/>
        <w:rPr>
          <w:rFonts w:ascii="仿宋" w:hAnsi="仿宋" w:eastAsia="仿宋" w:cs="仿宋"/>
          <w:color w:val="auto"/>
          <w:highlight w:val="none"/>
        </w:rPr>
      </w:pP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wordWrap w:val="0"/>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wordWrap w:val="0"/>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wordWrap w:val="0"/>
        <w:autoSpaceDE w:val="0"/>
        <w:autoSpaceDN w:val="0"/>
        <w:spacing w:line="360" w:lineRule="auto"/>
        <w:jc w:val="center"/>
        <w:rPr>
          <w:rFonts w:ascii="仿宋" w:hAnsi="仿宋" w:eastAsia="仿宋" w:cs="仿宋"/>
          <w:b/>
          <w:color w:val="auto"/>
          <w:kern w:val="0"/>
          <w:sz w:val="32"/>
          <w:szCs w:val="32"/>
          <w:highlight w:val="none"/>
          <w:lang w:val="zh-CN"/>
        </w:rPr>
      </w:pPr>
    </w:p>
    <w:p>
      <w:pPr>
        <w:wordWrap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pPr>
        <w:wordWrap w:val="0"/>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wordWrap w:val="0"/>
        <w:spacing w:line="800" w:lineRule="exact"/>
        <w:rPr>
          <w:rFonts w:ascii="仿宋" w:hAnsi="仿宋" w:eastAsia="仿宋" w:cs="仿宋"/>
          <w:b/>
          <w:color w:val="auto"/>
          <w:sz w:val="30"/>
          <w:szCs w:val="30"/>
          <w:highlight w:val="none"/>
        </w:rPr>
      </w:pPr>
    </w:p>
    <w:p>
      <w:pPr>
        <w:pStyle w:val="7"/>
        <w:wordWrap w:val="0"/>
        <w:rPr>
          <w:color w:val="auto"/>
          <w:highlight w:val="none"/>
          <w:lang w:val="en-US"/>
        </w:rPr>
      </w:pPr>
    </w:p>
    <w:p>
      <w:pPr>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wordWrap w:val="0"/>
        <w:spacing w:line="800" w:lineRule="exact"/>
        <w:rPr>
          <w:rFonts w:ascii="仿宋" w:hAnsi="仿宋" w:eastAsia="仿宋" w:cs="仿宋"/>
          <w:b/>
          <w:color w:val="auto"/>
          <w:sz w:val="24"/>
          <w:highlight w:val="none"/>
        </w:rPr>
      </w:pPr>
    </w:p>
    <w:p>
      <w:pPr>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wordWrap w:val="0"/>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wordWrap w:val="0"/>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wordWrap w:val="0"/>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wordWrap w:val="0"/>
        <w:spacing w:line="440" w:lineRule="exact"/>
        <w:rPr>
          <w:rFonts w:ascii="仿宋" w:hAnsi="仿宋" w:eastAsia="仿宋" w:cs="仿宋"/>
          <w:color w:val="auto"/>
          <w:sz w:val="24"/>
          <w:highlight w:val="none"/>
        </w:rPr>
      </w:pP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wordWrap w:val="0"/>
        <w:spacing w:line="440" w:lineRule="exact"/>
        <w:ind w:right="480"/>
        <w:rPr>
          <w:rFonts w:ascii="仿宋" w:hAnsi="仿宋" w:eastAsia="仿宋" w:cs="仿宋"/>
          <w:color w:val="auto"/>
          <w:sz w:val="24"/>
          <w:highlight w:val="none"/>
        </w:rPr>
      </w:pPr>
    </w:p>
    <w:p>
      <w:pPr>
        <w:wordWrap w:val="0"/>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wordWrap w:val="0"/>
              <w:jc w:val="center"/>
              <w:rPr>
                <w:rFonts w:ascii="仿宋" w:hAnsi="仿宋" w:eastAsia="仿宋" w:cs="仿宋"/>
                <w:b/>
                <w:color w:val="auto"/>
                <w:kern w:val="0"/>
                <w:sz w:val="32"/>
                <w:szCs w:val="32"/>
                <w:highlight w:val="none"/>
              </w:rPr>
            </w:pPr>
          </w:p>
        </w:tc>
        <w:tc>
          <w:tcPr>
            <w:tcW w:w="3546" w:type="dxa"/>
          </w:tcPr>
          <w:p>
            <w:pPr>
              <w:wordWrap w:val="0"/>
              <w:jc w:val="center"/>
              <w:rPr>
                <w:rFonts w:ascii="仿宋" w:hAnsi="仿宋" w:eastAsia="仿宋" w:cs="仿宋"/>
                <w:b/>
                <w:color w:val="auto"/>
                <w:kern w:val="0"/>
                <w:sz w:val="32"/>
                <w:szCs w:val="32"/>
                <w:highlight w:val="none"/>
              </w:rPr>
            </w:pPr>
          </w:p>
        </w:tc>
        <w:tc>
          <w:tcPr>
            <w:tcW w:w="1276" w:type="dxa"/>
          </w:tcPr>
          <w:p>
            <w:pPr>
              <w:wordWrap w:val="0"/>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wordWrap w:val="0"/>
              <w:jc w:val="center"/>
              <w:rPr>
                <w:rFonts w:ascii="仿宋" w:hAnsi="仿宋" w:eastAsia="仿宋" w:cs="仿宋"/>
                <w:b/>
                <w:color w:val="auto"/>
                <w:kern w:val="0"/>
                <w:sz w:val="32"/>
                <w:szCs w:val="32"/>
                <w:highlight w:val="none"/>
              </w:rPr>
            </w:pPr>
          </w:p>
        </w:tc>
        <w:tc>
          <w:tcPr>
            <w:tcW w:w="3546" w:type="dxa"/>
          </w:tcPr>
          <w:p>
            <w:pPr>
              <w:wordWrap w:val="0"/>
              <w:jc w:val="center"/>
              <w:rPr>
                <w:rFonts w:ascii="仿宋" w:hAnsi="仿宋" w:eastAsia="仿宋" w:cs="仿宋"/>
                <w:b/>
                <w:color w:val="auto"/>
                <w:kern w:val="0"/>
                <w:sz w:val="32"/>
                <w:szCs w:val="32"/>
                <w:highlight w:val="none"/>
              </w:rPr>
            </w:pPr>
          </w:p>
        </w:tc>
        <w:tc>
          <w:tcPr>
            <w:tcW w:w="1276" w:type="dxa"/>
          </w:tcPr>
          <w:p>
            <w:pPr>
              <w:wordWrap w:val="0"/>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wordWrap w:val="0"/>
              <w:jc w:val="center"/>
              <w:rPr>
                <w:rFonts w:ascii="仿宋" w:hAnsi="仿宋" w:eastAsia="仿宋" w:cs="仿宋"/>
                <w:b/>
                <w:color w:val="auto"/>
                <w:kern w:val="0"/>
                <w:sz w:val="32"/>
                <w:szCs w:val="32"/>
                <w:highlight w:val="none"/>
              </w:rPr>
            </w:pPr>
          </w:p>
        </w:tc>
        <w:tc>
          <w:tcPr>
            <w:tcW w:w="3546" w:type="dxa"/>
          </w:tcPr>
          <w:p>
            <w:pPr>
              <w:wordWrap w:val="0"/>
              <w:jc w:val="center"/>
              <w:rPr>
                <w:rFonts w:ascii="仿宋" w:hAnsi="仿宋" w:eastAsia="仿宋" w:cs="仿宋"/>
                <w:b/>
                <w:color w:val="auto"/>
                <w:kern w:val="0"/>
                <w:sz w:val="32"/>
                <w:szCs w:val="32"/>
                <w:highlight w:val="none"/>
              </w:rPr>
            </w:pPr>
          </w:p>
        </w:tc>
        <w:tc>
          <w:tcPr>
            <w:tcW w:w="1276" w:type="dxa"/>
          </w:tcPr>
          <w:p>
            <w:pPr>
              <w:wordWrap w:val="0"/>
              <w:jc w:val="center"/>
              <w:rPr>
                <w:rFonts w:ascii="仿宋" w:hAnsi="仿宋" w:eastAsia="仿宋" w:cs="仿宋"/>
                <w:b/>
                <w:color w:val="auto"/>
                <w:kern w:val="0"/>
                <w:sz w:val="32"/>
                <w:szCs w:val="32"/>
                <w:highlight w:val="none"/>
              </w:rPr>
            </w:pPr>
          </w:p>
        </w:tc>
      </w:tr>
    </w:tbl>
    <w:p>
      <w:pPr>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wordWrap w:val="0"/>
        <w:jc w:val="center"/>
        <w:rPr>
          <w:rFonts w:ascii="仿宋" w:hAnsi="仿宋" w:eastAsia="仿宋" w:cs="仿宋"/>
          <w:b/>
          <w:color w:val="auto"/>
          <w:kern w:val="0"/>
          <w:sz w:val="32"/>
          <w:szCs w:val="32"/>
          <w:highlight w:val="none"/>
        </w:rPr>
      </w:pPr>
    </w:p>
    <w:p>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ordWrap w:val="0"/>
        <w:ind w:firstLine="1911" w:firstLineChars="595"/>
        <w:rPr>
          <w:rFonts w:ascii="仿宋" w:hAnsi="仿宋" w:eastAsia="仿宋" w:cs="仿宋"/>
          <w:b/>
          <w:bCs/>
          <w:color w:val="auto"/>
          <w:sz w:val="32"/>
          <w:szCs w:val="32"/>
          <w:highlight w:val="none"/>
        </w:rPr>
      </w:pPr>
    </w:p>
    <w:p>
      <w:pPr>
        <w:pageBreakBefore/>
        <w:widowControl/>
        <w:tabs>
          <w:tab w:val="left" w:pos="1538"/>
          <w:tab w:val="center" w:pos="4541"/>
        </w:tabs>
        <w:wordWrap w:val="0"/>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wordWrap w:val="0"/>
        <w:snapToGrid w:val="0"/>
        <w:spacing w:line="360" w:lineRule="auto"/>
        <w:rPr>
          <w:rFonts w:ascii="仿宋" w:hAnsi="仿宋" w:eastAsia="仿宋" w:cs="仿宋"/>
          <w:color w:val="auto"/>
          <w:sz w:val="24"/>
          <w:highlight w:val="none"/>
        </w:rPr>
      </w:pP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绍兴市妇幼保健院、绍兴市公共资源交易中心</w:t>
      </w:r>
      <w:r>
        <w:rPr>
          <w:rFonts w:hint="eastAsia" w:ascii="仿宋" w:hAnsi="仿宋" w:eastAsia="仿宋" w:cs="仿宋"/>
          <w:color w:val="auto"/>
          <w:kern w:val="0"/>
          <w:sz w:val="24"/>
          <w:highlight w:val="none"/>
          <w:lang w:val="zh-CN"/>
        </w:rPr>
        <w:t>：</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wordWrap w:val="0"/>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wordWrap w:val="0"/>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wordWrap w:val="0"/>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wordWrap w:val="0"/>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wordWrap w:val="0"/>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wordWrap w:val="0"/>
        <w:autoSpaceDE w:val="0"/>
        <w:autoSpaceDN w:val="0"/>
        <w:spacing w:line="360" w:lineRule="auto"/>
        <w:ind w:left="2"/>
        <w:jc w:val="left"/>
        <w:rPr>
          <w:rFonts w:ascii="仿宋" w:hAnsi="仿宋" w:eastAsia="仿宋" w:cs="仿宋"/>
          <w:color w:val="auto"/>
          <w:kern w:val="0"/>
          <w:sz w:val="24"/>
          <w:highlight w:val="none"/>
          <w:lang w:val="zh-CN"/>
        </w:rPr>
      </w:pPr>
    </w:p>
    <w:p>
      <w:pPr>
        <w:wordWrap w:val="0"/>
        <w:autoSpaceDE w:val="0"/>
        <w:autoSpaceDN w:val="0"/>
        <w:spacing w:line="360" w:lineRule="auto"/>
        <w:ind w:left="2"/>
        <w:jc w:val="left"/>
        <w:rPr>
          <w:rFonts w:ascii="仿宋" w:hAnsi="仿宋" w:eastAsia="仿宋" w:cs="仿宋"/>
          <w:color w:val="auto"/>
          <w:kern w:val="0"/>
          <w:sz w:val="24"/>
          <w:highlight w:val="none"/>
          <w:lang w:val="zh-CN"/>
        </w:rPr>
      </w:pPr>
    </w:p>
    <w:p>
      <w:pPr>
        <w:wordWrap w:val="0"/>
        <w:autoSpaceDE w:val="0"/>
        <w:autoSpaceDN w:val="0"/>
        <w:spacing w:line="360" w:lineRule="auto"/>
        <w:ind w:left="2"/>
        <w:jc w:val="left"/>
        <w:rPr>
          <w:rFonts w:ascii="仿宋" w:hAnsi="仿宋" w:eastAsia="仿宋" w:cs="仿宋"/>
          <w:color w:val="auto"/>
          <w:kern w:val="0"/>
          <w:sz w:val="24"/>
          <w:highlight w:val="none"/>
          <w:lang w:val="zh-CN"/>
        </w:rPr>
      </w:pPr>
    </w:p>
    <w:p>
      <w:pPr>
        <w:wordWrap w:val="0"/>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wordWrap w:val="0"/>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wordWrap w:val="0"/>
        <w:spacing w:line="360" w:lineRule="auto"/>
        <w:jc w:val="center"/>
        <w:rPr>
          <w:rFonts w:ascii="仿宋" w:hAnsi="仿宋" w:eastAsia="仿宋" w:cs="仿宋"/>
          <w:b/>
          <w:bCs/>
          <w:color w:val="auto"/>
          <w:sz w:val="24"/>
          <w:highlight w:val="none"/>
        </w:rPr>
      </w:pPr>
    </w:p>
    <w:p>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ordWrap w:val="0"/>
        <w:spacing w:line="360" w:lineRule="auto"/>
        <w:jc w:val="center"/>
        <w:rPr>
          <w:rFonts w:ascii="仿宋_GB2312" w:hAnsi="仿宋_GB2312" w:eastAsia="仿宋_GB2312" w:cs="仿宋_GB2312"/>
          <w:b/>
          <w:color w:val="auto"/>
          <w:sz w:val="32"/>
          <w:szCs w:val="32"/>
          <w:highlight w:val="none"/>
        </w:rPr>
      </w:pPr>
    </w:p>
    <w:p>
      <w:pPr>
        <w:wordWrap w:val="0"/>
        <w:spacing w:line="360" w:lineRule="auto"/>
        <w:jc w:val="center"/>
        <w:rPr>
          <w:rFonts w:ascii="仿宋_GB2312" w:hAnsi="仿宋_GB2312" w:eastAsia="仿宋_GB2312" w:cs="仿宋_GB2312"/>
          <w:b/>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wordWrap w:val="0"/>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bl>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wordWrap w:val="0"/>
        <w:autoSpaceDE w:val="0"/>
        <w:autoSpaceDN w:val="0"/>
        <w:spacing w:line="360" w:lineRule="auto"/>
        <w:rPr>
          <w:rFonts w:ascii="仿宋_GB2312" w:hAnsi="仿宋_GB2312" w:eastAsia="仿宋_GB2312" w:cs="仿宋_GB2312"/>
          <w:b/>
          <w:color w:val="auto"/>
          <w:sz w:val="24"/>
          <w:highlight w:val="none"/>
        </w:rPr>
      </w:pPr>
    </w:p>
    <w:p>
      <w:pPr>
        <w:wordWrap w:val="0"/>
        <w:autoSpaceDE w:val="0"/>
        <w:autoSpaceDN w:val="0"/>
        <w:spacing w:line="360" w:lineRule="auto"/>
        <w:rPr>
          <w:rFonts w:ascii="仿宋_GB2312" w:hAnsi="仿宋_GB2312" w:eastAsia="仿宋_GB2312" w:cs="仿宋_GB2312"/>
          <w:color w:val="auto"/>
          <w:sz w:val="24"/>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0"/>
        <w:wordWrap w:val="0"/>
        <w:ind w:firstLine="0"/>
        <w:jc w:val="both"/>
        <w:rPr>
          <w:rFonts w:hAnsi="仿宋_GB2312" w:cs="仿宋_GB2312"/>
          <w:color w:val="auto"/>
          <w:highlight w:val="none"/>
        </w:rPr>
      </w:pPr>
    </w:p>
    <w:p>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wordWrap w:val="0"/>
        <w:spacing w:line="360" w:lineRule="auto"/>
        <w:jc w:val="center"/>
        <w:rPr>
          <w:rFonts w:ascii="仿宋_GB2312" w:hAnsi="仿宋_GB2312" w:eastAsia="仿宋_GB2312" w:cs="仿宋_GB2312"/>
          <w:color w:val="auto"/>
          <w:sz w:val="24"/>
          <w:highlight w:val="none"/>
        </w:rPr>
      </w:pPr>
    </w:p>
    <w:p>
      <w:pPr>
        <w:wordWrap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bl>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wordWrap w:val="0"/>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wordWrap w:val="0"/>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39.75pt;width:406.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wordWrap w:val="0"/>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r>
    </w:tbl>
    <w:p>
      <w:pPr>
        <w:wordWrap w:val="0"/>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rPr>
          <w:rFonts w:ascii="仿宋_GB2312" w:hAnsi="仿宋_GB2312" w:eastAsia="仿宋_GB2312" w:cs="仿宋_GB2312"/>
          <w:color w:val="auto"/>
          <w:kern w:val="0"/>
          <w:sz w:val="24"/>
          <w:highlight w:val="none"/>
        </w:rPr>
      </w:pPr>
    </w:p>
    <w:p>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2"/>
        <w:wordWrap w:val="0"/>
        <w:rPr>
          <w:color w:val="auto"/>
          <w:highlight w:val="none"/>
        </w:rPr>
      </w:pPr>
    </w:p>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r>
    </w:tbl>
    <w:p>
      <w:pPr>
        <w:wordWrap w:val="0"/>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wordWrap w:val="0"/>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r>
    </w:tbl>
    <w:p>
      <w:pPr>
        <w:wordWrap w:val="0"/>
        <w:spacing w:line="360" w:lineRule="auto"/>
        <w:ind w:firstLine="480" w:firstLineChars="200"/>
        <w:rPr>
          <w:rFonts w:ascii="仿宋_GB2312" w:hAnsi="仿宋_GB2312" w:eastAsia="仿宋_GB2312" w:cs="仿宋_GB2312"/>
          <w:color w:val="auto"/>
          <w:sz w:val="24"/>
          <w:szCs w:val="20"/>
          <w:highlight w:val="none"/>
        </w:rPr>
      </w:pPr>
    </w:p>
    <w:p>
      <w:pPr>
        <w:wordWrap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jc w:val="center"/>
        <w:rPr>
          <w:rFonts w:ascii="仿宋_GB2312" w:hAnsi="仿宋_GB2312" w:eastAsia="仿宋_GB2312" w:cs="仿宋_GB2312"/>
          <w:b/>
          <w:color w:val="auto"/>
          <w:sz w:val="30"/>
          <w:szCs w:val="30"/>
          <w:highlight w:val="none"/>
        </w:rPr>
      </w:pPr>
    </w:p>
    <w:p>
      <w:pPr>
        <w:wordWrap w:val="0"/>
        <w:spacing w:line="360" w:lineRule="auto"/>
        <w:jc w:val="center"/>
        <w:rPr>
          <w:rFonts w:ascii="仿宋_GB2312" w:hAnsi="仿宋_GB2312" w:eastAsia="仿宋_GB2312" w:cs="仿宋_GB2312"/>
          <w:b/>
          <w:color w:val="auto"/>
          <w:sz w:val="30"/>
          <w:szCs w:val="30"/>
          <w:highlight w:val="none"/>
        </w:rPr>
      </w:pPr>
    </w:p>
    <w:p>
      <w:pPr>
        <w:wordWrap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wordWrap w:val="0"/>
        <w:spacing w:line="336" w:lineRule="auto"/>
        <w:ind w:firstLine="3600" w:firstLineChars="1500"/>
        <w:rPr>
          <w:rFonts w:ascii="仿宋" w:hAnsi="仿宋" w:eastAsia="仿宋" w:cs="仿宋"/>
          <w:color w:val="auto"/>
          <w:sz w:val="24"/>
          <w:highlight w:val="none"/>
        </w:rPr>
      </w:pPr>
    </w:p>
    <w:p>
      <w:pPr>
        <w:pStyle w:val="82"/>
        <w:wordWrap w:val="0"/>
        <w:rPr>
          <w:color w:val="auto"/>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wordWrap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wordWrap w:val="0"/>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bl>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2"/>
        <w:wordWrap w:val="0"/>
        <w:rPr>
          <w:color w:val="auto"/>
          <w:highlight w:val="none"/>
        </w:rPr>
      </w:pPr>
    </w:p>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bl>
    <w:p>
      <w:pPr>
        <w:wordWrap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2"/>
        <w:wordWrap w:val="0"/>
        <w:rPr>
          <w:color w:val="auto"/>
          <w:highlight w:val="none"/>
        </w:rPr>
      </w:pPr>
    </w:p>
    <w:p>
      <w:pPr>
        <w:wordWrap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wordWrap w:val="0"/>
        <w:spacing w:line="360" w:lineRule="auto"/>
        <w:ind w:firstLine="480" w:firstLineChars="200"/>
        <w:rPr>
          <w:rFonts w:ascii="仿宋_GB2312" w:hAnsi="仿宋_GB2312" w:eastAsia="仿宋_GB2312" w:cs="仿宋_GB2312"/>
          <w:color w:val="auto"/>
          <w:sz w:val="24"/>
          <w:szCs w:val="20"/>
          <w:highlight w:val="none"/>
        </w:rPr>
      </w:pP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wordWrap w:val="0"/>
        <w:spacing w:line="360" w:lineRule="auto"/>
        <w:rPr>
          <w:rFonts w:ascii="仿宋_GB2312" w:hAnsi="仿宋_GB2312" w:eastAsia="仿宋_GB2312" w:cs="仿宋_GB2312"/>
          <w:color w:val="auto"/>
          <w:sz w:val="18"/>
          <w:szCs w:val="18"/>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rPr>
          <w:rFonts w:ascii="仿宋_GB2312" w:hAnsi="仿宋_GB2312" w:eastAsia="仿宋_GB2312" w:cs="仿宋_GB2312"/>
          <w:b/>
          <w:bCs/>
          <w:color w:val="auto"/>
          <w:sz w:val="18"/>
          <w:szCs w:val="18"/>
          <w:highlight w:val="none"/>
        </w:rPr>
      </w:pPr>
    </w:p>
    <w:p>
      <w:pPr>
        <w:wordWrap w:val="0"/>
        <w:spacing w:line="360" w:lineRule="auto"/>
        <w:rPr>
          <w:rFonts w:ascii="仿宋_GB2312" w:hAnsi="仿宋_GB2312" w:eastAsia="仿宋_GB2312" w:cs="仿宋_GB2312"/>
          <w:b/>
          <w:bCs/>
          <w:color w:val="auto"/>
          <w:sz w:val="32"/>
          <w:szCs w:val="32"/>
          <w:highlight w:val="none"/>
        </w:rPr>
      </w:pPr>
    </w:p>
    <w:p>
      <w:pPr>
        <w:wordWrap w:val="0"/>
        <w:spacing w:line="360" w:lineRule="auto"/>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pStyle w:val="7"/>
        <w:wordWrap w:val="0"/>
        <w:rPr>
          <w:rFonts w:hAnsi="仿宋_GB2312" w:cs="仿宋_GB2312"/>
          <w:color w:val="auto"/>
          <w:highlight w:val="none"/>
        </w:rPr>
      </w:pPr>
    </w:p>
    <w:p>
      <w:pPr>
        <w:wordWrap w:val="0"/>
        <w:rPr>
          <w:rFonts w:ascii="仿宋_GB2312" w:hAnsi="仿宋_GB2312" w:eastAsia="仿宋_GB2312" w:cs="仿宋_GB2312"/>
          <w:b/>
          <w:bCs/>
          <w:color w:val="auto"/>
          <w:sz w:val="32"/>
          <w:szCs w:val="32"/>
          <w:highlight w:val="none"/>
        </w:rPr>
      </w:pPr>
    </w:p>
    <w:p>
      <w:pPr>
        <w:pStyle w:val="7"/>
        <w:wordWrap w:val="0"/>
        <w:rPr>
          <w:color w:val="auto"/>
          <w:highlight w:val="none"/>
        </w:rPr>
      </w:pPr>
    </w:p>
    <w:p>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wordWrap w:val="0"/>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wordWrap w:val="0"/>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wordWrap w:val="0"/>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wordWrap w:val="0"/>
        <w:spacing w:line="360" w:lineRule="auto"/>
        <w:ind w:firstLine="480" w:firstLineChars="200"/>
        <w:rPr>
          <w:rFonts w:ascii="仿宋_GB2312" w:hAnsi="仿宋_GB2312" w:eastAsia="仿宋_GB2312" w:cs="仿宋_GB2312"/>
          <w:color w:val="auto"/>
          <w:sz w:val="24"/>
          <w:szCs w:val="20"/>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wordWrap w:val="0"/>
        <w:spacing w:line="360" w:lineRule="auto"/>
        <w:jc w:val="center"/>
        <w:rPr>
          <w:rFonts w:ascii="仿宋_GB2312" w:hAnsi="仿宋_GB2312" w:eastAsia="仿宋_GB2312" w:cs="仿宋_GB2312"/>
          <w:color w:val="auto"/>
          <w:sz w:val="24"/>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jc w:val="center"/>
        <w:rPr>
          <w:rFonts w:ascii="仿宋_GB2312" w:hAnsi="仿宋_GB2312" w:eastAsia="仿宋_GB2312" w:cs="仿宋_GB2312"/>
          <w:b/>
          <w:bCs/>
          <w:color w:val="auto"/>
          <w:sz w:val="30"/>
          <w:szCs w:val="30"/>
          <w:highlight w:val="none"/>
        </w:rPr>
      </w:pPr>
    </w:p>
    <w:p>
      <w:pPr>
        <w:wordWrap w:val="0"/>
        <w:spacing w:line="360" w:lineRule="auto"/>
        <w:jc w:val="center"/>
        <w:rPr>
          <w:rFonts w:ascii="仿宋_GB2312" w:hAnsi="仿宋_GB2312" w:eastAsia="仿宋_GB2312" w:cs="仿宋_GB2312"/>
          <w:b/>
          <w:bCs/>
          <w:color w:val="auto"/>
          <w:sz w:val="30"/>
          <w:szCs w:val="30"/>
          <w:highlight w:val="none"/>
        </w:rPr>
      </w:pPr>
    </w:p>
    <w:p>
      <w:pPr>
        <w:wordWrap w:val="0"/>
        <w:spacing w:line="360" w:lineRule="auto"/>
        <w:jc w:val="center"/>
        <w:rPr>
          <w:rFonts w:ascii="仿宋_GB2312" w:hAnsi="仿宋_GB2312" w:eastAsia="仿宋_GB2312" w:cs="仿宋_GB2312"/>
          <w:b/>
          <w:bCs/>
          <w:color w:val="auto"/>
          <w:sz w:val="24"/>
          <w:highlight w:val="none"/>
        </w:rPr>
      </w:pPr>
    </w:p>
    <w:p>
      <w:pPr>
        <w:wordWrap w:val="0"/>
        <w:spacing w:line="360" w:lineRule="auto"/>
        <w:jc w:val="center"/>
        <w:rPr>
          <w:rFonts w:ascii="仿宋_GB2312" w:hAnsi="仿宋_GB2312" w:eastAsia="仿宋_GB2312" w:cs="仿宋_GB2312"/>
          <w:b/>
          <w:bCs/>
          <w:color w:val="auto"/>
          <w:sz w:val="24"/>
          <w:highlight w:val="none"/>
        </w:rPr>
      </w:pPr>
    </w:p>
    <w:p>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wordWrap w:val="0"/>
        <w:spacing w:line="360" w:lineRule="auto"/>
        <w:rPr>
          <w:rFonts w:ascii="仿宋_GB2312" w:hAnsi="仿宋_GB2312" w:eastAsia="仿宋_GB2312" w:cs="仿宋_GB2312"/>
          <w:color w:val="auto"/>
          <w:sz w:val="24"/>
          <w:highlight w:val="none"/>
        </w:rPr>
      </w:pPr>
    </w:p>
    <w:p>
      <w:pPr>
        <w:pStyle w:val="82"/>
        <w:wordWrap w:val="0"/>
        <w:rPr>
          <w:color w:val="auto"/>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3"/>
        <w:rPr>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wordWrap w:val="0"/>
        <w:spacing w:line="360" w:lineRule="auto"/>
        <w:jc w:val="center"/>
        <w:outlineLvl w:val="0"/>
        <w:rPr>
          <w:rFonts w:ascii="仿宋" w:hAnsi="仿宋" w:eastAsia="仿宋" w:cs="仿宋"/>
          <w:b/>
          <w:color w:val="auto"/>
          <w:kern w:val="0"/>
          <w:sz w:val="36"/>
          <w:szCs w:val="36"/>
          <w:highlight w:val="none"/>
        </w:rPr>
      </w:pP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rPr>
          <w:rFonts w:ascii="仿宋" w:hAnsi="仿宋" w:eastAsia="仿宋" w:cs="仿宋"/>
          <w:b/>
          <w:color w:val="auto"/>
          <w:kern w:val="0"/>
          <w:sz w:val="32"/>
          <w:szCs w:val="32"/>
          <w:highlight w:val="none"/>
        </w:r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绍兴市妇幼保健院、绍兴市公共资源交易中心</w:t>
      </w:r>
      <w:r>
        <w:rPr>
          <w:rFonts w:hint="eastAsia" w:ascii="仿宋" w:hAnsi="仿宋" w:eastAsia="仿宋" w:cs="仿宋"/>
          <w:color w:val="auto"/>
          <w:kern w:val="0"/>
          <w:sz w:val="24"/>
          <w:highlight w:val="none"/>
          <w:lang w:val="zh-CN"/>
        </w:rPr>
        <w:t>：</w:t>
      </w:r>
    </w:p>
    <w:p>
      <w:pPr>
        <w:wordWrap w:val="0"/>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绍兴市妇幼保健院超融合等采购项目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2025-06-0051】的实施</w:t>
      </w:r>
      <w:r>
        <w:rPr>
          <w:rFonts w:hint="eastAsia" w:ascii="仿宋" w:hAnsi="仿宋" w:eastAsia="仿宋" w:cs="仿宋"/>
          <w:color w:val="auto"/>
          <w:kern w:val="0"/>
          <w:sz w:val="24"/>
          <w:highlight w:val="none"/>
          <w:lang w:val="zh-CN"/>
        </w:rPr>
        <w:t>。</w:t>
      </w:r>
    </w:p>
    <w:p>
      <w:pPr>
        <w:wordWrap w:val="0"/>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wordWrap w:val="0"/>
              <w:spacing w:line="360" w:lineRule="auto"/>
              <w:jc w:val="center"/>
              <w:rPr>
                <w:rFonts w:ascii="仿宋" w:hAnsi="仿宋" w:eastAsia="仿宋" w:cs="仿宋"/>
                <w:b/>
                <w:color w:val="auto"/>
                <w:sz w:val="24"/>
                <w:highlight w:val="none"/>
              </w:rPr>
            </w:pPr>
          </w:p>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wordWrap w:val="0"/>
              <w:spacing w:line="360" w:lineRule="auto"/>
              <w:jc w:val="center"/>
              <w:rPr>
                <w:rFonts w:ascii="仿宋" w:hAnsi="仿宋" w:eastAsia="仿宋" w:cs="仿宋"/>
                <w:b/>
                <w:color w:val="auto"/>
                <w:sz w:val="24"/>
                <w:highlight w:val="none"/>
              </w:rPr>
            </w:pPr>
          </w:p>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wordWrap w:val="0"/>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wordWrap w:val="0"/>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wordWrap w:val="0"/>
              <w:snapToGrid w:val="0"/>
              <w:spacing w:line="360" w:lineRule="auto"/>
              <w:jc w:val="center"/>
              <w:rPr>
                <w:rFonts w:ascii="仿宋" w:hAnsi="仿宋" w:eastAsia="仿宋" w:cs="仿宋"/>
                <w:color w:val="auto"/>
                <w:sz w:val="24"/>
                <w:highlight w:val="none"/>
              </w:rPr>
            </w:pPr>
          </w:p>
        </w:tc>
        <w:tc>
          <w:tcPr>
            <w:tcW w:w="3118" w:type="dxa"/>
            <w:vAlign w:val="center"/>
          </w:tcPr>
          <w:p>
            <w:pPr>
              <w:wordWrap w:val="0"/>
              <w:snapToGrid w:val="0"/>
              <w:spacing w:line="360" w:lineRule="auto"/>
              <w:jc w:val="center"/>
              <w:rPr>
                <w:rFonts w:ascii="仿宋" w:hAnsi="仿宋" w:eastAsia="仿宋" w:cs="仿宋"/>
                <w:color w:val="auto"/>
                <w:sz w:val="24"/>
                <w:highlight w:val="none"/>
              </w:rPr>
            </w:pPr>
          </w:p>
        </w:tc>
        <w:tc>
          <w:tcPr>
            <w:tcW w:w="993" w:type="dxa"/>
            <w:vAlign w:val="center"/>
          </w:tcPr>
          <w:p>
            <w:pPr>
              <w:wordWrap w:val="0"/>
              <w:snapToGrid w:val="0"/>
              <w:spacing w:line="360" w:lineRule="auto"/>
              <w:jc w:val="center"/>
              <w:rPr>
                <w:rFonts w:ascii="仿宋" w:hAnsi="仿宋" w:eastAsia="仿宋" w:cs="仿宋"/>
                <w:color w:val="auto"/>
                <w:sz w:val="24"/>
                <w:highlight w:val="none"/>
              </w:rPr>
            </w:pPr>
          </w:p>
        </w:tc>
        <w:tc>
          <w:tcPr>
            <w:tcW w:w="1559" w:type="dxa"/>
            <w:vAlign w:val="center"/>
          </w:tcPr>
          <w:p>
            <w:pPr>
              <w:wordWrap w:val="0"/>
              <w:spacing w:line="360" w:lineRule="auto"/>
              <w:jc w:val="center"/>
              <w:rPr>
                <w:rFonts w:ascii="仿宋" w:hAnsi="仿宋" w:eastAsia="仿宋" w:cs="仿宋"/>
                <w:color w:val="auto"/>
                <w:sz w:val="24"/>
                <w:highlight w:val="none"/>
              </w:rPr>
            </w:pPr>
          </w:p>
        </w:tc>
        <w:tc>
          <w:tcPr>
            <w:tcW w:w="1984" w:type="dxa"/>
            <w:vAlign w:val="center"/>
          </w:tcPr>
          <w:p>
            <w:pPr>
              <w:wordWrap w:val="0"/>
              <w:spacing w:line="360" w:lineRule="auto"/>
              <w:jc w:val="center"/>
              <w:rPr>
                <w:rFonts w:ascii="仿宋" w:hAnsi="仿宋" w:eastAsia="仿宋" w:cs="仿宋"/>
                <w:color w:val="auto"/>
                <w:sz w:val="24"/>
                <w:highlight w:val="none"/>
              </w:rPr>
            </w:pPr>
          </w:p>
        </w:tc>
        <w:tc>
          <w:tcPr>
            <w:tcW w:w="3119" w:type="dxa"/>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wordWrap w:val="0"/>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wordWrap w:val="0"/>
              <w:snapToGrid w:val="0"/>
              <w:spacing w:line="360" w:lineRule="auto"/>
              <w:jc w:val="center"/>
              <w:rPr>
                <w:rFonts w:ascii="仿宋" w:hAnsi="仿宋" w:eastAsia="仿宋" w:cs="仿宋"/>
                <w:color w:val="auto"/>
                <w:sz w:val="24"/>
                <w:highlight w:val="none"/>
              </w:rPr>
            </w:pPr>
          </w:p>
        </w:tc>
        <w:tc>
          <w:tcPr>
            <w:tcW w:w="3118" w:type="dxa"/>
            <w:vAlign w:val="center"/>
          </w:tcPr>
          <w:p>
            <w:pPr>
              <w:wordWrap w:val="0"/>
              <w:snapToGrid w:val="0"/>
              <w:spacing w:line="360" w:lineRule="auto"/>
              <w:jc w:val="center"/>
              <w:rPr>
                <w:rFonts w:ascii="仿宋" w:hAnsi="仿宋" w:eastAsia="仿宋" w:cs="仿宋"/>
                <w:color w:val="auto"/>
                <w:sz w:val="24"/>
                <w:highlight w:val="none"/>
              </w:rPr>
            </w:pPr>
          </w:p>
        </w:tc>
        <w:tc>
          <w:tcPr>
            <w:tcW w:w="993" w:type="dxa"/>
            <w:vAlign w:val="center"/>
          </w:tcPr>
          <w:p>
            <w:pPr>
              <w:wordWrap w:val="0"/>
              <w:snapToGrid w:val="0"/>
              <w:spacing w:line="360" w:lineRule="auto"/>
              <w:jc w:val="center"/>
              <w:rPr>
                <w:rFonts w:ascii="仿宋" w:hAnsi="仿宋" w:eastAsia="仿宋" w:cs="仿宋"/>
                <w:color w:val="auto"/>
                <w:sz w:val="24"/>
                <w:highlight w:val="none"/>
              </w:rPr>
            </w:pPr>
          </w:p>
        </w:tc>
        <w:tc>
          <w:tcPr>
            <w:tcW w:w="1559" w:type="dxa"/>
            <w:vAlign w:val="center"/>
          </w:tcPr>
          <w:p>
            <w:pPr>
              <w:wordWrap w:val="0"/>
              <w:spacing w:line="360" w:lineRule="auto"/>
              <w:jc w:val="center"/>
              <w:rPr>
                <w:rFonts w:ascii="仿宋" w:hAnsi="仿宋" w:eastAsia="仿宋" w:cs="仿宋"/>
                <w:color w:val="auto"/>
                <w:sz w:val="24"/>
                <w:highlight w:val="none"/>
              </w:rPr>
            </w:pPr>
          </w:p>
        </w:tc>
        <w:tc>
          <w:tcPr>
            <w:tcW w:w="1984" w:type="dxa"/>
            <w:vAlign w:val="center"/>
          </w:tcPr>
          <w:p>
            <w:pPr>
              <w:wordWrap w:val="0"/>
              <w:spacing w:line="360" w:lineRule="auto"/>
              <w:jc w:val="center"/>
              <w:rPr>
                <w:rFonts w:ascii="仿宋" w:hAnsi="仿宋" w:eastAsia="仿宋" w:cs="仿宋"/>
                <w:color w:val="auto"/>
                <w:sz w:val="24"/>
                <w:highlight w:val="none"/>
              </w:rPr>
            </w:pPr>
          </w:p>
        </w:tc>
        <w:tc>
          <w:tcPr>
            <w:tcW w:w="3119" w:type="dxa"/>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wordWrap w:val="0"/>
              <w:snapToGrid w:val="0"/>
              <w:spacing w:line="360" w:lineRule="auto"/>
              <w:jc w:val="center"/>
              <w:rPr>
                <w:rFonts w:ascii="仿宋" w:hAnsi="仿宋" w:eastAsia="仿宋" w:cs="仿宋"/>
                <w:color w:val="auto"/>
                <w:sz w:val="24"/>
                <w:highlight w:val="none"/>
              </w:rPr>
            </w:pPr>
          </w:p>
        </w:tc>
        <w:tc>
          <w:tcPr>
            <w:tcW w:w="1843" w:type="dxa"/>
            <w:vAlign w:val="center"/>
          </w:tcPr>
          <w:p>
            <w:pPr>
              <w:wordWrap w:val="0"/>
              <w:snapToGrid w:val="0"/>
              <w:spacing w:line="360" w:lineRule="auto"/>
              <w:jc w:val="center"/>
              <w:rPr>
                <w:rFonts w:ascii="仿宋" w:hAnsi="仿宋" w:eastAsia="仿宋" w:cs="仿宋"/>
                <w:color w:val="auto"/>
                <w:sz w:val="24"/>
                <w:highlight w:val="none"/>
              </w:rPr>
            </w:pPr>
          </w:p>
        </w:tc>
        <w:tc>
          <w:tcPr>
            <w:tcW w:w="3118" w:type="dxa"/>
            <w:vAlign w:val="center"/>
          </w:tcPr>
          <w:p>
            <w:pPr>
              <w:wordWrap w:val="0"/>
              <w:snapToGrid w:val="0"/>
              <w:spacing w:line="360" w:lineRule="auto"/>
              <w:jc w:val="center"/>
              <w:rPr>
                <w:rFonts w:ascii="仿宋" w:hAnsi="仿宋" w:eastAsia="仿宋" w:cs="仿宋"/>
                <w:color w:val="auto"/>
                <w:sz w:val="24"/>
                <w:highlight w:val="none"/>
              </w:rPr>
            </w:pPr>
          </w:p>
        </w:tc>
        <w:tc>
          <w:tcPr>
            <w:tcW w:w="993" w:type="dxa"/>
            <w:vAlign w:val="center"/>
          </w:tcPr>
          <w:p>
            <w:pPr>
              <w:wordWrap w:val="0"/>
              <w:snapToGrid w:val="0"/>
              <w:spacing w:line="360" w:lineRule="auto"/>
              <w:jc w:val="center"/>
              <w:rPr>
                <w:rFonts w:ascii="仿宋" w:hAnsi="仿宋" w:eastAsia="仿宋" w:cs="仿宋"/>
                <w:color w:val="auto"/>
                <w:sz w:val="24"/>
                <w:highlight w:val="none"/>
              </w:rPr>
            </w:pPr>
          </w:p>
        </w:tc>
        <w:tc>
          <w:tcPr>
            <w:tcW w:w="1559" w:type="dxa"/>
            <w:vAlign w:val="center"/>
          </w:tcPr>
          <w:p>
            <w:pPr>
              <w:wordWrap w:val="0"/>
              <w:spacing w:line="360" w:lineRule="auto"/>
              <w:jc w:val="center"/>
              <w:rPr>
                <w:rFonts w:ascii="仿宋" w:hAnsi="仿宋" w:eastAsia="仿宋" w:cs="仿宋"/>
                <w:color w:val="auto"/>
                <w:sz w:val="24"/>
                <w:highlight w:val="none"/>
              </w:rPr>
            </w:pPr>
          </w:p>
        </w:tc>
        <w:tc>
          <w:tcPr>
            <w:tcW w:w="1984" w:type="dxa"/>
            <w:vAlign w:val="center"/>
          </w:tcPr>
          <w:p>
            <w:pPr>
              <w:wordWrap w:val="0"/>
              <w:spacing w:line="360" w:lineRule="auto"/>
              <w:jc w:val="center"/>
              <w:rPr>
                <w:rFonts w:ascii="仿宋" w:hAnsi="仿宋" w:eastAsia="仿宋" w:cs="仿宋"/>
                <w:color w:val="auto"/>
                <w:sz w:val="24"/>
                <w:highlight w:val="none"/>
              </w:rPr>
            </w:pPr>
          </w:p>
        </w:tc>
        <w:tc>
          <w:tcPr>
            <w:tcW w:w="3119" w:type="dxa"/>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color w:val="auto"/>
                <w:sz w:val="24"/>
                <w:highlight w:val="none"/>
              </w:rPr>
            </w:pPr>
          </w:p>
        </w:tc>
        <w:tc>
          <w:tcPr>
            <w:tcW w:w="1417" w:type="dxa"/>
            <w:vAlign w:val="center"/>
          </w:tcPr>
          <w:p>
            <w:pPr>
              <w:wordWrap w:val="0"/>
              <w:snapToGrid w:val="0"/>
              <w:spacing w:line="360" w:lineRule="auto"/>
              <w:jc w:val="center"/>
              <w:rPr>
                <w:rFonts w:ascii="仿宋" w:hAnsi="仿宋" w:eastAsia="仿宋" w:cs="仿宋"/>
                <w:color w:val="auto"/>
                <w:sz w:val="24"/>
                <w:highlight w:val="none"/>
              </w:rPr>
            </w:pPr>
          </w:p>
        </w:tc>
        <w:tc>
          <w:tcPr>
            <w:tcW w:w="1843" w:type="dxa"/>
            <w:vAlign w:val="center"/>
          </w:tcPr>
          <w:p>
            <w:pPr>
              <w:wordWrap w:val="0"/>
              <w:snapToGrid w:val="0"/>
              <w:spacing w:line="360" w:lineRule="auto"/>
              <w:jc w:val="center"/>
              <w:rPr>
                <w:rFonts w:ascii="仿宋" w:hAnsi="仿宋" w:eastAsia="仿宋" w:cs="仿宋"/>
                <w:color w:val="auto"/>
                <w:sz w:val="24"/>
                <w:highlight w:val="none"/>
              </w:rPr>
            </w:pPr>
          </w:p>
        </w:tc>
        <w:tc>
          <w:tcPr>
            <w:tcW w:w="3118" w:type="dxa"/>
            <w:vAlign w:val="center"/>
          </w:tcPr>
          <w:p>
            <w:pPr>
              <w:wordWrap w:val="0"/>
              <w:snapToGrid w:val="0"/>
              <w:spacing w:line="360" w:lineRule="auto"/>
              <w:jc w:val="center"/>
              <w:rPr>
                <w:rFonts w:ascii="仿宋" w:hAnsi="仿宋" w:eastAsia="仿宋" w:cs="仿宋"/>
                <w:color w:val="auto"/>
                <w:sz w:val="24"/>
                <w:highlight w:val="none"/>
              </w:rPr>
            </w:pPr>
          </w:p>
        </w:tc>
        <w:tc>
          <w:tcPr>
            <w:tcW w:w="993" w:type="dxa"/>
            <w:vAlign w:val="center"/>
          </w:tcPr>
          <w:p>
            <w:pPr>
              <w:wordWrap w:val="0"/>
              <w:snapToGrid w:val="0"/>
              <w:spacing w:line="360" w:lineRule="auto"/>
              <w:jc w:val="center"/>
              <w:rPr>
                <w:rFonts w:ascii="仿宋" w:hAnsi="仿宋" w:eastAsia="仿宋" w:cs="仿宋"/>
                <w:color w:val="auto"/>
                <w:sz w:val="24"/>
                <w:highlight w:val="none"/>
              </w:rPr>
            </w:pPr>
          </w:p>
        </w:tc>
        <w:tc>
          <w:tcPr>
            <w:tcW w:w="1559" w:type="dxa"/>
            <w:vAlign w:val="center"/>
          </w:tcPr>
          <w:p>
            <w:pPr>
              <w:wordWrap w:val="0"/>
              <w:spacing w:line="360" w:lineRule="auto"/>
              <w:jc w:val="center"/>
              <w:rPr>
                <w:rFonts w:ascii="仿宋" w:hAnsi="仿宋" w:eastAsia="仿宋" w:cs="仿宋"/>
                <w:color w:val="auto"/>
                <w:sz w:val="24"/>
                <w:highlight w:val="none"/>
              </w:rPr>
            </w:pPr>
          </w:p>
        </w:tc>
        <w:tc>
          <w:tcPr>
            <w:tcW w:w="1984" w:type="dxa"/>
            <w:vAlign w:val="center"/>
          </w:tcPr>
          <w:p>
            <w:pPr>
              <w:wordWrap w:val="0"/>
              <w:spacing w:line="360" w:lineRule="auto"/>
              <w:jc w:val="center"/>
              <w:rPr>
                <w:rFonts w:ascii="仿宋" w:hAnsi="仿宋" w:eastAsia="仿宋" w:cs="仿宋"/>
                <w:color w:val="auto"/>
                <w:sz w:val="24"/>
                <w:highlight w:val="none"/>
              </w:rPr>
            </w:pPr>
          </w:p>
        </w:tc>
        <w:tc>
          <w:tcPr>
            <w:tcW w:w="3119" w:type="dxa"/>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wordWrap w:val="0"/>
              <w:spacing w:line="360" w:lineRule="auto"/>
              <w:jc w:val="center"/>
              <w:rPr>
                <w:rFonts w:ascii="仿宋" w:hAnsi="仿宋" w:eastAsia="仿宋" w:cs="仿宋"/>
                <w:color w:val="auto"/>
                <w:sz w:val="24"/>
                <w:highlight w:val="none"/>
              </w:rPr>
            </w:pPr>
          </w:p>
        </w:tc>
      </w:tr>
    </w:tbl>
    <w:p>
      <w:pPr>
        <w:wordWrap w:val="0"/>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pPr>
        <w:pStyle w:val="82"/>
        <w:wordWrap w:val="0"/>
        <w:ind w:firstLine="9600" w:firstLineChars="4000"/>
        <w:rPr>
          <w:color w:val="auto"/>
          <w:highlight w:val="none"/>
          <w:lang w:val="zh-CN"/>
        </w:rPr>
      </w:pPr>
      <w:r>
        <w:rPr>
          <w:rFonts w:hint="eastAsia" w:ascii="仿宋" w:hAnsi="仿宋" w:eastAsia="仿宋" w:cs="仿宋"/>
          <w:color w:val="auto"/>
          <w:highlight w:val="none"/>
        </w:rPr>
        <w:t>日期：  年   月   日</w:t>
      </w:r>
    </w:p>
    <w:p>
      <w:pPr>
        <w:wordWrap w:val="0"/>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wordWrap w:val="0"/>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wordWrap w:val="0"/>
        <w:spacing w:line="360" w:lineRule="auto"/>
        <w:ind w:firstLine="482" w:firstLineChars="200"/>
        <w:rPr>
          <w:rFonts w:ascii="仿宋" w:hAnsi="仿宋" w:eastAsia="仿宋" w:cs="仿宋"/>
          <w:b/>
          <w:color w:val="auto"/>
          <w:kern w:val="0"/>
          <w:sz w:val="24"/>
          <w:highlight w:val="none"/>
        </w:r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7" w:name="_Hlk101259491"/>
      <w:r>
        <w:rPr>
          <w:rFonts w:hint="eastAsia" w:ascii="仿宋" w:hAnsi="仿宋" w:eastAsia="仿宋" w:cs="仿宋"/>
          <w:color w:val="auto"/>
          <w:sz w:val="32"/>
          <w:szCs w:val="32"/>
          <w:highlight w:val="none"/>
        </w:rPr>
        <w:t>（如有）</w:t>
      </w:r>
      <w:bookmarkEnd w:id="57"/>
    </w:p>
    <w:p>
      <w:pPr>
        <w:widowControl/>
        <w:wordWrap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wordWrap w:val="0"/>
        <w:rPr>
          <w:rFonts w:ascii="仿宋" w:hAnsi="仿宋" w:eastAsia="仿宋" w:cs="仿宋"/>
          <w:b/>
          <w:color w:val="auto"/>
          <w:highlight w:val="none"/>
        </w:rPr>
      </w:pPr>
    </w:p>
    <w:p>
      <w:pPr>
        <w:pStyle w:val="83"/>
        <w:rPr>
          <w:rFonts w:ascii="仿宋" w:hAnsi="仿宋" w:eastAsia="仿宋" w:cs="仿宋"/>
          <w:b/>
          <w:color w:val="auto"/>
          <w:sz w:val="24"/>
          <w:highlight w:val="none"/>
        </w:rPr>
      </w:pPr>
    </w:p>
    <w:p>
      <w:pPr>
        <w:wordWrap w:val="0"/>
        <w:rPr>
          <w:rFonts w:ascii="仿宋" w:hAnsi="仿宋" w:eastAsia="仿宋" w:cs="仿宋"/>
          <w:b/>
          <w:color w:val="auto"/>
          <w:sz w:val="24"/>
          <w:highlight w:val="none"/>
        </w:rPr>
      </w:pPr>
    </w:p>
    <w:p>
      <w:pPr>
        <w:pStyle w:val="82"/>
        <w:wordWrap w:val="0"/>
        <w:rPr>
          <w:rFonts w:ascii="仿宋" w:hAnsi="仿宋" w:eastAsia="仿宋" w:cs="仿宋"/>
          <w:b/>
          <w:color w:val="auto"/>
          <w:highlight w:val="none"/>
        </w:rPr>
      </w:pPr>
    </w:p>
    <w:p>
      <w:pPr>
        <w:pStyle w:val="83"/>
        <w:rPr>
          <w:color w:val="auto"/>
          <w:highlight w:val="none"/>
        </w:rPr>
      </w:pPr>
    </w:p>
    <w:p>
      <w:pPr>
        <w:pStyle w:val="83"/>
        <w:rPr>
          <w:color w:val="auto"/>
          <w:highlight w:val="none"/>
        </w:rPr>
      </w:pPr>
    </w:p>
    <w:p>
      <w:pPr>
        <w:widowControl/>
        <w:wordWrap w:val="0"/>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pPr>
        <w:widowControl/>
        <w:wordWrap w:val="0"/>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82"/>
        <w:widowControl/>
        <w:wordWrap w:val="0"/>
        <w:spacing w:line="360" w:lineRule="auto"/>
        <w:ind w:firstLine="120" w:firstLineChars="50"/>
        <w:rPr>
          <w:rFonts w:ascii="仿宋" w:hAnsi="仿宋" w:eastAsia="仿宋" w:cs="仿宋"/>
          <w:b/>
          <w:color w:val="auto"/>
          <w:highlight w:val="none"/>
        </w:rPr>
      </w:pPr>
    </w:p>
    <w:p>
      <w:pPr>
        <w:pStyle w:val="83"/>
        <w:spacing w:line="360" w:lineRule="auto"/>
        <w:ind w:left="0" w:firstLine="120" w:firstLineChars="50"/>
        <w:jc w:val="left"/>
        <w:rPr>
          <w:rFonts w:ascii="仿宋" w:hAnsi="仿宋" w:eastAsia="仿宋" w:cs="仿宋"/>
          <w:b/>
          <w:color w:val="auto"/>
          <w:sz w:val="24"/>
          <w:highlight w:val="none"/>
        </w:rPr>
      </w:pPr>
    </w:p>
    <w:p>
      <w:pPr>
        <w:pStyle w:val="694"/>
        <w:keepNext w:val="0"/>
        <w:pageBreakBefore w:val="0"/>
        <w:tabs>
          <w:tab w:val="clear" w:pos="720"/>
        </w:tabs>
        <w:wordWrap w:val="0"/>
        <w:snapToGrid w:val="0"/>
        <w:spacing w:before="120" w:after="120"/>
        <w:ind w:firstLine="643"/>
        <w:outlineLvl w:val="9"/>
        <w:rPr>
          <w:rFonts w:ascii="仿宋" w:hAnsi="仿宋" w:eastAsia="仿宋" w:cs="仿宋"/>
          <w:b w:val="0"/>
          <w:color w:val="auto"/>
          <w:sz w:val="32"/>
          <w:szCs w:val="32"/>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pStyle w:val="6"/>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color w:val="auto"/>
          <w:highlight w:val="none"/>
        </w:rPr>
      </w:pPr>
      <w:bookmarkStart w:id="58" w:name="_Toc465665161"/>
      <w:r>
        <w:rPr>
          <w:rFonts w:hint="eastAsia" w:ascii="仿宋" w:hAnsi="仿宋" w:eastAsia="仿宋" w:cs="仿宋"/>
          <w:color w:val="auto"/>
          <w:highlight w:val="none"/>
        </w:rPr>
        <w:t>附件</w:t>
      </w:r>
      <w:bookmarkEnd w:id="58"/>
    </w:p>
    <w:p>
      <w:pPr>
        <w:wordWrap w:val="0"/>
        <w:spacing w:line="360" w:lineRule="auto"/>
        <w:rPr>
          <w:rFonts w:ascii="仿宋" w:hAnsi="仿宋" w:eastAsia="仿宋" w:cs="仿宋"/>
          <w:b/>
          <w:color w:val="auto"/>
          <w:sz w:val="24"/>
          <w:highlight w:val="none"/>
        </w:rPr>
      </w:pPr>
    </w:p>
    <w:p>
      <w:pPr>
        <w:wordWrap w:val="0"/>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wordWrap w:val="0"/>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wordWrap w:val="0"/>
        <w:spacing w:line="360" w:lineRule="auto"/>
        <w:jc w:val="center"/>
        <w:rPr>
          <w:rFonts w:ascii="仿宋" w:hAnsi="仿宋" w:eastAsia="仿宋" w:cs="仿宋"/>
          <w:b/>
          <w:bCs/>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wordWrap w:val="0"/>
        <w:spacing w:line="360" w:lineRule="auto"/>
        <w:ind w:firstLine="600" w:firstLineChars="200"/>
        <w:jc w:val="left"/>
        <w:rPr>
          <w:rFonts w:ascii="仿宋" w:hAnsi="仿宋" w:eastAsia="仿宋" w:cs="仿宋"/>
          <w:color w:val="auto"/>
          <w:sz w:val="30"/>
          <w:szCs w:val="30"/>
          <w:highlight w:val="none"/>
        </w:rPr>
      </w:pPr>
    </w:p>
    <w:p>
      <w:pPr>
        <w:wordWrap w:val="0"/>
        <w:spacing w:line="360" w:lineRule="auto"/>
        <w:jc w:val="center"/>
        <w:rPr>
          <w:rFonts w:ascii="仿宋" w:hAnsi="仿宋" w:eastAsia="仿宋" w:cs="仿宋"/>
          <w:b/>
          <w:color w:val="auto"/>
          <w:spacing w:val="6"/>
          <w:sz w:val="32"/>
          <w:szCs w:val="32"/>
          <w:highlight w:val="none"/>
        </w:rPr>
      </w:pPr>
    </w:p>
    <w:p>
      <w:pPr>
        <w:wordWrap w:val="0"/>
        <w:spacing w:line="360" w:lineRule="auto"/>
        <w:jc w:val="center"/>
        <w:rPr>
          <w:rFonts w:ascii="仿宋" w:hAnsi="仿宋" w:eastAsia="仿宋" w:cs="仿宋"/>
          <w:b/>
          <w:color w:val="auto"/>
          <w:spacing w:val="6"/>
          <w:sz w:val="32"/>
          <w:szCs w:val="32"/>
          <w:highlight w:val="none"/>
        </w:rPr>
      </w:pPr>
    </w:p>
    <w:p>
      <w:pPr>
        <w:pageBreakBefore/>
        <w:wordWrap w:val="0"/>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wordWrap w:val="0"/>
        <w:spacing w:line="360" w:lineRule="auto"/>
        <w:jc w:val="center"/>
        <w:rPr>
          <w:rFonts w:ascii="仿宋" w:hAnsi="仿宋" w:eastAsia="仿宋" w:cs="仿宋"/>
          <w:b/>
          <w:color w:val="auto"/>
          <w:sz w:val="24"/>
          <w:highlight w:val="none"/>
        </w:rPr>
      </w:pPr>
    </w:p>
    <w:p>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wordWrap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wordWrap w:val="0"/>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wordWrap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wordWrap w:val="0"/>
        <w:spacing w:line="360" w:lineRule="auto"/>
        <w:ind w:firstLine="480" w:firstLineChars="200"/>
        <w:jc w:val="left"/>
        <w:rPr>
          <w:rFonts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wordWrap w:val="0"/>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wordWrap w:val="0"/>
        <w:spacing w:line="360" w:lineRule="auto"/>
        <w:rPr>
          <w:rFonts w:ascii="仿宋" w:hAnsi="仿宋" w:eastAsia="仿宋" w:cs="仿宋"/>
          <w:color w:val="auto"/>
          <w:sz w:val="24"/>
          <w:highlight w:val="none"/>
          <w:u w:val="single"/>
        </w:rPr>
      </w:pP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绍兴市妇幼保健院、绍兴市公共资源交易中心：</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你方组织的绍兴市妇幼保健院超融合等采购项目【招标编号：2025-06-0051】</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wordWrap w:val="0"/>
        <w:spacing w:line="360" w:lineRule="auto"/>
        <w:ind w:firstLine="494"/>
        <w:rPr>
          <w:rFonts w:ascii="仿宋" w:hAnsi="仿宋" w:eastAsia="仿宋" w:cs="仿宋"/>
          <w:color w:val="auto"/>
          <w:sz w:val="24"/>
          <w:highlight w:val="none"/>
        </w:rPr>
      </w:pPr>
    </w:p>
    <w:p>
      <w:pPr>
        <w:wordWrap w:val="0"/>
        <w:spacing w:line="360" w:lineRule="auto"/>
        <w:ind w:firstLine="494"/>
        <w:rPr>
          <w:rFonts w:ascii="仿宋" w:hAnsi="仿宋" w:eastAsia="仿宋" w:cs="仿宋"/>
          <w:color w:val="auto"/>
          <w:sz w:val="24"/>
          <w:highlight w:val="none"/>
        </w:rPr>
      </w:pPr>
    </w:p>
    <w:p>
      <w:pPr>
        <w:wordWrap w:val="0"/>
        <w:spacing w:line="360" w:lineRule="auto"/>
        <w:ind w:firstLine="494"/>
        <w:rPr>
          <w:rFonts w:ascii="仿宋" w:hAnsi="仿宋" w:eastAsia="仿宋" w:cs="仿宋"/>
          <w:color w:val="auto"/>
          <w:sz w:val="24"/>
          <w:highlight w:val="none"/>
        </w:rPr>
      </w:pPr>
    </w:p>
    <w:p>
      <w:pPr>
        <w:wordWrap w:val="0"/>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wordWrap w:val="0"/>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wordWrap w:val="0"/>
        <w:rPr>
          <w:color w:val="auto"/>
          <w:highlight w:val="none"/>
        </w:rPr>
      </w:pPr>
    </w:p>
    <w:p>
      <w:pPr>
        <w:wordWrap w:val="0"/>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wordWrap w:val="0"/>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pageBreakBefore/>
        <w:wordWrap w:val="0"/>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wordWrap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绍兴市妇幼保健院超融合等采购项目【招标编号：2025-06-0051】</w:t>
      </w:r>
      <w:r>
        <w:rPr>
          <w:rFonts w:hint="eastAsia" w:ascii="仿宋" w:hAnsi="仿宋" w:eastAsia="仿宋" w:cs="仿宋"/>
          <w:color w:val="auto"/>
          <w:kern w:val="0"/>
          <w:sz w:val="24"/>
          <w:highlight w:val="none"/>
          <w:lang w:val="zh-CN"/>
        </w:rPr>
        <w:t xml:space="preserve">投标。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wordWrap w:val="0"/>
        <w:snapToGrid w:val="0"/>
        <w:spacing w:line="360" w:lineRule="auto"/>
        <w:ind w:firstLine="576"/>
        <w:rPr>
          <w:rFonts w:ascii="仿宋" w:hAnsi="仿宋" w:eastAsia="仿宋" w:cs="仿宋"/>
          <w:color w:val="auto"/>
          <w:kern w:val="0"/>
          <w:sz w:val="24"/>
          <w:highlight w:val="none"/>
          <w:lang w:val="zh-CN"/>
        </w:rPr>
      </w:pPr>
      <w:bookmarkStart w:id="5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9"/>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wordWrap w:val="0"/>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wordWrap w:val="0"/>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wordWrap w:val="0"/>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snapToGrid w:val="0"/>
        <w:spacing w:line="360" w:lineRule="auto"/>
        <w:jc w:val="center"/>
        <w:outlineLvl w:val="0"/>
        <w:rPr>
          <w:rFonts w:ascii="仿宋" w:hAnsi="仿宋" w:eastAsia="仿宋" w:cs="仿宋"/>
          <w:b/>
          <w:color w:val="auto"/>
          <w:kern w:val="0"/>
          <w:sz w:val="32"/>
          <w:szCs w:val="32"/>
          <w:highlight w:val="none"/>
        </w:rPr>
      </w:pPr>
    </w:p>
    <w:p>
      <w:pPr>
        <w:wordWrap w:val="0"/>
        <w:snapToGrid w:val="0"/>
        <w:spacing w:line="360" w:lineRule="auto"/>
        <w:jc w:val="center"/>
        <w:outlineLvl w:val="0"/>
        <w:rPr>
          <w:rFonts w:ascii="仿宋" w:hAnsi="仿宋" w:eastAsia="仿宋" w:cs="仿宋"/>
          <w:b/>
          <w:color w:val="auto"/>
          <w:kern w:val="0"/>
          <w:sz w:val="32"/>
          <w:szCs w:val="32"/>
          <w:highlight w:val="none"/>
        </w:rPr>
      </w:pPr>
    </w:p>
    <w:p>
      <w:pPr>
        <w:wordWrap w:val="0"/>
        <w:snapToGrid w:val="0"/>
        <w:spacing w:line="360" w:lineRule="auto"/>
        <w:jc w:val="center"/>
        <w:outlineLvl w:val="0"/>
        <w:rPr>
          <w:rFonts w:ascii="仿宋" w:hAnsi="仿宋" w:eastAsia="仿宋" w:cs="仿宋"/>
          <w:b/>
          <w:color w:val="auto"/>
          <w:kern w:val="0"/>
          <w:sz w:val="32"/>
          <w:szCs w:val="32"/>
          <w:highlight w:val="none"/>
        </w:rPr>
      </w:pPr>
    </w:p>
    <w:p>
      <w:pPr>
        <w:pageBreakBefore/>
        <w:wordWrap w:val="0"/>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wordWrap w:val="0"/>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绍兴市妇幼保健院超融合等采购项目【招标编号：2025-06-0051】</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7"/>
        <w:wordWrap w:val="0"/>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wordWrap w:val="0"/>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wordWrap w:val="0"/>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60"/>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wordWrap w:val="0"/>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wordWrap w:val="0"/>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highlight w:val="none"/>
          <w:u w:val="single"/>
        </w:rPr>
        <w:t xml:space="preserve">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wordWrap w:val="0"/>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wordWrap w:val="0"/>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wordWrap w:val="0"/>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wordWrap w:val="0"/>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pStyle w:val="82"/>
        <w:wordWrap w:val="0"/>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wordWrap w:val="0"/>
        <w:rPr>
          <w:rFonts w:ascii="仿宋" w:hAnsi="仿宋" w:eastAsia="仿宋" w:cs="仿宋"/>
          <w:b/>
          <w:color w:val="auto"/>
          <w:spacing w:val="6"/>
          <w:sz w:val="32"/>
          <w:szCs w:val="32"/>
          <w:highlight w:val="none"/>
        </w:rPr>
      </w:pPr>
    </w:p>
    <w:p>
      <w:pPr>
        <w:pStyle w:val="82"/>
        <w:wordWrap w:val="0"/>
        <w:rPr>
          <w:rFonts w:ascii="仿宋" w:hAnsi="仿宋" w:eastAsia="仿宋" w:cs="仿宋"/>
          <w:b/>
          <w:color w:val="auto"/>
          <w:spacing w:val="6"/>
          <w:sz w:val="32"/>
          <w:szCs w:val="32"/>
          <w:highlight w:val="none"/>
        </w:rPr>
      </w:pPr>
    </w:p>
    <w:p>
      <w:pPr>
        <w:pStyle w:val="83"/>
        <w:rPr>
          <w:color w:val="auto"/>
          <w:highlight w:val="none"/>
        </w:rPr>
      </w:pPr>
    </w:p>
    <w:p>
      <w:pPr>
        <w:wordWrap w:val="0"/>
        <w:spacing w:line="360" w:lineRule="auto"/>
        <w:rPr>
          <w:rFonts w:ascii="仿宋" w:hAnsi="仿宋" w:eastAsia="仿宋" w:cs="仿宋"/>
          <w:b/>
          <w:color w:val="auto"/>
          <w:spacing w:val="6"/>
          <w:sz w:val="32"/>
          <w:szCs w:val="32"/>
          <w:highlight w:val="none"/>
        </w:rPr>
      </w:pPr>
      <w:bookmarkStart w:id="61" w:name="OLE_LINK13"/>
      <w:bookmarkStart w:id="62" w:name="OLE_LINK14"/>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61"/>
    <w:bookmarkEnd w:id="62"/>
    <w:p>
      <w:pPr>
        <w:wordWrap w:val="0"/>
        <w:spacing w:line="360" w:lineRule="auto"/>
        <w:rPr>
          <w:rFonts w:ascii="仿宋" w:hAnsi="仿宋" w:eastAsia="仿宋" w:cs="仿宋"/>
          <w:b/>
          <w:color w:val="auto"/>
          <w:spacing w:val="6"/>
          <w:sz w:val="30"/>
          <w:szCs w:val="30"/>
          <w:highlight w:val="none"/>
        </w:rPr>
      </w:pP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绍兴市妇幼保健院</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绍兴市妇幼保健院超融合等采购项目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wordWrap w:val="0"/>
        <w:spacing w:line="360" w:lineRule="auto"/>
        <w:ind w:firstLine="480" w:firstLineChars="200"/>
        <w:rPr>
          <w:rFonts w:ascii="仿宋" w:hAnsi="仿宋" w:eastAsia="仿宋" w:cs="仿宋"/>
          <w:color w:val="auto"/>
          <w:sz w:val="24"/>
          <w:highlight w:val="none"/>
        </w:rPr>
      </w:pPr>
    </w:p>
    <w:p>
      <w:pPr>
        <w:wordWrap w:val="0"/>
        <w:spacing w:line="360" w:lineRule="auto"/>
        <w:ind w:firstLine="480" w:firstLineChars="200"/>
        <w:rPr>
          <w:rFonts w:ascii="仿宋" w:hAnsi="仿宋" w:eastAsia="仿宋" w:cs="仿宋"/>
          <w:color w:val="auto"/>
          <w:sz w:val="24"/>
          <w:highlight w:val="none"/>
        </w:rPr>
      </w:pPr>
    </w:p>
    <w:p>
      <w:pPr>
        <w:tabs>
          <w:tab w:val="left" w:pos="4860"/>
        </w:tabs>
        <w:wordWrap w:val="0"/>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wordWrap w:val="0"/>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wordWrap w:val="0"/>
        <w:spacing w:line="360" w:lineRule="auto"/>
        <w:jc w:val="center"/>
        <w:rPr>
          <w:rFonts w:ascii="仿宋" w:hAnsi="仿宋" w:eastAsia="仿宋" w:cs="仿宋"/>
          <w:color w:val="auto"/>
          <w:sz w:val="24"/>
          <w:highlight w:val="none"/>
          <w:u w:val="single"/>
        </w:rPr>
      </w:pPr>
    </w:p>
    <w:p>
      <w:pPr>
        <w:wordWrap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绍兴市妇幼保健院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绍兴市妇幼保健院超融合等采购项目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wordWrap w:val="0"/>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wordWrap w:val="0"/>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ordWrap w:val="0"/>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pageBreakBefore/>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wordWrap w:val="0"/>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4"/>
        <w:wordWrap w:val="0"/>
        <w:rPr>
          <w:color w:val="auto"/>
          <w:highlight w:val="none"/>
          <w:lang w:val="en-US"/>
        </w:rPr>
      </w:pP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wordWrap w:val="0"/>
        <w:jc w:val="left"/>
        <w:rPr>
          <w:rFonts w:ascii="仿宋" w:hAnsi="仿宋" w:eastAsia="仿宋" w:cs="仿宋"/>
          <w:color w:val="auto"/>
          <w:kern w:val="0"/>
          <w:sz w:val="24"/>
          <w:highlight w:val="none"/>
        </w:rPr>
      </w:pP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wordWrap w:val="0"/>
        <w:jc w:val="left"/>
        <w:rPr>
          <w:rFonts w:ascii="仿宋" w:hAnsi="仿宋" w:eastAsia="仿宋" w:cs="仿宋"/>
          <w:color w:val="auto"/>
          <w:kern w:val="0"/>
          <w:sz w:val="24"/>
          <w:highlight w:val="none"/>
        </w:rPr>
      </w:pPr>
    </w:p>
    <w:p>
      <w:pPr>
        <w:widowControl/>
        <w:wordWrap w:val="0"/>
        <w:jc w:val="left"/>
        <w:rPr>
          <w:rFonts w:ascii="仿宋" w:hAnsi="仿宋" w:eastAsia="仿宋" w:cs="仿宋"/>
          <w:color w:val="auto"/>
          <w:kern w:val="0"/>
          <w:sz w:val="24"/>
          <w:highlight w:val="none"/>
        </w:rPr>
      </w:pP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wordWrap w:val="0"/>
        <w:jc w:val="left"/>
        <w:rPr>
          <w:rFonts w:ascii="仿宋" w:hAnsi="仿宋" w:eastAsia="仿宋" w:cs="仿宋"/>
          <w:color w:val="auto"/>
          <w:kern w:val="0"/>
          <w:sz w:val="18"/>
          <w:szCs w:val="18"/>
          <w:highlight w:val="none"/>
        </w:rPr>
      </w:pPr>
    </w:p>
    <w:p>
      <w:pPr>
        <w:widowControl/>
        <w:wordWrap w:val="0"/>
        <w:jc w:val="left"/>
        <w:rPr>
          <w:rFonts w:ascii="仿宋" w:hAnsi="仿宋" w:eastAsia="仿宋" w:cs="仿宋"/>
          <w:color w:val="auto"/>
          <w:kern w:val="0"/>
          <w:sz w:val="18"/>
          <w:szCs w:val="18"/>
          <w:highlight w:val="none"/>
        </w:rPr>
      </w:pPr>
    </w:p>
    <w:p>
      <w:pPr>
        <w:widowControl/>
        <w:wordWrap w:val="0"/>
        <w:jc w:val="left"/>
        <w:rPr>
          <w:rFonts w:ascii="仿宋" w:hAnsi="仿宋" w:eastAsia="仿宋" w:cs="仿宋"/>
          <w:color w:val="auto"/>
          <w:kern w:val="0"/>
          <w:sz w:val="18"/>
          <w:szCs w:val="18"/>
          <w:highlight w:val="none"/>
        </w:rPr>
      </w:pPr>
    </w:p>
    <w:p>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wordWrap w:val="0"/>
        <w:rPr>
          <w:rFonts w:ascii="仿宋" w:hAnsi="仿宋" w:eastAsia="仿宋" w:cs="仿宋"/>
          <w:color w:val="auto"/>
          <w:sz w:val="24"/>
          <w:highlight w:val="none"/>
        </w:rPr>
      </w:pPr>
    </w:p>
    <w:p>
      <w:pPr>
        <w:wordWrap w:val="0"/>
        <w:ind w:firstLine="420" w:firstLineChars="200"/>
        <w:rPr>
          <w:rFonts w:ascii="仿宋" w:hAnsi="仿宋" w:eastAsia="仿宋" w:cs="仿宋"/>
          <w:color w:val="auto"/>
          <w:highlight w:val="none"/>
        </w:rPr>
      </w:pPr>
    </w:p>
    <w:p>
      <w:pPr>
        <w:wordWrap w:val="0"/>
        <w:spacing w:line="360" w:lineRule="auto"/>
        <w:ind w:right="420"/>
        <w:rPr>
          <w:rFonts w:ascii="仿宋" w:hAnsi="仿宋" w:eastAsia="仿宋" w:cs="仿宋"/>
          <w:color w:val="auto"/>
          <w:highlight w:val="none"/>
        </w:rPr>
      </w:pPr>
    </w:p>
    <w:p>
      <w:pPr>
        <w:wordWrap w:val="0"/>
        <w:spacing w:line="360" w:lineRule="auto"/>
        <w:rPr>
          <w:rFonts w:ascii="宋体" w:hAnsi="宋体" w:cs="宋体"/>
          <w:bCs/>
          <w:color w:val="auto"/>
          <w:sz w:val="24"/>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126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126</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128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128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
        <w:i/>
        <w:u w:val="single"/>
      </w:rPr>
    </w:pPr>
    <w:r>
      <w:rPr>
        <w:rFonts w:hint="eastAsia" w:ascii="仿宋" w:hAnsi="仿宋" w:eastAsia="仿宋" w:cs="仿宋"/>
        <w:sz w:val="20"/>
        <w:szCs w:val="20"/>
      </w:rPr>
      <w:t>绍兴市公共资源交易中心                             招标编号:2025-06-0051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
        <w:i/>
        <w:u w:val="single"/>
      </w:rPr>
    </w:pPr>
    <w:r>
      <w:rPr>
        <w:rFonts w:hint="eastAsia" w:ascii="仿宋" w:hAnsi="仿宋" w:eastAsia="仿宋" w:cs="仿宋"/>
        <w:sz w:val="20"/>
        <w:szCs w:val="20"/>
      </w:rPr>
      <w:t>绍兴市公共资源交易中心                             招标编号:2025-06-0051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eastAsia="仿宋"/>
      </w:rPr>
    </w:pPr>
    <w:r>
      <w:rPr>
        <w:rFonts w:hint="eastAsia" w:ascii="仿宋" w:hAnsi="仿宋" w:eastAsia="仿宋" w:cs="仿宋"/>
        <w:sz w:val="20"/>
        <w:szCs w:val="20"/>
      </w:rPr>
      <w:t>绍兴市公共资源交易中心                             招标编号:2025-06-0051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eastAsia="仿宋"/>
      </w:rPr>
    </w:pPr>
    <w:r>
      <w:rPr>
        <w:rFonts w:hint="eastAsia" w:ascii="仿宋" w:hAnsi="仿宋" w:eastAsia="仿宋" w:cs="仿宋"/>
        <w:sz w:val="20"/>
        <w:szCs w:val="20"/>
      </w:rPr>
      <w:t>绍兴市公共资源交易中心                             招标编号:2025-06-0051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D4A6B11F"/>
    <w:multiLevelType w:val="singleLevel"/>
    <w:tmpl w:val="D4A6B11F"/>
    <w:lvl w:ilvl="0" w:tentative="0">
      <w:start w:val="1"/>
      <w:numFmt w:val="lowerLetter"/>
      <w:lvlText w:val="%1)"/>
      <w:lvlJc w:val="left"/>
      <w:pPr>
        <w:tabs>
          <w:tab w:val="left" w:pos="312"/>
        </w:tabs>
      </w:pPr>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4DE69BE"/>
    <w:multiLevelType w:val="multilevel"/>
    <w:tmpl w:val="04DE69BE"/>
    <w:lvl w:ilvl="0" w:tentative="0">
      <w:start w:val="1"/>
      <w:numFmt w:val="decimal"/>
      <w:lvlText w:val="%1"/>
      <w:lvlJc w:val="left"/>
      <w:pPr>
        <w:ind w:left="440" w:hanging="44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C867583"/>
    <w:multiLevelType w:val="singleLevel"/>
    <w:tmpl w:val="1C867583"/>
    <w:lvl w:ilvl="0" w:tentative="0">
      <w:start w:val="1"/>
      <w:numFmt w:val="decimal"/>
      <w:suff w:val="nothing"/>
      <w:lvlText w:val="（%1）"/>
      <w:lvlJc w:val="left"/>
    </w:lvl>
  </w:abstractNum>
  <w:abstractNum w:abstractNumId="6">
    <w:nsid w:val="2F7A1019"/>
    <w:multiLevelType w:val="multilevel"/>
    <w:tmpl w:val="2F7A1019"/>
    <w:lvl w:ilvl="0" w:tentative="0">
      <w:start w:val="1"/>
      <w:numFmt w:val="decimal"/>
      <w:lvlText w:val="%1"/>
      <w:lvlJc w:val="left"/>
      <w:pPr>
        <w:ind w:left="21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466B2C1D"/>
    <w:multiLevelType w:val="multilevel"/>
    <w:tmpl w:val="466B2C1D"/>
    <w:lvl w:ilvl="0" w:tentative="0">
      <w:start w:val="1"/>
      <w:numFmt w:val="decimal"/>
      <w:lvlText w:val="%1"/>
      <w:lvlJc w:val="center"/>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7"/>
  </w:num>
  <w:num w:numId="3">
    <w:abstractNumId w:val="6"/>
  </w:num>
  <w:num w:numId="4">
    <w:abstractNumId w:val="1"/>
  </w:num>
  <w:num w:numId="5">
    <w:abstractNumId w:val="8"/>
  </w:num>
  <w:num w:numId="6">
    <w:abstractNumId w:val="0"/>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804AB1"/>
    <w:rsid w:val="000024FC"/>
    <w:rsid w:val="000175A8"/>
    <w:rsid w:val="00042380"/>
    <w:rsid w:val="00047055"/>
    <w:rsid w:val="000656E5"/>
    <w:rsid w:val="0006590B"/>
    <w:rsid w:val="00073BAD"/>
    <w:rsid w:val="0008674F"/>
    <w:rsid w:val="00170DA8"/>
    <w:rsid w:val="001905C0"/>
    <w:rsid w:val="001A6C96"/>
    <w:rsid w:val="001B0B00"/>
    <w:rsid w:val="001C7D4E"/>
    <w:rsid w:val="001D1370"/>
    <w:rsid w:val="001E1715"/>
    <w:rsid w:val="00207BE0"/>
    <w:rsid w:val="00220D1D"/>
    <w:rsid w:val="00244211"/>
    <w:rsid w:val="0025521B"/>
    <w:rsid w:val="00282D3D"/>
    <w:rsid w:val="00301B8D"/>
    <w:rsid w:val="0030223B"/>
    <w:rsid w:val="00316C2B"/>
    <w:rsid w:val="00325D4B"/>
    <w:rsid w:val="003578F5"/>
    <w:rsid w:val="0037639E"/>
    <w:rsid w:val="00380814"/>
    <w:rsid w:val="003B2D1A"/>
    <w:rsid w:val="0046175F"/>
    <w:rsid w:val="004D2B1E"/>
    <w:rsid w:val="004F4B8C"/>
    <w:rsid w:val="005036BF"/>
    <w:rsid w:val="00527C9A"/>
    <w:rsid w:val="005300BB"/>
    <w:rsid w:val="005470F6"/>
    <w:rsid w:val="00557882"/>
    <w:rsid w:val="0056019B"/>
    <w:rsid w:val="005835FD"/>
    <w:rsid w:val="005C4ADA"/>
    <w:rsid w:val="00612ADE"/>
    <w:rsid w:val="00643F2B"/>
    <w:rsid w:val="00667D12"/>
    <w:rsid w:val="006829BC"/>
    <w:rsid w:val="006831BF"/>
    <w:rsid w:val="006E183E"/>
    <w:rsid w:val="006F359C"/>
    <w:rsid w:val="006F792C"/>
    <w:rsid w:val="00716FB4"/>
    <w:rsid w:val="00721318"/>
    <w:rsid w:val="00793121"/>
    <w:rsid w:val="007B17F3"/>
    <w:rsid w:val="0080033E"/>
    <w:rsid w:val="00804AB1"/>
    <w:rsid w:val="00843B63"/>
    <w:rsid w:val="008770D0"/>
    <w:rsid w:val="008A3D0F"/>
    <w:rsid w:val="008A51EE"/>
    <w:rsid w:val="008B1798"/>
    <w:rsid w:val="008C1F86"/>
    <w:rsid w:val="008C79E4"/>
    <w:rsid w:val="008E584E"/>
    <w:rsid w:val="008F32FE"/>
    <w:rsid w:val="009104FF"/>
    <w:rsid w:val="00953EDE"/>
    <w:rsid w:val="00960D9E"/>
    <w:rsid w:val="00980955"/>
    <w:rsid w:val="009A1763"/>
    <w:rsid w:val="009F01A9"/>
    <w:rsid w:val="009F6D50"/>
    <w:rsid w:val="00A12256"/>
    <w:rsid w:val="00A30B36"/>
    <w:rsid w:val="00A83138"/>
    <w:rsid w:val="00AB1CB1"/>
    <w:rsid w:val="00AC22C3"/>
    <w:rsid w:val="00AD4203"/>
    <w:rsid w:val="00AF5AF0"/>
    <w:rsid w:val="00B14ACF"/>
    <w:rsid w:val="00B43283"/>
    <w:rsid w:val="00B46F10"/>
    <w:rsid w:val="00B555DA"/>
    <w:rsid w:val="00B85447"/>
    <w:rsid w:val="00B90FEB"/>
    <w:rsid w:val="00BD6052"/>
    <w:rsid w:val="00C03DB3"/>
    <w:rsid w:val="00C46844"/>
    <w:rsid w:val="00C67D66"/>
    <w:rsid w:val="00C75314"/>
    <w:rsid w:val="00D32696"/>
    <w:rsid w:val="00D44616"/>
    <w:rsid w:val="00D60511"/>
    <w:rsid w:val="00D837D4"/>
    <w:rsid w:val="00DC00CA"/>
    <w:rsid w:val="00DE02E2"/>
    <w:rsid w:val="00DE0339"/>
    <w:rsid w:val="00E57EF6"/>
    <w:rsid w:val="00E9062E"/>
    <w:rsid w:val="00E91F3E"/>
    <w:rsid w:val="00EA5CA4"/>
    <w:rsid w:val="00EB1433"/>
    <w:rsid w:val="00EB2101"/>
    <w:rsid w:val="00EF3606"/>
    <w:rsid w:val="00F302DD"/>
    <w:rsid w:val="00F33B7C"/>
    <w:rsid w:val="00F401C6"/>
    <w:rsid w:val="00F97FF9"/>
    <w:rsid w:val="00FF2D64"/>
    <w:rsid w:val="016A5229"/>
    <w:rsid w:val="01A46222"/>
    <w:rsid w:val="01C963F3"/>
    <w:rsid w:val="028B18FB"/>
    <w:rsid w:val="02E55505"/>
    <w:rsid w:val="033E089E"/>
    <w:rsid w:val="05827397"/>
    <w:rsid w:val="05A0262C"/>
    <w:rsid w:val="05D36206"/>
    <w:rsid w:val="06345E06"/>
    <w:rsid w:val="06D74677"/>
    <w:rsid w:val="07E73484"/>
    <w:rsid w:val="082A3A50"/>
    <w:rsid w:val="0983157E"/>
    <w:rsid w:val="099C619C"/>
    <w:rsid w:val="09C94AB7"/>
    <w:rsid w:val="09E60F6E"/>
    <w:rsid w:val="0B2072B7"/>
    <w:rsid w:val="0C1464BD"/>
    <w:rsid w:val="0E251257"/>
    <w:rsid w:val="0FA0239A"/>
    <w:rsid w:val="11E15093"/>
    <w:rsid w:val="12CC7AF2"/>
    <w:rsid w:val="14127BE9"/>
    <w:rsid w:val="14DC1B42"/>
    <w:rsid w:val="15747398"/>
    <w:rsid w:val="15C53326"/>
    <w:rsid w:val="169E17AF"/>
    <w:rsid w:val="17682073"/>
    <w:rsid w:val="190873AA"/>
    <w:rsid w:val="192468AD"/>
    <w:rsid w:val="1ABD2416"/>
    <w:rsid w:val="1AC703A6"/>
    <w:rsid w:val="1AF0D45A"/>
    <w:rsid w:val="1B3A761C"/>
    <w:rsid w:val="1C661CEA"/>
    <w:rsid w:val="1C847BA9"/>
    <w:rsid w:val="1E786D7F"/>
    <w:rsid w:val="1FBF3881"/>
    <w:rsid w:val="1FCBC4A9"/>
    <w:rsid w:val="1FDF64A5"/>
    <w:rsid w:val="20F811AB"/>
    <w:rsid w:val="21340421"/>
    <w:rsid w:val="22661268"/>
    <w:rsid w:val="23384B81"/>
    <w:rsid w:val="25140E84"/>
    <w:rsid w:val="26866A58"/>
    <w:rsid w:val="26917ACB"/>
    <w:rsid w:val="269229A8"/>
    <w:rsid w:val="275E6519"/>
    <w:rsid w:val="27B91B29"/>
    <w:rsid w:val="28910702"/>
    <w:rsid w:val="29FA2D3E"/>
    <w:rsid w:val="2CDA6E57"/>
    <w:rsid w:val="2E914626"/>
    <w:rsid w:val="2F1B4C74"/>
    <w:rsid w:val="2F340AA1"/>
    <w:rsid w:val="2F4F1437"/>
    <w:rsid w:val="2F73430C"/>
    <w:rsid w:val="309C3FE6"/>
    <w:rsid w:val="32A85656"/>
    <w:rsid w:val="32CB52DE"/>
    <w:rsid w:val="32F164EC"/>
    <w:rsid w:val="3426622E"/>
    <w:rsid w:val="34583B7F"/>
    <w:rsid w:val="34A51AF9"/>
    <w:rsid w:val="35F40F8A"/>
    <w:rsid w:val="36C83444"/>
    <w:rsid w:val="370E5D48"/>
    <w:rsid w:val="37D80F43"/>
    <w:rsid w:val="38647781"/>
    <w:rsid w:val="38A10DF2"/>
    <w:rsid w:val="38FC1956"/>
    <w:rsid w:val="39606B41"/>
    <w:rsid w:val="39C24165"/>
    <w:rsid w:val="3A5E0833"/>
    <w:rsid w:val="3AB172F3"/>
    <w:rsid w:val="3DF3849B"/>
    <w:rsid w:val="3E435C40"/>
    <w:rsid w:val="3E51324C"/>
    <w:rsid w:val="3F326AC0"/>
    <w:rsid w:val="3F6D7804"/>
    <w:rsid w:val="3F7B1DD4"/>
    <w:rsid w:val="3FCE45FA"/>
    <w:rsid w:val="3FEFF7E8"/>
    <w:rsid w:val="3FF7BB55"/>
    <w:rsid w:val="3FFCE84F"/>
    <w:rsid w:val="3FFE25DA"/>
    <w:rsid w:val="3FFF5138"/>
    <w:rsid w:val="40D45B47"/>
    <w:rsid w:val="42703746"/>
    <w:rsid w:val="42E3216A"/>
    <w:rsid w:val="42FA74B4"/>
    <w:rsid w:val="44736C5A"/>
    <w:rsid w:val="450D66AE"/>
    <w:rsid w:val="452B604A"/>
    <w:rsid w:val="4538292F"/>
    <w:rsid w:val="45AB2CE7"/>
    <w:rsid w:val="45FF8421"/>
    <w:rsid w:val="46556BE7"/>
    <w:rsid w:val="47502595"/>
    <w:rsid w:val="47E421CB"/>
    <w:rsid w:val="482C010F"/>
    <w:rsid w:val="4A790231"/>
    <w:rsid w:val="4AB270AD"/>
    <w:rsid w:val="4D514EE6"/>
    <w:rsid w:val="4DD92AE7"/>
    <w:rsid w:val="4DE4148C"/>
    <w:rsid w:val="4EEE0112"/>
    <w:rsid w:val="4F20277D"/>
    <w:rsid w:val="4F3FEEA3"/>
    <w:rsid w:val="4F532425"/>
    <w:rsid w:val="4FAE554B"/>
    <w:rsid w:val="4FEEF1CF"/>
    <w:rsid w:val="50C301CB"/>
    <w:rsid w:val="51D468F9"/>
    <w:rsid w:val="520914C1"/>
    <w:rsid w:val="53A85E05"/>
    <w:rsid w:val="53AF54F7"/>
    <w:rsid w:val="548B440F"/>
    <w:rsid w:val="551E7032"/>
    <w:rsid w:val="55E34E9E"/>
    <w:rsid w:val="55FD1F28"/>
    <w:rsid w:val="56383BFF"/>
    <w:rsid w:val="56472142"/>
    <w:rsid w:val="566FF3A5"/>
    <w:rsid w:val="57B26F06"/>
    <w:rsid w:val="57DAE6E1"/>
    <w:rsid w:val="589F0489"/>
    <w:rsid w:val="58B219EE"/>
    <w:rsid w:val="5A558E99"/>
    <w:rsid w:val="5A9351BD"/>
    <w:rsid w:val="5AF4669B"/>
    <w:rsid w:val="5B481C6C"/>
    <w:rsid w:val="5BDF3378"/>
    <w:rsid w:val="5C1E3DBB"/>
    <w:rsid w:val="5CFEE2CC"/>
    <w:rsid w:val="5D364E9B"/>
    <w:rsid w:val="5D7F1DB6"/>
    <w:rsid w:val="5DA87DE0"/>
    <w:rsid w:val="5DDD7023"/>
    <w:rsid w:val="5E347C2E"/>
    <w:rsid w:val="5E6F4FC0"/>
    <w:rsid w:val="5F3F6522"/>
    <w:rsid w:val="5F665FB3"/>
    <w:rsid w:val="60C748E8"/>
    <w:rsid w:val="61077514"/>
    <w:rsid w:val="62AC5700"/>
    <w:rsid w:val="63310E8E"/>
    <w:rsid w:val="638135AD"/>
    <w:rsid w:val="642152E2"/>
    <w:rsid w:val="65077AE2"/>
    <w:rsid w:val="6519292C"/>
    <w:rsid w:val="65CD7363"/>
    <w:rsid w:val="65F7167C"/>
    <w:rsid w:val="661324D4"/>
    <w:rsid w:val="67FC8C85"/>
    <w:rsid w:val="683D381B"/>
    <w:rsid w:val="68740DAE"/>
    <w:rsid w:val="69B5403F"/>
    <w:rsid w:val="6AEF1016"/>
    <w:rsid w:val="6B837D2E"/>
    <w:rsid w:val="6BBFC6AF"/>
    <w:rsid w:val="6BEFF7E4"/>
    <w:rsid w:val="6C14445E"/>
    <w:rsid w:val="6FBC5815"/>
    <w:rsid w:val="70DF417C"/>
    <w:rsid w:val="71D02A6C"/>
    <w:rsid w:val="729E74BD"/>
    <w:rsid w:val="72BF702F"/>
    <w:rsid w:val="76FBAFF1"/>
    <w:rsid w:val="7727611B"/>
    <w:rsid w:val="776E0A3D"/>
    <w:rsid w:val="77BA09E4"/>
    <w:rsid w:val="77C33BE9"/>
    <w:rsid w:val="77FE5760"/>
    <w:rsid w:val="77FF1645"/>
    <w:rsid w:val="78890AD8"/>
    <w:rsid w:val="78964FAD"/>
    <w:rsid w:val="78A32825"/>
    <w:rsid w:val="794376B8"/>
    <w:rsid w:val="79D97847"/>
    <w:rsid w:val="7AC758F2"/>
    <w:rsid w:val="7B34AC69"/>
    <w:rsid w:val="7B842D8B"/>
    <w:rsid w:val="7BA805C5"/>
    <w:rsid w:val="7BE875EF"/>
    <w:rsid w:val="7BFDEE39"/>
    <w:rsid w:val="7BFF9D14"/>
    <w:rsid w:val="7C091F3A"/>
    <w:rsid w:val="7C1B1B35"/>
    <w:rsid w:val="7D77A84C"/>
    <w:rsid w:val="7E1A042F"/>
    <w:rsid w:val="7EB7B118"/>
    <w:rsid w:val="7F150E44"/>
    <w:rsid w:val="7F4DBC21"/>
    <w:rsid w:val="7F5411F3"/>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9"/>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8"/>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4"/>
    <w:qFormat/>
    <w:uiPriority w:val="9"/>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9"/>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8"/>
    <w:qFormat/>
    <w:uiPriority w:val="9"/>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9"/>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4"/>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23"/>
    <w:qFormat/>
    <w:uiPriority w:val="0"/>
    <w:pPr>
      <w:adjustRightInd/>
      <w:spacing w:after="120" w:line="240" w:lineRule="auto"/>
      <w:ind w:left="420" w:leftChars="200" w:firstLine="210"/>
    </w:pPr>
    <w:rPr>
      <w:sz w:val="21"/>
    </w:rPr>
  </w:style>
  <w:style w:type="paragraph" w:styleId="3">
    <w:name w:val="Body Text Indent"/>
    <w:basedOn w:val="1"/>
    <w:next w:val="2"/>
    <w:link w:val="266"/>
    <w:qFormat/>
    <w:uiPriority w:val="0"/>
    <w:pPr>
      <w:spacing w:line="480" w:lineRule="exact"/>
      <w:ind w:firstLine="480" w:firstLineChars="200"/>
    </w:pPr>
    <w:rPr>
      <w:rFonts w:ascii="宋体" w:hAnsi="宋体"/>
      <w:sz w:val="24"/>
    </w:rPr>
  </w:style>
  <w:style w:type="paragraph" w:styleId="4">
    <w:name w:val="Body Text"/>
    <w:basedOn w:val="1"/>
    <w:next w:val="5"/>
    <w:link w:val="431"/>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31"/>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4"/>
    <w:qFormat/>
    <w:uiPriority w:val="0"/>
    <w:pPr>
      <w:shd w:val="clear" w:color="auto" w:fill="000080"/>
    </w:pPr>
  </w:style>
  <w:style w:type="paragraph" w:styleId="23">
    <w:name w:val="annotation text"/>
    <w:basedOn w:val="1"/>
    <w:link w:val="345"/>
    <w:qFormat/>
    <w:uiPriority w:val="99"/>
    <w:pPr>
      <w:jc w:val="left"/>
    </w:pPr>
  </w:style>
  <w:style w:type="paragraph" w:styleId="24">
    <w:name w:val="Salutation"/>
    <w:basedOn w:val="1"/>
    <w:next w:val="1"/>
    <w:link w:val="299"/>
    <w:qFormat/>
    <w:uiPriority w:val="0"/>
    <w:rPr>
      <w:rFonts w:ascii="仿宋_GB2312" w:eastAsia="仿宋_GB2312"/>
      <w:sz w:val="28"/>
      <w:szCs w:val="20"/>
    </w:rPr>
  </w:style>
  <w:style w:type="paragraph" w:styleId="25">
    <w:name w:val="Body Text 3"/>
    <w:basedOn w:val="1"/>
    <w:link w:val="331"/>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3"/>
    <w:qFormat/>
    <w:uiPriority w:val="0"/>
    <w:pPr>
      <w:ind w:left="100" w:leftChars="2500"/>
    </w:pPr>
    <w:rPr>
      <w:rFonts w:ascii="宋体"/>
      <w:sz w:val="24"/>
      <w:szCs w:val="21"/>
      <w:lang w:val="zh-CN"/>
    </w:rPr>
  </w:style>
  <w:style w:type="paragraph" w:styleId="38">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90"/>
    <w:qFormat/>
    <w:uiPriority w:val="0"/>
    <w:rPr>
      <w:sz w:val="18"/>
      <w:szCs w:val="18"/>
    </w:rPr>
  </w:style>
  <w:style w:type="paragraph" w:styleId="41">
    <w:name w:val="footer"/>
    <w:basedOn w:val="1"/>
    <w:link w:val="384"/>
    <w:qFormat/>
    <w:uiPriority w:val="99"/>
    <w:pPr>
      <w:tabs>
        <w:tab w:val="center" w:pos="4153"/>
        <w:tab w:val="right" w:pos="8306"/>
      </w:tabs>
      <w:snapToGrid w:val="0"/>
      <w:jc w:val="left"/>
    </w:pPr>
    <w:rPr>
      <w:sz w:val="18"/>
      <w:szCs w:val="18"/>
    </w:rPr>
  </w:style>
  <w:style w:type="paragraph" w:styleId="42">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5"/>
    <w:qFormat/>
    <w:uiPriority w:val="11"/>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11"/>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6"/>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3"/>
    <w:qFormat/>
    <w:uiPriority w:val="0"/>
    <w:pPr>
      <w:spacing w:after="120" w:line="480" w:lineRule="auto"/>
    </w:pPr>
  </w:style>
  <w:style w:type="paragraph" w:styleId="58">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8"/>
    <w:qFormat/>
    <w:uiPriority w:val="0"/>
    <w:rPr>
      <w:b/>
      <w:bCs/>
    </w:rPr>
  </w:style>
  <w:style w:type="paragraph" w:styleId="62">
    <w:name w:val="Body Text First Indent"/>
    <w:basedOn w:val="4"/>
    <w:next w:val="1"/>
    <w:link w:val="322"/>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1"/>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1"/>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字符"/>
    <w:link w:val="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8"/>
    <w:qFormat/>
    <w:uiPriority w:val="11"/>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字符"/>
    <w:link w:val="12"/>
    <w:qFormat/>
    <w:uiPriority w:val="9"/>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9"/>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7"/>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7"/>
    <w:qFormat/>
    <w:uiPriority w:val="0"/>
    <w:rPr>
      <w:rFonts w:ascii="宋体"/>
      <w:kern w:val="2"/>
      <w:sz w:val="24"/>
      <w:szCs w:val="21"/>
      <w:lang w:val="zh-CN"/>
    </w:rPr>
  </w:style>
  <w:style w:type="character" w:customStyle="1" w:styleId="184">
    <w:name w:val="标题 9 字符"/>
    <w:link w:val="15"/>
    <w:qFormat/>
    <w:uiPriority w:val="9"/>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字符1"/>
    <w:link w:val="40"/>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9"/>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22"/>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10"/>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20"/>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3"/>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6"/>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11"/>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4"/>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8"/>
    <w:qFormat/>
    <w:uiPriority w:val="0"/>
    <w:rPr>
      <w:rFonts w:ascii="黑体" w:hAnsi="Courier New" w:eastAsia="黑体"/>
    </w:rPr>
  </w:style>
  <w:style w:type="character" w:customStyle="1" w:styleId="303">
    <w:name w:val="正文文本 2 字符1"/>
    <w:link w:val="57"/>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10"/>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13"/>
    <w:qFormat/>
    <w:uiPriority w:val="9"/>
    <w:rPr>
      <w:b/>
      <w:bCs/>
      <w:kern w:val="2"/>
      <w:sz w:val="24"/>
      <w:szCs w:val="24"/>
    </w:rPr>
  </w:style>
  <w:style w:type="character" w:customStyle="1" w:styleId="309">
    <w:name w:val="正文文本缩进 2 字符"/>
    <w:link w:val="38"/>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1"/>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字符"/>
    <w:link w:val="6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10"/>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5"/>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3"/>
    <w:qFormat/>
    <w:uiPriority w:val="99"/>
    <w:rPr>
      <w:kern w:val="2"/>
      <w:sz w:val="21"/>
      <w:szCs w:val="24"/>
    </w:rPr>
  </w:style>
  <w:style w:type="character" w:customStyle="1" w:styleId="346">
    <w:name w:val="签名 字符"/>
    <w:link w:val="43"/>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4"/>
    <w:qFormat/>
    <w:uiPriority w:val="9"/>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4"/>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41"/>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2"/>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99"/>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9"/>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4"/>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10"/>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7"/>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7"/>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8"/>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11"/>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8"/>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10"/>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6"/>
    <w:qFormat/>
    <w:uiPriority w:val="0"/>
    <w:pPr>
      <w:tabs>
        <w:tab w:val="left" w:pos="840"/>
      </w:tabs>
      <w:adjustRightInd/>
      <w:ind w:left="840" w:hanging="420"/>
    </w:pPr>
  </w:style>
  <w:style w:type="paragraph" w:customStyle="1" w:styleId="627">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10"/>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8"/>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2"/>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1"/>
    <w:next w:val="1"/>
    <w:qFormat/>
    <w:uiPriority w:val="0"/>
    <w:pPr>
      <w:tabs>
        <w:tab w:val="left" w:pos="1080"/>
      </w:tabs>
      <w:ind w:left="1080" w:hanging="1080"/>
    </w:pPr>
  </w:style>
  <w:style w:type="paragraph" w:customStyle="1" w:styleId="897">
    <w:name w:val="数字标题1"/>
    <w:basedOn w:val="6"/>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9"/>
    <w:qFormat/>
    <w:uiPriority w:val="0"/>
    <w:rPr>
      <w:kern w:val="2"/>
      <w:sz w:val="21"/>
      <w:szCs w:val="24"/>
      <w:lang w:val="zh-CN"/>
    </w:rPr>
  </w:style>
  <w:style w:type="character" w:customStyle="1" w:styleId="933">
    <w:name w:val="无间隔 Char"/>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正文表格"/>
    <w:basedOn w:val="1"/>
    <w:qFormat/>
    <w:uiPriority w:val="0"/>
  </w:style>
  <w:style w:type="paragraph" w:customStyle="1" w:styleId="966">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7">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968">
    <w:name w:val="修订7"/>
    <w:hidden/>
    <w:unhideWhenUsed/>
    <w:qFormat/>
    <w:uiPriority w:val="99"/>
    <w:rPr>
      <w:rFonts w:ascii="Times New Roman" w:hAnsi="Times New Roman" w:eastAsia="宋体" w:cs="Times New Roman"/>
      <w:kern w:val="2"/>
      <w:sz w:val="21"/>
      <w:szCs w:val="24"/>
      <w:lang w:val="en-US" w:eastAsia="zh-CN" w:bidi="ar-SA"/>
    </w:rPr>
  </w:style>
  <w:style w:type="table" w:customStyle="1" w:styleId="969">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styleId="970">
    <w:name w:val="Quote"/>
    <w:basedOn w:val="1"/>
    <w:next w:val="1"/>
    <w:link w:val="971"/>
    <w:qFormat/>
    <w:uiPriority w:val="29"/>
    <w:pPr>
      <w:adjustRightInd/>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971">
    <w:name w:val="引用 字符"/>
    <w:basedOn w:val="70"/>
    <w:link w:val="970"/>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paragraph" w:styleId="972">
    <w:name w:val="List Paragraph"/>
    <w:basedOn w:val="1"/>
    <w:qFormat/>
    <w:uiPriority w:val="34"/>
    <w:pPr>
      <w:adjustRightInd/>
      <w:ind w:left="720"/>
      <w:contextualSpacing/>
    </w:pPr>
  </w:style>
  <w:style w:type="character" w:customStyle="1" w:styleId="973">
    <w:name w:val="明显强调1"/>
    <w:basedOn w:val="70"/>
    <w:qFormat/>
    <w:uiPriority w:val="21"/>
    <w:rPr>
      <w:i/>
      <w:iCs/>
      <w:color w:val="376092" w:themeColor="accent1" w:themeShade="BF"/>
    </w:rPr>
  </w:style>
  <w:style w:type="paragraph" w:styleId="974">
    <w:name w:val="Intense Quote"/>
    <w:basedOn w:val="1"/>
    <w:next w:val="1"/>
    <w:link w:val="975"/>
    <w:qFormat/>
    <w:uiPriority w:val="30"/>
    <w:pPr>
      <w:pBdr>
        <w:top w:val="single" w:color="366091" w:themeColor="accent1" w:themeShade="BF" w:sz="4" w:space="10"/>
        <w:bottom w:val="single" w:color="366091" w:themeColor="accent1" w:themeShade="BF" w:sz="4" w:space="10"/>
      </w:pBdr>
      <w:adjustRightInd/>
      <w:spacing w:before="360" w:after="360"/>
      <w:ind w:left="864" w:right="864"/>
      <w:jc w:val="center"/>
    </w:pPr>
    <w:rPr>
      <w:i/>
      <w:iCs/>
      <w:color w:val="376092" w:themeColor="accent1" w:themeShade="BF"/>
    </w:rPr>
  </w:style>
  <w:style w:type="character" w:customStyle="1" w:styleId="975">
    <w:name w:val="明显引用 字符"/>
    <w:basedOn w:val="70"/>
    <w:link w:val="974"/>
    <w:qFormat/>
    <w:uiPriority w:val="30"/>
    <w:rPr>
      <w:i/>
      <w:iCs/>
      <w:color w:val="376092" w:themeColor="accent1" w:themeShade="BF"/>
      <w:kern w:val="2"/>
      <w:sz w:val="21"/>
      <w:szCs w:val="24"/>
    </w:rPr>
  </w:style>
  <w:style w:type="character" w:customStyle="1" w:styleId="976">
    <w:name w:val="明显参考1"/>
    <w:basedOn w:val="70"/>
    <w:qFormat/>
    <w:uiPriority w:val="32"/>
    <w:rPr>
      <w:b/>
      <w:bCs/>
      <w:smallCaps/>
      <w:color w:val="37609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143</Pages>
  <Words>16269</Words>
  <Characters>17379</Characters>
  <Lines>657</Lines>
  <Paragraphs>185</Paragraphs>
  <TotalTime>11</TotalTime>
  <ScaleCrop>false</ScaleCrop>
  <LinksUpToDate>false</LinksUpToDate>
  <CharactersWithSpaces>17728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2025-06-11T08:21:00Z</dcterms:created>
  <dc:creator>玥</dc:creator>
  <cp:lastModifiedBy>admin</cp:lastModifiedBy>
  <cp:lastPrinted>2025-06-20T01:43:00Z</cp:lastPrinted>
  <dcterms:modified xsi:type="dcterms:W3CDTF">2025-06-25T06:18:48Z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B0F31B44152C4FF7A692F89AFFF3B4E7_13</vt:lpwstr>
  </property>
  <property fmtid="{D5CDD505-2E9C-101B-9397-08002B2CF9AE}" pid="5" name="KSOTemplateDocerSaveRecord">
    <vt:lpwstr>eyJoZGlkIjoiOTYyNjVmOTJlMWM3ODYyYjMwMzNlZDlhZGRjODY5NWUiLCJ1c2VySWQiOiI2ODE5OTgwMTAifQ==</vt:lpwstr>
  </property>
</Properties>
</file>