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52"/>
          <w:szCs w:val="52"/>
          <w:lang w:eastAsia="zh-CN"/>
        </w:rPr>
      </w:pPr>
      <w:r>
        <w:rPr>
          <w:rFonts w:hint="eastAsia" w:ascii="仿宋" w:hAnsi="仿宋" w:eastAsia="仿宋" w:cs="仿宋"/>
          <w:b/>
          <w:sz w:val="52"/>
          <w:szCs w:val="52"/>
          <w:lang w:eastAsia="zh-CN"/>
        </w:rPr>
        <w:t>绍兴市公安局柯桥区分局交通警察大队2025年度食堂托管服务采购</w:t>
      </w:r>
    </w:p>
    <w:p>
      <w:pPr>
        <w:jc w:val="center"/>
        <w:outlineLvl w:val="0"/>
        <w:rPr>
          <w:rFonts w:hint="eastAsia" w:ascii="仿宋" w:hAnsi="仿宋" w:eastAsia="仿宋" w:cs="仿宋"/>
          <w:b/>
          <w:sz w:val="52"/>
          <w:szCs w:val="52"/>
          <w:lang w:eastAsia="zh-CN"/>
        </w:rPr>
      </w:pPr>
      <w:r>
        <w:rPr>
          <w:rFonts w:hint="eastAsia" w:ascii="仿宋" w:hAnsi="仿宋" w:eastAsia="仿宋" w:cs="仿宋"/>
          <w:b/>
          <w:sz w:val="52"/>
          <w:szCs w:val="52"/>
          <w:lang w:eastAsia="zh-CN"/>
        </w:rPr>
        <w:t>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val="0"/>
          <w:bCs/>
          <w:sz w:val="28"/>
          <w:szCs w:val="28"/>
          <w:lang w:eastAsia="zh-CN"/>
        </w:rPr>
      </w:pPr>
      <w:r>
        <w:rPr>
          <w:rFonts w:hint="eastAsia" w:ascii="仿宋" w:hAnsi="仿宋" w:eastAsia="仿宋" w:cs="仿宋"/>
          <w:b/>
          <w:sz w:val="28"/>
          <w:szCs w:val="28"/>
        </w:rPr>
        <w:t>招标编号:</w:t>
      </w:r>
      <w:r>
        <w:rPr>
          <w:rFonts w:hint="eastAsia" w:ascii="仿宋" w:hAnsi="仿宋" w:eastAsia="仿宋" w:cs="仿宋"/>
          <w:b w:val="0"/>
          <w:bCs/>
          <w:sz w:val="28"/>
          <w:szCs w:val="28"/>
          <w:lang w:eastAsia="zh-CN"/>
        </w:rPr>
        <w:t>临[2025]2248号</w:t>
      </w:r>
    </w:p>
    <w:tbl>
      <w:tblPr>
        <w:tblStyle w:val="62"/>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绍兴市公安局柯桥区分局交通警察大队</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0"/>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浙江越锋项目管理有限公司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绍兴市柯桥区财政局</w:t>
            </w:r>
          </w:p>
        </w:tc>
      </w:tr>
      <w:tr>
        <w:tblPrEx>
          <w:tblLayout w:type="fixed"/>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七</w:t>
            </w:r>
            <w:r>
              <w:rPr>
                <w:rFonts w:hint="eastAsia" w:ascii="仿宋" w:hAnsi="仿宋" w:eastAsia="仿宋" w:cs="仿宋"/>
                <w:sz w:val="28"/>
                <w:szCs w:val="28"/>
                <w:highlight w:val="none"/>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sz w:val="24"/>
          <w:szCs w:val="28"/>
          <w:u w:val="single"/>
          <w:lang w:eastAsia="zh-CN"/>
        </w:rPr>
        <w:t>绍兴市公安局柯桥区分局交通警察大队2025年度食堂托管服务采购项目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4</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15</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临[2025]2248号</w:t>
      </w:r>
    </w:p>
    <w:p>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sz w:val="24"/>
          <w:szCs w:val="28"/>
          <w:highlight w:val="none"/>
          <w:u w:val="single"/>
        </w:rPr>
      </w:pPr>
      <w:r>
        <w:rPr>
          <w:rFonts w:hint="eastAsia" w:ascii="仿宋" w:hAnsi="仿宋" w:eastAsia="仿宋" w:cs="仿宋"/>
          <w:b/>
          <w:color w:val="auto"/>
          <w:sz w:val="24"/>
          <w:highlight w:val="none"/>
        </w:rPr>
        <w:t>项目名称：</w:t>
      </w:r>
      <w:r>
        <w:rPr>
          <w:rFonts w:hint="eastAsia" w:ascii="仿宋" w:hAnsi="仿宋" w:eastAsia="仿宋"/>
          <w:sz w:val="24"/>
          <w:szCs w:val="28"/>
          <w:highlight w:val="none"/>
          <w:u w:val="single"/>
          <w:lang w:eastAsia="zh-CN"/>
        </w:rPr>
        <w:t>绍兴市公安局柯桥区分局交通警察大队2025年度食堂托管服务采购项目</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1520000</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1467960</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sz w:val="24"/>
          <w:szCs w:val="28"/>
          <w:highlight w:val="none"/>
          <w:u w:val="single"/>
        </w:rPr>
      </w:pPr>
      <w:r>
        <w:rPr>
          <w:rFonts w:hint="eastAsia" w:ascii="仿宋" w:hAnsi="仿宋" w:eastAsia="仿宋" w:cs="仿宋"/>
          <w:bCs/>
          <w:color w:val="auto"/>
          <w:sz w:val="24"/>
          <w:highlight w:val="none"/>
          <w:lang w:val="en-US" w:eastAsia="zh-CN"/>
        </w:rPr>
        <w:t>标项名称：</w:t>
      </w:r>
      <w:r>
        <w:rPr>
          <w:rFonts w:hint="eastAsia" w:ascii="仿宋" w:hAnsi="仿宋" w:eastAsia="仿宋"/>
          <w:sz w:val="24"/>
          <w:szCs w:val="28"/>
          <w:highlight w:val="none"/>
          <w:u w:val="single"/>
          <w:lang w:eastAsia="zh-CN"/>
        </w:rPr>
        <w:t>绍兴市公安局柯桥区分局交通警察大队2025年度食堂托管服务采购项目</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color w:val="auto"/>
          <w:sz w:val="24"/>
          <w:highlight w:val="none"/>
          <w:lang w:val="en-US" w:eastAsia="zh-CN"/>
        </w:rPr>
        <w:t>1520000</w:t>
      </w:r>
    </w:p>
    <w:p>
      <w:pPr>
        <w:pageBreakBefore w:val="0"/>
        <w:kinsoku/>
        <w:wordWrap/>
        <w:overflowPunct/>
        <w:topLinePunct w:val="0"/>
        <w:autoSpaceDE/>
        <w:autoSpaceDN/>
        <w:bidi w:val="0"/>
        <w:spacing w:line="400" w:lineRule="exact"/>
        <w:ind w:left="420" w:leftChars="200"/>
        <w:jc w:val="left"/>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olor w:val="auto"/>
          <w:sz w:val="24"/>
          <w:szCs w:val="28"/>
          <w:highlight w:val="none"/>
          <w:u w:val="single"/>
          <w:lang w:eastAsia="zh-CN"/>
        </w:rPr>
        <w:t>绍兴市公安局柯桥区分局交通警察大队2025年度食堂托管服务采购项目</w:t>
      </w:r>
      <w:r>
        <w:rPr>
          <w:rFonts w:hint="eastAsia" w:ascii="仿宋" w:hAnsi="仿宋" w:eastAsia="仿宋"/>
          <w:color w:val="auto"/>
          <w:sz w:val="24"/>
          <w:szCs w:val="28"/>
          <w:highlight w:val="none"/>
          <w:u w:val="single"/>
        </w:rPr>
        <w:t>，具体人员配置及就餐人数等，</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4</w:t>
      </w:r>
      <w:r>
        <w:rPr>
          <w:rStyle w:val="76"/>
          <w:rFonts w:hint="eastAsia" w:ascii="仿宋" w:hAnsi="仿宋" w:eastAsia="仿宋" w:cs="仿宋"/>
          <w:snapToGrid/>
          <w:color w:val="auto"/>
          <w:kern w:val="2"/>
          <w:sz w:val="24"/>
          <w:szCs w:val="24"/>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4</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15</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u w:val="single"/>
        </w:rPr>
        <w:t>202</w:t>
      </w:r>
      <w:r>
        <w:rPr>
          <w:rStyle w:val="76"/>
          <w:rFonts w:hint="eastAsia" w:ascii="仿宋" w:hAnsi="仿宋" w:eastAsia="仿宋" w:cs="仿宋"/>
          <w:snapToGrid/>
          <w:color w:val="auto"/>
          <w:kern w:val="2"/>
          <w:sz w:val="24"/>
          <w:szCs w:val="24"/>
          <w:u w:val="single"/>
          <w:lang w:val="en-US" w:eastAsia="zh-CN"/>
        </w:rPr>
        <w:t>5</w:t>
      </w:r>
      <w:r>
        <w:rPr>
          <w:rStyle w:val="76"/>
          <w:rFonts w:hint="eastAsia" w:ascii="仿宋" w:hAnsi="仿宋" w:eastAsia="仿宋" w:cs="仿宋"/>
          <w:snapToGrid/>
          <w:color w:val="auto"/>
          <w:kern w:val="2"/>
          <w:sz w:val="24"/>
          <w:szCs w:val="24"/>
          <w:u w:val="single"/>
        </w:rPr>
        <w:t>年</w:t>
      </w:r>
      <w:r>
        <w:rPr>
          <w:rStyle w:val="76"/>
          <w:rFonts w:hint="eastAsia" w:ascii="仿宋" w:hAnsi="仿宋" w:eastAsia="仿宋" w:cs="仿宋"/>
          <w:snapToGrid/>
          <w:color w:val="auto"/>
          <w:kern w:val="2"/>
          <w:sz w:val="24"/>
          <w:szCs w:val="24"/>
          <w:u w:val="single"/>
          <w:lang w:val="en-US" w:eastAsia="zh-CN"/>
        </w:rPr>
        <w:t>8</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4</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15</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pPr>
        <w:pageBreakBefore w:val="0"/>
        <w:widowControl/>
        <w:kinsoku/>
        <w:wordWrap/>
        <w:overflowPunct/>
        <w:topLinePunct w:val="0"/>
        <w:autoSpaceDE/>
        <w:autoSpaceDN/>
        <w:bidi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绍兴市公安局柯桥区分局</w:t>
      </w:r>
      <w:r>
        <w:rPr>
          <w:rFonts w:hint="eastAsia" w:ascii="仿宋" w:hAnsi="仿宋" w:eastAsia="仿宋"/>
          <w:color w:val="auto"/>
          <w:sz w:val="24"/>
          <w:szCs w:val="28"/>
          <w:highlight w:val="none"/>
          <w:lang w:val="en-US" w:eastAsia="zh-CN"/>
        </w:rPr>
        <w:t>西楼104会议室</w:t>
      </w:r>
      <w:r>
        <w:rPr>
          <w:rFonts w:hint="eastAsia" w:ascii="仿宋" w:hAnsi="仿宋" w:eastAsia="仿宋" w:cs="宋体"/>
          <w:color w:val="auto"/>
          <w:sz w:val="24"/>
          <w:szCs w:val="28"/>
          <w:highlight w:val="none"/>
        </w:rPr>
        <w:t>（</w:t>
      </w:r>
      <w:r>
        <w:rPr>
          <w:rFonts w:hint="eastAsia" w:ascii="仿宋" w:hAnsi="仿宋" w:eastAsia="仿宋" w:cs="宋体"/>
          <w:color w:val="auto"/>
          <w:sz w:val="24"/>
          <w:szCs w:val="28"/>
          <w:highlight w:val="none"/>
          <w:lang w:val="en-US" w:eastAsia="zh-CN"/>
        </w:rPr>
        <w:t>绍兴市柯桥区鉴湖路129号</w:t>
      </w:r>
      <w:r>
        <w:rPr>
          <w:rFonts w:hint="eastAsia" w:ascii="仿宋" w:hAnsi="仿宋" w:eastAsia="仿宋" w:cs="宋体"/>
          <w:color w:val="auto"/>
          <w:sz w:val="24"/>
          <w:szCs w:val="28"/>
          <w:highlight w:val="none"/>
        </w:rPr>
        <w:t>）通过</w:t>
      </w:r>
      <w:r>
        <w:rPr>
          <w:rFonts w:ascii="仿宋" w:hAnsi="仿宋" w:eastAsia="仿宋" w:cs="宋体"/>
          <w:color w:val="auto"/>
          <w:sz w:val="24"/>
          <w:szCs w:val="28"/>
          <w:highlight w:val="none"/>
        </w:rPr>
        <w:t>政府采购云平台（https://www.zcygov.cn）在线开标</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pPr>
        <w:pageBreakBefore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spacing w:line="400" w:lineRule="exact"/>
        <w:jc w:val="left"/>
        <w:textAlignment w:val="auto"/>
        <w:rPr>
          <w:rFonts w:hint="eastAsia" w:ascii="仿宋" w:hAnsi="仿宋" w:eastAsia="仿宋" w:cs="宋体"/>
          <w:color w:val="auto"/>
          <w:sz w:val="24"/>
          <w:szCs w:val="28"/>
          <w:highlight w:val="none"/>
          <w:lang w:eastAsia="zh-CN"/>
        </w:rPr>
      </w:pPr>
      <w:bookmarkStart w:id="9" w:name="_Toc35393807"/>
      <w:bookmarkStart w:id="10" w:name="_Toc28359097"/>
      <w:bookmarkStart w:id="11" w:name="_Toc35393638"/>
      <w:bookmarkStart w:id="12" w:name="_Toc28359020"/>
      <w:r>
        <w:rPr>
          <w:rFonts w:hint="eastAsia" w:ascii="宋体" w:hAnsi="宋体" w:cs="宋体"/>
          <w:color w:val="auto"/>
          <w:sz w:val="24"/>
          <w:szCs w:val="28"/>
          <w:highlight w:val="none"/>
        </w:rPr>
        <w:t xml:space="preserve"> </w:t>
      </w:r>
      <w:r>
        <w:rPr>
          <w:rFonts w:hint="eastAsia" w:ascii="宋体" w:hAnsi="宋体" w:cs="宋体"/>
          <w:color w:val="auto"/>
          <w:sz w:val="24"/>
          <w:szCs w:val="28"/>
          <w:highlight w:val="none"/>
          <w:lang w:val="en-US" w:eastAsia="zh-CN"/>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绍兴市公安局柯桥区分局交通警察大队</w:t>
      </w:r>
    </w:p>
    <w:p>
      <w:pPr>
        <w:pageBreakBefore w:val="0"/>
        <w:widowControl/>
        <w:kinsoku/>
        <w:wordWrap/>
        <w:overflowPunct/>
        <w:topLinePunct w:val="0"/>
        <w:autoSpaceDE/>
        <w:autoSpaceDN/>
        <w:bidi w:val="0"/>
        <w:spacing w:line="400" w:lineRule="exact"/>
        <w:jc w:val="left"/>
        <w:textAlignment w:val="auto"/>
        <w:rPr>
          <w:rFonts w:ascii="仿宋" w:hAnsi="仿宋" w:eastAsia="仿宋" w:cs="宋体"/>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绍兴市柯桥区笛扬路与人利路交汇处</w:t>
      </w:r>
    </w:p>
    <w:p>
      <w:pPr>
        <w:pageBreakBefore w:val="0"/>
        <w:widowControl/>
        <w:kinsoku/>
        <w:wordWrap/>
        <w:overflowPunct/>
        <w:topLinePunct w:val="0"/>
        <w:autoSpaceDE/>
        <w:autoSpaceDN/>
        <w:bidi w:val="0"/>
        <w:spacing w:line="400" w:lineRule="exact"/>
        <w:jc w:val="left"/>
        <w:textAlignment w:val="auto"/>
        <w:rPr>
          <w:rFonts w:hint="eastAsia" w:ascii="仿宋" w:hAnsi="仿宋" w:eastAsia="仿宋"/>
          <w:color w:val="auto"/>
          <w:sz w:val="24"/>
          <w:szCs w:val="28"/>
          <w:highlight w:val="none"/>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宋体" w:hAnsi="宋体"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pPr>
        <w:pageBreakBefore w:val="0"/>
        <w:widowControl/>
        <w:kinsoku/>
        <w:wordWrap/>
        <w:overflowPunct/>
        <w:topLinePunct w:val="0"/>
        <w:autoSpaceDE/>
        <w:autoSpaceDN/>
        <w:bidi w:val="0"/>
        <w:spacing w:line="400" w:lineRule="exact"/>
        <w:ind w:firstLine="480" w:firstLineChars="200"/>
        <w:jc w:val="left"/>
        <w:textAlignment w:val="auto"/>
        <w:rPr>
          <w:rFonts w:hint="default" w:ascii="仿宋" w:hAnsi="仿宋" w:eastAsia="仿宋" w:cs="宋体"/>
          <w:color w:val="auto"/>
          <w:sz w:val="24"/>
          <w:szCs w:val="28"/>
          <w:highlight w:val="none"/>
          <w:lang w:val="en-US"/>
        </w:rPr>
      </w:pPr>
      <w:r>
        <w:rPr>
          <w:rFonts w:hint="eastAsia"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rPr>
        <w:t>钱建强</w:t>
      </w:r>
      <w:r>
        <w:rPr>
          <w:rFonts w:hint="eastAsia" w:ascii="仿宋" w:hAnsi="仿宋" w:eastAsia="仿宋" w:cs="宋体"/>
          <w:color w:val="auto"/>
          <w:sz w:val="24"/>
          <w:szCs w:val="28"/>
          <w:highlight w:val="none"/>
          <w:lang w:val="en-US" w:eastAsia="zh-CN"/>
        </w:rPr>
        <w:t xml:space="preserve">   </w:t>
      </w:r>
    </w:p>
    <w:p>
      <w:pPr>
        <w:pageBreakBefore w:val="0"/>
        <w:widowControl/>
        <w:kinsoku/>
        <w:wordWrap/>
        <w:overflowPunct/>
        <w:topLinePunct w:val="0"/>
        <w:autoSpaceDE/>
        <w:autoSpaceDN/>
        <w:bidi w:val="0"/>
        <w:spacing w:line="400" w:lineRule="exact"/>
        <w:ind w:firstLine="480" w:firstLineChars="200"/>
        <w:jc w:val="left"/>
        <w:textAlignment w:val="auto"/>
        <w:rPr>
          <w:rFonts w:hint="default" w:ascii="仿宋" w:hAnsi="仿宋" w:eastAsia="仿宋" w:cs="宋体"/>
          <w:color w:val="auto"/>
          <w:sz w:val="24"/>
          <w:szCs w:val="28"/>
          <w:highlight w:val="none"/>
          <w:lang w:val="en-US" w:eastAsia="zh-CN"/>
        </w:rPr>
      </w:pPr>
      <w:r>
        <w:rPr>
          <w:rFonts w:hint="eastAsia" w:ascii="仿宋" w:hAnsi="仿宋" w:eastAsia="仿宋" w:cs="宋体"/>
          <w:color w:val="auto"/>
          <w:sz w:val="24"/>
          <w:szCs w:val="28"/>
          <w:highlight w:val="none"/>
        </w:rPr>
        <w:t>项目联系方式（询问）：</w:t>
      </w:r>
      <w:r>
        <w:rPr>
          <w:rFonts w:hint="eastAsia" w:ascii="仿宋" w:hAnsi="仿宋" w:eastAsia="仿宋"/>
          <w:color w:val="auto"/>
          <w:sz w:val="24"/>
          <w:szCs w:val="28"/>
          <w:highlight w:val="none"/>
        </w:rPr>
        <w:t>0575-89990216</w:t>
      </w:r>
      <w:r>
        <w:rPr>
          <w:rFonts w:hint="eastAsia" w:ascii="仿宋" w:hAnsi="仿宋" w:eastAsia="仿宋"/>
          <w:color w:val="auto"/>
          <w:sz w:val="24"/>
          <w:szCs w:val="28"/>
          <w:highlight w:val="none"/>
          <w:lang w:val="en-US" w:eastAsia="zh-CN"/>
        </w:rPr>
        <w:t xml:space="preserve">  </w:t>
      </w:r>
    </w:p>
    <w:p>
      <w:pPr>
        <w:pageBreakBefore w:val="0"/>
        <w:widowControl/>
        <w:kinsoku/>
        <w:wordWrap/>
        <w:overflowPunct/>
        <w:topLinePunct w:val="0"/>
        <w:autoSpaceDE/>
        <w:autoSpaceDN/>
        <w:bidi w:val="0"/>
        <w:spacing w:line="400" w:lineRule="exact"/>
        <w:ind w:firstLine="480" w:firstLineChars="200"/>
        <w:jc w:val="left"/>
        <w:textAlignment w:val="auto"/>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lang w:val="en-US" w:eastAsia="zh-CN"/>
        </w:rPr>
        <w:t>叶江</w:t>
      </w:r>
    </w:p>
    <w:p>
      <w:pPr>
        <w:pageBreakBefore w:val="0"/>
        <w:widowControl/>
        <w:kinsoku/>
        <w:wordWrap/>
        <w:overflowPunct/>
        <w:topLinePunct w:val="0"/>
        <w:autoSpaceDE/>
        <w:autoSpaceDN/>
        <w:bidi w:val="0"/>
        <w:spacing w:line="400" w:lineRule="exact"/>
        <w:jc w:val="left"/>
        <w:textAlignment w:val="auto"/>
        <w:rPr>
          <w:rFonts w:hint="eastAsia" w:ascii="仿宋" w:hAnsi="仿宋" w:eastAsia="仿宋" w:cs="宋体"/>
          <w:color w:val="auto"/>
          <w:sz w:val="24"/>
          <w:szCs w:val="28"/>
          <w:highlight w:val="none"/>
          <w:lang w:val="en-US" w:eastAsia="zh-CN"/>
        </w:rPr>
      </w:pPr>
      <w:r>
        <w:rPr>
          <w:rFonts w:hint="eastAsia" w:ascii="宋体" w:hAnsi="宋体" w:cs="宋体"/>
          <w:color w:val="auto"/>
          <w:sz w:val="24"/>
          <w:szCs w:val="28"/>
          <w:highlight w:val="none"/>
        </w:rPr>
        <w:t> </w:t>
      </w:r>
      <w:r>
        <w:rPr>
          <w:rFonts w:hint="eastAsia" w:ascii="仿宋" w:hAnsi="仿宋" w:eastAsia="仿宋" w:cs="仿宋"/>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s="宋体"/>
          <w:color w:val="auto"/>
          <w:sz w:val="24"/>
          <w:szCs w:val="28"/>
          <w:highlight w:val="none"/>
        </w:rPr>
        <w:t>0575-</w:t>
      </w:r>
      <w:r>
        <w:rPr>
          <w:rFonts w:hint="eastAsia" w:ascii="仿宋" w:hAnsi="仿宋" w:eastAsia="仿宋" w:cs="宋体"/>
          <w:color w:val="auto"/>
          <w:sz w:val="24"/>
          <w:szCs w:val="28"/>
          <w:highlight w:val="none"/>
          <w:lang w:val="en-US" w:eastAsia="zh-CN"/>
        </w:rPr>
        <w:t>89990073</w:t>
      </w:r>
    </w:p>
    <w:p>
      <w:pPr>
        <w:pStyle w:val="3"/>
        <w:pageBreakBefore w:val="0"/>
        <w:widowControl w:val="0"/>
        <w:numPr>
          <w:ilvl w:val="0"/>
          <w:numId w:val="0"/>
        </w:numPr>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bookmarkStart w:id="13" w:name="_Toc28359098"/>
      <w:bookmarkStart w:id="14" w:name="_Toc28359021"/>
      <w:bookmarkStart w:id="15" w:name="_Toc35393808"/>
      <w:bookmarkStart w:id="16" w:name="_Toc35393639"/>
      <w:r>
        <w:rPr>
          <w:rFonts w:hint="eastAsia" w:ascii="仿宋" w:hAnsi="仿宋" w:eastAsia="仿宋" w:cs="仿宋"/>
          <w:color w:val="auto"/>
          <w:sz w:val="24"/>
          <w:highlight w:val="none"/>
        </w:rPr>
        <w:t xml:space="preserve">名    称：浙江越锋项目管理有限公司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bookmarkStart w:id="179" w:name="_GoBack"/>
      <w:bookmarkEnd w:id="179"/>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p>
    <w:p>
      <w:pPr>
        <w:pageBreakBefore w:val="0"/>
        <w:widowControl w:val="0"/>
        <w:kinsoku/>
        <w:wordWrap/>
        <w:overflowPunct/>
        <w:topLinePunct w:val="0"/>
        <w:autoSpaceDE/>
        <w:autoSpaceDN/>
        <w:bidi w:val="0"/>
        <w:snapToGrid/>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bookmarkEnd w:id="4"/>
    <w:tbl>
      <w:tblPr>
        <w:tblStyle w:val="62"/>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bookmarkStart w:id="17" w:name="_Toc164416483"/>
            <w:bookmarkStart w:id="18" w:name="第三部分"/>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kern w:val="0"/>
                <w:sz w:val="24"/>
                <w:highlight w:val="none"/>
                <w:lang w:val="zh-CN"/>
              </w:rPr>
            </w:pPr>
            <w:bookmarkStart w:id="19" w:name="OLE_LINK20"/>
            <w:r>
              <w:rPr>
                <w:rFonts w:hint="eastAsia" w:ascii="仿宋" w:hAnsi="仿宋" w:eastAsia="仿宋" w:cs="仿宋"/>
                <w:color w:val="auto"/>
                <w:sz w:val="24"/>
                <w:szCs w:val="28"/>
                <w:highlight w:val="none"/>
              </w:rPr>
              <w:t>有关本项目开展所需的人员工资、福利、工具、机械、仪器、设备、利润、税金、保险及不可预见费用等费用均计入报价。《投标（开标）一览表》是报价的唯一载体。投标文件中价格全部采用人民币报价。招标文件未列明，而投标人认为必需的费用也需列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highlight w:val="none"/>
                <w:lang w:val="en-US"/>
              </w:rPr>
            </w:pPr>
            <w:r>
              <w:rPr>
                <w:rFonts w:hint="eastAsia" w:ascii="仿宋" w:hAnsi="仿宋" w:eastAsia="仿宋" w:cs="仿宋"/>
                <w:sz w:val="24"/>
                <w:highlight w:val="none"/>
              </w:rPr>
              <w:t>（</w:t>
            </w:r>
            <w:r>
              <w:rPr>
                <w:rFonts w:hint="eastAsia" w:ascii="仿宋" w:hAnsi="仿宋" w:eastAsia="仿宋" w:cs="仿宋"/>
                <w:sz w:val="24"/>
                <w:highlight w:val="none"/>
                <w:lang w:val="en-US"/>
              </w:rPr>
              <w:t>8</w:t>
            </w:r>
            <w:r>
              <w:rPr>
                <w:rFonts w:hint="eastAsia" w:ascii="仿宋" w:hAnsi="仿宋" w:eastAsia="仿宋" w:cs="仿宋"/>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pPr>
              <w:spacing w:beforeLines="0" w:afterLines="0" w:line="44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bookmarkStart w:id="27" w:name="OLE_LINK7"/>
            <w:r>
              <w:rPr>
                <w:rFonts w:hint="eastAsia" w:ascii="仿宋" w:hAnsi="仿宋" w:eastAsia="仿宋" w:cs="仿宋"/>
                <w:b/>
                <w:spacing w:val="-20"/>
                <w:sz w:val="24"/>
                <w:highlight w:val="none"/>
              </w:rPr>
              <w:t>采购标的对应的中小企业划分标准所属行业</w:t>
            </w:r>
            <w:bookmarkEnd w:id="27"/>
          </w:p>
        </w:tc>
        <w:tc>
          <w:tcPr>
            <w:tcW w:w="7515" w:type="dxa"/>
            <w:vAlign w:val="center"/>
          </w:tcPr>
          <w:p>
            <w:pPr>
              <w:spacing w:line="360" w:lineRule="auto"/>
              <w:jc w:val="left"/>
              <w:rPr>
                <w:rFonts w:hint="eastAsia" w:ascii="仿宋" w:hAnsi="仿宋" w:eastAsia="仿宋" w:cs="仿宋_GB2312"/>
                <w:sz w:val="24"/>
                <w:highlight w:val="none"/>
              </w:rPr>
            </w:pPr>
            <w:r>
              <w:rPr>
                <w:rFonts w:hint="eastAsia" w:ascii="仿宋" w:hAnsi="仿宋" w:eastAsia="仿宋" w:cs="仿宋"/>
                <w:kern w:val="0"/>
                <w:sz w:val="24"/>
                <w:highlight w:val="none"/>
              </w:rPr>
              <w:t>（1）标的：</w:t>
            </w:r>
            <w:r>
              <w:rPr>
                <w:rFonts w:hint="eastAsia" w:ascii="仿宋" w:hAnsi="仿宋" w:eastAsia="仿宋"/>
                <w:sz w:val="24"/>
                <w:szCs w:val="28"/>
                <w:highlight w:val="none"/>
                <w:u w:val="single"/>
                <w:lang w:eastAsia="zh-CN"/>
              </w:rPr>
              <w:t>绍兴市公安局柯桥区分局交通警察大队2025年度食堂托管服务采购项目</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_GB2312"/>
                <w:sz w:val="24"/>
                <w:highlight w:val="none"/>
                <w:u w:val="single"/>
                <w:lang w:val="en-US" w:eastAsia="zh-CN"/>
              </w:rPr>
              <w:t xml:space="preserve">餐饮业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w:t>
            </w:r>
            <w:r>
              <w:rPr>
                <w:rFonts w:hint="eastAsia" w:ascii="仿宋" w:hAnsi="仿宋" w:eastAsia="仿宋" w:cs="仿宋"/>
                <w:sz w:val="24"/>
                <w:highlight w:val="none"/>
                <w:lang w:eastAsia="zh-CN"/>
              </w:rPr>
              <w:t>重大税收违法失信主体</w:t>
            </w:r>
            <w:r>
              <w:rPr>
                <w:rFonts w:hint="eastAsia" w:ascii="仿宋" w:hAnsi="仿宋" w:eastAsia="仿宋" w:cs="仿宋"/>
                <w:sz w:val="24"/>
                <w:highlight w:val="none"/>
              </w:rPr>
              <w:t>、政府采购严重违法失信行为记录名单的投标人将被拒绝参与政府采购活动。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17</w:t>
            </w:r>
            <w:r>
              <w:rPr>
                <w:rFonts w:hint="eastAsia" w:ascii="仿宋" w:hAnsi="仿宋" w:eastAsia="仿宋" w:cs="仿宋"/>
                <w:sz w:val="24"/>
                <w:highlight w:val="none"/>
              </w:rPr>
              <w:t xml:space="preserve">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sz w:val="24"/>
                <w:szCs w:val="24"/>
                <w:highlight w:val="none"/>
                <w:lang w:eastAsia="zh-CN"/>
              </w:rPr>
            </w:pPr>
            <w:r>
              <w:rPr>
                <w:rFonts w:hint="eastAsia" w:ascii="仿宋" w:hAnsi="仿宋" w:eastAsia="仿宋" w:cs="仿宋"/>
                <w:b/>
                <w:color w:val="000000"/>
                <w:sz w:val="24"/>
                <w:szCs w:val="24"/>
                <w:highlight w:val="none"/>
              </w:rPr>
              <w:t>履约保证金金额</w:t>
            </w:r>
            <w:r>
              <w:rPr>
                <w:rFonts w:hint="eastAsia" w:ascii="仿宋" w:hAnsi="仿宋" w:eastAsia="仿宋" w:cs="仿宋"/>
                <w:b/>
                <w:color w:val="000000"/>
                <w:sz w:val="24"/>
                <w:szCs w:val="24"/>
                <w:highlight w:val="none"/>
                <w:lang w:eastAsia="zh-CN"/>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20</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b/>
                <w:sz w:val="24"/>
                <w:szCs w:val="24"/>
                <w:highlight w:val="none"/>
              </w:rPr>
              <w:t>采购代理服务费：费用由采购人支付，具体以双方签订的合同为准</w:t>
            </w:r>
            <w:r>
              <w:rPr>
                <w:rFonts w:hint="eastAsia" w:ascii="仿宋" w:hAnsi="仿宋" w:eastAsia="仿宋" w:cs="仿宋"/>
                <w:b/>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3.2.2采</w:t>
      </w:r>
      <w:r>
        <w:rPr>
          <w:rFonts w:hint="eastAsia" w:ascii="仿宋" w:hAnsi="仿宋" w:eastAsia="仿宋" w:cs="仿宋"/>
          <w:b/>
          <w:sz w:val="24"/>
          <w:highlight w:val="none"/>
        </w:rPr>
        <w:t>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w:t>
      </w:r>
      <w:r>
        <w:rPr>
          <w:rFonts w:hint="eastAsia" w:ascii="仿宋" w:hAnsi="仿宋" w:eastAsia="仿宋" w:cs="仿宋"/>
          <w:color w:val="auto"/>
          <w:sz w:val="24"/>
          <w:highlight w:val="none"/>
        </w:rPr>
        <w:t>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r>
        <w:rPr>
          <w:rFonts w:hint="eastAsia" w:ascii="仿宋" w:hAnsi="仿宋" w:eastAsia="仿宋" w:cs="仿宋"/>
          <w:bCs/>
          <w:sz w:val="24"/>
          <w:highlight w:val="none"/>
        </w:rPr>
        <w:t>。</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w:t>
      </w:r>
      <w:r>
        <w:rPr>
          <w:rFonts w:hint="eastAsia" w:ascii="仿宋" w:hAnsi="仿宋" w:eastAsia="仿宋" w:cs="仿宋"/>
          <w:color w:val="auto"/>
          <w:sz w:val="24"/>
          <w:highlight w:val="none"/>
        </w:rPr>
        <w:t>于监狱企业证明文件的，视同为小微企业。</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w:t>
      </w:r>
      <w:r>
        <w:rPr>
          <w:rFonts w:hint="eastAsia" w:ascii="仿宋" w:hAnsi="仿宋" w:eastAsia="仿宋" w:cs="仿宋"/>
          <w:sz w:val="24"/>
          <w:highlight w:val="none"/>
        </w:rPr>
        <w:t>动，视同已具备相应销售业绩，业绩分为满分。</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4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textWrapping"/>
      </w:r>
      <w:r>
        <w:rPr>
          <w:rFonts w:hint="eastAsia" w:ascii="仿宋" w:hAnsi="仿宋" w:eastAsia="仿宋" w:cs="仿宋"/>
          <w:b/>
          <w:sz w:val="32"/>
          <w:szCs w:val="32"/>
          <w:highlight w:val="none"/>
        </w:rPr>
        <w:t>二、招标文件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投标人应自行承担编制投标文件及参加本次投标所涉及的一切费用。不管投标结果如何，采购人对上述费用不负任何责任。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sz w:val="24"/>
          <w:highlight w:val="none"/>
          <w:lang w:val="en-US"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投标人针对报价需要说明的其他文件和说明（如有，格式自拟）</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highlight w:val="none"/>
        </w:rPr>
        <w:t>《开标一览表》（报价表）</w:t>
      </w:r>
      <w:r>
        <w:rPr>
          <w:rFonts w:hint="eastAsia" w:ascii="仿宋" w:hAnsi="仿宋" w:eastAsia="仿宋" w:cs="仿宋"/>
          <w:color w:val="auto"/>
          <w:sz w:val="24"/>
          <w:highlight w:val="none"/>
          <w:lang w:val="en-US" w:eastAsia="zh-CN"/>
        </w:rPr>
        <w:t>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highlight w:val="none"/>
        </w:rPr>
        <w:t>4.</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0"/>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lang w:val="en-US" w:eastAsia="zh-CN"/>
        </w:rPr>
        <w:t>5</w:t>
      </w:r>
      <w:r>
        <w:rPr>
          <w:rFonts w:hint="eastAsia" w:ascii="仿宋" w:hAnsi="仿宋" w:eastAsia="仿宋" w:cs="仿宋"/>
          <w:b/>
          <w:szCs w:val="24"/>
          <w:highlight w:val="none"/>
        </w:rPr>
        <w:t>.投标文件的提交、补充、修改、撤回</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8"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5.3单价金额小数点或者百分比有明显错位的，以《开标一览表》（报价表）的总价为准，并修改单价；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w:t>
      </w:r>
      <w:r>
        <w:rPr>
          <w:rFonts w:hint="eastAsia" w:ascii="仿宋" w:hAnsi="仿宋" w:eastAsia="仿宋" w:cs="仿宋"/>
          <w:color w:val="auto"/>
          <w:sz w:val="24"/>
          <w:highlight w:val="none"/>
          <w:lang w:val="en-US" w:eastAsia="zh-CN"/>
        </w:rPr>
        <w:t>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7.投标文件的澄清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highlight w:val="none"/>
        </w:rPr>
        <w:t>8.11出现同一标的物或</w:t>
      </w:r>
      <w:r>
        <w:rPr>
          <w:rFonts w:hint="eastAsia" w:ascii="仿宋" w:hAnsi="仿宋" w:eastAsia="仿宋" w:cs="仿宋"/>
          <w:b/>
          <w:color w:val="auto"/>
          <w:sz w:val="24"/>
          <w:highlight w:val="none"/>
        </w:rPr>
        <w:t>本次招标产品(服务)内的主要产品(重要组成部分)出现商务技术文件、报价文件描述不一致或前后描述不一致，经评标委员会认定后为无法评审的；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8.16投标文件“商务技术文件”部分中出现《开标一览表》（报价表）相关内容的；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8.18《开标一览表》（报价表）填写不完整或字迹不能辨认或有漏项的，经评标委员会认定属于重大偏差的；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8.24投标文件出现不是唯一的、有选择性投标报价的；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sz w:val="24"/>
          <w:highlight w:val="none"/>
        </w:rPr>
        <w:t>未按招标文件要求提供样品或提供样品不满足采购需求实质性条件的；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sz w:val="24"/>
          <w:highlight w:val="none"/>
          <w:lang w:val="en-US" w:eastAsia="zh-CN"/>
        </w:rPr>
        <w:t>8.26参与同一个采购包(标段)的供应商存在下列情形之一且无法合理解释的，其投标(响应)文件无效:</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不同供应商的电子投标(响应)文件上传计算机的网卡MAC地址或硬盘序列号等硬件信息相同的;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不同供应商的投标(响应)文件的内容存在3处(含)以上错误一致的;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default" w:ascii="仿宋" w:hAnsi="仿宋" w:eastAsia="仿宋" w:cs="仿宋"/>
          <w:b/>
          <w:sz w:val="24"/>
          <w:highlight w:val="none"/>
          <w:lang w:val="en-US"/>
        </w:rPr>
        <w:t>7</w:t>
      </w:r>
      <w:r>
        <w:rPr>
          <w:rFonts w:hint="eastAsia" w:ascii="仿宋" w:hAnsi="仿宋" w:eastAsia="仿宋" w:cs="仿宋"/>
          <w:b/>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sz w:val="32"/>
          <w:highlight w:val="none"/>
        </w:rPr>
      </w:pPr>
    </w:p>
    <w:bookmarkEnd w:id="28"/>
    <w:p>
      <w:pPr>
        <w:pStyle w:val="33"/>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sz w:val="24"/>
          <w:highlight w:val="none"/>
        </w:rPr>
      </w:pPr>
      <w:bookmarkStart w:id="30" w:name="_Hlt75236101"/>
      <w:bookmarkEnd w:id="30"/>
      <w:bookmarkStart w:id="31" w:name="_Hlt75236011"/>
      <w:bookmarkEnd w:id="31"/>
      <w:bookmarkStart w:id="32" w:name="_Hlt74714665"/>
      <w:bookmarkEnd w:id="32"/>
      <w:bookmarkStart w:id="33" w:name="_Hlt74730295"/>
      <w:bookmarkEnd w:id="33"/>
      <w:bookmarkStart w:id="34" w:name="_Hlt74707468"/>
      <w:bookmarkEnd w:id="34"/>
      <w:bookmarkStart w:id="35" w:name="_Hlt68072998"/>
      <w:bookmarkEnd w:id="35"/>
      <w:bookmarkStart w:id="36" w:name="_Hlt68057669"/>
      <w:bookmarkEnd w:id="36"/>
      <w:bookmarkStart w:id="37" w:name="_Hlt74729768"/>
      <w:bookmarkEnd w:id="37"/>
      <w:bookmarkStart w:id="38" w:name="_Hlt68072990"/>
      <w:bookmarkEnd w:id="38"/>
      <w:bookmarkStart w:id="39" w:name="_Hlt75236290"/>
      <w:bookmarkEnd w:id="39"/>
      <w:bookmarkStart w:id="40" w:name="_Hlt68073093"/>
      <w:bookmarkEnd w:id="40"/>
      <w:bookmarkStart w:id="41" w:name="_Hlt68403820"/>
      <w:bookmarkEnd w:id="41"/>
      <w:bookmarkStart w:id="42" w:name="_Toc81372953"/>
      <w:bookmarkStart w:id="43" w:name="_Toc81372776"/>
      <w:bookmarkStart w:id="44" w:name="_Toc84325929"/>
      <w:r>
        <w:rPr>
          <w:rFonts w:hint="eastAsia" w:ascii="仿宋" w:hAnsi="仿宋" w:eastAsia="仿宋" w:cs="仿宋"/>
          <w:b/>
          <w:sz w:val="32"/>
          <w:szCs w:val="32"/>
          <w:highlight w:val="none"/>
        </w:rPr>
        <w:t>五、授予合同</w:t>
      </w:r>
      <w:bookmarkEnd w:id="42"/>
      <w:bookmarkEnd w:id="43"/>
      <w:bookmarkEnd w:id="44"/>
    </w:p>
    <w:p>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sz w:val="24"/>
          <w:highlight w:val="none"/>
        </w:rPr>
      </w:pPr>
    </w:p>
    <w:p>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pStyle w:val="25"/>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000000"/>
          <w:highlight w:val="none"/>
        </w:rPr>
      </w:pPr>
      <w:r>
        <w:rPr>
          <w:rFonts w:hint="eastAsia" w:ascii="仿宋" w:hAnsi="仿宋" w:eastAsia="仿宋" w:cs="仿宋_GB2312"/>
          <w:b/>
          <w:color w:val="000000"/>
          <w:highlight w:val="none"/>
          <w:lang w:val="en-US" w:eastAsia="zh-CN"/>
        </w:rPr>
        <w:t>4</w:t>
      </w:r>
      <w:r>
        <w:rPr>
          <w:rFonts w:hint="eastAsia" w:ascii="仿宋" w:hAnsi="仿宋" w:eastAsia="仿宋" w:cs="仿宋_GB2312"/>
          <w:b/>
          <w:color w:val="000000"/>
          <w:highlight w:val="none"/>
        </w:rPr>
        <w:t>.履约保证金</w:t>
      </w:r>
      <w:r>
        <w:rPr>
          <w:rFonts w:ascii="仿宋" w:hAnsi="仿宋" w:eastAsia="仿宋" w:cs="仿宋_GB2312"/>
          <w:b/>
          <w:color w:val="000000"/>
          <w:highlight w:val="none"/>
        </w:rPr>
        <w:tab/>
      </w:r>
    </w:p>
    <w:p>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sz w:val="24"/>
          <w:highlight w:val="none"/>
        </w:rPr>
      </w:pPr>
      <w:r>
        <w:rPr>
          <w:rFonts w:hint="eastAsia" w:ascii="仿宋" w:hAnsi="仿宋" w:eastAsia="仿宋" w:cs="Helvetica"/>
          <w:color w:val="000000"/>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highlight w:val="none"/>
        </w:rPr>
        <w:t>。履约保证金的数额不得超过政府采购合同金额的</w:t>
      </w:r>
      <w:r>
        <w:rPr>
          <w:rFonts w:hint="eastAsia" w:ascii="仿宋" w:hAnsi="仿宋" w:eastAsia="仿宋"/>
          <w:b/>
          <w:sz w:val="24"/>
          <w:highlight w:val="none"/>
          <w:lang w:val="en-US" w:eastAsia="zh-CN"/>
        </w:rPr>
        <w:t>0.5</w:t>
      </w:r>
      <w:r>
        <w:rPr>
          <w:rFonts w:hint="eastAsia" w:ascii="仿宋" w:hAnsi="仿宋" w:eastAsia="仿宋"/>
          <w:color w:val="000000"/>
          <w:sz w:val="24"/>
          <w:highlight w:val="none"/>
        </w:rPr>
        <w:t>%，</w:t>
      </w:r>
      <w:r>
        <w:rPr>
          <w:rFonts w:hint="eastAsia" w:ascii="仿宋" w:hAnsi="仿宋" w:eastAsia="仿宋" w:cs="宋体"/>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highlight w:val="none"/>
        </w:rPr>
        <w:t>延迟退还的，应当按照合同约定和法律规定承担相应的赔偿责任</w:t>
      </w:r>
      <w:r>
        <w:rPr>
          <w:rFonts w:hint="eastAsia" w:ascii="仿宋" w:hAnsi="仿宋" w:eastAsia="仿宋" w:cs="宋体"/>
          <w:sz w:val="24"/>
          <w:highlight w:val="none"/>
        </w:rPr>
        <w:t>。</w:t>
      </w:r>
    </w:p>
    <w:p>
      <w:pPr>
        <w:pStyle w:val="3"/>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kern w:val="28"/>
          <w:sz w:val="24"/>
          <w:highlight w:val="none"/>
        </w:rPr>
      </w:pPr>
      <w:r>
        <w:rPr>
          <w:rFonts w:hint="eastAsia" w:ascii="仿宋" w:eastAsia="仿宋" w:cs="宋体"/>
          <w:b w:val="0"/>
          <w:bCs w:val="0"/>
          <w:snapToGrid w:val="0"/>
          <w:kern w:val="28"/>
          <w:sz w:val="24"/>
          <w:highlight w:val="none"/>
        </w:rPr>
        <w:t>供应商</w:t>
      </w:r>
      <w:r>
        <w:rPr>
          <w:rFonts w:hint="eastAsia" w:ascii="仿宋" w:eastAsia="仿宋" w:cs="宋体"/>
          <w:b w:val="0"/>
          <w:bCs w:val="0"/>
          <w:snapToGrid w:val="0"/>
          <w:kern w:val="28"/>
          <w:sz w:val="24"/>
          <w:highlight w:val="none"/>
          <w:lang w:val="en-US"/>
        </w:rPr>
        <w:t>可</w:t>
      </w:r>
      <w:r>
        <w:rPr>
          <w:rFonts w:hint="eastAsia" w:ascii="仿宋" w:eastAsia="仿宋" w:cs="宋体"/>
          <w:b w:val="0"/>
          <w:bCs w:val="0"/>
          <w:snapToGrid w:val="0"/>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kern w:val="28"/>
          <w:sz w:val="24"/>
          <w:szCs w:val="32"/>
          <w:highlight w:val="none"/>
          <w:lang w:val="zh-CN" w:eastAsia="zh-CN" w:bidi="ar-SA"/>
        </w:rPr>
      </w:pPr>
      <w:r>
        <w:rPr>
          <w:rFonts w:hint="eastAsia" w:ascii="仿宋" w:hAnsi="仿宋" w:eastAsia="仿宋" w:cs="仿宋"/>
          <w:b/>
          <w:bCs/>
          <w:sz w:val="24"/>
          <w:highlight w:val="none"/>
          <w:lang w:val="en-US" w:eastAsia="zh-CN"/>
        </w:rPr>
        <w:t>5.</w:t>
      </w:r>
      <w:r>
        <w:rPr>
          <w:rFonts w:hint="eastAsia" w:ascii="仿宋" w:hAnsi="仿宋" w:eastAsia="仿宋" w:cs="宋体"/>
          <w:b/>
          <w:bCs/>
          <w:snapToGrid w:val="0"/>
          <w:kern w:val="28"/>
          <w:sz w:val="24"/>
          <w:szCs w:val="32"/>
          <w:highlight w:val="none"/>
          <w:lang w:val="zh-CN" w:eastAsia="zh-CN" w:bidi="ar-SA"/>
        </w:rPr>
        <w:t>预付款</w:t>
      </w:r>
    </w:p>
    <w:p>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kern w:val="28"/>
          <w:sz w:val="24"/>
          <w:szCs w:val="32"/>
          <w:highlight w:val="none"/>
          <w:lang w:val="zh-CN" w:eastAsia="zh-CN" w:bidi="ar-SA"/>
        </w:rPr>
      </w:pPr>
      <w:r>
        <w:rPr>
          <w:rFonts w:hint="eastAsia" w:ascii="仿宋" w:hAnsi="仿宋" w:eastAsia="仿宋" w:cs="宋体"/>
          <w:b w:val="0"/>
          <w:bCs w:val="0"/>
          <w:snapToGrid w:val="0"/>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kern w:val="28"/>
          <w:sz w:val="24"/>
          <w:szCs w:val="32"/>
          <w:highlight w:val="none"/>
          <w:lang w:val="en-US" w:eastAsia="zh-CN" w:bidi="ar-SA"/>
        </w:rPr>
        <w:t>7</w:t>
      </w:r>
      <w:r>
        <w:rPr>
          <w:rFonts w:hint="eastAsia" w:ascii="仿宋" w:hAnsi="仿宋" w:eastAsia="仿宋" w:cs="宋体"/>
          <w:b w:val="0"/>
          <w:bCs w:val="0"/>
          <w:snapToGrid w:val="0"/>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kern w:val="28"/>
          <w:sz w:val="24"/>
          <w:szCs w:val="32"/>
          <w:highlight w:val="none"/>
          <w:lang w:val="en-US" w:eastAsia="zh-CN" w:bidi="ar-SA"/>
        </w:rPr>
      </w:pPr>
      <w:r>
        <w:rPr>
          <w:rFonts w:hint="eastAsia" w:ascii="仿宋" w:hAnsi="仿宋" w:eastAsia="仿宋" w:cs="宋体"/>
          <w:b w:val="0"/>
          <w:bCs w:val="0"/>
          <w:snapToGrid w:val="0"/>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8</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bookmarkStart w:id="45" w:name="第四部分"/>
      <w:r>
        <w:rPr>
          <w:rFonts w:hint="eastAsia" w:ascii="仿宋" w:hAnsi="仿宋" w:eastAsia="仿宋" w:cs="仿宋"/>
          <w:b/>
          <w:sz w:val="36"/>
          <w:szCs w:val="36"/>
          <w:highlight w:val="none"/>
        </w:rPr>
        <w:t>第三部分   招标项目范围及要求</w:t>
      </w:r>
    </w:p>
    <w:bookmarkEnd w:id="45"/>
    <w:p>
      <w:pPr>
        <w:pStyle w:val="3"/>
        <w:numPr>
          <w:ilvl w:val="1"/>
          <w:numId w:val="0"/>
        </w:numPr>
        <w:ind w:firstLine="643" w:firstLineChars="200"/>
        <w:jc w:val="center"/>
        <w:rPr>
          <w:rFonts w:hint="eastAsia" w:ascii="仿宋" w:hAnsi="仿宋" w:eastAsia="仿宋" w:cs="仿宋_GB2312"/>
          <w:b/>
          <w:sz w:val="32"/>
          <w:highlight w:val="none"/>
          <w:lang w:val="en-US" w:eastAsia="zh-CN"/>
        </w:rPr>
      </w:pPr>
      <w:bookmarkStart w:id="46" w:name="第五部分"/>
      <w:bookmarkStart w:id="47" w:name="_Toc86217003"/>
      <w:r>
        <w:rPr>
          <w:rFonts w:hint="eastAsia" w:ascii="仿宋" w:hAnsi="仿宋" w:eastAsia="仿宋" w:cs="仿宋_GB2312"/>
          <w:b/>
          <w:sz w:val="32"/>
          <w:highlight w:val="none"/>
          <w:lang w:val="en-US" w:eastAsia="zh-CN"/>
        </w:rPr>
        <w:t>一、</w:t>
      </w:r>
      <w:r>
        <w:rPr>
          <w:rFonts w:hint="eastAsia" w:ascii="仿宋" w:hAnsi="仿宋" w:eastAsia="仿宋" w:cs="仿宋_GB2312"/>
          <w:b/>
          <w:sz w:val="32"/>
          <w:highlight w:val="none"/>
        </w:rPr>
        <w:t>服务清单及要求</w:t>
      </w:r>
    </w:p>
    <w:p>
      <w:pPr>
        <w:widowControl/>
        <w:overflowPunct w:val="0"/>
        <w:autoSpaceDE w:val="0"/>
        <w:autoSpaceDN w:val="0"/>
        <w:spacing w:line="440" w:lineRule="exact"/>
        <w:ind w:firstLine="480" w:firstLineChars="200"/>
        <w:jc w:val="left"/>
        <w:textAlignment w:val="baseline"/>
        <w:rPr>
          <w:rFonts w:hint="eastAsia" w:ascii="仿宋" w:hAnsi="仿宋" w:eastAsia="仿宋" w:cs="仿宋"/>
          <w:kern w:val="0"/>
          <w:sz w:val="24"/>
          <w:szCs w:val="21"/>
          <w:highlight w:val="none"/>
        </w:rPr>
      </w:pPr>
      <w:r>
        <w:rPr>
          <w:rFonts w:hint="eastAsia" w:ascii="仿宋" w:hAnsi="仿宋" w:eastAsia="仿宋" w:cs="仿宋"/>
          <w:kern w:val="0"/>
          <w:sz w:val="24"/>
          <w:szCs w:val="21"/>
          <w:highlight w:val="none"/>
        </w:rPr>
        <w:t xml:space="preserve">1.1 项目概况： </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1.1</w:t>
      </w:r>
      <w:r>
        <w:rPr>
          <w:rFonts w:hint="eastAsia" w:ascii="仿宋" w:hAnsi="仿宋" w:eastAsia="仿宋" w:cs="仿宋"/>
          <w:color w:val="auto"/>
          <w:kern w:val="0"/>
          <w:sz w:val="24"/>
          <w:szCs w:val="21"/>
          <w:highlight w:val="none"/>
          <w:lang w:val="en-US" w:eastAsia="zh-CN"/>
        </w:rPr>
        <w:t>.1</w:t>
      </w:r>
      <w:r>
        <w:rPr>
          <w:rFonts w:hint="eastAsia" w:ascii="仿宋" w:hAnsi="仿宋" w:eastAsia="仿宋" w:cs="仿宋"/>
          <w:color w:val="auto"/>
          <w:kern w:val="0"/>
          <w:sz w:val="24"/>
          <w:szCs w:val="21"/>
          <w:highlight w:val="none"/>
        </w:rPr>
        <w:t xml:space="preserve"> 绍兴市公安局柯桥区分局交通警察大队食堂餐饮服务管理采购项目食堂餐饮委外服务实行包清工的模式。</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val="en-US" w:eastAsia="zh-CN"/>
        </w:rPr>
        <w:t>1.1.2</w:t>
      </w:r>
      <w:r>
        <w:rPr>
          <w:rFonts w:hint="eastAsia" w:ascii="仿宋" w:hAnsi="仿宋" w:eastAsia="仿宋" w:cs="仿宋"/>
          <w:color w:val="auto"/>
          <w:kern w:val="0"/>
          <w:sz w:val="24"/>
          <w:szCs w:val="21"/>
          <w:highlight w:val="none"/>
        </w:rPr>
        <w:t xml:space="preserve"> 采购人无偿提供食堂的厨房操作场地和机关干部就餐场地，一次性提供餐务服务所需的正常使用的厨房设备，并保障食堂运行所需的水、电、气等能源供配。供应商须做到厨房设备的文明使用，合同期满须将能正常使用的厨房设备移交采购人。</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val="en-US" w:eastAsia="zh-CN"/>
        </w:rPr>
        <w:t>1.1.3</w:t>
      </w:r>
      <w:r>
        <w:rPr>
          <w:rFonts w:hint="eastAsia" w:ascii="仿宋" w:hAnsi="仿宋" w:eastAsia="仿宋" w:cs="仿宋"/>
          <w:color w:val="auto"/>
          <w:kern w:val="0"/>
          <w:sz w:val="24"/>
          <w:szCs w:val="21"/>
          <w:highlight w:val="none"/>
        </w:rPr>
        <w:t>采购人免费提供供应商工作期间的正常用餐。</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val="en-US" w:eastAsia="zh-CN"/>
        </w:rPr>
        <w:t>1.1.4</w:t>
      </w:r>
      <w:r>
        <w:rPr>
          <w:rFonts w:hint="eastAsia" w:ascii="仿宋" w:hAnsi="仿宋" w:eastAsia="仿宋" w:cs="仿宋"/>
          <w:color w:val="auto"/>
          <w:kern w:val="0"/>
          <w:sz w:val="24"/>
          <w:szCs w:val="21"/>
          <w:highlight w:val="none"/>
        </w:rPr>
        <w:t>采购人负责菜肴制作所需的原材料供应和进行成本核算。</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val="en-US" w:eastAsia="zh-CN"/>
        </w:rPr>
        <w:t>1.1.5</w:t>
      </w:r>
      <w:r>
        <w:rPr>
          <w:rFonts w:hint="eastAsia" w:ascii="仿宋" w:hAnsi="仿宋" w:eastAsia="仿宋" w:cs="仿宋"/>
          <w:color w:val="auto"/>
          <w:kern w:val="0"/>
          <w:sz w:val="24"/>
          <w:szCs w:val="21"/>
          <w:highlight w:val="none"/>
        </w:rPr>
        <w:t>采购人负责餐饮服务外包有关工作的考核和服务费用的支付。</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lang w:val="en-US" w:eastAsia="zh-CN"/>
        </w:rPr>
        <w:t>1.1.6</w:t>
      </w:r>
      <w:r>
        <w:rPr>
          <w:rFonts w:hint="eastAsia" w:ascii="仿宋" w:hAnsi="仿宋" w:eastAsia="仿宋" w:cs="仿宋"/>
          <w:color w:val="auto"/>
          <w:kern w:val="0"/>
          <w:sz w:val="24"/>
          <w:szCs w:val="21"/>
          <w:highlight w:val="none"/>
        </w:rPr>
        <w:t>供应商负责服务人员的组织、分配、使用和操作管理，为采购人的餐饮做好加工制作、就餐供应和服务保障。</w:t>
      </w:r>
    </w:p>
    <w:p>
      <w:pPr>
        <w:widowControl/>
        <w:overflowPunct w:val="0"/>
        <w:autoSpaceDE w:val="0"/>
        <w:autoSpaceDN w:val="0"/>
        <w:spacing w:line="440" w:lineRule="exact"/>
        <w:ind w:firstLine="480"/>
        <w:jc w:val="left"/>
        <w:textAlignment w:val="baseline"/>
        <w:rPr>
          <w:rFonts w:hint="eastAsia" w:ascii="仿宋" w:hAnsi="仿宋" w:eastAsia="仿宋" w:cs="仿宋"/>
          <w:kern w:val="0"/>
          <w:sz w:val="24"/>
          <w:szCs w:val="21"/>
          <w:highlight w:val="none"/>
        </w:rPr>
      </w:pPr>
    </w:p>
    <w:p>
      <w:pPr>
        <w:numPr>
          <w:ilvl w:val="0"/>
          <w:numId w:val="0"/>
        </w:numPr>
        <w:snapToGrid w:val="0"/>
        <w:spacing w:line="360" w:lineRule="auto"/>
        <w:ind w:left="3052" w:leftChars="0"/>
        <w:rPr>
          <w:rFonts w:hint="eastAsia" w:ascii="仿宋" w:hAnsi="仿宋" w:eastAsia="仿宋"/>
          <w:b/>
          <w:sz w:val="28"/>
          <w:szCs w:val="28"/>
          <w:highlight w:val="none"/>
        </w:rPr>
      </w:pPr>
      <w:r>
        <w:rPr>
          <w:rFonts w:hint="eastAsia" w:ascii="仿宋" w:hAnsi="仿宋" w:eastAsia="仿宋" w:cs="仿宋_GB2312"/>
          <w:b/>
          <w:sz w:val="32"/>
          <w:highlight w:val="none"/>
          <w:lang w:val="en-US" w:eastAsia="zh-CN"/>
        </w:rPr>
        <w:t>二、</w:t>
      </w:r>
      <w:r>
        <w:rPr>
          <w:rFonts w:hint="eastAsia" w:ascii="仿宋" w:hAnsi="仿宋" w:eastAsia="仿宋" w:cs="仿宋_GB2312"/>
          <w:b/>
          <w:sz w:val="32"/>
          <w:highlight w:val="none"/>
        </w:rPr>
        <w:t>服务内容及要求</w:t>
      </w:r>
    </w:p>
    <w:p>
      <w:pPr>
        <w:spacing w:line="440" w:lineRule="exact"/>
        <w:ind w:firstLine="482" w:firstLineChars="200"/>
        <w:rPr>
          <w:rFonts w:hint="default" w:ascii="仿宋" w:hAnsi="仿宋" w:eastAsia="仿宋" w:cs="仿宋"/>
          <w:b/>
          <w:sz w:val="24"/>
          <w:highlight w:val="none"/>
          <w:lang w:val="en-US" w:eastAsia="zh-CN"/>
        </w:rPr>
      </w:pPr>
      <w:bookmarkStart w:id="48" w:name="_Toc416098593"/>
      <w:r>
        <w:rPr>
          <w:rFonts w:hint="eastAsia" w:ascii="仿宋" w:hAnsi="仿宋" w:eastAsia="仿宋" w:cs="仿宋"/>
          <w:b/>
          <w:sz w:val="24"/>
          <w:highlight w:val="none"/>
          <w:lang w:val="en-US" w:eastAsia="zh-CN"/>
        </w:rPr>
        <w:t>2.1服务范围</w:t>
      </w:r>
    </w:p>
    <w:p>
      <w:pPr>
        <w:widowControl/>
        <w:overflowPunct w:val="0"/>
        <w:autoSpaceDE w:val="0"/>
        <w:autoSpaceDN w:val="0"/>
        <w:spacing w:line="440" w:lineRule="exact"/>
        <w:ind w:firstLine="480"/>
        <w:jc w:val="left"/>
        <w:textAlignment w:val="baseline"/>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服务包含绍兴市公安局柯桥区分局交通警察大队食堂以及下属五个中队（柯桥中队、福全中队、柯南中队、钱清中队、柯北中队）食堂。</w:t>
      </w:r>
    </w:p>
    <w:p>
      <w:pPr>
        <w:pStyle w:val="33"/>
        <w:spacing w:line="440" w:lineRule="exact"/>
        <w:ind w:firstLine="480"/>
        <w:rPr>
          <w:rFonts w:hint="eastAsia" w:ascii="仿宋" w:hAnsi="仿宋" w:eastAsia="仿宋" w:cs="仿宋"/>
          <w:b/>
          <w:snapToGrid/>
          <w:color w:val="auto"/>
          <w:sz w:val="24"/>
          <w:szCs w:val="24"/>
          <w:highlight w:val="none"/>
        </w:rPr>
      </w:pPr>
      <w:r>
        <w:rPr>
          <w:rFonts w:hint="eastAsia" w:ascii="仿宋" w:hAnsi="仿宋" w:eastAsia="仿宋" w:cs="仿宋"/>
          <w:b/>
          <w:snapToGrid/>
          <w:color w:val="auto"/>
          <w:sz w:val="24"/>
          <w:szCs w:val="24"/>
          <w:highlight w:val="none"/>
          <w:lang w:val="en-US" w:eastAsia="zh-CN"/>
        </w:rPr>
        <w:t>2.2</w:t>
      </w:r>
      <w:r>
        <w:rPr>
          <w:rFonts w:hint="eastAsia" w:ascii="仿宋" w:hAnsi="仿宋" w:eastAsia="仿宋" w:cs="仿宋"/>
          <w:b/>
          <w:snapToGrid/>
          <w:color w:val="auto"/>
          <w:sz w:val="24"/>
          <w:szCs w:val="24"/>
          <w:highlight w:val="none"/>
        </w:rPr>
        <w:t>服务内容</w:t>
      </w:r>
    </w:p>
    <w:p>
      <w:pPr>
        <w:pStyle w:val="33"/>
        <w:spacing w:line="440" w:lineRule="exact"/>
        <w:ind w:firstLine="48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lang w:val="en-US" w:eastAsia="zh-CN"/>
        </w:rPr>
        <w:t>2.2.1</w:t>
      </w:r>
      <w:r>
        <w:rPr>
          <w:rFonts w:hint="eastAsia" w:ascii="仿宋" w:hAnsi="仿宋" w:eastAsia="仿宋" w:cs="仿宋"/>
          <w:snapToGrid/>
          <w:color w:val="auto"/>
          <w:kern w:val="0"/>
          <w:sz w:val="24"/>
          <w:highlight w:val="none"/>
        </w:rPr>
        <w:t>食堂主要保障交警大队及下属五个中队的工作日早餐、午餐、晚餐、值班时期的一日三餐（包括双休日、节假日加班值班人员一日三餐）、来客招待、特殊备勤就餐等提供食堂后勤保障。食堂实行自选供餐模式。就餐人员排队选菜刷卡就餐。早餐就餐时间为：07:30-8:20，中餐就餐时间为：11:50-13:00，晚餐就餐时间为：17:00-18:20。开餐时间如需调整按照甲方规定实行。</w:t>
      </w:r>
    </w:p>
    <w:p>
      <w:pPr>
        <w:pStyle w:val="33"/>
        <w:spacing w:line="440" w:lineRule="exact"/>
        <w:ind w:firstLine="48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lang w:val="en-US" w:eastAsia="zh-CN"/>
        </w:rPr>
        <w:t>2.2.2</w:t>
      </w:r>
      <w:r>
        <w:rPr>
          <w:rFonts w:hint="eastAsia" w:ascii="仿宋" w:hAnsi="仿宋" w:eastAsia="仿宋" w:cs="仿宋"/>
          <w:snapToGrid/>
          <w:color w:val="auto"/>
          <w:kern w:val="0"/>
          <w:sz w:val="24"/>
          <w:highlight w:val="none"/>
        </w:rPr>
        <w:t>提供来客接待服务。</w:t>
      </w:r>
    </w:p>
    <w:p>
      <w:pPr>
        <w:pStyle w:val="33"/>
        <w:spacing w:line="440" w:lineRule="exact"/>
        <w:ind w:firstLine="48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lang w:val="en-US" w:eastAsia="zh-CN"/>
        </w:rPr>
        <w:t>2.2.3</w:t>
      </w:r>
      <w:r>
        <w:rPr>
          <w:rFonts w:hint="eastAsia" w:ascii="仿宋" w:hAnsi="仿宋" w:eastAsia="仿宋" w:cs="仿宋"/>
          <w:snapToGrid/>
          <w:color w:val="auto"/>
          <w:kern w:val="0"/>
          <w:sz w:val="24"/>
          <w:highlight w:val="none"/>
        </w:rPr>
        <w:t>完成重大会议用餐保障及各单位交付的临时性用餐服务。</w:t>
      </w:r>
    </w:p>
    <w:p>
      <w:pPr>
        <w:pStyle w:val="33"/>
        <w:spacing w:line="440" w:lineRule="exact"/>
        <w:ind w:firstLine="48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lang w:val="en-US" w:eastAsia="zh-CN"/>
        </w:rPr>
        <w:t>2.2.4</w:t>
      </w:r>
      <w:r>
        <w:rPr>
          <w:rFonts w:hint="eastAsia" w:ascii="仿宋" w:hAnsi="仿宋" w:eastAsia="仿宋" w:cs="仿宋"/>
          <w:snapToGrid/>
          <w:color w:val="auto"/>
          <w:kern w:val="0"/>
          <w:sz w:val="24"/>
          <w:highlight w:val="none"/>
        </w:rPr>
        <w:t>当日剩余菜品若完整且具有再利用价值，不得私自处理，应及时报招标人核验，根据招标人意见进行处理。</w:t>
      </w:r>
    </w:p>
    <w:p>
      <w:pPr>
        <w:pStyle w:val="33"/>
        <w:spacing w:line="440" w:lineRule="exact"/>
        <w:ind w:firstLine="48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lang w:val="en-US" w:eastAsia="zh-CN"/>
        </w:rPr>
        <w:t>2.2.5</w:t>
      </w:r>
      <w:r>
        <w:rPr>
          <w:rFonts w:hint="eastAsia" w:ascii="仿宋" w:hAnsi="仿宋" w:eastAsia="仿宋" w:cs="仿宋"/>
          <w:snapToGrid/>
          <w:color w:val="auto"/>
          <w:kern w:val="0"/>
          <w:sz w:val="24"/>
          <w:highlight w:val="none"/>
        </w:rPr>
        <w:t>以上服务供应如果需要变化按照甲方的要求进行协商调整。</w:t>
      </w:r>
    </w:p>
    <w:p>
      <w:pPr>
        <w:pStyle w:val="33"/>
        <w:spacing w:line="440" w:lineRule="exact"/>
        <w:ind w:firstLine="482" w:firstLineChars="200"/>
        <w:rPr>
          <w:rFonts w:hint="eastAsia" w:ascii="仿宋" w:hAnsi="仿宋" w:eastAsia="仿宋" w:cs="仿宋"/>
          <w:b/>
          <w:snapToGrid/>
          <w:color w:val="auto"/>
          <w:sz w:val="24"/>
          <w:szCs w:val="24"/>
          <w:highlight w:val="none"/>
        </w:rPr>
      </w:pPr>
      <w:r>
        <w:rPr>
          <w:rFonts w:hint="eastAsia" w:ascii="仿宋" w:hAnsi="仿宋" w:eastAsia="仿宋" w:cs="仿宋"/>
          <w:b/>
          <w:snapToGrid/>
          <w:color w:val="auto"/>
          <w:sz w:val="24"/>
          <w:szCs w:val="24"/>
          <w:highlight w:val="none"/>
          <w:lang w:val="en-US" w:eastAsia="zh-CN"/>
        </w:rPr>
        <w:t>2.3</w:t>
      </w:r>
      <w:r>
        <w:rPr>
          <w:rFonts w:hint="eastAsia" w:ascii="仿宋" w:hAnsi="仿宋" w:eastAsia="仿宋" w:cs="仿宋"/>
          <w:b/>
          <w:snapToGrid/>
          <w:color w:val="auto"/>
          <w:sz w:val="24"/>
          <w:szCs w:val="24"/>
          <w:highlight w:val="none"/>
        </w:rPr>
        <w:t>人员配备</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为保证餐厅和</w:t>
      </w:r>
      <w:r>
        <w:rPr>
          <w:rFonts w:hint="eastAsia" w:ascii="仿宋" w:hAnsi="仿宋" w:eastAsia="仿宋" w:cs="仿宋"/>
          <w:snapToGrid/>
          <w:color w:val="auto"/>
          <w:kern w:val="0"/>
          <w:sz w:val="24"/>
          <w:highlight w:val="none"/>
          <w:lang w:val="en-US" w:eastAsia="zh-CN"/>
        </w:rPr>
        <w:t>接待</w:t>
      </w:r>
      <w:r>
        <w:rPr>
          <w:rFonts w:hint="eastAsia" w:ascii="仿宋" w:hAnsi="仿宋" w:eastAsia="仿宋" w:cs="仿宋"/>
          <w:snapToGrid/>
          <w:color w:val="auto"/>
          <w:kern w:val="0"/>
          <w:sz w:val="24"/>
          <w:highlight w:val="none"/>
        </w:rPr>
        <w:t>的菜肴品种、质量，乙方必须选派高水平的厨师长、高素质的服务员、管理骨干和厨师人员，服务人数与就餐人数配备比例合理。实际人数应结合自身实际情况提供，但不得低于22人的总人数要求。</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①绍兴市公安局柯桥区分局交通警察大队食堂不少于8人，其中</w:t>
      </w:r>
      <w:r>
        <w:rPr>
          <w:rFonts w:hint="eastAsia" w:ascii="仿宋" w:hAnsi="仿宋" w:eastAsia="仿宋" w:cs="仿宋"/>
          <w:snapToGrid/>
          <w:color w:val="auto"/>
          <w:kern w:val="0"/>
          <w:sz w:val="24"/>
          <w:highlight w:val="none"/>
          <w:lang w:val="en-US" w:eastAsia="zh-CN"/>
        </w:rPr>
        <w:t>执行厨师长1名、副厨1名、面点师1名、服务员5名</w:t>
      </w:r>
      <w:r>
        <w:rPr>
          <w:rFonts w:hint="eastAsia" w:ascii="仿宋" w:hAnsi="仿宋" w:eastAsia="仿宋" w:cs="仿宋"/>
          <w:snapToGrid/>
          <w:color w:val="auto"/>
          <w:kern w:val="0"/>
          <w:sz w:val="24"/>
          <w:highlight w:val="none"/>
        </w:rPr>
        <w:t>；</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②柯桥中队食堂不少于6人，其中厨师1名、副厨兼面点1名、服务员4名；</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③福全中队食堂</w:t>
      </w:r>
      <w:r>
        <w:rPr>
          <w:rFonts w:hint="eastAsia" w:ascii="仿宋" w:hAnsi="仿宋" w:eastAsia="仿宋" w:cs="仿宋"/>
          <w:snapToGrid/>
          <w:color w:val="auto"/>
          <w:kern w:val="0"/>
          <w:sz w:val="24"/>
          <w:highlight w:val="none"/>
          <w:lang w:val="en-US" w:eastAsia="zh-CN"/>
        </w:rPr>
        <w:t>不少于2人，其中厨师1名、副厨1名</w:t>
      </w:r>
      <w:r>
        <w:rPr>
          <w:rFonts w:hint="eastAsia" w:ascii="仿宋" w:hAnsi="仿宋" w:eastAsia="仿宋" w:cs="仿宋"/>
          <w:snapToGrid/>
          <w:color w:val="auto"/>
          <w:kern w:val="0"/>
          <w:sz w:val="24"/>
          <w:highlight w:val="none"/>
        </w:rPr>
        <w:t>；</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④柯南中队食堂副厨2名；</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⑤钱清中队食堂不少于2人，其中副厨1名，服务员1名；</w:t>
      </w:r>
    </w:p>
    <w:p>
      <w:pPr>
        <w:spacing w:line="440" w:lineRule="exact"/>
        <w:ind w:firstLine="480" w:firstLineChars="200"/>
        <w:rPr>
          <w:rFonts w:hint="eastAsia" w:ascii="仿宋" w:hAnsi="仿宋" w:eastAsia="仿宋" w:cs="仿宋"/>
          <w:snapToGrid/>
          <w:color w:val="auto"/>
          <w:kern w:val="0"/>
          <w:sz w:val="24"/>
          <w:highlight w:val="none"/>
        </w:rPr>
      </w:pPr>
      <w:r>
        <w:rPr>
          <w:rFonts w:hint="eastAsia" w:ascii="仿宋" w:hAnsi="仿宋" w:eastAsia="仿宋" w:cs="仿宋"/>
          <w:snapToGrid/>
          <w:color w:val="auto"/>
          <w:kern w:val="0"/>
          <w:sz w:val="24"/>
          <w:highlight w:val="none"/>
        </w:rPr>
        <w:t>⑥柯北中队食堂不少于2人，其中副厨1名，服务员1名。</w:t>
      </w:r>
    </w:p>
    <w:p>
      <w:pPr>
        <w:spacing w:line="440" w:lineRule="exact"/>
        <w:ind w:firstLine="482" w:firstLineChars="200"/>
        <w:rPr>
          <w:rFonts w:hint="eastAsia" w:ascii="仿宋" w:hAnsi="仿宋" w:eastAsia="仿宋" w:cs="仿宋"/>
          <w:b/>
          <w:bCs/>
          <w:color w:val="auto"/>
          <w:kern w:val="44"/>
          <w:sz w:val="24"/>
          <w:highlight w:val="none"/>
          <w:lang w:val="en-US" w:eastAsia="zh-CN"/>
        </w:rPr>
      </w:pPr>
      <w:r>
        <w:rPr>
          <w:rFonts w:hint="eastAsia" w:ascii="仿宋" w:hAnsi="仿宋" w:eastAsia="仿宋" w:cs="仿宋"/>
          <w:b/>
          <w:color w:val="auto"/>
          <w:sz w:val="24"/>
          <w:highlight w:val="none"/>
        </w:rPr>
        <w:t>投标人实际配备不得低于上述人员配置。</w:t>
      </w:r>
    </w:p>
    <w:p>
      <w:pPr>
        <w:snapToGrid w:val="0"/>
        <w:spacing w:line="440" w:lineRule="exact"/>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2.4</w:t>
      </w:r>
      <w:r>
        <w:rPr>
          <w:rFonts w:hint="eastAsia" w:ascii="仿宋" w:hAnsi="仿宋" w:eastAsia="仿宋" w:cs="仿宋"/>
          <w:b/>
          <w:bCs/>
          <w:color w:val="auto"/>
          <w:kern w:val="44"/>
          <w:sz w:val="24"/>
          <w:highlight w:val="none"/>
        </w:rPr>
        <w:t>管理要求方面</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2.4.1</w:t>
      </w:r>
      <w:r>
        <w:rPr>
          <w:rFonts w:hint="eastAsia" w:ascii="仿宋" w:hAnsi="仿宋" w:eastAsia="仿宋" w:cs="仿宋"/>
          <w:b/>
          <w:color w:val="auto"/>
          <w:sz w:val="24"/>
          <w:highlight w:val="none"/>
        </w:rPr>
        <w:t>人事管理：</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2.4.1.1</w:t>
      </w:r>
      <w:r>
        <w:rPr>
          <w:rFonts w:hint="eastAsia" w:ascii="仿宋" w:hAnsi="仿宋" w:eastAsia="仿宋" w:cs="仿宋"/>
          <w:color w:val="auto"/>
          <w:sz w:val="24"/>
          <w:highlight w:val="none"/>
        </w:rPr>
        <w:t>抓好队伍组建。建立合适的人力组织结构体系,明确岗位名称、职级、人员配置、工作职责范围、工作质量标准，理顺各部门人员之间的隶属关系；</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2.4.1.2</w:t>
      </w:r>
      <w:r>
        <w:rPr>
          <w:rFonts w:hint="eastAsia" w:ascii="仿宋" w:hAnsi="仿宋" w:eastAsia="仿宋" w:cs="仿宋"/>
          <w:color w:val="auto"/>
          <w:sz w:val="24"/>
          <w:highlight w:val="none"/>
        </w:rPr>
        <w:t>加强专业培训。有计划开展培训，不断提高员工的工作责任意识和服务保障意识，确保各岗位的操作和服务规范有序；</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2.4.1.3</w:t>
      </w:r>
      <w:r>
        <w:rPr>
          <w:rFonts w:hint="eastAsia" w:ascii="仿宋" w:hAnsi="仿宋" w:eastAsia="仿宋" w:cs="仿宋"/>
          <w:color w:val="auto"/>
          <w:sz w:val="24"/>
          <w:highlight w:val="none"/>
        </w:rPr>
        <w:t>严格考核机制。结合每一岗位的工作情况，落实相应的奖惩激励措施。</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2.4.2</w:t>
      </w:r>
      <w:r>
        <w:rPr>
          <w:rFonts w:hint="eastAsia" w:ascii="仿宋" w:hAnsi="仿宋" w:eastAsia="仿宋" w:cs="仿宋"/>
          <w:b/>
          <w:color w:val="auto"/>
          <w:sz w:val="24"/>
          <w:highlight w:val="none"/>
        </w:rPr>
        <w:t>安全管理：</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2.4.2.1</w:t>
      </w:r>
      <w:r>
        <w:rPr>
          <w:rFonts w:hint="eastAsia" w:ascii="仿宋" w:hAnsi="仿宋" w:eastAsia="仿宋" w:cs="仿宋"/>
          <w:color w:val="auto"/>
          <w:sz w:val="24"/>
          <w:highlight w:val="none"/>
        </w:rPr>
        <w:t>树立防范意识。抓好食品安全和生产安全教育、培训、制度、监督、考核等管理工作，确保安全零事故，承担安全管理责任；</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2.4.2.2</w:t>
      </w:r>
      <w:r>
        <w:rPr>
          <w:rFonts w:hint="eastAsia" w:ascii="仿宋" w:hAnsi="仿宋" w:eastAsia="仿宋" w:cs="仿宋"/>
          <w:color w:val="auto"/>
          <w:sz w:val="24"/>
          <w:highlight w:val="none"/>
        </w:rPr>
        <w:t>重视食品安全。从原料验收、洗刷切配、烹饪加工、生熟隔离、冷鲜处理、半成品存储、成品保护等各环节着手，杜绝食品安全事故的发生。严格执行索证制度，农药测试制度，预防食物中毒发生。因供应商方管理不善造成用餐人员食物中毒，由供应商负全部责任。</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2.4.2.3</w:t>
      </w:r>
      <w:r>
        <w:rPr>
          <w:rFonts w:hint="eastAsia" w:ascii="仿宋" w:hAnsi="仿宋" w:eastAsia="仿宋" w:cs="仿宋"/>
          <w:color w:val="auto"/>
          <w:sz w:val="24"/>
          <w:highlight w:val="none"/>
        </w:rPr>
        <w:t>强化安全生产。严格遵守设备操作规程，防止发生人身设备安全事故。加强日常规范管理，防止割伤、跌伤、撞伤、扭伤、烧烫伤、触电等常见事故的发生，防止电器失火、烹调起火、抽烟失火、管道起火、加热设备起火以及其它人为因素造成的火灾等事故的发生。下班后和设备使用完后落实关气、关电、关水、关门检查制度，预防火灾、偷盗事件发生。定期邀请消防、安监、市场监督管理局等部门进行食堂安全检查，查看操作是否符合要求。</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2.4.3</w:t>
      </w:r>
      <w:r>
        <w:rPr>
          <w:rFonts w:hint="eastAsia" w:ascii="仿宋" w:hAnsi="仿宋" w:eastAsia="仿宋" w:cs="仿宋"/>
          <w:b/>
          <w:color w:val="auto"/>
          <w:sz w:val="24"/>
          <w:highlight w:val="none"/>
        </w:rPr>
        <w:t>卫生管理：</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2.4.3.1</w:t>
      </w:r>
      <w:r>
        <w:rPr>
          <w:rFonts w:hint="eastAsia" w:ascii="仿宋" w:hAnsi="仿宋" w:eastAsia="仿宋" w:cs="仿宋"/>
          <w:color w:val="auto"/>
          <w:sz w:val="24"/>
          <w:highlight w:val="none"/>
        </w:rPr>
        <w:t>抓好环境卫生。落实环境通风、四害消杀、垃圾处理等措施，厨房内部、售餐间和餐厅等各区域卫生保洁要做到定时清扫和随时保洁相结合，每天拖、洗地面三次，每周进行一次大扫除。卫生、服务、餐饮质量达到酒店三星级标准，自觉接受卫生管理部门和招标管理人员对食堂工作检查、监督。</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2.4.3.2</w:t>
      </w:r>
      <w:r>
        <w:rPr>
          <w:rFonts w:hint="eastAsia" w:ascii="仿宋" w:hAnsi="仿宋" w:eastAsia="仿宋" w:cs="仿宋"/>
          <w:color w:val="auto"/>
          <w:sz w:val="24"/>
          <w:highlight w:val="none"/>
        </w:rPr>
        <w:t>抓好</w:t>
      </w:r>
      <w:r>
        <w:rPr>
          <w:rFonts w:hint="eastAsia" w:ascii="仿宋" w:hAnsi="仿宋" w:eastAsia="仿宋" w:cs="仿宋"/>
          <w:bCs/>
          <w:color w:val="auto"/>
          <w:sz w:val="24"/>
          <w:highlight w:val="none"/>
        </w:rPr>
        <w:t>作业卫生。落实</w:t>
      </w:r>
      <w:r>
        <w:rPr>
          <w:rFonts w:hint="eastAsia" w:ascii="仿宋" w:hAnsi="仿宋" w:eastAsia="仿宋" w:cs="仿宋"/>
          <w:color w:val="auto"/>
          <w:sz w:val="24"/>
          <w:highlight w:val="none"/>
        </w:rPr>
        <w:t>炉灶作业、配菜间、冷菜间、点心间、粗加工间、洗涤间等区域的卫生管理，做好洗、切、配等各道程序的作业卫生工作；</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2.4.3.3</w:t>
      </w:r>
      <w:r>
        <w:rPr>
          <w:rFonts w:hint="eastAsia" w:ascii="仿宋" w:hAnsi="仿宋" w:eastAsia="仿宋" w:cs="仿宋"/>
          <w:color w:val="auto"/>
          <w:sz w:val="24"/>
          <w:highlight w:val="none"/>
        </w:rPr>
        <w:t>抓好个人卫生。工作人员必须有良好的卫生习惯，每年必须参加体检，持证上岗。工作期间，工作衣、帽整洁统一，工号、口罩佩戴到位。</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2.4.3.4</w:t>
      </w:r>
      <w:r>
        <w:rPr>
          <w:rFonts w:hint="eastAsia" w:ascii="仿宋" w:hAnsi="仿宋" w:eastAsia="仿宋" w:cs="仿宋"/>
          <w:color w:val="auto"/>
          <w:sz w:val="24"/>
          <w:highlight w:val="none"/>
        </w:rPr>
        <w:t>做好食堂垃圾分类及垃圾处理工作，按指定地点分类设置，不得随意放置。</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2.4.4</w:t>
      </w:r>
      <w:r>
        <w:rPr>
          <w:rFonts w:hint="eastAsia" w:ascii="仿宋" w:hAnsi="仿宋" w:eastAsia="仿宋" w:cs="仿宋"/>
          <w:b/>
          <w:color w:val="auto"/>
          <w:sz w:val="24"/>
          <w:highlight w:val="none"/>
        </w:rPr>
        <w:t>成本管理：</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2.4.4.1</w:t>
      </w:r>
      <w:r>
        <w:rPr>
          <w:rFonts w:hint="eastAsia" w:ascii="仿宋" w:hAnsi="仿宋" w:eastAsia="仿宋" w:cs="仿宋"/>
          <w:color w:val="auto"/>
          <w:sz w:val="24"/>
          <w:highlight w:val="none"/>
        </w:rPr>
        <w:t>加强成本核算。抓好餐饮原料、物料和能耗的综合管理工作，配合采购人做好成本核算；</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2.4.4.2</w:t>
      </w:r>
      <w:r>
        <w:rPr>
          <w:rFonts w:hint="eastAsia" w:ascii="仿宋" w:hAnsi="仿宋" w:eastAsia="仿宋" w:cs="仿宋"/>
          <w:color w:val="auto"/>
          <w:sz w:val="24"/>
          <w:highlight w:val="none"/>
        </w:rPr>
        <w:t>精准数量统计。做好每日各品种菜肴的原料消耗数量、成品数量、销售数量的统计；</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2.4.4.3</w:t>
      </w:r>
      <w:r>
        <w:rPr>
          <w:rFonts w:hint="eastAsia" w:ascii="仿宋" w:hAnsi="仿宋" w:eastAsia="仿宋" w:cs="仿宋"/>
          <w:color w:val="auto"/>
          <w:sz w:val="24"/>
          <w:highlight w:val="none"/>
        </w:rPr>
        <w:t>控制损耗浪费。结合食堂具体情况，在做好保障的基础上，抓好原材料损耗和能源消耗等加工成本的管控，抓好供需配比和成品浪费等成品和半成品的控制，努力降低损耗，提高绩效，力争代购代销食品无损耗，加工制作食品少损耗，全年实现食堂收支平衡。</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2.4.5</w:t>
      </w:r>
      <w:r>
        <w:rPr>
          <w:rFonts w:hint="eastAsia" w:ascii="仿宋" w:hAnsi="仿宋" w:eastAsia="仿宋" w:cs="仿宋"/>
          <w:b/>
          <w:color w:val="auto"/>
          <w:sz w:val="24"/>
          <w:highlight w:val="none"/>
        </w:rPr>
        <w:t>服务管理：</w:t>
      </w:r>
      <w:r>
        <w:rPr>
          <w:rFonts w:hint="eastAsia" w:ascii="仿宋" w:hAnsi="仿宋" w:eastAsia="仿宋" w:cs="仿宋"/>
          <w:color w:val="auto"/>
          <w:sz w:val="24"/>
          <w:highlight w:val="none"/>
        </w:rPr>
        <w:t>着眼机关食堂服务保障特点，立足餐饮行业的服务规范要求，从服务形象、服务品质、服务规范上不断维护、创新、改进，做好群体性服务和个性化服务的有机统一，努力提高机关干部对餐饮服务的满意率。</w:t>
      </w:r>
    </w:p>
    <w:p>
      <w:pPr>
        <w:snapToGrid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2.4.6</w:t>
      </w:r>
      <w:r>
        <w:rPr>
          <w:rFonts w:hint="eastAsia" w:ascii="仿宋" w:hAnsi="仿宋" w:eastAsia="仿宋" w:cs="仿宋"/>
          <w:b/>
          <w:color w:val="auto"/>
          <w:sz w:val="24"/>
          <w:highlight w:val="none"/>
        </w:rPr>
        <w:t>设备管理：</w:t>
      </w:r>
      <w:r>
        <w:rPr>
          <w:rFonts w:hint="eastAsia" w:ascii="仿宋" w:hAnsi="仿宋" w:eastAsia="仿宋" w:cs="仿宋"/>
          <w:color w:val="auto"/>
          <w:sz w:val="24"/>
          <w:highlight w:val="none"/>
        </w:rPr>
        <w:t>抓好设施设备的使用管理，严格落实设施设备的安全操作和正常维护措施，高效使用现有设施设备，确保设施设备的正常运行。正常损耗、维修费用由甲方承担；非正常损坏，维修费用由乙方承担，不能修复的按折旧价赔偿。餐具的正常年度破损率控制在5%以内，超过破损率乙方负责赔偿。</w:t>
      </w:r>
    </w:p>
    <w:p>
      <w:pPr>
        <w:snapToGrid w:val="0"/>
        <w:spacing w:line="440" w:lineRule="exact"/>
        <w:ind w:firstLine="482" w:firstLineChars="200"/>
        <w:rPr>
          <w:rFonts w:hint="eastAsia" w:ascii="仿宋" w:hAnsi="仿宋" w:eastAsia="仿宋" w:cs="仿宋"/>
          <w:b/>
          <w:bCs/>
          <w:color w:val="auto"/>
          <w:kern w:val="44"/>
          <w:sz w:val="24"/>
          <w:highlight w:val="none"/>
        </w:rPr>
      </w:pPr>
      <w:bookmarkStart w:id="49" w:name="_Toc416098594"/>
      <w:r>
        <w:rPr>
          <w:rFonts w:hint="eastAsia" w:ascii="仿宋" w:hAnsi="仿宋" w:eastAsia="仿宋" w:cs="仿宋"/>
          <w:b/>
          <w:bCs/>
          <w:color w:val="auto"/>
          <w:kern w:val="44"/>
          <w:sz w:val="24"/>
          <w:highlight w:val="none"/>
          <w:lang w:val="en-US" w:eastAsia="zh-CN"/>
        </w:rPr>
        <w:t>2.5</w:t>
      </w:r>
      <w:r>
        <w:rPr>
          <w:rFonts w:hint="eastAsia" w:ascii="仿宋" w:hAnsi="仿宋" w:eastAsia="仿宋" w:cs="仿宋"/>
          <w:b/>
          <w:bCs/>
          <w:color w:val="auto"/>
          <w:kern w:val="44"/>
          <w:sz w:val="24"/>
          <w:highlight w:val="none"/>
        </w:rPr>
        <w:t>监督考评</w:t>
      </w:r>
      <w:bookmarkEnd w:id="49"/>
      <w:r>
        <w:rPr>
          <w:rFonts w:hint="eastAsia" w:ascii="仿宋" w:hAnsi="仿宋" w:eastAsia="仿宋" w:cs="仿宋"/>
          <w:b/>
          <w:bCs/>
          <w:color w:val="auto"/>
          <w:kern w:val="44"/>
          <w:sz w:val="24"/>
          <w:highlight w:val="none"/>
        </w:rPr>
        <w:t>方面</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kern w:val="44"/>
          <w:sz w:val="24"/>
          <w:highlight w:val="none"/>
          <w:lang w:val="en-US" w:eastAsia="zh-CN"/>
        </w:rPr>
        <w:t>2.5.1</w:t>
      </w:r>
      <w:r>
        <w:rPr>
          <w:rFonts w:hint="eastAsia" w:ascii="仿宋" w:hAnsi="仿宋" w:eastAsia="仿宋" w:cs="仿宋"/>
          <w:color w:val="auto"/>
          <w:sz w:val="24"/>
          <w:highlight w:val="none"/>
        </w:rPr>
        <w:t xml:space="preserve"> 采购人对供应商实行监督考核，餐务涉及的所有区域和操作过程都属于监管范围。</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bCs/>
          <w:color w:val="auto"/>
          <w:kern w:val="44"/>
          <w:sz w:val="24"/>
          <w:highlight w:val="none"/>
          <w:lang w:val="en-US" w:eastAsia="zh-CN"/>
        </w:rPr>
        <w:t>2.5.2</w:t>
      </w:r>
      <w:r>
        <w:rPr>
          <w:rFonts w:hint="eastAsia" w:ascii="仿宋" w:hAnsi="仿宋" w:eastAsia="仿宋" w:cs="仿宋"/>
          <w:color w:val="auto"/>
          <w:sz w:val="24"/>
          <w:highlight w:val="none"/>
        </w:rPr>
        <w:t>采购人从供餐质量、服务质量、卫生标准、设备使用、成本管控、安全生产、日常管理、先进荣誉等方面定期对供应商进行检查和突击抽查，并根据检查、测评情况对乙方进行相应的奖励、处罚甚至中止托管合同。</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2.5.3</w:t>
      </w:r>
      <w:r>
        <w:rPr>
          <w:rFonts w:hint="eastAsia" w:ascii="仿宋" w:hAnsi="仿宋" w:eastAsia="仿宋" w:cs="仿宋"/>
          <w:color w:val="auto"/>
          <w:sz w:val="24"/>
          <w:highlight w:val="none"/>
        </w:rPr>
        <w:t>供应商须根据行业规范抓好日常管理，确保采购人食堂原有荣誉续存，争创行业新荣誉。</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2.5.4</w:t>
      </w:r>
      <w:r>
        <w:rPr>
          <w:rFonts w:hint="eastAsia" w:ascii="仿宋" w:hAnsi="仿宋" w:eastAsia="仿宋" w:cs="仿宋"/>
          <w:color w:val="auto"/>
          <w:sz w:val="24"/>
          <w:highlight w:val="none"/>
        </w:rPr>
        <w:t>供应商不得以任何形式转租、转让、抵押承包区域，在承包区域只从事采购人认可的服务工作。在承包期间，供应商的任何股份配置变动应通知采购人。未经采购人书面批准，任何占有支配地位的股份转让者将视为供应商出租、转让的行为。一经发现，采购人有权取消其受托资格，并给予经济处罚或诉讼法律。</w:t>
      </w:r>
    </w:p>
    <w:p>
      <w:pPr>
        <w:snapToGrid w:val="0"/>
        <w:spacing w:line="440" w:lineRule="exact"/>
        <w:ind w:firstLine="480" w:firstLineChars="200"/>
        <w:rPr>
          <w:rFonts w:hint="eastAsia" w:ascii="仿宋" w:hAnsi="仿宋" w:eastAsia="仿宋" w:cs="仿宋"/>
          <w:b/>
          <w:bCs/>
          <w:color w:val="auto"/>
          <w:kern w:val="44"/>
          <w:sz w:val="24"/>
          <w:highlight w:val="none"/>
        </w:rPr>
      </w:pPr>
      <w:r>
        <w:rPr>
          <w:rFonts w:hint="eastAsia" w:ascii="仿宋" w:hAnsi="仿宋" w:eastAsia="仿宋" w:cs="仿宋"/>
          <w:color w:val="auto"/>
          <w:sz w:val="24"/>
          <w:highlight w:val="none"/>
          <w:lang w:val="en-US" w:eastAsia="zh-CN"/>
        </w:rPr>
        <w:t>2.5.5</w:t>
      </w:r>
      <w:r>
        <w:rPr>
          <w:rFonts w:hint="eastAsia" w:ascii="仿宋" w:hAnsi="仿宋" w:eastAsia="仿宋" w:cs="仿宋"/>
          <w:color w:val="auto"/>
          <w:sz w:val="24"/>
          <w:highlight w:val="none"/>
        </w:rPr>
        <w:t>供应商不得经营餐饮之外的任何业务，如果超范围经营，需经双方协商。</w:t>
      </w:r>
    </w:p>
    <w:p>
      <w:pPr>
        <w:snapToGrid w:val="0"/>
        <w:spacing w:line="440" w:lineRule="exact"/>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2.6</w:t>
      </w:r>
      <w:r>
        <w:rPr>
          <w:rFonts w:hint="eastAsia" w:ascii="仿宋" w:hAnsi="仿宋" w:eastAsia="仿宋" w:cs="仿宋"/>
          <w:b/>
          <w:bCs/>
          <w:color w:val="auto"/>
          <w:kern w:val="44"/>
          <w:sz w:val="24"/>
          <w:highlight w:val="none"/>
        </w:rPr>
        <w:t>服务费用方面</w:t>
      </w:r>
    </w:p>
    <w:p>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2.6.1本项目投标报价为年度服务劳务报价及管理费报价。供应商的劳务报价应包括为完成本项目配置的所有工作人员的一切费用，包括工资（含相应的税金）、加班费（含节假日加班等）、福利及社会保险及可能向员工提供的交通费用；供应商的管理费报价应包括完成本项目投入的间接人员的费用、管理资源投入费用、办公费用、利润以及款项支付过程产生的税金等。供应商对合法用工及用工风险全面承包。</w:t>
      </w:r>
    </w:p>
    <w:p>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2.6.2采购人根据合同支付供应商的餐饮劳务外包服务费。</w:t>
      </w:r>
    </w:p>
    <w:p>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2.6.3 供应商所涉及的员工聘用、工资福利、考勤考核、劳资纠纷等所有内部管理事务由供应商自行负责。</w:t>
      </w:r>
    </w:p>
    <w:p>
      <w:pPr>
        <w:snapToGrid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2.6.4如食堂有特殊接待任务，供应商务必配备相应数量及专业的服务人员以满足食堂运行的正常需要。投标单位应考虑节假日、工作日加班、公务接待、政府重大活动、抗疫防台抗寒等突发性应急处置期间加班费用，采购人不再另行支付。</w:t>
      </w:r>
    </w:p>
    <w:p>
      <w:pPr>
        <w:spacing w:line="440" w:lineRule="exact"/>
        <w:ind w:firstLine="602" w:firstLineChars="250"/>
        <w:rPr>
          <w:rFonts w:hint="eastAsia" w:ascii="仿宋" w:hAnsi="仿宋" w:eastAsia="仿宋" w:cs="仿宋"/>
          <w:b/>
          <w:sz w:val="24"/>
          <w:highlight w:val="none"/>
        </w:rPr>
      </w:pPr>
    </w:p>
    <w:p>
      <w:pPr>
        <w:spacing w:line="440" w:lineRule="exact"/>
        <w:ind w:firstLine="602" w:firstLineChars="250"/>
        <w:rPr>
          <w:rFonts w:hint="eastAsia" w:ascii="仿宋" w:hAnsi="仿宋" w:eastAsia="仿宋" w:cs="仿宋"/>
          <w:b/>
          <w:sz w:val="24"/>
          <w:highlight w:val="none"/>
        </w:rPr>
      </w:pPr>
    </w:p>
    <w:bookmarkEnd w:id="48"/>
    <w:p>
      <w:pPr>
        <w:widowControl/>
        <w:snapToGrid w:val="0"/>
        <w:spacing w:line="480" w:lineRule="exact"/>
        <w:rPr>
          <w:rFonts w:ascii="仿宋" w:eastAsia="仿宋"/>
          <w:kern w:val="0"/>
          <w:sz w:val="24"/>
          <w:highlight w:val="none"/>
        </w:rPr>
      </w:pPr>
    </w:p>
    <w:p>
      <w:pPr>
        <w:snapToGrid w:val="0"/>
        <w:spacing w:line="360" w:lineRule="auto"/>
        <w:jc w:val="center"/>
        <w:rPr>
          <w:rFonts w:hint="eastAsia" w:ascii="仿宋" w:hAnsi="仿宋" w:eastAsia="仿宋"/>
          <w:b/>
          <w:sz w:val="28"/>
          <w:szCs w:val="28"/>
          <w:highlight w:val="none"/>
        </w:rPr>
      </w:pPr>
      <w:r>
        <w:rPr>
          <w:rFonts w:hint="eastAsia" w:ascii="仿宋" w:hAnsi="仿宋" w:eastAsia="仿宋" w:cs="仿宋_GB2312"/>
          <w:b/>
          <w:sz w:val="32"/>
          <w:highlight w:val="none"/>
        </w:rPr>
        <w:t>三、商务要求</w:t>
      </w:r>
    </w:p>
    <w:p>
      <w:pPr>
        <w:widowControl/>
        <w:snapToGrid w:val="0"/>
        <w:spacing w:line="360" w:lineRule="auto"/>
        <w:rPr>
          <w:rFonts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3.1服务期限</w:t>
      </w:r>
    </w:p>
    <w:p>
      <w:pPr>
        <w:widowControl/>
        <w:snapToGrid w:val="0"/>
        <w:spacing w:line="360" w:lineRule="auto"/>
        <w:ind w:firstLine="480" w:firstLineChars="200"/>
        <w:rPr>
          <w:rFonts w:hint="eastAsia" w:ascii="仿宋" w:hAnsi="仿宋" w:eastAsia="仿宋" w:cs="仿宋"/>
          <w:bCs/>
          <w:sz w:val="24"/>
          <w:highlight w:val="none"/>
          <w:lang w:eastAsia="zh-CN"/>
        </w:rPr>
      </w:pPr>
      <w:r>
        <w:rPr>
          <w:rFonts w:hint="eastAsia" w:ascii="仿宋" w:hAnsi="仿宋" w:eastAsia="仿宋"/>
          <w:sz w:val="24"/>
          <w:szCs w:val="28"/>
          <w:highlight w:val="none"/>
          <w:u w:val="single"/>
        </w:rPr>
        <w:t>服务期限1年</w:t>
      </w:r>
      <w:r>
        <w:rPr>
          <w:rFonts w:hint="eastAsia" w:ascii="仿宋" w:hAnsi="仿宋" w:eastAsia="仿宋"/>
          <w:sz w:val="24"/>
          <w:szCs w:val="28"/>
          <w:highlight w:val="none"/>
          <w:u w:val="single"/>
          <w:lang w:eastAsia="zh-CN"/>
        </w:rPr>
        <w:t>（</w:t>
      </w:r>
      <w:r>
        <w:rPr>
          <w:rFonts w:hint="eastAsia" w:ascii="仿宋" w:hAnsi="仿宋" w:eastAsia="仿宋"/>
          <w:sz w:val="24"/>
          <w:szCs w:val="28"/>
          <w:highlight w:val="none"/>
          <w:u w:val="single"/>
          <w:lang w:val="en-US" w:eastAsia="zh-CN"/>
        </w:rPr>
        <w:t>合同签订之日起计</w:t>
      </w:r>
      <w:r>
        <w:rPr>
          <w:rFonts w:hint="eastAsia" w:ascii="仿宋" w:hAnsi="仿宋" w:eastAsia="仿宋"/>
          <w:sz w:val="24"/>
          <w:szCs w:val="28"/>
          <w:highlight w:val="none"/>
          <w:u w:val="single"/>
          <w:lang w:eastAsia="zh-CN"/>
        </w:rPr>
        <w:t>）</w:t>
      </w:r>
    </w:p>
    <w:p>
      <w:pPr>
        <w:widowControl/>
        <w:snapToGrid w:val="0"/>
        <w:spacing w:line="360" w:lineRule="auto"/>
        <w:rPr>
          <w:rFonts w:ascii="仿宋" w:eastAsia="仿宋"/>
          <w:b/>
          <w:bCs/>
          <w:sz w:val="24"/>
          <w:highlight w:val="none"/>
        </w:rPr>
      </w:pPr>
      <w:r>
        <w:rPr>
          <w:rFonts w:hint="eastAsia" w:ascii="仿宋" w:hAnsi="仿宋" w:eastAsia="仿宋" w:cs="仿宋"/>
          <w:b/>
          <w:bCs/>
          <w:color w:val="auto"/>
          <w:sz w:val="24"/>
          <w:highlight w:val="none"/>
          <w:lang w:val="zh-CN"/>
        </w:rPr>
        <w:t>★</w:t>
      </w:r>
      <w:r>
        <w:rPr>
          <w:rFonts w:hint="eastAsia" w:ascii="仿宋" w:eastAsia="仿宋"/>
          <w:b/>
          <w:bCs/>
          <w:sz w:val="24"/>
          <w:highlight w:val="none"/>
        </w:rPr>
        <w:t>3.2数量调整</w:t>
      </w:r>
    </w:p>
    <w:p>
      <w:pPr>
        <w:widowControl/>
        <w:snapToGrid w:val="0"/>
        <w:spacing w:line="360" w:lineRule="auto"/>
        <w:ind w:firstLine="480" w:firstLineChars="200"/>
        <w:rPr>
          <w:rFonts w:ascii="仿宋" w:eastAsia="仿宋"/>
          <w:kern w:val="0"/>
          <w:sz w:val="24"/>
          <w:highlight w:val="none"/>
        </w:rPr>
      </w:pPr>
      <w:r>
        <w:rPr>
          <w:rFonts w:hint="eastAsia" w:ascii="仿宋" w:eastAsia="仿宋"/>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3.3付款方式</w:t>
      </w:r>
    </w:p>
    <w:p>
      <w:pPr>
        <w:snapToGrid w:val="0"/>
        <w:spacing w:line="440" w:lineRule="exact"/>
        <w:ind w:firstLine="480" w:firstLineChars="200"/>
        <w:rPr>
          <w:rFonts w:hint="eastAsia" w:ascii="仿宋" w:hAnsi="仿宋" w:eastAsia="仿宋" w:cs="仿宋"/>
          <w:bCs/>
          <w:kern w:val="44"/>
          <w:sz w:val="24"/>
          <w:highlight w:val="none"/>
        </w:rPr>
      </w:pPr>
      <w:r>
        <w:rPr>
          <w:rFonts w:hint="eastAsia" w:ascii="仿宋" w:hAnsi="仿宋" w:eastAsia="仿宋" w:cs="仿宋"/>
          <w:bCs/>
          <w:kern w:val="44"/>
          <w:sz w:val="24"/>
          <w:highlight w:val="none"/>
        </w:rPr>
        <w:t>3.3.1采购人根据实际每月考核结果进行审核，具体支付金额根据实际考核情况按实调整，经审批同意后按月支付服务费，乙方按要求出具发票，无特殊情况采购人于次月付款。支付的服务费为含税费用等一切费用。</w:t>
      </w:r>
    </w:p>
    <w:p>
      <w:pPr>
        <w:widowControl/>
        <w:snapToGrid w:val="0"/>
        <w:spacing w:line="360" w:lineRule="auto"/>
        <w:ind w:firstLine="480" w:firstLineChars="200"/>
        <w:rPr>
          <w:rFonts w:hint="eastAsia" w:ascii="仿宋" w:hAnsi="仿宋" w:eastAsia="仿宋" w:cs="仿宋"/>
          <w:bCs/>
          <w:kern w:val="44"/>
          <w:sz w:val="24"/>
          <w:highlight w:val="none"/>
        </w:rPr>
      </w:pPr>
      <w:r>
        <w:rPr>
          <w:rFonts w:hint="eastAsia" w:ascii="仿宋" w:eastAsia="仿宋"/>
          <w:kern w:val="0"/>
          <w:sz w:val="24"/>
          <w:highlight w:val="none"/>
        </w:rPr>
        <w:t>3.3.2涉及中小企业合同的，付款根据浙财采监〔2022〕3号文件相关规定执行。</w:t>
      </w:r>
    </w:p>
    <w:p>
      <w:pPr>
        <w:widowControl/>
        <w:snapToGrid w:val="0"/>
        <w:spacing w:line="360" w:lineRule="auto"/>
        <w:rPr>
          <w:rFonts w:hint="eastAsia" w:ascii="仿宋" w:eastAsia="仿宋"/>
          <w:b/>
          <w:bCs/>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3.4监督、考核</w:t>
      </w:r>
    </w:p>
    <w:p>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1.采购方根据考核细则对中标方的食堂服务情况进行督导检查，实施每月考核，考核结果以书面形式通知中标方，中标方必需针对考核结果进行书面反馈。</w:t>
      </w:r>
    </w:p>
    <w:p>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highlight w:val="none"/>
        </w:rPr>
        <w:t xml:space="preserve"> </w:t>
      </w:r>
      <w:r>
        <w:rPr>
          <w:rFonts w:hint="eastAsia" w:ascii="仿宋_GB2312" w:hAnsi="仿宋" w:eastAsia="仿宋_GB2312" w:cs="仿宋"/>
          <w:sz w:val="24"/>
          <w:highlight w:val="none"/>
        </w:rPr>
        <w:t>采购方对中标方食堂服务考核实行每月累计扣分制。得分在</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分（不含</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分）以上的，考核为合格，当月食堂服务费全额支付；得分在</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分以下（含</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w:t>
      </w:r>
      <w:r>
        <w:rPr>
          <w:rFonts w:hint="eastAsia" w:ascii="仿宋_GB2312" w:hAnsi="仿宋" w:eastAsia="仿宋_GB2312" w:cs="仿宋"/>
          <w:sz w:val="24"/>
          <w:highlight w:val="none"/>
          <w:lang w:val="en-US" w:eastAsia="zh-CN"/>
        </w:rPr>
        <w:t>70</w:t>
      </w:r>
      <w:r>
        <w:rPr>
          <w:rFonts w:hint="eastAsia" w:ascii="仿宋_GB2312" w:hAnsi="仿宋" w:eastAsia="仿宋_GB2312" w:cs="仿宋"/>
          <w:sz w:val="24"/>
          <w:highlight w:val="none"/>
        </w:rPr>
        <w:t>分（不含</w:t>
      </w:r>
      <w:r>
        <w:rPr>
          <w:rFonts w:hint="eastAsia" w:ascii="仿宋_GB2312" w:hAnsi="仿宋" w:eastAsia="仿宋_GB2312" w:cs="仿宋"/>
          <w:sz w:val="24"/>
          <w:highlight w:val="none"/>
          <w:lang w:val="en-US" w:eastAsia="zh-CN"/>
        </w:rPr>
        <w:t>70</w:t>
      </w:r>
      <w:r>
        <w:rPr>
          <w:rFonts w:hint="eastAsia" w:ascii="仿宋_GB2312" w:hAnsi="仿宋" w:eastAsia="仿宋_GB2312" w:cs="仿宋"/>
          <w:sz w:val="24"/>
          <w:highlight w:val="none"/>
        </w:rPr>
        <w:t>分）以上的，每扣1分扣除服务费500元；低于</w:t>
      </w:r>
      <w:r>
        <w:rPr>
          <w:rFonts w:hint="eastAsia" w:ascii="仿宋_GB2312" w:hAnsi="仿宋" w:eastAsia="仿宋_GB2312" w:cs="仿宋"/>
          <w:sz w:val="24"/>
          <w:highlight w:val="none"/>
          <w:lang w:val="en-US" w:eastAsia="zh-CN"/>
        </w:rPr>
        <w:t>70</w:t>
      </w:r>
      <w:r>
        <w:rPr>
          <w:rFonts w:hint="eastAsia" w:ascii="仿宋_GB2312" w:hAnsi="仿宋" w:eastAsia="仿宋_GB2312" w:cs="仿宋"/>
          <w:sz w:val="24"/>
          <w:highlight w:val="none"/>
        </w:rPr>
        <w:t>分（含</w:t>
      </w:r>
      <w:r>
        <w:rPr>
          <w:rFonts w:hint="eastAsia" w:ascii="仿宋_GB2312" w:hAnsi="仿宋" w:eastAsia="仿宋_GB2312" w:cs="仿宋"/>
          <w:sz w:val="24"/>
          <w:highlight w:val="none"/>
          <w:lang w:val="en-US" w:eastAsia="zh-CN"/>
        </w:rPr>
        <w:t>70</w:t>
      </w:r>
      <w:r>
        <w:rPr>
          <w:rFonts w:hint="eastAsia" w:ascii="仿宋_GB2312" w:hAnsi="仿宋" w:eastAsia="仿宋_GB2312" w:cs="仿宋"/>
          <w:sz w:val="24"/>
          <w:highlight w:val="none"/>
        </w:rPr>
        <w:t>分）的，每扣1分扣除服务费1000元。加分由中标方依据加分事项自行申报，</w:t>
      </w:r>
      <w:r>
        <w:rPr>
          <w:rFonts w:hint="eastAsia" w:ascii="仿宋_GB2312" w:hAnsi="仿宋" w:eastAsia="仿宋_GB2312" w:cs="仿宋"/>
          <w:sz w:val="24"/>
          <w:highlight w:val="none"/>
          <w:lang w:val="en-US" w:eastAsia="zh-CN"/>
        </w:rPr>
        <w:t>办公室</w:t>
      </w:r>
      <w:r>
        <w:rPr>
          <w:rFonts w:hint="eastAsia" w:ascii="仿宋_GB2312" w:hAnsi="仿宋" w:eastAsia="仿宋_GB2312" w:cs="仿宋"/>
          <w:sz w:val="24"/>
          <w:highlight w:val="none"/>
        </w:rPr>
        <w:t>初审，</w:t>
      </w:r>
      <w:r>
        <w:rPr>
          <w:rFonts w:hint="eastAsia" w:ascii="仿宋_GB2312" w:hAnsi="仿宋" w:eastAsia="仿宋_GB2312" w:cs="仿宋"/>
          <w:sz w:val="24"/>
          <w:highlight w:val="none"/>
          <w:lang w:val="en-US" w:eastAsia="zh-CN"/>
        </w:rPr>
        <w:t>大队</w:t>
      </w:r>
      <w:r>
        <w:rPr>
          <w:rFonts w:hint="eastAsia" w:ascii="仿宋_GB2312" w:hAnsi="仿宋" w:eastAsia="仿宋_GB2312" w:cs="仿宋"/>
          <w:sz w:val="24"/>
          <w:highlight w:val="none"/>
        </w:rPr>
        <w:t>领导审核后予以加分。加分后超过100分的按100分计算。</w:t>
      </w:r>
    </w:p>
    <w:p>
      <w:pPr>
        <w:snapToGrid w:val="0"/>
        <w:spacing w:line="400" w:lineRule="exact"/>
        <w:ind w:firstLine="480" w:firstLineChars="200"/>
        <w:jc w:val="left"/>
        <w:rPr>
          <w:rFonts w:hint="eastAsia" w:ascii="仿宋_GB2312" w:hAnsi="仿宋" w:eastAsia="仿宋_GB2312" w:cs="仿宋"/>
          <w:sz w:val="24"/>
          <w:highlight w:val="none"/>
        </w:rPr>
      </w:pPr>
      <w:r>
        <w:rPr>
          <w:rFonts w:hint="eastAsia" w:ascii="仿宋_GB2312" w:hAnsi="仿宋" w:eastAsia="仿宋_GB2312" w:cs="仿宋"/>
          <w:sz w:val="24"/>
          <w:highlight w:val="none"/>
        </w:rPr>
        <w:t>3.中标方食堂服务月考核得分低于</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分（不含</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分）的，采购方将约谈中标方单位负责人，中标方应当立即按照约谈要求落实整改。合同期内，经两次约谈后，月考核得分再次低于</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分（不含</w:t>
      </w:r>
      <w:r>
        <w:rPr>
          <w:rFonts w:hint="eastAsia" w:ascii="仿宋_GB2312" w:hAnsi="仿宋" w:eastAsia="仿宋_GB2312" w:cs="仿宋"/>
          <w:sz w:val="24"/>
          <w:highlight w:val="none"/>
          <w:lang w:val="en-US" w:eastAsia="zh-CN"/>
        </w:rPr>
        <w:t>80</w:t>
      </w:r>
      <w:r>
        <w:rPr>
          <w:rFonts w:hint="eastAsia" w:ascii="仿宋_GB2312" w:hAnsi="仿宋" w:eastAsia="仿宋_GB2312" w:cs="仿宋"/>
          <w:sz w:val="24"/>
          <w:highlight w:val="none"/>
        </w:rPr>
        <w:t>分）的，采购方有权直接终止服务管理合同，并按实际服务期限和考核结果结算食堂服务管理费用。由于中标方管理原因，出现重大失误、事故（包括但不限于食品安全责任事故，安全生产事故等），采购方有权直接终止服务管理合同。</w:t>
      </w:r>
    </w:p>
    <w:p>
      <w:pPr>
        <w:snapToGrid w:val="0"/>
        <w:spacing w:line="40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highlight w:val="none"/>
        </w:rPr>
        <w:t xml:space="preserve"> </w:t>
      </w:r>
      <w:r>
        <w:rPr>
          <w:rFonts w:hint="eastAsia" w:ascii="仿宋_GB2312" w:hAnsi="仿宋" w:eastAsia="仿宋_GB2312" w:cs="仿宋"/>
          <w:sz w:val="24"/>
          <w:highlight w:val="none"/>
        </w:rPr>
        <w:t>食堂劳务外包服务考核标准分为100分，分别是综合管理（30分），服务质量（30分），卫生安全（30分），成本控制（10分）。另设加分项目。考核细则如下表：</w:t>
      </w:r>
    </w:p>
    <w:tbl>
      <w:tblPr>
        <w:tblStyle w:val="62"/>
        <w:tblW w:w="9006" w:type="dxa"/>
        <w:jc w:val="center"/>
        <w:tblInd w:w="0" w:type="dxa"/>
        <w:tblLayout w:type="fixed"/>
        <w:tblCellMar>
          <w:top w:w="0" w:type="dxa"/>
          <w:left w:w="108" w:type="dxa"/>
          <w:bottom w:w="0" w:type="dxa"/>
          <w:right w:w="108" w:type="dxa"/>
        </w:tblCellMar>
      </w:tblPr>
      <w:tblGrid>
        <w:gridCol w:w="535"/>
        <w:gridCol w:w="750"/>
        <w:gridCol w:w="4212"/>
        <w:gridCol w:w="2551"/>
        <w:gridCol w:w="958"/>
      </w:tblGrid>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序号</w:t>
            </w:r>
          </w:p>
        </w:tc>
        <w:tc>
          <w:tcPr>
            <w:tcW w:w="75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项目</w:t>
            </w:r>
          </w:p>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分类</w:t>
            </w: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内容</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扣分标准</w:t>
            </w:r>
          </w:p>
        </w:tc>
        <w:tc>
          <w:tcPr>
            <w:tcW w:w="958" w:type="dxa"/>
            <w:tcBorders>
              <w:top w:val="single" w:color="auto" w:sz="4" w:space="0"/>
              <w:left w:val="nil"/>
              <w:bottom w:val="single" w:color="auto" w:sz="4" w:space="0"/>
              <w:right w:val="single" w:color="auto" w:sz="4" w:space="0"/>
            </w:tcBorders>
            <w:noWrap w:val="0"/>
            <w:vAlign w:val="center"/>
          </w:tcPr>
          <w:p>
            <w:pPr>
              <w:snapToGrid w:val="0"/>
              <w:spacing w:line="32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分值</w:t>
            </w: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w:t>
            </w:r>
          </w:p>
        </w:tc>
        <w:tc>
          <w:tcPr>
            <w:tcW w:w="750" w:type="dxa"/>
            <w:vMerge w:val="restart"/>
            <w:tcBorders>
              <w:top w:val="single" w:color="auto" w:sz="4" w:space="0"/>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综合管理</w:t>
            </w: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人员（数量、岗位）未配置到位</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不符合规定的，每人次扣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30</w:t>
            </w:r>
            <w:r>
              <w:rPr>
                <w:rFonts w:hint="eastAsia" w:ascii="仿宋" w:hAnsi="仿宋" w:eastAsia="仿宋" w:cs="仿宋"/>
                <w:sz w:val="24"/>
                <w:highlight w:val="none"/>
              </w:rPr>
              <w:t>分</w:t>
            </w: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2</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根据招标文件，厨师长、厨师、面点师等应具备相应技术职称。</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未达到招标文件技术职称要求的。每人扣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3</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食堂人员必须持有有效健康证上岗，确保一人一证</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未取得健康证的每人扣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4</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食堂人员在岗期间，要求统一着工作服，头发置于工作帽内，着装整洁，仪表端庄、精神饱满；穿戴整洁，佩戴口罩、工牌。</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发现不规范的，每次扣</w:t>
            </w:r>
            <w:r>
              <w:rPr>
                <w:rFonts w:ascii="仿宋" w:hAnsi="仿宋" w:eastAsia="仿宋" w:cs="仿宋"/>
                <w:sz w:val="24"/>
                <w:highlight w:val="none"/>
              </w:rPr>
              <w:t>0.1</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5</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遵守工作纪律，遵守内部相关规定。上下班无迟到、早退；工作时间不做与工作无关的事情</w:t>
            </w:r>
            <w:r>
              <w:rPr>
                <w:rFonts w:ascii="仿宋" w:hAnsi="仿宋" w:eastAsia="仿宋" w:cs="仿宋"/>
                <w:sz w:val="24"/>
                <w:highlight w:val="none"/>
              </w:rPr>
              <w:t>(</w:t>
            </w:r>
            <w:r>
              <w:rPr>
                <w:rFonts w:hint="eastAsia" w:ascii="仿宋" w:hAnsi="仿宋" w:eastAsia="仿宋" w:cs="仿宋"/>
                <w:sz w:val="24"/>
                <w:highlight w:val="none"/>
              </w:rPr>
              <w:t>玩手机、游戏、聊天等</w:t>
            </w:r>
            <w:r>
              <w:rPr>
                <w:rFonts w:ascii="仿宋" w:hAnsi="仿宋" w:eastAsia="仿宋" w:cs="仿宋"/>
                <w:sz w:val="24"/>
                <w:highlight w:val="none"/>
              </w:rPr>
              <w:t>)</w:t>
            </w:r>
            <w:r>
              <w:rPr>
                <w:rFonts w:hint="eastAsia" w:ascii="仿宋" w:hAnsi="仿宋" w:eastAsia="仿宋" w:cs="仿宋"/>
                <w:sz w:val="24"/>
                <w:highlight w:val="none"/>
              </w:rPr>
              <w:t>。</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发现违反规定的，每人次扣</w:t>
            </w:r>
            <w:r>
              <w:rPr>
                <w:rFonts w:ascii="仿宋" w:hAnsi="仿宋" w:eastAsia="仿宋" w:cs="仿宋"/>
                <w:sz w:val="24"/>
                <w:highlight w:val="none"/>
              </w:rPr>
              <w:t>0.2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pStyle w:val="24"/>
              <w:spacing w:line="320" w:lineRule="exact"/>
              <w:ind w:firstLine="0"/>
              <w:rPr>
                <w:rFonts w:ascii="仿宋" w:hAnsi="仿宋" w:eastAsia="仿宋" w:cs="仿宋"/>
                <w:highlight w:val="none"/>
              </w:rPr>
            </w:pPr>
            <w:r>
              <w:rPr>
                <w:rFonts w:ascii="仿宋" w:hAnsi="仿宋" w:eastAsia="仿宋" w:cs="仿宋"/>
                <w:highlight w:val="none"/>
              </w:rPr>
              <w:t>6</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pStyle w:val="24"/>
              <w:spacing w:line="320" w:lineRule="exact"/>
              <w:ind w:firstLine="0"/>
              <w:rPr>
                <w:rFonts w:ascii="仿宋" w:hAnsi="仿宋" w:eastAsia="仿宋" w:cs="仿宋"/>
                <w:highlight w:val="none"/>
              </w:rPr>
            </w:pPr>
            <w:r>
              <w:rPr>
                <w:rFonts w:hint="eastAsia" w:ascii="仿宋" w:hAnsi="仿宋" w:eastAsia="仿宋" w:cs="仿宋"/>
                <w:highlight w:val="none"/>
              </w:rPr>
              <w:t>无正当理由，不服从甲方人员监督管理。</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发现的，每人次扣</w:t>
            </w:r>
            <w:r>
              <w:rPr>
                <w:rFonts w:ascii="仿宋" w:hAnsi="仿宋" w:eastAsia="仿宋" w:cs="仿宋"/>
                <w:sz w:val="24"/>
                <w:highlight w:val="none"/>
              </w:rPr>
              <w:t>1</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pStyle w:val="24"/>
              <w:spacing w:line="320" w:lineRule="exact"/>
              <w:ind w:firstLine="0"/>
              <w:rPr>
                <w:rFonts w:hint="eastAsia" w:ascii="仿宋" w:hAnsi="仿宋" w:eastAsia="仿宋" w:cs="仿宋"/>
                <w:highlight w:val="none"/>
                <w:lang w:val="en-US"/>
              </w:rPr>
            </w:pPr>
            <w:r>
              <w:rPr>
                <w:rFonts w:hint="eastAsia" w:ascii="仿宋" w:hAnsi="仿宋" w:eastAsia="仿宋" w:cs="仿宋"/>
                <w:highlight w:val="none"/>
                <w:lang w:val="en-US"/>
              </w:rPr>
              <w:t>7</w:t>
            </w:r>
          </w:p>
        </w:tc>
        <w:tc>
          <w:tcPr>
            <w:tcW w:w="750" w:type="dxa"/>
            <w:vMerge w:val="continue"/>
            <w:tcBorders>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pStyle w:val="24"/>
              <w:spacing w:line="320" w:lineRule="exact"/>
              <w:ind w:firstLine="0"/>
              <w:rPr>
                <w:rFonts w:ascii="仿宋" w:hAnsi="仿宋" w:eastAsia="仿宋" w:cs="仿宋"/>
                <w:szCs w:val="24"/>
                <w:highlight w:val="none"/>
                <w:lang w:val="en-US"/>
              </w:rPr>
            </w:pPr>
            <w:r>
              <w:rPr>
                <w:rFonts w:hint="eastAsia" w:ascii="仿宋" w:hAnsi="仿宋" w:eastAsia="仿宋" w:cs="仿宋"/>
                <w:szCs w:val="24"/>
                <w:highlight w:val="none"/>
                <w:lang w:val="en-US"/>
              </w:rPr>
              <w:t>工作</w:t>
            </w:r>
            <w:r>
              <w:rPr>
                <w:rFonts w:hint="eastAsia" w:ascii="仿宋" w:hAnsi="仿宋" w:eastAsia="仿宋" w:cs="仿宋"/>
                <w:szCs w:val="24"/>
                <w:highlight w:val="none"/>
              </w:rPr>
              <w:t>人员</w:t>
            </w:r>
            <w:r>
              <w:rPr>
                <w:rFonts w:hint="eastAsia" w:ascii="仿宋" w:hAnsi="仿宋" w:eastAsia="仿宋" w:cs="仿宋"/>
                <w:szCs w:val="24"/>
                <w:highlight w:val="none"/>
                <w:lang w:val="en-US"/>
              </w:rPr>
              <w:t>必须按要求人数全员上报，保证班次充足。</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发现的，每人次扣1分</w:t>
            </w:r>
          </w:p>
        </w:tc>
        <w:tc>
          <w:tcPr>
            <w:tcW w:w="958" w:type="dxa"/>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8</w:t>
            </w:r>
          </w:p>
        </w:tc>
        <w:tc>
          <w:tcPr>
            <w:tcW w:w="750" w:type="dxa"/>
            <w:vMerge w:val="restart"/>
            <w:tcBorders>
              <w:top w:val="single" w:color="auto" w:sz="4" w:space="0"/>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服务质量</w:t>
            </w:r>
          </w:p>
        </w:tc>
        <w:tc>
          <w:tcPr>
            <w:tcW w:w="421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未完成临时性供餐任务的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30</w:t>
            </w:r>
            <w:r>
              <w:rPr>
                <w:rFonts w:hint="eastAsia" w:ascii="仿宋" w:hAnsi="仿宋" w:eastAsia="仿宋" w:cs="仿宋"/>
                <w:sz w:val="24"/>
                <w:highlight w:val="none"/>
              </w:rPr>
              <w:t>分</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9</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未达到提供膳食品种、数量要求的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10</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包厢接待服务因人为原因，出现不及时、安排不到位的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11</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服务态度硬、冷、差，造成不良影响，引起投诉，查证属实的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每人次扣1分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12</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与就餐人员、同事发生争吵、打骂等行为的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每发现一次扣3分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13</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人为原因贻误开餐时间</w:t>
            </w:r>
            <w:r>
              <w:rPr>
                <w:rFonts w:ascii="仿宋" w:hAnsi="仿宋" w:eastAsia="仿宋" w:cs="仿宋"/>
                <w:sz w:val="24"/>
                <w:highlight w:val="none"/>
              </w:rPr>
              <w:t>10</w:t>
            </w:r>
            <w:r>
              <w:rPr>
                <w:rFonts w:hint="eastAsia" w:ascii="仿宋" w:hAnsi="仿宋" w:eastAsia="仿宋" w:cs="仿宋"/>
                <w:sz w:val="24"/>
                <w:highlight w:val="none"/>
              </w:rPr>
              <w:t>分钟以上的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每次扣3分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14</w:t>
            </w:r>
          </w:p>
        </w:tc>
        <w:tc>
          <w:tcPr>
            <w:tcW w:w="750" w:type="dxa"/>
            <w:vMerge w:val="continue"/>
            <w:tcBorders>
              <w:left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提供的餐食口味明显不好、质量差，就餐人员意见大，被投诉的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15</w:t>
            </w:r>
          </w:p>
        </w:tc>
        <w:tc>
          <w:tcPr>
            <w:tcW w:w="750" w:type="dxa"/>
            <w:vMerge w:val="continue"/>
            <w:tcBorders>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配合采购人进行机关食堂反食品浪费工作</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未配合完成相应工作的每项扣1分，被主管单位通报的每项扣3分</w:t>
            </w:r>
          </w:p>
        </w:tc>
        <w:tc>
          <w:tcPr>
            <w:tcW w:w="958" w:type="dxa"/>
            <w:tcBorders>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6</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 xml:space="preserve"> </w:t>
            </w:r>
          </w:p>
          <w:p>
            <w:pPr>
              <w:snapToGrid w:val="0"/>
              <w:spacing w:line="320" w:lineRule="exact"/>
              <w:jc w:val="left"/>
              <w:rPr>
                <w:rFonts w:ascii="仿宋" w:hAnsi="仿宋" w:eastAsia="仿宋" w:cs="仿宋"/>
                <w:sz w:val="24"/>
                <w:highlight w:val="none"/>
              </w:rPr>
            </w:pPr>
          </w:p>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卫生安全</w:t>
            </w: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未按程序清洗消毒存放餐具，餐具不洁，有残留物的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每发现一次扣1分</w:t>
            </w:r>
          </w:p>
        </w:tc>
        <w:tc>
          <w:tcPr>
            <w:tcW w:w="958" w:type="dxa"/>
            <w:vMerge w:val="restart"/>
            <w:tcBorders>
              <w:top w:val="single" w:color="auto" w:sz="4" w:space="0"/>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ascii="仿宋" w:hAnsi="仿宋" w:eastAsia="仿宋" w:cs="仿宋"/>
                <w:sz w:val="24"/>
                <w:highlight w:val="none"/>
              </w:rPr>
              <w:t>3</w:t>
            </w:r>
            <w:r>
              <w:rPr>
                <w:rFonts w:hint="eastAsia" w:ascii="仿宋" w:hAnsi="仿宋" w:eastAsia="仿宋" w:cs="仿宋"/>
                <w:sz w:val="24"/>
                <w:highlight w:val="none"/>
              </w:rPr>
              <w:t>0分</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7</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未按规定对菜品进行留样的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8</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未及时打扫卫生，就餐环境不整洁或就餐尚未结束，提前清场打扫卫生的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131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1</w:t>
            </w:r>
            <w:r>
              <w:rPr>
                <w:rFonts w:hint="eastAsia" w:ascii="仿宋" w:hAnsi="仿宋" w:eastAsia="仿宋" w:cs="仿宋"/>
                <w:sz w:val="24"/>
                <w:highlight w:val="none"/>
              </w:rPr>
              <w:t>9</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工作间、操作间、厨房间物品杂乱不整洁，发现老鼠、苍蝇，整体卫生环境差。</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20</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菜品中发现头发、昆虫、钢丝球球丝等杂物的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1</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烹饪制作中，未认真严格验收，出现过期、腐烂、变质食物的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2</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隔餐饭菜，未按规定方法处理就上柜供应的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1</w:t>
            </w:r>
            <w:r>
              <w:rPr>
                <w:rFonts w:hint="eastAsia" w:ascii="仿宋" w:hAnsi="仿宋" w:eastAsia="仿宋" w:cs="仿宋"/>
                <w:sz w:val="24"/>
                <w:highlight w:val="none"/>
              </w:rPr>
              <w:t>分</w:t>
            </w:r>
          </w:p>
        </w:tc>
        <w:tc>
          <w:tcPr>
            <w:tcW w:w="958" w:type="dxa"/>
            <w:vMerge w:val="continue"/>
            <w:tcBorders>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660"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3</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成本控制</w:t>
            </w: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下班未及时关电、水、气等未造成后果影响的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发现一次扣1分</w:t>
            </w:r>
          </w:p>
        </w:tc>
        <w:tc>
          <w:tcPr>
            <w:tcW w:w="958" w:type="dxa"/>
            <w:vMerge w:val="restart"/>
            <w:tcBorders>
              <w:top w:val="single" w:color="auto" w:sz="4" w:space="0"/>
              <w:left w:val="nil"/>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ascii="仿宋" w:hAnsi="仿宋" w:eastAsia="仿宋" w:cs="仿宋"/>
                <w:sz w:val="24"/>
                <w:highlight w:val="none"/>
              </w:rPr>
              <w:t>10</w:t>
            </w:r>
            <w:r>
              <w:rPr>
                <w:rFonts w:hint="eastAsia" w:ascii="仿宋" w:hAnsi="仿宋" w:eastAsia="仿宋" w:cs="仿宋"/>
                <w:sz w:val="24"/>
                <w:highlight w:val="none"/>
              </w:rPr>
              <w:t>分</w:t>
            </w:r>
          </w:p>
        </w:tc>
      </w:tr>
      <w:tr>
        <w:tblPrEx>
          <w:tblLayout w:type="fixed"/>
          <w:tblCellMar>
            <w:top w:w="0" w:type="dxa"/>
            <w:left w:w="108" w:type="dxa"/>
            <w:bottom w:w="0" w:type="dxa"/>
            <w:right w:w="108" w:type="dxa"/>
          </w:tblCellMar>
        </w:tblPrEx>
        <w:trPr>
          <w:trHeight w:val="69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4</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人为故意或不负责任造成原材料浪费的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发现一次扣</w:t>
            </w:r>
            <w:r>
              <w:rPr>
                <w:rFonts w:ascii="仿宋" w:hAnsi="仿宋" w:eastAsia="仿宋" w:cs="仿宋"/>
                <w:sz w:val="24"/>
                <w:highlight w:val="none"/>
              </w:rPr>
              <w:t>2</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675"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5</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食堂人员私自取用食材、成品或其他食堂用品用具的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第一次发现每人次扣</w:t>
            </w:r>
            <w:r>
              <w:rPr>
                <w:rFonts w:ascii="仿宋" w:hAnsi="仿宋" w:eastAsia="仿宋" w:cs="仿宋"/>
                <w:sz w:val="24"/>
                <w:highlight w:val="none"/>
              </w:rPr>
              <w:t>5</w:t>
            </w:r>
            <w:r>
              <w:rPr>
                <w:rFonts w:hint="eastAsia" w:ascii="仿宋" w:hAnsi="仿宋" w:eastAsia="仿宋" w:cs="仿宋"/>
                <w:sz w:val="24"/>
                <w:highlight w:val="none"/>
              </w:rPr>
              <w:t>分，合同期间发现两次（含）以上的，每次扣20分。</w:t>
            </w:r>
          </w:p>
        </w:tc>
        <w:tc>
          <w:tcPr>
            <w:tcW w:w="958" w:type="dxa"/>
            <w:vMerge w:val="continue"/>
            <w:tcBorders>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6</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奖励加分</w:t>
            </w: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配合甲方保质保量完成重大安保任务、重大活动用餐保障的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3</w:t>
            </w:r>
            <w:r>
              <w:rPr>
                <w:rFonts w:hint="eastAsia" w:ascii="仿宋" w:hAnsi="仿宋" w:eastAsia="仿宋" w:cs="仿宋"/>
                <w:sz w:val="24"/>
                <w:highlight w:val="none"/>
              </w:rPr>
              <w:t>分</w:t>
            </w:r>
          </w:p>
        </w:tc>
        <w:tc>
          <w:tcPr>
            <w:tcW w:w="958" w:type="dxa"/>
            <w:vMerge w:val="restart"/>
            <w:tcBorders>
              <w:top w:val="single" w:color="auto" w:sz="4" w:space="0"/>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p>
            <w:pPr>
              <w:snapToGrid w:val="0"/>
              <w:spacing w:line="32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　</w:t>
            </w: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7</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因表现出色，受到甲方主要领导表扬的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23"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hint="eastAsia" w:ascii="仿宋" w:hAnsi="仿宋" w:eastAsia="仿宋" w:cs="仿宋"/>
                <w:sz w:val="24"/>
                <w:highlight w:val="none"/>
              </w:rPr>
            </w:pPr>
            <w:r>
              <w:rPr>
                <w:rFonts w:ascii="仿宋" w:hAnsi="仿宋" w:eastAsia="仿宋" w:cs="仿宋"/>
                <w:sz w:val="24"/>
                <w:highlight w:val="none"/>
              </w:rPr>
              <w:t>2</w:t>
            </w:r>
            <w:r>
              <w:rPr>
                <w:rFonts w:hint="eastAsia" w:ascii="仿宋" w:hAnsi="仿宋" w:eastAsia="仿宋" w:cs="仿宋"/>
                <w:sz w:val="24"/>
                <w:highlight w:val="none"/>
              </w:rPr>
              <w:t>8</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发现重大隐患，及时采取合理措施，避免重大事故发生的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加</w:t>
            </w:r>
            <w:r>
              <w:rPr>
                <w:rFonts w:ascii="仿宋" w:hAnsi="仿宋" w:eastAsia="仿宋" w:cs="仿宋"/>
                <w:sz w:val="24"/>
                <w:highlight w:val="none"/>
              </w:rPr>
              <w:t>5</w:t>
            </w:r>
            <w:r>
              <w:rPr>
                <w:rFonts w:hint="eastAsia" w:ascii="仿宋" w:hAnsi="仿宋" w:eastAsia="仿宋" w:cs="仿宋"/>
                <w:sz w:val="24"/>
                <w:highlight w:val="none"/>
              </w:rPr>
              <w:t>分</w:t>
            </w:r>
          </w:p>
        </w:tc>
        <w:tc>
          <w:tcPr>
            <w:tcW w:w="958" w:type="dxa"/>
            <w:vMerge w:val="continue"/>
            <w:tcBorders>
              <w:left w:val="nil"/>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r>
        <w:tblPrEx>
          <w:tblLayout w:type="fixed"/>
          <w:tblCellMar>
            <w:top w:w="0" w:type="dxa"/>
            <w:left w:w="108" w:type="dxa"/>
            <w:bottom w:w="0" w:type="dxa"/>
            <w:right w:w="108" w:type="dxa"/>
          </w:tblCellMar>
        </w:tblPrEx>
        <w:trPr>
          <w:trHeight w:val="90" w:hRule="atLeast"/>
          <w:jc w:val="center"/>
        </w:trPr>
        <w:tc>
          <w:tcPr>
            <w:tcW w:w="535"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29</w:t>
            </w: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p>
        </w:tc>
        <w:tc>
          <w:tcPr>
            <w:tcW w:w="4212"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服务人员好人好事的</w:t>
            </w:r>
          </w:p>
        </w:tc>
        <w:tc>
          <w:tcPr>
            <w:tcW w:w="2551" w:type="dxa"/>
            <w:tcBorders>
              <w:top w:val="single" w:color="auto" w:sz="4" w:space="0"/>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4"/>
                <w:highlight w:val="none"/>
              </w:rPr>
            </w:pPr>
            <w:r>
              <w:rPr>
                <w:rFonts w:hint="eastAsia" w:ascii="仿宋" w:hAnsi="仿宋" w:eastAsia="仿宋" w:cs="仿宋"/>
                <w:sz w:val="24"/>
                <w:highlight w:val="none"/>
              </w:rPr>
              <w:t>每人次加1分</w:t>
            </w:r>
          </w:p>
        </w:tc>
        <w:tc>
          <w:tcPr>
            <w:tcW w:w="958" w:type="dxa"/>
            <w:vMerge w:val="continue"/>
            <w:tcBorders>
              <w:left w:val="nil"/>
              <w:bottom w:val="single" w:color="auto" w:sz="4" w:space="0"/>
              <w:right w:val="single" w:color="auto" w:sz="4" w:space="0"/>
            </w:tcBorders>
            <w:noWrap w:val="0"/>
            <w:vAlign w:val="center"/>
          </w:tcPr>
          <w:p>
            <w:pPr>
              <w:snapToGrid w:val="0"/>
              <w:spacing w:line="320" w:lineRule="exact"/>
              <w:jc w:val="left"/>
              <w:rPr>
                <w:rFonts w:ascii="仿宋" w:hAnsi="仿宋" w:eastAsia="仿宋" w:cs="仿宋"/>
                <w:sz w:val="28"/>
                <w:szCs w:val="28"/>
                <w:highlight w:val="none"/>
              </w:rPr>
            </w:pPr>
          </w:p>
        </w:tc>
      </w:tr>
    </w:tbl>
    <w:p>
      <w:pPr>
        <w:widowControl/>
        <w:snapToGrid w:val="0"/>
        <w:spacing w:line="360" w:lineRule="auto"/>
        <w:ind w:firstLine="241" w:firstLineChars="100"/>
        <w:rPr>
          <w:rFonts w:hint="eastAsia" w:ascii="仿宋" w:eastAsia="仿宋"/>
          <w:kern w:val="0"/>
          <w:sz w:val="24"/>
          <w:highlight w:val="none"/>
        </w:rPr>
      </w:pPr>
      <w:r>
        <w:rPr>
          <w:rFonts w:hint="eastAsia" w:ascii="仿宋" w:hAnsi="仿宋" w:eastAsia="仿宋" w:cs="仿宋"/>
          <w:b/>
          <w:bCs/>
          <w:color w:val="auto"/>
          <w:sz w:val="24"/>
          <w:highlight w:val="none"/>
          <w:lang w:val="zh-CN"/>
        </w:rPr>
        <w:t>★</w:t>
      </w:r>
      <w:r>
        <w:rPr>
          <w:rFonts w:hint="eastAsia" w:ascii="仿宋" w:eastAsia="仿宋"/>
          <w:b/>
          <w:bCs/>
          <w:kern w:val="0"/>
          <w:sz w:val="24"/>
          <w:highlight w:val="none"/>
        </w:rPr>
        <w:t>3.5结算原则：</w:t>
      </w:r>
      <w:r>
        <w:rPr>
          <w:rFonts w:hint="eastAsia" w:ascii="仿宋" w:eastAsia="仿宋"/>
          <w:kern w:val="0"/>
          <w:sz w:val="24"/>
          <w:highlight w:val="none"/>
        </w:rPr>
        <w:t>中标单价一次性包死</w:t>
      </w:r>
      <w:r>
        <w:rPr>
          <w:rFonts w:hint="eastAsia" w:ascii="仿宋" w:eastAsia="仿宋"/>
          <w:kern w:val="0"/>
          <w:sz w:val="24"/>
          <w:highlight w:val="none"/>
          <w:lang w:eastAsia="zh-CN"/>
        </w:rPr>
        <w:t>（</w:t>
      </w:r>
      <w:r>
        <w:rPr>
          <w:rFonts w:hint="eastAsia" w:ascii="仿宋" w:eastAsia="仿宋"/>
          <w:kern w:val="0"/>
          <w:sz w:val="24"/>
          <w:highlight w:val="none"/>
          <w:lang w:val="en-US" w:eastAsia="zh-CN"/>
        </w:rPr>
        <w:t>即按实际派遣的人员</w:t>
      </w:r>
      <w:r>
        <w:rPr>
          <w:rFonts w:hint="default" w:ascii="Arial" w:hAnsi="Arial" w:eastAsia="仿宋" w:cs="Arial"/>
          <w:kern w:val="0"/>
          <w:sz w:val="24"/>
          <w:highlight w:val="none"/>
          <w:lang w:val="en-US" w:eastAsia="zh-CN"/>
        </w:rPr>
        <w:t>×</w:t>
      </w:r>
      <w:r>
        <w:rPr>
          <w:rFonts w:hint="eastAsia" w:ascii="仿宋" w:eastAsia="仿宋"/>
          <w:kern w:val="0"/>
          <w:sz w:val="24"/>
          <w:highlight w:val="none"/>
          <w:lang w:val="en-US" w:eastAsia="zh-CN"/>
        </w:rPr>
        <w:t>实际服务月数</w:t>
      </w:r>
      <w:r>
        <w:rPr>
          <w:rFonts w:hint="eastAsia" w:ascii="仿宋" w:eastAsia="仿宋"/>
          <w:kern w:val="0"/>
          <w:sz w:val="24"/>
          <w:highlight w:val="none"/>
          <w:lang w:eastAsia="zh-CN"/>
        </w:rPr>
        <w:t>）</w:t>
      </w:r>
      <w:r>
        <w:rPr>
          <w:rFonts w:hint="eastAsia" w:ascii="仿宋" w:eastAsia="仿宋"/>
          <w:kern w:val="0"/>
          <w:sz w:val="24"/>
          <w:highlight w:val="none"/>
        </w:rPr>
        <w:t>，不再调整，经采购人分级审批认可的数量增减，在结算时按中标单价按实调整。</w:t>
      </w:r>
    </w:p>
    <w:p>
      <w:pPr>
        <w:widowControl/>
        <w:snapToGrid w:val="0"/>
        <w:spacing w:line="360" w:lineRule="auto"/>
        <w:ind w:firstLine="241" w:firstLineChars="100"/>
        <w:rPr>
          <w:rFonts w:hint="eastAsia" w:ascii="仿宋" w:eastAsia="仿宋"/>
          <w:kern w:val="0"/>
          <w:sz w:val="24"/>
          <w:highlight w:val="none"/>
        </w:rPr>
      </w:pPr>
      <w:r>
        <w:rPr>
          <w:rFonts w:hint="eastAsia" w:ascii="仿宋" w:hAnsi="仿宋" w:eastAsia="仿宋" w:cs="仿宋"/>
          <w:b/>
          <w:bCs/>
          <w:color w:val="auto"/>
          <w:sz w:val="24"/>
          <w:highlight w:val="none"/>
          <w:lang w:val="zh-CN"/>
        </w:rPr>
        <w:t>★</w:t>
      </w:r>
      <w:r>
        <w:rPr>
          <w:rFonts w:hint="eastAsia" w:ascii="仿宋" w:eastAsia="仿宋"/>
          <w:kern w:val="0"/>
          <w:sz w:val="24"/>
          <w:highlight w:val="none"/>
        </w:rPr>
        <w:t>3.6</w:t>
      </w:r>
      <w:r>
        <w:rPr>
          <w:rFonts w:hint="eastAsia" w:ascii="仿宋" w:eastAsia="仿宋"/>
          <w:b/>
          <w:bCs/>
          <w:kern w:val="0"/>
          <w:sz w:val="24"/>
          <w:highlight w:val="none"/>
        </w:rPr>
        <w:t>验收：</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3.6.1中标人对提供的服务人员考勤进行记录并保存，作为最终项目考核或验收资料组成部分，验收资料需提供派遣人员社保证明、人员证书、加班记录（需相关人员签字确认）等验收资料。</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3.6.2中标人服务过程中须留存服务记录，并提交采购人确认。服务记录内容包括但不限于：服务地点、服务开始时间、服务结束时间、服务人员姓名、服务人数、服务内容、服务结果等。</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3.6.3采购人根据考核标准对中标人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3.6.4验收时间为服务期结束前提前20天验收(一年验收一次）。验收方成员应当在验收书上签字，并承担相应的法律责任。如果发现与合同中要求不符，投标响应人须承担由此发生的一切损失和费用，并承担相应的法律责任。</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3.6.5采购人可以邀请参加本项目的其他投标响应人或者第三方机构参与验收。参与验收的投标响应人或者第三方机构的意见作为验收书的参考资料一并存档。</w:t>
      </w:r>
    </w:p>
    <w:p>
      <w:pPr>
        <w:widowControl/>
        <w:snapToGrid w:val="0"/>
        <w:spacing w:line="360" w:lineRule="auto"/>
        <w:ind w:firstLine="240" w:firstLineChars="100"/>
        <w:rPr>
          <w:rFonts w:hint="eastAsia" w:ascii="仿宋" w:eastAsia="仿宋"/>
          <w:kern w:val="0"/>
          <w:sz w:val="24"/>
          <w:highlight w:val="none"/>
        </w:rPr>
      </w:pPr>
      <w:r>
        <w:rPr>
          <w:rFonts w:hint="eastAsia" w:ascii="仿宋" w:eastAsia="仿宋"/>
          <w:kern w:val="0"/>
          <w:sz w:val="24"/>
          <w:highlight w:val="none"/>
        </w:rPr>
        <w:t>3.6.6采购人负责加强对中标人的履约管理，并按照采购合同约定，及时向中标人支付采购资金。对于中标人违反采购合同约定的行为，采购人应当及时处理，依法追究其违约责任。</w:t>
      </w:r>
    </w:p>
    <w:p>
      <w:pPr>
        <w:widowControl/>
        <w:snapToGrid w:val="0"/>
        <w:spacing w:line="360" w:lineRule="auto"/>
        <w:ind w:firstLine="241" w:firstLineChars="100"/>
        <w:rPr>
          <w:rFonts w:hint="eastAsia" w:ascii="仿宋" w:eastAsia="仿宋"/>
          <w:kern w:val="0"/>
          <w:sz w:val="24"/>
          <w:highlight w:val="none"/>
        </w:rPr>
      </w:pPr>
      <w:r>
        <w:rPr>
          <w:rFonts w:hint="eastAsia" w:ascii="仿宋" w:hAnsi="仿宋" w:eastAsia="仿宋" w:cs="仿宋"/>
          <w:b/>
          <w:bCs/>
          <w:color w:val="auto"/>
          <w:sz w:val="24"/>
          <w:highlight w:val="none"/>
          <w:lang w:val="zh-CN"/>
        </w:rPr>
        <w:t>★</w:t>
      </w:r>
      <w:r>
        <w:rPr>
          <w:rFonts w:hint="eastAsia" w:ascii="仿宋" w:eastAsia="仿宋"/>
          <w:kern w:val="0"/>
          <w:sz w:val="24"/>
          <w:highlight w:val="none"/>
        </w:rPr>
        <w:t>3.7其他要求：</w:t>
      </w:r>
    </w:p>
    <w:p>
      <w:pPr>
        <w:widowControl/>
        <w:snapToGrid w:val="0"/>
        <w:spacing w:line="360" w:lineRule="auto"/>
        <w:ind w:firstLine="240" w:firstLineChars="100"/>
        <w:rPr>
          <w:rFonts w:hint="eastAsia" w:ascii="仿宋" w:eastAsia="仿宋"/>
          <w:kern w:val="0"/>
          <w:sz w:val="24"/>
          <w:highlight w:val="none"/>
          <w:lang w:val="en-US" w:eastAsia="zh-CN"/>
        </w:rPr>
      </w:pPr>
      <w:r>
        <w:rPr>
          <w:rFonts w:hint="eastAsia" w:ascii="仿宋" w:eastAsia="仿宋"/>
          <w:kern w:val="0"/>
          <w:sz w:val="24"/>
          <w:highlight w:val="none"/>
          <w:lang w:val="en-US" w:eastAsia="zh-CN"/>
        </w:rPr>
        <w:t>3.7.1投标人项目参与过程中必须保证不将采购人各种数据资料及各类信息等向第三方透露，在服务过程中严格执行保密相关要求。如发现一次，按1000元/次处罚，发现3次及以上的，采购人有权单方面解除合同并追究相关法律责任。</w:t>
      </w:r>
    </w:p>
    <w:p>
      <w:pPr>
        <w:widowControl/>
        <w:snapToGrid w:val="0"/>
        <w:spacing w:line="360" w:lineRule="auto"/>
        <w:ind w:firstLine="240" w:firstLineChars="100"/>
        <w:rPr>
          <w:rFonts w:hint="eastAsia" w:ascii="仿宋" w:eastAsia="仿宋"/>
          <w:kern w:val="0"/>
          <w:sz w:val="24"/>
          <w:highlight w:val="none"/>
          <w:lang w:val="en-US" w:eastAsia="zh-CN"/>
        </w:rPr>
      </w:pPr>
      <w:r>
        <w:rPr>
          <w:rFonts w:hint="eastAsia" w:ascii="仿宋" w:eastAsia="仿宋"/>
          <w:kern w:val="0"/>
          <w:sz w:val="24"/>
          <w:highlight w:val="none"/>
          <w:lang w:val="en-US" w:eastAsia="zh-CN"/>
        </w:rPr>
        <w:t xml:space="preserve">  3.7.2中标供应商必须按规定程序和安全文明服务有关要求进行实施，承担服务过程中的各种意外，其责任由中标供应商承担，采购人不承担任何责任。</w:t>
      </w:r>
    </w:p>
    <w:p>
      <w:pPr>
        <w:widowControl/>
        <w:snapToGrid w:val="0"/>
        <w:spacing w:line="360" w:lineRule="auto"/>
        <w:ind w:firstLine="240" w:firstLineChars="100"/>
        <w:rPr>
          <w:rFonts w:hint="eastAsia" w:ascii="仿宋" w:eastAsia="仿宋"/>
          <w:kern w:val="0"/>
          <w:sz w:val="24"/>
          <w:highlight w:val="none"/>
          <w:lang w:val="en-US" w:eastAsia="zh-CN"/>
        </w:rPr>
      </w:pPr>
      <w:r>
        <w:rPr>
          <w:rFonts w:hint="eastAsia" w:ascii="仿宋" w:eastAsia="仿宋"/>
          <w:kern w:val="0"/>
          <w:sz w:val="24"/>
          <w:highlight w:val="none"/>
          <w:lang w:val="en-US" w:eastAsia="zh-CN"/>
        </w:rPr>
        <w:t xml:space="preserve">  3.7.3投标文件中列明的服务人员未经采购人书面同意不得变更，私自变更的，每发现一次按5000元罚款，发现10次及以上的，采购人有权可以单方面终止合同。</w:t>
      </w:r>
    </w:p>
    <w:p>
      <w:pPr>
        <w:pStyle w:val="33"/>
        <w:rPr>
          <w:rFonts w:hint="default"/>
          <w:lang w:val="en-US" w:eastAsia="zh-CN"/>
        </w:rPr>
      </w:pPr>
    </w:p>
    <w:p>
      <w:pP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根据《中华</w:t>
      </w:r>
      <w:r>
        <w:rPr>
          <w:rFonts w:hint="eastAsia" w:ascii="仿宋" w:hAnsi="仿宋" w:eastAsia="仿宋" w:cs="仿宋"/>
          <w:color w:val="auto"/>
          <w:sz w:val="24"/>
          <w:lang w:val="zh-CN"/>
        </w:rPr>
        <w:t>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0" w:name="_Toc19273"/>
      <w:bookmarkStart w:id="51" w:name="_Toc15367"/>
      <w:bookmarkStart w:id="52" w:name="_Toc28855"/>
      <w:bookmarkStart w:id="53" w:name="_Toc22967"/>
      <w:bookmarkStart w:id="54" w:name="_Toc20421"/>
      <w:r>
        <w:rPr>
          <w:rFonts w:hint="eastAsia" w:ascii="仿宋" w:hAnsi="仿宋" w:eastAsia="仿宋" w:cs="仿宋"/>
          <w:b/>
          <w:sz w:val="24"/>
        </w:rPr>
        <w:t>1.1 合同组成部分</w:t>
      </w:r>
      <w:bookmarkEnd w:id="50"/>
      <w:bookmarkEnd w:id="51"/>
      <w:bookmarkEnd w:id="52"/>
      <w:bookmarkEnd w:id="53"/>
      <w:bookmarkEnd w:id="54"/>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5" w:name="_Toc22185"/>
      <w:bookmarkStart w:id="56" w:name="_Toc18585"/>
      <w:bookmarkStart w:id="57" w:name="_Toc2918"/>
      <w:bookmarkStart w:id="58" w:name="_Toc6773"/>
      <w:bookmarkStart w:id="59" w:name="_Toc6311"/>
      <w:r>
        <w:rPr>
          <w:rFonts w:hint="eastAsia" w:ascii="仿宋" w:hAnsi="仿宋" w:eastAsia="仿宋" w:cs="仿宋"/>
          <w:b/>
          <w:sz w:val="24"/>
        </w:rPr>
        <w:t>1.2 标的</w:t>
      </w:r>
      <w:bookmarkEnd w:id="55"/>
      <w:bookmarkEnd w:id="56"/>
      <w:bookmarkEnd w:id="57"/>
      <w:bookmarkEnd w:id="58"/>
      <w:bookmarkEnd w:id="59"/>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0" w:name="_Toc21124"/>
      <w:bookmarkStart w:id="61" w:name="_Toc1386"/>
      <w:bookmarkStart w:id="62" w:name="_Toc4929"/>
      <w:bookmarkStart w:id="63" w:name="_Toc13918"/>
      <w:bookmarkStart w:id="64"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0"/>
      <w:bookmarkEnd w:id="61"/>
      <w:bookmarkEnd w:id="62"/>
      <w:bookmarkEnd w:id="63"/>
      <w:bookmarkEnd w:id="64"/>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5" w:name="_Toc3654"/>
      <w:bookmarkStart w:id="66" w:name="_Toc26916"/>
      <w:bookmarkStart w:id="67" w:name="_Toc30506"/>
      <w:bookmarkStart w:id="68" w:name="_Toc14993"/>
      <w:bookmarkStart w:id="69" w:name="_Toc30158"/>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5"/>
    <w:bookmarkEnd w:id="66"/>
    <w:bookmarkEnd w:id="67"/>
    <w:bookmarkEnd w:id="68"/>
    <w:bookmarkEnd w:id="69"/>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0" w:name="_Toc22618"/>
      <w:bookmarkStart w:id="71" w:name="_Toc1814"/>
      <w:bookmarkStart w:id="72" w:name="_Toc10340"/>
      <w:bookmarkStart w:id="73" w:name="_Toc31421"/>
      <w:bookmarkStart w:id="74" w:name="_Toc11108"/>
      <w:bookmarkStart w:id="75" w:name="_Toc3625"/>
      <w:bookmarkStart w:id="76" w:name="_Toc4760"/>
      <w:bookmarkStart w:id="77" w:name="_Toc8772"/>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0"/>
      <w:bookmarkEnd w:id="71"/>
      <w:bookmarkEnd w:id="72"/>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rPr>
        <w:t>1.6.1甲方应严格履行合</w:t>
      </w:r>
      <w:r>
        <w:rPr>
          <w:rFonts w:hint="eastAsia" w:ascii="仿宋" w:hAnsi="仿宋" w:eastAsia="仿宋" w:cs="仿宋"/>
          <w:color w:val="auto"/>
          <w:highlight w:val="none"/>
        </w:rPr>
        <w:t>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3"/>
      <w:bookmarkEnd w:id="74"/>
      <w:bookmarkEnd w:id="75"/>
      <w:bookmarkEnd w:id="76"/>
      <w:bookmarkEnd w:id="7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78" w:name="_Toc8586"/>
      <w:bookmarkStart w:id="79" w:name="_Toc2375"/>
      <w:bookmarkStart w:id="80" w:name="_Toc3079"/>
      <w:bookmarkStart w:id="81" w:name="_Toc5698"/>
      <w:bookmarkStart w:id="82" w:name="_Toc24662"/>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8"/>
      <w:bookmarkEnd w:id="79"/>
      <w:bookmarkEnd w:id="80"/>
      <w:bookmarkEnd w:id="81"/>
      <w:bookmarkEnd w:id="8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3" w:name="_Toc26807"/>
      <w:bookmarkStart w:id="84" w:name="_Toc30329"/>
      <w:bookmarkStart w:id="85" w:name="_Toc32454"/>
      <w:bookmarkStart w:id="86" w:name="_Toc18683"/>
      <w:bookmarkStart w:id="87"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83"/>
    <w:bookmarkEnd w:id="84"/>
    <w:bookmarkEnd w:id="85"/>
    <w:bookmarkEnd w:id="86"/>
    <w:bookmarkEnd w:id="87"/>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8" w:name="_Toc28375"/>
      <w:bookmarkStart w:id="89" w:name="_Toc15583"/>
      <w:bookmarkStart w:id="90" w:name="_Toc16021"/>
      <w:r>
        <w:rPr>
          <w:rFonts w:hint="eastAsia" w:ascii="仿宋" w:hAnsi="仿宋" w:eastAsia="仿宋" w:cs="仿宋"/>
          <w:b/>
          <w:color w:val="auto"/>
          <w:sz w:val="24"/>
        </w:rPr>
        <w:t>1.9合同争议的解决</w:t>
      </w:r>
      <w:bookmarkEnd w:id="88"/>
      <w:bookmarkEnd w:id="89"/>
      <w:bookmarkEnd w:id="9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91" w:name="_Toc7245"/>
      <w:bookmarkStart w:id="92" w:name="_Toc15322"/>
      <w:bookmarkStart w:id="93" w:name="_Toc11173"/>
      <w:r>
        <w:rPr>
          <w:rFonts w:hint="eastAsia" w:ascii="仿宋" w:hAnsi="仿宋" w:eastAsia="仿宋" w:cs="仿宋"/>
          <w:b/>
          <w:color w:val="auto"/>
          <w:sz w:val="24"/>
        </w:rPr>
        <w:t>2.0 合同生效</w:t>
      </w:r>
      <w:bookmarkEnd w:id="91"/>
      <w:bookmarkEnd w:id="92"/>
      <w:bookmarkEnd w:id="9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4" w:name="_Toc25079"/>
      <w:bookmarkStart w:id="95" w:name="_Toc14021"/>
      <w:bookmarkStart w:id="96" w:name="_Toc5228"/>
      <w:bookmarkStart w:id="97" w:name="_Toc19680"/>
      <w:bookmarkStart w:id="98" w:name="_Toc31297"/>
      <w:r>
        <w:rPr>
          <w:rFonts w:hint="eastAsia" w:ascii="仿宋" w:hAnsi="仿宋" w:eastAsia="仿宋" w:cs="仿宋"/>
          <w:b/>
          <w:sz w:val="24"/>
        </w:rPr>
        <w:t>2.1 定义</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99" w:name="_Toc3769"/>
      <w:bookmarkStart w:id="100" w:name="_Toc23289"/>
      <w:bookmarkStart w:id="101" w:name="_Toc19539"/>
      <w:bookmarkStart w:id="102" w:name="_Toc16752"/>
      <w:bookmarkStart w:id="103" w:name="_Toc31402"/>
      <w:r>
        <w:rPr>
          <w:rFonts w:hint="eastAsia" w:ascii="仿宋" w:hAnsi="仿宋" w:eastAsia="仿宋" w:cs="仿宋"/>
          <w:b/>
          <w:sz w:val="24"/>
        </w:rPr>
        <w:t>2.2 技术规范</w:t>
      </w:r>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4" w:name="_Toc12412"/>
      <w:bookmarkStart w:id="105" w:name="_Toc9161"/>
      <w:bookmarkStart w:id="106" w:name="_Toc27945"/>
      <w:bookmarkStart w:id="107" w:name="_Toc4133"/>
      <w:bookmarkStart w:id="108" w:name="_Toc13673"/>
      <w:r>
        <w:rPr>
          <w:rFonts w:hint="eastAsia" w:ascii="仿宋" w:hAnsi="仿宋" w:eastAsia="仿宋" w:cs="仿宋"/>
          <w:b/>
          <w:sz w:val="24"/>
        </w:rPr>
        <w:t>2.3 知识产权</w:t>
      </w:r>
      <w:bookmarkEnd w:id="104"/>
      <w:bookmarkEnd w:id="105"/>
      <w:bookmarkEnd w:id="106"/>
      <w:bookmarkEnd w:id="107"/>
      <w:bookmarkEnd w:id="10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09" w:name="_Toc31233"/>
      <w:bookmarkStart w:id="110" w:name="_Toc15447"/>
      <w:bookmarkStart w:id="111" w:name="_Toc26555"/>
      <w:bookmarkStart w:id="112" w:name="_Toc32670"/>
      <w:bookmarkStart w:id="113" w:name="_Toc22011"/>
      <w:r>
        <w:rPr>
          <w:rFonts w:hint="eastAsia" w:ascii="仿宋" w:hAnsi="仿宋" w:eastAsia="仿宋" w:cs="仿宋"/>
          <w:b/>
          <w:sz w:val="24"/>
        </w:rPr>
        <w:t>2.5 结算方式和付款条件</w:t>
      </w:r>
      <w:bookmarkEnd w:id="109"/>
      <w:bookmarkEnd w:id="110"/>
      <w:bookmarkEnd w:id="111"/>
      <w:bookmarkEnd w:id="112"/>
      <w:bookmarkEnd w:id="113"/>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4" w:name="_Toc13467"/>
      <w:bookmarkStart w:id="115" w:name="_Toc18990"/>
      <w:bookmarkStart w:id="116" w:name="_Toc16163"/>
      <w:bookmarkStart w:id="117" w:name="_Toc13154"/>
      <w:bookmarkStart w:id="118" w:name="_Toc30507"/>
      <w:r>
        <w:rPr>
          <w:rFonts w:hint="eastAsia" w:ascii="仿宋" w:hAnsi="仿宋" w:eastAsia="仿宋" w:cs="仿宋"/>
          <w:b/>
          <w:sz w:val="24"/>
        </w:rPr>
        <w:t>2.6 技术资料和保密义务</w:t>
      </w:r>
      <w:bookmarkEnd w:id="114"/>
      <w:bookmarkEnd w:id="115"/>
      <w:bookmarkEnd w:id="116"/>
      <w:bookmarkEnd w:id="117"/>
      <w:bookmarkEnd w:id="11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19" w:name="_Toc19069"/>
      <w:r>
        <w:rPr>
          <w:rFonts w:hint="eastAsia" w:ascii="仿宋" w:hAnsi="仿宋" w:eastAsia="仿宋" w:cs="仿宋"/>
          <w:b/>
          <w:sz w:val="24"/>
        </w:rPr>
        <w:t>2.7 质量保证</w:t>
      </w:r>
      <w:bookmarkEnd w:id="119"/>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0" w:name="_Toc22267"/>
      <w:r>
        <w:rPr>
          <w:rFonts w:hint="eastAsia" w:ascii="仿宋" w:hAnsi="仿宋" w:eastAsia="仿宋" w:cs="仿宋"/>
          <w:b/>
          <w:sz w:val="24"/>
        </w:rPr>
        <w:t>2.8 延迟履行</w:t>
      </w:r>
      <w:bookmarkEnd w:id="120"/>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1" w:name="_Toc10611"/>
      <w:r>
        <w:rPr>
          <w:rFonts w:hint="eastAsia" w:ascii="仿宋" w:hAnsi="仿宋" w:eastAsia="仿宋" w:cs="仿宋"/>
          <w:b/>
          <w:sz w:val="24"/>
        </w:rPr>
        <w:t>2.9 合同变更</w:t>
      </w:r>
      <w:bookmarkEnd w:id="121"/>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2" w:name="_Toc23368"/>
      <w:bookmarkStart w:id="123" w:name="_Toc42"/>
      <w:bookmarkStart w:id="124" w:name="_Toc21830"/>
      <w:bookmarkStart w:id="125" w:name="_Toc26689"/>
      <w:bookmarkStart w:id="126" w:name="_Toc10663"/>
      <w:r>
        <w:rPr>
          <w:rFonts w:hint="eastAsia" w:ascii="仿宋" w:hAnsi="仿宋" w:eastAsia="仿宋" w:cs="仿宋"/>
          <w:b/>
          <w:sz w:val="24"/>
        </w:rPr>
        <w:t>2.10 合同转让和分包</w:t>
      </w:r>
      <w:bookmarkEnd w:id="122"/>
      <w:bookmarkEnd w:id="123"/>
      <w:bookmarkEnd w:id="124"/>
      <w:bookmarkEnd w:id="125"/>
      <w:bookmarkEnd w:id="126"/>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27" w:name="_Toc4720"/>
      <w:bookmarkStart w:id="128" w:name="_Toc14371"/>
      <w:bookmarkStart w:id="129" w:name="_Toc25571"/>
      <w:bookmarkStart w:id="130" w:name="_Toc32494"/>
      <w:bookmarkStart w:id="131" w:name="_Toc26633"/>
      <w:r>
        <w:rPr>
          <w:rFonts w:hint="eastAsia" w:ascii="仿宋" w:hAnsi="仿宋" w:eastAsia="仿宋" w:cs="仿宋"/>
          <w:b/>
          <w:sz w:val="24"/>
        </w:rPr>
        <w:t>2.11 不可抗力</w:t>
      </w:r>
      <w:bookmarkEnd w:id="127"/>
      <w:bookmarkEnd w:id="128"/>
      <w:bookmarkEnd w:id="129"/>
      <w:bookmarkEnd w:id="130"/>
      <w:bookmarkEnd w:id="131"/>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2" w:name="_Toc3638"/>
      <w:bookmarkStart w:id="133" w:name="_Toc25783"/>
      <w:bookmarkStart w:id="134" w:name="_Toc24465"/>
      <w:bookmarkStart w:id="135" w:name="_Toc23854"/>
      <w:bookmarkStart w:id="136" w:name="_Toc14115"/>
      <w:r>
        <w:rPr>
          <w:rFonts w:hint="eastAsia" w:ascii="仿宋" w:hAnsi="仿宋" w:eastAsia="仿宋" w:cs="仿宋"/>
          <w:b/>
          <w:sz w:val="24"/>
        </w:rPr>
        <w:t>2.12 税费</w:t>
      </w:r>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37" w:name="_Toc7315"/>
      <w:bookmarkStart w:id="138" w:name="_Toc14814"/>
      <w:bookmarkStart w:id="139" w:name="_Toc26883"/>
      <w:bookmarkStart w:id="140" w:name="_Toc25525"/>
      <w:bookmarkStart w:id="141" w:name="_Toc30105"/>
      <w:r>
        <w:rPr>
          <w:rFonts w:hint="eastAsia" w:ascii="仿宋" w:hAnsi="仿宋" w:eastAsia="仿宋" w:cs="仿宋"/>
          <w:b/>
          <w:sz w:val="24"/>
        </w:rPr>
        <w:t>2.13 乙方破产</w:t>
      </w:r>
      <w:bookmarkEnd w:id="137"/>
      <w:bookmarkEnd w:id="138"/>
      <w:bookmarkEnd w:id="139"/>
      <w:bookmarkEnd w:id="140"/>
      <w:bookmarkEnd w:id="141"/>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2" w:name="_Toc23323"/>
      <w:bookmarkStart w:id="143" w:name="_Toc1123"/>
      <w:bookmarkStart w:id="144" w:name="_Toc2016"/>
      <w:r>
        <w:rPr>
          <w:rFonts w:hint="eastAsia" w:ascii="仿宋" w:hAnsi="仿宋" w:eastAsia="仿宋" w:cs="仿宋"/>
          <w:b/>
          <w:sz w:val="24"/>
        </w:rPr>
        <w:t>2.14 合同中止、终止</w:t>
      </w:r>
      <w:bookmarkEnd w:id="142"/>
      <w:bookmarkEnd w:id="143"/>
      <w:bookmarkEnd w:id="144"/>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5" w:name="_Toc14525"/>
      <w:bookmarkStart w:id="146" w:name="_Toc17363"/>
      <w:bookmarkStart w:id="147" w:name="_Toc1969"/>
      <w:r>
        <w:rPr>
          <w:rFonts w:hint="eastAsia" w:ascii="仿宋" w:hAnsi="仿宋" w:eastAsia="仿宋" w:cs="仿宋"/>
          <w:b/>
          <w:sz w:val="24"/>
        </w:rPr>
        <w:t>2.15 检验和验收</w:t>
      </w:r>
      <w:bookmarkEnd w:id="145"/>
      <w:bookmarkEnd w:id="146"/>
      <w:bookmarkEnd w:id="147"/>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48" w:name="_Toc2308"/>
      <w:bookmarkStart w:id="149" w:name="_Toc25198"/>
      <w:bookmarkStart w:id="150" w:name="_Toc9808"/>
      <w:bookmarkStart w:id="151" w:name="_Toc31892"/>
      <w:bookmarkStart w:id="152" w:name="_Toc12666"/>
      <w:r>
        <w:rPr>
          <w:rFonts w:hint="eastAsia" w:ascii="仿宋" w:hAnsi="仿宋" w:eastAsia="仿宋" w:cs="仿宋"/>
          <w:b/>
          <w:sz w:val="24"/>
        </w:rPr>
        <w:t>2.16 通知和送达</w:t>
      </w:r>
      <w:bookmarkEnd w:id="148"/>
      <w:bookmarkEnd w:id="149"/>
      <w:bookmarkEnd w:id="150"/>
      <w:bookmarkEnd w:id="151"/>
      <w:bookmarkEnd w:id="152"/>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bookmarkStart w:id="153" w:name="_Toc18401"/>
      <w:bookmarkStart w:id="154"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55" w:name="_Toc5063"/>
      <w:bookmarkStart w:id="156" w:name="_Toc20808"/>
      <w:bookmarkStart w:id="157" w:name="_Toc28906"/>
      <w:bookmarkStart w:id="158" w:name="_Toc12254"/>
      <w:bookmarkStart w:id="159" w:name="_Toc27644"/>
      <w:r>
        <w:rPr>
          <w:rFonts w:hint="eastAsia" w:ascii="仿宋" w:hAnsi="仿宋" w:eastAsia="仿宋" w:cs="仿宋"/>
          <w:b/>
          <w:sz w:val="24"/>
        </w:rPr>
        <w:t>2.17 合同使用的文字和适用的法律</w:t>
      </w:r>
      <w:bookmarkEnd w:id="155"/>
      <w:bookmarkEnd w:id="156"/>
      <w:bookmarkEnd w:id="157"/>
      <w:bookmarkEnd w:id="158"/>
      <w:bookmarkEnd w:id="159"/>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60" w:name="_Toc4355"/>
      <w:bookmarkStart w:id="161" w:name="_Toc30599"/>
      <w:bookmarkStart w:id="162" w:name="_Toc18540"/>
      <w:r>
        <w:rPr>
          <w:rFonts w:hint="eastAsia" w:ascii="仿宋" w:hAnsi="仿宋" w:eastAsia="仿宋" w:cs="仿宋"/>
          <w:b/>
          <w:sz w:val="24"/>
        </w:rPr>
        <w:t>2.18 计量单位</w:t>
      </w:r>
      <w:bookmarkEnd w:id="160"/>
      <w:bookmarkEnd w:id="161"/>
      <w:bookmarkEnd w:id="162"/>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sz w:val="24"/>
        </w:rPr>
      </w:pPr>
      <w:bookmarkStart w:id="163" w:name="_Toc487900373"/>
      <w:bookmarkStart w:id="164" w:name="_Toc10330"/>
      <w:bookmarkStart w:id="165" w:name="_Toc18567"/>
      <w:bookmarkStart w:id="166" w:name="_Toc279701263"/>
      <w:bookmarkStart w:id="167" w:name="_Toc259093692"/>
      <w:bookmarkStart w:id="168" w:name="_Toc12773"/>
      <w:r>
        <w:rPr>
          <w:rFonts w:hint="eastAsia" w:ascii="仿宋" w:hAnsi="仿宋" w:eastAsia="仿宋" w:cs="仿宋"/>
          <w:b/>
          <w:sz w:val="24"/>
        </w:rPr>
        <w:t>2.19 合同使用的文字和适用的法律</w:t>
      </w:r>
      <w:bookmarkEnd w:id="163"/>
      <w:bookmarkEnd w:id="164"/>
      <w:bookmarkEnd w:id="165"/>
      <w:bookmarkEnd w:id="166"/>
      <w:bookmarkEnd w:id="167"/>
      <w:bookmarkEnd w:id="168"/>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9" w:name="_Toc331685784"/>
      <w:r>
        <w:rPr>
          <w:rFonts w:hint="eastAsia" w:ascii="仿宋" w:hAnsi="仿宋" w:eastAsia="仿宋" w:cs="仿宋"/>
          <w:b/>
          <w:sz w:val="24"/>
        </w:rPr>
        <w:t xml:space="preserve"> </w:t>
      </w:r>
      <w:bookmarkEnd w:id="169"/>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jc w:val="both"/>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1.5.3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2.11.4</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jc w:val="center"/>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2.19</w:t>
            </w:r>
          </w:p>
        </w:tc>
        <w:tc>
          <w:tcPr>
            <w:tcW w:w="8149" w:type="dxa"/>
            <w:vAlign w:val="center"/>
          </w:tcPr>
          <w:p>
            <w:pPr>
              <w:spacing w:line="360" w:lineRule="auto"/>
              <w:jc w:val="center"/>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80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20</w:t>
      </w:r>
      <w:r>
        <w:rPr>
          <w:rFonts w:hint="eastAsia" w:ascii="仿宋" w:hAnsi="仿宋" w:eastAsia="仿宋" w:cs="仿宋"/>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80</w:t>
      </w:r>
      <w:r>
        <w:rPr>
          <w:rFonts w:hint="eastAsia" w:ascii="仿宋" w:hAnsi="仿宋" w:eastAsia="仿宋" w:cs="仿宋"/>
          <w:b/>
          <w:bCs/>
          <w:iCs/>
          <w:sz w:val="24"/>
          <w:highlight w:val="none"/>
        </w:rPr>
        <w:t>分）</w:t>
      </w:r>
    </w:p>
    <w:tbl>
      <w:tblPr>
        <w:tblStyle w:val="62"/>
        <w:tblW w:w="9759" w:type="dxa"/>
        <w:jc w:val="center"/>
        <w:tblInd w:w="0" w:type="dxa"/>
        <w:tblLayout w:type="fixed"/>
        <w:tblCellMar>
          <w:top w:w="0" w:type="dxa"/>
          <w:left w:w="108" w:type="dxa"/>
          <w:bottom w:w="0" w:type="dxa"/>
          <w:right w:w="108" w:type="dxa"/>
        </w:tblCellMar>
      </w:tblPr>
      <w:tblGrid>
        <w:gridCol w:w="770"/>
        <w:gridCol w:w="1200"/>
        <w:gridCol w:w="6855"/>
        <w:gridCol w:w="934"/>
      </w:tblGrid>
      <w:tr>
        <w:tblPrEx>
          <w:tblLayout w:type="fixed"/>
          <w:tblCellMar>
            <w:top w:w="0" w:type="dxa"/>
            <w:left w:w="108" w:type="dxa"/>
            <w:bottom w:w="0" w:type="dxa"/>
            <w:right w:w="108" w:type="dxa"/>
          </w:tblCellMar>
        </w:tblPrEx>
        <w:trPr>
          <w:trHeight w:val="413"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2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食安</w:t>
            </w:r>
          </w:p>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rPr>
              <w:t>保险</w:t>
            </w:r>
          </w:p>
        </w:tc>
        <w:tc>
          <w:tcPr>
            <w:tcW w:w="68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jc w:val="left"/>
              <w:rPr>
                <w:rFonts w:hint="eastAsia" w:ascii="仿宋" w:hAnsi="仿宋" w:eastAsia="仿宋" w:cs="仿宋"/>
                <w:sz w:val="24"/>
                <w:szCs w:val="24"/>
              </w:rPr>
            </w:pPr>
            <w:r>
              <w:rPr>
                <w:rFonts w:hint="eastAsia" w:ascii="仿宋" w:hAnsi="仿宋" w:eastAsia="仿宋" w:cs="仿宋"/>
                <w:kern w:val="0"/>
                <w:sz w:val="24"/>
              </w:rPr>
              <w:t>投标企业投保的食品安全责任保险每次事故责任限额达到1000万元得2分，每增加500万元得1分。本项最高得</w:t>
            </w:r>
            <w:r>
              <w:rPr>
                <w:rFonts w:hint="eastAsia" w:ascii="仿宋" w:hAnsi="仿宋" w:eastAsia="仿宋" w:cs="仿宋"/>
                <w:kern w:val="0"/>
                <w:sz w:val="24"/>
                <w:lang w:val="en-US" w:eastAsia="zh-CN"/>
              </w:rPr>
              <w:t>4</w:t>
            </w:r>
            <w:r>
              <w:rPr>
                <w:rFonts w:hint="eastAsia" w:ascii="仿宋" w:hAnsi="仿宋" w:eastAsia="仿宋" w:cs="仿宋"/>
                <w:kern w:val="0"/>
                <w:sz w:val="24"/>
              </w:rPr>
              <w:t>分。（投标文件中提供投保食品安全责任保险的保单扫描件并加盖投标供应商公章，否则不得分）</w:t>
            </w:r>
          </w:p>
        </w:tc>
        <w:tc>
          <w:tcPr>
            <w:tcW w:w="9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lang w:val="en-US" w:eastAsia="zh-CN"/>
              </w:rPr>
              <w:t>4</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认证</w:t>
            </w:r>
          </w:p>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rPr>
              <w:t>证书</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szCs w:val="24"/>
              </w:rPr>
            </w:pPr>
            <w:r>
              <w:rPr>
                <w:rFonts w:hint="eastAsia" w:ascii="仿宋" w:hAnsi="仿宋" w:eastAsia="仿宋" w:cs="仿宋"/>
                <w:kern w:val="0"/>
                <w:sz w:val="24"/>
              </w:rPr>
              <w:t>投标企业具有质量管理体系认证、职业健康安全管理体系认证、食品安全管理体系认证每个得2分。本项最高得分</w:t>
            </w:r>
            <w:r>
              <w:rPr>
                <w:rFonts w:hint="eastAsia" w:ascii="仿宋" w:hAnsi="仿宋" w:eastAsia="仿宋" w:cs="仿宋"/>
                <w:kern w:val="0"/>
                <w:sz w:val="24"/>
                <w:lang w:val="en-US" w:eastAsia="zh-CN"/>
              </w:rPr>
              <w:t>6</w:t>
            </w:r>
            <w:r>
              <w:rPr>
                <w:rFonts w:hint="eastAsia" w:ascii="仿宋" w:hAnsi="仿宋" w:eastAsia="仿宋" w:cs="仿宋"/>
                <w:kern w:val="0"/>
                <w:sz w:val="24"/>
              </w:rPr>
              <w:t>分。</w:t>
            </w:r>
            <w:r>
              <w:rPr>
                <w:rFonts w:hint="eastAsia" w:ascii="仿宋" w:hAnsi="仿宋" w:eastAsia="仿宋" w:cs="仿宋"/>
                <w:sz w:val="24"/>
              </w:rPr>
              <w:t>（提供相关材料原件扫描件加盖公章，并附全国认证认可信息公共服务平台网站查询截图，状态异常不得分）</w:t>
            </w:r>
          </w:p>
        </w:tc>
        <w:tc>
          <w:tcPr>
            <w:tcW w:w="9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lang w:val="en-US" w:eastAsia="zh-CN"/>
              </w:rPr>
              <w:t>6</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企业</w:t>
            </w:r>
          </w:p>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rPr>
              <w:t>荣誉</w:t>
            </w:r>
          </w:p>
        </w:tc>
        <w:tc>
          <w:tcPr>
            <w:tcW w:w="6855"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仿宋" w:hAnsi="仿宋" w:eastAsia="仿宋" w:cs="仿宋"/>
                <w:sz w:val="24"/>
                <w:szCs w:val="24"/>
              </w:rPr>
            </w:pPr>
            <w:r>
              <w:rPr>
                <w:rFonts w:hint="eastAsia" w:ascii="仿宋" w:hAnsi="仿宋" w:eastAsia="仿宋" w:cs="仿宋"/>
                <w:kern w:val="0"/>
                <w:sz w:val="24"/>
              </w:rPr>
              <w:t>投标企业</w:t>
            </w:r>
            <w:r>
              <w:rPr>
                <w:rFonts w:hint="eastAsia" w:ascii="仿宋" w:hAnsi="仿宋" w:eastAsia="仿宋" w:cs="仿宋"/>
                <w:sz w:val="24"/>
              </w:rPr>
              <w:t>荣获政府部门或行业主管部门颁发的餐饮服务类荣誉，区（县）级荣誉每一项得。1分，市级及以上荣誉每一项得2分。仅限提供一个荣誉。</w:t>
            </w:r>
            <w:r>
              <w:rPr>
                <w:rFonts w:hint="eastAsia" w:ascii="仿宋" w:hAnsi="仿宋" w:eastAsia="仿宋" w:cs="宋体"/>
                <w:kern w:val="0"/>
                <w:sz w:val="24"/>
              </w:rPr>
              <w:t>投标文件中提供上述荣誉证明材料复印件。</w:t>
            </w:r>
          </w:p>
        </w:tc>
        <w:tc>
          <w:tcPr>
            <w:tcW w:w="9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rPr>
              <w:t>2</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rPr>
            </w:pPr>
            <w:r>
              <w:rPr>
                <w:rFonts w:hint="eastAsia" w:ascii="仿宋" w:hAnsi="仿宋" w:eastAsia="仿宋" w:cs="仿宋"/>
                <w:kern w:val="0"/>
                <w:sz w:val="24"/>
              </w:rPr>
              <w:t>类似</w:t>
            </w:r>
          </w:p>
          <w:p>
            <w:pPr>
              <w:widowControl/>
              <w:jc w:val="center"/>
              <w:rPr>
                <w:rFonts w:hint="eastAsia" w:ascii="仿宋" w:hAnsi="仿宋" w:eastAsia="仿宋" w:cs="仿宋"/>
                <w:kern w:val="0"/>
                <w:sz w:val="24"/>
                <w:szCs w:val="24"/>
                <w:lang w:eastAsia="zh-CN"/>
              </w:rPr>
            </w:pPr>
            <w:r>
              <w:rPr>
                <w:rFonts w:hint="eastAsia" w:ascii="仿宋" w:hAnsi="仿宋" w:eastAsia="仿宋" w:cs="仿宋"/>
                <w:kern w:val="0"/>
                <w:sz w:val="24"/>
              </w:rPr>
              <w:t>业绩</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szCs w:val="24"/>
              </w:rPr>
            </w:pPr>
            <w:r>
              <w:rPr>
                <w:rFonts w:hint="eastAsia" w:ascii="仿宋" w:hAnsi="仿宋" w:eastAsia="仿宋" w:cs="仿宋"/>
                <w:kern w:val="0"/>
                <w:sz w:val="24"/>
              </w:rPr>
              <w:t>投标企业自2021年1月1日以来（以合同签订时间为准），提供食堂托管类似的业绩，每1家得1分，最高得2分。同一单位不同年份不累计。提供合同复印件并加盖投标单位公章。</w:t>
            </w:r>
          </w:p>
        </w:tc>
        <w:tc>
          <w:tcPr>
            <w:tcW w:w="9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r>
              <w:rPr>
                <w:rFonts w:hint="eastAsia" w:ascii="仿宋" w:hAnsi="仿宋" w:eastAsia="仿宋" w:cs="仿宋"/>
                <w:kern w:val="0"/>
                <w:sz w:val="24"/>
              </w:rPr>
              <w:t>2</w:t>
            </w:r>
          </w:p>
        </w:tc>
      </w:tr>
      <w:tr>
        <w:tblPrEx>
          <w:tblLayout w:type="fixed"/>
          <w:tblCellMar>
            <w:top w:w="0" w:type="dxa"/>
            <w:left w:w="108" w:type="dxa"/>
            <w:bottom w:w="0" w:type="dxa"/>
            <w:right w:w="108" w:type="dxa"/>
          </w:tblCellMar>
        </w:tblPrEx>
        <w:trPr>
          <w:trHeight w:val="45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sz w:val="24"/>
              </w:rPr>
            </w:pPr>
            <w:r>
              <w:rPr>
                <w:rFonts w:hint="eastAsia" w:ascii="仿宋" w:hAnsi="仿宋" w:eastAsia="仿宋"/>
                <w:sz w:val="24"/>
              </w:rPr>
              <w:t>整体</w:t>
            </w:r>
          </w:p>
          <w:p>
            <w:pPr>
              <w:spacing w:line="400" w:lineRule="exact"/>
              <w:jc w:val="left"/>
              <w:rPr>
                <w:rFonts w:hint="eastAsia" w:ascii="仿宋" w:hAnsi="仿宋" w:eastAsia="仿宋" w:cs="仿宋"/>
                <w:kern w:val="0"/>
                <w:sz w:val="24"/>
                <w:szCs w:val="24"/>
                <w:lang w:eastAsia="zh-CN"/>
              </w:rPr>
            </w:pPr>
            <w:r>
              <w:rPr>
                <w:rFonts w:hint="eastAsia" w:ascii="仿宋" w:hAnsi="仿宋" w:eastAsia="仿宋"/>
                <w:sz w:val="24"/>
              </w:rPr>
              <w:t>方案</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rPr>
            </w:pPr>
            <w:r>
              <w:rPr>
                <w:rFonts w:hint="eastAsia" w:ascii="仿宋" w:hAnsi="仿宋" w:eastAsia="仿宋" w:cs="Courier New"/>
                <w:sz w:val="24"/>
              </w:rPr>
              <w:t>提供针对本项目整体的可行性方案：包括服务时间、窗口开设率、花色品种等。评委根据方案的完整性及对食堂服务需求的针对性进行综合评价，</w:t>
            </w:r>
            <w:r>
              <w:rPr>
                <w:rFonts w:hint="eastAsia" w:ascii="仿宋" w:hAnsi="仿宋" w:eastAsia="仿宋" w:cs="仿宋"/>
                <w:kern w:val="0"/>
                <w:sz w:val="24"/>
              </w:rPr>
              <w:t>方案内容完善、合理、操作性强得6.0-8.0分；方案内容叫完善、较合理、操作性较强得4.0-5.9分；方案内容基本合理、操作性一般得2.0-3.9分；方案内容不完整、有欠缺的得0.1-1.9分；其余不得分。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rPr>
            </w:pPr>
            <w:r>
              <w:rPr>
                <w:rFonts w:hint="eastAsia" w:ascii="仿宋" w:hAnsi="仿宋" w:eastAsia="仿宋"/>
                <w:sz w:val="24"/>
              </w:rPr>
              <w:t>8</w:t>
            </w:r>
          </w:p>
        </w:tc>
      </w:tr>
      <w:tr>
        <w:tblPrEx>
          <w:tblLayout w:type="fixed"/>
          <w:tblCellMar>
            <w:top w:w="0" w:type="dxa"/>
            <w:left w:w="108" w:type="dxa"/>
            <w:bottom w:w="0" w:type="dxa"/>
            <w:right w:w="108" w:type="dxa"/>
          </w:tblCellMar>
        </w:tblPrEx>
        <w:trPr>
          <w:trHeight w:val="472"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lang w:eastAsia="zh-CN"/>
              </w:rPr>
            </w:pPr>
            <w:r>
              <w:rPr>
                <w:rFonts w:hint="eastAsia" w:ascii="仿宋" w:hAnsi="仿宋" w:eastAsia="仿宋"/>
                <w:sz w:val="24"/>
              </w:rPr>
              <w:t>服务方案</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rPr>
            </w:pPr>
            <w:r>
              <w:rPr>
                <w:rFonts w:hint="eastAsia" w:ascii="仿宋" w:hAnsi="仿宋" w:eastAsia="仿宋" w:cs="Courier New"/>
                <w:sz w:val="24"/>
              </w:rPr>
              <w:t>提供针对本项目设计一套服务方案，按“礼貌服务、文明用语”、“绿色、健康、安全”、“厉行节约、反对浪费”等方面进行打分。方案内容完善、合理、操作性强得</w:t>
            </w:r>
            <w:r>
              <w:rPr>
                <w:rFonts w:hint="eastAsia" w:ascii="仿宋" w:hAnsi="仿宋" w:eastAsia="仿宋" w:cs="Courier New"/>
                <w:sz w:val="24"/>
                <w:lang w:val="en-US" w:eastAsia="zh-CN"/>
              </w:rPr>
              <w:t>8</w:t>
            </w:r>
            <w:r>
              <w:rPr>
                <w:rFonts w:hint="eastAsia" w:ascii="仿宋" w:hAnsi="仿宋" w:eastAsia="仿宋" w:cs="Courier New"/>
                <w:sz w:val="24"/>
              </w:rPr>
              <w:t>.0-</w:t>
            </w:r>
            <w:r>
              <w:rPr>
                <w:rFonts w:hint="eastAsia" w:ascii="仿宋" w:hAnsi="仿宋" w:eastAsia="仿宋" w:cs="Courier New"/>
                <w:sz w:val="24"/>
                <w:lang w:val="en-US" w:eastAsia="zh-CN"/>
              </w:rPr>
              <w:t>10</w:t>
            </w:r>
            <w:r>
              <w:rPr>
                <w:rFonts w:hint="eastAsia" w:ascii="仿宋" w:hAnsi="仿宋" w:eastAsia="仿宋" w:cs="Courier New"/>
                <w:sz w:val="24"/>
              </w:rPr>
              <w:t>.0分；方案内容较完善、较合理、操作性较强得</w:t>
            </w:r>
            <w:r>
              <w:rPr>
                <w:rFonts w:hint="eastAsia" w:ascii="仿宋" w:hAnsi="仿宋" w:eastAsia="仿宋" w:cs="Courier New"/>
                <w:sz w:val="24"/>
                <w:lang w:val="en-US" w:eastAsia="zh-CN"/>
              </w:rPr>
              <w:t>6</w:t>
            </w:r>
            <w:r>
              <w:rPr>
                <w:rFonts w:hint="eastAsia" w:ascii="仿宋" w:hAnsi="仿宋" w:eastAsia="仿宋" w:cs="Courier New"/>
                <w:sz w:val="24"/>
              </w:rPr>
              <w:t>.0-</w:t>
            </w:r>
            <w:r>
              <w:rPr>
                <w:rFonts w:hint="eastAsia" w:ascii="仿宋" w:hAnsi="仿宋" w:eastAsia="仿宋" w:cs="Courier New"/>
                <w:sz w:val="24"/>
                <w:lang w:val="en-US" w:eastAsia="zh-CN"/>
              </w:rPr>
              <w:t>7</w:t>
            </w:r>
            <w:r>
              <w:rPr>
                <w:rFonts w:hint="eastAsia" w:ascii="仿宋" w:hAnsi="仿宋" w:eastAsia="仿宋" w:cs="Courier New"/>
                <w:sz w:val="24"/>
              </w:rPr>
              <w:t>.9分；方案内容基本合理、操作性一般得</w:t>
            </w:r>
            <w:r>
              <w:rPr>
                <w:rFonts w:hint="eastAsia" w:ascii="仿宋" w:hAnsi="仿宋" w:eastAsia="仿宋" w:cs="Courier New"/>
                <w:sz w:val="24"/>
                <w:lang w:val="en-US" w:eastAsia="zh-CN"/>
              </w:rPr>
              <w:t>4</w:t>
            </w:r>
            <w:r>
              <w:rPr>
                <w:rFonts w:hint="eastAsia" w:ascii="仿宋" w:hAnsi="仿宋" w:eastAsia="仿宋" w:cs="Courier New"/>
                <w:sz w:val="24"/>
              </w:rPr>
              <w:t>.0-</w:t>
            </w:r>
            <w:r>
              <w:rPr>
                <w:rFonts w:hint="eastAsia" w:ascii="仿宋" w:hAnsi="仿宋" w:eastAsia="仿宋" w:cs="Courier New"/>
                <w:sz w:val="24"/>
                <w:lang w:val="en-US" w:eastAsia="zh-CN"/>
              </w:rPr>
              <w:t>5</w:t>
            </w:r>
            <w:r>
              <w:rPr>
                <w:rFonts w:hint="eastAsia" w:ascii="仿宋" w:hAnsi="仿宋" w:eastAsia="仿宋" w:cs="Courier New"/>
                <w:sz w:val="24"/>
              </w:rPr>
              <w:t>.9分；方案内容不完整、有欠缺的得</w:t>
            </w:r>
            <w:r>
              <w:rPr>
                <w:rFonts w:hint="eastAsia" w:ascii="仿宋" w:hAnsi="仿宋" w:eastAsia="仿宋" w:cs="Courier New"/>
                <w:sz w:val="24"/>
                <w:lang w:val="en-US" w:eastAsia="zh-CN"/>
              </w:rPr>
              <w:t>2.0</w:t>
            </w:r>
            <w:r>
              <w:rPr>
                <w:rFonts w:hint="eastAsia" w:ascii="仿宋" w:hAnsi="仿宋" w:eastAsia="仿宋" w:cs="Courier New"/>
                <w:sz w:val="24"/>
              </w:rPr>
              <w:t>-</w:t>
            </w:r>
            <w:r>
              <w:rPr>
                <w:rFonts w:hint="eastAsia" w:ascii="仿宋" w:hAnsi="仿宋" w:eastAsia="仿宋" w:cs="Courier New"/>
                <w:sz w:val="24"/>
                <w:lang w:val="en-US" w:eastAsia="zh-CN"/>
              </w:rPr>
              <w:t>3</w:t>
            </w:r>
            <w:r>
              <w:rPr>
                <w:rFonts w:hint="eastAsia" w:ascii="仿宋" w:hAnsi="仿宋" w:eastAsia="仿宋" w:cs="Courier New"/>
                <w:sz w:val="24"/>
              </w:rPr>
              <w:t>.9分；</w:t>
            </w:r>
            <w:r>
              <w:rPr>
                <w:rFonts w:hint="eastAsia" w:ascii="仿宋" w:hAnsi="仿宋" w:eastAsia="仿宋" w:cs="Courier New"/>
                <w:sz w:val="24"/>
                <w:lang w:val="en-US" w:eastAsia="zh-CN"/>
              </w:rPr>
              <w:t>方案严重缺失，和采购人实际需求完全不符得0.1-1.9分；</w:t>
            </w:r>
            <w:r>
              <w:rPr>
                <w:rFonts w:hint="eastAsia" w:ascii="仿宋" w:hAnsi="仿宋" w:eastAsia="仿宋" w:cs="Courier New"/>
                <w:sz w:val="24"/>
              </w:rPr>
              <w:t>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default" w:ascii="仿宋" w:hAnsi="仿宋" w:eastAsia="仿宋" w:cs="仿宋"/>
                <w:kern w:val="0"/>
                <w:sz w:val="24"/>
                <w:szCs w:val="24"/>
                <w:lang w:val="en-US" w:eastAsia="zh-CN"/>
              </w:rPr>
            </w:pPr>
            <w:r>
              <w:rPr>
                <w:rFonts w:hint="eastAsia" w:ascii="仿宋" w:hAnsi="仿宋" w:eastAsia="仿宋"/>
                <w:sz w:val="24"/>
                <w:lang w:val="en-US" w:eastAsia="zh-CN"/>
              </w:rPr>
              <w:t>10</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rPr>
            </w:pPr>
            <w:r>
              <w:rPr>
                <w:rFonts w:hint="eastAsia" w:ascii="仿宋" w:hAnsi="仿宋" w:eastAsia="仿宋"/>
                <w:sz w:val="24"/>
              </w:rPr>
              <w:t>质量保证方案</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hint="eastAsia" w:ascii="仿宋" w:hAnsi="仿宋" w:eastAsia="仿宋" w:cs="仿宋"/>
                <w:sz w:val="24"/>
                <w:szCs w:val="24"/>
                <w:lang w:eastAsia="zh-CN"/>
              </w:rPr>
            </w:pPr>
            <w:r>
              <w:rPr>
                <w:rFonts w:hint="eastAsia" w:ascii="仿宋" w:hAnsi="仿宋" w:eastAsia="仿宋"/>
                <w:sz w:val="24"/>
              </w:rPr>
              <w:t>提供针对本项目服务质量保证及原材料控制方案：评委根据企业对餐厅服务的定位、管理、如何保证原材料合理使用减少浪费等方面进行综合评分，</w:t>
            </w:r>
            <w:r>
              <w:rPr>
                <w:rFonts w:hint="eastAsia" w:ascii="仿宋" w:hAnsi="仿宋" w:eastAsia="仿宋" w:cs="仿宋"/>
                <w:kern w:val="0"/>
                <w:sz w:val="24"/>
              </w:rPr>
              <w:t>方案内容完善、合理、操作性强得6.0-8.0分；方案内容较完善、较合理、操作性较强得4.9-5.9分；方案内容基本合理、操作性一般得2.0-3.9分，方案内容不完整、有欠缺的得0.1-1.9分，其余不得分。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lang w:eastAsia="zh-CN"/>
              </w:rPr>
            </w:pPr>
            <w:r>
              <w:rPr>
                <w:rFonts w:hint="eastAsia" w:ascii="仿宋" w:hAnsi="仿宋" w:eastAsia="仿宋"/>
                <w:sz w:val="24"/>
              </w:rPr>
              <w:t>8</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rPr>
            </w:pPr>
            <w:r>
              <w:rPr>
                <w:rFonts w:hint="eastAsia" w:ascii="仿宋" w:hAnsi="仿宋" w:eastAsia="仿宋"/>
                <w:sz w:val="24"/>
              </w:rPr>
              <w:t>安全方案</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lang w:eastAsia="zh-CN"/>
              </w:rPr>
            </w:pPr>
            <w:r>
              <w:rPr>
                <w:rFonts w:hint="eastAsia" w:ascii="仿宋" w:hAnsi="仿宋" w:eastAsia="仿宋" w:cs="Courier New"/>
                <w:sz w:val="24"/>
              </w:rPr>
              <w:t>提供针对本项目食品安全、生产安全的风险分析及可行控制方案：评委根据企业对食堂风险的分析、对食品安全的保障措施及应急预案是否科学合理、对安全方面的内控能力等方面进行综合评分，</w:t>
            </w:r>
            <w:r>
              <w:rPr>
                <w:rFonts w:hint="eastAsia" w:ascii="仿宋" w:hAnsi="仿宋" w:eastAsia="仿宋" w:cs="仿宋"/>
                <w:kern w:val="0"/>
                <w:sz w:val="24"/>
              </w:rPr>
              <w:t>方案内容完善、合理、操作性强得6.0-8.0分；方案内容较完善、较合理、操作性较强得4.0-5.9分；方案内容基本合理、操作性一般得2.0-3.9分，方案内容不完整、有欠缺的得0.1-1.9分，其余不得分。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lang w:eastAsia="zh-CN"/>
              </w:rPr>
            </w:pPr>
            <w:r>
              <w:rPr>
                <w:rFonts w:hint="eastAsia" w:ascii="仿宋" w:hAnsi="仿宋" w:eastAsia="仿宋"/>
                <w:sz w:val="24"/>
              </w:rPr>
              <w:t>8</w:t>
            </w:r>
          </w:p>
        </w:tc>
      </w:tr>
      <w:tr>
        <w:tblPrEx>
          <w:tblLayout w:type="fixed"/>
          <w:tblCellMar>
            <w:top w:w="0" w:type="dxa"/>
            <w:left w:w="108" w:type="dxa"/>
            <w:bottom w:w="0" w:type="dxa"/>
            <w:right w:w="108" w:type="dxa"/>
          </w:tblCellMar>
        </w:tblPrEx>
        <w:trPr>
          <w:trHeight w:val="827"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9</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rPr>
            </w:pPr>
            <w:r>
              <w:rPr>
                <w:rFonts w:hint="eastAsia" w:ascii="仿宋" w:hAnsi="仿宋" w:eastAsia="仿宋"/>
                <w:sz w:val="24"/>
              </w:rPr>
              <w:t>反食品浪费方案</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lang w:eastAsia="zh-CN"/>
              </w:rPr>
            </w:pPr>
            <w:r>
              <w:rPr>
                <w:rFonts w:hint="eastAsia" w:ascii="仿宋" w:hAnsi="仿宋" w:eastAsia="仿宋" w:cs="Courier New"/>
                <w:sz w:val="24"/>
              </w:rPr>
              <w:t>评委根据投标人提供针对本项目反食品浪费行动的可行性方案，包括食品的储存、加工、消费及餐厨垃圾处理等环节反浪费管理制度等的明确管理措施；对餐前、用餐、餐后等环节的有效措施；开展内部教育培训等方面进行综合评分，方案内容完善、合理、操作性强得6.0-8.0分；方案内容较完善、较合理、操作性较强得4.0-5.9分；方案内容基本合理、操作性一般得2.0-3.9分，方案内容不完整、有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lang w:eastAsia="zh-CN"/>
              </w:rPr>
            </w:pPr>
            <w:r>
              <w:rPr>
                <w:rFonts w:hint="eastAsia" w:ascii="仿宋" w:hAnsi="仿宋" w:eastAsia="仿宋"/>
                <w:sz w:val="24"/>
                <w:lang w:val="en-US" w:eastAsia="zh-CN"/>
              </w:rPr>
              <w:t>8</w:t>
            </w:r>
          </w:p>
        </w:tc>
      </w:tr>
      <w:tr>
        <w:tblPrEx>
          <w:tblLayout w:type="fixed"/>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rPr>
            </w:pPr>
            <w:r>
              <w:rPr>
                <w:rFonts w:hint="eastAsia" w:ascii="仿宋_GB2312" w:eastAsia="仿宋_GB2312"/>
                <w:sz w:val="24"/>
              </w:rPr>
              <w:t>特色服务</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lang w:eastAsia="zh-CN"/>
              </w:rPr>
            </w:pPr>
            <w:r>
              <w:rPr>
                <w:rFonts w:hint="eastAsia" w:ascii="仿宋" w:hAnsi="仿宋" w:eastAsia="仿宋" w:cs="Courier New"/>
                <w:sz w:val="24"/>
              </w:rPr>
              <w:t>结合</w:t>
            </w:r>
            <w:r>
              <w:rPr>
                <w:rFonts w:hint="eastAsia" w:ascii="仿宋" w:hAnsi="仿宋" w:eastAsia="仿宋" w:cs="Courier New"/>
                <w:sz w:val="24"/>
                <w:lang w:val="en-US" w:eastAsia="zh-CN"/>
              </w:rPr>
              <w:t>交警大队</w:t>
            </w:r>
            <w:r>
              <w:rPr>
                <w:rFonts w:hint="eastAsia" w:ascii="仿宋" w:hAnsi="仿宋" w:eastAsia="仿宋" w:cs="Courier New"/>
                <w:sz w:val="24"/>
              </w:rPr>
              <w:t>整体情况，为食堂整体的运行提供相关的特色服务，如应急供餐保障能力等，须提供相关方案，方案内容完善、合理、操作性强、针对性强得6.0-8.0分；方案内容较完善、较合理、操作性较强、针对性较强得4.0-5.9分；方案内容基本合理、操作性一般、针对性一般得2.0-3.9分，方案内容不完整、有欠缺、针对性欠缺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lang w:eastAsia="zh-CN"/>
              </w:rPr>
            </w:pPr>
            <w:r>
              <w:rPr>
                <w:rFonts w:hint="eastAsia" w:ascii="仿宋" w:hAnsi="仿宋" w:eastAsia="仿宋"/>
                <w:sz w:val="24"/>
                <w:lang w:val="en-US" w:eastAsia="zh-CN"/>
              </w:rPr>
              <w:t>8</w:t>
            </w:r>
          </w:p>
        </w:tc>
      </w:tr>
      <w:tr>
        <w:tblPrEx>
          <w:tblLayout w:type="fixed"/>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11</w:t>
            </w:r>
          </w:p>
        </w:tc>
        <w:tc>
          <w:tcPr>
            <w:tcW w:w="1200"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仿宋" w:hAnsi="仿宋" w:eastAsia="仿宋" w:cs="仿宋"/>
                <w:kern w:val="0"/>
                <w:sz w:val="24"/>
                <w:szCs w:val="24"/>
              </w:rPr>
            </w:pPr>
            <w:r>
              <w:rPr>
                <w:rFonts w:hint="eastAsia" w:ascii="仿宋_GB2312" w:eastAsia="仿宋_GB2312"/>
                <w:sz w:val="24"/>
              </w:rPr>
              <w:t>节能降耗</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lang w:eastAsia="zh-CN"/>
              </w:rPr>
            </w:pPr>
            <w:r>
              <w:rPr>
                <w:rFonts w:hint="eastAsia" w:ascii="仿宋_GB2312" w:eastAsia="仿宋_GB2312"/>
                <w:sz w:val="24"/>
              </w:rPr>
              <w:t>能制定详细、全面的节能降耗措施，并对节能降耗进行综合分析，根据所提供的节能降耗方案内容是否全面、科学、合理、可行性等进行打分</w:t>
            </w:r>
            <w:r>
              <w:rPr>
                <w:rFonts w:hint="eastAsia" w:ascii="仿宋" w:hAnsi="仿宋" w:eastAsia="仿宋" w:cs="Courier New"/>
                <w:sz w:val="24"/>
              </w:rPr>
              <w:t>，</w:t>
            </w:r>
            <w:r>
              <w:rPr>
                <w:rFonts w:hint="eastAsia" w:ascii="仿宋" w:hAnsi="仿宋" w:eastAsia="仿宋" w:cs="仿宋"/>
                <w:kern w:val="0"/>
                <w:sz w:val="24"/>
              </w:rPr>
              <w:t>方案内容完善、合理、操作性强得6.0-8.0分；方案内容较完善、较合理、操作性较强得4.0-5.9分；方案内容基本合理、操作性一般得2.0-3.9分，方案内容不完整、有欠缺的得0.1-0.9分，其余不得分。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仿宋" w:hAnsi="仿宋" w:eastAsia="仿宋" w:cs="仿宋"/>
                <w:kern w:val="0"/>
                <w:sz w:val="24"/>
                <w:szCs w:val="24"/>
                <w:lang w:eastAsia="zh-CN"/>
              </w:rPr>
            </w:pPr>
            <w:r>
              <w:rPr>
                <w:rFonts w:hint="eastAsia" w:ascii="仿宋" w:hAnsi="仿宋" w:eastAsia="仿宋"/>
                <w:sz w:val="24"/>
              </w:rPr>
              <w:t>8</w:t>
            </w:r>
          </w:p>
        </w:tc>
      </w:tr>
      <w:tr>
        <w:tblPrEx>
          <w:tblLayout w:type="fixed"/>
          <w:tblCellMar>
            <w:top w:w="0" w:type="dxa"/>
            <w:left w:w="108" w:type="dxa"/>
            <w:bottom w:w="0" w:type="dxa"/>
            <w:right w:w="108" w:type="dxa"/>
          </w:tblCellMar>
        </w:tblPrEx>
        <w:trPr>
          <w:trHeight w:val="834" w:hRule="atLeast"/>
          <w:jc w:val="center"/>
        </w:trPr>
        <w:tc>
          <w:tcPr>
            <w:tcW w:w="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12</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kern w:val="0"/>
                <w:sz w:val="24"/>
                <w:szCs w:val="24"/>
              </w:rPr>
            </w:pPr>
            <w:r>
              <w:rPr>
                <w:rFonts w:hint="eastAsia" w:ascii="仿宋_GB2312" w:eastAsia="仿宋_GB2312"/>
                <w:sz w:val="24"/>
              </w:rPr>
              <w:t>菜品搭配</w:t>
            </w:r>
          </w:p>
        </w:tc>
        <w:tc>
          <w:tcPr>
            <w:tcW w:w="685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rPr>
                <w:rFonts w:hint="eastAsia" w:ascii="仿宋" w:hAnsi="仿宋" w:eastAsia="仿宋" w:cs="仿宋"/>
                <w:sz w:val="24"/>
                <w:szCs w:val="24"/>
                <w:lang w:eastAsia="zh-CN"/>
              </w:rPr>
            </w:pPr>
            <w:r>
              <w:rPr>
                <w:rFonts w:hint="eastAsia" w:ascii="仿宋_GB2312" w:eastAsia="仿宋_GB2312"/>
                <w:sz w:val="24"/>
              </w:rPr>
              <w:t>能制定详细、全面的菜单设计方案，根据所提供的方案在营养合理搭配、菜品创新等方面进行综合分析，</w:t>
            </w:r>
            <w:r>
              <w:rPr>
                <w:rFonts w:hint="eastAsia" w:ascii="仿宋_GB2312" w:eastAsia="仿宋_GB2312"/>
                <w:bCs/>
                <w:sz w:val="24"/>
              </w:rPr>
              <w:t>方案内容完善、合理、操作性强得6.0-8.0分；方案内容较完善、较合理、操作性较强得4.0-5.9分；方案内容基本合理、操作性一般，基本满足采购需求得2.0-3.9分，方案内容不完整、有欠缺、不够满足采购需求的得0.1-1.9分，其余不得分。</w:t>
            </w:r>
          </w:p>
        </w:tc>
        <w:tc>
          <w:tcPr>
            <w:tcW w:w="934"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400" w:lineRule="exact"/>
              <w:ind w:firstLine="240" w:firstLineChars="100"/>
              <w:rPr>
                <w:rFonts w:hint="eastAsia" w:ascii="仿宋" w:hAnsi="仿宋" w:eastAsia="仿宋" w:cs="仿宋"/>
                <w:kern w:val="0"/>
                <w:sz w:val="24"/>
                <w:szCs w:val="24"/>
                <w:lang w:eastAsia="zh-CN"/>
              </w:rPr>
            </w:pPr>
            <w:r>
              <w:rPr>
                <w:rFonts w:hint="eastAsia" w:ascii="仿宋_GB2312" w:eastAsia="仿宋_GB2312"/>
                <w:sz w:val="24"/>
              </w:rPr>
              <w:t>8</w:t>
            </w:r>
          </w:p>
        </w:tc>
      </w:tr>
    </w:tbl>
    <w:p>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highlight w:val="none"/>
          <w:lang w:eastAsia="zh-CN"/>
        </w:rPr>
      </w:pPr>
      <w:r>
        <w:rPr>
          <w:rFonts w:hint="eastAsia" w:ascii="仿宋" w:hAnsi="仿宋" w:eastAsia="仿宋" w:cs="仿宋"/>
          <w:sz w:val="20"/>
          <w:szCs w:val="20"/>
          <w:highlight w:val="none"/>
          <w:shd w:val="clear" w:color="auto" w:fill="FFFFFF"/>
        </w:rPr>
        <w:t> </w:t>
      </w: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lang w:eastAsia="zh-CN"/>
        </w:rPr>
        <w:t>商务技术分低于</w:t>
      </w:r>
      <w:r>
        <w:rPr>
          <w:rFonts w:hint="eastAsia" w:ascii="仿宋" w:hAnsi="仿宋" w:eastAsia="仿宋" w:cs="仿宋_GB2312"/>
          <w:b/>
          <w:bCs/>
          <w:color w:val="000000"/>
          <w:highlight w:val="none"/>
          <w:lang w:val="en-US" w:eastAsia="zh-CN"/>
        </w:rPr>
        <w:t>48分的，</w:t>
      </w:r>
      <w:r>
        <w:rPr>
          <w:rFonts w:hint="eastAsia" w:ascii="仿宋" w:hAnsi="仿宋" w:eastAsia="仿宋"/>
          <w:b/>
          <w:bCs/>
          <w:color w:val="000000"/>
          <w:sz w:val="24"/>
          <w:highlight w:val="none"/>
        </w:rPr>
        <w:t>视为采购人不能接受的附加条件</w:t>
      </w:r>
      <w:r>
        <w:rPr>
          <w:rFonts w:hint="eastAsia" w:ascii="仿宋" w:hAnsi="仿宋" w:eastAsia="仿宋"/>
          <w:b/>
          <w:bCs/>
          <w:color w:val="000000"/>
          <w:sz w:val="24"/>
          <w:highlight w:val="none"/>
          <w:lang w:eastAsia="zh-CN"/>
        </w:rPr>
        <w:t>。</w:t>
      </w:r>
    </w:p>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highlight w:val="none"/>
        </w:rPr>
      </w:pP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20</w:t>
      </w:r>
      <w:r>
        <w:rPr>
          <w:rFonts w:hint="eastAsia" w:ascii="仿宋" w:hAnsi="仿宋" w:eastAsia="仿宋" w:cs="仿宋"/>
          <w:b/>
          <w:bCs/>
          <w:iCs/>
          <w:sz w:val="24"/>
          <w:highlight w:val="none"/>
        </w:rPr>
        <w:t>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lang w:val="en-US" w:eastAsia="zh-CN"/>
        </w:rPr>
        <w:t>20</w:t>
      </w:r>
    </w:p>
    <w:p>
      <w:pPr>
        <w:pStyle w:val="25"/>
        <w:snapToGrid w:val="0"/>
        <w:spacing w:line="360" w:lineRule="auto"/>
        <w:ind w:firstLine="482" w:firstLineChars="200"/>
        <w:rPr>
          <w:rFonts w:hint="eastAsia" w:ascii="仿宋" w:hAnsi="仿宋" w:eastAsia="仿宋" w:cs="仿宋"/>
          <w:highlight w:val="none"/>
        </w:rPr>
      </w:pPr>
      <w:r>
        <w:rPr>
          <w:rFonts w:hint="eastAsia" w:ascii="仿宋" w:hAnsi="仿宋" w:eastAsia="仿宋" w:cs="仿宋"/>
          <w:b/>
          <w:color w:val="000000"/>
          <w:sz w:val="24"/>
          <w:szCs w:val="20"/>
          <w:highlight w:val="none"/>
          <w:lang w:val="en-US" w:eastAsia="zh-CN"/>
        </w:rPr>
        <w:t>注：</w:t>
      </w:r>
      <w:r>
        <w:rPr>
          <w:rFonts w:hint="eastAsia" w:ascii="仿宋" w:hAnsi="仿宋" w:eastAsia="仿宋" w:cs="仿宋"/>
          <w:b/>
          <w:color w:val="000000"/>
          <w:sz w:val="24"/>
          <w:szCs w:val="20"/>
          <w:highlight w:val="none"/>
        </w:rPr>
        <w:t>人员工资报价不得低于绍兴市最低工资标准，目前最低月工资标准为</w:t>
      </w:r>
      <w:r>
        <w:rPr>
          <w:rFonts w:ascii="仿宋" w:hAnsi="仿宋" w:eastAsia="仿宋" w:cs="仿宋"/>
          <w:b/>
          <w:color w:val="000000"/>
          <w:sz w:val="24"/>
          <w:szCs w:val="20"/>
          <w:highlight w:val="none"/>
        </w:rPr>
        <w:t>2260</w:t>
      </w:r>
      <w:r>
        <w:rPr>
          <w:rFonts w:hint="eastAsia" w:ascii="仿宋" w:hAnsi="仿宋" w:eastAsia="仿宋" w:cs="仿宋"/>
          <w:b/>
          <w:color w:val="000000"/>
          <w:sz w:val="24"/>
          <w:szCs w:val="20"/>
          <w:highlight w:val="none"/>
        </w:rPr>
        <w:t>元</w:t>
      </w:r>
      <w:r>
        <w:rPr>
          <w:rFonts w:ascii="仿宋" w:hAnsi="仿宋" w:eastAsia="仿宋" w:cs="仿宋"/>
          <w:b/>
          <w:color w:val="000000"/>
          <w:sz w:val="24"/>
          <w:szCs w:val="20"/>
          <w:highlight w:val="none"/>
        </w:rPr>
        <w:t>/</w:t>
      </w:r>
      <w:r>
        <w:rPr>
          <w:rFonts w:hint="eastAsia" w:ascii="仿宋" w:hAnsi="仿宋" w:eastAsia="仿宋" w:cs="仿宋"/>
          <w:b/>
          <w:color w:val="000000"/>
          <w:sz w:val="24"/>
          <w:szCs w:val="20"/>
          <w:highlight w:val="none"/>
        </w:rPr>
        <w:t>月（参照浙政发【</w:t>
      </w:r>
      <w:r>
        <w:rPr>
          <w:rFonts w:ascii="仿宋" w:hAnsi="仿宋" w:eastAsia="仿宋" w:cs="仿宋"/>
          <w:b/>
          <w:color w:val="000000"/>
          <w:sz w:val="24"/>
          <w:szCs w:val="20"/>
          <w:highlight w:val="none"/>
        </w:rPr>
        <w:t>2024</w:t>
      </w:r>
      <w:r>
        <w:rPr>
          <w:rFonts w:hint="eastAsia" w:ascii="仿宋" w:hAnsi="仿宋" w:eastAsia="仿宋" w:cs="仿宋"/>
          <w:b/>
          <w:color w:val="000000"/>
          <w:sz w:val="24"/>
          <w:szCs w:val="20"/>
          <w:highlight w:val="none"/>
        </w:rPr>
        <w:t>】</w:t>
      </w:r>
      <w:r>
        <w:rPr>
          <w:rFonts w:ascii="仿宋" w:hAnsi="仿宋" w:eastAsia="仿宋" w:cs="仿宋"/>
          <w:b/>
          <w:color w:val="000000"/>
          <w:sz w:val="24"/>
          <w:szCs w:val="20"/>
          <w:highlight w:val="none"/>
        </w:rPr>
        <w:t>3</w:t>
      </w:r>
      <w:r>
        <w:rPr>
          <w:rFonts w:hint="eastAsia" w:ascii="仿宋" w:hAnsi="仿宋" w:eastAsia="仿宋" w:cs="仿宋"/>
          <w:b/>
          <w:color w:val="000000"/>
          <w:sz w:val="24"/>
          <w:szCs w:val="20"/>
          <w:highlight w:val="none"/>
        </w:rPr>
        <w:t>号），否则无效标处理。</w:t>
      </w:r>
      <w:r>
        <w:rPr>
          <w:rFonts w:hint="eastAsia" w:ascii="仿宋" w:hAnsi="仿宋" w:eastAsia="仿宋" w:cs="仿宋"/>
          <w:color w:val="000000"/>
          <w:sz w:val="24"/>
          <w:szCs w:val="20"/>
          <w:highlight w:val="none"/>
        </w:rPr>
        <w:t>合同期内，如果采购人所在地最低工资上调，涉及到差额部分采购人均不做调整，由中标单位自行承担</w:t>
      </w:r>
      <w:r>
        <w:rPr>
          <w:rFonts w:hint="eastAsia" w:ascii="仿宋" w:hAnsi="仿宋" w:eastAsia="仿宋" w:cs="仿宋"/>
          <w:color w:val="000000"/>
          <w:sz w:val="24"/>
          <w:szCs w:val="20"/>
          <w:highlight w:val="none"/>
          <w:lang w:eastAsia="zh-CN"/>
        </w:rPr>
        <w:t>。</w:t>
      </w:r>
    </w:p>
    <w:p>
      <w:pPr>
        <w:widowControl/>
        <w:adjustRightInd/>
        <w:jc w:val="center"/>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pStyle w:val="33"/>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46"/>
      <w:r>
        <w:rPr>
          <w:rFonts w:hint="eastAsia" w:ascii="仿宋" w:hAnsi="仿宋" w:eastAsia="仿宋" w:cs="仿宋"/>
          <w:b/>
          <w:sz w:val="36"/>
          <w:szCs w:val="20"/>
        </w:rPr>
        <w:t xml:space="preserve"> </w:t>
      </w:r>
      <w:bookmarkEnd w:id="4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临[2025]2248号</w:t>
      </w:r>
      <w:r>
        <w:rPr>
          <w:rFonts w:hint="eastAsia" w:ascii="仿宋" w:hAnsi="仿宋" w:eastAsia="仿宋" w:cs="仿宋"/>
          <w:color w:val="auto"/>
          <w:sz w:val="24"/>
          <w:u w:val="single"/>
        </w:rPr>
        <w:t>】</w:t>
      </w:r>
      <w:r>
        <w:rPr>
          <w:rFonts w:hint="eastAsia" w:ascii="仿宋" w:hAnsi="仿宋" w:eastAsia="仿宋" w:cs="仿宋"/>
          <w:color w:val="auto"/>
          <w:sz w:val="24"/>
        </w:rPr>
        <w:t>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highlight w:val="none"/>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rPr>
        <w:t>）的要求，正式授权</w:t>
      </w:r>
      <w:r>
        <w:rPr>
          <w:rFonts w:hint="eastAsia" w:ascii="仿宋" w:hAnsi="仿宋" w:eastAsia="仿宋" w:cs="仿宋"/>
          <w:b/>
          <w:sz w:val="24"/>
          <w:szCs w:val="24"/>
          <w:u w:val="single"/>
        </w:rPr>
        <w:t xml:space="preserve">（全权代表姓名    、单位    、职务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w:t>
      </w:r>
      <w:r>
        <w:rPr>
          <w:rFonts w:hint="eastAsia" w:ascii="仿宋" w:hAnsi="仿宋" w:eastAsia="仿宋" w:cs="仿宋"/>
          <w:b/>
          <w:sz w:val="24"/>
          <w:szCs w:val="24"/>
          <w:u w:val="single"/>
          <w:lang w:val="en-US" w:eastAsia="zh-CN"/>
        </w:rPr>
        <w:t xml:space="preserve"> </w:t>
      </w:r>
      <w:r>
        <w:rPr>
          <w:rFonts w:hint="eastAsia" w:ascii="仿宋" w:hAnsi="仿宋" w:eastAsia="仿宋" w:cs="仿宋"/>
          <w:b/>
          <w:sz w:val="24"/>
          <w:szCs w:val="24"/>
          <w:u w:val="single"/>
        </w:rPr>
        <w:t xml:space="preserve">  、地址   </w:t>
      </w:r>
      <w:r>
        <w:rPr>
          <w:rFonts w:hint="eastAsia" w:ascii="仿宋" w:hAnsi="仿宋" w:eastAsia="仿宋" w:cs="仿宋"/>
          <w:b/>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hint="eastAsia" w:ascii="仿宋" w:hAnsi="仿宋" w:eastAsia="仿宋" w:cs="仿宋"/>
          <w:b/>
          <w:color w:val="auto"/>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u w:val="single"/>
        </w:rPr>
      </w:pPr>
      <w:r>
        <w:rPr>
          <w:rFonts w:hint="eastAsia" w:ascii="仿宋" w:hAnsi="仿宋" w:eastAsia="仿宋" w:cs="仿宋"/>
          <w:color w:val="auto"/>
          <w:sz w:val="24"/>
          <w:highlight w:val="none"/>
          <w:u w:val="single"/>
          <w:lang w:eastAsia="zh-CN"/>
        </w:rPr>
        <w:t>绍兴市公安局柯桥区分局交通警察大队</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kern w:val="0"/>
          <w:sz w:val="24"/>
          <w:u w:val="singl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b/>
          <w:kern w:val="0"/>
          <w:sz w:val="24"/>
        </w:rPr>
      </w:pP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b/>
                <w:bCs/>
                <w:sz w:val="24"/>
              </w:rPr>
            </w:pPr>
            <w:r>
              <w:rPr>
                <w:rFonts w:hint="eastAsia" w:ascii="仿宋_GB2312" w:hAnsi="仿宋_GB2312" w:eastAsia="仿宋_GB2312" w:cs="仿宋_GB2312"/>
                <w:b/>
                <w:bCs/>
                <w:sz w:val="24"/>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_GB2312" w:hAnsi="仿宋_GB2312" w:eastAsia="仿宋_GB2312" w:cs="仿宋_GB2312"/>
          <w:b/>
          <w:sz w:val="30"/>
          <w:szCs w:val="30"/>
          <w:lang w:eastAsia="zh-CN"/>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tblPrEx>
          <w:shd w:val="clear" w:color="auto" w:fill="auto"/>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hint="eastAsia"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36" w:lineRule="auto"/>
        <w:jc w:val="center"/>
        <w:rPr>
          <w:rFonts w:hint="eastAsia" w:ascii="仿宋" w:hAnsi="仿宋" w:eastAsia="仿宋" w:cs="仿宋"/>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tblPrEx>
          <w:shd w:val="clear" w:color="auto" w:fill="auto"/>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clear"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shd w:val="clear" w:color="auto" w:fill="auto"/>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shd w:val="clear" w:color="auto" w:fill="auto"/>
          </w:tcPr>
          <w:p>
            <w:pPr>
              <w:suppressAutoHyphens/>
              <w:autoSpaceDE w:val="0"/>
              <w:autoSpaceDN w:val="0"/>
              <w:spacing w:line="360" w:lineRule="auto"/>
              <w:rPr>
                <w:rFonts w:ascii="仿宋_GB2312" w:hAnsi="仿宋_GB2312" w:eastAsia="仿宋_GB2312" w:cs="仿宋_GB2312"/>
                <w:sz w:val="24"/>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auto"/>
          <w:kern w:val="0"/>
          <w:sz w:val="32"/>
          <w:szCs w:val="32"/>
          <w:highlight w:val="none"/>
          <w:lang w:val="zh-CN"/>
        </w:rPr>
        <w:t>其他商务技术文件</w:t>
      </w:r>
      <w:r>
        <w:rPr>
          <w:rFonts w:hint="eastAsia" w:ascii="仿宋_GB2312" w:hAnsi="仿宋_GB2312" w:eastAsia="仿宋_GB2312" w:cs="仿宋_GB2312"/>
          <w:b/>
          <w:kern w:val="0"/>
          <w:sz w:val="32"/>
          <w:szCs w:val="32"/>
          <w:lang w:val="zh-CN"/>
        </w:rPr>
        <w:t>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pStyle w:val="23"/>
        <w:numPr>
          <w:ilvl w:val="0"/>
          <w:numId w:val="0"/>
        </w:numPr>
        <w:snapToGrid w:val="0"/>
        <w:spacing w:line="360" w:lineRule="auto"/>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2</w:t>
      </w:r>
      <w:r>
        <w:rPr>
          <w:rFonts w:hint="default" w:ascii="仿宋" w:hAnsi="仿宋" w:eastAsia="仿宋" w:cs="仿宋"/>
          <w:b w:val="0"/>
          <w:bCs w:val="0"/>
          <w:i w:val="0"/>
          <w:iCs w:val="0"/>
          <w:color w:val="auto"/>
          <w:kern w:val="2"/>
          <w:sz w:val="24"/>
          <w:szCs w:val="24"/>
          <w:highlight w:val="none"/>
          <w:vertAlign w:val="baseline"/>
          <w:lang w:val="en-US" w:eastAsia="zh-CN" w:bidi="ar-SA"/>
        </w:rPr>
        <w:t>）投标人针对报价需要说明的其他文件和说明（如有，格式自拟）………（页码）</w:t>
      </w:r>
    </w:p>
    <w:p>
      <w:pPr>
        <w:pStyle w:val="23"/>
        <w:numPr>
          <w:ilvl w:val="0"/>
          <w:numId w:val="0"/>
        </w:numPr>
        <w:snapToGrid w:val="0"/>
        <w:spacing w:line="360" w:lineRule="auto"/>
        <w:rPr>
          <w:rFonts w:hint="eastAsia" w:ascii="仿宋" w:hAnsi="仿宋" w:eastAsia="仿宋" w:cs="仿宋"/>
          <w:sz w:val="24"/>
          <w:highlight w:val="yellow"/>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814" w:right="1474" w:bottom="1814" w:left="1474"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u w:val="single"/>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kern w:val="0"/>
          <w:sz w:val="24"/>
          <w:u w:val="single"/>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u w:val="single"/>
          <w:lang w:eastAsia="zh-CN"/>
        </w:rPr>
        <w:t>（项目名称）</w:t>
      </w:r>
      <w:r>
        <w:rPr>
          <w:rFonts w:hint="eastAsia" w:ascii="仿宋" w:hAnsi="仿宋" w:eastAsia="仿宋" w:cs="仿宋"/>
          <w:color w:val="auto"/>
          <w:kern w:val="0"/>
          <w:sz w:val="24"/>
          <w:u w:val="single"/>
          <w:lang w:val="zh-CN"/>
        </w:rPr>
        <w:t>【招标编号：</w:t>
      </w:r>
      <w:r>
        <w:rPr>
          <w:rFonts w:hint="eastAsia" w:ascii="仿宋" w:hAnsi="仿宋" w:eastAsia="仿宋" w:cs="仿宋"/>
          <w:color w:val="auto"/>
          <w:sz w:val="24"/>
          <w:u w:val="single"/>
          <w:lang w:eastAsia="zh-CN"/>
        </w:rPr>
        <w:t>临[2025]2248号</w:t>
      </w:r>
      <w:r>
        <w:rPr>
          <w:rFonts w:hint="eastAsia" w:ascii="仿宋" w:hAnsi="仿宋" w:eastAsia="仿宋" w:cs="仿宋"/>
          <w:color w:val="auto"/>
          <w:sz w:val="24"/>
          <w:u w:val="single"/>
        </w:rPr>
        <w:t>】</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34"/>
        <w:gridCol w:w="2266"/>
        <w:gridCol w:w="2505"/>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岗位</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岗数</w:t>
            </w: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月</w:t>
            </w:r>
            <w:r>
              <w:rPr>
                <w:rFonts w:hint="eastAsia" w:ascii="仿宋" w:hAnsi="仿宋" w:eastAsia="仿宋" w:cs="仿宋"/>
                <w:color w:val="auto"/>
                <w:kern w:val="0"/>
                <w:sz w:val="24"/>
                <w:highlight w:val="none"/>
                <w:lang w:val="en-US" w:eastAsia="zh-CN"/>
              </w:rPr>
              <w:t>费用</w:t>
            </w:r>
            <w:r>
              <w:rPr>
                <w:rFonts w:hint="eastAsia" w:ascii="仿宋" w:hAnsi="仿宋" w:eastAsia="仿宋" w:cs="仿宋"/>
                <w:color w:val="auto"/>
                <w:kern w:val="0"/>
                <w:sz w:val="24"/>
                <w:highlight w:val="none"/>
              </w:rPr>
              <w:t>（元/月）</w:t>
            </w: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一年合计（元）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公安局柯桥区分局交通警察大队食堂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执行</w:t>
            </w:r>
            <w:r>
              <w:rPr>
                <w:rFonts w:hint="eastAsia" w:ascii="仿宋" w:hAnsi="仿宋" w:eastAsia="仿宋" w:cs="仿宋"/>
                <w:color w:val="auto"/>
                <w:kern w:val="0"/>
                <w:sz w:val="24"/>
                <w:highlight w:val="none"/>
              </w:rPr>
              <w:t>厨师长</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副厨</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1434" w:type="dxa"/>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面点师</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1434" w:type="dxa"/>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服务员</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柯桥中队食堂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厨师</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szCs w:val="24"/>
                <w:highlight w:val="none"/>
              </w:rPr>
              <w:t>副厨兼面点</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服务员</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福全中队食堂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厨师</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snapToGrid/>
                <w:color w:val="auto"/>
                <w:kern w:val="0"/>
                <w:sz w:val="24"/>
                <w:highlight w:val="none"/>
              </w:rPr>
              <w:t>副厨</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柯南中队食堂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4" w:type="dxa"/>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snapToGrid/>
                <w:color w:val="auto"/>
                <w:kern w:val="0"/>
                <w:sz w:val="24"/>
                <w:highlight w:val="none"/>
              </w:rPr>
              <w:t>副厨</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钱清中队食堂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snapToGrid/>
                <w:color w:val="auto"/>
                <w:kern w:val="0"/>
                <w:sz w:val="24"/>
                <w:highlight w:val="none"/>
              </w:rPr>
              <w:t>副厨</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服务员</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882" w:type="dxa"/>
            <w:gridSpan w:val="5"/>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柯北中队食堂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4" w:type="dxa"/>
            <w:noWrap w:val="0"/>
            <w:vAlign w:val="center"/>
          </w:tcPr>
          <w:p>
            <w:pPr>
              <w:widowControl/>
              <w:spacing w:before="100" w:beforeAutospacing="1" w:after="100" w:afterAutospacing="1" w:line="300" w:lineRule="exact"/>
              <w:jc w:val="center"/>
              <w:rPr>
                <w:rFonts w:ascii="仿宋" w:hAnsi="仿宋" w:eastAsia="仿宋" w:cs="仿宋"/>
                <w:color w:val="auto"/>
                <w:kern w:val="0"/>
                <w:sz w:val="24"/>
                <w:highlight w:val="none"/>
              </w:rPr>
            </w:pPr>
            <w:r>
              <w:rPr>
                <w:rFonts w:hint="eastAsia" w:ascii="仿宋" w:hAnsi="仿宋" w:eastAsia="仿宋" w:cs="仿宋"/>
                <w:snapToGrid/>
                <w:color w:val="auto"/>
                <w:kern w:val="0"/>
                <w:sz w:val="24"/>
                <w:highlight w:val="none"/>
              </w:rPr>
              <w:t>副厨</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17" w:type="dxa"/>
            <w:noWrap w:val="0"/>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34"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服务员</w:t>
            </w:r>
          </w:p>
        </w:tc>
        <w:tc>
          <w:tcPr>
            <w:tcW w:w="2266"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2505" w:type="dxa"/>
            <w:noWrap w:val="0"/>
            <w:vAlign w:val="center"/>
          </w:tcPr>
          <w:p>
            <w:pPr>
              <w:widowControl/>
              <w:spacing w:before="100" w:beforeAutospacing="1" w:after="100" w:afterAutospacing="1" w:line="300" w:lineRule="exact"/>
              <w:jc w:val="center"/>
              <w:rPr>
                <w:rFonts w:hint="eastAsia" w:ascii="仿宋" w:hAnsi="仿宋" w:eastAsia="仿宋" w:cs="仿宋"/>
                <w:color w:val="auto"/>
                <w:kern w:val="0"/>
                <w:sz w:val="24"/>
                <w:highlight w:val="none"/>
              </w:rPr>
            </w:pPr>
          </w:p>
        </w:tc>
        <w:tc>
          <w:tcPr>
            <w:tcW w:w="1860" w:type="dxa"/>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51" w:type="dxa"/>
            <w:gridSpan w:val="2"/>
            <w:noWrap w:val="0"/>
            <w:vAlign w:val="center"/>
          </w:tcPr>
          <w:p>
            <w:pPr>
              <w:autoSpaceDE w:val="0"/>
              <w:autoSpaceDN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总报价（小写）</w:t>
            </w:r>
          </w:p>
        </w:tc>
        <w:tc>
          <w:tcPr>
            <w:tcW w:w="6631" w:type="dxa"/>
            <w:gridSpan w:val="3"/>
            <w:noWrap w:val="0"/>
            <w:vAlign w:val="center"/>
          </w:tcPr>
          <w:p>
            <w:pPr>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251" w:type="dxa"/>
            <w:gridSpan w:val="2"/>
            <w:noWrap w:val="0"/>
            <w:vAlign w:val="center"/>
          </w:tcPr>
          <w:p>
            <w:pPr>
              <w:autoSpaceDE w:val="0"/>
              <w:autoSpaceDN w:val="0"/>
              <w:spacing w:line="36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总报价（大写）</w:t>
            </w:r>
          </w:p>
        </w:tc>
        <w:tc>
          <w:tcPr>
            <w:tcW w:w="6631" w:type="dxa"/>
            <w:gridSpan w:val="3"/>
            <w:noWrap w:val="0"/>
            <w:vAlign w:val="center"/>
          </w:tcPr>
          <w:p>
            <w:pPr>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jc w:val="right"/>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pPr>
        <w:snapToGrid w:val="0"/>
        <w:spacing w:line="360" w:lineRule="auto"/>
        <w:jc w:val="right"/>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decimal"/>
          <w:cols w:space="720" w:num="1"/>
          <w:titlePg/>
          <w:docGrid w:linePitch="312" w:charSpace="0"/>
        </w:sectPr>
      </w:pPr>
    </w:p>
    <w:p>
      <w:pPr>
        <w:spacing w:line="360" w:lineRule="auto"/>
        <w:ind w:right="420" w:firstLine="3614" w:firstLineChars="1000"/>
        <w:rPr>
          <w:rFonts w:hint="eastAsia" w:ascii="仿宋" w:hAnsi="仿宋" w:eastAsia="仿宋" w:cs="仿宋"/>
          <w:b/>
          <w:kern w:val="0"/>
          <w:sz w:val="36"/>
          <w:szCs w:val="36"/>
        </w:rPr>
      </w:pPr>
    </w:p>
    <w:p>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二、投标人针对报价需要说明的其他文件和说明</w:t>
      </w:r>
    </w:p>
    <w:p>
      <w:pPr>
        <w:widowControl/>
        <w:autoSpaceDE w:val="0"/>
        <w:autoSpaceDN w:val="0"/>
        <w:adjustRightInd w:val="0"/>
        <w:spacing w:line="360" w:lineRule="auto"/>
        <w:ind w:firstLine="120" w:firstLineChars="50"/>
        <w:jc w:val="center"/>
        <w:rPr>
          <w:rFonts w:hint="eastAsia" w:ascii="仿宋" w:hAnsi="仿宋" w:eastAsia="仿宋" w:cs="仿宋"/>
          <w:b/>
          <w:bCs/>
          <w:i w:val="0"/>
          <w:iCs w:val="0"/>
          <w:snapToGrid w:val="0"/>
          <w:color w:val="auto"/>
          <w:kern w:val="2"/>
          <w:sz w:val="24"/>
          <w:szCs w:val="21"/>
          <w:highlight w:val="none"/>
          <w:vertAlign w:val="baseline"/>
          <w:lang w:val="zh-CN" w:eastAsia="zh-CN" w:bidi="ar-SA"/>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[如成本测算资料]</w:t>
      </w: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浙江越锋项目管理有限公司</w:t>
      </w:r>
      <w:r>
        <w:rPr>
          <w:rFonts w:hint="eastAsia" w:ascii="仿宋" w:hAnsi="仿宋" w:eastAsia="仿宋" w:cs="仿宋"/>
          <w:color w:val="auto"/>
          <w:sz w:val="24"/>
          <w:u w:val="single"/>
        </w:rPr>
        <w:t>：</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临[2025]2248号</w:t>
      </w:r>
      <w:r>
        <w:rPr>
          <w:rFonts w:hint="eastAsia" w:ascii="仿宋" w:hAnsi="仿宋" w:eastAsia="仿宋" w:cs="仿宋"/>
          <w:color w:val="auto"/>
          <w:sz w:val="24"/>
          <w:u w:val="single"/>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临[2025]2248号</w:t>
      </w:r>
      <w:r>
        <w:rPr>
          <w:rFonts w:hint="eastAsia" w:ascii="仿宋" w:hAnsi="仿宋" w:eastAsia="仿宋" w:cs="仿宋"/>
          <w:color w:val="auto"/>
          <w:sz w:val="24"/>
          <w:u w:val="single"/>
        </w:rPr>
        <w:t>】</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0" w:name="_Hlk101131882"/>
      <w:r>
        <w:rPr>
          <w:rFonts w:hint="eastAsia" w:ascii="仿宋" w:hAnsi="仿宋" w:eastAsia="仿宋" w:cs="仿宋"/>
          <w:kern w:val="0"/>
          <w:sz w:val="24"/>
          <w:u w:val="single"/>
        </w:rPr>
        <w:t>联合体成员X,……</w:t>
      </w:r>
      <w:bookmarkEnd w:id="1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1"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1"/>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2"/>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【招标编号：</w:t>
      </w:r>
      <w:r>
        <w:rPr>
          <w:rFonts w:hint="eastAsia" w:ascii="仿宋" w:hAnsi="仿宋" w:eastAsia="仿宋" w:cs="仿宋"/>
          <w:color w:val="auto"/>
          <w:sz w:val="24"/>
          <w:u w:val="single"/>
          <w:lang w:eastAsia="zh-CN"/>
        </w:rPr>
        <w:t>临[2025]2248号</w:t>
      </w:r>
      <w:r>
        <w:rPr>
          <w:rFonts w:hint="eastAsia" w:ascii="仿宋" w:hAnsi="仿宋" w:eastAsia="仿宋" w:cs="仿宋"/>
          <w:sz w:val="24"/>
          <w:u w:val="single"/>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0"/>
          <w:sz w:val="24"/>
          <w:lang w:val="zh-CN"/>
        </w:rPr>
        <w:t>。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3" w:name="OLE_LINK14"/>
      <w:bookmarkStart w:id="174" w:name="OLE_LINK13"/>
      <w:r>
        <w:rPr>
          <w:rFonts w:hint="eastAsia" w:ascii="仿宋" w:hAnsi="仿宋" w:eastAsia="仿宋" w:cs="仿宋"/>
          <w:b/>
          <w:spacing w:val="6"/>
          <w:sz w:val="32"/>
          <w:szCs w:val="32"/>
        </w:rPr>
        <w:t>残疾人福利性单位声明函</w:t>
      </w:r>
    </w:p>
    <w:bookmarkEnd w:id="173"/>
    <w:bookmarkEnd w:id="174"/>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lang w:eastAsia="zh-CN"/>
        </w:rPr>
        <w:t>绍兴市公安局柯桥区分局交通警察大队</w:t>
      </w:r>
      <w:r>
        <w:rPr>
          <w:rFonts w:hint="eastAsia" w:ascii="仿宋" w:hAnsi="仿宋" w:eastAsia="仿宋" w:cs="仿宋"/>
          <w:color w:val="auto"/>
          <w:sz w:val="24"/>
        </w:rPr>
        <w:t>单位的</w:t>
      </w:r>
      <w:r>
        <w:rPr>
          <w:rFonts w:hint="eastAsia" w:ascii="仿宋" w:hAnsi="仿宋" w:eastAsia="仿宋" w:cs="仿宋"/>
          <w:color w:val="auto"/>
          <w:sz w:val="24"/>
          <w:u w:val="single"/>
          <w:lang w:eastAsia="zh-CN"/>
        </w:rPr>
        <w:t>（项目名称）</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lang w:eastAsia="zh-CN"/>
        </w:rPr>
        <w:t>绍兴市公安局柯桥区分局交通警察大队</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_GB2312"/>
          <w:sz w:val="24"/>
          <w:u w:val="single"/>
          <w:lang w:val="en-US" w:eastAsia="zh-CN"/>
        </w:rPr>
        <w:t>餐饮</w:t>
      </w:r>
      <w:r>
        <w:rPr>
          <w:rFonts w:hint="eastAsia" w:ascii="仿宋" w:hAnsi="仿宋" w:eastAsia="仿宋" w:cs="仿宋_GB2312"/>
          <w:sz w:val="24"/>
          <w:u w:val="single"/>
        </w:rPr>
        <w:t>业</w:t>
      </w:r>
      <w:r>
        <w:rPr>
          <w:rFonts w:hint="eastAsia" w:ascii="仿宋" w:hAnsi="仿宋" w:eastAsia="仿宋" w:cs="仿宋_GB2312"/>
          <w:sz w:val="24"/>
          <w:u w:val="single"/>
          <w:lang w:val="en-US" w:eastAsia="zh-CN"/>
        </w:rPr>
        <w:t xml:space="preserve">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_GB2312"/>
          <w:sz w:val="24"/>
          <w:u w:val="single"/>
          <w:lang w:val="en-US" w:eastAsia="zh-CN"/>
        </w:rPr>
        <w:t>餐饮</w:t>
      </w:r>
      <w:r>
        <w:rPr>
          <w:rFonts w:hint="eastAsia" w:ascii="仿宋" w:hAnsi="仿宋" w:eastAsia="仿宋" w:cs="仿宋_GB2312"/>
          <w:sz w:val="24"/>
          <w:u w:val="single"/>
        </w:rPr>
        <w:t>业</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pacing w:line="4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val="0"/>
        <w:snapToGrid w:val="0"/>
        <w:spacing w:line="420" w:lineRule="exact"/>
        <w:ind w:firstLine="5160" w:firstLineChars="2150"/>
        <w:textAlignment w:val="auto"/>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40" w:lineRule="exact"/>
        <w:ind w:right="420"/>
        <w:textAlignment w:val="auto"/>
        <w:rPr>
          <w:rFonts w:hint="eastAsia" w:ascii="仿宋" w:hAnsi="仿宋" w:eastAsia="仿宋" w:cs="仿宋"/>
          <w:sz w:val="24"/>
        </w:rPr>
      </w:pPr>
      <w:r>
        <w:rPr>
          <w:rFonts w:hint="eastAsia" w:ascii="仿宋" w:hAnsi="仿宋" w:eastAsia="仿宋" w:cs="仿宋"/>
          <w:sz w:val="24"/>
        </w:rPr>
        <w:t xml:space="preserve">   注：</w:t>
      </w:r>
    </w:p>
    <w:p>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val="0"/>
        <w:snapToGrid/>
        <w:spacing w:line="340" w:lineRule="exact"/>
        <w:ind w:right="420" w:firstLine="480" w:firstLineChars="200"/>
        <w:textAlignment w:val="auto"/>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91899912"/>
                          <w:bookmarkStart w:id="177" w:name="_Toc36110187"/>
                          <w:bookmarkStart w:id="178" w:name="_Toc131845147"/>
                          <w:r>
                            <w:rPr>
                              <w:rFonts w:hint="eastAsia" w:ascii="仿宋_GB2312" w:eastAsia="仿宋_GB2312"/>
                              <w:kern w:val="0"/>
                              <w:szCs w:val="21"/>
                            </w:rPr>
                            <w:t xml:space="preserve"> 页</w:t>
                          </w:r>
                          <w:bookmarkEnd w:id="175"/>
                          <w:bookmarkEnd w:id="176"/>
                          <w:bookmarkEnd w:id="177"/>
                          <w:bookmarkEnd w:id="17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5" w:name="_Toc164085800"/>
                    <w:bookmarkStart w:id="176" w:name="_Toc91899912"/>
                    <w:bookmarkStart w:id="177" w:name="_Toc36110187"/>
                    <w:bookmarkStart w:id="178" w:name="_Toc131845147"/>
                    <w:r>
                      <w:rPr>
                        <w:rFonts w:hint="eastAsia" w:ascii="仿宋_GB2312" w:eastAsia="仿宋_GB2312"/>
                        <w:kern w:val="0"/>
                        <w:szCs w:val="21"/>
                      </w:rPr>
                      <w:t xml:space="preserve"> 页</w:t>
                    </w:r>
                    <w:bookmarkEnd w:id="175"/>
                    <w:bookmarkEnd w:id="176"/>
                    <w:bookmarkEnd w:id="177"/>
                    <w:bookmarkEnd w:id="17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p>
  <w:p>
    <w:pPr>
      <w:pStyle w:val="41"/>
      <w:pBdr>
        <w:bottom w:val="none" w:color="auto" w:sz="0" w:space="0"/>
      </w:pBdr>
      <w:tabs>
        <w:tab w:val="clear" w:pos="4153"/>
        <w:tab w:val="clear" w:pos="8306"/>
      </w:tabs>
      <w:jc w:val="both"/>
    </w:pP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p>
  <w:p>
    <w:pPr>
      <w:pStyle w:val="41"/>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r>
      <w:rPr>
        <w:rFonts w:hint="eastAsia" w:ascii="仿宋" w:hAnsi="仿宋" w:eastAsia="仿宋" w:cs="仿宋"/>
        <w:lang w:val="en-US" w:eastAsia="zh-CN"/>
      </w:rPr>
      <w:t xml:space="preserve"> </w:t>
    </w:r>
  </w:p>
  <w:p>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临[2025]2248号</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822573"/>
    <w:rsid w:val="02013C18"/>
    <w:rsid w:val="029A38EC"/>
    <w:rsid w:val="02AC6928"/>
    <w:rsid w:val="02D179C5"/>
    <w:rsid w:val="02D634CE"/>
    <w:rsid w:val="032D5B2F"/>
    <w:rsid w:val="035BEF8B"/>
    <w:rsid w:val="04704C2C"/>
    <w:rsid w:val="05704F75"/>
    <w:rsid w:val="07050D9D"/>
    <w:rsid w:val="07ED06E0"/>
    <w:rsid w:val="09691794"/>
    <w:rsid w:val="09EB2C7F"/>
    <w:rsid w:val="0A5D50D2"/>
    <w:rsid w:val="0A693121"/>
    <w:rsid w:val="0A6A2C79"/>
    <w:rsid w:val="0AC37758"/>
    <w:rsid w:val="0AC51722"/>
    <w:rsid w:val="0B194746"/>
    <w:rsid w:val="0B6158EF"/>
    <w:rsid w:val="0B9419B6"/>
    <w:rsid w:val="0B9440DB"/>
    <w:rsid w:val="0BAB0918"/>
    <w:rsid w:val="0C8E4FDD"/>
    <w:rsid w:val="0CDB4D8E"/>
    <w:rsid w:val="0D3A0435"/>
    <w:rsid w:val="0D5D5C42"/>
    <w:rsid w:val="0E09759B"/>
    <w:rsid w:val="0E0F28EA"/>
    <w:rsid w:val="0E38593A"/>
    <w:rsid w:val="0EA24254"/>
    <w:rsid w:val="0F096B8F"/>
    <w:rsid w:val="0F5337A0"/>
    <w:rsid w:val="0F63063F"/>
    <w:rsid w:val="0F9477AA"/>
    <w:rsid w:val="0FE03949"/>
    <w:rsid w:val="0FF94348"/>
    <w:rsid w:val="103E7FAD"/>
    <w:rsid w:val="10685029"/>
    <w:rsid w:val="10702130"/>
    <w:rsid w:val="10CC55B8"/>
    <w:rsid w:val="11441F7B"/>
    <w:rsid w:val="114B1718"/>
    <w:rsid w:val="11B81406"/>
    <w:rsid w:val="12042B30"/>
    <w:rsid w:val="126A1994"/>
    <w:rsid w:val="13AC09B3"/>
    <w:rsid w:val="145C5CC9"/>
    <w:rsid w:val="146C638E"/>
    <w:rsid w:val="14A10B0A"/>
    <w:rsid w:val="14AB1989"/>
    <w:rsid w:val="150458A8"/>
    <w:rsid w:val="151412DC"/>
    <w:rsid w:val="154C3C5D"/>
    <w:rsid w:val="16A21397"/>
    <w:rsid w:val="16B64A7D"/>
    <w:rsid w:val="16F64FC5"/>
    <w:rsid w:val="17A315CA"/>
    <w:rsid w:val="185A0968"/>
    <w:rsid w:val="186E6F48"/>
    <w:rsid w:val="18CE58F5"/>
    <w:rsid w:val="18E60774"/>
    <w:rsid w:val="194A510F"/>
    <w:rsid w:val="1B245F4B"/>
    <w:rsid w:val="1BE35EAC"/>
    <w:rsid w:val="1CFE2569"/>
    <w:rsid w:val="1D0A6937"/>
    <w:rsid w:val="1D2C1AE8"/>
    <w:rsid w:val="1D2F1C3B"/>
    <w:rsid w:val="1E00770A"/>
    <w:rsid w:val="1E3824DF"/>
    <w:rsid w:val="1E8841DB"/>
    <w:rsid w:val="1ECB3353"/>
    <w:rsid w:val="1EDD34FE"/>
    <w:rsid w:val="1F3B7074"/>
    <w:rsid w:val="1FBFFEB0"/>
    <w:rsid w:val="1FF572D7"/>
    <w:rsid w:val="20486D61"/>
    <w:rsid w:val="208A613A"/>
    <w:rsid w:val="20B12F40"/>
    <w:rsid w:val="20FE42D5"/>
    <w:rsid w:val="217A61FE"/>
    <w:rsid w:val="219865D1"/>
    <w:rsid w:val="22317971"/>
    <w:rsid w:val="22615A67"/>
    <w:rsid w:val="228E65E4"/>
    <w:rsid w:val="22C3204C"/>
    <w:rsid w:val="232E3EB1"/>
    <w:rsid w:val="23337719"/>
    <w:rsid w:val="238F68D9"/>
    <w:rsid w:val="24881AE7"/>
    <w:rsid w:val="2488340B"/>
    <w:rsid w:val="24AF66F7"/>
    <w:rsid w:val="24B93C4E"/>
    <w:rsid w:val="25853C66"/>
    <w:rsid w:val="259F5683"/>
    <w:rsid w:val="2604539D"/>
    <w:rsid w:val="275DFFED"/>
    <w:rsid w:val="28ED2118"/>
    <w:rsid w:val="28F434A6"/>
    <w:rsid w:val="290114EB"/>
    <w:rsid w:val="295F4692"/>
    <w:rsid w:val="297209A7"/>
    <w:rsid w:val="298218E8"/>
    <w:rsid w:val="298C321D"/>
    <w:rsid w:val="2A3A138D"/>
    <w:rsid w:val="2A5A5C60"/>
    <w:rsid w:val="2A9C153D"/>
    <w:rsid w:val="2ACB1715"/>
    <w:rsid w:val="2AD417E1"/>
    <w:rsid w:val="2AFA6E42"/>
    <w:rsid w:val="2B481888"/>
    <w:rsid w:val="2BA62429"/>
    <w:rsid w:val="2C033818"/>
    <w:rsid w:val="2C527DA2"/>
    <w:rsid w:val="2C5318D5"/>
    <w:rsid w:val="2CF15B7D"/>
    <w:rsid w:val="2D1B4474"/>
    <w:rsid w:val="2D3B78F6"/>
    <w:rsid w:val="2D4744ED"/>
    <w:rsid w:val="2D636E4D"/>
    <w:rsid w:val="2F0C0A43"/>
    <w:rsid w:val="2FED1391"/>
    <w:rsid w:val="30907F59"/>
    <w:rsid w:val="30C85944"/>
    <w:rsid w:val="30CD01D9"/>
    <w:rsid w:val="31533344"/>
    <w:rsid w:val="319B575E"/>
    <w:rsid w:val="31DB0B80"/>
    <w:rsid w:val="31DE2F46"/>
    <w:rsid w:val="31F369F1"/>
    <w:rsid w:val="32052280"/>
    <w:rsid w:val="32195D2C"/>
    <w:rsid w:val="321F6F3E"/>
    <w:rsid w:val="32321DDA"/>
    <w:rsid w:val="326F4556"/>
    <w:rsid w:val="32AF6351"/>
    <w:rsid w:val="33097011"/>
    <w:rsid w:val="34FF56AD"/>
    <w:rsid w:val="36A040E7"/>
    <w:rsid w:val="37415715"/>
    <w:rsid w:val="386455D4"/>
    <w:rsid w:val="38796197"/>
    <w:rsid w:val="38904AB5"/>
    <w:rsid w:val="38C73DFB"/>
    <w:rsid w:val="39102474"/>
    <w:rsid w:val="39216B01"/>
    <w:rsid w:val="39455156"/>
    <w:rsid w:val="39A20CFD"/>
    <w:rsid w:val="3A7570A0"/>
    <w:rsid w:val="3B9A1C8B"/>
    <w:rsid w:val="3E152713"/>
    <w:rsid w:val="3E574F0E"/>
    <w:rsid w:val="3E6DF6DC"/>
    <w:rsid w:val="3E736A22"/>
    <w:rsid w:val="3F866E83"/>
    <w:rsid w:val="3FCFDA4A"/>
    <w:rsid w:val="3FF63E3E"/>
    <w:rsid w:val="404D7A4A"/>
    <w:rsid w:val="40730CFD"/>
    <w:rsid w:val="408B29C6"/>
    <w:rsid w:val="41BB6E00"/>
    <w:rsid w:val="41E12F4F"/>
    <w:rsid w:val="421A1D78"/>
    <w:rsid w:val="427E60E8"/>
    <w:rsid w:val="43361F5E"/>
    <w:rsid w:val="435B43F6"/>
    <w:rsid w:val="43B35A16"/>
    <w:rsid w:val="44242FCC"/>
    <w:rsid w:val="451C3E03"/>
    <w:rsid w:val="455455A1"/>
    <w:rsid w:val="456B4496"/>
    <w:rsid w:val="460945DB"/>
    <w:rsid w:val="47120C28"/>
    <w:rsid w:val="474451A1"/>
    <w:rsid w:val="489B5B6C"/>
    <w:rsid w:val="48A27564"/>
    <w:rsid w:val="491A440C"/>
    <w:rsid w:val="4B763D8E"/>
    <w:rsid w:val="4BB9615E"/>
    <w:rsid w:val="4CEC52B6"/>
    <w:rsid w:val="4CF02F19"/>
    <w:rsid w:val="4E2C29E0"/>
    <w:rsid w:val="4E530E23"/>
    <w:rsid w:val="4E9C455D"/>
    <w:rsid w:val="4EBE2EB6"/>
    <w:rsid w:val="4EFA45AB"/>
    <w:rsid w:val="4F4B3D85"/>
    <w:rsid w:val="4F8503B4"/>
    <w:rsid w:val="50000CC9"/>
    <w:rsid w:val="54111E99"/>
    <w:rsid w:val="54446715"/>
    <w:rsid w:val="55557E9D"/>
    <w:rsid w:val="556E620B"/>
    <w:rsid w:val="55C11D64"/>
    <w:rsid w:val="56501F08"/>
    <w:rsid w:val="56764C4B"/>
    <w:rsid w:val="56955EC3"/>
    <w:rsid w:val="56DB2C2D"/>
    <w:rsid w:val="57B97181"/>
    <w:rsid w:val="57F01045"/>
    <w:rsid w:val="5886087C"/>
    <w:rsid w:val="58AC5A63"/>
    <w:rsid w:val="58B303FF"/>
    <w:rsid w:val="59AA358A"/>
    <w:rsid w:val="59F169AA"/>
    <w:rsid w:val="5B2759BA"/>
    <w:rsid w:val="5B73EE39"/>
    <w:rsid w:val="5C581867"/>
    <w:rsid w:val="5C7550A1"/>
    <w:rsid w:val="5CDA7BA2"/>
    <w:rsid w:val="5CFAC9C4"/>
    <w:rsid w:val="5DD83E1C"/>
    <w:rsid w:val="5E334DCB"/>
    <w:rsid w:val="5E562092"/>
    <w:rsid w:val="5EA734E4"/>
    <w:rsid w:val="5EAA1F5B"/>
    <w:rsid w:val="5EFD37A9"/>
    <w:rsid w:val="5F042B46"/>
    <w:rsid w:val="5F561B6F"/>
    <w:rsid w:val="5F57E5CA"/>
    <w:rsid w:val="5F730C87"/>
    <w:rsid w:val="602816AC"/>
    <w:rsid w:val="60A45393"/>
    <w:rsid w:val="61DA69D6"/>
    <w:rsid w:val="62DC368C"/>
    <w:rsid w:val="64AA6B34"/>
    <w:rsid w:val="64AFCBD0"/>
    <w:rsid w:val="65970B1B"/>
    <w:rsid w:val="669C35D3"/>
    <w:rsid w:val="670C04C4"/>
    <w:rsid w:val="6760797E"/>
    <w:rsid w:val="67AD334B"/>
    <w:rsid w:val="68522A3E"/>
    <w:rsid w:val="688B2364"/>
    <w:rsid w:val="695B664F"/>
    <w:rsid w:val="698B1F50"/>
    <w:rsid w:val="6A3D2C1C"/>
    <w:rsid w:val="6AFF2A6C"/>
    <w:rsid w:val="6B3610CD"/>
    <w:rsid w:val="6C38482B"/>
    <w:rsid w:val="6CD10152"/>
    <w:rsid w:val="6D29110E"/>
    <w:rsid w:val="6D583155"/>
    <w:rsid w:val="6EBAEEF7"/>
    <w:rsid w:val="6ED22F0F"/>
    <w:rsid w:val="6F571290"/>
    <w:rsid w:val="6FC37AD4"/>
    <w:rsid w:val="702E23C7"/>
    <w:rsid w:val="70910BA8"/>
    <w:rsid w:val="70F869CD"/>
    <w:rsid w:val="71211937"/>
    <w:rsid w:val="712244BF"/>
    <w:rsid w:val="727A5D97"/>
    <w:rsid w:val="72A7258E"/>
    <w:rsid w:val="72C6616E"/>
    <w:rsid w:val="74493C73"/>
    <w:rsid w:val="74A84CF9"/>
    <w:rsid w:val="74CB5BC5"/>
    <w:rsid w:val="752D3F1E"/>
    <w:rsid w:val="758D37CE"/>
    <w:rsid w:val="7596337E"/>
    <w:rsid w:val="760343CA"/>
    <w:rsid w:val="778CFDC4"/>
    <w:rsid w:val="77B533CE"/>
    <w:rsid w:val="77EDE09C"/>
    <w:rsid w:val="788D6DB4"/>
    <w:rsid w:val="78A52E74"/>
    <w:rsid w:val="78A551F0"/>
    <w:rsid w:val="78AD1F79"/>
    <w:rsid w:val="794D2063"/>
    <w:rsid w:val="7AB2013C"/>
    <w:rsid w:val="7AD2794A"/>
    <w:rsid w:val="7B0F6B0F"/>
    <w:rsid w:val="7BE8458C"/>
    <w:rsid w:val="7BFC278B"/>
    <w:rsid w:val="7C9712F4"/>
    <w:rsid w:val="7CAE594A"/>
    <w:rsid w:val="7CDF1FF3"/>
    <w:rsid w:val="7D321345"/>
    <w:rsid w:val="7DFF3A1B"/>
    <w:rsid w:val="7E203CC6"/>
    <w:rsid w:val="7E215319"/>
    <w:rsid w:val="7E3F204F"/>
    <w:rsid w:val="7E464D80"/>
    <w:rsid w:val="7F2A5316"/>
    <w:rsid w:val="7F345B96"/>
    <w:rsid w:val="7F82003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Layout w:type="fixed"/>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26093</Words>
  <Characters>27738</Characters>
  <Paragraphs>1943</Paragraphs>
  <TotalTime>1</TotalTime>
  <ScaleCrop>false</ScaleCrop>
  <LinksUpToDate>false</LinksUpToDate>
  <CharactersWithSpaces>29651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2025-07-14T02:00:01Z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eyJoZGlkIjoiYThiNjI4MTc0NTdiOTE1MmU2N2Y3YzRmZGY2YTdlZTMiLCJ1c2VySWQiOiI2NjYwNzQ3NTMifQ==</vt:lpwstr>
  </property>
</Properties>
</file>