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_GB2312"/>
          <w:color w:val="auto"/>
          <w:sz w:val="44"/>
          <w:szCs w:val="44"/>
          <w:highlight w:val="none"/>
          <w:lang w:eastAsia="zh-CN"/>
        </w:rPr>
      </w:pPr>
    </w:p>
    <w:p>
      <w:pPr>
        <w:jc w:val="center"/>
        <w:rPr>
          <w:rFonts w:hint="eastAsia" w:ascii="仿宋" w:hAnsi="仿宋" w:eastAsia="仿宋" w:cs="仿宋_GB2312"/>
          <w:color w:val="auto"/>
          <w:sz w:val="56"/>
          <w:szCs w:val="56"/>
          <w:highlight w:val="none"/>
          <w:lang w:eastAsia="zh-CN"/>
        </w:rPr>
      </w:pPr>
    </w:p>
    <w:p>
      <w:pPr>
        <w:jc w:val="center"/>
        <w:rPr>
          <w:rFonts w:hint="eastAsia" w:ascii="仿宋" w:hAnsi="仿宋" w:eastAsia="仿宋" w:cs="仿宋_GB2312"/>
          <w:color w:val="auto"/>
          <w:sz w:val="56"/>
          <w:szCs w:val="56"/>
          <w:highlight w:val="none"/>
          <w:lang w:eastAsia="zh-CN"/>
        </w:rPr>
      </w:pPr>
      <w:r>
        <w:rPr>
          <w:rFonts w:hint="eastAsia" w:ascii="仿宋" w:hAnsi="仿宋" w:eastAsia="仿宋" w:cs="仿宋_GB2312"/>
          <w:color w:val="auto"/>
          <w:sz w:val="56"/>
          <w:szCs w:val="56"/>
          <w:highlight w:val="none"/>
          <w:lang w:eastAsia="zh-CN"/>
        </w:rPr>
        <w:t>嵊州市城区生活垃圾分类“定时定点”小区统一运维服务项目</w:t>
      </w:r>
    </w:p>
    <w:p>
      <w:pPr>
        <w:pStyle w:val="4"/>
        <w:rPr>
          <w:rFonts w:ascii="仿宋" w:eastAsia="仿宋" w:cs="仿宋_GB2312"/>
          <w:color w:val="auto"/>
          <w:sz w:val="48"/>
          <w:szCs w:val="48"/>
          <w:highlight w:val="none"/>
        </w:rPr>
      </w:pPr>
    </w:p>
    <w:p>
      <w:pPr>
        <w:rPr>
          <w:color w:val="auto"/>
          <w:highlight w:val="none"/>
        </w:rPr>
      </w:pPr>
    </w:p>
    <w:p>
      <w:pPr>
        <w:rPr>
          <w:color w:val="auto"/>
          <w:highlight w:val="none"/>
        </w:rPr>
      </w:pPr>
    </w:p>
    <w:tbl>
      <w:tblPr>
        <w:tblStyle w:val="20"/>
        <w:tblpPr w:leftFromText="180" w:rightFromText="180" w:vertAnchor="text" w:horzAnchor="page" w:tblpX="3092" w:tblpY="796"/>
        <w:tblOverlap w:val="never"/>
        <w:tblW w:w="6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1"/>
        <w:gridCol w:w="4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911" w:type="dxa"/>
            <w:vAlign w:val="center"/>
          </w:tcPr>
          <w:p>
            <w:pPr>
              <w:jc w:val="left"/>
              <w:rPr>
                <w:rFonts w:hint="eastAsia" w:ascii="仿宋" w:hAnsi="仿宋" w:eastAsia="仿宋" w:cs="仿宋"/>
                <w:bCs/>
                <w:color w:val="auto"/>
                <w:sz w:val="36"/>
                <w:szCs w:val="36"/>
                <w:highlight w:val="none"/>
              </w:rPr>
            </w:pPr>
            <w:r>
              <w:rPr>
                <w:rFonts w:hint="eastAsia" w:ascii="仿宋" w:hAnsi="仿宋" w:eastAsia="仿宋" w:cs="仿宋"/>
                <w:bCs/>
                <w:color w:val="auto"/>
                <w:sz w:val="36"/>
                <w:szCs w:val="36"/>
                <w:highlight w:val="none"/>
              </w:rPr>
              <w:t>采购方式：</w:t>
            </w:r>
          </w:p>
        </w:tc>
        <w:tc>
          <w:tcPr>
            <w:tcW w:w="4553" w:type="dxa"/>
            <w:vAlign w:val="center"/>
          </w:tcPr>
          <w:p>
            <w:pPr>
              <w:jc w:val="left"/>
              <w:rPr>
                <w:rFonts w:hint="eastAsia" w:ascii="仿宋" w:hAnsi="仿宋" w:eastAsia="仿宋" w:cs="仿宋"/>
                <w:bCs/>
                <w:color w:val="auto"/>
                <w:sz w:val="36"/>
                <w:szCs w:val="36"/>
                <w:highlight w:val="none"/>
              </w:rPr>
            </w:pPr>
            <w:r>
              <w:rPr>
                <w:rFonts w:hint="eastAsia" w:ascii="仿宋" w:hAnsi="仿宋" w:eastAsia="仿宋" w:cs="仿宋"/>
                <w:bCs/>
                <w:color w:val="auto"/>
                <w:sz w:val="36"/>
                <w:szCs w:val="36"/>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911" w:type="dxa"/>
            <w:vAlign w:val="center"/>
          </w:tcPr>
          <w:p>
            <w:pPr>
              <w:jc w:val="left"/>
              <w:rPr>
                <w:rFonts w:hint="eastAsia" w:ascii="仿宋" w:hAnsi="仿宋" w:eastAsia="仿宋" w:cs="仿宋"/>
                <w:bCs/>
                <w:color w:val="auto"/>
                <w:sz w:val="36"/>
                <w:szCs w:val="36"/>
                <w:highlight w:val="none"/>
              </w:rPr>
            </w:pPr>
            <w:r>
              <w:rPr>
                <w:rFonts w:hint="eastAsia" w:ascii="仿宋" w:hAnsi="仿宋" w:eastAsia="仿宋" w:cs="仿宋"/>
                <w:bCs/>
                <w:color w:val="auto"/>
                <w:sz w:val="36"/>
                <w:szCs w:val="36"/>
                <w:highlight w:val="none"/>
              </w:rPr>
              <w:t>项目编号：</w:t>
            </w:r>
          </w:p>
        </w:tc>
        <w:tc>
          <w:tcPr>
            <w:tcW w:w="4553" w:type="dxa"/>
            <w:vAlign w:val="center"/>
          </w:tcPr>
          <w:p>
            <w:pPr>
              <w:jc w:val="left"/>
              <w:rPr>
                <w:rFonts w:hint="eastAsia" w:ascii="仿宋" w:hAnsi="仿宋" w:eastAsia="仿宋" w:cs="仿宋"/>
                <w:bCs/>
                <w:color w:val="auto"/>
                <w:sz w:val="36"/>
                <w:szCs w:val="36"/>
                <w:highlight w:val="none"/>
                <w:lang w:eastAsia="zh-CN"/>
              </w:rPr>
            </w:pPr>
            <w:r>
              <w:rPr>
                <w:rFonts w:hint="eastAsia" w:ascii="仿宋" w:hAnsi="仿宋" w:eastAsia="仿宋" w:cs="仿宋"/>
                <w:bCs/>
                <w:color w:val="auto"/>
                <w:sz w:val="36"/>
                <w:szCs w:val="36"/>
                <w:highlight w:val="none"/>
                <w:lang w:eastAsia="zh-CN"/>
              </w:rPr>
              <w:t>zjyf2023-12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911" w:type="dxa"/>
            <w:vAlign w:val="center"/>
          </w:tcPr>
          <w:p>
            <w:pPr>
              <w:pStyle w:val="15"/>
              <w:spacing w:line="440" w:lineRule="exact"/>
              <w:jc w:val="left"/>
              <w:rPr>
                <w:rFonts w:hint="eastAsia" w:ascii="仿宋" w:hAnsi="仿宋" w:eastAsia="仿宋" w:cs="仿宋"/>
                <w:bCs/>
                <w:color w:val="auto"/>
                <w:sz w:val="36"/>
                <w:szCs w:val="36"/>
                <w:highlight w:val="none"/>
              </w:rPr>
            </w:pPr>
            <w:r>
              <w:rPr>
                <w:rFonts w:hint="eastAsia" w:ascii="仿宋" w:hAnsi="仿宋" w:eastAsia="仿宋" w:cs="仿宋"/>
                <w:bCs/>
                <w:color w:val="auto"/>
                <w:sz w:val="36"/>
                <w:szCs w:val="36"/>
                <w:highlight w:val="none"/>
              </w:rPr>
              <w:t>采购计划：</w:t>
            </w:r>
          </w:p>
        </w:tc>
        <w:tc>
          <w:tcPr>
            <w:tcW w:w="4553" w:type="dxa"/>
            <w:vAlign w:val="center"/>
          </w:tcPr>
          <w:p>
            <w:pPr>
              <w:pStyle w:val="15"/>
              <w:spacing w:line="440" w:lineRule="exact"/>
              <w:jc w:val="left"/>
              <w:rPr>
                <w:rFonts w:hint="eastAsia" w:ascii="仿宋" w:hAnsi="仿宋" w:eastAsia="仿宋" w:cs="仿宋"/>
                <w:bCs/>
                <w:color w:val="auto"/>
                <w:sz w:val="36"/>
                <w:szCs w:val="36"/>
                <w:highlight w:val="none"/>
              </w:rPr>
            </w:pPr>
            <w:r>
              <w:rPr>
                <w:rFonts w:hint="eastAsia" w:ascii="仿宋" w:hAnsi="仿宋" w:eastAsia="仿宋" w:cs="仿宋"/>
                <w:bCs/>
                <w:color w:val="auto"/>
                <w:sz w:val="36"/>
                <w:szCs w:val="36"/>
                <w:highlight w:val="none"/>
              </w:rPr>
              <w:t>嵊财采确</w:t>
            </w:r>
            <w:r>
              <w:rPr>
                <w:rFonts w:hint="eastAsia" w:ascii="仿宋" w:hAnsi="仿宋" w:eastAsia="仿宋" w:cs="仿宋"/>
                <w:bCs/>
                <w:color w:val="auto"/>
                <w:sz w:val="36"/>
                <w:szCs w:val="36"/>
                <w:highlight w:val="none"/>
                <w:lang w:val="en-US" w:eastAsia="zh-CN"/>
              </w:rPr>
              <w:t>临</w:t>
            </w:r>
            <w:r>
              <w:rPr>
                <w:rFonts w:hint="eastAsia" w:ascii="仿宋" w:hAnsi="仿宋" w:eastAsia="仿宋" w:cs="仿宋"/>
                <w:bCs/>
                <w:color w:val="auto"/>
                <w:sz w:val="36"/>
                <w:szCs w:val="36"/>
                <w:highlight w:val="none"/>
              </w:rPr>
              <w:t>【202</w:t>
            </w:r>
            <w:r>
              <w:rPr>
                <w:rFonts w:hint="eastAsia" w:ascii="仿宋" w:hAnsi="仿宋" w:eastAsia="仿宋" w:cs="仿宋"/>
                <w:bCs/>
                <w:color w:val="auto"/>
                <w:sz w:val="36"/>
                <w:szCs w:val="36"/>
                <w:highlight w:val="none"/>
                <w:lang w:val="en-US" w:eastAsia="zh-CN"/>
              </w:rPr>
              <w:t>3</w:t>
            </w:r>
            <w:r>
              <w:rPr>
                <w:rFonts w:hint="eastAsia" w:ascii="仿宋" w:hAnsi="仿宋" w:eastAsia="仿宋" w:cs="仿宋"/>
                <w:bCs/>
                <w:color w:val="auto"/>
                <w:sz w:val="36"/>
                <w:szCs w:val="36"/>
                <w:highlight w:val="none"/>
              </w:rPr>
              <w:t>】</w:t>
            </w:r>
            <w:r>
              <w:rPr>
                <w:rFonts w:hint="eastAsia" w:ascii="仿宋" w:hAnsi="仿宋" w:eastAsia="仿宋" w:cs="仿宋"/>
                <w:bCs/>
                <w:color w:val="auto"/>
                <w:sz w:val="36"/>
                <w:szCs w:val="36"/>
                <w:highlight w:val="none"/>
                <w:lang w:val="en-US" w:eastAsia="zh-CN"/>
              </w:rPr>
              <w:t>2844</w:t>
            </w:r>
            <w:r>
              <w:rPr>
                <w:rFonts w:hint="eastAsia" w:ascii="仿宋" w:hAnsi="仿宋" w:eastAsia="仿宋" w:cs="仿宋"/>
                <w:bCs/>
                <w:color w:val="auto"/>
                <w:sz w:val="36"/>
                <w:szCs w:val="36"/>
                <w:highlight w:val="none"/>
              </w:rPr>
              <w:t>号</w:t>
            </w:r>
          </w:p>
        </w:tc>
      </w:tr>
    </w:tbl>
    <w:p>
      <w:pPr>
        <w:tabs>
          <w:tab w:val="left" w:pos="7400"/>
        </w:tabs>
        <w:adjustRightInd/>
        <w:spacing w:line="360" w:lineRule="auto"/>
        <w:jc w:val="left"/>
        <w:rPr>
          <w:rFonts w:ascii="仿宋" w:hAnsi="仿宋" w:eastAsia="仿宋" w:cs="仿宋_GB2312"/>
          <w:b/>
          <w:color w:val="auto"/>
          <w:sz w:val="44"/>
          <w:szCs w:val="44"/>
          <w:highlight w:val="none"/>
        </w:rPr>
      </w:pPr>
      <w:r>
        <w:rPr>
          <w:rFonts w:hint="eastAsia" w:ascii="仿宋" w:hAnsi="仿宋" w:eastAsia="仿宋" w:cs="仿宋_GB2312"/>
          <w:b/>
          <w:color w:val="auto"/>
          <w:sz w:val="44"/>
          <w:szCs w:val="44"/>
          <w:highlight w:val="none"/>
        </w:rPr>
        <w:tab/>
      </w:r>
    </w:p>
    <w:p>
      <w:pPr>
        <w:pStyle w:val="4"/>
        <w:rPr>
          <w:rFonts w:ascii="仿宋" w:eastAsia="仿宋" w:cs="仿宋_GB2312"/>
          <w:color w:val="auto"/>
          <w:sz w:val="44"/>
          <w:szCs w:val="44"/>
          <w:highlight w:val="none"/>
        </w:rPr>
      </w:pPr>
    </w:p>
    <w:p>
      <w:pPr>
        <w:rPr>
          <w:color w:val="auto"/>
          <w:highlight w:val="none"/>
        </w:rPr>
      </w:pPr>
    </w:p>
    <w:p>
      <w:pPr>
        <w:pStyle w:val="17"/>
        <w:rPr>
          <w:color w:val="auto"/>
          <w:highlight w:val="none"/>
        </w:rPr>
      </w:pPr>
    </w:p>
    <w:p>
      <w:pPr>
        <w:snapToGrid w:val="0"/>
        <w:spacing w:line="360" w:lineRule="auto"/>
        <w:jc w:val="center"/>
        <w:rPr>
          <w:rFonts w:ascii="仿宋" w:hAnsi="仿宋" w:eastAsia="仿宋" w:cs="仿宋_GB2312"/>
          <w:color w:val="auto"/>
          <w:sz w:val="36"/>
          <w:szCs w:val="36"/>
          <w:highlight w:val="none"/>
        </w:rPr>
      </w:pPr>
    </w:p>
    <w:p>
      <w:pPr>
        <w:snapToGrid w:val="0"/>
        <w:spacing w:line="360" w:lineRule="auto"/>
        <w:jc w:val="center"/>
        <w:rPr>
          <w:rFonts w:ascii="仿宋" w:hAnsi="仿宋" w:eastAsia="仿宋" w:cs="仿宋_GB2312"/>
          <w:color w:val="auto"/>
          <w:sz w:val="36"/>
          <w:szCs w:val="36"/>
          <w:highlight w:val="none"/>
        </w:rPr>
      </w:pPr>
    </w:p>
    <w:p>
      <w:pPr>
        <w:snapToGrid w:val="0"/>
        <w:spacing w:line="360" w:lineRule="auto"/>
        <w:jc w:val="center"/>
        <w:rPr>
          <w:rFonts w:ascii="仿宋" w:hAnsi="仿宋" w:eastAsia="仿宋" w:cs="仿宋_GB2312"/>
          <w:color w:val="auto"/>
          <w:sz w:val="36"/>
          <w:szCs w:val="36"/>
          <w:highlight w:val="none"/>
        </w:rPr>
      </w:pPr>
    </w:p>
    <w:p>
      <w:pPr>
        <w:spacing w:line="360" w:lineRule="auto"/>
        <w:rPr>
          <w:rFonts w:ascii="仿宋" w:hAnsi="仿宋" w:eastAsia="仿宋" w:cs="仿宋_GB2312"/>
          <w:color w:val="auto"/>
          <w:sz w:val="32"/>
          <w:szCs w:val="32"/>
          <w:highlight w:val="none"/>
        </w:rPr>
      </w:pPr>
    </w:p>
    <w:p>
      <w:pPr>
        <w:spacing w:line="360" w:lineRule="auto"/>
        <w:jc w:val="center"/>
        <w:rPr>
          <w:rFonts w:ascii="仿宋" w:hAnsi="仿宋" w:eastAsia="仿宋" w:cs="仿宋_GB2312"/>
          <w:color w:val="auto"/>
          <w:sz w:val="36"/>
          <w:szCs w:val="36"/>
          <w:highlight w:val="none"/>
        </w:rPr>
      </w:pPr>
    </w:p>
    <w:p>
      <w:pPr>
        <w:pStyle w:val="2"/>
      </w:pPr>
    </w:p>
    <w:p>
      <w:pPr>
        <w:spacing w:line="360" w:lineRule="auto"/>
        <w:jc w:val="center"/>
        <w:rPr>
          <w:rFonts w:hint="eastAsia" w:ascii="仿宋" w:hAnsi="仿宋" w:eastAsia="仿宋" w:cs="仿宋_GB2312"/>
          <w:color w:val="auto"/>
          <w:sz w:val="36"/>
          <w:szCs w:val="36"/>
          <w:highlight w:val="none"/>
          <w:lang w:eastAsia="zh-CN"/>
        </w:rPr>
      </w:pPr>
      <w:r>
        <w:rPr>
          <w:rFonts w:hint="eastAsia" w:ascii="仿宋" w:hAnsi="仿宋" w:eastAsia="仿宋" w:cs="仿宋_GB2312"/>
          <w:color w:val="auto"/>
          <w:sz w:val="36"/>
          <w:szCs w:val="36"/>
          <w:highlight w:val="none"/>
        </w:rPr>
        <w:t>采购单位：</w:t>
      </w:r>
      <w:r>
        <w:rPr>
          <w:rFonts w:hint="eastAsia" w:ascii="仿宋" w:hAnsi="仿宋" w:eastAsia="仿宋" w:cs="仿宋_GB2312"/>
          <w:color w:val="auto"/>
          <w:sz w:val="36"/>
          <w:szCs w:val="36"/>
          <w:highlight w:val="none"/>
          <w:lang w:eastAsia="zh-CN"/>
        </w:rPr>
        <w:t xml:space="preserve">嵊州市住房和城乡建设局 </w:t>
      </w:r>
    </w:p>
    <w:p>
      <w:pPr>
        <w:spacing w:line="360" w:lineRule="auto"/>
        <w:jc w:val="center"/>
        <w:rPr>
          <w:rFonts w:hint="eastAsia" w:ascii="仿宋" w:hAnsi="仿宋" w:eastAsia="仿宋" w:cs="仿宋_GB2312"/>
          <w:bCs/>
          <w:color w:val="auto"/>
          <w:sz w:val="36"/>
          <w:szCs w:val="36"/>
          <w:highlight w:val="none"/>
          <w:lang w:eastAsia="zh-CN"/>
        </w:rPr>
      </w:pPr>
      <w:r>
        <w:rPr>
          <w:rFonts w:hint="eastAsia" w:ascii="仿宋" w:hAnsi="仿宋" w:eastAsia="仿宋" w:cs="仿宋_GB2312"/>
          <w:bCs/>
          <w:color w:val="auto"/>
          <w:sz w:val="36"/>
          <w:szCs w:val="36"/>
          <w:highlight w:val="none"/>
        </w:rPr>
        <w:t>采购代理机构：</w:t>
      </w:r>
      <w:r>
        <w:rPr>
          <w:rFonts w:hint="eastAsia" w:ascii="仿宋" w:hAnsi="仿宋" w:eastAsia="仿宋" w:cs="仿宋_GB2312"/>
          <w:bCs/>
          <w:color w:val="auto"/>
          <w:sz w:val="36"/>
          <w:szCs w:val="36"/>
          <w:highlight w:val="none"/>
          <w:lang w:eastAsia="zh-CN"/>
        </w:rPr>
        <w:t>浙江越锋项目管理有限公司</w:t>
      </w:r>
    </w:p>
    <w:p>
      <w:pPr>
        <w:snapToGrid w:val="0"/>
        <w:spacing w:line="360" w:lineRule="auto"/>
        <w:jc w:val="center"/>
        <w:rPr>
          <w:rFonts w:ascii="仿宋_GB2312" w:hAnsi="仿宋_GB2312" w:eastAsia="仿宋_GB2312" w:cs="仿宋_GB2312"/>
          <w:bCs/>
          <w:color w:val="auto"/>
          <w:sz w:val="36"/>
          <w:szCs w:val="36"/>
          <w:highlight w:val="none"/>
        </w:rPr>
      </w:pPr>
      <w:r>
        <w:rPr>
          <w:rFonts w:hint="eastAsia" w:ascii="仿宋_GB2312" w:hAnsi="仿宋_GB2312" w:eastAsia="仿宋_GB2312" w:cs="仿宋_GB2312"/>
          <w:bCs/>
          <w:color w:val="auto"/>
          <w:sz w:val="36"/>
          <w:szCs w:val="36"/>
          <w:highlight w:val="none"/>
        </w:rPr>
        <w:t>日期：二</w:t>
      </w:r>
      <w:r>
        <w:rPr>
          <w:rFonts w:hint="eastAsia" w:ascii="宋体" w:hAnsi="宋体" w:cs="宋体"/>
          <w:bCs/>
          <w:color w:val="auto"/>
          <w:sz w:val="36"/>
          <w:szCs w:val="36"/>
          <w:highlight w:val="none"/>
        </w:rPr>
        <w:t>〇</w:t>
      </w:r>
      <w:r>
        <w:rPr>
          <w:rFonts w:hint="eastAsia" w:ascii="仿宋_GB2312" w:hAnsi="仿宋_GB2312" w:eastAsia="仿宋_GB2312" w:cs="仿宋_GB2312"/>
          <w:bCs/>
          <w:color w:val="auto"/>
          <w:sz w:val="36"/>
          <w:szCs w:val="36"/>
          <w:highlight w:val="none"/>
        </w:rPr>
        <w:t>二</w:t>
      </w:r>
      <w:r>
        <w:rPr>
          <w:rFonts w:hint="eastAsia" w:ascii="宋体" w:hAnsi="宋体" w:eastAsia="仿宋_GB2312" w:cs="宋体"/>
          <w:bCs/>
          <w:color w:val="auto"/>
          <w:sz w:val="36"/>
          <w:szCs w:val="36"/>
          <w:highlight w:val="none"/>
          <w:lang w:eastAsia="zh-CN"/>
        </w:rPr>
        <w:t>三</w:t>
      </w:r>
      <w:r>
        <w:rPr>
          <w:rFonts w:hint="eastAsia" w:ascii="仿宋_GB2312" w:hAnsi="仿宋_GB2312" w:eastAsia="仿宋_GB2312" w:cs="仿宋_GB2312"/>
          <w:bCs/>
          <w:color w:val="auto"/>
          <w:sz w:val="36"/>
          <w:szCs w:val="36"/>
          <w:highlight w:val="none"/>
        </w:rPr>
        <w:t>年</w:t>
      </w:r>
      <w:r>
        <w:rPr>
          <w:rFonts w:hint="eastAsia" w:ascii="仿宋_GB2312" w:hAnsi="仿宋_GB2312" w:eastAsia="仿宋_GB2312" w:cs="仿宋_GB2312"/>
          <w:bCs/>
          <w:color w:val="auto"/>
          <w:sz w:val="36"/>
          <w:szCs w:val="36"/>
          <w:highlight w:val="none"/>
          <w:lang w:eastAsia="zh-CN"/>
        </w:rPr>
        <w:t>九</w:t>
      </w:r>
      <w:r>
        <w:rPr>
          <w:rFonts w:hint="eastAsia" w:ascii="仿宋_GB2312" w:hAnsi="仿宋_GB2312" w:eastAsia="仿宋_GB2312" w:cs="仿宋_GB2312"/>
          <w:bCs/>
          <w:color w:val="auto"/>
          <w:sz w:val="36"/>
          <w:szCs w:val="36"/>
          <w:highlight w:val="none"/>
        </w:rPr>
        <w:t>月</w:t>
      </w:r>
    </w:p>
    <w:p>
      <w:pPr>
        <w:spacing w:line="360" w:lineRule="auto"/>
        <w:jc w:val="both"/>
        <w:rPr>
          <w:rFonts w:hint="eastAsia" w:ascii="仿宋" w:hAnsi="仿宋" w:eastAsia="仿宋" w:cs="仿宋_GB2312"/>
          <w:b/>
          <w:color w:val="auto"/>
          <w:sz w:val="48"/>
          <w:szCs w:val="48"/>
          <w:highlight w:val="none"/>
        </w:rPr>
      </w:pPr>
    </w:p>
    <w:p>
      <w:pPr>
        <w:spacing w:line="360" w:lineRule="auto"/>
        <w:jc w:val="center"/>
        <w:rPr>
          <w:rFonts w:hint="eastAsia" w:ascii="仿宋" w:hAnsi="仿宋" w:eastAsia="仿宋" w:cs="仿宋_GB2312"/>
          <w:b/>
          <w:color w:val="auto"/>
          <w:sz w:val="48"/>
          <w:szCs w:val="48"/>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0" w:name="_Hlt91233176"/>
      <w:bookmarkEnd w:id="0"/>
      <w:bookmarkStart w:id="1"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2" w:name="第一部分"/>
      <w:r>
        <w:rPr>
          <w:rFonts w:ascii="仿宋" w:hAnsi="仿宋" w:eastAsia="仿宋" w:cs="仿宋_GB2312"/>
          <w:b/>
          <w:color w:val="auto"/>
          <w:sz w:val="36"/>
          <w:szCs w:val="36"/>
          <w:highlight w:val="none"/>
        </w:rPr>
        <w:br w:type="page"/>
      </w:r>
      <w:bookmarkEnd w:id="1"/>
      <w:bookmarkEnd w:id="2"/>
      <w:bookmarkStart w:id="3" w:name="_Hlt74729822"/>
      <w:bookmarkEnd w:id="3"/>
      <w:bookmarkStart w:id="4" w:name="_Hlt74649545"/>
      <w:bookmarkEnd w:id="4"/>
      <w:bookmarkStart w:id="5" w:name="_Hlt74728647"/>
      <w:bookmarkEnd w:id="5"/>
      <w:bookmarkStart w:id="6" w:name="_Hlt74707423"/>
      <w:bookmarkEnd w:id="6"/>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lang w:eastAsia="zh-CN"/>
        </w:rPr>
        <w:t>嵊州市城区生活垃圾分类“定时定点”小区统一运维服务项目</w:t>
      </w:r>
      <w:r>
        <w:rPr>
          <w:rFonts w:hint="eastAsia" w:ascii="仿宋_GB2312" w:hAnsi="仿宋" w:eastAsia="仿宋_GB2312" w:cs="仿宋_GB2312"/>
          <w:color w:val="auto"/>
          <w:sz w:val="24"/>
          <w:highlight w:val="none"/>
          <w:u w:val="single"/>
        </w:rPr>
        <w:t xml:space="preserve"> </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25"/>
          <w:rFonts w:ascii="仿宋_GB2312" w:hAnsi="仿宋" w:eastAsia="仿宋_GB2312" w:cs="Times New Roman"/>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lang w:eastAsia="zh-CN"/>
        </w:rPr>
        <w:t>2023年</w:t>
      </w:r>
      <w:r>
        <w:rPr>
          <w:rFonts w:hint="eastAsia" w:ascii="仿宋_GB2312" w:hAnsi="仿宋" w:eastAsia="仿宋_GB2312"/>
          <w:color w:val="auto"/>
          <w:sz w:val="24"/>
          <w:highlight w:val="none"/>
          <w:u w:val="single"/>
          <w:lang w:val="en-US" w:eastAsia="zh-CN"/>
        </w:rPr>
        <w:t>10</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19</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09</w:t>
      </w:r>
      <w:r>
        <w:rPr>
          <w:rFonts w:hint="eastAsia" w:ascii="仿宋_GB2312" w:hAnsi="仿宋" w:eastAsia="仿宋_GB2312"/>
          <w:color w:val="auto"/>
          <w:sz w:val="24"/>
          <w:highlight w:val="none"/>
          <w:u w:val="single"/>
        </w:rPr>
        <w:t>点00分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1.</w:t>
      </w:r>
      <w:r>
        <w:rPr>
          <w:rFonts w:hint="eastAsia" w:ascii="仿宋_GB2312" w:hAnsi="仿宋" w:eastAsia="仿宋_GB2312"/>
          <w:b/>
          <w:color w:val="auto"/>
          <w:sz w:val="24"/>
          <w:highlight w:val="none"/>
        </w:rPr>
        <w:t>项目编号：</w:t>
      </w:r>
      <w:r>
        <w:rPr>
          <w:rFonts w:hint="eastAsia" w:ascii="仿宋_GB2312" w:hAnsi="仿宋" w:eastAsia="仿宋_GB2312"/>
          <w:bCs/>
          <w:color w:val="auto"/>
          <w:sz w:val="24"/>
          <w:highlight w:val="none"/>
          <w:lang w:eastAsia="zh-CN"/>
        </w:rPr>
        <w:t>zjyf2023-12</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2.</w:t>
      </w:r>
      <w:r>
        <w:rPr>
          <w:rFonts w:ascii="仿宋_GB2312" w:hAnsi="仿宋" w:eastAsia="仿宋_GB2312"/>
          <w:b/>
          <w:color w:val="auto"/>
          <w:sz w:val="24"/>
          <w:highlight w:val="none"/>
        </w:rPr>
        <w:t>项目名称：</w:t>
      </w:r>
      <w:r>
        <w:rPr>
          <w:rFonts w:hint="eastAsia" w:ascii="仿宋_GB2312" w:hAnsi="仿宋" w:eastAsia="仿宋_GB2312" w:cs="仿宋_GB2312"/>
          <w:color w:val="auto"/>
          <w:sz w:val="24"/>
          <w:highlight w:val="none"/>
          <w:lang w:eastAsia="zh-CN"/>
        </w:rPr>
        <w:t>嵊州市城区生活垃圾分类“定时定点”小区统一运维服务项目</w:t>
      </w:r>
      <w:r>
        <w:rPr>
          <w:rFonts w:ascii="仿宋_GB2312" w:hAnsi="仿宋" w:eastAsia="仿宋_GB2312"/>
          <w:color w:val="auto"/>
          <w:sz w:val="24"/>
          <w:highlight w:val="none"/>
        </w:rPr>
        <w:t xml:space="preserve">  </w:t>
      </w:r>
    </w:p>
    <w:p>
      <w:pPr>
        <w:spacing w:line="360" w:lineRule="auto"/>
        <w:ind w:firstLine="480"/>
        <w:rPr>
          <w:rFonts w:hint="default" w:ascii="仿宋_GB2312" w:hAnsi="仿宋" w:eastAsia="仿宋_GB2312"/>
          <w:color w:val="auto"/>
          <w:sz w:val="24"/>
          <w:highlight w:val="none"/>
          <w:lang w:val="en-US" w:eastAsia="zh-CN"/>
        </w:rPr>
      </w:pPr>
      <w:r>
        <w:rPr>
          <w:rFonts w:hint="eastAsia" w:ascii="仿宋_GB2312" w:hAnsi="仿宋" w:eastAsia="仿宋_GB2312"/>
          <w:b/>
          <w:color w:val="auto"/>
          <w:sz w:val="24"/>
          <w:highlight w:val="none"/>
        </w:rPr>
        <w:t>3.</w:t>
      </w:r>
      <w:r>
        <w:rPr>
          <w:rFonts w:ascii="仿宋_GB2312" w:hAnsi="仿宋" w:eastAsia="仿宋_GB2312"/>
          <w:b/>
          <w:color w:val="auto"/>
          <w:sz w:val="24"/>
          <w:highlight w:val="none"/>
        </w:rPr>
        <w:t>预算金额（元）：</w:t>
      </w:r>
      <w:r>
        <w:rPr>
          <w:rFonts w:hint="eastAsia" w:ascii="仿宋_GB2312" w:hAnsi="仿宋" w:eastAsia="仿宋_GB2312"/>
          <w:b/>
          <w:color w:val="auto"/>
          <w:sz w:val="24"/>
          <w:highlight w:val="none"/>
        </w:rPr>
        <w:t xml:space="preserve"> </w:t>
      </w:r>
      <w:r>
        <w:rPr>
          <w:rFonts w:hint="eastAsia" w:ascii="仿宋_GB2312" w:hAnsi="仿宋" w:eastAsia="仿宋_GB2312"/>
          <w:b/>
          <w:color w:val="auto"/>
          <w:sz w:val="24"/>
          <w:highlight w:val="none"/>
          <w:lang w:val="en-US" w:eastAsia="zh-CN"/>
        </w:rPr>
        <w:t>32400000</w:t>
      </w:r>
    </w:p>
    <w:p>
      <w:pPr>
        <w:spacing w:line="360" w:lineRule="auto"/>
        <w:ind w:firstLine="480"/>
        <w:rPr>
          <w:rFonts w:hint="default" w:ascii="仿宋_GB2312" w:hAnsi="仿宋" w:eastAsia="仿宋_GB2312"/>
          <w:color w:val="auto"/>
          <w:sz w:val="24"/>
          <w:highlight w:val="none"/>
          <w:lang w:val="en-US" w:eastAsia="zh-CN"/>
        </w:rPr>
      </w:pPr>
      <w:r>
        <w:rPr>
          <w:rFonts w:hint="eastAsia" w:ascii="仿宋_GB2312" w:hAnsi="仿宋" w:eastAsia="仿宋_GB2312"/>
          <w:b/>
          <w:color w:val="auto"/>
          <w:sz w:val="24"/>
          <w:highlight w:val="none"/>
        </w:rPr>
        <w:t xml:space="preserve">4.最高限价（元）： </w:t>
      </w:r>
      <w:r>
        <w:rPr>
          <w:rFonts w:hint="eastAsia" w:ascii="仿宋_GB2312" w:hAnsi="仿宋" w:eastAsia="仿宋_GB2312"/>
          <w:b/>
          <w:color w:val="auto"/>
          <w:sz w:val="24"/>
          <w:highlight w:val="none"/>
          <w:lang w:val="en-US" w:eastAsia="zh-CN"/>
        </w:rPr>
        <w:t>标项一16320000，标项二16080000</w:t>
      </w:r>
    </w:p>
    <w:p>
      <w:pPr>
        <w:pStyle w:val="2"/>
        <w:spacing w:line="360" w:lineRule="auto"/>
        <w:ind w:firstLine="480"/>
        <w:rPr>
          <w:rFonts w:ascii="仿宋_GB2312" w:hAnsi="仿宋" w:eastAsia="仿宋_GB2312"/>
          <w:bCs/>
          <w:color w:val="auto"/>
          <w:kern w:val="2"/>
          <w:sz w:val="24"/>
          <w:szCs w:val="24"/>
          <w:highlight w:val="none"/>
        </w:rPr>
      </w:pPr>
      <w:r>
        <w:rPr>
          <w:rFonts w:hint="eastAsia" w:ascii="仿宋_GB2312" w:hAnsi="仿宋" w:eastAsia="仿宋_GB2312"/>
          <w:b/>
          <w:color w:val="auto"/>
          <w:sz w:val="24"/>
          <w:highlight w:val="none"/>
        </w:rPr>
        <w:t>5.采购需求：</w:t>
      </w:r>
    </w:p>
    <w:tbl>
      <w:tblPr>
        <w:tblStyle w:val="20"/>
        <w:tblW w:w="8462" w:type="dxa"/>
        <w:tblCellSpacing w:w="1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07"/>
        <w:gridCol w:w="1989"/>
        <w:gridCol w:w="870"/>
        <w:gridCol w:w="690"/>
        <w:gridCol w:w="1800"/>
        <w:gridCol w:w="122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2" w:type="dxa"/>
            <w:tcMar>
              <w:top w:w="75" w:type="dxa"/>
              <w:left w:w="150" w:type="dxa"/>
              <w:bottom w:w="75" w:type="dxa"/>
              <w:right w:w="150" w:type="dxa"/>
            </w:tcMar>
            <w:vAlign w:val="center"/>
          </w:tcPr>
          <w:p>
            <w:pPr>
              <w:widowControl/>
              <w:wordWrap w:val="0"/>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标项序号</w:t>
            </w:r>
          </w:p>
        </w:tc>
        <w:tc>
          <w:tcPr>
            <w:tcW w:w="1959" w:type="dxa"/>
            <w:tcMar>
              <w:top w:w="75" w:type="dxa"/>
              <w:left w:w="150" w:type="dxa"/>
              <w:bottom w:w="75" w:type="dxa"/>
              <w:right w:w="150" w:type="dxa"/>
            </w:tcMar>
            <w:vAlign w:val="center"/>
          </w:tcPr>
          <w:p>
            <w:pPr>
              <w:widowControl/>
              <w:wordWrap w:val="0"/>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标项名称</w:t>
            </w:r>
          </w:p>
        </w:tc>
        <w:tc>
          <w:tcPr>
            <w:tcW w:w="840" w:type="dxa"/>
            <w:tcMar>
              <w:top w:w="75" w:type="dxa"/>
              <w:left w:w="150" w:type="dxa"/>
              <w:bottom w:w="75" w:type="dxa"/>
              <w:right w:w="150" w:type="dxa"/>
            </w:tcMar>
            <w:vAlign w:val="center"/>
          </w:tcPr>
          <w:p>
            <w:pPr>
              <w:widowControl/>
              <w:wordWrap w:val="0"/>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数量</w:t>
            </w:r>
          </w:p>
        </w:tc>
        <w:tc>
          <w:tcPr>
            <w:tcW w:w="660" w:type="dxa"/>
            <w:tcMar>
              <w:top w:w="75" w:type="dxa"/>
              <w:left w:w="150" w:type="dxa"/>
              <w:bottom w:w="75" w:type="dxa"/>
              <w:right w:w="150" w:type="dxa"/>
            </w:tcMar>
            <w:vAlign w:val="center"/>
          </w:tcPr>
          <w:p>
            <w:pPr>
              <w:widowControl/>
              <w:wordWrap w:val="0"/>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单位</w:t>
            </w:r>
          </w:p>
        </w:tc>
        <w:tc>
          <w:tcPr>
            <w:tcW w:w="1770" w:type="dxa"/>
            <w:tcMar>
              <w:top w:w="75" w:type="dxa"/>
              <w:left w:w="150" w:type="dxa"/>
              <w:bottom w:w="75" w:type="dxa"/>
              <w:right w:w="150" w:type="dxa"/>
            </w:tcMar>
            <w:vAlign w:val="center"/>
          </w:tcPr>
          <w:p>
            <w:pPr>
              <w:widowControl/>
              <w:wordWrap w:val="0"/>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预算金额(元)</w:t>
            </w:r>
          </w:p>
        </w:tc>
        <w:tc>
          <w:tcPr>
            <w:tcW w:w="1195" w:type="dxa"/>
            <w:tcMar>
              <w:top w:w="75" w:type="dxa"/>
              <w:left w:w="150" w:type="dxa"/>
              <w:bottom w:w="75" w:type="dxa"/>
              <w:right w:w="150" w:type="dxa"/>
            </w:tcMar>
            <w:vAlign w:val="center"/>
          </w:tcPr>
          <w:p>
            <w:pPr>
              <w:widowControl/>
              <w:wordWrap w:val="0"/>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简要规格描述</w:t>
            </w:r>
          </w:p>
        </w:tc>
        <w:tc>
          <w:tcPr>
            <w:tcW w:w="836" w:type="dxa"/>
            <w:tcMar>
              <w:top w:w="75" w:type="dxa"/>
              <w:left w:w="150" w:type="dxa"/>
              <w:bottom w:w="75" w:type="dxa"/>
              <w:right w:w="150" w:type="dxa"/>
            </w:tcMar>
            <w:vAlign w:val="center"/>
          </w:tcPr>
          <w:p>
            <w:pPr>
              <w:widowControl/>
              <w:wordWrap w:val="0"/>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2" w:type="dxa"/>
            <w:tcMar>
              <w:top w:w="75" w:type="dxa"/>
              <w:left w:w="150" w:type="dxa"/>
              <w:bottom w:w="75" w:type="dxa"/>
              <w:right w:w="150" w:type="dxa"/>
            </w:tcMar>
            <w:vAlign w:val="center"/>
          </w:tcPr>
          <w:p>
            <w:pPr>
              <w:widowControl/>
              <w:wordWrap w:val="0"/>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1</w:t>
            </w:r>
          </w:p>
        </w:tc>
        <w:tc>
          <w:tcPr>
            <w:tcW w:w="1959" w:type="dxa"/>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嵊州市城区生活垃圾分类“定时定点”小区统一运维服务项目（浦口街道、三江街道）</w:t>
            </w:r>
          </w:p>
        </w:tc>
        <w:tc>
          <w:tcPr>
            <w:tcW w:w="840" w:type="dxa"/>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val="en-US" w:eastAsia="zh-CN"/>
              </w:rPr>
              <w:t>2</w:t>
            </w:r>
          </w:p>
        </w:tc>
        <w:tc>
          <w:tcPr>
            <w:tcW w:w="660" w:type="dxa"/>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val="en-US" w:eastAsia="zh-CN"/>
              </w:rPr>
              <w:t>年</w:t>
            </w:r>
          </w:p>
        </w:tc>
        <w:tc>
          <w:tcPr>
            <w:tcW w:w="1770" w:type="dxa"/>
            <w:tcMar>
              <w:top w:w="75" w:type="dxa"/>
              <w:left w:w="150" w:type="dxa"/>
              <w:bottom w:w="75" w:type="dxa"/>
              <w:right w:w="150" w:type="dxa"/>
            </w:tcMar>
            <w:vAlign w:val="center"/>
          </w:tcPr>
          <w:p>
            <w:pPr>
              <w:widowControl/>
              <w:wordWrap w:val="0"/>
              <w:spacing w:line="400" w:lineRule="exact"/>
              <w:jc w:val="center"/>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16320000.00</w:t>
            </w:r>
          </w:p>
        </w:tc>
        <w:tc>
          <w:tcPr>
            <w:tcW w:w="1195" w:type="dxa"/>
            <w:tcMar>
              <w:top w:w="75" w:type="dxa"/>
              <w:left w:w="150" w:type="dxa"/>
              <w:bottom w:w="75" w:type="dxa"/>
              <w:right w:w="150" w:type="dxa"/>
            </w:tcMar>
            <w:vAlign w:val="center"/>
          </w:tcPr>
          <w:p>
            <w:pPr>
              <w:widowControl/>
              <w:wordWrap w:val="0"/>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详见招标文件</w:t>
            </w:r>
          </w:p>
        </w:tc>
        <w:tc>
          <w:tcPr>
            <w:tcW w:w="836" w:type="dxa"/>
            <w:tcMar>
              <w:top w:w="75" w:type="dxa"/>
              <w:left w:w="150" w:type="dxa"/>
              <w:bottom w:w="75" w:type="dxa"/>
              <w:right w:w="150" w:type="dxa"/>
            </w:tcMar>
            <w:vAlign w:val="center"/>
          </w:tcPr>
          <w:p>
            <w:pPr>
              <w:widowControl/>
              <w:wordWrap w:val="0"/>
              <w:spacing w:line="400" w:lineRule="exact"/>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2" w:type="dxa"/>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2</w:t>
            </w:r>
          </w:p>
        </w:tc>
        <w:tc>
          <w:tcPr>
            <w:tcW w:w="1959" w:type="dxa"/>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嵊州市城区生活垃圾分类“定时定点”小区统一运维服务项目（鹿山街道、剡湖街道）</w:t>
            </w:r>
          </w:p>
        </w:tc>
        <w:tc>
          <w:tcPr>
            <w:tcW w:w="840" w:type="dxa"/>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val="en-US" w:eastAsia="zh-CN"/>
              </w:rPr>
              <w:t>2</w:t>
            </w:r>
          </w:p>
        </w:tc>
        <w:tc>
          <w:tcPr>
            <w:tcW w:w="660" w:type="dxa"/>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val="en-US" w:eastAsia="zh-CN"/>
              </w:rPr>
              <w:t>年</w:t>
            </w:r>
          </w:p>
        </w:tc>
        <w:tc>
          <w:tcPr>
            <w:tcW w:w="1770" w:type="dxa"/>
            <w:tcMar>
              <w:top w:w="75" w:type="dxa"/>
              <w:left w:w="150" w:type="dxa"/>
              <w:bottom w:w="75" w:type="dxa"/>
              <w:right w:w="150" w:type="dxa"/>
            </w:tcMar>
            <w:vAlign w:val="center"/>
          </w:tcPr>
          <w:p>
            <w:pPr>
              <w:widowControl/>
              <w:wordWrap w:val="0"/>
              <w:spacing w:line="400" w:lineRule="exact"/>
              <w:jc w:val="center"/>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16080000.00</w:t>
            </w:r>
          </w:p>
        </w:tc>
        <w:tc>
          <w:tcPr>
            <w:tcW w:w="1195" w:type="dxa"/>
            <w:tcMar>
              <w:top w:w="75" w:type="dxa"/>
              <w:left w:w="150" w:type="dxa"/>
              <w:bottom w:w="75" w:type="dxa"/>
              <w:right w:w="150" w:type="dxa"/>
            </w:tcMar>
            <w:vAlign w:val="center"/>
          </w:tcPr>
          <w:p>
            <w:pPr>
              <w:widowControl/>
              <w:wordWrap w:val="0"/>
              <w:spacing w:line="400" w:lineRule="exact"/>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详见招标文件</w:t>
            </w:r>
          </w:p>
        </w:tc>
        <w:tc>
          <w:tcPr>
            <w:tcW w:w="836" w:type="dxa"/>
            <w:tcMar>
              <w:top w:w="75" w:type="dxa"/>
              <w:left w:w="150" w:type="dxa"/>
              <w:bottom w:w="75" w:type="dxa"/>
              <w:right w:w="150" w:type="dxa"/>
            </w:tcMar>
            <w:vAlign w:val="center"/>
          </w:tcPr>
          <w:p>
            <w:pPr>
              <w:widowControl/>
              <w:wordWrap w:val="0"/>
              <w:spacing w:line="400" w:lineRule="exact"/>
              <w:jc w:val="center"/>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含一次性设备费</w:t>
            </w:r>
          </w:p>
        </w:tc>
      </w:tr>
    </w:tbl>
    <w:p>
      <w:pPr>
        <w:keepNext w:val="0"/>
        <w:keepLines w:val="0"/>
        <w:pageBreakBefore w:val="0"/>
        <w:widowControl w:val="0"/>
        <w:kinsoku/>
        <w:wordWrap/>
        <w:overflowPunct/>
        <w:topLinePunct w:val="0"/>
        <w:autoSpaceDE/>
        <w:autoSpaceDN/>
        <w:bidi w:val="0"/>
        <w:adjustRightInd/>
        <w:snapToGrid w:val="0"/>
        <w:spacing w:line="360" w:lineRule="auto"/>
        <w:ind w:left="0" w:leftChars="0" w:firstLine="482"/>
        <w:textAlignment w:val="auto"/>
        <w:rPr>
          <w:rFonts w:hint="eastAsia" w:ascii="仿宋" w:hAnsi="仿宋" w:eastAsia="仿宋" w:cs="仿宋"/>
          <w:b w:val="0"/>
          <w:bCs w:val="0"/>
          <w:color w:val="auto"/>
          <w:sz w:val="24"/>
          <w:szCs w:val="24"/>
          <w:highlight w:val="none"/>
          <w:lang w:val="en-US" w:eastAsia="zh-CN"/>
        </w:rPr>
      </w:pPr>
      <w:r>
        <w:rPr>
          <w:rFonts w:hint="eastAsia" w:ascii="仿宋_GB2312" w:hAnsi="仿宋" w:eastAsia="仿宋_GB2312"/>
          <w:b/>
          <w:color w:val="auto"/>
          <w:highlight w:val="none"/>
          <w:lang w:val="en-US" w:eastAsia="zh-CN"/>
        </w:rPr>
        <w:t>注：</w:t>
      </w:r>
      <w:r>
        <w:rPr>
          <w:rFonts w:hint="eastAsia" w:ascii="仿宋" w:hAnsi="仿宋" w:eastAsia="仿宋" w:cs="仿宋"/>
          <w:b w:val="0"/>
          <w:bCs w:val="0"/>
          <w:color w:val="auto"/>
          <w:sz w:val="24"/>
          <w:szCs w:val="24"/>
          <w:highlight w:val="none"/>
          <w:lang w:val="en-US" w:eastAsia="zh-CN"/>
        </w:rPr>
        <w:t>中标规则：</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2"/>
        <w:textAlignment w:val="auto"/>
        <w:rPr>
          <w:rFonts w:hint="eastAsia" w:ascii="仿宋" w:hAnsi="仿宋" w:eastAsia="仿宋" w:cs="仿宋"/>
          <w:b w:val="0"/>
          <w:bCs w:val="0"/>
          <w:color w:val="auto"/>
          <w:sz w:val="24"/>
          <w:szCs w:val="24"/>
          <w:highlight w:val="none"/>
          <w:lang w:val="en-US" w:eastAsia="zh-CN"/>
        </w:rPr>
      </w:pPr>
      <w:r>
        <w:rPr>
          <w:rFonts w:hint="default" w:ascii="Calibri" w:hAnsi="Calibri" w:eastAsia="仿宋" w:cs="Calibri"/>
          <w:b w:val="0"/>
          <w:bCs w:val="0"/>
          <w:color w:val="auto"/>
          <w:sz w:val="24"/>
          <w:szCs w:val="24"/>
          <w:highlight w:val="none"/>
          <w:lang w:val="en-US" w:eastAsia="zh-CN"/>
        </w:rPr>
        <w:t>①</w:t>
      </w:r>
      <w:r>
        <w:rPr>
          <w:rFonts w:hint="eastAsia" w:ascii="仿宋" w:hAnsi="仿宋" w:eastAsia="仿宋" w:cs="仿宋"/>
          <w:b w:val="0"/>
          <w:bCs w:val="0"/>
          <w:color w:val="auto"/>
          <w:sz w:val="24"/>
          <w:szCs w:val="24"/>
          <w:highlight w:val="none"/>
          <w:lang w:val="en-US" w:eastAsia="zh-CN"/>
        </w:rPr>
        <w:t>本项目共2个标项，投标供应商根据自己的技术和商务优势可对全部或部分标项进行投标,且必须以标项为单位分别编写投标文件并上传。但不得只对标项中部分采购内容进行投标。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仿宋_GB2312" w:hAnsi="仿宋" w:eastAsia="仿宋_GB2312"/>
          <w:b/>
          <w:color w:val="auto"/>
          <w:highlight w:val="none"/>
          <w:lang w:val="en-US" w:eastAsia="zh-CN"/>
        </w:rPr>
      </w:pPr>
      <w:r>
        <w:rPr>
          <w:rFonts w:hint="default" w:ascii="Calibri" w:hAnsi="Calibri" w:eastAsia="仿宋" w:cs="Calibri"/>
          <w:b w:val="0"/>
          <w:bCs w:val="0"/>
          <w:color w:val="auto"/>
          <w:sz w:val="24"/>
          <w:szCs w:val="24"/>
          <w:highlight w:val="none"/>
          <w:lang w:val="en-US" w:eastAsia="zh-CN"/>
        </w:rPr>
        <w:t>②</w:t>
      </w:r>
      <w:r>
        <w:rPr>
          <w:rFonts w:hint="eastAsia" w:ascii="仿宋" w:hAnsi="仿宋" w:eastAsia="仿宋" w:cs="仿宋"/>
          <w:b w:val="0"/>
          <w:bCs w:val="0"/>
          <w:color w:val="auto"/>
          <w:sz w:val="24"/>
          <w:szCs w:val="24"/>
          <w:highlight w:val="none"/>
          <w:lang w:val="en-US" w:eastAsia="zh-CN"/>
        </w:rPr>
        <w:t>为保证服务工作形成良性竞争机制，供应商能按时保质保量完成各项任务，投标人可以同时参投二个标项，最多只能中标一个标项。本项目按照标项顺序确定中标供应商。</w:t>
      </w:r>
    </w:p>
    <w:p>
      <w:pPr>
        <w:pStyle w:val="27"/>
        <w:keepNext w:val="0"/>
        <w:keepLines w:val="0"/>
        <w:pageBreakBefore w:val="0"/>
        <w:kinsoku/>
        <w:wordWrap/>
        <w:overflowPunct/>
        <w:topLinePunct w:val="0"/>
        <w:autoSpaceDE/>
        <w:autoSpaceDN/>
        <w:bidi w:val="0"/>
        <w:spacing w:before="0"/>
        <w:ind w:firstLine="482"/>
        <w:textAlignment w:val="auto"/>
        <w:outlineLvl w:val="2"/>
        <w:rPr>
          <w:rFonts w:ascii="仿宋_GB2312" w:hAnsi="仿宋" w:eastAsia="仿宋_GB2312"/>
          <w:color w:val="auto"/>
          <w:highlight w:val="none"/>
        </w:rPr>
      </w:pPr>
      <w:r>
        <w:rPr>
          <w:rFonts w:hint="eastAsia" w:ascii="仿宋_GB2312" w:hAnsi="仿宋" w:eastAsia="仿宋_GB2312"/>
          <w:b/>
          <w:color w:val="auto"/>
          <w:highlight w:val="none"/>
        </w:rPr>
        <w:t>6.合同履约期限：详见招标文件</w:t>
      </w:r>
    </w:p>
    <w:p>
      <w:pPr>
        <w:pStyle w:val="2"/>
        <w:keepNext w:val="0"/>
        <w:keepLines w:val="0"/>
        <w:pageBreakBefore w:val="0"/>
        <w:kinsoku/>
        <w:wordWrap/>
        <w:overflowPunct/>
        <w:topLinePunct w:val="0"/>
        <w:autoSpaceDE/>
        <w:autoSpaceDN/>
        <w:bidi w:val="0"/>
        <w:spacing w:line="360" w:lineRule="auto"/>
        <w:ind w:firstLine="480"/>
        <w:textAlignment w:val="auto"/>
        <w:rPr>
          <w:rFonts w:ascii="仿宋_GB2312" w:hAnsi="仿宋" w:eastAsia="仿宋_GB2312"/>
          <w:b/>
          <w:color w:val="auto"/>
          <w:sz w:val="24"/>
          <w:highlight w:val="none"/>
        </w:rPr>
      </w:pPr>
      <w:r>
        <w:rPr>
          <w:rFonts w:hint="eastAsia" w:ascii="仿宋_GB2312" w:hAnsi="仿宋" w:eastAsia="仿宋_GB2312"/>
          <w:b/>
          <w:color w:val="auto"/>
          <w:sz w:val="24"/>
          <w:highlight w:val="none"/>
        </w:rPr>
        <w:t>7.本项目（否）接受联合体投标</w:t>
      </w:r>
      <w:r>
        <w:rPr>
          <w:rFonts w:hint="eastAsia" w:hAnsi="宋体" w:cs="Arial"/>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r>
        <w:rPr>
          <w:rFonts w:ascii="Wingdings" w:hAnsi="Wingdings" w:eastAsia="MS Gothic" w:cs="Arial"/>
          <w:color w:val="auto"/>
          <w:kern w:val="0"/>
          <w:sz w:val="24"/>
          <w:highlight w:val="none"/>
        </w:rPr>
        <w:sym w:font="Wingdings" w:char="00FE"/>
      </w:r>
      <w:r>
        <w:rPr>
          <w:rFonts w:hint="eastAsia" w:ascii="仿宋" w:hAnsi="仿宋" w:eastAsia="仿宋" w:cs="仿宋"/>
          <w:color w:val="auto"/>
          <w:sz w:val="24"/>
          <w:highlight w:val="none"/>
        </w:rPr>
        <w:t>无；</w:t>
      </w:r>
    </w:p>
    <w:p>
      <w:pPr>
        <w:spacing w:line="360" w:lineRule="auto"/>
        <w:ind w:firstLine="480" w:firstLineChars="200"/>
        <w:rPr>
          <w:rFonts w:ascii="仿宋" w:hAnsi="仿宋" w:eastAsia="仿宋" w:cs="仿宋"/>
          <w:color w:val="auto"/>
          <w:sz w:val="24"/>
          <w:highlight w:val="none"/>
        </w:rPr>
      </w:pPr>
      <w:r>
        <w:rPr>
          <w:rFonts w:ascii="MS Gothic" w:hAnsi="MS Gothic" w:eastAsia="MS Gothic" w:cs="Arial"/>
          <w:color w:val="auto"/>
          <w:kern w:val="0"/>
          <w:sz w:val="24"/>
          <w:highlight w:val="none"/>
        </w:rPr>
        <w:t>☐</w:t>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rFonts w:ascii="仿宋" w:hAnsi="仿宋" w:eastAsia="仿宋" w:cs="仿宋"/>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1.时间：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lang w:eastAsia="zh-CN"/>
        </w:rPr>
        <w:t>2023年</w:t>
      </w:r>
      <w:r>
        <w:rPr>
          <w:rFonts w:hint="eastAsia" w:ascii="仿宋_GB2312" w:hAnsi="仿宋" w:eastAsia="仿宋_GB2312"/>
          <w:color w:val="auto"/>
          <w:sz w:val="24"/>
          <w:highlight w:val="none"/>
          <w:u w:val="single"/>
          <w:lang w:val="en-US" w:eastAsia="zh-CN"/>
        </w:rPr>
        <w:t>10</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19</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2.地点（网址）：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3.方式：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4.售价（元）：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1.提交投标文件截止时间：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eastAsia="zh-CN"/>
        </w:rPr>
        <w:t>2023年</w:t>
      </w:r>
      <w:r>
        <w:rPr>
          <w:rFonts w:hint="eastAsia" w:ascii="仿宋_GB2312" w:hAnsi="仿宋" w:eastAsia="仿宋_GB2312"/>
          <w:color w:val="auto"/>
          <w:sz w:val="24"/>
          <w:highlight w:val="none"/>
          <w:u w:val="single"/>
          <w:lang w:val="en-US" w:eastAsia="zh-CN"/>
        </w:rPr>
        <w:t>10</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19</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09</w:t>
      </w:r>
      <w:r>
        <w:rPr>
          <w:rFonts w:hint="eastAsia" w:ascii="仿宋_GB2312" w:hAnsi="仿宋" w:eastAsia="仿宋_GB2312"/>
          <w:color w:val="auto"/>
          <w:sz w:val="24"/>
          <w:highlight w:val="none"/>
          <w:u w:val="single"/>
        </w:rPr>
        <w:t>点00分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2.投标地点（网址）：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3.开标时间：</w:t>
      </w:r>
      <w:r>
        <w:rPr>
          <w:rFonts w:hint="eastAsia" w:ascii="仿宋_GB2312" w:hAnsi="仿宋" w:eastAsia="仿宋_GB2312"/>
          <w:color w:val="auto"/>
          <w:sz w:val="24"/>
          <w:highlight w:val="none"/>
          <w:u w:val="single"/>
          <w:lang w:eastAsia="zh-CN"/>
        </w:rPr>
        <w:t>2023年</w:t>
      </w:r>
      <w:r>
        <w:rPr>
          <w:rFonts w:hint="eastAsia" w:ascii="仿宋_GB2312" w:hAnsi="仿宋" w:eastAsia="仿宋_GB2312"/>
          <w:color w:val="auto"/>
          <w:sz w:val="24"/>
          <w:highlight w:val="none"/>
          <w:u w:val="single"/>
          <w:lang w:val="en-US" w:eastAsia="zh-CN"/>
        </w:rPr>
        <w:t>10</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19</w:t>
      </w:r>
      <w:bookmarkStart w:id="374" w:name="_GoBack"/>
      <w:bookmarkEnd w:id="374"/>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09</w:t>
      </w:r>
      <w:r>
        <w:rPr>
          <w:rFonts w:hint="eastAsia" w:ascii="仿宋_GB2312" w:hAnsi="仿宋" w:eastAsia="仿宋_GB2312"/>
          <w:color w:val="auto"/>
          <w:sz w:val="24"/>
          <w:highlight w:val="none"/>
          <w:u w:val="single"/>
        </w:rPr>
        <w:t>点00分</w:t>
      </w:r>
      <w:r>
        <w:rPr>
          <w:rFonts w:hint="eastAsia" w:ascii="仿宋_GB2312" w:hAnsi="仿宋" w:eastAsia="仿宋_GB2312"/>
          <w:bCs/>
          <w:color w:val="auto"/>
          <w:sz w:val="24"/>
          <w:highlight w:val="none"/>
          <w:u w:val="singl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4.开标地点（网址）：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ascii="仿宋_GB2312" w:hAnsi="仿宋" w:eastAsia="仿宋_GB2312"/>
          <w:color w:val="auto"/>
          <w:sz w:val="24"/>
          <w:highlight w:val="none"/>
        </w:rPr>
        <w:t>1.</w:t>
      </w:r>
      <w:r>
        <w:rPr>
          <w:rFonts w:hint="eastAsia" w:ascii="仿宋" w:hAnsi="仿宋" w:eastAsia="仿宋" w:cs="仿宋"/>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.其他事项：</w:t>
      </w:r>
      <w:r>
        <w:rPr>
          <w:rFonts w:hint="eastAsia" w:ascii="仿宋_GB2312" w:hAnsi="仿宋" w:eastAsia="仿宋_GB2312"/>
          <w:color w:val="auto"/>
          <w:sz w:val="24"/>
          <w:highlight w:val="none"/>
        </w:rPr>
        <w:t>（1）需要落实的政府采购政策：包括节约资源、保护环境、支持创新、促进中小企业发展等。详见招标文件的第二部分总则。（2）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 xml:space="preserve">嵊州市住房和城乡建设局 </w:t>
      </w:r>
      <w:r>
        <w:rPr>
          <w:rFonts w:ascii="仿宋_GB2312" w:hAnsi="仿宋" w:eastAsia="仿宋_GB2312"/>
          <w:color w:val="auto"/>
          <w:sz w:val="24"/>
          <w:highlight w:val="none"/>
        </w:rPr>
        <w:t xml:space="preserve"> </w:t>
      </w:r>
    </w:p>
    <w:p>
      <w:pPr>
        <w:spacing w:line="360" w:lineRule="auto"/>
        <w:rPr>
          <w:rFonts w:hint="eastAsia" w:ascii="仿宋" w:hAnsi="仿宋" w:eastAsia="仿宋" w:cs="仿宋"/>
          <w:color w:val="auto"/>
          <w:sz w:val="24"/>
          <w:highlight w:val="none"/>
        </w:rPr>
      </w:pPr>
      <w:r>
        <w:rPr>
          <w:rFonts w:ascii="仿宋_GB2312" w:hAnsi="仿宋" w:eastAsia="仿宋_GB2312"/>
          <w:color w:val="auto"/>
          <w:sz w:val="24"/>
          <w:highlight w:val="none"/>
        </w:rPr>
        <w:t xml:space="preserve">    地    址：</w:t>
      </w:r>
      <w:r>
        <w:rPr>
          <w:rFonts w:hint="eastAsia" w:ascii="仿宋" w:hAnsi="仿宋" w:eastAsia="仿宋" w:cs="仿宋"/>
          <w:color w:val="auto"/>
          <w:sz w:val="24"/>
          <w:highlight w:val="none"/>
          <w:lang w:eastAsia="zh-CN"/>
        </w:rPr>
        <w:t>嵊州市</w:t>
      </w:r>
      <w:r>
        <w:rPr>
          <w:rFonts w:hint="eastAsia" w:ascii="仿宋" w:hAnsi="仿宋" w:eastAsia="仿宋" w:cs="仿宋"/>
          <w:color w:val="auto"/>
          <w:sz w:val="24"/>
          <w:highlight w:val="none"/>
          <w:lang w:val="en-US" w:eastAsia="zh-CN"/>
        </w:rPr>
        <w:t>长兴路208号</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eastAsia="zh-CN"/>
        </w:rPr>
        <w:t>德女士</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0575-81381822</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竺先生</w:t>
      </w:r>
    </w:p>
    <w:p>
      <w:pPr>
        <w:spacing w:line="360" w:lineRule="auto"/>
        <w:rPr>
          <w:rFonts w:ascii="仿宋_GB2312" w:hAnsi="仿宋" w:eastAsia="仿宋_GB2312"/>
          <w:color w:val="auto"/>
          <w:sz w:val="24"/>
          <w:highlight w:val="none"/>
        </w:rPr>
      </w:pPr>
      <w:r>
        <w:rPr>
          <w:rFonts w:hint="eastAsia" w:ascii="仿宋" w:hAnsi="仿宋" w:eastAsia="仿宋" w:cs="仿宋"/>
          <w:color w:val="auto"/>
          <w:sz w:val="24"/>
          <w:highlight w:val="none"/>
        </w:rPr>
        <w:t xml:space="preserve">    质疑联系方式：</w:t>
      </w:r>
      <w:r>
        <w:rPr>
          <w:rFonts w:hint="eastAsia" w:ascii="仿宋" w:hAnsi="仿宋" w:eastAsia="仿宋" w:cs="仿宋"/>
          <w:color w:val="auto"/>
          <w:sz w:val="24"/>
          <w:highlight w:val="none"/>
          <w:lang w:val="en-US" w:eastAsia="zh-CN"/>
        </w:rPr>
        <w:t>0575-81381822</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w:t>
      </w:r>
      <w:r>
        <w:rPr>
          <w:rFonts w:hint="eastAsia" w:ascii="仿宋_GB2312" w:hAnsi="仿宋" w:eastAsia="仿宋_GB2312"/>
          <w:color w:val="auto"/>
          <w:sz w:val="24"/>
          <w:highlight w:val="none"/>
          <w:lang w:eastAsia="zh-CN"/>
        </w:rPr>
        <w:t>浙江越锋项目管理有限公司</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址：嵊州市江滨西路329号4楼</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rPr>
        <w:t>钱帅杰</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15906858626</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lang w:eastAsia="zh-CN"/>
        </w:rPr>
        <w:t>常雨松</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0575-83187188</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名    称： 嵊州市财政局政府采购监管科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地    址： 嵊州市国资大楼10楼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传     真： 0575-83032507</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联系人 ：</w:t>
      </w:r>
      <w:r>
        <w:rPr>
          <w:rFonts w:hint="eastAsia" w:ascii="仿宋_GB2312" w:hAnsi="仿宋" w:eastAsia="仿宋_GB2312"/>
          <w:color w:val="auto"/>
          <w:sz w:val="24"/>
          <w:highlight w:val="none"/>
          <w:lang w:eastAsia="zh-CN"/>
        </w:rPr>
        <w:t>郑老师</w:t>
      </w:r>
      <w:r>
        <w:rPr>
          <w:rFonts w:hint="eastAsia" w:ascii="仿宋_GB2312" w:hAnsi="仿宋" w:eastAsia="仿宋_GB2312"/>
          <w:color w:val="auto"/>
          <w:sz w:val="24"/>
          <w:highlight w:val="none"/>
        </w:rPr>
        <w:t>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监督投诉电话：0575-83032507</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hint="eastAsia" w:ascii="仿宋_GB2312" w:hAnsi="仿宋" w:eastAsia="仿宋_GB2312"/>
          <w:color w:val="auto"/>
          <w:sz w:val="24"/>
          <w:highlight w:val="none"/>
          <w:lang w:val="en-US" w:eastAsia="zh-CN"/>
        </w:rPr>
        <w:t>95763</w:t>
      </w:r>
      <w:r>
        <w:rPr>
          <w:rFonts w:ascii="仿宋_GB2312" w:hAnsi="仿宋" w:eastAsia="仿宋_GB2312"/>
          <w:color w:val="auto"/>
          <w:sz w:val="24"/>
          <w:highlight w:val="none"/>
        </w:rPr>
        <w:t>获取热线服务帮助。</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pStyle w:val="17"/>
        <w:rPr>
          <w:rFonts w:ascii="仿宋_GB2312" w:hAnsi="仿宋" w:eastAsia="仿宋_GB2312"/>
          <w:color w:val="auto"/>
          <w:highlight w:val="none"/>
        </w:rPr>
      </w:pPr>
    </w:p>
    <w:p>
      <w:pPr>
        <w:rPr>
          <w:rFonts w:ascii="仿宋_GB2312" w:hAnsi="仿宋" w:eastAsia="仿宋_GB2312"/>
          <w:color w:val="auto"/>
          <w:sz w:val="24"/>
          <w:highlight w:val="none"/>
        </w:rPr>
      </w:pPr>
    </w:p>
    <w:p>
      <w:pPr>
        <w:pStyle w:val="17"/>
        <w:rPr>
          <w:rFonts w:ascii="仿宋_GB2312" w:hAnsi="仿宋" w:eastAsia="仿宋_GB2312"/>
          <w:color w:val="auto"/>
          <w:highlight w:val="none"/>
        </w:rPr>
      </w:pPr>
    </w:p>
    <w:p>
      <w:pPr>
        <w:rPr>
          <w:rFonts w:ascii="仿宋_GB2312" w:hAnsi="仿宋" w:eastAsia="仿宋_GB2312"/>
          <w:color w:val="auto"/>
          <w:sz w:val="24"/>
          <w:highlight w:val="none"/>
        </w:rPr>
      </w:pPr>
    </w:p>
    <w:p>
      <w:pPr>
        <w:pStyle w:val="17"/>
        <w:rPr>
          <w:rFonts w:ascii="仿宋_GB2312" w:hAnsi="仿宋" w:eastAsia="仿宋_GB2312"/>
          <w:color w:val="auto"/>
          <w:highlight w:val="none"/>
        </w:rPr>
      </w:pPr>
    </w:p>
    <w:p>
      <w:pPr>
        <w:adjustRightInd/>
        <w:spacing w:line="360" w:lineRule="auto"/>
        <w:outlineLvl w:val="0"/>
        <w:rPr>
          <w:rFonts w:ascii="仿宋" w:hAnsi="仿宋" w:eastAsia="仿宋" w:cs="仿宋_GB2312"/>
          <w:b/>
          <w:color w:val="auto"/>
          <w:sz w:val="36"/>
          <w:szCs w:val="20"/>
          <w:highlight w:val="none"/>
        </w:rPr>
      </w:pPr>
    </w:p>
    <w:p>
      <w:pPr>
        <w:adjustRightInd/>
        <w:spacing w:line="360" w:lineRule="auto"/>
        <w:jc w:val="center"/>
        <w:outlineLvl w:val="0"/>
        <w:rPr>
          <w:rFonts w:hint="eastAsia" w:ascii="仿宋" w:hAnsi="仿宋" w:eastAsia="仿宋" w:cs="仿宋_GB2312"/>
          <w:b/>
          <w:color w:val="auto"/>
          <w:sz w:val="36"/>
          <w:szCs w:val="20"/>
          <w:highlight w:val="none"/>
        </w:rPr>
      </w:pPr>
    </w:p>
    <w:p>
      <w:pPr>
        <w:adjustRightInd/>
        <w:spacing w:line="360" w:lineRule="auto"/>
        <w:jc w:val="both"/>
        <w:outlineLvl w:val="0"/>
        <w:rPr>
          <w:rFonts w:hint="eastAsia" w:ascii="仿宋" w:hAnsi="仿宋" w:eastAsia="仿宋" w:cs="仿宋_GB2312"/>
          <w:b/>
          <w:color w:val="auto"/>
          <w:sz w:val="36"/>
          <w:szCs w:val="20"/>
          <w:highlight w:val="none"/>
        </w:rPr>
      </w:pPr>
    </w:p>
    <w:p>
      <w:pPr>
        <w:adjustRightInd/>
        <w:spacing w:line="360"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第二部分</w:t>
      </w:r>
      <w:r>
        <w:rPr>
          <w:rFonts w:ascii="仿宋" w:hAnsi="仿宋" w:eastAsia="仿宋" w:cs="仿宋_GB2312"/>
          <w:b/>
          <w:color w:val="auto"/>
          <w:sz w:val="36"/>
          <w:szCs w:val="20"/>
          <w:highlight w:val="none"/>
        </w:rPr>
        <w:t xml:space="preserve"> 投标人须知</w:t>
      </w:r>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20"/>
        <w:tblW w:w="8340" w:type="dxa"/>
        <w:tblInd w:w="-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48"/>
        <w:gridCol w:w="1307"/>
        <w:gridCol w:w="62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748"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30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2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48" w:hRule="atLeast"/>
          <w:tblHeader/>
        </w:trPr>
        <w:tc>
          <w:tcPr>
            <w:tcW w:w="748"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30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2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lang w:val="zh-CN"/>
              </w:rPr>
              <w:t>有关本项目实施所需的所有费用（含税费）均计入报价。</w:t>
            </w:r>
            <w:r>
              <w:rPr>
                <w:rFonts w:hint="eastAsia" w:ascii="仿宋_GB2312" w:hAnsi="仿宋" w:eastAsia="仿宋_GB2312" w:cs="仿宋_GB2312"/>
                <w:color w:val="auto"/>
                <w:sz w:val="24"/>
                <w:highlight w:val="none"/>
              </w:rPr>
              <w:t>开标一览表（报价表）</w:t>
            </w:r>
            <w:r>
              <w:rPr>
                <w:rFonts w:hint="eastAsia" w:ascii="仿宋_GB2312" w:hAnsi="仿宋" w:eastAsia="仿宋_GB2312"/>
                <w:color w:val="auto"/>
                <w:sz w:val="24"/>
                <w:highlight w:val="none"/>
              </w:rPr>
              <w:t>是报价的唯一载体</w:t>
            </w:r>
            <w:r>
              <w:rPr>
                <w:rFonts w:hint="eastAsia" w:ascii="仿宋_GB2312" w:hAnsi="仿宋" w:eastAsia="仿宋_GB2312" w:cs="仿宋_GB2312"/>
                <w:color w:val="auto"/>
                <w:kern w:val="0"/>
                <w:sz w:val="24"/>
                <w:highlight w:val="none"/>
                <w:lang w:val="zh-CN"/>
              </w:rPr>
              <w:t>。投标文件中价格全部采用人民币报价</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开标一览表（报价表）另有约定的除外】。招标文件未列明，而投标人认为必需的费用也需列入报价。</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napToGrid w:val="0"/>
              <w:spacing w:line="360" w:lineRule="auto"/>
              <w:ind w:firstLine="240" w:firstLineChars="100"/>
              <w:jc w:val="left"/>
              <w:rPr>
                <w:rFonts w:ascii="仿宋_GB2312" w:hAnsi="仿宋" w:eastAsia="仿宋_GB2312" w:cs="仿宋_GB2312"/>
                <w:b/>
                <w:color w:val="auto"/>
                <w:kern w:val="0"/>
                <w:sz w:val="24"/>
                <w:highlight w:val="none"/>
                <w:lang w:val="zh-CN"/>
              </w:rPr>
            </w:pPr>
            <w:r>
              <w:rPr>
                <w:rFonts w:hint="eastAsia" w:ascii="仿宋_GB2312" w:hAnsi="仿宋" w:eastAsia="仿宋_GB2312"/>
                <w:color w:val="auto"/>
                <w:sz w:val="24"/>
                <w:highlight w:val="none"/>
              </w:rPr>
              <w:t>▲</w:t>
            </w:r>
            <w:r>
              <w:rPr>
                <w:rFonts w:hint="eastAsia" w:ascii="仿宋_GB2312" w:hAnsi="仿宋" w:eastAsia="仿宋_GB2312" w:cs="仿宋_GB2312"/>
                <w:b/>
                <w:color w:val="auto"/>
                <w:kern w:val="0"/>
                <w:sz w:val="24"/>
                <w:highlight w:val="none"/>
                <w:lang w:val="zh-CN"/>
              </w:rPr>
              <w:t>投标文件出现不是唯一的、有选择性投标报价的；</w:t>
            </w:r>
          </w:p>
          <w:p>
            <w:pPr>
              <w:snapToGrid w:val="0"/>
              <w:spacing w:line="360" w:lineRule="auto"/>
              <w:ind w:firstLine="240" w:firstLineChars="100"/>
              <w:jc w:val="left"/>
              <w:rPr>
                <w:rFonts w:ascii="仿宋_GB2312" w:hAnsi="仿宋" w:eastAsia="仿宋_GB2312"/>
                <w:color w:val="auto"/>
                <w:kern w:val="0"/>
                <w:sz w:val="24"/>
                <w:highlight w:val="none"/>
                <w:lang w:val="zh-CN"/>
              </w:rPr>
            </w:pPr>
            <w:r>
              <w:rPr>
                <w:rFonts w:hint="eastAsia" w:ascii="仿宋_GB2312" w:hAnsi="仿宋" w:eastAsia="仿宋_GB2312"/>
                <w:color w:val="auto"/>
                <w:sz w:val="24"/>
                <w:highlight w:val="none"/>
              </w:rPr>
              <w:t>▲</w:t>
            </w:r>
            <w:r>
              <w:rPr>
                <w:rFonts w:hint="eastAsia" w:ascii="仿宋_GB2312" w:hAnsi="仿宋" w:eastAsia="仿宋_GB2312" w:cs="仿宋_GB2312"/>
                <w:b/>
                <w:color w:val="auto"/>
                <w:kern w:val="0"/>
                <w:sz w:val="24"/>
                <w:highlight w:val="none"/>
                <w:lang w:val="zh-CN"/>
              </w:rPr>
              <w:t>投标报价超过招标文件中规定的预算金额或者最高限价的</w:t>
            </w:r>
            <w:r>
              <w:rPr>
                <w:rFonts w:ascii="仿宋_GB2312" w:hAnsi="仿宋" w:eastAsia="仿宋_GB2312"/>
                <w:b/>
                <w:color w:val="auto"/>
                <w:kern w:val="0"/>
                <w:sz w:val="24"/>
                <w:highlight w:val="none"/>
                <w:lang w:val="zh-CN"/>
              </w:rPr>
              <w:t>;</w:t>
            </w:r>
          </w:p>
          <w:p>
            <w:pPr>
              <w:spacing w:line="360" w:lineRule="auto"/>
              <w:ind w:firstLine="240" w:firstLineChars="100"/>
              <w:rPr>
                <w:rFonts w:ascii="仿宋_GB2312" w:hAnsi="仿宋" w:eastAsia="仿宋_GB2312" w:cs="仿宋_GB2312"/>
                <w:b/>
                <w:color w:val="auto"/>
                <w:sz w:val="24"/>
                <w:highlight w:val="none"/>
              </w:rPr>
            </w:pPr>
            <w:r>
              <w:rPr>
                <w:rFonts w:hint="eastAsia" w:ascii="仿宋_GB2312" w:hAnsi="仿宋" w:eastAsia="仿宋_GB2312"/>
                <w:color w:val="auto"/>
                <w:sz w:val="24"/>
                <w:highlight w:val="none"/>
              </w:rPr>
              <w:t>▲</w:t>
            </w: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highlight w:val="none"/>
              </w:rPr>
              <w:t>;</w:t>
            </w:r>
          </w:p>
          <w:p>
            <w:pPr>
              <w:spacing w:line="360" w:lineRule="auto"/>
              <w:ind w:firstLine="240" w:firstLineChars="100"/>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8" w:hRule="atLeast"/>
          <w:tblHeader/>
        </w:trPr>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 w:hAnsi="仿宋" w:eastAsia="仿宋" w:cs="仿宋"/>
                <w:color w:val="auto"/>
                <w:sz w:val="24"/>
                <w:highlight w:val="none"/>
              </w:rPr>
              <w:t>2</w:t>
            </w:r>
          </w:p>
        </w:tc>
        <w:tc>
          <w:tcPr>
            <w:tcW w:w="130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 w:hAnsi="仿宋" w:eastAsia="仿宋" w:cs="仿宋"/>
                <w:b/>
                <w:color w:val="auto"/>
                <w:sz w:val="24"/>
                <w:highlight w:val="none"/>
              </w:rPr>
              <w:t>分包</w:t>
            </w:r>
          </w:p>
        </w:tc>
        <w:tc>
          <w:tcPr>
            <w:tcW w:w="628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ascii="Wingdings" w:hAnsi="Wingdings" w:eastAsia="仿宋" w:cs="仿宋"/>
                <w:color w:val="auto"/>
                <w:kern w:val="0"/>
                <w:sz w:val="24"/>
                <w:highlight w:val="none"/>
              </w:rPr>
              <w:sym w:font="Wingdings" w:char="00A8"/>
            </w:r>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p>
          <w:p>
            <w:pPr>
              <w:spacing w:line="360" w:lineRule="auto"/>
              <w:rPr>
                <w:rFonts w:ascii="仿宋_GB2312" w:hAnsi="仿宋" w:eastAsia="仿宋_GB2312"/>
                <w:color w:val="auto"/>
                <w:sz w:val="24"/>
                <w:highlight w:val="none"/>
              </w:rPr>
            </w:pPr>
            <w:r>
              <w:rPr>
                <w:rFonts w:ascii="Wingdings" w:hAnsi="Wingdings" w:eastAsia="仿宋" w:cs="仿宋"/>
                <w:color w:val="auto"/>
                <w:kern w:val="0"/>
                <w:sz w:val="24"/>
                <w:highlight w:val="none"/>
              </w:rPr>
              <w:sym w:font="Wingdings" w:char="00FE"/>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748"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p>
        </w:tc>
        <w:tc>
          <w:tcPr>
            <w:tcW w:w="1307"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投标人应当提供的资格证明、商务技术、报价文件</w:t>
            </w:r>
          </w:p>
        </w:tc>
        <w:tc>
          <w:tcPr>
            <w:tcW w:w="628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1）资格证明文件：见招标文件第二部分11.1。</w:t>
            </w:r>
          </w:p>
          <w:p>
            <w:pPr>
              <w:spacing w:line="360" w:lineRule="auto"/>
              <w:rPr>
                <w:rFonts w:ascii="Arial" w:hAnsi="Arial" w:eastAsia="黑体" w:cs="Arial"/>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5" w:hRule="atLeast"/>
          <w:tblHeader/>
        </w:trPr>
        <w:tc>
          <w:tcPr>
            <w:tcW w:w="748"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tc>
        <w:tc>
          <w:tcPr>
            <w:tcW w:w="1307"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p>
        </w:tc>
        <w:tc>
          <w:tcPr>
            <w:tcW w:w="628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2）</w:t>
            </w:r>
            <w:r>
              <w:rPr>
                <w:rFonts w:hint="eastAsia" w:ascii="仿宋_GB2312" w:hAnsi="仿宋" w:eastAsia="仿宋_GB2312"/>
                <w:color w:val="auto"/>
                <w:sz w:val="24"/>
                <w:highlight w:val="none"/>
              </w:rPr>
              <w:t>商务技术</w:t>
            </w:r>
            <w:r>
              <w:rPr>
                <w:rFonts w:ascii="仿宋_GB2312" w:hAnsi="仿宋" w:eastAsia="仿宋_GB2312"/>
                <w:color w:val="auto"/>
                <w:sz w:val="24"/>
                <w:highlight w:val="none"/>
              </w:rPr>
              <w:t>文件：根据招标文件第二部分11.</w:t>
            </w:r>
            <w:r>
              <w:rPr>
                <w:rFonts w:hint="eastAsia" w:ascii="仿宋_GB2312" w:hAnsi="仿宋" w:eastAsia="仿宋_GB2312"/>
                <w:color w:val="auto"/>
                <w:sz w:val="24"/>
                <w:highlight w:val="none"/>
              </w:rPr>
              <w:t>2结合</w:t>
            </w:r>
            <w:r>
              <w:rPr>
                <w:rFonts w:ascii="仿宋_GB2312" w:hAnsi="仿宋" w:eastAsia="仿宋_GB2312"/>
                <w:color w:val="auto"/>
                <w:sz w:val="24"/>
                <w:highlight w:val="none"/>
              </w:rPr>
              <w:t>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5" w:hRule="atLeast"/>
          <w:tblHeader/>
        </w:trPr>
        <w:tc>
          <w:tcPr>
            <w:tcW w:w="748" w:type="dxa"/>
            <w:vMerge w:val="continue"/>
            <w:tcBorders>
              <w:left w:val="single" w:color="auto" w:sz="4" w:space="0"/>
              <w:bottom w:val="single" w:color="auto" w:sz="4" w:space="0"/>
              <w:right w:val="single" w:color="auto" w:sz="4" w:space="0"/>
            </w:tcBorders>
            <w:vAlign w:val="top"/>
          </w:tcPr>
          <w:p>
            <w:pPr>
              <w:spacing w:line="360" w:lineRule="auto"/>
              <w:rPr>
                <w:color w:val="auto"/>
                <w:highlight w:val="none"/>
              </w:rPr>
            </w:pPr>
          </w:p>
        </w:tc>
        <w:tc>
          <w:tcPr>
            <w:tcW w:w="1307" w:type="dxa"/>
            <w:vMerge w:val="continue"/>
            <w:tcBorders>
              <w:left w:val="single" w:color="auto" w:sz="4" w:space="0"/>
              <w:bottom w:val="single" w:color="000000" w:sz="8" w:space="0"/>
              <w:right w:val="single" w:color="000000" w:sz="8" w:space="0"/>
            </w:tcBorders>
            <w:vAlign w:val="center"/>
          </w:tcPr>
          <w:p>
            <w:pPr>
              <w:spacing w:line="360" w:lineRule="auto"/>
              <w:rPr>
                <w:color w:val="auto"/>
                <w:highlight w:val="none"/>
              </w:rPr>
            </w:pPr>
          </w:p>
        </w:tc>
        <w:tc>
          <w:tcPr>
            <w:tcW w:w="628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w:t>
            </w:r>
            <w:r>
              <w:rPr>
                <w:rFonts w:hint="eastAsia" w:ascii="仿宋_GB2312" w:hAnsi="仿宋" w:eastAsia="仿宋_GB2312"/>
                <w:color w:val="auto"/>
                <w:sz w:val="24"/>
                <w:highlight w:val="none"/>
              </w:rPr>
              <w:t>报价</w:t>
            </w:r>
            <w:r>
              <w:rPr>
                <w:rFonts w:ascii="仿宋_GB2312" w:hAnsi="仿宋" w:eastAsia="仿宋_GB2312"/>
                <w:color w:val="auto"/>
                <w:sz w:val="24"/>
                <w:highlight w:val="none"/>
              </w:rPr>
              <w:t>文件：见招标文件第二部分11.</w:t>
            </w:r>
            <w:r>
              <w:rPr>
                <w:rFonts w:hint="eastAsia" w:ascii="仿宋_GB2312" w:hAnsi="仿宋" w:eastAsia="仿宋_GB2312"/>
                <w:color w:val="auto"/>
                <w:sz w:val="24"/>
                <w:highlight w:val="none"/>
              </w:rPr>
              <w:t>3</w:t>
            </w:r>
            <w:r>
              <w:rPr>
                <w:rFonts w:ascii="仿宋_GB2312" w:hAnsi="仿宋" w:eastAsia="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748"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w:t>
            </w:r>
          </w:p>
        </w:tc>
        <w:tc>
          <w:tcPr>
            <w:tcW w:w="130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28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sz w:val="24"/>
                <w:szCs w:val="20"/>
                <w:highlight w:val="none"/>
              </w:rPr>
            </w:pPr>
            <w:r>
              <w:rPr>
                <w:rFonts w:ascii="MS Gothic" w:hAnsi="MS Gothic" w:eastAsia="MS Gothic" w:cs="Arial"/>
                <w:color w:val="auto"/>
                <w:kern w:val="0"/>
                <w:sz w:val="24"/>
                <w:highlight w:val="none"/>
              </w:rPr>
              <w:t>☐</w:t>
            </w:r>
            <w:r>
              <w:rPr>
                <w:rFonts w:ascii="仿宋_GB2312" w:hAnsi="仿宋" w:eastAsia="仿宋_GB2312"/>
                <w:color w:val="auto"/>
                <w:kern w:val="0"/>
                <w:sz w:val="24"/>
                <w:highlight w:val="none"/>
              </w:rPr>
              <w:t>B组织，</w:t>
            </w:r>
            <w:r>
              <w:rPr>
                <w:rFonts w:hint="eastAsia" w:ascii="仿宋_GB2312" w:hAnsi="仿宋" w:eastAsia="仿宋_GB2312"/>
                <w:color w:val="auto"/>
                <w:sz w:val="24"/>
                <w:highlight w:val="none"/>
              </w:rPr>
              <w:t>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,地点：</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，联系方式：</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w:t>
            </w:r>
          </w:p>
        </w:tc>
        <w:tc>
          <w:tcPr>
            <w:tcW w:w="130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28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Wingdings" w:hAnsi="Wingdings" w:eastAsia="MS Gothic" w:cs="Arial"/>
                <w:color w:val="auto"/>
                <w:kern w:val="0"/>
                <w:sz w:val="24"/>
                <w:highlight w:val="none"/>
              </w:rPr>
              <w:t></w:t>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不要求提供。</w:t>
            </w:r>
          </w:p>
          <w:p>
            <w:pPr>
              <w:spacing w:line="360" w:lineRule="auto"/>
              <w:rPr>
                <w:rFonts w:ascii="仿宋_GB2312" w:hAnsi="仿宋" w:eastAsia="仿宋_GB2312"/>
                <w:color w:val="auto"/>
                <w:kern w:val="0"/>
                <w:sz w:val="24"/>
                <w:highlight w:val="none"/>
              </w:rPr>
            </w:pPr>
            <w:r>
              <w:rPr>
                <w:rFonts w:ascii="MS Gothic" w:hAnsi="MS Gothic" w:eastAsia="MS Gothic" w:cs="Arial"/>
                <w:color w:val="auto"/>
                <w:kern w:val="0"/>
                <w:sz w:val="24"/>
                <w:highlight w:val="none"/>
              </w:rPr>
              <w:t>☐</w:t>
            </w:r>
            <w:r>
              <w:rPr>
                <w:rFonts w:ascii="仿宋_GB2312" w:hAnsi="仿宋" w:eastAsia="仿宋_GB2312"/>
                <w:color w:val="auto"/>
                <w:kern w:val="0"/>
                <w:sz w:val="24"/>
                <w:highlight w:val="none"/>
              </w:rPr>
              <w:t>B</w:t>
            </w:r>
            <w:r>
              <w:rPr>
                <w:rFonts w:hint="eastAsia" w:ascii="仿宋_GB2312" w:hAnsi="仿宋" w:eastAsia="仿宋_GB2312"/>
                <w:color w:val="auto"/>
                <w:kern w:val="0"/>
                <w:sz w:val="24"/>
                <w:highlight w:val="none"/>
              </w:rPr>
              <w:t>要求提供，</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w:t>
            </w:r>
            <w:r>
              <w:rPr>
                <w:rFonts w:hint="eastAsia" w:ascii="仿宋" w:hAnsi="仿宋" w:eastAsia="仿宋"/>
                <w:snapToGrid w:val="0"/>
                <w:color w:val="auto"/>
                <w:kern w:val="28"/>
                <w:sz w:val="24"/>
                <w:highlight w:val="none"/>
              </w:rPr>
              <w:t>样品：</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_GB2312" w:hAnsi="仿宋" w:eastAsia="仿宋_GB2312"/>
                <w:color w:val="auto"/>
                <w:sz w:val="24"/>
                <w:highlight w:val="none"/>
                <w:u w:val="single"/>
              </w:rPr>
              <w:t>评标办法</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4）是否需要随样品提交检测报告</w:t>
            </w:r>
            <w:r>
              <w:rPr>
                <w:rFonts w:hint="eastAsia" w:ascii="仿宋_GB2312" w:hAnsi="仿宋" w:eastAsia="仿宋_GB2312"/>
                <w:color w:val="auto"/>
                <w:kern w:val="0"/>
                <w:sz w:val="24"/>
                <w:highlight w:val="none"/>
              </w:rPr>
              <w:t>：</w:t>
            </w:r>
            <w:r>
              <w:rPr>
                <w:rFonts w:ascii="MS Gothic" w:hAnsi="MS Gothic" w:eastAsia="仿宋_GB2312" w:cs="Arial"/>
                <w:color w:val="auto"/>
                <w:kern w:val="0"/>
                <w:sz w:val="24"/>
                <w:highlight w:val="none"/>
              </w:rPr>
              <w:sym w:font="Wingdings" w:char="F0FE"/>
            </w:r>
            <w:r>
              <w:rPr>
                <w:rFonts w:ascii="仿宋_GB2312" w:hAnsi="仿宋" w:eastAsia="仿宋_GB2312"/>
                <w:color w:val="auto"/>
                <w:kern w:val="0"/>
                <w:sz w:val="24"/>
                <w:highlight w:val="none"/>
              </w:rPr>
              <w:t>否；</w:t>
            </w: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是，检测机构的要求</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；检测内容</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5）提供样品的时间：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；地点：</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；联系人</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r>
              <w:rPr>
                <w:rFonts w:hint="eastAsia" w:ascii="仿宋_GB2312" w:hAnsi="仿宋" w:eastAsia="仿宋_GB2312"/>
                <w:color w:val="auto"/>
                <w:kern w:val="28"/>
                <w:sz w:val="24"/>
                <w:highlight w:val="none"/>
              </w:rPr>
              <w:t>联系电话：</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(6)采购活动结束后，对于未中标人提供的样品，</w:t>
            </w:r>
            <w:r>
              <w:rPr>
                <w:rFonts w:hint="eastAsia" w:ascii="仿宋_GB2312" w:hAnsi="仿宋" w:eastAsia="仿宋_GB2312"/>
                <w:color w:val="auto"/>
                <w:sz w:val="24"/>
                <w:highlight w:val="none"/>
              </w:rPr>
              <w:t>采购人、采购机构将通知</w:t>
            </w:r>
            <w:r>
              <w:rPr>
                <w:rFonts w:ascii="仿宋_GB2312" w:hAnsi="仿宋" w:eastAsia="仿宋_GB2312"/>
                <w:color w:val="auto"/>
                <w:sz w:val="24"/>
                <w:highlight w:val="none"/>
              </w:rPr>
              <w:t>未中标人</w:t>
            </w:r>
            <w:r>
              <w:rPr>
                <w:rFonts w:hint="eastAsia" w:ascii="仿宋_GB2312" w:hAnsi="仿宋" w:eastAsia="仿宋_GB2312"/>
                <w:color w:val="auto"/>
                <w:sz w:val="24"/>
                <w:highlight w:val="none"/>
              </w:rPr>
              <w:t>在规定的时间内取回，逾期未取回的，采购人、采购机构不负保管义务</w:t>
            </w:r>
            <w:r>
              <w:rPr>
                <w:rFonts w:ascii="仿宋_GB2312" w:hAnsi="仿宋" w:eastAsia="仿宋_GB2312"/>
                <w:color w:val="auto"/>
                <w:sz w:val="24"/>
                <w:highlight w:val="none"/>
              </w:rPr>
              <w:t>；对于中标人提供的样品，</w:t>
            </w:r>
            <w:r>
              <w:rPr>
                <w:rFonts w:hint="eastAsia" w:ascii="仿宋_GB2312" w:hAnsi="仿宋" w:eastAsia="仿宋_GB2312"/>
                <w:color w:val="auto"/>
                <w:sz w:val="24"/>
                <w:highlight w:val="none"/>
              </w:rPr>
              <w:t>采购人将进</w:t>
            </w:r>
            <w:r>
              <w:rPr>
                <w:rFonts w:ascii="仿宋_GB2312" w:hAnsi="仿宋" w:eastAsia="仿宋_GB2312"/>
                <w:color w:val="auto"/>
                <w:sz w:val="24"/>
                <w:highlight w:val="none"/>
              </w:rPr>
              <w:t>行保管、封存，并作为履约验收的参考。</w:t>
            </w:r>
          </w:p>
          <w:p>
            <w:pP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74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w:t>
            </w:r>
          </w:p>
        </w:tc>
        <w:tc>
          <w:tcPr>
            <w:tcW w:w="130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28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sym w:font="Wingdings" w:char="00A8"/>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s="仿宋_GB2312"/>
                <w:b/>
                <w:color w:val="auto"/>
                <w:kern w:val="0"/>
                <w:sz w:val="24"/>
                <w:highlight w:val="none"/>
                <w:lang w:val="zh-CN"/>
              </w:rPr>
            </w:pPr>
            <w:r>
              <w:rPr>
                <w:rFonts w:ascii="Wingdings" w:hAnsi="Wingdings" w:eastAsia="仿宋" w:cs="仿宋"/>
                <w:color w:val="auto"/>
                <w:kern w:val="0"/>
                <w:sz w:val="24"/>
                <w:highlight w:val="none"/>
              </w:rPr>
              <w:sym w:font="Wingdings" w:char="00A8"/>
            </w:r>
            <w:r>
              <w:rPr>
                <w:rFonts w:hint="eastAsia" w:ascii="仿宋" w:hAnsi="仿宋" w:eastAsia="仿宋" w:cs="仿宋"/>
                <w:color w:val="auto"/>
                <w:kern w:val="0"/>
                <w:sz w:val="24"/>
                <w:highlight w:val="none"/>
              </w:rPr>
              <w:t xml:space="preserve"> </w:t>
            </w:r>
            <w:r>
              <w:rPr>
                <w:rFonts w:ascii="仿宋_GB2312" w:hAnsi="仿宋" w:eastAsia="仿宋_GB2312"/>
                <w:color w:val="auto"/>
                <w:kern w:val="0"/>
                <w:sz w:val="24"/>
                <w:highlight w:val="none"/>
              </w:rPr>
              <w:t>B组织</w:t>
            </w:r>
            <w:r>
              <w:rPr>
                <w:rFonts w:hint="eastAsia" w:ascii="仿宋_GB2312" w:hAnsi="宋体" w:eastAsia="仿宋_GB2312" w:cs="宋体"/>
                <w:color w:val="auto"/>
                <w:sz w:val="24"/>
                <w:highlight w:val="none"/>
                <w:lang w:val="en-US" w:eastAsia="zh-CN"/>
              </w:rPr>
              <w:t>（以U盘录制视频或现场演示，于投标截止时间前提供或到现场，U盘可邮寄）</w:t>
            </w:r>
            <w:r>
              <w:rPr>
                <w:rFonts w:ascii="仿宋_GB2312" w:hAnsi="仿宋" w:eastAsia="仿宋_GB2312"/>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4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7</w:t>
            </w:r>
          </w:p>
        </w:tc>
        <w:tc>
          <w:tcPr>
            <w:tcW w:w="130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是否允许采购进口产品</w:t>
            </w:r>
          </w:p>
        </w:tc>
        <w:tc>
          <w:tcPr>
            <w:tcW w:w="628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sym w:font="Wingdings" w:char="F0FE"/>
            </w:r>
            <w:r>
              <w:rPr>
                <w:rFonts w:hint="eastAsia" w:ascii="仿宋_GB2312" w:hAnsi="仿宋" w:eastAsia="仿宋_GB2312" w:cs="Arial"/>
                <w:color w:val="auto"/>
                <w:kern w:val="0"/>
                <w:sz w:val="24"/>
                <w:highlight w:val="none"/>
              </w:rPr>
              <w:t>本项目不允许采购进口产品。</w:t>
            </w:r>
          </w:p>
          <w:p>
            <w:pPr>
              <w:spacing w:line="360" w:lineRule="auto"/>
              <w:rPr>
                <w:color w:val="auto"/>
                <w:highlight w:val="none"/>
              </w:rPr>
            </w:pPr>
            <w:r>
              <w:rPr>
                <w:rFonts w:ascii="MS Gothic" w:hAnsi="MS Gothic" w:eastAsia="MS Gothic" w:cs="Arial"/>
                <w:color w:val="auto"/>
                <w:kern w:val="0"/>
                <w:sz w:val="24"/>
                <w:highlight w:val="none"/>
              </w:rPr>
              <w:t>☐</w:t>
            </w:r>
            <w:r>
              <w:rPr>
                <w:rFonts w:hint="eastAsia" w:ascii="仿宋_GB2312" w:hAnsi="仿宋" w:eastAsia="仿宋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48"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8</w:t>
            </w:r>
          </w:p>
        </w:tc>
        <w:tc>
          <w:tcPr>
            <w:tcW w:w="130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项目属性与核心产品</w:t>
            </w:r>
          </w:p>
        </w:tc>
        <w:tc>
          <w:tcPr>
            <w:tcW w:w="628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Wingdings" w:hAnsi="Wingdings" w:eastAsia="仿宋" w:cs="仿宋"/>
                <w:color w:val="auto"/>
                <w:kern w:val="0"/>
                <w:sz w:val="24"/>
                <w:highlight w:val="none"/>
              </w:rPr>
              <w:sym w:font="Wingdings" w:char="00A8"/>
            </w:r>
            <w:r>
              <w:rPr>
                <w:rFonts w:hint="eastAsia" w:ascii="仿宋" w:hAnsi="仿宋" w:eastAsia="仿宋" w:cs="仿宋"/>
                <w:color w:val="auto"/>
                <w:kern w:val="0"/>
                <w:sz w:val="24"/>
                <w:highlight w:val="none"/>
              </w:rPr>
              <w:t xml:space="preserve"> </w:t>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货物类，单一产品或</w:t>
            </w:r>
            <w:r>
              <w:rPr>
                <w:rFonts w:hint="eastAsia" w:ascii="仿宋_GB2312" w:hAnsi="仿宋" w:eastAsia="仿宋_GB2312"/>
                <w:color w:val="auto"/>
                <w:kern w:val="0"/>
                <w:sz w:val="24"/>
                <w:highlight w:val="none"/>
              </w:rPr>
              <w:t>核心产品为：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sym w:font="Wingdings" w:char="00FE"/>
            </w:r>
            <w:r>
              <w:rPr>
                <w:rFonts w:ascii="仿宋_GB2312" w:hAnsi="仿宋" w:eastAsia="仿宋_GB2312" w:cs="Arial"/>
                <w:color w:val="auto"/>
                <w:kern w:val="0"/>
                <w:sz w:val="24"/>
                <w:highlight w:val="none"/>
              </w:rPr>
              <w:t>B</w:t>
            </w: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48"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9</w:t>
            </w:r>
          </w:p>
        </w:tc>
        <w:tc>
          <w:tcPr>
            <w:tcW w:w="130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采购标的对应的中小企业划分标准所属行业</w:t>
            </w:r>
          </w:p>
        </w:tc>
        <w:tc>
          <w:tcPr>
            <w:tcW w:w="628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根据《工业和信息化部、国家统计局、国家发展和改革委员会、财政部关于印发中小企业划型标准规定的通知》（工信部联企业[2011]300号）规定（有最新中小企业划型标准的以更新后的为准）：</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（1）标的：</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eastAsia="zh-CN"/>
              </w:rPr>
              <w:t>嵊州市城区生活垃圾分类“定时定点”小区统一运维服务项目</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，属于</w:t>
            </w:r>
            <w:r>
              <w:rPr>
                <w:rFonts w:hint="eastAsia" w:ascii="仿宋_GB2312" w:hAnsi="仿宋" w:eastAsia="仿宋_GB2312"/>
                <w:color w:val="auto"/>
                <w:sz w:val="24"/>
                <w:highlight w:val="none"/>
                <w:u w:val="single"/>
              </w:rPr>
              <w:t xml:space="preserve"> 其他未列明行业</w:t>
            </w:r>
            <w:r>
              <w:rPr>
                <w:rFonts w:hint="eastAsia" w:ascii="仿宋_GB2312" w:hAnsi="仿宋" w:eastAsia="仿宋_GB2312"/>
                <w:color w:val="auto"/>
                <w:sz w:val="24"/>
                <w:highlight w:val="none"/>
              </w:rPr>
              <w:t>；</w:t>
            </w:r>
          </w:p>
          <w:p>
            <w:pPr>
              <w:rPr>
                <w:color w:val="auto"/>
                <w:highlight w:val="none"/>
              </w:rPr>
            </w:pPr>
            <w:r>
              <w:rPr>
                <w:rFonts w:hint="eastAsia" w:ascii="仿宋_GB2312" w:hAnsi="仿宋" w:eastAsia="仿宋_GB2312"/>
                <w:color w:val="auto"/>
                <w:sz w:val="24"/>
                <w:highlight w:val="none"/>
              </w:rPr>
              <w:t>说明：声明函中所列行业与采购文件所明确的行业不一致但不改变划型结果情形的，不影响声明有效性，也不作为虚假资料情形认定。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4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10</w:t>
            </w:r>
          </w:p>
        </w:tc>
        <w:tc>
          <w:tcPr>
            <w:tcW w:w="130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节能产品、环境标志产品</w:t>
            </w:r>
          </w:p>
        </w:tc>
        <w:tc>
          <w:tcPr>
            <w:tcW w:w="62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highlight w:val="none"/>
              </w:rPr>
            </w:pPr>
            <w:r>
              <w:rPr>
                <w:rFonts w:hint="eastAsia" w:ascii="仿宋_GB2312" w:hAnsi="仿宋" w:eastAsia="仿宋_GB2312"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18" w:hRule="atLeast"/>
          <w:tblHeader/>
        </w:trPr>
        <w:tc>
          <w:tcPr>
            <w:tcW w:w="74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w:t>
            </w:r>
          </w:p>
        </w:tc>
        <w:tc>
          <w:tcPr>
            <w:tcW w:w="1307"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bCs/>
                <w:color w:val="auto"/>
                <w:sz w:val="24"/>
                <w:highlight w:val="none"/>
              </w:rPr>
              <w:t>代理服务费</w:t>
            </w:r>
          </w:p>
        </w:tc>
        <w:tc>
          <w:tcPr>
            <w:tcW w:w="628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olor w:val="auto"/>
                <w:sz w:val="24"/>
                <w:highlight w:val="none"/>
                <w:lang w:val="zh-CN"/>
              </w:rPr>
            </w:pPr>
            <w:r>
              <w:rPr>
                <w:rFonts w:hint="eastAsia" w:ascii="仿宋_GB2312" w:hAnsi="仿宋" w:eastAsia="仿宋_GB2312"/>
                <w:color w:val="auto"/>
                <w:sz w:val="24"/>
                <w:highlight w:val="none"/>
                <w:lang w:val="en-US" w:eastAsia="zh-CN"/>
              </w:rPr>
              <w:t>1.</w:t>
            </w:r>
            <w:r>
              <w:rPr>
                <w:rFonts w:hint="eastAsia" w:ascii="仿宋_GB2312" w:hAnsi="仿宋" w:eastAsia="仿宋_GB2312"/>
                <w:color w:val="auto"/>
                <w:sz w:val="24"/>
                <w:highlight w:val="none"/>
                <w:lang w:val="zh-CN"/>
              </w:rPr>
              <w:t>本项目代理服务费：参照国家计委：计价格[2002]1980号文件规定收费标准由中标人在领取中标通知书时支付；</w:t>
            </w:r>
          </w:p>
          <w:p>
            <w:pPr>
              <w:spacing w:line="360" w:lineRule="auto"/>
              <w:rPr>
                <w:rFonts w:hint="eastAsia" w:ascii="仿宋_GB2312" w:hAnsi="仿宋" w:eastAsia="仿宋_GB2312"/>
                <w:color w:val="auto"/>
                <w:sz w:val="24"/>
                <w:highlight w:val="none"/>
                <w:lang w:val="zh-CN"/>
              </w:rPr>
            </w:pPr>
            <w:r>
              <w:rPr>
                <w:rFonts w:hint="eastAsia" w:ascii="仿宋_GB2312" w:hAnsi="仿宋" w:eastAsia="仿宋_GB2312"/>
                <w:color w:val="auto"/>
                <w:sz w:val="24"/>
                <w:highlight w:val="none"/>
                <w:lang w:val="zh-CN"/>
              </w:rPr>
              <w:t>2.代理服务费以（转账形式支付）转账账户 ：</w:t>
            </w:r>
          </w:p>
          <w:p>
            <w:pPr>
              <w:spacing w:line="360" w:lineRule="auto"/>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公司名称：浙江越锋项目管理有限公司嵊州分公司</w:t>
            </w:r>
          </w:p>
          <w:p>
            <w:pPr>
              <w:spacing w:line="360" w:lineRule="auto"/>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开户银行：</w:t>
            </w:r>
            <w:r>
              <w:rPr>
                <w:rFonts w:hint="eastAsia" w:ascii="仿宋_GB2312" w:hAnsi="仿宋" w:eastAsia="仿宋_GB2312"/>
                <w:color w:val="auto"/>
                <w:sz w:val="24"/>
                <w:highlight w:val="none"/>
                <w:lang w:val="zh-CN"/>
              </w:rPr>
              <w:t>浙江嵊州农村商业银行股份有限公司三江支行</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帐    号：</w:t>
            </w:r>
            <w:r>
              <w:rPr>
                <w:rFonts w:hint="eastAsia" w:ascii="仿宋_GB2312" w:hAnsi="仿宋" w:eastAsia="仿宋_GB2312"/>
                <w:color w:val="auto"/>
                <w:sz w:val="24"/>
                <w:highlight w:val="none"/>
                <w:lang w:val="zh-CN"/>
              </w:rPr>
              <w:t xml:space="preserve">201000142242919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74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12</w:t>
            </w:r>
          </w:p>
        </w:tc>
        <w:tc>
          <w:tcPr>
            <w:tcW w:w="130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备份投标文件送达地点和签收人员</w:t>
            </w:r>
            <w:r>
              <w:rPr>
                <w:rFonts w:ascii="仿宋_GB2312" w:hAnsi="仿宋" w:eastAsia="仿宋_GB2312" w:cs="仿宋_GB2312"/>
                <w:b/>
                <w:color w:val="auto"/>
                <w:sz w:val="24"/>
                <w:highlight w:val="none"/>
              </w:rPr>
              <w:t xml:space="preserve"> </w:t>
            </w:r>
          </w:p>
        </w:tc>
        <w:tc>
          <w:tcPr>
            <w:tcW w:w="6285" w:type="dxa"/>
            <w:tcBorders>
              <w:top w:val="single" w:color="000000" w:sz="8" w:space="0"/>
              <w:left w:val="single" w:color="000000" w:sz="2" w:space="0"/>
              <w:bottom w:val="single" w:color="000000" w:sz="8" w:space="0"/>
              <w:right w:val="single" w:color="000000" w:sz="8" w:space="0"/>
            </w:tcBorders>
            <w:vAlign w:val="center"/>
          </w:tcPr>
          <w:p>
            <w:pPr>
              <w:pStyle w:val="11"/>
              <w:spacing w:line="360" w:lineRule="auto"/>
              <w:rPr>
                <w:rFonts w:ascii="仿宋_GB2312" w:hAnsi="仿宋" w:eastAsia="仿宋_GB2312"/>
                <w:color w:val="auto"/>
                <w:kern w:val="0"/>
                <w:sz w:val="24"/>
                <w:szCs w:val="24"/>
                <w:highlight w:val="none"/>
              </w:rPr>
            </w:pPr>
            <w:r>
              <w:rPr>
                <w:rFonts w:hint="eastAsia" w:ascii="仿宋_GB2312" w:hAnsi="仿宋" w:eastAsia="仿宋_GB2312"/>
                <w:color w:val="auto"/>
                <w:kern w:val="0"/>
                <w:sz w:val="24"/>
                <w:szCs w:val="24"/>
                <w:highlight w:val="none"/>
              </w:rPr>
              <w:t>（1）备份投标文件送达地点：</w:t>
            </w:r>
            <w:r>
              <w:rPr>
                <w:rFonts w:hint="eastAsia" w:ascii="仿宋_GB2312" w:hAnsi="仿宋" w:eastAsia="仿宋_GB2312"/>
                <w:color w:val="auto"/>
                <w:kern w:val="0"/>
                <w:sz w:val="24"/>
                <w:szCs w:val="24"/>
                <w:highlight w:val="none"/>
                <w:u w:val="single"/>
              </w:rPr>
              <w:t xml:space="preserve"> 嵊州市江滨西路329号4楼</w:t>
            </w:r>
            <w:r>
              <w:rPr>
                <w:rFonts w:hint="eastAsia" w:ascii="仿宋_GB2312" w:hAnsi="仿宋" w:eastAsia="仿宋_GB2312"/>
                <w:color w:val="auto"/>
                <w:kern w:val="0"/>
                <w:sz w:val="24"/>
                <w:szCs w:val="24"/>
                <w:highlight w:val="none"/>
              </w:rPr>
              <w:t xml:space="preserve"> ；备份投标文件签收人员联系电话：</w:t>
            </w:r>
            <w:r>
              <w:rPr>
                <w:rFonts w:hint="eastAsia" w:ascii="仿宋_GB2312" w:hAnsi="仿宋" w:eastAsia="仿宋_GB2312"/>
                <w:color w:val="auto"/>
                <w:kern w:val="0"/>
                <w:sz w:val="24"/>
                <w:szCs w:val="24"/>
                <w:highlight w:val="none"/>
                <w:u w:val="single"/>
              </w:rPr>
              <w:t xml:space="preserve"> 15906858626 </w:t>
            </w:r>
            <w:r>
              <w:rPr>
                <w:rFonts w:hint="eastAsia" w:ascii="仿宋_GB2312" w:hAnsi="仿宋" w:eastAsia="仿宋_GB2312"/>
                <w:color w:val="auto"/>
                <w:kern w:val="0"/>
                <w:sz w:val="24"/>
                <w:szCs w:val="24"/>
                <w:highlight w:val="none"/>
              </w:rPr>
              <w:t>。采购人、采购机构不强制或变相强制投标人提交备份投标文件。</w:t>
            </w:r>
          </w:p>
          <w:p>
            <w:pPr>
              <w:rPr>
                <w:color w:val="auto"/>
                <w:highlight w:val="none"/>
              </w:rPr>
            </w:pPr>
            <w:r>
              <w:rPr>
                <w:rFonts w:hint="eastAsia" w:ascii="仿宋_GB2312" w:hAnsi="仿宋" w:eastAsia="仿宋_GB2312" w:cs="Arial"/>
                <w:color w:val="auto"/>
                <w:kern w:val="0"/>
                <w:sz w:val="24"/>
                <w:highlight w:val="none"/>
              </w:rPr>
              <w:t>（2）如中标，中标供应商需提供纸质投标响应文件3份，采用胶装。内容需与同步上传的电子投标响应文件完全一致，并标明页码。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4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13</w:t>
            </w:r>
          </w:p>
        </w:tc>
        <w:tc>
          <w:tcPr>
            <w:tcW w:w="130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特别说明</w:t>
            </w:r>
          </w:p>
        </w:tc>
        <w:tc>
          <w:tcPr>
            <w:tcW w:w="628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highlight w:val="none"/>
              </w:rPr>
            </w:pPr>
            <w:r>
              <w:rPr>
                <w:rFonts w:hint="eastAsia" w:ascii="仿宋_GB2312" w:hAnsi="仿宋" w:eastAsia="仿宋_GB2312" w:cs="宋体"/>
                <w:b/>
                <w:color w:val="auto"/>
                <w:kern w:val="0"/>
                <w:sz w:val="24"/>
                <w:highlight w:val="none"/>
              </w:rPr>
              <w:t>本招标文件的解释权属于</w:t>
            </w:r>
            <w:r>
              <w:rPr>
                <w:rFonts w:hint="eastAsia" w:ascii="仿宋_GB2312" w:hAnsi="仿宋" w:eastAsia="仿宋_GB2312" w:cs="宋体"/>
                <w:b/>
                <w:color w:val="auto"/>
                <w:kern w:val="0"/>
                <w:sz w:val="24"/>
                <w:highlight w:val="none"/>
                <w:lang w:val="en-US" w:eastAsia="zh-CN"/>
              </w:rPr>
              <w:t>本项目采购人与采购机构</w:t>
            </w:r>
            <w:r>
              <w:rPr>
                <w:rFonts w:hint="eastAsia" w:ascii="仿宋_GB2312" w:hAnsi="仿宋" w:eastAsia="仿宋_GB2312" w:cs="宋体"/>
                <w:b/>
                <w:color w:val="auto"/>
                <w:kern w:val="0"/>
                <w:sz w:val="24"/>
                <w:highlight w:val="none"/>
              </w:rPr>
              <w:t>。</w:t>
            </w:r>
          </w:p>
        </w:tc>
      </w:tr>
    </w:tbl>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w:t>
      </w:r>
      <w:r>
        <w:rPr>
          <w:rFonts w:hint="eastAsia" w:ascii="仿宋" w:hAnsi="仿宋" w:eastAsia="仿宋" w:cs="仿宋"/>
          <w:color w:val="auto"/>
          <w:sz w:val="24"/>
          <w:highlight w:val="none"/>
        </w:rPr>
        <w:t>✮</w:t>
      </w:r>
      <w:r>
        <w:rPr>
          <w:rFonts w:hint="eastAsia" w:ascii="仿宋_GB2312" w:hAnsi="仿宋" w:eastAsia="仿宋_GB2312"/>
          <w:color w:val="auto"/>
          <w:sz w:val="24"/>
          <w:highlight w:val="none"/>
        </w:rPr>
        <w:t>”系产品采购项目中单一产品或核心产品，“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11"/>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11"/>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2"/>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11"/>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11"/>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11"/>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11"/>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11"/>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11"/>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11"/>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11"/>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11"/>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11"/>
        <w:spacing w:line="360" w:lineRule="auto"/>
        <w:ind w:firstLine="480" w:firstLineChars="200"/>
        <w:rPr>
          <w:rFonts w:ascii="仿宋_GB2312" w:hAnsi="仿宋" w:eastAsia="仿宋_GB2312" w:cs="宋体"/>
          <w:color w:val="auto"/>
          <w:kern w:val="0"/>
          <w:sz w:val="24"/>
          <w:szCs w:val="24"/>
          <w:highlight w:val="none"/>
        </w:rPr>
      </w:pPr>
      <w:r>
        <w:rPr>
          <w:rFonts w:hint="eastAsia" w:ascii="仿宋_GB2312" w:hAnsi="仿宋" w:eastAsia="仿宋_GB2312" w:cs="宋体"/>
          <w:color w:val="auto"/>
          <w:kern w:val="0"/>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2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质疑函范本及制作说明详见附件2。</w:t>
      </w:r>
    </w:p>
    <w:p>
      <w:pPr>
        <w:pStyle w:val="2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w:t>
      </w:r>
    </w:p>
    <w:p>
      <w:pPr>
        <w:pStyle w:val="2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28"/>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2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2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2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2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28"/>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28"/>
        <w:shd w:val="clear" w:color="auto" w:fill="FFFFFF"/>
        <w:snapToGrid w:val="0"/>
        <w:spacing w:after="240" w:afterAutospacing="0" w:line="360" w:lineRule="auto"/>
        <w:ind w:firstLine="400"/>
        <w:contextualSpacing/>
        <w:rPr>
          <w:rFonts w:ascii="仿宋_GB2312" w:hAnsi="仿宋" w:eastAsia="仿宋_GB2312"/>
          <w:color w:val="auto"/>
          <w:highlight w:val="none"/>
        </w:rPr>
      </w:pPr>
    </w:p>
    <w:p>
      <w:pPr>
        <w:pStyle w:val="28"/>
        <w:shd w:val="clear" w:color="auto" w:fill="FFFFFF"/>
        <w:snapToGrid w:val="0"/>
        <w:spacing w:after="240" w:afterAutospacing="0" w:line="360" w:lineRule="auto"/>
        <w:contextualSpacing/>
        <w:jc w:val="center"/>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二、招标文件的构成、澄清、修改</w:t>
      </w:r>
    </w:p>
    <w:p>
      <w:pPr>
        <w:pStyle w:val="11"/>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11"/>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11"/>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11"/>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11"/>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11"/>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11"/>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11"/>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11"/>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2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27"/>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8"/>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11"/>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11"/>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11"/>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11"/>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2"/>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根据浙财采监〔2019〕5号文件要求，本项目无需缴纳投标保证金。</w:t>
      </w:r>
    </w:p>
    <w:p>
      <w:pPr>
        <w:pStyle w:val="11"/>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11"/>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资格证明文件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w:t>
      </w:r>
      <w:r>
        <w:rPr>
          <w:rFonts w:hint="eastAsia" w:ascii="仿宋_GB2312" w:hAnsi="仿宋" w:eastAsia="仿宋_GB2312" w:cs="仿宋_GB2312"/>
          <w:color w:val="auto"/>
          <w:sz w:val="24"/>
          <w:highlight w:val="none"/>
        </w:rPr>
        <w:t>营业执照扫描件；</w:t>
      </w:r>
    </w:p>
    <w:p>
      <w:pPr>
        <w:snapToGrid w:val="0"/>
        <w:spacing w:line="360" w:lineRule="auto"/>
        <w:ind w:firstLine="960" w:firstLineChars="4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11.1.2</w:t>
      </w:r>
      <w:r>
        <w:rPr>
          <w:rFonts w:ascii="仿宋_GB2312" w:hAnsi="仿宋" w:eastAsia="仿宋_GB2312" w:cs="仿宋_GB2312"/>
          <w:color w:val="auto"/>
          <w:sz w:val="24"/>
          <w:highlight w:val="none"/>
        </w:rPr>
        <w:t>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color w:val="auto"/>
          <w:sz w:val="24"/>
          <w:highlight w:val="none"/>
        </w:rPr>
        <w:t>3</w:t>
      </w:r>
      <w:r>
        <w:rPr>
          <w:rFonts w:ascii="仿宋_GB2312" w:hAnsi="仿宋" w:eastAsia="仿宋_GB2312" w:cs="仿宋_GB2312"/>
          <w:color w:val="auto"/>
          <w:sz w:val="24"/>
          <w:highlight w:val="none"/>
        </w:rPr>
        <w:t>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color w:val="auto"/>
          <w:sz w:val="24"/>
          <w:highlight w:val="none"/>
        </w:rPr>
        <w:t>4</w:t>
      </w:r>
      <w:r>
        <w:rPr>
          <w:rFonts w:ascii="仿宋_GB2312" w:hAnsi="仿宋" w:eastAsia="仿宋_GB2312" w:cs="仿宋_GB2312"/>
          <w:color w:val="auto"/>
          <w:sz w:val="24"/>
          <w:highlight w:val="none"/>
        </w:rPr>
        <w:t>本项目的特定资格要求</w:t>
      </w:r>
      <w:r>
        <w:rPr>
          <w:rFonts w:hint="eastAsia" w:ascii="仿宋_GB2312" w:hAnsi="仿宋" w:eastAsia="仿宋_GB2312" w:cs="仿宋_GB2312"/>
          <w:color w:val="auto"/>
          <w:sz w:val="24"/>
          <w:highlight w:val="none"/>
        </w:rPr>
        <w:t>（若有）</w:t>
      </w:r>
      <w:r>
        <w:rPr>
          <w:rFonts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b/>
          <w:bCs/>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b/>
          <w:bCs/>
          <w:color w:val="auto"/>
          <w:sz w:val="24"/>
          <w:highlight w:val="none"/>
        </w:rPr>
        <w:t>商务技术</w:t>
      </w:r>
      <w:r>
        <w:rPr>
          <w:rFonts w:hint="eastAsia" w:ascii="仿宋_GB2312" w:hAnsi="仿宋" w:eastAsia="仿宋_GB2312" w:cs="仿宋_GB2312"/>
          <w:b/>
          <w:bCs/>
          <w:color w:val="auto"/>
          <w:sz w:val="24"/>
          <w:highlight w:val="none"/>
          <w:lang w:val="zh-CN"/>
        </w:rPr>
        <w:t>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11.2.1营业执照扫描件；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11.2.2投标函；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11.2.3授权委托书或法定代表人（单位负责人、自然人本人）身份证明；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rPr>
        <w:t>4联合协议;</w:t>
      </w:r>
    </w:p>
    <w:p>
      <w:pPr>
        <w:snapToGrid w:val="0"/>
        <w:spacing w:line="360" w:lineRule="auto"/>
        <w:ind w:firstLine="960" w:firstLineChars="400"/>
        <w:rPr>
          <w:rFonts w:ascii="仿宋_GB2312" w:hAnsi="仿宋" w:eastAsia="仿宋" w:cs="仿宋_GB2312"/>
          <w:color w:val="auto"/>
          <w:sz w:val="24"/>
          <w:highlight w:val="none"/>
        </w:rPr>
      </w:pPr>
      <w:r>
        <w:rPr>
          <w:rFonts w:hint="eastAsia" w:ascii="仿宋_GB2312" w:hAnsi="仿宋" w:eastAsia="仿宋_GB2312" w:cs="仿宋_GB2312"/>
          <w:color w:val="auto"/>
          <w:sz w:val="24"/>
          <w:highlight w:val="none"/>
        </w:rPr>
        <w:t>11.2.5</w:t>
      </w:r>
      <w:r>
        <w:rPr>
          <w:rFonts w:hint="eastAsia" w:ascii="仿宋" w:hAnsi="仿宋" w:eastAsia="仿宋" w:cs="仿宋"/>
          <w:color w:val="auto"/>
          <w:sz w:val="24"/>
          <w:highlight w:val="none"/>
        </w:rPr>
        <w:t>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11.2.6</w:t>
      </w:r>
      <w:r>
        <w:rPr>
          <w:rFonts w:ascii="仿宋_GB2312" w:hAnsi="仿宋" w:eastAsia="仿宋_GB2312" w:cs="仿宋_GB2312"/>
          <w:color w:val="auto"/>
          <w:sz w:val="24"/>
          <w:highlight w:val="none"/>
        </w:rPr>
        <w:t>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rPr>
        <w:t>7</w:t>
      </w:r>
      <w:r>
        <w:rPr>
          <w:rFonts w:ascii="仿宋_GB2312" w:hAnsi="仿宋" w:eastAsia="仿宋_GB2312" w:cs="仿宋_GB2312"/>
          <w:color w:val="auto"/>
          <w:sz w:val="24"/>
          <w:highlight w:val="none"/>
        </w:rPr>
        <w:t>评标标准相应的商务技术资料；</w:t>
      </w:r>
    </w:p>
    <w:p>
      <w:pPr>
        <w:snapToGrid w:val="0"/>
        <w:spacing w:line="360" w:lineRule="auto"/>
        <w:ind w:firstLine="960" w:firstLineChars="400"/>
        <w:rPr>
          <w:rFonts w:hint="eastAsia" w:ascii="仿宋_GB2312" w:hAnsi="仿宋" w:eastAsia="仿宋_GB2312" w:cs="仿宋_GB2312"/>
          <w:color w:val="auto"/>
          <w:sz w:val="24"/>
          <w:highlight w:val="none"/>
          <w:lang w:val="en-US" w:eastAsia="zh-CN"/>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rPr>
        <w:t>8</w:t>
      </w:r>
      <w:r>
        <w:rPr>
          <w:rFonts w:ascii="仿宋_GB2312" w:hAnsi="仿宋" w:eastAsia="仿宋_GB2312" w:cs="仿宋_GB2312"/>
          <w:color w:val="auto"/>
          <w:sz w:val="24"/>
          <w:highlight w:val="none"/>
        </w:rPr>
        <w:t>商务</w:t>
      </w:r>
      <w:r>
        <w:rPr>
          <w:rFonts w:hint="eastAsia" w:ascii="仿宋_GB2312" w:hAnsi="仿宋" w:eastAsia="仿宋_GB2312" w:cs="仿宋_GB2312"/>
          <w:color w:val="auto"/>
          <w:sz w:val="24"/>
          <w:highlight w:val="none"/>
          <w:lang w:val="en-US" w:eastAsia="zh-CN"/>
        </w:rPr>
        <w:t>响应表；</w:t>
      </w:r>
    </w:p>
    <w:p>
      <w:pPr>
        <w:snapToGrid w:val="0"/>
        <w:spacing w:line="360" w:lineRule="auto"/>
        <w:ind w:firstLine="960" w:firstLineChars="4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11.2.9</w:t>
      </w:r>
      <w:r>
        <w:rPr>
          <w:rFonts w:ascii="仿宋_GB2312" w:hAnsi="仿宋" w:eastAsia="仿宋_GB2312" w:cs="仿宋_GB2312"/>
          <w:color w:val="auto"/>
          <w:sz w:val="24"/>
          <w:highlight w:val="none"/>
        </w:rPr>
        <w:t>技术偏离表；</w:t>
      </w:r>
    </w:p>
    <w:p>
      <w:pPr>
        <w:snapToGrid w:val="0"/>
        <w:spacing w:line="360" w:lineRule="auto"/>
        <w:ind w:firstLine="960" w:firstLineChars="400"/>
        <w:rPr>
          <w:rFonts w:hint="default" w:ascii="仿宋_GB2312" w:hAnsi="仿宋" w:eastAsia="仿宋_GB2312" w:cs="仿宋_GB2312"/>
          <w:color w:val="auto"/>
          <w:sz w:val="24"/>
          <w:highlight w:val="none"/>
          <w:lang w:val="en-US" w:eastAsia="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lang w:val="en-US" w:eastAsia="zh-CN"/>
        </w:rPr>
        <w:t>10成功案列；</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lang w:val="en-US" w:eastAsia="zh-CN"/>
        </w:rPr>
        <w:t>11.2.11</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27"/>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w:t>
      </w:r>
      <w:r>
        <w:rPr>
          <w:rFonts w:hint="eastAsia" w:ascii="仿宋_GB2312" w:hAnsi="仿宋" w:eastAsia="仿宋_GB2312" w:cs="仿宋_GB2312"/>
          <w:color w:val="auto"/>
          <w:kern w:val="0"/>
          <w:sz w:val="24"/>
          <w:highlight w:val="none"/>
          <w:lang w:val="zh-CN"/>
        </w:rPr>
        <w:t>证明</w:t>
      </w:r>
      <w:r>
        <w:rPr>
          <w:rFonts w:ascii="仿宋_GB2312" w:hAnsi="仿宋" w:eastAsia="仿宋_GB2312" w:cs="仿宋_GB2312"/>
          <w:color w:val="auto"/>
          <w:kern w:val="0"/>
          <w:sz w:val="24"/>
          <w:highlight w:val="none"/>
          <w:lang w:val="zh-CN"/>
        </w:rPr>
        <w:t>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27"/>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2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27"/>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2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27"/>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7"/>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27"/>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11"/>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11"/>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11"/>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hint="eastAsia" w:ascii="仿宋_GB2312" w:hAnsi="仿宋" w:eastAsia="仿宋_GB2312"/>
          <w:color w:val="auto"/>
          <w:sz w:val="24"/>
          <w:highlight w:val="none"/>
        </w:rPr>
        <w:t>U</w:t>
      </w:r>
      <w:r>
        <w:rPr>
          <w:rFonts w:ascii="仿宋_GB2312" w:hAnsi="仿宋" w:eastAsia="仿宋_GB2312"/>
          <w:color w:val="auto"/>
          <w:sz w:val="24"/>
          <w:highlight w:val="none"/>
        </w:rPr>
        <w:t>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11"/>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11"/>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11"/>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2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9"/>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招标文件第四部分</w:t>
      </w:r>
      <w:r>
        <w:rPr>
          <w:rFonts w:hint="eastAsia" w:ascii="仿宋_GB2312" w:hAnsi="仿宋" w:eastAsia="仿宋_GB2312"/>
          <w:color w:val="auto"/>
          <w:highlight w:val="none"/>
        </w:rPr>
        <w:t>第</w:t>
      </w:r>
      <w:r>
        <w:rPr>
          <w:rFonts w:hint="eastAsia" w:ascii="仿宋_GB2312" w:hAnsi="仿宋" w:eastAsia="仿宋_GB2312"/>
          <w:color w:val="auto"/>
          <w:highlight w:val="none"/>
          <w:lang w:val="en-US" w:eastAsia="zh-CN"/>
        </w:rPr>
        <w:t>4.2</w:t>
      </w:r>
      <w:r>
        <w:rPr>
          <w:rFonts w:ascii="仿宋_GB2312" w:hAnsi="仿宋" w:eastAsia="仿宋_GB2312"/>
          <w:color w:val="auto"/>
          <w:highlight w:val="none"/>
        </w:rPr>
        <w:t>项规定</w:t>
      </w:r>
      <w:r>
        <w:rPr>
          <w:rFonts w:hint="eastAsia" w:ascii="仿宋_GB2312" w:hAnsi="仿宋" w:eastAsia="仿宋_GB2312" w:cs="仿宋_GB2312"/>
          <w:color w:val="auto"/>
          <w:szCs w:val="21"/>
          <w:highlight w:val="none"/>
        </w:rPr>
        <w:t>的情形之一的，投标无效：</w:t>
      </w:r>
    </w:p>
    <w:p>
      <w:pPr>
        <w:pStyle w:val="2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27"/>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27"/>
        <w:spacing w:before="0"/>
        <w:ind w:firstLine="480"/>
        <w:rPr>
          <w:rFonts w:ascii="仿宋_GB2312" w:hAnsi="仿宋" w:eastAsia="仿宋_GB2312" w:cs="仿宋_GB2312"/>
          <w:b/>
          <w:color w:val="auto"/>
          <w:sz w:val="32"/>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27"/>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29"/>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29"/>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29"/>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29"/>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27"/>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2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2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2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2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2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2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2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2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27"/>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9"/>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27"/>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27"/>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w:t>
      </w:r>
      <w:r>
        <w:rPr>
          <w:rFonts w:hint="eastAsia" w:ascii="仿宋_GB2312" w:hAnsi="仿宋" w:eastAsia="仿宋_GB2312" w:cs="仿宋_GB2312"/>
          <w:color w:val="auto"/>
          <w:sz w:val="24"/>
          <w:highlight w:val="none"/>
        </w:rPr>
        <w:t>编制发布采购结果公告</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同时</w:t>
      </w:r>
      <w:r>
        <w:rPr>
          <w:rFonts w:ascii="仿宋_GB2312" w:hAnsi="仿宋" w:eastAsia="仿宋_GB2312" w:cs="仿宋_GB2312"/>
          <w:color w:val="auto"/>
          <w:sz w:val="24"/>
          <w:highlight w:val="none"/>
        </w:rPr>
        <w:t>通过电子交易平台</w:t>
      </w:r>
      <w:r>
        <w:rPr>
          <w:rFonts w:hint="eastAsia" w:ascii="仿宋_GB2312" w:hAnsi="仿宋" w:eastAsia="仿宋_GB2312" w:cs="仿宋_GB2312"/>
          <w:color w:val="auto"/>
          <w:sz w:val="24"/>
          <w:highlight w:val="none"/>
        </w:rPr>
        <w:t>或纸质形式</w:t>
      </w:r>
      <w:r>
        <w:rPr>
          <w:rFonts w:ascii="仿宋_GB2312" w:hAnsi="仿宋" w:eastAsia="仿宋_GB2312" w:cs="仿宋_GB2312"/>
          <w:color w:val="auto"/>
          <w:sz w:val="24"/>
          <w:highlight w:val="none"/>
        </w:rPr>
        <w:t>向中标人发出中标通知书</w:t>
      </w:r>
      <w:r>
        <w:rPr>
          <w:rFonts w:hint="eastAsia" w:ascii="仿宋_GB2312" w:hAnsi="仿宋" w:eastAsia="仿宋_GB2312" w:cs="仿宋_GB2312"/>
          <w:color w:val="auto"/>
          <w:sz w:val="24"/>
          <w:highlight w:val="none"/>
        </w:rPr>
        <w:t>。</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的名称、规格型号、数量、单价、服务要求，开标记录、中标公告期限以及评审专家名单、评分汇总及明细（具体信息以政采云系统模板为准）。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9"/>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9"/>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27"/>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2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2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27"/>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招标文件、投标文件等内容的约定进行合同签订，并提交（代理机构或采购人）进行备案。</w:t>
      </w:r>
    </w:p>
    <w:p>
      <w:pPr>
        <w:pStyle w:val="9"/>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snapToGrid w:val="0"/>
        <w:spacing w:line="360" w:lineRule="auto"/>
        <w:rPr>
          <w:rFonts w:ascii="仿宋_GB2312" w:hAnsi="仿宋" w:eastAsia="仿宋_GB2312" w:cs="仿宋_GB2312"/>
          <w:b/>
          <w:color w:val="auto"/>
          <w:sz w:val="32"/>
          <w:highlight w:val="none"/>
        </w:rPr>
      </w:pPr>
    </w:p>
    <w:p>
      <w:pPr>
        <w:snapToGrid w:val="0"/>
        <w:spacing w:line="360" w:lineRule="auto"/>
        <w:jc w:val="center"/>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27"/>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2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2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2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2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2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27"/>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28"/>
        <w:shd w:val="clear" w:color="auto" w:fill="FFFFFF"/>
        <w:snapToGrid w:val="0"/>
        <w:spacing w:after="240" w:afterAutospacing="0" w:line="360" w:lineRule="auto"/>
        <w:ind w:firstLine="400"/>
        <w:contextualSpacing/>
        <w:rPr>
          <w:rFonts w:ascii="仿宋_GB2312" w:hAnsi="仿宋" w:eastAsia="仿宋_GB2312"/>
          <w:color w:val="auto"/>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tabs>
          <w:tab w:val="left" w:pos="0"/>
        </w:tabs>
        <w:spacing w:line="360" w:lineRule="auto"/>
        <w:ind w:firstLine="480"/>
        <w:rPr>
          <w:rFonts w:ascii="仿宋_GB2312" w:hAnsi="仿宋" w:eastAsia="仿宋_GB2312" w:cs="Helvetica"/>
          <w:b/>
          <w:bCs/>
          <w:color w:val="auto"/>
          <w:kern w:val="0"/>
          <w:sz w:val="24"/>
          <w:highlight w:val="none"/>
        </w:rPr>
      </w:pPr>
      <w:r>
        <w:rPr>
          <w:rFonts w:hint="eastAsia" w:ascii="仿宋_GB2312" w:hAnsi="仿宋" w:eastAsia="仿宋_GB2312" w:cs="Helvetica"/>
          <w:b/>
          <w:bCs/>
          <w:color w:val="auto"/>
          <w:kern w:val="0"/>
          <w:sz w:val="24"/>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17"/>
        <w:rPr>
          <w:rFonts w:ascii="仿宋_GB2312" w:hAnsi="仿宋" w:eastAsia="仿宋_GB2312" w:cs="Helvetica"/>
          <w:color w:val="auto"/>
          <w:highlight w:val="none"/>
        </w:rPr>
      </w:pPr>
    </w:p>
    <w:p>
      <w:pPr>
        <w:rPr>
          <w:rFonts w:ascii="仿宋_GB2312" w:hAnsi="仿宋" w:eastAsia="仿宋_GB2312" w:cs="Helvetica"/>
          <w:color w:val="auto"/>
          <w:kern w:val="0"/>
          <w:sz w:val="24"/>
          <w:highlight w:val="none"/>
        </w:rPr>
      </w:pPr>
    </w:p>
    <w:p>
      <w:pPr>
        <w:pStyle w:val="17"/>
        <w:rPr>
          <w:rFonts w:ascii="仿宋_GB2312" w:hAnsi="仿宋" w:eastAsia="仿宋_GB2312" w:cs="Helvetica"/>
          <w:color w:val="auto"/>
          <w:highlight w:val="none"/>
        </w:rPr>
      </w:pPr>
    </w:p>
    <w:p>
      <w:pPr>
        <w:rPr>
          <w:rFonts w:ascii="仿宋_GB2312" w:hAnsi="仿宋" w:eastAsia="仿宋_GB2312" w:cs="Helvetica"/>
          <w:color w:val="auto"/>
          <w:kern w:val="0"/>
          <w:sz w:val="24"/>
          <w:highlight w:val="none"/>
        </w:rPr>
      </w:pPr>
    </w:p>
    <w:p>
      <w:pPr>
        <w:pStyle w:val="17"/>
        <w:rPr>
          <w:rFonts w:ascii="仿宋_GB2312" w:hAnsi="仿宋" w:eastAsia="仿宋_GB2312" w:cs="Helvetica"/>
          <w:color w:val="auto"/>
          <w:highlight w:val="none"/>
        </w:rPr>
      </w:pPr>
    </w:p>
    <w:p>
      <w:pPr>
        <w:rPr>
          <w:rFonts w:ascii="仿宋_GB2312" w:hAnsi="仿宋" w:eastAsia="仿宋_GB2312" w:cs="Helvetica"/>
          <w:color w:val="auto"/>
          <w:kern w:val="0"/>
          <w:sz w:val="24"/>
          <w:highlight w:val="none"/>
        </w:rPr>
      </w:pPr>
    </w:p>
    <w:p>
      <w:pPr>
        <w:pStyle w:val="17"/>
        <w:rPr>
          <w:rFonts w:ascii="仿宋_GB2312" w:hAnsi="仿宋" w:eastAsia="仿宋_GB2312" w:cs="Helvetica"/>
          <w:color w:val="auto"/>
          <w:highlight w:val="none"/>
        </w:rPr>
      </w:pPr>
    </w:p>
    <w:p>
      <w:pPr>
        <w:rPr>
          <w:rFonts w:ascii="仿宋_GB2312" w:hAnsi="仿宋" w:eastAsia="仿宋_GB2312" w:cs="Helvetica"/>
          <w:color w:val="auto"/>
          <w:kern w:val="0"/>
          <w:sz w:val="24"/>
          <w:highlight w:val="none"/>
        </w:rPr>
      </w:pPr>
    </w:p>
    <w:p>
      <w:pPr>
        <w:pStyle w:val="17"/>
        <w:rPr>
          <w:rFonts w:ascii="仿宋_GB2312" w:hAnsi="仿宋" w:eastAsia="仿宋_GB2312" w:cs="Helvetica"/>
          <w:color w:val="auto"/>
          <w:highlight w:val="none"/>
        </w:rPr>
      </w:pPr>
    </w:p>
    <w:p>
      <w:pPr>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snapToGrid w:val="0"/>
        <w:spacing w:line="360" w:lineRule="auto"/>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rPr>
        <w:t>一、</w:t>
      </w:r>
      <w:r>
        <w:rPr>
          <w:rFonts w:hint="eastAsia" w:ascii="仿宋" w:hAnsi="仿宋" w:eastAsia="仿宋" w:cs="仿宋"/>
          <w:b/>
          <w:bCs/>
          <w:color w:val="auto"/>
          <w:sz w:val="24"/>
          <w:szCs w:val="24"/>
          <w:highlight w:val="none"/>
          <w:lang w:val="en-US" w:eastAsia="zh-CN"/>
        </w:rPr>
        <w:t>概   述</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本次采购项目为</w:t>
      </w:r>
      <w:r>
        <w:rPr>
          <w:rFonts w:hint="eastAsia" w:ascii="仿宋" w:hAnsi="仿宋" w:eastAsia="仿宋" w:cs="仿宋"/>
          <w:color w:val="auto"/>
          <w:sz w:val="24"/>
          <w:szCs w:val="24"/>
          <w:highlight w:val="none"/>
          <w:lang w:eastAsia="zh-CN"/>
        </w:rPr>
        <w:t>嵊州市城区生活垃圾分类“定时定点”小区统一运维服务项目</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服务范围包括浦口街道、三江街道、鹿山街道和剡湖街道共122个定时定点小区，其中浦口街道23个，三江街道35个，鹿山街道30个，剡湖街道34个，运维服务期2年。</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sz w:val="24"/>
          <w:szCs w:val="24"/>
          <w:highlight w:val="none"/>
        </w:rPr>
        <w:t>投标人应根据招标文件所提出的采购需求和服务要求，综合考虑，选择具有最佳性能价格比的</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前来投标。希望投标人以优良的服务和优惠的价格，充分显示你们的竞争实力。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kern w:val="2"/>
          <w:sz w:val="24"/>
          <w:szCs w:val="24"/>
          <w:highlight w:val="none"/>
          <w:lang w:val="en-US" w:eastAsia="zh-CN" w:bidi="ar-SA"/>
        </w:rPr>
        <w:t>二、</w:t>
      </w:r>
      <w:r>
        <w:rPr>
          <w:rStyle w:val="83"/>
          <w:rFonts w:hint="eastAsia" w:ascii="仿宋" w:hAnsi="仿宋" w:eastAsia="仿宋" w:cs="仿宋"/>
          <w:b/>
          <w:bCs/>
          <w:color w:val="auto"/>
          <w:sz w:val="24"/>
          <w:szCs w:val="24"/>
          <w:highlight w:val="none"/>
          <w:lang w:val="en-US" w:eastAsia="zh-CN"/>
        </w:rPr>
        <w:t>小区运维服务及人员配置需求</w:t>
      </w:r>
      <w:r>
        <w:rPr>
          <w:rStyle w:val="83"/>
          <w:rFonts w:hint="eastAsia" w:ascii="仿宋" w:hAnsi="仿宋" w:eastAsia="仿宋" w:cs="仿宋"/>
          <w:b/>
          <w:bCs/>
          <w:color w:val="auto"/>
          <w:sz w:val="24"/>
          <w:szCs w:val="24"/>
          <w:highlight w:val="none"/>
          <w:lang w:val="en-US"/>
        </w:rPr>
        <w:t>一览表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标段一：（浦口街道、三江街道）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1.浦口街道小区汇总表：</w:t>
      </w:r>
    </w:p>
    <w:tbl>
      <w:tblPr>
        <w:tblStyle w:val="20"/>
        <w:tblW w:w="83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1"/>
        <w:gridCol w:w="1245"/>
        <w:gridCol w:w="1530"/>
        <w:gridCol w:w="1035"/>
        <w:gridCol w:w="855"/>
        <w:gridCol w:w="840"/>
        <w:gridCol w:w="900"/>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2" w:hRule="atLeast"/>
        </w:trPr>
        <w:tc>
          <w:tcPr>
            <w:tcW w:w="801" w:type="dxa"/>
            <w:tcBorders>
              <w:top w:val="single" w:color="auto" w:sz="4" w:space="0"/>
              <w:left w:val="single" w:color="auto" w:sz="4" w:space="0"/>
              <w:bottom w:val="single" w:color="auto" w:sz="4" w:space="0"/>
              <w:right w:val="single" w:color="000000"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序号</w:t>
            </w:r>
          </w:p>
        </w:tc>
        <w:tc>
          <w:tcPr>
            <w:tcW w:w="1245" w:type="dxa"/>
            <w:tcBorders>
              <w:top w:val="single" w:color="auto" w:sz="4" w:space="0"/>
              <w:left w:val="single" w:color="000000" w:sz="4" w:space="0"/>
              <w:bottom w:val="single" w:color="auto" w:sz="4" w:space="0"/>
              <w:right w:val="single" w:color="000000"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社区名称</w:t>
            </w:r>
          </w:p>
        </w:tc>
        <w:tc>
          <w:tcPr>
            <w:tcW w:w="1530" w:type="dxa"/>
            <w:tcBorders>
              <w:top w:val="single" w:color="auto" w:sz="4" w:space="0"/>
              <w:left w:val="nil"/>
              <w:bottom w:val="single" w:color="auto" w:sz="4" w:space="0"/>
              <w:right w:val="single" w:color="auto"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小区名称</w:t>
            </w:r>
          </w:p>
        </w:tc>
        <w:tc>
          <w:tcPr>
            <w:tcW w:w="1035" w:type="dxa"/>
            <w:tcBorders>
              <w:top w:val="single" w:color="auto" w:sz="4" w:space="0"/>
              <w:left w:val="single" w:color="auto" w:sz="4" w:space="0"/>
              <w:bottom w:val="single" w:color="auto" w:sz="4" w:space="0"/>
              <w:right w:val="single" w:color="auto"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户数</w:t>
            </w:r>
          </w:p>
        </w:tc>
        <w:tc>
          <w:tcPr>
            <w:tcW w:w="855" w:type="dxa"/>
            <w:tcBorders>
              <w:top w:val="single" w:color="auto" w:sz="4" w:space="0"/>
              <w:left w:val="single" w:color="auto" w:sz="4" w:space="0"/>
              <w:bottom w:val="single" w:color="auto" w:sz="4" w:space="0"/>
              <w:right w:val="single" w:color="auto"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Ⅰ类</w:t>
            </w:r>
          </w:p>
        </w:tc>
        <w:tc>
          <w:tcPr>
            <w:tcW w:w="840" w:type="dxa"/>
            <w:tcBorders>
              <w:top w:val="single" w:color="auto" w:sz="4" w:space="0"/>
              <w:left w:val="single" w:color="auto" w:sz="4" w:space="0"/>
              <w:bottom w:val="single" w:color="auto" w:sz="4" w:space="0"/>
              <w:right w:val="single" w:color="auto"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Ⅱ类</w:t>
            </w:r>
          </w:p>
        </w:tc>
        <w:tc>
          <w:tcPr>
            <w:tcW w:w="900" w:type="dxa"/>
            <w:tcBorders>
              <w:top w:val="single" w:color="auto" w:sz="4" w:space="0"/>
              <w:left w:val="single" w:color="auto" w:sz="4" w:space="0"/>
              <w:bottom w:val="nil"/>
              <w:right w:val="single" w:color="000000" w:sz="8"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Ⅲ类</w:t>
            </w:r>
          </w:p>
        </w:tc>
        <w:tc>
          <w:tcPr>
            <w:tcW w:w="1101" w:type="dxa"/>
            <w:tcBorders>
              <w:top w:val="single" w:color="auto" w:sz="4" w:space="0"/>
              <w:left w:val="single" w:color="000000" w:sz="4" w:space="0"/>
              <w:bottom w:val="single" w:color="auto" w:sz="4" w:space="0"/>
              <w:right w:val="single" w:color="auto"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大件点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双塔社区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金湾国际</w:t>
            </w:r>
          </w:p>
        </w:tc>
        <w:tc>
          <w:tcPr>
            <w:tcW w:w="10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970</w:t>
            </w:r>
          </w:p>
        </w:tc>
        <w:tc>
          <w:tcPr>
            <w:tcW w:w="8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和悦社区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玉兰花园</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3065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和悦社区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悦公馆</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976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和悦社区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雍景园</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1587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天章社区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玉山公馆</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516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天章社区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五金城</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576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天章社区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天章华府</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744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双塔社区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明珠花园</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278</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天章社区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正大文萃苑</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187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天章社区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春晖苑</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天章社区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朝晖雅苑</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495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双塔社区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翡翠东城</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614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天章社区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雅邦文华苑</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天章社区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枫桦名邸</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371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天章社区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东方豪庭</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366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双塔社区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一景路</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天章社区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东城名苑</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1217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月湖社区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宝盈茗泓苑</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884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桃源社区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香缇墅</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541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桃源社区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浦新小区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380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桃源社区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浦景苑</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344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桃源社区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明山桃源</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675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桃源社区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四季印象</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2240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5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汇总</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17287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57</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30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设运营专员1人，巡检员6人，宣传员5人。每个点位配一名督导员，共计督导员96人，另设维护相关人员与机动人员共2名，用于各小区之间的设施设备、大件点维护及调派轮休。</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64" w:beforeLines="50" w:line="600" w:lineRule="exact"/>
        <w:textAlignment w:val="auto"/>
        <w:outlineLvl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2.三江街道小区汇总表：</w:t>
      </w:r>
    </w:p>
    <w:tbl>
      <w:tblPr>
        <w:tblStyle w:val="20"/>
        <w:tblW w:w="83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1"/>
        <w:gridCol w:w="1245"/>
        <w:gridCol w:w="1800"/>
        <w:gridCol w:w="945"/>
        <w:gridCol w:w="765"/>
        <w:gridCol w:w="840"/>
        <w:gridCol w:w="870"/>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7" w:hRule="atLeast"/>
        </w:trPr>
        <w:tc>
          <w:tcPr>
            <w:tcW w:w="801" w:type="dxa"/>
            <w:tcBorders>
              <w:top w:val="single" w:color="auto" w:sz="4" w:space="0"/>
              <w:left w:val="single" w:color="auto" w:sz="4" w:space="0"/>
              <w:bottom w:val="single" w:color="auto" w:sz="4" w:space="0"/>
              <w:right w:val="single" w:color="000000"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序号</w:t>
            </w:r>
          </w:p>
        </w:tc>
        <w:tc>
          <w:tcPr>
            <w:tcW w:w="1245" w:type="dxa"/>
            <w:tcBorders>
              <w:top w:val="single" w:color="auto" w:sz="4" w:space="0"/>
              <w:left w:val="single" w:color="000000" w:sz="4" w:space="0"/>
              <w:bottom w:val="single" w:color="auto" w:sz="4" w:space="0"/>
              <w:right w:val="single" w:color="000000"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社区名称</w:t>
            </w:r>
          </w:p>
        </w:tc>
        <w:tc>
          <w:tcPr>
            <w:tcW w:w="1800" w:type="dxa"/>
            <w:tcBorders>
              <w:top w:val="single" w:color="auto" w:sz="4" w:space="0"/>
              <w:left w:val="nil"/>
              <w:bottom w:val="single" w:color="auto" w:sz="4" w:space="0"/>
              <w:right w:val="single" w:color="auto"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小区名称</w:t>
            </w:r>
          </w:p>
        </w:tc>
        <w:tc>
          <w:tcPr>
            <w:tcW w:w="945" w:type="dxa"/>
            <w:tcBorders>
              <w:top w:val="single" w:color="auto" w:sz="4" w:space="0"/>
              <w:left w:val="single" w:color="auto" w:sz="4" w:space="0"/>
              <w:bottom w:val="single" w:color="auto" w:sz="4" w:space="0"/>
              <w:right w:val="single" w:color="auto"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户数</w:t>
            </w:r>
          </w:p>
        </w:tc>
        <w:tc>
          <w:tcPr>
            <w:tcW w:w="765" w:type="dxa"/>
            <w:tcBorders>
              <w:top w:val="single" w:color="auto" w:sz="4" w:space="0"/>
              <w:left w:val="single" w:color="auto" w:sz="4" w:space="0"/>
              <w:bottom w:val="single" w:color="auto" w:sz="4" w:space="0"/>
              <w:right w:val="single" w:color="auto"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Ⅰ类</w:t>
            </w:r>
          </w:p>
        </w:tc>
        <w:tc>
          <w:tcPr>
            <w:tcW w:w="840" w:type="dxa"/>
            <w:tcBorders>
              <w:top w:val="single" w:color="auto" w:sz="4" w:space="0"/>
              <w:left w:val="single" w:color="auto" w:sz="4" w:space="0"/>
              <w:bottom w:val="single" w:color="auto" w:sz="4" w:space="0"/>
              <w:right w:val="single" w:color="auto"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Ⅱ类</w:t>
            </w:r>
          </w:p>
        </w:tc>
        <w:tc>
          <w:tcPr>
            <w:tcW w:w="870" w:type="dxa"/>
            <w:tcBorders>
              <w:top w:val="single" w:color="auto" w:sz="4" w:space="0"/>
              <w:left w:val="single" w:color="auto" w:sz="4" w:space="0"/>
              <w:bottom w:val="nil"/>
              <w:right w:val="single" w:color="000000" w:sz="8"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Ⅲ类</w:t>
            </w:r>
          </w:p>
        </w:tc>
        <w:tc>
          <w:tcPr>
            <w:tcW w:w="1046" w:type="dxa"/>
            <w:tcBorders>
              <w:top w:val="single" w:color="auto" w:sz="4" w:space="0"/>
              <w:left w:val="single" w:color="000000" w:sz="4" w:space="0"/>
              <w:bottom w:val="single" w:color="auto" w:sz="4" w:space="0"/>
              <w:right w:val="single" w:color="auto"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大件点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丹桂社区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官河盛世府四、五、六期</w:t>
            </w:r>
          </w:p>
        </w:tc>
        <w:tc>
          <w:tcPr>
            <w:tcW w:w="94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2942</w:t>
            </w:r>
          </w:p>
        </w:tc>
        <w:tc>
          <w:tcPr>
            <w:tcW w:w="76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仙湖社区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盛都中东区（中区和东区）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457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慧民社区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三江花苑</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慧民社区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名士颐景园</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434</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慧民社区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盛都公寓</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221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慧民社区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阳光龙庭</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952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慧民社区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三江新村</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543</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下元塘社区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湖滨新村</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850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下元塘社区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锦江花苑，水漾人家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528</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上塘社区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丽都雅苑</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288</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仙湖社区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景都小区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232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仙湖社区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盛都西区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196</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仙湖社区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仙景花苑</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江南社区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顶御华府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186</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江南社区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尚望名苑</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江南社区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碧桂园天玺湾</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692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江南社区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碧桂园澜泊湾</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1208</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新越社区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锦绣嘉园东区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315</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新越社区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锦绣嘉园西区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新越社区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锦绣嘉园新东区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新越社区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君悦新天地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江晓社区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正大新世界</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616</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江晓社区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锦园华庭</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304</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江晓社区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壹号公馆</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728</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杨港社区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恒大未来城</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1774</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杨港社区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恒大越府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2055</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丹桂社区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剡江越园</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2261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丹桂社区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学仕雅苑</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丹桂社区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蓝光和雍锦世家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1622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丹桂社区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丽湖小区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672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江悦社区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吾悦华府</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1749</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江悦社区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香悦半岛</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1817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仙湖社区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盛都北区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仙湖社区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新世纪花园</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210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丹桂社区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文慧苑</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8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汇总</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26974</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3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设运营专员1人，巡检员6人，宣传员5人。每个点位配一名督导员，共计督导员67人，另设维护相关人员与机动人员共2名，用于各小区之间的设施设备、大件点维护及调派轮休。</w:t>
            </w:r>
          </w:p>
        </w:tc>
      </w:tr>
    </w:tbl>
    <w:p>
      <w:pPr>
        <w:keepNext w:val="0"/>
        <w:keepLines w:val="0"/>
        <w:widowControl/>
        <w:suppressLineNumbers w:val="0"/>
        <w:jc w:val="both"/>
        <w:textAlignment w:val="center"/>
        <w:rPr>
          <w:rFonts w:hint="eastAsia"/>
          <w:b/>
          <w:bCs/>
          <w:color w:val="auto"/>
          <w:sz w:val="24"/>
          <w:szCs w:val="24"/>
          <w:highlight w:val="none"/>
          <w:lang w:val="en-US" w:eastAsia="zh-CN"/>
        </w:rPr>
      </w:pPr>
    </w:p>
    <w:p>
      <w:pPr>
        <w:pStyle w:val="2"/>
        <w:pageBreakBefore w:val="0"/>
        <w:numPr>
          <w:ilvl w:val="0"/>
          <w:numId w:val="0"/>
        </w:numPr>
        <w:kinsoku/>
        <w:wordWrap/>
        <w:overflowPunct/>
        <w:topLinePunct w:val="0"/>
        <w:autoSpaceDE/>
        <w:autoSpaceDN/>
        <w:bidi w:val="0"/>
        <w:spacing w:line="600" w:lineRule="exact"/>
        <w:rPr>
          <w:rFonts w:hint="eastAsia" w:ascii="仿宋" w:hAnsi="仿宋" w:eastAsia="仿宋" w:cs="仿宋"/>
          <w:color w:val="auto"/>
          <w:sz w:val="24"/>
          <w:szCs w:val="24"/>
          <w:highlight w:val="none"/>
        </w:rPr>
      </w:pPr>
      <w:r>
        <w:rPr>
          <w:rFonts w:hint="eastAsia" w:ascii="仿宋" w:hAnsi="仿宋" w:eastAsia="仿宋" w:cs="仿宋"/>
          <w:b/>
          <w:bCs/>
          <w:snapToGrid w:val="0"/>
          <w:color w:val="auto"/>
          <w:kern w:val="28"/>
          <w:sz w:val="24"/>
          <w:szCs w:val="24"/>
          <w:highlight w:val="none"/>
          <w:lang w:val="en-US" w:eastAsia="zh-CN" w:bidi="ar-SA"/>
        </w:rPr>
        <w:t>3.</w:t>
      </w:r>
      <w:r>
        <w:rPr>
          <w:rFonts w:hint="eastAsia" w:ascii="仿宋" w:hAnsi="仿宋" w:eastAsia="仿宋" w:cs="仿宋"/>
          <w:b/>
          <w:bCs/>
          <w:color w:val="auto"/>
          <w:sz w:val="24"/>
          <w:szCs w:val="24"/>
          <w:highlight w:val="none"/>
          <w:lang w:val="en-US" w:eastAsia="zh-CN"/>
        </w:rPr>
        <w:t>小</w:t>
      </w:r>
      <w:r>
        <w:rPr>
          <w:rFonts w:hint="eastAsia" w:ascii="仿宋" w:hAnsi="仿宋" w:eastAsia="仿宋" w:cs="仿宋"/>
          <w:b/>
          <w:color w:val="auto"/>
          <w:sz w:val="24"/>
          <w:szCs w:val="24"/>
          <w:highlight w:val="none"/>
          <w:lang w:val="en-US" w:eastAsia="zh-CN"/>
        </w:rPr>
        <w:t>区运维服务及人员配置需求</w:t>
      </w:r>
    </w:p>
    <w:tbl>
      <w:tblPr>
        <w:tblStyle w:val="20"/>
        <w:tblW w:w="4891" w:type="pct"/>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0"/>
        <w:gridCol w:w="3105"/>
        <w:gridCol w:w="1800"/>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94" w:type="pct"/>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1868" w:type="pct"/>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人员类别</w:t>
            </w:r>
          </w:p>
        </w:tc>
        <w:tc>
          <w:tcPr>
            <w:tcW w:w="1083" w:type="pct"/>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c>
          <w:tcPr>
            <w:tcW w:w="1254" w:type="pct"/>
            <w:tcBorders>
              <w:top w:val="single" w:color="000000" w:sz="4" w:space="0"/>
              <w:left w:val="single" w:color="000000" w:sz="4" w:space="0"/>
              <w:bottom w:val="single" w:color="000000" w:sz="4" w:space="0"/>
              <w:right w:val="single" w:color="000000"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项目经理</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人</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运营专员</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督导员</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巡捡员</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宣传员</w:t>
            </w:r>
          </w:p>
        </w:tc>
        <w:tc>
          <w:tcPr>
            <w:tcW w:w="10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人</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维护及机动人员</w:t>
            </w:r>
          </w:p>
        </w:tc>
        <w:tc>
          <w:tcPr>
            <w:tcW w:w="10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人</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人员保险</w:t>
            </w:r>
          </w:p>
        </w:tc>
        <w:tc>
          <w:tcPr>
            <w:tcW w:w="10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人/年</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劳保用品</w:t>
            </w:r>
          </w:p>
        </w:tc>
        <w:tc>
          <w:tcPr>
            <w:tcW w:w="10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人/年</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w:t>
            </w:r>
          </w:p>
        </w:tc>
        <w:tc>
          <w:tcPr>
            <w:tcW w:w="1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高温费</w:t>
            </w:r>
          </w:p>
        </w:tc>
        <w:tc>
          <w:tcPr>
            <w:tcW w:w="10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人/年</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94" w:type="pct"/>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1868" w:type="pct"/>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名称</w:t>
            </w:r>
          </w:p>
        </w:tc>
        <w:tc>
          <w:tcPr>
            <w:tcW w:w="1083" w:type="pct"/>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c>
          <w:tcPr>
            <w:tcW w:w="1254" w:type="pct"/>
            <w:tcBorders>
              <w:top w:val="single" w:color="000000" w:sz="4" w:space="0"/>
              <w:left w:val="single" w:color="000000" w:sz="4" w:space="0"/>
              <w:bottom w:val="single" w:color="000000" w:sz="4" w:space="0"/>
              <w:right w:val="single" w:color="000000"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季度宣传活动</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场</w:t>
            </w:r>
          </w:p>
        </w:tc>
        <w:tc>
          <w:tcPr>
            <w:tcW w:w="1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宣传资料</w:t>
            </w:r>
          </w:p>
        </w:tc>
        <w:tc>
          <w:tcPr>
            <w:tcW w:w="10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批</w:t>
            </w:r>
          </w:p>
        </w:tc>
        <w:tc>
          <w:tcPr>
            <w:tcW w:w="1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垃圾袋</w:t>
            </w:r>
          </w:p>
        </w:tc>
        <w:tc>
          <w:tcPr>
            <w:tcW w:w="10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份/月</w:t>
            </w:r>
          </w:p>
        </w:tc>
        <w:tc>
          <w:tcPr>
            <w:tcW w:w="1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44261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 </w:t>
            </w:r>
          </w:p>
        </w:tc>
        <w:tc>
          <w:tcPr>
            <w:tcW w:w="1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水电费</w:t>
            </w:r>
          </w:p>
        </w:tc>
        <w:tc>
          <w:tcPr>
            <w:tcW w:w="10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点/年</w:t>
            </w:r>
          </w:p>
        </w:tc>
        <w:tc>
          <w:tcPr>
            <w:tcW w:w="1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 xml:space="preserve">5 </w:t>
            </w:r>
          </w:p>
        </w:tc>
        <w:tc>
          <w:tcPr>
            <w:tcW w:w="1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现有系统使用费</w:t>
            </w:r>
          </w:p>
        </w:tc>
        <w:tc>
          <w:tcPr>
            <w:tcW w:w="10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套</w:t>
            </w:r>
          </w:p>
        </w:tc>
        <w:tc>
          <w:tcPr>
            <w:tcW w:w="1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以上各标段小区2年运维（包括承包劳务报酬、节日费、高温冷饮费、劳动保险、作业成本、系统设备对接、维护、利润、税收、管理费及其它所有费用）</w:t>
            </w:r>
          </w:p>
        </w:tc>
      </w:tr>
    </w:tbl>
    <w:p>
      <w:pPr>
        <w:keepNext w:val="0"/>
        <w:keepLines w:val="0"/>
        <w:pageBreakBefore w:val="0"/>
        <w:widowControl/>
        <w:suppressLineNumbers w:val="0"/>
        <w:kinsoku/>
        <w:wordWrap/>
        <w:overflowPunct/>
        <w:topLinePunct w:val="0"/>
        <w:autoSpaceDE/>
        <w:autoSpaceDN/>
        <w:bidi w:val="0"/>
        <w:adjustRightInd w:val="0"/>
        <w:spacing w:line="360" w:lineRule="auto"/>
        <w:jc w:val="both"/>
        <w:textAlignment w:val="center"/>
        <w:rPr>
          <w:rFonts w:hint="eastAsia" w:ascii="仿宋" w:hAnsi="仿宋" w:eastAsia="仿宋" w:cs="仿宋"/>
          <w:b/>
          <w:bCs/>
          <w:color w:val="auto"/>
          <w:sz w:val="24"/>
          <w:szCs w:val="24"/>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pacing w:line="360" w:lineRule="auto"/>
        <w:jc w:val="both"/>
        <w:textAlignment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标段二：（鹿山街道、剡湖街道）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1.鹿山街道小区汇总表：</w:t>
      </w:r>
    </w:p>
    <w:tbl>
      <w:tblPr>
        <w:tblStyle w:val="20"/>
        <w:tblW w:w="83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1185"/>
        <w:gridCol w:w="1815"/>
        <w:gridCol w:w="1005"/>
        <w:gridCol w:w="930"/>
        <w:gridCol w:w="915"/>
        <w:gridCol w:w="885"/>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序号</w:t>
            </w:r>
          </w:p>
        </w:tc>
        <w:tc>
          <w:tcPr>
            <w:tcW w:w="118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社区名称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小区名称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户数</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Ⅰ类</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Ⅱ类</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Ⅲ类</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大件点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高版社区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城西五苑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高版社区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城西三苑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816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高版社区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高版村（高版老村及新村）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538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高版社区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长安路区块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东南社区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东南路区块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高版社区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长广路16号区块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781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高版社区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长春路区块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497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长宁社区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白鹭香溪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长宁社区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锦越名都</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长宁社区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金色阳光</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580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高版社区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湖都花苑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882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高版社区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文化新村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480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东南社区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城西一苑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572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东南社区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城西二苑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1374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捣臼爿社区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良昌公寓区块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725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明月社区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锦泰苑区块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694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明月社区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南马路区块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570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明月社区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南苑小区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288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明月社区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怡然雅苑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386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明月社区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缇香苑</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明月社区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现代家园</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明月社区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东南路219小区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捣臼爿社区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阳光公寓、阳光花苑区块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436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捣臼爿社区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滨江花园</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捣臼爿社区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黄金水岸</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1018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捣臼爿社区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越江府</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宸希社区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万都豪庭</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368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捣臼爿社区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万都公馆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宸希社区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江景一品</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584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w:t>
            </w:r>
          </w:p>
        </w:tc>
        <w:tc>
          <w:tcPr>
            <w:tcW w:w="11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明月社区</w:t>
            </w:r>
          </w:p>
        </w:tc>
        <w:tc>
          <w:tcPr>
            <w:tcW w:w="181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香湖明月</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361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75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汇总</w:t>
            </w:r>
          </w:p>
        </w:tc>
        <w:tc>
          <w:tcPr>
            <w:tcW w:w="100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16070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73</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27"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设运营专员1人，巡检员6人，宣传员5人。每个点位配一名督导员，共计督导员100人，另设维护相关人员与机动人员共2名，用于各小区之间的设施设备、大件点维护及调派轮休。</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64" w:beforeLines="50" w:line="600" w:lineRule="exact"/>
        <w:textAlignment w:val="auto"/>
        <w:outlineLvl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2.剡湖街道小区汇总表：</w:t>
      </w:r>
    </w:p>
    <w:tbl>
      <w:tblPr>
        <w:tblStyle w:val="20"/>
        <w:tblW w:w="83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1200"/>
        <w:gridCol w:w="1890"/>
        <w:gridCol w:w="1080"/>
        <w:gridCol w:w="945"/>
        <w:gridCol w:w="771"/>
        <w:gridCol w:w="76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社区名称</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小区名称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户数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Ⅰ类</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Ⅱ类</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Ⅲ类</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大件点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安平社区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兰苑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260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安平社区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安平里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329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明心社区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东豪新村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330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明心社区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东豪家园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180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越秀社区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越秀里南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280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安平社区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崇安里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665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安平社区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状元名苑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440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安平社区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月照里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491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新北社区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云溪香山</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390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相公殿社区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湖东片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678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艇湖社区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剡艇苑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450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北郊社区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安吉里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990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北郊社区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上高里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北郊社区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天星里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646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艇湖社区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艇湖公寓</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740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龙会社区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桥东新村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835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东浦社区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剡城片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450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相公殿社区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剧院片（商业城）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450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江滨社区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西前街、西后街片小区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480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江滨社区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世纪广场楼下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290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工农社区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工农花苑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130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工农社区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怡景花园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200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新北社区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城中市场片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390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新北社区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吉祥花园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150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相公殿社区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官河横路17号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相公殿社区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剡湖家园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450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工农社区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工农新村片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300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工农社区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陶然家园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280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明心社区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景苑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东浦社区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翠苑、春光花苑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230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东浦社区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相公殿北路1号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安平社区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艇湖里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462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新北社区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鹿鸣花苑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440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明心社区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迎恩府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7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汇总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13876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3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设运营专员1人，巡检员6人，宣传员5人。每个点位配一名督导员，共计督导员63人，另设维护相关人员与机动人员共2名，用于各小区之间的设施设备、大件点维护及调派轮休。</w:t>
            </w:r>
          </w:p>
        </w:tc>
      </w:tr>
    </w:tbl>
    <w:p>
      <w:pPr>
        <w:pStyle w:val="2"/>
        <w:pageBreakBefore w:val="0"/>
        <w:numPr>
          <w:ilvl w:val="0"/>
          <w:numId w:val="0"/>
        </w:numPr>
        <w:kinsoku/>
        <w:wordWrap/>
        <w:overflowPunct/>
        <w:topLinePunct w:val="0"/>
        <w:autoSpaceDE/>
        <w:autoSpaceDN/>
        <w:bidi w:val="0"/>
        <w:spacing w:line="600" w:lineRule="exact"/>
        <w:rPr>
          <w:rFonts w:hint="eastAsia" w:ascii="仿宋" w:hAnsi="仿宋" w:eastAsia="仿宋" w:cs="仿宋"/>
          <w:color w:val="auto"/>
          <w:sz w:val="24"/>
          <w:szCs w:val="24"/>
          <w:highlight w:val="none"/>
        </w:rPr>
      </w:pPr>
      <w:r>
        <w:rPr>
          <w:rFonts w:hint="eastAsia" w:ascii="仿宋" w:hAnsi="仿宋" w:eastAsia="仿宋" w:cs="仿宋"/>
          <w:b/>
          <w:bCs/>
          <w:snapToGrid w:val="0"/>
          <w:color w:val="auto"/>
          <w:kern w:val="28"/>
          <w:sz w:val="24"/>
          <w:szCs w:val="24"/>
          <w:highlight w:val="none"/>
          <w:lang w:val="en-US" w:eastAsia="zh-CN" w:bidi="ar-SA"/>
        </w:rPr>
        <w:t>3.</w:t>
      </w:r>
      <w:r>
        <w:rPr>
          <w:rFonts w:hint="eastAsia" w:ascii="仿宋" w:hAnsi="仿宋" w:eastAsia="仿宋" w:cs="仿宋"/>
          <w:b/>
          <w:bCs/>
          <w:color w:val="auto"/>
          <w:sz w:val="24"/>
          <w:szCs w:val="24"/>
          <w:highlight w:val="none"/>
          <w:lang w:val="en-US" w:eastAsia="zh-CN"/>
        </w:rPr>
        <w:t>小</w:t>
      </w:r>
      <w:r>
        <w:rPr>
          <w:rFonts w:hint="eastAsia" w:ascii="仿宋" w:hAnsi="仿宋" w:eastAsia="仿宋" w:cs="仿宋"/>
          <w:b/>
          <w:color w:val="auto"/>
          <w:sz w:val="24"/>
          <w:szCs w:val="24"/>
          <w:highlight w:val="none"/>
          <w:lang w:val="en-US" w:eastAsia="zh-CN"/>
        </w:rPr>
        <w:t>区运维服务及人员配置需求</w:t>
      </w:r>
    </w:p>
    <w:tbl>
      <w:tblPr>
        <w:tblStyle w:val="20"/>
        <w:tblW w:w="8342"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2236"/>
        <w:gridCol w:w="2160"/>
        <w:gridCol w:w="1600"/>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342" w:type="dxa"/>
            <w:gridSpan w:val="5"/>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设备内容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45" w:type="dxa"/>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4"/>
                <w:szCs w:val="24"/>
                <w:highlight w:val="none"/>
                <w:u w:val="none"/>
                <w:lang w:val="en-US" w:eastAsia="zh-CN" w:bidi="ar-SA"/>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2236" w:type="dxa"/>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4"/>
                <w:szCs w:val="24"/>
                <w:highlight w:val="none"/>
                <w:u w:val="none"/>
                <w:lang w:val="en-US" w:eastAsia="zh-CN" w:bidi="ar-SA"/>
              </w:rPr>
            </w:pPr>
            <w:r>
              <w:rPr>
                <w:rFonts w:hint="eastAsia" w:ascii="仿宋" w:hAnsi="仿宋" w:eastAsia="仿宋" w:cs="仿宋"/>
                <w:b/>
                <w:bCs/>
                <w:i w:val="0"/>
                <w:iCs w:val="0"/>
                <w:color w:val="auto"/>
                <w:kern w:val="0"/>
                <w:sz w:val="24"/>
                <w:szCs w:val="24"/>
                <w:highlight w:val="none"/>
                <w:u w:val="none"/>
                <w:lang w:val="en-US" w:eastAsia="zh-CN" w:bidi="ar"/>
              </w:rPr>
              <w:t>类别</w:t>
            </w:r>
          </w:p>
        </w:tc>
        <w:tc>
          <w:tcPr>
            <w:tcW w:w="2160" w:type="dxa"/>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4"/>
                <w:szCs w:val="24"/>
                <w:highlight w:val="none"/>
                <w:u w:val="none"/>
                <w:lang w:val="en-US" w:eastAsia="zh-CN" w:bidi="ar-SA"/>
              </w:rPr>
            </w:pPr>
            <w:r>
              <w:rPr>
                <w:rFonts w:hint="eastAsia" w:ascii="仿宋" w:hAnsi="仿宋" w:eastAsia="仿宋" w:cs="仿宋"/>
                <w:b/>
                <w:bCs/>
                <w:i w:val="0"/>
                <w:iCs w:val="0"/>
                <w:color w:val="auto"/>
                <w:kern w:val="0"/>
                <w:sz w:val="24"/>
                <w:szCs w:val="24"/>
                <w:highlight w:val="none"/>
                <w:u w:val="none"/>
                <w:lang w:val="en-US" w:eastAsia="zh-CN" w:bidi="ar"/>
              </w:rPr>
              <w:t>单位</w:t>
            </w:r>
          </w:p>
        </w:tc>
        <w:tc>
          <w:tcPr>
            <w:tcW w:w="1600" w:type="dxa"/>
            <w:tcBorders>
              <w:top w:val="single" w:color="000000" w:sz="4" w:space="0"/>
              <w:left w:val="single" w:color="000000" w:sz="4" w:space="0"/>
              <w:bottom w:val="single" w:color="000000" w:sz="4" w:space="0"/>
              <w:right w:val="single" w:color="000000"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4"/>
                <w:szCs w:val="24"/>
                <w:highlight w:val="none"/>
                <w:u w:val="none"/>
                <w:lang w:val="en-US" w:eastAsia="zh-CN" w:bidi="ar-SA"/>
              </w:rPr>
            </w:pPr>
            <w:r>
              <w:rPr>
                <w:rFonts w:hint="eastAsia" w:ascii="仿宋" w:hAnsi="仿宋" w:eastAsia="仿宋" w:cs="仿宋"/>
                <w:b/>
                <w:bCs/>
                <w:i w:val="0"/>
                <w:iCs w:val="0"/>
                <w:color w:val="auto"/>
                <w:kern w:val="0"/>
                <w:sz w:val="24"/>
                <w:szCs w:val="24"/>
                <w:highlight w:val="none"/>
                <w:u w:val="none"/>
                <w:lang w:val="en-US" w:eastAsia="zh-CN" w:bidi="ar"/>
              </w:rPr>
              <w:t>数量</w:t>
            </w:r>
          </w:p>
        </w:tc>
        <w:tc>
          <w:tcPr>
            <w:tcW w:w="1601" w:type="dxa"/>
            <w:tcBorders>
              <w:top w:val="single" w:color="000000" w:sz="4" w:space="0"/>
              <w:left w:val="single" w:color="000000" w:sz="4" w:space="0"/>
              <w:bottom w:val="single" w:color="000000" w:sz="4" w:space="0"/>
              <w:right w:val="single" w:color="000000" w:sz="4" w:space="0"/>
            </w:tcBorders>
            <w:shd w:val="clear" w:color="auto" w:fill="B6DDE8" w:themeFill="accent5" w:themeFillTint="66"/>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发袋一体机</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台</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 xml:space="preserve">26 </w:t>
            </w:r>
          </w:p>
        </w:tc>
        <w:tc>
          <w:tcPr>
            <w:tcW w:w="160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一次性设备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发袋卡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张</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 xml:space="preserve">16070 </w:t>
            </w:r>
          </w:p>
        </w:tc>
        <w:tc>
          <w:tcPr>
            <w:tcW w:w="160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342" w:type="dxa"/>
            <w:gridSpan w:val="5"/>
            <w:tcBorders>
              <w:top w:val="single" w:color="000000" w:sz="4" w:space="0"/>
              <w:left w:val="single" w:color="000000" w:sz="4" w:space="0"/>
              <w:bottom w:val="single" w:color="000000" w:sz="4" w:space="0"/>
              <w:right w:val="single" w:color="000000"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45" w:type="dxa"/>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2236" w:type="dxa"/>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人员类别</w:t>
            </w:r>
          </w:p>
        </w:tc>
        <w:tc>
          <w:tcPr>
            <w:tcW w:w="2160" w:type="dxa"/>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项目经理</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人</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运营专员</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督导员</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巡捡员</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5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宣传员</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人</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维护及机动人员</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人</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人员保险</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人/年</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劳保用品</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人/年</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高温费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人/年</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5" w:type="dxa"/>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2236" w:type="dxa"/>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名称</w:t>
            </w:r>
          </w:p>
        </w:tc>
        <w:tc>
          <w:tcPr>
            <w:tcW w:w="2160" w:type="dxa"/>
            <w:tcBorders>
              <w:top w:val="single" w:color="000000" w:sz="4" w:space="0"/>
              <w:left w:val="single" w:color="000000" w:sz="4" w:space="0"/>
              <w:bottom w:val="single" w:color="000000" w:sz="4" w:space="0"/>
              <w:right w:val="single" w:color="000000" w:sz="4" w:space="0"/>
            </w:tcBorders>
            <w:shd w:val="clear" w:color="auto" w:fill="B6DDE8" w:themeFill="accent5" w:themeFillTint="66"/>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B6DDE8" w:themeFill="accent5" w:themeFillTint="66"/>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季度宣传活动</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场</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宣传资料</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批</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垃圾袋</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份/月</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29946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 </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水电费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点/年</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 xml:space="preserve">5 </w:t>
            </w:r>
          </w:p>
        </w:tc>
        <w:tc>
          <w:tcPr>
            <w:tcW w:w="2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现有系统使用费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套</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8342"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以上各标段小区2年运维（包括承包劳务报酬、节日费、高温冷饮费、劳动保险、作业成本、系统设备对接、维护、利润、税收、管理费及其它所有费用）</w:t>
            </w:r>
          </w:p>
        </w:tc>
      </w:tr>
    </w:tbl>
    <w:p>
      <w:pPr>
        <w:rPr>
          <w:rFonts w:hint="default"/>
          <w:b/>
          <w:bCs/>
          <w:color w:val="auto"/>
          <w:sz w:val="32"/>
          <w:szCs w:val="32"/>
          <w:highlight w:val="none"/>
          <w:lang w:eastAsia="zh-Hans"/>
        </w:rPr>
      </w:pP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 w:hAnsi="仿宋" w:eastAsia="仿宋" w:cs="仿宋"/>
          <w:b/>
          <w:bCs/>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三、</w:t>
      </w:r>
      <w:r>
        <w:rPr>
          <w:rFonts w:hint="eastAsia" w:ascii="仿宋" w:hAnsi="仿宋" w:eastAsia="仿宋" w:cs="仿宋"/>
          <w:b/>
          <w:bCs w:val="0"/>
          <w:color w:val="auto"/>
          <w:kern w:val="2"/>
          <w:sz w:val="24"/>
          <w:szCs w:val="24"/>
          <w:highlight w:val="none"/>
          <w:lang w:val="en-US" w:eastAsia="zh-CN" w:bidi="ar-SA"/>
        </w:rPr>
        <w:t>运维服务要求</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b w:val="0"/>
          <w:bCs w:val="0"/>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目标任务：</w:t>
      </w:r>
      <w:r>
        <w:rPr>
          <w:rFonts w:hint="eastAsia" w:ascii="仿宋" w:hAnsi="仿宋" w:eastAsia="仿宋" w:cs="仿宋"/>
          <w:color w:val="auto"/>
          <w:kern w:val="0"/>
          <w:sz w:val="24"/>
          <w:szCs w:val="24"/>
          <w:highlight w:val="none"/>
          <w:shd w:val="clear" w:color="auto" w:fill="FFFFFF"/>
          <w:lang w:val="en-US" w:eastAsia="zh-CN" w:bidi="ar"/>
        </w:rPr>
        <w:t>供应商应确保每小区各项指标达到《浙江省高标准生活垃圾分类示范小区评价标准》，并能顺利通过省、市验收。</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（一）日常管理：</w:t>
      </w:r>
      <w:r>
        <w:rPr>
          <w:rFonts w:hint="eastAsia" w:ascii="仿宋" w:hAnsi="仿宋" w:eastAsia="仿宋" w:cs="仿宋"/>
          <w:color w:val="auto"/>
          <w:kern w:val="0"/>
          <w:sz w:val="24"/>
          <w:szCs w:val="24"/>
          <w:highlight w:val="none"/>
          <w:shd w:val="clear" w:color="auto" w:fill="FFFFFF"/>
          <w:lang w:val="en-US" w:eastAsia="zh-CN" w:bidi="ar"/>
        </w:rPr>
        <w:t>供应商维护好分类投放站基础设施，做到标识正确清晰、摆放合理、清洁美观。配备专职项目负责人和专职文员各一人，常驻嵊州；</w:t>
      </w:r>
      <w:r>
        <w:rPr>
          <w:rFonts w:hint="eastAsia" w:ascii="仿宋" w:hAnsi="仿宋" w:eastAsia="仿宋" w:cs="仿宋"/>
          <w:b/>
          <w:bCs/>
          <w:color w:val="auto"/>
          <w:kern w:val="0"/>
          <w:sz w:val="24"/>
          <w:szCs w:val="24"/>
          <w:highlight w:val="none"/>
          <w:shd w:val="clear" w:color="auto" w:fill="FFFFFF"/>
          <w:lang w:val="en-US" w:eastAsia="zh-CN" w:bidi="ar"/>
        </w:rPr>
        <w:t>每个小区点位配备专职垃圾分类督导员</w:t>
      </w:r>
      <w:r>
        <w:rPr>
          <w:rFonts w:hint="eastAsia" w:ascii="仿宋" w:hAnsi="仿宋" w:eastAsia="仿宋" w:cs="仿宋"/>
          <w:color w:val="auto"/>
          <w:kern w:val="0"/>
          <w:sz w:val="24"/>
          <w:szCs w:val="24"/>
          <w:highlight w:val="none"/>
          <w:shd w:val="clear" w:color="auto" w:fill="FFFFFF"/>
          <w:lang w:val="en-US" w:eastAsia="zh-CN" w:bidi="ar"/>
        </w:rPr>
        <w:t>，每个小区配备人数根据配置需求表中的要求；供应商负责采集居民信息（需对信息严格保密），创建智能管理平台将居民信息基础数据导入</w:t>
      </w:r>
      <w:r>
        <w:rPr>
          <w:rFonts w:hint="eastAsia" w:ascii="仿宋" w:hAnsi="仿宋" w:eastAsia="仿宋" w:cs="仿宋"/>
          <w:color w:val="auto"/>
          <w:kern w:val="0"/>
          <w:sz w:val="24"/>
          <w:szCs w:val="24"/>
          <w:highlight w:val="none"/>
          <w:shd w:val="clear" w:color="auto" w:fill="FFFFFF"/>
          <w:lang w:eastAsia="zh-CN" w:bidi="ar"/>
        </w:rPr>
        <w:t>，并与绍兴平台及嵊州智慧城管垃圾分类数据端口完成对接，保障投放垃圾各项数据、监控画面等成功上传</w:t>
      </w:r>
      <w:r>
        <w:rPr>
          <w:rFonts w:hint="eastAsia" w:ascii="仿宋" w:hAnsi="仿宋" w:eastAsia="仿宋" w:cs="仿宋"/>
          <w:color w:val="auto"/>
          <w:kern w:val="0"/>
          <w:sz w:val="24"/>
          <w:szCs w:val="24"/>
          <w:highlight w:val="none"/>
          <w:shd w:val="clear" w:color="auto" w:fill="FFFFFF"/>
          <w:lang w:val="en-US" w:eastAsia="zh-CN" w:bidi="ar"/>
        </w:rPr>
        <w:t>。供应商应对各级部门检查通报的问题及时整改到位，按照市垃圾分类办要求及时、准确报送相关信息、数据。</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b/>
          <w:bCs/>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1、督导员人员配置要求：身体健康，经过培训，熟悉相关垃圾分类知识，并能灵活使用手机终端设备；年龄要求：男性65周岁以下（含65周岁），女性65周岁以下（含65周岁）。</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（1）督导员</w:t>
      </w:r>
      <w:r>
        <w:rPr>
          <w:rFonts w:hint="eastAsia" w:ascii="仿宋" w:hAnsi="仿宋" w:eastAsia="仿宋" w:cs="仿宋"/>
          <w:color w:val="auto"/>
          <w:kern w:val="0"/>
          <w:sz w:val="24"/>
          <w:szCs w:val="24"/>
          <w:highlight w:val="none"/>
          <w:shd w:val="clear" w:color="auto" w:fill="FFFFFF"/>
          <w:lang w:eastAsia="zh-CN" w:bidi="ar"/>
        </w:rPr>
        <w:t>行为</w:t>
      </w:r>
      <w:r>
        <w:rPr>
          <w:rFonts w:hint="eastAsia" w:ascii="仿宋" w:hAnsi="仿宋" w:eastAsia="仿宋" w:cs="仿宋"/>
          <w:color w:val="auto"/>
          <w:kern w:val="0"/>
          <w:sz w:val="24"/>
          <w:szCs w:val="24"/>
          <w:highlight w:val="none"/>
          <w:shd w:val="clear" w:color="auto" w:fill="FFFFFF"/>
          <w:lang w:val="en-US" w:eastAsia="zh-CN" w:bidi="ar"/>
        </w:rPr>
        <w:t>规范</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eastAsia="zh-CN" w:bidi="ar"/>
        </w:rPr>
      </w:pPr>
      <w:r>
        <w:rPr>
          <w:rFonts w:hint="eastAsia" w:ascii="仿宋" w:hAnsi="仿宋" w:eastAsia="仿宋" w:cs="仿宋"/>
          <w:color w:val="auto"/>
          <w:kern w:val="0"/>
          <w:sz w:val="24"/>
          <w:szCs w:val="24"/>
          <w:highlight w:val="none"/>
          <w:shd w:val="clear" w:color="auto" w:fill="FFFFFF"/>
          <w:lang w:val="en-US" w:eastAsia="zh-CN" w:bidi="ar"/>
        </w:rPr>
        <w:t>1.1基本行为</w:t>
      </w:r>
      <w:r>
        <w:rPr>
          <w:rFonts w:hint="eastAsia" w:ascii="仿宋" w:hAnsi="仿宋" w:eastAsia="仿宋" w:cs="仿宋"/>
          <w:color w:val="auto"/>
          <w:kern w:val="0"/>
          <w:sz w:val="24"/>
          <w:szCs w:val="24"/>
          <w:highlight w:val="none"/>
          <w:shd w:val="clear" w:color="auto" w:fill="FFFFFF"/>
          <w:lang w:eastAsia="zh-CN" w:bidi="ar"/>
        </w:rPr>
        <w:t>准则</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1.1.1遵守工作</w:t>
      </w:r>
      <w:r>
        <w:rPr>
          <w:rFonts w:hint="eastAsia" w:ascii="仿宋" w:hAnsi="仿宋" w:eastAsia="仿宋" w:cs="仿宋"/>
          <w:color w:val="auto"/>
          <w:kern w:val="0"/>
          <w:sz w:val="24"/>
          <w:szCs w:val="24"/>
          <w:highlight w:val="none"/>
          <w:shd w:val="clear" w:color="auto" w:fill="FFFFFF"/>
          <w:lang w:eastAsia="zh-CN" w:bidi="ar"/>
        </w:rPr>
        <w:t>规章</w:t>
      </w:r>
      <w:r>
        <w:rPr>
          <w:rFonts w:hint="eastAsia" w:ascii="仿宋" w:hAnsi="仿宋" w:eastAsia="仿宋" w:cs="仿宋"/>
          <w:color w:val="auto"/>
          <w:kern w:val="0"/>
          <w:sz w:val="24"/>
          <w:szCs w:val="24"/>
          <w:highlight w:val="none"/>
          <w:shd w:val="clear" w:color="auto" w:fill="FFFFFF"/>
          <w:lang w:val="en-US" w:eastAsia="zh-CN" w:bidi="ar"/>
        </w:rPr>
        <w:t>制度，按照岗位职责要求，</w:t>
      </w:r>
      <w:r>
        <w:rPr>
          <w:rFonts w:hint="eastAsia" w:ascii="仿宋" w:hAnsi="仿宋" w:eastAsia="仿宋" w:cs="仿宋"/>
          <w:color w:val="auto"/>
          <w:kern w:val="0"/>
          <w:sz w:val="24"/>
          <w:szCs w:val="24"/>
          <w:highlight w:val="none"/>
          <w:shd w:val="clear" w:color="auto" w:fill="FFFFFF"/>
          <w:lang w:eastAsia="zh-CN" w:bidi="ar"/>
        </w:rPr>
        <w:t>做到</w:t>
      </w:r>
      <w:r>
        <w:rPr>
          <w:rFonts w:hint="eastAsia" w:ascii="仿宋" w:hAnsi="仿宋" w:eastAsia="仿宋" w:cs="仿宋"/>
          <w:color w:val="auto"/>
          <w:kern w:val="0"/>
          <w:sz w:val="24"/>
          <w:szCs w:val="24"/>
          <w:highlight w:val="none"/>
          <w:shd w:val="clear" w:color="auto" w:fill="FFFFFF"/>
          <w:lang w:val="en-US" w:eastAsia="zh-CN" w:bidi="ar"/>
        </w:rPr>
        <w:t>文明服务。</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1.1.2不得擅自接受</w:t>
      </w:r>
      <w:r>
        <w:rPr>
          <w:rFonts w:hint="eastAsia" w:ascii="仿宋" w:hAnsi="仿宋" w:eastAsia="仿宋" w:cs="仿宋"/>
          <w:color w:val="auto"/>
          <w:kern w:val="0"/>
          <w:sz w:val="24"/>
          <w:szCs w:val="24"/>
          <w:highlight w:val="none"/>
          <w:shd w:val="clear" w:color="auto" w:fill="FFFFFF"/>
          <w:lang w:eastAsia="zh-CN" w:bidi="ar"/>
        </w:rPr>
        <w:t>任何</w:t>
      </w:r>
      <w:r>
        <w:rPr>
          <w:rFonts w:hint="eastAsia" w:ascii="仿宋" w:hAnsi="仿宋" w:eastAsia="仿宋" w:cs="仿宋"/>
          <w:color w:val="auto"/>
          <w:kern w:val="0"/>
          <w:sz w:val="24"/>
          <w:szCs w:val="24"/>
          <w:highlight w:val="none"/>
          <w:shd w:val="clear" w:color="auto" w:fill="FFFFFF"/>
          <w:lang w:val="en-US" w:eastAsia="zh-CN" w:bidi="ar"/>
        </w:rPr>
        <w:t>媒体采访或在网络上发表</w:t>
      </w:r>
      <w:r>
        <w:rPr>
          <w:rFonts w:hint="eastAsia" w:ascii="仿宋" w:hAnsi="仿宋" w:eastAsia="仿宋" w:cs="仿宋"/>
          <w:color w:val="auto"/>
          <w:kern w:val="0"/>
          <w:sz w:val="24"/>
          <w:szCs w:val="24"/>
          <w:highlight w:val="none"/>
          <w:shd w:val="clear" w:color="auto" w:fill="FFFFFF"/>
          <w:lang w:eastAsia="zh-CN" w:bidi="ar"/>
        </w:rPr>
        <w:t>任何</w:t>
      </w:r>
      <w:r>
        <w:rPr>
          <w:rFonts w:hint="eastAsia" w:ascii="仿宋" w:hAnsi="仿宋" w:eastAsia="仿宋" w:cs="仿宋"/>
          <w:color w:val="auto"/>
          <w:kern w:val="0"/>
          <w:sz w:val="24"/>
          <w:szCs w:val="24"/>
          <w:highlight w:val="none"/>
          <w:shd w:val="clear" w:color="auto" w:fill="FFFFFF"/>
          <w:lang w:val="en-US" w:eastAsia="zh-CN" w:bidi="ar"/>
        </w:rPr>
        <w:t>过激言论。</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1.1.3不得擅自离岗</w:t>
      </w:r>
      <w:r>
        <w:rPr>
          <w:rFonts w:hint="eastAsia" w:ascii="仿宋" w:hAnsi="仿宋" w:eastAsia="仿宋" w:cs="仿宋"/>
          <w:color w:val="auto"/>
          <w:kern w:val="0"/>
          <w:sz w:val="24"/>
          <w:szCs w:val="24"/>
          <w:highlight w:val="none"/>
          <w:shd w:val="clear" w:color="auto" w:fill="FFFFFF"/>
          <w:lang w:eastAsia="zh-CN" w:bidi="ar"/>
        </w:rPr>
        <w:t>、脱岗</w:t>
      </w:r>
      <w:r>
        <w:rPr>
          <w:rFonts w:hint="eastAsia" w:ascii="仿宋" w:hAnsi="仿宋" w:eastAsia="仿宋" w:cs="仿宋"/>
          <w:color w:val="auto"/>
          <w:kern w:val="0"/>
          <w:sz w:val="24"/>
          <w:szCs w:val="24"/>
          <w:highlight w:val="none"/>
          <w:shd w:val="clear" w:color="auto" w:fill="FFFFFF"/>
          <w:lang w:val="en-US" w:eastAsia="zh-CN" w:bidi="ar"/>
        </w:rPr>
        <w:t>或换岗，</w:t>
      </w:r>
      <w:r>
        <w:rPr>
          <w:rFonts w:hint="eastAsia" w:ascii="仿宋" w:hAnsi="仿宋" w:eastAsia="仿宋" w:cs="仿宋"/>
          <w:color w:val="auto"/>
          <w:kern w:val="0"/>
          <w:sz w:val="24"/>
          <w:szCs w:val="24"/>
          <w:highlight w:val="none"/>
          <w:shd w:val="clear" w:color="auto" w:fill="FFFFFF"/>
          <w:lang w:eastAsia="zh-CN" w:bidi="ar"/>
        </w:rPr>
        <w:t>做到</w:t>
      </w:r>
      <w:r>
        <w:rPr>
          <w:rFonts w:hint="eastAsia" w:ascii="仿宋" w:hAnsi="仿宋" w:eastAsia="仿宋" w:cs="仿宋"/>
          <w:color w:val="auto"/>
          <w:kern w:val="0"/>
          <w:sz w:val="24"/>
          <w:szCs w:val="24"/>
          <w:highlight w:val="none"/>
          <w:shd w:val="clear" w:color="auto" w:fill="FFFFFF"/>
          <w:lang w:val="en-US" w:eastAsia="zh-CN" w:bidi="ar"/>
        </w:rPr>
        <w:t>在岗</w:t>
      </w:r>
      <w:r>
        <w:rPr>
          <w:rFonts w:hint="eastAsia" w:ascii="仿宋" w:hAnsi="仿宋" w:eastAsia="仿宋" w:cs="仿宋"/>
          <w:color w:val="auto"/>
          <w:kern w:val="0"/>
          <w:sz w:val="24"/>
          <w:szCs w:val="24"/>
          <w:highlight w:val="none"/>
          <w:shd w:val="clear" w:color="auto" w:fill="FFFFFF"/>
          <w:lang w:eastAsia="zh-CN" w:bidi="ar"/>
        </w:rPr>
        <w:t>在位</w:t>
      </w:r>
      <w:r>
        <w:rPr>
          <w:rFonts w:hint="eastAsia" w:ascii="仿宋" w:hAnsi="仿宋" w:eastAsia="仿宋" w:cs="仿宋"/>
          <w:color w:val="auto"/>
          <w:kern w:val="0"/>
          <w:sz w:val="24"/>
          <w:szCs w:val="24"/>
          <w:highlight w:val="none"/>
          <w:shd w:val="clear" w:color="auto" w:fill="FFFFFF"/>
          <w:lang w:val="en-US" w:eastAsia="zh-CN" w:bidi="ar"/>
        </w:rPr>
        <w:t>不做与工作无关的事情，不得聚集聊天、蹲坐，注意言行举止。</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1.1.4按照统一标准穿戴工作服装及装备上岗，应仪态端正、讲究卫生，妆容得体。</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1.1.5遇到</w:t>
      </w:r>
      <w:r>
        <w:rPr>
          <w:rFonts w:hint="eastAsia" w:ascii="仿宋" w:hAnsi="仿宋" w:eastAsia="仿宋" w:cs="仿宋"/>
          <w:color w:val="auto"/>
          <w:kern w:val="0"/>
          <w:sz w:val="24"/>
          <w:szCs w:val="24"/>
          <w:highlight w:val="none"/>
          <w:shd w:val="clear" w:color="auto" w:fill="FFFFFF"/>
          <w:lang w:eastAsia="zh-CN" w:bidi="ar"/>
        </w:rPr>
        <w:t>突发事件或</w:t>
      </w:r>
      <w:r>
        <w:rPr>
          <w:rFonts w:hint="eastAsia" w:ascii="仿宋" w:hAnsi="仿宋" w:eastAsia="仿宋" w:cs="仿宋"/>
          <w:color w:val="auto"/>
          <w:kern w:val="0"/>
          <w:sz w:val="24"/>
          <w:szCs w:val="24"/>
          <w:highlight w:val="none"/>
          <w:shd w:val="clear" w:color="auto" w:fill="FFFFFF"/>
          <w:lang w:val="en-US" w:eastAsia="zh-CN" w:bidi="ar"/>
        </w:rPr>
        <w:t>难</w:t>
      </w:r>
      <w:r>
        <w:rPr>
          <w:rFonts w:hint="eastAsia" w:ascii="仿宋" w:hAnsi="仿宋" w:eastAsia="仿宋" w:cs="仿宋"/>
          <w:color w:val="auto"/>
          <w:kern w:val="0"/>
          <w:sz w:val="24"/>
          <w:szCs w:val="24"/>
          <w:highlight w:val="none"/>
          <w:shd w:val="clear" w:color="auto" w:fill="FFFFFF"/>
          <w:lang w:eastAsia="zh-CN" w:bidi="ar"/>
        </w:rPr>
        <w:t>以</w:t>
      </w:r>
      <w:r>
        <w:rPr>
          <w:rFonts w:hint="eastAsia" w:ascii="仿宋" w:hAnsi="仿宋" w:eastAsia="仿宋" w:cs="仿宋"/>
          <w:color w:val="auto"/>
          <w:kern w:val="0"/>
          <w:sz w:val="24"/>
          <w:szCs w:val="24"/>
          <w:highlight w:val="none"/>
          <w:shd w:val="clear" w:color="auto" w:fill="FFFFFF"/>
          <w:lang w:val="en-US" w:eastAsia="zh-CN" w:bidi="ar"/>
        </w:rPr>
        <w:t>解决问题，及时上报</w:t>
      </w:r>
      <w:r>
        <w:rPr>
          <w:rFonts w:hint="eastAsia" w:ascii="仿宋" w:hAnsi="仿宋" w:eastAsia="仿宋" w:cs="仿宋"/>
          <w:color w:val="auto"/>
          <w:kern w:val="0"/>
          <w:sz w:val="24"/>
          <w:szCs w:val="24"/>
          <w:highlight w:val="none"/>
          <w:shd w:val="clear" w:color="auto" w:fill="FFFFFF"/>
          <w:lang w:eastAsia="zh-CN" w:bidi="ar"/>
        </w:rPr>
        <w:t>项目负责人</w:t>
      </w:r>
      <w:r>
        <w:rPr>
          <w:rFonts w:hint="eastAsia" w:ascii="仿宋" w:hAnsi="仿宋" w:eastAsia="仿宋" w:cs="仿宋"/>
          <w:color w:val="auto"/>
          <w:kern w:val="0"/>
          <w:sz w:val="24"/>
          <w:szCs w:val="24"/>
          <w:highlight w:val="none"/>
          <w:shd w:val="clear" w:color="auto" w:fill="FFFFFF"/>
          <w:lang w:val="en-US" w:eastAsia="zh-CN" w:bidi="ar"/>
        </w:rPr>
        <w:t>，不得与居民发生</w:t>
      </w:r>
      <w:r>
        <w:rPr>
          <w:rFonts w:hint="eastAsia" w:ascii="仿宋" w:hAnsi="仿宋" w:eastAsia="仿宋" w:cs="仿宋"/>
          <w:color w:val="auto"/>
          <w:kern w:val="0"/>
          <w:sz w:val="24"/>
          <w:szCs w:val="24"/>
          <w:highlight w:val="none"/>
          <w:shd w:val="clear" w:color="auto" w:fill="FFFFFF"/>
          <w:lang w:eastAsia="zh-CN" w:bidi="ar"/>
        </w:rPr>
        <w:t>语言或肢体上的</w:t>
      </w:r>
      <w:r>
        <w:rPr>
          <w:rFonts w:hint="eastAsia" w:ascii="仿宋" w:hAnsi="仿宋" w:eastAsia="仿宋" w:cs="仿宋"/>
          <w:color w:val="auto"/>
          <w:kern w:val="0"/>
          <w:sz w:val="24"/>
          <w:szCs w:val="24"/>
          <w:highlight w:val="none"/>
          <w:shd w:val="clear" w:color="auto" w:fill="FFFFFF"/>
          <w:lang w:val="en-US" w:eastAsia="zh-CN" w:bidi="ar"/>
        </w:rPr>
        <w:t xml:space="preserve">冲突。 </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1.1.6爱护设施设备、</w:t>
      </w:r>
      <w:r>
        <w:rPr>
          <w:rFonts w:hint="eastAsia" w:ascii="仿宋" w:hAnsi="仿宋" w:eastAsia="仿宋" w:cs="仿宋"/>
          <w:color w:val="auto"/>
          <w:kern w:val="0"/>
          <w:sz w:val="24"/>
          <w:szCs w:val="24"/>
          <w:highlight w:val="none"/>
          <w:shd w:val="clear" w:color="auto" w:fill="FFFFFF"/>
          <w:lang w:eastAsia="zh-CN" w:bidi="ar"/>
        </w:rPr>
        <w:t>操作</w:t>
      </w:r>
      <w:r>
        <w:rPr>
          <w:rFonts w:hint="eastAsia" w:ascii="仿宋" w:hAnsi="仿宋" w:eastAsia="仿宋" w:cs="仿宋"/>
          <w:color w:val="auto"/>
          <w:kern w:val="0"/>
          <w:sz w:val="24"/>
          <w:szCs w:val="24"/>
          <w:highlight w:val="none"/>
          <w:shd w:val="clear" w:color="auto" w:fill="FFFFFF"/>
          <w:lang w:val="en-US" w:eastAsia="zh-CN" w:bidi="ar"/>
        </w:rPr>
        <w:t>工具，及其它</w:t>
      </w:r>
      <w:r>
        <w:rPr>
          <w:rFonts w:hint="eastAsia" w:ascii="仿宋" w:hAnsi="仿宋" w:eastAsia="仿宋" w:cs="仿宋"/>
          <w:color w:val="auto"/>
          <w:kern w:val="0"/>
          <w:sz w:val="24"/>
          <w:szCs w:val="24"/>
          <w:highlight w:val="none"/>
          <w:shd w:val="clear" w:color="auto" w:fill="FFFFFF"/>
          <w:lang w:eastAsia="zh-CN" w:bidi="ar"/>
        </w:rPr>
        <w:t>各类</w:t>
      </w:r>
      <w:r>
        <w:rPr>
          <w:rFonts w:hint="eastAsia" w:ascii="仿宋" w:hAnsi="仿宋" w:eastAsia="仿宋" w:cs="仿宋"/>
          <w:color w:val="auto"/>
          <w:kern w:val="0"/>
          <w:sz w:val="24"/>
          <w:szCs w:val="24"/>
          <w:highlight w:val="none"/>
          <w:shd w:val="clear" w:color="auto" w:fill="FFFFFF"/>
          <w:lang w:val="en-US" w:eastAsia="zh-CN" w:bidi="ar"/>
        </w:rPr>
        <w:t>公有财产。</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（2）岗位职责规范</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eastAsia="zh-CN" w:bidi="ar"/>
        </w:rPr>
      </w:pPr>
      <w:r>
        <w:rPr>
          <w:rFonts w:hint="eastAsia" w:ascii="仿宋" w:hAnsi="仿宋" w:eastAsia="仿宋" w:cs="仿宋"/>
          <w:color w:val="auto"/>
          <w:kern w:val="0"/>
          <w:sz w:val="24"/>
          <w:szCs w:val="24"/>
          <w:highlight w:val="none"/>
          <w:shd w:val="clear" w:color="auto" w:fill="FFFFFF"/>
          <w:lang w:val="en-US" w:eastAsia="zh-CN" w:bidi="ar"/>
        </w:rPr>
        <w:t>2.1点位督导</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2.1.1职责：在居民小区“定时定点”投放运营时间段内，对投放点位垃圾分类投放的小区居民指导垃圾分类、宣传垃圾分类等工作，对垃圾桶内垃圾进行二次分拣，确保每天有易腐垃圾分出</w:t>
      </w:r>
      <w:r>
        <w:rPr>
          <w:rFonts w:hint="eastAsia" w:ascii="仿宋" w:hAnsi="仿宋" w:eastAsia="仿宋" w:cs="仿宋"/>
          <w:color w:val="FF0000"/>
          <w:kern w:val="0"/>
          <w:sz w:val="24"/>
          <w:szCs w:val="24"/>
          <w:highlight w:val="none"/>
          <w:shd w:val="clear" w:color="auto" w:fill="FFFFFF"/>
          <w:lang w:val="en-US" w:eastAsia="zh-CN" w:bidi="ar"/>
        </w:rPr>
        <w:t>（不少于1桶）</w:t>
      </w:r>
      <w:r>
        <w:rPr>
          <w:rFonts w:hint="eastAsia" w:ascii="仿宋" w:hAnsi="仿宋" w:eastAsia="仿宋" w:cs="仿宋"/>
          <w:color w:val="auto"/>
          <w:kern w:val="0"/>
          <w:sz w:val="24"/>
          <w:szCs w:val="24"/>
          <w:highlight w:val="none"/>
          <w:shd w:val="clear" w:color="auto" w:fill="FFFFFF"/>
          <w:lang w:val="en-US" w:eastAsia="zh-CN" w:bidi="ar"/>
        </w:rPr>
        <w:t>，保障易腐垃圾分类质量，易腐垃圾桶内不得有其他垃圾、可回收物、有害垃圾混入。</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2.1.2规范</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①</w:t>
      </w:r>
      <w:r>
        <w:rPr>
          <w:rFonts w:hint="eastAsia" w:ascii="仿宋" w:hAnsi="仿宋" w:eastAsia="仿宋" w:cs="仿宋"/>
          <w:color w:val="auto"/>
          <w:kern w:val="0"/>
          <w:sz w:val="24"/>
          <w:szCs w:val="24"/>
          <w:highlight w:val="none"/>
          <w:shd w:val="clear" w:color="auto" w:fill="FFFFFF"/>
          <w:lang w:eastAsia="zh-CN" w:bidi="ar"/>
        </w:rPr>
        <w:t>运营</w:t>
      </w:r>
      <w:r>
        <w:rPr>
          <w:rFonts w:hint="eastAsia" w:ascii="仿宋" w:hAnsi="仿宋" w:eastAsia="仿宋" w:cs="仿宋"/>
          <w:color w:val="auto"/>
          <w:kern w:val="0"/>
          <w:sz w:val="24"/>
          <w:szCs w:val="24"/>
          <w:highlight w:val="none"/>
          <w:shd w:val="clear" w:color="auto" w:fill="FFFFFF"/>
          <w:lang w:val="en-US" w:eastAsia="zh-CN" w:bidi="ar"/>
        </w:rPr>
        <w:t>投放时间开始前</w:t>
      </w:r>
      <w:r>
        <w:rPr>
          <w:rFonts w:hint="eastAsia" w:ascii="仿宋" w:hAnsi="仿宋" w:eastAsia="仿宋" w:cs="仿宋"/>
          <w:color w:val="auto"/>
          <w:kern w:val="0"/>
          <w:sz w:val="24"/>
          <w:szCs w:val="24"/>
          <w:highlight w:val="none"/>
          <w:shd w:val="clear" w:color="auto" w:fill="FFFFFF"/>
          <w:lang w:eastAsia="zh-CN" w:bidi="ar"/>
        </w:rPr>
        <w:t>十分钟</w:t>
      </w:r>
      <w:r>
        <w:rPr>
          <w:rFonts w:hint="eastAsia" w:ascii="仿宋" w:hAnsi="仿宋" w:eastAsia="仿宋" w:cs="仿宋"/>
          <w:color w:val="auto"/>
          <w:kern w:val="0"/>
          <w:sz w:val="24"/>
          <w:szCs w:val="24"/>
          <w:highlight w:val="none"/>
          <w:shd w:val="clear" w:color="auto" w:fill="FFFFFF"/>
          <w:lang w:val="en-US" w:eastAsia="zh-CN" w:bidi="ar"/>
        </w:rPr>
        <w:t>到岗并开启</w:t>
      </w:r>
      <w:r>
        <w:rPr>
          <w:rFonts w:hint="eastAsia" w:ascii="仿宋" w:hAnsi="仿宋" w:eastAsia="仿宋" w:cs="仿宋"/>
          <w:color w:val="auto"/>
          <w:kern w:val="0"/>
          <w:sz w:val="24"/>
          <w:szCs w:val="24"/>
          <w:highlight w:val="none"/>
          <w:shd w:val="clear" w:color="auto" w:fill="FFFFFF"/>
          <w:lang w:eastAsia="zh-CN" w:bidi="ar"/>
        </w:rPr>
        <w:t>垃圾分类投放</w:t>
      </w:r>
      <w:r>
        <w:rPr>
          <w:rFonts w:hint="eastAsia" w:ascii="仿宋" w:hAnsi="仿宋" w:eastAsia="仿宋" w:cs="仿宋"/>
          <w:color w:val="auto"/>
          <w:kern w:val="0"/>
          <w:sz w:val="24"/>
          <w:szCs w:val="24"/>
          <w:highlight w:val="none"/>
          <w:shd w:val="clear" w:color="auto" w:fill="FFFFFF"/>
          <w:lang w:val="en-US" w:eastAsia="zh-CN" w:bidi="ar"/>
        </w:rPr>
        <w:t>设备。</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②检查</w:t>
      </w:r>
      <w:r>
        <w:rPr>
          <w:rFonts w:hint="eastAsia" w:ascii="仿宋" w:hAnsi="仿宋" w:eastAsia="仿宋" w:cs="仿宋"/>
          <w:color w:val="auto"/>
          <w:kern w:val="0"/>
          <w:sz w:val="24"/>
          <w:szCs w:val="24"/>
          <w:highlight w:val="none"/>
          <w:shd w:val="clear" w:color="auto" w:fill="FFFFFF"/>
          <w:lang w:eastAsia="zh-CN" w:bidi="ar"/>
        </w:rPr>
        <w:t>投放</w:t>
      </w:r>
      <w:r>
        <w:rPr>
          <w:rFonts w:hint="eastAsia" w:ascii="仿宋" w:hAnsi="仿宋" w:eastAsia="仿宋" w:cs="仿宋"/>
          <w:color w:val="auto"/>
          <w:kern w:val="0"/>
          <w:sz w:val="24"/>
          <w:szCs w:val="24"/>
          <w:highlight w:val="none"/>
          <w:shd w:val="clear" w:color="auto" w:fill="FFFFFF"/>
          <w:lang w:val="en-US" w:eastAsia="zh-CN" w:bidi="ar"/>
        </w:rPr>
        <w:t>设备是否正常运行，</w:t>
      </w:r>
      <w:r>
        <w:rPr>
          <w:rFonts w:hint="eastAsia" w:ascii="仿宋" w:hAnsi="仿宋" w:eastAsia="仿宋" w:cs="仿宋"/>
          <w:color w:val="auto"/>
          <w:kern w:val="0"/>
          <w:sz w:val="24"/>
          <w:szCs w:val="24"/>
          <w:highlight w:val="none"/>
          <w:shd w:val="clear" w:color="auto" w:fill="FFFFFF"/>
          <w:lang w:eastAsia="zh-CN" w:bidi="ar"/>
        </w:rPr>
        <w:t>如</w:t>
      </w:r>
      <w:r>
        <w:rPr>
          <w:rFonts w:hint="eastAsia" w:ascii="仿宋" w:hAnsi="仿宋" w:eastAsia="仿宋" w:cs="仿宋"/>
          <w:color w:val="auto"/>
          <w:kern w:val="0"/>
          <w:sz w:val="24"/>
          <w:szCs w:val="24"/>
          <w:highlight w:val="none"/>
          <w:shd w:val="clear" w:color="auto" w:fill="FFFFFF"/>
          <w:lang w:val="en-US" w:eastAsia="zh-CN" w:bidi="ar"/>
        </w:rPr>
        <w:t>若发现异常</w:t>
      </w:r>
      <w:r>
        <w:rPr>
          <w:rFonts w:hint="eastAsia" w:ascii="仿宋" w:hAnsi="仿宋" w:eastAsia="仿宋" w:cs="仿宋"/>
          <w:color w:val="auto"/>
          <w:kern w:val="0"/>
          <w:sz w:val="24"/>
          <w:szCs w:val="24"/>
          <w:highlight w:val="none"/>
          <w:shd w:val="clear" w:color="auto" w:fill="FFFFFF"/>
          <w:lang w:eastAsia="zh-CN" w:bidi="ar"/>
        </w:rPr>
        <w:t>情况</w:t>
      </w:r>
      <w:r>
        <w:rPr>
          <w:rFonts w:hint="eastAsia" w:ascii="仿宋" w:hAnsi="仿宋" w:eastAsia="仿宋" w:cs="仿宋"/>
          <w:color w:val="auto"/>
          <w:kern w:val="0"/>
          <w:sz w:val="24"/>
          <w:szCs w:val="24"/>
          <w:highlight w:val="none"/>
          <w:shd w:val="clear" w:color="auto" w:fill="FFFFFF"/>
          <w:lang w:val="en-US" w:eastAsia="zh-CN" w:bidi="ar"/>
        </w:rPr>
        <w:t>及时上报，</w:t>
      </w:r>
      <w:r>
        <w:rPr>
          <w:rFonts w:hint="eastAsia" w:ascii="仿宋" w:hAnsi="仿宋" w:eastAsia="仿宋" w:cs="仿宋"/>
          <w:color w:val="auto"/>
          <w:kern w:val="0"/>
          <w:sz w:val="24"/>
          <w:szCs w:val="24"/>
          <w:highlight w:val="none"/>
          <w:shd w:val="clear" w:color="auto" w:fill="FFFFFF"/>
          <w:lang w:eastAsia="zh-CN" w:bidi="ar"/>
        </w:rPr>
        <w:t>投放集置</w:t>
      </w:r>
      <w:r>
        <w:rPr>
          <w:rFonts w:hint="eastAsia" w:ascii="仿宋" w:hAnsi="仿宋" w:eastAsia="仿宋" w:cs="仿宋"/>
          <w:color w:val="auto"/>
          <w:kern w:val="0"/>
          <w:sz w:val="24"/>
          <w:szCs w:val="24"/>
          <w:highlight w:val="none"/>
          <w:shd w:val="clear" w:color="auto" w:fill="FFFFFF"/>
          <w:lang w:val="en-US" w:eastAsia="zh-CN" w:bidi="ar"/>
        </w:rPr>
        <w:t>点位</w:t>
      </w:r>
      <w:r>
        <w:rPr>
          <w:rFonts w:hint="eastAsia" w:ascii="仿宋" w:hAnsi="仿宋" w:eastAsia="仿宋" w:cs="仿宋"/>
          <w:color w:val="auto"/>
          <w:kern w:val="0"/>
          <w:sz w:val="24"/>
          <w:szCs w:val="24"/>
          <w:highlight w:val="none"/>
          <w:shd w:val="clear" w:color="auto" w:fill="FFFFFF"/>
          <w:lang w:eastAsia="zh-CN" w:bidi="ar"/>
        </w:rPr>
        <w:t>设施设备、周边环境卫生的</w:t>
      </w:r>
      <w:r>
        <w:rPr>
          <w:rFonts w:hint="eastAsia" w:ascii="仿宋" w:hAnsi="仿宋" w:eastAsia="仿宋" w:cs="仿宋"/>
          <w:color w:val="auto"/>
          <w:kern w:val="0"/>
          <w:sz w:val="24"/>
          <w:szCs w:val="24"/>
          <w:highlight w:val="none"/>
          <w:shd w:val="clear" w:color="auto" w:fill="FFFFFF"/>
          <w:lang w:val="en-US" w:eastAsia="zh-CN" w:bidi="ar"/>
        </w:rPr>
        <w:t>保洁</w:t>
      </w:r>
      <w:r>
        <w:rPr>
          <w:rFonts w:hint="eastAsia" w:ascii="仿宋" w:hAnsi="仿宋" w:eastAsia="仿宋" w:cs="仿宋"/>
          <w:color w:val="auto"/>
          <w:kern w:val="0"/>
          <w:sz w:val="24"/>
          <w:szCs w:val="24"/>
          <w:highlight w:val="none"/>
          <w:shd w:val="clear" w:color="auto" w:fill="FFFFFF"/>
          <w:lang w:eastAsia="zh-CN" w:bidi="ar"/>
        </w:rPr>
        <w:t>工作</w:t>
      </w:r>
      <w:r>
        <w:rPr>
          <w:rFonts w:hint="eastAsia" w:ascii="仿宋" w:hAnsi="仿宋" w:eastAsia="仿宋" w:cs="仿宋"/>
          <w:color w:val="auto"/>
          <w:kern w:val="0"/>
          <w:sz w:val="24"/>
          <w:szCs w:val="24"/>
          <w:highlight w:val="none"/>
          <w:shd w:val="clear" w:color="auto" w:fill="FFFFFF"/>
          <w:lang w:val="en-US" w:eastAsia="zh-CN" w:bidi="ar"/>
        </w:rPr>
        <w:t>，确保点位整洁</w:t>
      </w:r>
      <w:r>
        <w:rPr>
          <w:rFonts w:hint="eastAsia" w:ascii="仿宋" w:hAnsi="仿宋" w:eastAsia="仿宋" w:cs="仿宋"/>
          <w:color w:val="auto"/>
          <w:kern w:val="0"/>
          <w:sz w:val="24"/>
          <w:szCs w:val="24"/>
          <w:highlight w:val="none"/>
          <w:shd w:val="clear" w:color="auto" w:fill="FFFFFF"/>
          <w:lang w:eastAsia="zh-CN" w:bidi="ar"/>
        </w:rPr>
        <w:t>美观</w:t>
      </w:r>
      <w:r>
        <w:rPr>
          <w:rFonts w:hint="eastAsia" w:ascii="仿宋" w:hAnsi="仿宋" w:eastAsia="仿宋" w:cs="仿宋"/>
          <w:color w:val="auto"/>
          <w:kern w:val="0"/>
          <w:sz w:val="24"/>
          <w:szCs w:val="24"/>
          <w:highlight w:val="none"/>
          <w:shd w:val="clear" w:color="auto" w:fill="FFFFFF"/>
          <w:lang w:val="en-US" w:eastAsia="zh-CN" w:bidi="ar"/>
        </w:rPr>
        <w:t>。</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③引导居民</w:t>
      </w:r>
      <w:r>
        <w:rPr>
          <w:rFonts w:hint="eastAsia" w:ascii="仿宋" w:hAnsi="仿宋" w:eastAsia="仿宋" w:cs="仿宋"/>
          <w:color w:val="auto"/>
          <w:kern w:val="0"/>
          <w:sz w:val="24"/>
          <w:szCs w:val="24"/>
          <w:highlight w:val="none"/>
          <w:shd w:val="clear" w:color="auto" w:fill="FFFFFF"/>
          <w:lang w:eastAsia="zh-CN" w:bidi="ar"/>
        </w:rPr>
        <w:t>操作</w:t>
      </w:r>
      <w:r>
        <w:rPr>
          <w:rFonts w:hint="eastAsia" w:ascii="仿宋" w:hAnsi="仿宋" w:eastAsia="仿宋" w:cs="仿宋"/>
          <w:color w:val="auto"/>
          <w:kern w:val="0"/>
          <w:sz w:val="24"/>
          <w:szCs w:val="24"/>
          <w:highlight w:val="none"/>
          <w:shd w:val="clear" w:color="auto" w:fill="FFFFFF"/>
          <w:lang w:val="en-US" w:eastAsia="zh-CN" w:bidi="ar"/>
        </w:rPr>
        <w:t>身份认证</w:t>
      </w:r>
      <w:r>
        <w:rPr>
          <w:rFonts w:hint="eastAsia" w:ascii="仿宋" w:hAnsi="仿宋" w:eastAsia="仿宋" w:cs="仿宋"/>
          <w:color w:val="auto"/>
          <w:kern w:val="0"/>
          <w:sz w:val="24"/>
          <w:szCs w:val="24"/>
          <w:highlight w:val="none"/>
          <w:shd w:val="clear" w:color="auto" w:fill="FFFFFF"/>
          <w:lang w:eastAsia="zh-CN" w:bidi="ar"/>
        </w:rPr>
        <w:t>环节</w:t>
      </w:r>
      <w:r>
        <w:rPr>
          <w:rFonts w:hint="eastAsia" w:ascii="仿宋" w:hAnsi="仿宋" w:eastAsia="仿宋" w:cs="仿宋"/>
          <w:color w:val="auto"/>
          <w:kern w:val="0"/>
          <w:sz w:val="24"/>
          <w:szCs w:val="24"/>
          <w:highlight w:val="none"/>
          <w:shd w:val="clear" w:color="auto" w:fill="FFFFFF"/>
          <w:lang w:val="en-US" w:eastAsia="zh-CN" w:bidi="ar"/>
        </w:rPr>
        <w:t>，</w:t>
      </w:r>
      <w:r>
        <w:rPr>
          <w:rFonts w:hint="eastAsia" w:ascii="仿宋" w:hAnsi="仿宋" w:eastAsia="仿宋" w:cs="仿宋"/>
          <w:color w:val="auto"/>
          <w:kern w:val="0"/>
          <w:sz w:val="24"/>
          <w:szCs w:val="24"/>
          <w:highlight w:val="none"/>
          <w:shd w:val="clear" w:color="auto" w:fill="FFFFFF"/>
          <w:lang w:eastAsia="zh-CN" w:bidi="ar"/>
        </w:rPr>
        <w:t>对</w:t>
      </w:r>
      <w:r>
        <w:rPr>
          <w:rFonts w:hint="eastAsia" w:ascii="仿宋" w:hAnsi="仿宋" w:eastAsia="仿宋" w:cs="仿宋"/>
          <w:color w:val="auto"/>
          <w:kern w:val="0"/>
          <w:sz w:val="24"/>
          <w:szCs w:val="24"/>
          <w:highlight w:val="none"/>
          <w:shd w:val="clear" w:color="auto" w:fill="FFFFFF"/>
          <w:lang w:val="en-US" w:eastAsia="zh-CN" w:bidi="ar"/>
        </w:rPr>
        <w:t>易腐垃圾破袋投放</w:t>
      </w:r>
      <w:r>
        <w:rPr>
          <w:rFonts w:hint="eastAsia" w:ascii="仿宋" w:hAnsi="仿宋" w:eastAsia="仿宋" w:cs="仿宋"/>
          <w:color w:val="auto"/>
          <w:kern w:val="0"/>
          <w:sz w:val="24"/>
          <w:szCs w:val="24"/>
          <w:highlight w:val="none"/>
          <w:shd w:val="clear" w:color="auto" w:fill="FFFFFF"/>
          <w:lang w:eastAsia="zh-CN" w:bidi="ar"/>
        </w:rPr>
        <w:t>、二次分拣，</w:t>
      </w:r>
      <w:r>
        <w:rPr>
          <w:rFonts w:hint="eastAsia" w:ascii="仿宋" w:hAnsi="仿宋" w:eastAsia="仿宋" w:cs="仿宋"/>
          <w:color w:val="auto"/>
          <w:kern w:val="0"/>
          <w:sz w:val="24"/>
          <w:szCs w:val="24"/>
          <w:highlight w:val="none"/>
          <w:shd w:val="clear" w:color="auto" w:fill="FFFFFF"/>
          <w:lang w:val="en-US" w:eastAsia="zh-CN" w:bidi="ar"/>
        </w:rPr>
        <w:t>原则上不</w:t>
      </w:r>
      <w:r>
        <w:rPr>
          <w:rFonts w:hint="eastAsia" w:ascii="仿宋" w:hAnsi="仿宋" w:eastAsia="仿宋" w:cs="仿宋"/>
          <w:color w:val="auto"/>
          <w:kern w:val="0"/>
          <w:sz w:val="24"/>
          <w:szCs w:val="24"/>
          <w:highlight w:val="none"/>
          <w:shd w:val="clear" w:color="auto" w:fill="FFFFFF"/>
          <w:lang w:eastAsia="zh-CN" w:bidi="ar"/>
        </w:rPr>
        <w:t>得使用督导员身份认证代</w:t>
      </w:r>
      <w:r>
        <w:rPr>
          <w:rFonts w:hint="eastAsia" w:ascii="仿宋" w:hAnsi="仿宋" w:eastAsia="仿宋" w:cs="仿宋"/>
          <w:color w:val="auto"/>
          <w:kern w:val="0"/>
          <w:sz w:val="24"/>
          <w:szCs w:val="24"/>
          <w:highlight w:val="none"/>
          <w:shd w:val="clear" w:color="auto" w:fill="FFFFFF"/>
          <w:lang w:val="en-US" w:eastAsia="zh-CN" w:bidi="ar"/>
        </w:rPr>
        <w:t>居民开</w:t>
      </w:r>
      <w:r>
        <w:rPr>
          <w:rFonts w:hint="eastAsia" w:ascii="仿宋" w:hAnsi="仿宋" w:eastAsia="仿宋" w:cs="仿宋"/>
          <w:color w:val="auto"/>
          <w:kern w:val="0"/>
          <w:sz w:val="24"/>
          <w:szCs w:val="24"/>
          <w:highlight w:val="none"/>
          <w:shd w:val="clear" w:color="auto" w:fill="FFFFFF"/>
          <w:lang w:eastAsia="zh-CN" w:bidi="ar"/>
        </w:rPr>
        <w:t>启</w:t>
      </w:r>
      <w:r>
        <w:rPr>
          <w:rFonts w:hint="eastAsia" w:ascii="仿宋" w:hAnsi="仿宋" w:eastAsia="仿宋" w:cs="仿宋"/>
          <w:color w:val="auto"/>
          <w:kern w:val="0"/>
          <w:sz w:val="24"/>
          <w:szCs w:val="24"/>
          <w:highlight w:val="none"/>
          <w:shd w:val="clear" w:color="auto" w:fill="FFFFFF"/>
          <w:lang w:val="en-US" w:eastAsia="zh-CN" w:bidi="ar"/>
        </w:rPr>
        <w:t>设备</w:t>
      </w:r>
      <w:r>
        <w:rPr>
          <w:rFonts w:hint="eastAsia" w:ascii="仿宋" w:hAnsi="仿宋" w:eastAsia="仿宋" w:cs="仿宋"/>
          <w:color w:val="auto"/>
          <w:kern w:val="0"/>
          <w:sz w:val="24"/>
          <w:szCs w:val="24"/>
          <w:highlight w:val="none"/>
          <w:shd w:val="clear" w:color="auto" w:fill="FFFFFF"/>
          <w:lang w:eastAsia="zh-CN" w:bidi="ar"/>
        </w:rPr>
        <w:t>投放口</w:t>
      </w:r>
      <w:r>
        <w:rPr>
          <w:rFonts w:hint="eastAsia" w:ascii="仿宋" w:hAnsi="仿宋" w:eastAsia="仿宋" w:cs="仿宋"/>
          <w:color w:val="auto"/>
          <w:kern w:val="0"/>
          <w:sz w:val="24"/>
          <w:szCs w:val="24"/>
          <w:highlight w:val="none"/>
          <w:shd w:val="clear" w:color="auto" w:fill="FFFFFF"/>
          <w:lang w:val="en-US" w:eastAsia="zh-CN" w:bidi="ar"/>
        </w:rPr>
        <w:t>、代扔垃圾。</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④及时</w:t>
      </w:r>
      <w:r>
        <w:rPr>
          <w:rFonts w:hint="eastAsia" w:ascii="仿宋" w:hAnsi="仿宋" w:eastAsia="仿宋" w:cs="仿宋"/>
          <w:color w:val="auto"/>
          <w:kern w:val="0"/>
          <w:sz w:val="24"/>
          <w:szCs w:val="24"/>
          <w:highlight w:val="none"/>
          <w:shd w:val="clear" w:color="auto" w:fill="FFFFFF"/>
          <w:lang w:eastAsia="zh-CN" w:bidi="ar"/>
        </w:rPr>
        <w:t>对</w:t>
      </w:r>
      <w:r>
        <w:rPr>
          <w:rFonts w:hint="eastAsia" w:ascii="仿宋" w:hAnsi="仿宋" w:eastAsia="仿宋" w:cs="仿宋"/>
          <w:color w:val="auto"/>
          <w:kern w:val="0"/>
          <w:sz w:val="24"/>
          <w:szCs w:val="24"/>
          <w:highlight w:val="none"/>
          <w:shd w:val="clear" w:color="auto" w:fill="FFFFFF"/>
          <w:lang w:val="en-US" w:eastAsia="zh-CN" w:bidi="ar"/>
        </w:rPr>
        <w:t>满桶</w:t>
      </w:r>
      <w:r>
        <w:rPr>
          <w:rFonts w:hint="eastAsia" w:ascii="仿宋" w:hAnsi="仿宋" w:eastAsia="仿宋" w:cs="仿宋"/>
          <w:color w:val="auto"/>
          <w:kern w:val="0"/>
          <w:sz w:val="24"/>
          <w:szCs w:val="24"/>
          <w:highlight w:val="none"/>
          <w:shd w:val="clear" w:color="auto" w:fill="FFFFFF"/>
          <w:lang w:eastAsia="zh-CN" w:bidi="ar"/>
        </w:rPr>
        <w:t>进行</w:t>
      </w:r>
      <w:r>
        <w:rPr>
          <w:rFonts w:hint="eastAsia" w:ascii="仿宋" w:hAnsi="仿宋" w:eastAsia="仿宋" w:cs="仿宋"/>
          <w:color w:val="auto"/>
          <w:kern w:val="0"/>
          <w:sz w:val="24"/>
          <w:szCs w:val="24"/>
          <w:highlight w:val="none"/>
          <w:shd w:val="clear" w:color="auto" w:fill="FFFFFF"/>
          <w:lang w:val="en-US" w:eastAsia="zh-CN" w:bidi="ar"/>
        </w:rPr>
        <w:t>更换，满桶与空桶</w:t>
      </w:r>
      <w:r>
        <w:rPr>
          <w:rFonts w:hint="eastAsia" w:ascii="仿宋" w:hAnsi="仿宋" w:eastAsia="仿宋" w:cs="仿宋"/>
          <w:color w:val="auto"/>
          <w:kern w:val="0"/>
          <w:sz w:val="24"/>
          <w:szCs w:val="24"/>
          <w:highlight w:val="none"/>
          <w:shd w:val="clear" w:color="auto" w:fill="FFFFFF"/>
          <w:lang w:eastAsia="zh-CN" w:bidi="ar"/>
        </w:rPr>
        <w:t>情况，</w:t>
      </w:r>
      <w:r>
        <w:rPr>
          <w:rFonts w:hint="eastAsia" w:ascii="仿宋" w:hAnsi="仿宋" w:eastAsia="仿宋" w:cs="仿宋"/>
          <w:color w:val="auto"/>
          <w:kern w:val="0"/>
          <w:sz w:val="24"/>
          <w:szCs w:val="24"/>
          <w:highlight w:val="none"/>
          <w:shd w:val="clear" w:color="auto" w:fill="FFFFFF"/>
          <w:lang w:val="en-US" w:eastAsia="zh-CN" w:bidi="ar"/>
        </w:rPr>
        <w:t>需关</w:t>
      </w:r>
      <w:r>
        <w:rPr>
          <w:rFonts w:hint="eastAsia" w:ascii="仿宋" w:hAnsi="仿宋" w:eastAsia="仿宋" w:cs="仿宋"/>
          <w:color w:val="auto"/>
          <w:kern w:val="0"/>
          <w:sz w:val="24"/>
          <w:szCs w:val="24"/>
          <w:highlight w:val="none"/>
          <w:shd w:val="clear" w:color="auto" w:fill="FFFFFF"/>
          <w:lang w:eastAsia="zh-CN" w:bidi="ar"/>
        </w:rPr>
        <w:t>闭桶</w:t>
      </w:r>
      <w:r>
        <w:rPr>
          <w:rFonts w:hint="eastAsia" w:ascii="仿宋" w:hAnsi="仿宋" w:eastAsia="仿宋" w:cs="仿宋"/>
          <w:color w:val="auto"/>
          <w:kern w:val="0"/>
          <w:sz w:val="24"/>
          <w:szCs w:val="24"/>
          <w:highlight w:val="none"/>
          <w:shd w:val="clear" w:color="auto" w:fill="FFFFFF"/>
          <w:lang w:val="en-US" w:eastAsia="zh-CN" w:bidi="ar"/>
        </w:rPr>
        <w:t>盖存放至相</w:t>
      </w:r>
      <w:r>
        <w:rPr>
          <w:rFonts w:hint="eastAsia" w:ascii="仿宋" w:hAnsi="仿宋" w:eastAsia="仿宋" w:cs="仿宋"/>
          <w:color w:val="auto"/>
          <w:kern w:val="0"/>
          <w:sz w:val="24"/>
          <w:szCs w:val="24"/>
          <w:highlight w:val="none"/>
          <w:shd w:val="clear" w:color="auto" w:fill="FFFFFF"/>
          <w:lang w:eastAsia="zh-CN" w:bidi="ar"/>
        </w:rPr>
        <w:t>对应</w:t>
      </w:r>
      <w:r>
        <w:rPr>
          <w:rFonts w:hint="eastAsia" w:ascii="仿宋" w:hAnsi="仿宋" w:eastAsia="仿宋" w:cs="仿宋"/>
          <w:color w:val="auto"/>
          <w:kern w:val="0"/>
          <w:sz w:val="24"/>
          <w:szCs w:val="24"/>
          <w:highlight w:val="none"/>
          <w:shd w:val="clear" w:color="auto" w:fill="FFFFFF"/>
          <w:lang w:val="en-US" w:eastAsia="zh-CN" w:bidi="ar"/>
        </w:rPr>
        <w:t>区域，垃圾桶不得出现满溢</w:t>
      </w:r>
      <w:r>
        <w:rPr>
          <w:rFonts w:hint="eastAsia" w:ascii="仿宋" w:hAnsi="仿宋" w:eastAsia="仿宋" w:cs="仿宋"/>
          <w:color w:val="auto"/>
          <w:kern w:val="0"/>
          <w:sz w:val="24"/>
          <w:szCs w:val="24"/>
          <w:highlight w:val="none"/>
          <w:shd w:val="clear" w:color="auto" w:fill="FFFFFF"/>
          <w:lang w:eastAsia="zh-CN" w:bidi="ar"/>
        </w:rPr>
        <w:t>或周围垃圾落地</w:t>
      </w:r>
      <w:r>
        <w:rPr>
          <w:rFonts w:hint="eastAsia" w:ascii="仿宋" w:hAnsi="仿宋" w:eastAsia="仿宋" w:cs="仿宋"/>
          <w:color w:val="auto"/>
          <w:kern w:val="0"/>
          <w:sz w:val="24"/>
          <w:szCs w:val="24"/>
          <w:highlight w:val="none"/>
          <w:shd w:val="clear" w:color="auto" w:fill="FFFFFF"/>
          <w:lang w:val="en-US" w:eastAsia="zh-CN" w:bidi="ar"/>
        </w:rPr>
        <w:t>现象。</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eastAsia="zh-CN" w:bidi="ar"/>
        </w:rPr>
      </w:pPr>
      <w:r>
        <w:rPr>
          <w:rFonts w:hint="eastAsia" w:ascii="仿宋" w:hAnsi="仿宋" w:eastAsia="仿宋" w:cs="仿宋"/>
          <w:color w:val="auto"/>
          <w:kern w:val="0"/>
          <w:sz w:val="24"/>
          <w:szCs w:val="24"/>
          <w:highlight w:val="none"/>
          <w:shd w:val="clear" w:color="auto" w:fill="FFFFFF"/>
          <w:lang w:val="en-US" w:eastAsia="zh-CN" w:bidi="ar"/>
        </w:rPr>
        <w:t>2.2分类劝导</w:t>
      </w:r>
      <w:r>
        <w:rPr>
          <w:rFonts w:hint="eastAsia" w:ascii="仿宋" w:hAnsi="仿宋" w:eastAsia="仿宋" w:cs="仿宋"/>
          <w:color w:val="auto"/>
          <w:kern w:val="0"/>
          <w:sz w:val="24"/>
          <w:szCs w:val="24"/>
          <w:highlight w:val="none"/>
          <w:shd w:val="clear" w:color="auto" w:fill="FFFFFF"/>
          <w:lang w:eastAsia="zh-CN" w:bidi="ar"/>
        </w:rPr>
        <w:t>职责规范</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2.2.1职责：对前来投放</w:t>
      </w:r>
      <w:r>
        <w:rPr>
          <w:rFonts w:hint="eastAsia" w:ascii="仿宋" w:hAnsi="仿宋" w:eastAsia="仿宋" w:cs="仿宋"/>
          <w:color w:val="auto"/>
          <w:kern w:val="0"/>
          <w:sz w:val="24"/>
          <w:szCs w:val="24"/>
          <w:highlight w:val="none"/>
          <w:shd w:val="clear" w:color="auto" w:fill="FFFFFF"/>
          <w:lang w:eastAsia="zh-CN" w:bidi="ar"/>
        </w:rPr>
        <w:t>垃圾</w:t>
      </w:r>
      <w:r>
        <w:rPr>
          <w:rFonts w:hint="eastAsia" w:ascii="仿宋" w:hAnsi="仿宋" w:eastAsia="仿宋" w:cs="仿宋"/>
          <w:color w:val="auto"/>
          <w:kern w:val="0"/>
          <w:sz w:val="24"/>
          <w:szCs w:val="24"/>
          <w:highlight w:val="none"/>
          <w:shd w:val="clear" w:color="auto" w:fill="FFFFFF"/>
          <w:lang w:val="en-US" w:eastAsia="zh-CN" w:bidi="ar"/>
        </w:rPr>
        <w:t>的</w:t>
      </w:r>
      <w:r>
        <w:rPr>
          <w:rFonts w:hint="eastAsia" w:ascii="仿宋" w:hAnsi="仿宋" w:eastAsia="仿宋" w:cs="仿宋"/>
          <w:color w:val="auto"/>
          <w:kern w:val="0"/>
          <w:sz w:val="24"/>
          <w:szCs w:val="24"/>
          <w:highlight w:val="none"/>
          <w:shd w:val="clear" w:color="auto" w:fill="FFFFFF"/>
          <w:lang w:eastAsia="zh-CN" w:bidi="ar"/>
        </w:rPr>
        <w:t>小区</w:t>
      </w:r>
      <w:r>
        <w:rPr>
          <w:rFonts w:hint="eastAsia" w:ascii="仿宋" w:hAnsi="仿宋" w:eastAsia="仿宋" w:cs="仿宋"/>
          <w:color w:val="auto"/>
          <w:kern w:val="0"/>
          <w:sz w:val="24"/>
          <w:szCs w:val="24"/>
          <w:highlight w:val="none"/>
          <w:shd w:val="clear" w:color="auto" w:fill="FFFFFF"/>
          <w:lang w:val="en-US" w:eastAsia="zh-CN" w:bidi="ar"/>
        </w:rPr>
        <w:t>居民进行分类劝导</w:t>
      </w:r>
      <w:r>
        <w:rPr>
          <w:rFonts w:hint="eastAsia" w:ascii="仿宋" w:hAnsi="仿宋" w:eastAsia="仿宋" w:cs="仿宋"/>
          <w:color w:val="auto"/>
          <w:kern w:val="0"/>
          <w:sz w:val="24"/>
          <w:szCs w:val="24"/>
          <w:highlight w:val="none"/>
          <w:shd w:val="clear" w:color="auto" w:fill="FFFFFF"/>
          <w:lang w:eastAsia="zh-CN" w:bidi="ar"/>
        </w:rPr>
        <w:t>和宣传</w:t>
      </w:r>
      <w:r>
        <w:rPr>
          <w:rFonts w:hint="eastAsia" w:ascii="仿宋" w:hAnsi="仿宋" w:eastAsia="仿宋" w:cs="仿宋"/>
          <w:color w:val="auto"/>
          <w:kern w:val="0"/>
          <w:sz w:val="24"/>
          <w:szCs w:val="24"/>
          <w:highlight w:val="none"/>
          <w:shd w:val="clear" w:color="auto" w:fill="FFFFFF"/>
          <w:lang w:val="en-US" w:eastAsia="zh-CN" w:bidi="ar"/>
        </w:rPr>
        <w:t>，形成良性舆论氛围。</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2.2.2规范：</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①对前来投放</w:t>
      </w:r>
      <w:r>
        <w:rPr>
          <w:rFonts w:hint="eastAsia" w:ascii="仿宋" w:hAnsi="仿宋" w:eastAsia="仿宋" w:cs="仿宋"/>
          <w:color w:val="auto"/>
          <w:kern w:val="0"/>
          <w:sz w:val="24"/>
          <w:szCs w:val="24"/>
          <w:highlight w:val="none"/>
          <w:shd w:val="clear" w:color="auto" w:fill="FFFFFF"/>
          <w:lang w:eastAsia="zh-CN" w:bidi="ar"/>
        </w:rPr>
        <w:t>垃圾</w:t>
      </w:r>
      <w:r>
        <w:rPr>
          <w:rFonts w:hint="eastAsia" w:ascii="仿宋" w:hAnsi="仿宋" w:eastAsia="仿宋" w:cs="仿宋"/>
          <w:color w:val="auto"/>
          <w:kern w:val="0"/>
          <w:sz w:val="24"/>
          <w:szCs w:val="24"/>
          <w:highlight w:val="none"/>
          <w:shd w:val="clear" w:color="auto" w:fill="FFFFFF"/>
          <w:lang w:val="en-US" w:eastAsia="zh-CN" w:bidi="ar"/>
        </w:rPr>
        <w:t>的居民主动打招呼，</w:t>
      </w:r>
      <w:r>
        <w:rPr>
          <w:rFonts w:hint="eastAsia" w:ascii="仿宋" w:hAnsi="仿宋" w:eastAsia="仿宋" w:cs="仿宋"/>
          <w:color w:val="auto"/>
          <w:kern w:val="0"/>
          <w:sz w:val="24"/>
          <w:szCs w:val="24"/>
          <w:highlight w:val="none"/>
          <w:shd w:val="clear" w:color="auto" w:fill="FFFFFF"/>
          <w:lang w:eastAsia="zh-CN" w:bidi="ar"/>
        </w:rPr>
        <w:t>宣讲</w:t>
      </w:r>
      <w:r>
        <w:rPr>
          <w:rFonts w:hint="eastAsia" w:ascii="仿宋" w:hAnsi="仿宋" w:eastAsia="仿宋" w:cs="仿宋"/>
          <w:color w:val="auto"/>
          <w:kern w:val="0"/>
          <w:sz w:val="24"/>
          <w:szCs w:val="24"/>
          <w:highlight w:val="none"/>
          <w:shd w:val="clear" w:color="auto" w:fill="FFFFFF"/>
          <w:lang w:val="en-US" w:eastAsia="zh-CN" w:bidi="ar"/>
        </w:rPr>
        <w:t>垃圾分类的好处和意义，对</w:t>
      </w:r>
      <w:r>
        <w:rPr>
          <w:rFonts w:hint="eastAsia" w:ascii="仿宋" w:hAnsi="仿宋" w:eastAsia="仿宋" w:cs="仿宋"/>
          <w:color w:val="auto"/>
          <w:kern w:val="0"/>
          <w:sz w:val="24"/>
          <w:szCs w:val="24"/>
          <w:highlight w:val="none"/>
          <w:shd w:val="clear" w:color="auto" w:fill="FFFFFF"/>
          <w:lang w:eastAsia="zh-CN" w:bidi="ar"/>
        </w:rPr>
        <w:t>积极</w:t>
      </w:r>
      <w:r>
        <w:rPr>
          <w:rFonts w:hint="eastAsia" w:ascii="仿宋" w:hAnsi="仿宋" w:eastAsia="仿宋" w:cs="仿宋"/>
          <w:color w:val="auto"/>
          <w:kern w:val="0"/>
          <w:sz w:val="24"/>
          <w:szCs w:val="24"/>
          <w:highlight w:val="none"/>
          <w:shd w:val="clear" w:color="auto" w:fill="FFFFFF"/>
          <w:lang w:val="en-US" w:eastAsia="zh-CN" w:bidi="ar"/>
        </w:rPr>
        <w:t>配合</w:t>
      </w:r>
      <w:r>
        <w:rPr>
          <w:rFonts w:hint="eastAsia" w:ascii="仿宋" w:hAnsi="仿宋" w:eastAsia="仿宋" w:cs="仿宋"/>
          <w:color w:val="auto"/>
          <w:kern w:val="0"/>
          <w:sz w:val="24"/>
          <w:szCs w:val="24"/>
          <w:highlight w:val="none"/>
          <w:shd w:val="clear" w:color="auto" w:fill="FFFFFF"/>
          <w:lang w:eastAsia="zh-CN" w:bidi="ar"/>
        </w:rPr>
        <w:t>的</w:t>
      </w:r>
      <w:r>
        <w:rPr>
          <w:rFonts w:hint="eastAsia" w:ascii="仿宋" w:hAnsi="仿宋" w:eastAsia="仿宋" w:cs="仿宋"/>
          <w:color w:val="auto"/>
          <w:kern w:val="0"/>
          <w:sz w:val="24"/>
          <w:szCs w:val="24"/>
          <w:highlight w:val="none"/>
          <w:shd w:val="clear" w:color="auto" w:fill="FFFFFF"/>
          <w:lang w:val="en-US" w:eastAsia="zh-CN" w:bidi="ar"/>
        </w:rPr>
        <w:t>居民给予表扬</w:t>
      </w:r>
      <w:r>
        <w:rPr>
          <w:rFonts w:hint="eastAsia" w:ascii="仿宋" w:hAnsi="仿宋" w:eastAsia="仿宋" w:cs="仿宋"/>
          <w:color w:val="auto"/>
          <w:kern w:val="0"/>
          <w:sz w:val="24"/>
          <w:szCs w:val="24"/>
          <w:highlight w:val="none"/>
          <w:shd w:val="clear" w:color="auto" w:fill="FFFFFF"/>
          <w:lang w:eastAsia="zh-CN" w:bidi="ar"/>
        </w:rPr>
        <w:t>和</w:t>
      </w:r>
      <w:r>
        <w:rPr>
          <w:rFonts w:hint="eastAsia" w:ascii="仿宋" w:hAnsi="仿宋" w:eastAsia="仿宋" w:cs="仿宋"/>
          <w:color w:val="auto"/>
          <w:kern w:val="0"/>
          <w:sz w:val="24"/>
          <w:szCs w:val="24"/>
          <w:highlight w:val="none"/>
          <w:shd w:val="clear" w:color="auto" w:fill="FFFFFF"/>
          <w:lang w:val="en-US" w:eastAsia="zh-CN" w:bidi="ar"/>
        </w:rPr>
        <w:t>肯定，营造小区</w:t>
      </w:r>
      <w:r>
        <w:rPr>
          <w:rFonts w:hint="eastAsia" w:ascii="仿宋" w:hAnsi="仿宋" w:eastAsia="仿宋" w:cs="仿宋"/>
          <w:color w:val="auto"/>
          <w:kern w:val="0"/>
          <w:sz w:val="24"/>
          <w:szCs w:val="24"/>
          <w:highlight w:val="none"/>
          <w:shd w:val="clear" w:color="auto" w:fill="FFFFFF"/>
          <w:lang w:eastAsia="zh-CN" w:bidi="ar"/>
        </w:rPr>
        <w:t>垃圾</w:t>
      </w:r>
      <w:r>
        <w:rPr>
          <w:rFonts w:hint="eastAsia" w:ascii="仿宋" w:hAnsi="仿宋" w:eastAsia="仿宋" w:cs="仿宋"/>
          <w:color w:val="auto"/>
          <w:kern w:val="0"/>
          <w:sz w:val="24"/>
          <w:szCs w:val="24"/>
          <w:highlight w:val="none"/>
          <w:shd w:val="clear" w:color="auto" w:fill="FFFFFF"/>
          <w:lang w:val="en-US" w:eastAsia="zh-CN" w:bidi="ar"/>
        </w:rPr>
        <w:t>分类</w:t>
      </w:r>
      <w:r>
        <w:rPr>
          <w:rFonts w:hint="eastAsia" w:ascii="仿宋" w:hAnsi="仿宋" w:eastAsia="仿宋" w:cs="仿宋"/>
          <w:color w:val="auto"/>
          <w:kern w:val="0"/>
          <w:sz w:val="24"/>
          <w:szCs w:val="24"/>
          <w:highlight w:val="none"/>
          <w:shd w:val="clear" w:color="auto" w:fill="FFFFFF"/>
          <w:lang w:eastAsia="zh-CN" w:bidi="ar"/>
        </w:rPr>
        <w:t>良好的</w:t>
      </w:r>
      <w:r>
        <w:rPr>
          <w:rFonts w:hint="eastAsia" w:ascii="仿宋" w:hAnsi="仿宋" w:eastAsia="仿宋" w:cs="仿宋"/>
          <w:color w:val="auto"/>
          <w:kern w:val="0"/>
          <w:sz w:val="24"/>
          <w:szCs w:val="24"/>
          <w:highlight w:val="none"/>
          <w:shd w:val="clear" w:color="auto" w:fill="FFFFFF"/>
          <w:lang w:val="en-US" w:eastAsia="zh-CN" w:bidi="ar"/>
        </w:rPr>
        <w:t>舆论氛围。</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②</w:t>
      </w:r>
      <w:r>
        <w:rPr>
          <w:rFonts w:hint="eastAsia" w:ascii="仿宋" w:hAnsi="仿宋" w:eastAsia="仿宋" w:cs="仿宋"/>
          <w:color w:val="auto"/>
          <w:kern w:val="0"/>
          <w:sz w:val="24"/>
          <w:szCs w:val="24"/>
          <w:highlight w:val="none"/>
          <w:shd w:val="clear" w:color="auto" w:fill="FFFFFF"/>
          <w:lang w:eastAsia="zh-CN" w:bidi="ar"/>
        </w:rPr>
        <w:t>重点关注</w:t>
      </w:r>
      <w:r>
        <w:rPr>
          <w:rFonts w:hint="eastAsia" w:ascii="仿宋" w:hAnsi="仿宋" w:eastAsia="仿宋" w:cs="仿宋"/>
          <w:color w:val="auto"/>
          <w:kern w:val="0"/>
          <w:sz w:val="24"/>
          <w:szCs w:val="24"/>
          <w:highlight w:val="none"/>
          <w:shd w:val="clear" w:color="auto" w:fill="FFFFFF"/>
          <w:lang w:val="en-US" w:eastAsia="zh-CN" w:bidi="ar"/>
        </w:rPr>
        <w:t>易腐垃圾分类质量，居民投放</w:t>
      </w:r>
      <w:r>
        <w:rPr>
          <w:rFonts w:hint="eastAsia" w:ascii="仿宋" w:hAnsi="仿宋" w:eastAsia="仿宋" w:cs="仿宋"/>
          <w:color w:val="auto"/>
          <w:kern w:val="0"/>
          <w:sz w:val="24"/>
          <w:szCs w:val="24"/>
          <w:highlight w:val="none"/>
          <w:shd w:val="clear" w:color="auto" w:fill="FFFFFF"/>
          <w:lang w:eastAsia="zh-CN" w:bidi="ar"/>
        </w:rPr>
        <w:t>垃圾</w:t>
      </w:r>
      <w:r>
        <w:rPr>
          <w:rFonts w:hint="eastAsia" w:ascii="仿宋" w:hAnsi="仿宋" w:eastAsia="仿宋" w:cs="仿宋"/>
          <w:color w:val="auto"/>
          <w:kern w:val="0"/>
          <w:sz w:val="24"/>
          <w:szCs w:val="24"/>
          <w:highlight w:val="none"/>
          <w:shd w:val="clear" w:color="auto" w:fill="FFFFFF"/>
          <w:lang w:val="en-US" w:eastAsia="zh-CN" w:bidi="ar"/>
        </w:rPr>
        <w:t>完成后，通过查看桶内</w:t>
      </w:r>
      <w:r>
        <w:rPr>
          <w:rFonts w:hint="eastAsia" w:ascii="仿宋" w:hAnsi="仿宋" w:eastAsia="仿宋" w:cs="仿宋"/>
          <w:color w:val="auto"/>
          <w:kern w:val="0"/>
          <w:sz w:val="24"/>
          <w:szCs w:val="24"/>
          <w:highlight w:val="none"/>
          <w:shd w:val="clear" w:color="auto" w:fill="FFFFFF"/>
          <w:lang w:eastAsia="zh-CN" w:bidi="ar"/>
        </w:rPr>
        <w:t>易腐垃圾破带及分类质量，</w:t>
      </w:r>
      <w:r>
        <w:rPr>
          <w:rFonts w:hint="eastAsia" w:ascii="仿宋" w:hAnsi="仿宋" w:eastAsia="仿宋" w:cs="仿宋"/>
          <w:color w:val="auto"/>
          <w:kern w:val="0"/>
          <w:sz w:val="24"/>
          <w:szCs w:val="24"/>
          <w:highlight w:val="none"/>
          <w:shd w:val="clear" w:color="auto" w:fill="FFFFFF"/>
          <w:lang w:val="en-US" w:eastAsia="zh-CN" w:bidi="ar"/>
        </w:rPr>
        <w:t>及时</w:t>
      </w:r>
      <w:r>
        <w:rPr>
          <w:rFonts w:hint="eastAsia" w:ascii="仿宋" w:hAnsi="仿宋" w:eastAsia="仿宋" w:cs="仿宋"/>
          <w:color w:val="auto"/>
          <w:kern w:val="0"/>
          <w:sz w:val="24"/>
          <w:szCs w:val="24"/>
          <w:highlight w:val="none"/>
          <w:shd w:val="clear" w:color="auto" w:fill="FFFFFF"/>
          <w:lang w:eastAsia="zh-CN" w:bidi="ar"/>
        </w:rPr>
        <w:t>给予</w:t>
      </w:r>
      <w:r>
        <w:rPr>
          <w:rFonts w:hint="eastAsia" w:ascii="仿宋" w:hAnsi="仿宋" w:eastAsia="仿宋" w:cs="仿宋"/>
          <w:color w:val="auto"/>
          <w:kern w:val="0"/>
          <w:sz w:val="24"/>
          <w:szCs w:val="24"/>
          <w:highlight w:val="none"/>
          <w:shd w:val="clear" w:color="auto" w:fill="FFFFFF"/>
          <w:lang w:val="en-US" w:eastAsia="zh-CN" w:bidi="ar"/>
        </w:rPr>
        <w:t>肯定评价和分类</w:t>
      </w:r>
      <w:r>
        <w:rPr>
          <w:rFonts w:hint="eastAsia" w:ascii="仿宋" w:hAnsi="仿宋" w:eastAsia="仿宋" w:cs="仿宋"/>
          <w:color w:val="auto"/>
          <w:kern w:val="0"/>
          <w:sz w:val="24"/>
          <w:szCs w:val="24"/>
          <w:highlight w:val="none"/>
          <w:shd w:val="clear" w:color="auto" w:fill="FFFFFF"/>
          <w:lang w:eastAsia="zh-CN" w:bidi="ar"/>
        </w:rPr>
        <w:t>指导</w:t>
      </w:r>
      <w:r>
        <w:rPr>
          <w:rFonts w:hint="eastAsia" w:ascii="仿宋" w:hAnsi="仿宋" w:eastAsia="仿宋" w:cs="仿宋"/>
          <w:color w:val="auto"/>
          <w:kern w:val="0"/>
          <w:sz w:val="24"/>
          <w:szCs w:val="24"/>
          <w:highlight w:val="none"/>
          <w:shd w:val="clear" w:color="auto" w:fill="FFFFFF"/>
          <w:lang w:val="en-US" w:eastAsia="zh-CN" w:bidi="ar"/>
        </w:rPr>
        <w:t>建议。</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2.3确保分类成效</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2.3.1职责：对居民投放的垃圾进行二次分拣，易腐垃圾破袋再二次分拣，确保分类质量。同时配合执法部门开展执法取证。</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2.3.2规范：在居民投放垃圾后，检查投放分类质量，发现分类有问题的，进行二次分拣，确保分类质量。</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2.4点位保洁</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2.4.1职责：负责投放集置点位设施设备及周边环境的保洁，包括上岗时段前小区居民乱投放垃圾的收集。</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2.4.2规范：</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①投放设备开启前：对责任范围内进行巡逻，捡拾乱投放垃圾，对投放点地面及设备进行保洁。</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②投放设备开启时：及时清理垃圾房地面、投放口的污渍水渍，保证投放口、地面整洁干净。</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③投放设备关闭后：及时更换满溢的垃圾桶，收运完成后对垃圾桶进行清洗擦拭；投放点位的周边地面的清洗保洁，垃圾集置房内部、外部的擦拭清理等，随时保持桶身干净，确保投放点位无异味。</w:t>
      </w:r>
      <w:r>
        <w:rPr>
          <w:rFonts w:hint="eastAsia" w:ascii="仿宋" w:hAnsi="仿宋" w:eastAsia="仿宋" w:cs="仿宋"/>
          <w:color w:val="FF0000"/>
          <w:kern w:val="0"/>
          <w:sz w:val="24"/>
          <w:szCs w:val="24"/>
          <w:highlight w:val="none"/>
          <w:shd w:val="clear" w:color="auto" w:fill="FFFFFF"/>
          <w:lang w:val="en-US" w:eastAsia="zh-CN" w:bidi="ar"/>
        </w:rPr>
        <w:t>巡捡员在非投放时段适当巡逻，捡拾乱投放垃圾。</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2.5垃圾收运</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2.5.1职责：负责与垃圾收运保洁人员对接相关工作。</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2.5.2规范：</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①满溢垃圾桶要及时通知保洁公司及时收运。</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②监督保洁公司进行分类收运。</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③做好垃圾分类收运台账，重点做好易腐垃圾分类收运的质量、数量等情况的台账登记。</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FF0000"/>
          <w:kern w:val="0"/>
          <w:sz w:val="24"/>
          <w:szCs w:val="24"/>
          <w:highlight w:val="none"/>
          <w:shd w:val="clear" w:color="auto" w:fill="FFFFFF"/>
          <w:lang w:val="en-US" w:eastAsia="zh-CN" w:bidi="ar"/>
        </w:rPr>
      </w:pPr>
      <w:r>
        <w:rPr>
          <w:rFonts w:hint="eastAsia" w:ascii="仿宋" w:hAnsi="仿宋" w:eastAsia="仿宋" w:cs="仿宋"/>
          <w:color w:val="FF0000"/>
          <w:kern w:val="0"/>
          <w:sz w:val="24"/>
          <w:szCs w:val="24"/>
          <w:highlight w:val="none"/>
          <w:shd w:val="clear" w:color="auto" w:fill="FFFFFF"/>
          <w:lang w:val="en-US" w:eastAsia="zh-CN" w:bidi="ar"/>
        </w:rPr>
        <w:t>2.6设备养护</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FF0000"/>
          <w:kern w:val="0"/>
          <w:sz w:val="24"/>
          <w:szCs w:val="24"/>
          <w:highlight w:val="none"/>
          <w:shd w:val="clear" w:color="auto" w:fill="FFFFFF"/>
          <w:lang w:val="en-US" w:eastAsia="zh-CN" w:bidi="ar"/>
        </w:rPr>
      </w:pPr>
      <w:r>
        <w:rPr>
          <w:rFonts w:hint="eastAsia" w:ascii="仿宋" w:hAnsi="仿宋" w:eastAsia="仿宋" w:cs="仿宋"/>
          <w:color w:val="FF0000"/>
          <w:kern w:val="0"/>
          <w:sz w:val="24"/>
          <w:szCs w:val="24"/>
          <w:highlight w:val="none"/>
          <w:shd w:val="clear" w:color="auto" w:fill="FFFFFF"/>
          <w:lang w:val="en-US" w:eastAsia="zh-CN" w:bidi="ar"/>
        </w:rPr>
        <w:t>2.6.1职责：负责设备的日常养护</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2.6.2规范：</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①在设备投放时间前提前开启设备，确认设备使用功能正常。</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②设备发生故障时，第一时间进行重启自动修复，若不能自行修复，马上联系管理人员，由管理人员进行干预。</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③指引引导居民按分类标准和投放规则进行投放，严禁使用外力干扰设备投放口开关。</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2.7其他日常工作</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4" w:firstLineChars="200"/>
        <w:jc w:val="both"/>
        <w:textAlignment w:val="auto"/>
        <w:outlineLvl w:val="9"/>
        <w:rPr>
          <w:rFonts w:hint="eastAsia" w:ascii="仿宋" w:hAnsi="仿宋" w:eastAsia="仿宋" w:cs="仿宋"/>
          <w:b w:val="0"/>
          <w:bCs w:val="0"/>
          <w:color w:val="auto"/>
          <w:spacing w:val="-4"/>
          <w:kern w:val="0"/>
          <w:sz w:val="24"/>
          <w:szCs w:val="24"/>
          <w:highlight w:val="none"/>
          <w:shd w:val="clear" w:color="auto" w:fill="FFFFFF"/>
          <w:lang w:val="en-US" w:eastAsia="zh-CN" w:bidi="ar"/>
        </w:rPr>
      </w:pPr>
      <w:r>
        <w:rPr>
          <w:rFonts w:hint="eastAsia" w:ascii="仿宋" w:hAnsi="仿宋" w:eastAsia="仿宋" w:cs="仿宋"/>
          <w:b w:val="0"/>
          <w:bCs w:val="0"/>
          <w:color w:val="auto"/>
          <w:spacing w:val="-4"/>
          <w:kern w:val="0"/>
          <w:sz w:val="24"/>
          <w:szCs w:val="24"/>
          <w:highlight w:val="none"/>
          <w:shd w:val="clear" w:color="auto" w:fill="FFFFFF"/>
          <w:lang w:val="en-US" w:eastAsia="zh-CN" w:bidi="ar"/>
        </w:rPr>
        <w:t>2.7.1供应商应制定对督导员的奖惩管理办法，加强对督导员的管理考核，充分调动督导员的工作积极性。</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4" w:firstLineChars="200"/>
        <w:jc w:val="both"/>
        <w:textAlignment w:val="auto"/>
        <w:outlineLvl w:val="9"/>
        <w:rPr>
          <w:rFonts w:hint="eastAsia" w:ascii="仿宋" w:hAnsi="仿宋" w:eastAsia="仿宋" w:cs="仿宋"/>
          <w:b w:val="0"/>
          <w:bCs w:val="0"/>
          <w:color w:val="auto"/>
          <w:spacing w:val="-4"/>
          <w:kern w:val="0"/>
          <w:sz w:val="24"/>
          <w:szCs w:val="24"/>
          <w:highlight w:val="none"/>
          <w:shd w:val="clear" w:color="auto" w:fill="FFFFFF"/>
          <w:lang w:val="en-US" w:eastAsia="zh-CN" w:bidi="ar"/>
        </w:rPr>
      </w:pPr>
      <w:r>
        <w:rPr>
          <w:rFonts w:hint="eastAsia" w:ascii="仿宋" w:hAnsi="仿宋" w:eastAsia="仿宋" w:cs="仿宋"/>
          <w:b w:val="0"/>
          <w:bCs w:val="0"/>
          <w:color w:val="auto"/>
          <w:spacing w:val="-4"/>
          <w:kern w:val="0"/>
          <w:sz w:val="24"/>
          <w:szCs w:val="24"/>
          <w:highlight w:val="none"/>
          <w:shd w:val="clear" w:color="auto" w:fill="FFFFFF"/>
          <w:lang w:val="en-US" w:eastAsia="zh-CN" w:bidi="ar"/>
        </w:rPr>
        <w:t>（3）熟悉垃圾分类基本常识</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4" w:firstLineChars="200"/>
        <w:jc w:val="both"/>
        <w:textAlignment w:val="auto"/>
        <w:outlineLvl w:val="9"/>
        <w:rPr>
          <w:rFonts w:hint="eastAsia" w:ascii="仿宋" w:hAnsi="仿宋" w:eastAsia="仿宋" w:cs="仿宋"/>
          <w:b w:val="0"/>
          <w:bCs w:val="0"/>
          <w:color w:val="auto"/>
          <w:spacing w:val="-4"/>
          <w:kern w:val="0"/>
          <w:sz w:val="24"/>
          <w:szCs w:val="24"/>
          <w:highlight w:val="none"/>
          <w:shd w:val="clear" w:color="auto" w:fill="FFFFFF"/>
          <w:lang w:val="en-US" w:eastAsia="zh-CN" w:bidi="ar"/>
        </w:rPr>
      </w:pPr>
      <w:r>
        <w:rPr>
          <w:rFonts w:hint="eastAsia" w:ascii="仿宋" w:hAnsi="仿宋" w:eastAsia="仿宋" w:cs="仿宋"/>
          <w:b w:val="0"/>
          <w:bCs w:val="0"/>
          <w:color w:val="auto"/>
          <w:spacing w:val="-4"/>
          <w:kern w:val="0"/>
          <w:sz w:val="24"/>
          <w:szCs w:val="24"/>
          <w:highlight w:val="none"/>
          <w:shd w:val="clear" w:color="auto" w:fill="FFFFFF"/>
          <w:lang w:val="en-US" w:eastAsia="zh-CN" w:bidi="ar"/>
        </w:rPr>
        <w:t>1.生活垃圾。生活垃圾是指在日常生活中或者为日常生活提供服务的活动中产生的固体废物以及法律、行政法规规定视为垃圾的固体废物。</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2.生活垃圾处置方式。目前处置生活垃圾的方式主要有三种：垃圾填埋、垃圾焚烧、垃圾生活处理。</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3.垃圾分类标准。浙江省城镇生活垃圾分类标准中，生活垃圾主要分为：有害垃圾、易腐垃圾、可回收物、其他垃圾。</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①有害垃圾，指对人体健康或者自然环境具有直接或者潜在危害的生活垃圾，主要包括废弃的电池（镉镍电池、氧化汞电池、铅蓄电池等），荧光灯管，含汞温度计，含汞血压计，药品及其包装物，油漆、溶剂及其包装物，杀虫剂、消毒剂及其包装物，胶片及相纸等。</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②易腐垃圾，指生产经营中和居民在日常生活中产生的容易腐烂的生活垃圾，包括废弃的蔬菜瓜果、肉类、水产品、米面食品、食用油脂、坚果炒货等。</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③可回收物，指适宜回收的可资源化利用的生活垃圾，主要包括废弃的纸、塑料、金属、包装物、纺织物、电器电子产品、玻璃等。</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④其他垃圾，指除可回收物、易腐垃圾、有害垃圾以外的其他生活垃圾。</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shd w:val="clear" w:color="auto" w:fill="FFFFFF"/>
          <w:lang w:val="en-US" w:eastAsia="zh-CN" w:bidi="ar"/>
        </w:rPr>
        <w:t>4.生活垃圾分类的四大环节：分类投放、分类收集、分类运输、分类处置。</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b/>
          <w:bCs/>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2、督导员及项目团队人员工资不得低于地方最低工资标准；</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b/>
          <w:bCs/>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3、中标供应商需于合同签订后一个月内提供相应服务人员应当提交的（第三方保险、用工合同等）给属地街道备案。</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b/>
          <w:bCs/>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4、项目负责人、运营专员、宣教员需与投标响应文件中人员名单一致，如需更换，需征的采购人同意且标准不得低于招标要求。</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b/>
          <w:bCs/>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5、项目负责人每月到位率必须达到22天以上。若中标后，项目负责人未到位或每月到位率不满22天的，视为违约，每少在一天扣款1000元。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kern w:val="0"/>
          <w:sz w:val="24"/>
          <w:szCs w:val="24"/>
          <w:highlight w:val="none"/>
          <w:shd w:val="clear" w:color="auto" w:fill="FFFFFF"/>
          <w:lang w:val="en-US" w:eastAsia="zh-CN" w:bidi="ar"/>
        </w:rPr>
        <w:t>6、</w:t>
      </w:r>
      <w:r>
        <w:rPr>
          <w:rFonts w:hint="eastAsia" w:ascii="仿宋" w:hAnsi="仿宋" w:eastAsia="仿宋" w:cs="仿宋"/>
          <w:b/>
          <w:bCs/>
          <w:color w:val="FF0000"/>
          <w:kern w:val="0"/>
          <w:sz w:val="24"/>
          <w:szCs w:val="24"/>
          <w:highlight w:val="none"/>
          <w:shd w:val="clear" w:color="auto" w:fill="FFFFFF"/>
          <w:lang w:val="en-US" w:eastAsia="zh-CN" w:bidi="ar"/>
        </w:rPr>
        <w:t>项目团队运营专员</w:t>
      </w:r>
      <w:r>
        <w:rPr>
          <w:rFonts w:hint="eastAsia" w:ascii="仿宋" w:hAnsi="仿宋" w:eastAsia="仿宋" w:cs="仿宋"/>
          <w:b/>
          <w:bCs/>
          <w:color w:val="auto"/>
          <w:kern w:val="0"/>
          <w:sz w:val="24"/>
          <w:szCs w:val="24"/>
          <w:highlight w:val="none"/>
          <w:shd w:val="clear" w:color="auto" w:fill="FFFFFF"/>
          <w:lang w:val="en-US" w:eastAsia="zh-CN" w:bidi="ar"/>
        </w:rPr>
        <w:t>、宣教员需履行响应的工作职责。</w:t>
      </w:r>
    </w:p>
    <w:p>
      <w:pPr>
        <w:pStyle w:val="19"/>
        <w:keepNext w:val="0"/>
        <w:keepLines w:val="0"/>
        <w:pageBreakBefore w:val="0"/>
        <w:widowControl w:val="0"/>
        <w:numPr>
          <w:ilvl w:val="0"/>
          <w:numId w:val="2"/>
        </w:numPr>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运行管理：</w:t>
      </w:r>
      <w:r>
        <w:rPr>
          <w:rFonts w:hint="eastAsia" w:ascii="仿宋" w:hAnsi="仿宋" w:eastAsia="仿宋" w:cs="仿宋"/>
          <w:color w:val="auto"/>
          <w:kern w:val="0"/>
          <w:sz w:val="24"/>
          <w:szCs w:val="24"/>
          <w:highlight w:val="none"/>
          <w:shd w:val="clear" w:color="auto" w:fill="FFFFFF"/>
          <w:lang w:val="en-US" w:eastAsia="zh-CN" w:bidi="ar"/>
        </w:rPr>
        <w:t>供应商应建立“定时定点投放”（投放时间为早上6:00-9:00，晚上17:00-20:00，具体时间可由街道根据视实际情况调整）、上门宣传工作队伍并开展业务培训，制定队伍的日常管理考核等工作制度。供应商应按照省级高标准垃圾分类示范小区及绍兴越美小区相关工作要求对居民小区进行垃圾分类，并对易腐垃圾、其他垃圾、有毒有害垃圾和可回收物的收集进行规范管理</w:t>
      </w:r>
      <w:r>
        <w:rPr>
          <w:rFonts w:hint="eastAsia" w:ascii="仿宋" w:hAnsi="仿宋" w:eastAsia="仿宋" w:cs="仿宋"/>
          <w:b w:val="0"/>
          <w:bCs w:val="0"/>
          <w:color w:val="auto"/>
          <w:kern w:val="0"/>
          <w:sz w:val="24"/>
          <w:szCs w:val="24"/>
          <w:highlight w:val="none"/>
          <w:shd w:val="clear" w:color="auto" w:fill="FFFFFF"/>
          <w:lang w:val="en-US" w:eastAsia="zh-CN" w:bidi="ar"/>
        </w:rPr>
        <w:t>，加强再生资源垃圾分类回收的宣传力度，提升垃圾分类水平。</w:t>
      </w:r>
      <w:r>
        <w:rPr>
          <w:rFonts w:hint="eastAsia" w:ascii="仿宋" w:hAnsi="仿宋" w:eastAsia="仿宋" w:cs="仿宋"/>
          <w:color w:val="auto"/>
          <w:kern w:val="0"/>
          <w:sz w:val="24"/>
          <w:szCs w:val="24"/>
          <w:highlight w:val="none"/>
          <w:shd w:val="clear" w:color="auto" w:fill="FFFFFF"/>
          <w:lang w:val="en-US" w:eastAsia="zh-CN" w:bidi="ar"/>
        </w:rPr>
        <w:t>各垃圾集置点管理到位，日常点位干净整洁、无异味、定时消杀除臭，垃圾收集容器定期清洗、维护、更新，做到无污垢、无破损、无积水、无满溢。</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（三）宣传培训：</w:t>
      </w:r>
      <w:r>
        <w:rPr>
          <w:rFonts w:hint="eastAsia" w:ascii="仿宋" w:hAnsi="仿宋" w:eastAsia="仿宋" w:cs="仿宋"/>
          <w:color w:val="auto"/>
          <w:kern w:val="0"/>
          <w:sz w:val="24"/>
          <w:szCs w:val="24"/>
          <w:highlight w:val="none"/>
          <w:shd w:val="clear" w:color="auto" w:fill="FFFFFF"/>
          <w:lang w:val="en-US" w:eastAsia="zh-CN" w:bidi="ar"/>
        </w:rPr>
        <w:t>供应商制定详尽的提升居民垃圾分类知识知晓率、居民垃圾分类参与率的实施方案及阶段目标考核措施；供应商应设有宣教员队伍，每个小区每季度需办一次宣传活动，并整理好相关宣传台账资料；完成服务小区全部住户100%的上门垃圾分类宣讲并需住户签字确认；每次举办活动的相关照片、信息、参加活动名单等及时交予街道或者社区，所上报的动态信息稿件要求具有时效性。</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（四）收运处置：</w:t>
      </w:r>
      <w:r>
        <w:rPr>
          <w:rFonts w:hint="eastAsia" w:ascii="仿宋" w:hAnsi="仿宋" w:eastAsia="仿宋" w:cs="仿宋"/>
          <w:color w:val="auto"/>
          <w:kern w:val="0"/>
          <w:sz w:val="24"/>
          <w:szCs w:val="24"/>
          <w:highlight w:val="none"/>
          <w:shd w:val="clear" w:color="auto" w:fill="FFFFFF"/>
          <w:lang w:val="en-US" w:eastAsia="zh-CN" w:bidi="ar"/>
        </w:rPr>
        <w:t>供应商应对小区可回收箱、有毒有害箱内垃圾进行收集，并交由相应资质的企业处置；若全市建立统一可回收和有害垃圾回收处置体系的，经街道、社区协调，纳入全市回收处置体系。</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b/>
          <w:bCs/>
          <w:color w:val="auto"/>
          <w:kern w:val="0"/>
          <w:sz w:val="24"/>
          <w:szCs w:val="24"/>
          <w:highlight w:val="none"/>
          <w:shd w:val="clear" w:color="auto" w:fill="FFFFFF"/>
          <w:lang w:val="en-US" w:eastAsia="zh-CN" w:bidi="ar"/>
        </w:rPr>
        <w:t>（五）</w:t>
      </w:r>
      <w:r>
        <w:rPr>
          <w:rFonts w:hint="eastAsia" w:ascii="仿宋" w:hAnsi="仿宋" w:eastAsia="仿宋" w:cs="仿宋"/>
          <w:color w:val="auto"/>
          <w:kern w:val="0"/>
          <w:sz w:val="24"/>
          <w:szCs w:val="24"/>
          <w:highlight w:val="none"/>
          <w:shd w:val="clear" w:color="auto" w:fill="FFFFFF"/>
          <w:lang w:val="en-US" w:eastAsia="zh-CN" w:bidi="ar"/>
        </w:rPr>
        <w:t>要求供应商协助物业做好建筑装修（大件)垃圾投放点的管理工作，保证小区内无建筑垃圾、绿化垃圾等非生活垃圾与生活垃圾混投混放的情况。</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kern w:val="0"/>
          <w:sz w:val="24"/>
          <w:szCs w:val="24"/>
          <w:highlight w:val="none"/>
          <w:shd w:val="clear" w:color="auto" w:fill="FFFFFF"/>
          <w:lang w:val="en-US" w:eastAsia="zh-CN" w:bidi="ar"/>
        </w:rPr>
        <w:t>四、绍兴平台及嵊州智慧城管信息平台的对接要求：</w:t>
      </w:r>
      <w:r>
        <w:rPr>
          <w:rFonts w:hint="eastAsia" w:ascii="仿宋" w:hAnsi="仿宋" w:eastAsia="仿宋" w:cs="仿宋"/>
          <w:b w:val="0"/>
          <w:bCs w:val="0"/>
          <w:color w:val="auto"/>
          <w:kern w:val="0"/>
          <w:sz w:val="24"/>
          <w:szCs w:val="24"/>
          <w:highlight w:val="none"/>
          <w:shd w:val="clear" w:color="auto" w:fill="FFFFFF"/>
          <w:lang w:val="en-US" w:eastAsia="zh-CN" w:bidi="ar"/>
        </w:rPr>
        <w:t>供应商中标后要一周内完成与原运维服务单位系统平台移交工作的对接，确保系统平台能正常使用。供应商应建立数据信息平台与绍兴平台及嵊州智慧城管垃圾分类信息平台进行数据对接，上传日常运营小区居民的身份卡、投放垃圾量、视频画面监控等相关信息数据。</w:t>
      </w:r>
    </w:p>
    <w:p>
      <w:pPr>
        <w:snapToGrid w:val="0"/>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五、商务条款</w:t>
      </w:r>
    </w:p>
    <w:tbl>
      <w:tblPr>
        <w:tblStyle w:val="20"/>
        <w:tblW w:w="8280"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1"/>
        <w:gridCol w:w="1572"/>
        <w:gridCol w:w="5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b/>
                <w:bCs/>
                <w:color w:val="auto"/>
                <w:kern w:val="1"/>
                <w:sz w:val="24"/>
                <w:highlight w:val="none"/>
              </w:rPr>
            </w:pPr>
            <w:r>
              <w:rPr>
                <w:rFonts w:hint="eastAsia" w:ascii="仿宋" w:hAnsi="仿宋" w:eastAsia="仿宋" w:cs="仿宋"/>
                <w:b/>
                <w:bCs/>
                <w:color w:val="auto"/>
                <w:kern w:val="1"/>
                <w:sz w:val="24"/>
                <w:highlight w:val="none"/>
              </w:rPr>
              <w:t>序号</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b/>
                <w:bCs/>
                <w:color w:val="auto"/>
                <w:kern w:val="1"/>
                <w:sz w:val="24"/>
                <w:highlight w:val="none"/>
              </w:rPr>
            </w:pPr>
            <w:r>
              <w:rPr>
                <w:rFonts w:hint="eastAsia" w:ascii="仿宋" w:hAnsi="仿宋" w:eastAsia="仿宋" w:cs="仿宋"/>
                <w:b/>
                <w:bCs/>
                <w:color w:val="auto"/>
                <w:kern w:val="1"/>
                <w:sz w:val="24"/>
                <w:highlight w:val="none"/>
              </w:rPr>
              <w:t>内</w:t>
            </w:r>
            <w:r>
              <w:rPr>
                <w:rFonts w:hint="eastAsia" w:ascii="仿宋" w:hAnsi="仿宋" w:eastAsia="仿宋" w:cs="仿宋"/>
                <w:b/>
                <w:bCs/>
                <w:color w:val="auto"/>
                <w:kern w:val="1"/>
                <w:sz w:val="24"/>
                <w:highlight w:val="none"/>
                <w:lang w:val="en-US" w:eastAsia="zh-CN"/>
              </w:rPr>
              <w:t xml:space="preserve">  </w:t>
            </w:r>
            <w:r>
              <w:rPr>
                <w:rFonts w:hint="eastAsia" w:ascii="仿宋" w:hAnsi="仿宋" w:eastAsia="仿宋" w:cs="仿宋"/>
                <w:b/>
                <w:bCs/>
                <w:color w:val="auto"/>
                <w:kern w:val="1"/>
                <w:sz w:val="24"/>
                <w:highlight w:val="none"/>
              </w:rPr>
              <w:t>容</w:t>
            </w:r>
          </w:p>
        </w:tc>
        <w:tc>
          <w:tcPr>
            <w:tcW w:w="597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cs="仿宋"/>
                <w:b/>
                <w:bCs/>
                <w:color w:val="auto"/>
                <w:kern w:val="1"/>
                <w:sz w:val="24"/>
                <w:highlight w:val="none"/>
              </w:rPr>
            </w:pPr>
            <w:r>
              <w:rPr>
                <w:rFonts w:hint="eastAsia" w:ascii="仿宋" w:hAnsi="仿宋" w:eastAsia="仿宋" w:cs="仿宋"/>
                <w:b/>
                <w:bCs/>
                <w:color w:val="auto"/>
                <w:kern w:val="1"/>
                <w:sz w:val="24"/>
                <w:highlight w:val="none"/>
              </w:rPr>
              <w:t>要</w:t>
            </w:r>
            <w:r>
              <w:rPr>
                <w:rFonts w:hint="eastAsia" w:ascii="仿宋" w:hAnsi="仿宋" w:eastAsia="仿宋" w:cs="仿宋"/>
                <w:b/>
                <w:bCs/>
                <w:color w:val="auto"/>
                <w:kern w:val="1"/>
                <w:sz w:val="24"/>
                <w:highlight w:val="none"/>
                <w:lang w:val="en-US" w:eastAsia="zh-CN"/>
              </w:rPr>
              <w:t xml:space="preserve">      </w:t>
            </w:r>
            <w:r>
              <w:rPr>
                <w:rFonts w:hint="eastAsia" w:ascii="仿宋" w:hAnsi="仿宋" w:eastAsia="仿宋" w:cs="仿宋"/>
                <w:b/>
                <w:bCs/>
                <w:color w:val="auto"/>
                <w:kern w:val="1"/>
                <w:sz w:val="24"/>
                <w:highlight w:val="none"/>
              </w:rPr>
              <w:t>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color w:val="auto"/>
                <w:kern w:val="1"/>
                <w:sz w:val="24"/>
                <w:highlight w:val="none"/>
                <w:lang w:val="en-US" w:eastAsia="zh-CN"/>
              </w:rPr>
            </w:pPr>
            <w:r>
              <w:rPr>
                <w:rFonts w:hint="eastAsia" w:ascii="仿宋" w:hAnsi="仿宋" w:eastAsia="仿宋" w:cs="仿宋"/>
                <w:b w:val="0"/>
                <w:bCs w:val="0"/>
                <w:color w:val="auto"/>
                <w:kern w:val="1"/>
                <w:sz w:val="24"/>
                <w:highlight w:val="none"/>
                <w:lang w:val="en-US" w:eastAsia="zh-CN"/>
              </w:rPr>
              <w:t>1</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b w:val="0"/>
                <w:bCs w:val="0"/>
                <w:color w:val="auto"/>
                <w:kern w:val="1"/>
                <w:sz w:val="24"/>
                <w:highlight w:val="none"/>
                <w:lang w:eastAsia="zh-CN"/>
              </w:rPr>
            </w:pPr>
            <w:r>
              <w:rPr>
                <w:rFonts w:hint="eastAsia" w:ascii="仿宋" w:hAnsi="仿宋" w:eastAsia="仿宋" w:cs="仿宋"/>
                <w:b w:val="0"/>
                <w:bCs w:val="0"/>
                <w:color w:val="auto"/>
                <w:kern w:val="1"/>
                <w:sz w:val="24"/>
                <w:highlight w:val="none"/>
                <w:lang w:eastAsia="zh-CN"/>
              </w:rPr>
              <w:t>服务期</w:t>
            </w:r>
          </w:p>
        </w:tc>
        <w:tc>
          <w:tcPr>
            <w:tcW w:w="597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hint="default" w:ascii="仿宋" w:hAnsi="仿宋" w:eastAsia="仿宋" w:cs="仿宋"/>
                <w:b w:val="0"/>
                <w:bCs w:val="0"/>
                <w:color w:val="auto"/>
                <w:kern w:val="1"/>
                <w:sz w:val="24"/>
                <w:highlight w:val="none"/>
                <w:lang w:val="en-US" w:eastAsia="zh-CN"/>
              </w:rPr>
            </w:pPr>
            <w:r>
              <w:rPr>
                <w:rFonts w:hint="eastAsia" w:ascii="仿宋" w:hAnsi="仿宋" w:eastAsia="仿宋" w:cs="仿宋"/>
                <w:b w:val="0"/>
                <w:bCs w:val="0"/>
                <w:color w:val="auto"/>
                <w:kern w:val="1"/>
                <w:sz w:val="24"/>
                <w:highlight w:val="none"/>
                <w:lang w:val="en-US" w:eastAsia="zh-CN"/>
              </w:rPr>
              <w:t>合同签订之日起2年（合同一年一签）。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auto"/>
                <w:kern w:val="1"/>
                <w:sz w:val="24"/>
                <w:highlight w:val="none"/>
                <w:lang w:eastAsia="zh-CN"/>
              </w:rPr>
            </w:pPr>
            <w:r>
              <w:rPr>
                <w:rFonts w:hint="eastAsia" w:ascii="仿宋" w:hAnsi="仿宋" w:eastAsia="仿宋" w:cs="仿宋"/>
                <w:color w:val="auto"/>
                <w:kern w:val="1"/>
                <w:sz w:val="24"/>
                <w:highlight w:val="none"/>
                <w:lang w:val="en-US" w:eastAsia="zh-CN"/>
              </w:rPr>
              <w:t>2</w:t>
            </w:r>
          </w:p>
        </w:tc>
        <w:tc>
          <w:tcPr>
            <w:tcW w:w="157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Fonts w:ascii="仿宋" w:hAnsi="仿宋" w:eastAsia="仿宋" w:cs="仿宋"/>
                <w:color w:val="auto"/>
                <w:kern w:val="1"/>
                <w:sz w:val="24"/>
                <w:highlight w:val="none"/>
              </w:rPr>
            </w:pPr>
            <w:r>
              <w:rPr>
                <w:rFonts w:hint="eastAsia" w:ascii="仿宋" w:hAnsi="仿宋" w:eastAsia="仿宋" w:cs="仿宋"/>
                <w:color w:val="auto"/>
                <w:sz w:val="24"/>
                <w:highlight w:val="none"/>
              </w:rPr>
              <w:t>履约保证金</w:t>
            </w:r>
          </w:p>
        </w:tc>
        <w:tc>
          <w:tcPr>
            <w:tcW w:w="597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合同总金额的1%（详见</w:t>
            </w:r>
            <w:r>
              <w:rPr>
                <w:rFonts w:ascii="仿宋_GB2312" w:hAnsi="仿宋" w:eastAsia="仿宋_GB2312" w:cs="仿宋_GB2312"/>
                <w:color w:val="auto"/>
                <w:sz w:val="24"/>
                <w:highlight w:val="none"/>
              </w:rPr>
              <w:t>第二部分第</w:t>
            </w:r>
            <w:r>
              <w:rPr>
                <w:rFonts w:hint="eastAsia" w:ascii="仿宋_GB2312" w:hAnsi="仿宋" w:eastAsia="仿宋_GB2312" w:cs="仿宋_GB2312"/>
                <w:color w:val="auto"/>
                <w:sz w:val="24"/>
                <w:highlight w:val="none"/>
              </w:rPr>
              <w:t>26</w:t>
            </w:r>
            <w:r>
              <w:rPr>
                <w:rFonts w:ascii="仿宋_GB2312" w:hAnsi="仿宋" w:eastAsia="仿宋_GB2312" w:cs="仿宋_GB2312"/>
                <w:color w:val="auto"/>
                <w:sz w:val="24"/>
                <w:highlight w:val="none"/>
              </w:rPr>
              <w:t>点—“</w:t>
            </w:r>
            <w:r>
              <w:rPr>
                <w:rFonts w:hint="eastAsia" w:ascii="仿宋_GB2312" w:hAnsi="仿宋" w:eastAsia="仿宋_GB2312" w:cs="仿宋_GB2312"/>
                <w:color w:val="auto"/>
                <w:sz w:val="24"/>
                <w:highlight w:val="none"/>
              </w:rPr>
              <w:t>履约保证金</w:t>
            </w:r>
            <w:r>
              <w:rPr>
                <w:rFonts w:ascii="仿宋_GB2312" w:hAnsi="仿宋" w:eastAsia="仿宋_GB2312" w:cs="仿宋_GB2312"/>
                <w:color w:val="auto"/>
                <w:sz w:val="24"/>
                <w:highlight w:val="none"/>
              </w:rPr>
              <w:t>”</w:t>
            </w:r>
            <w:r>
              <w:rPr>
                <w:rFonts w:hint="eastAsia" w:ascii="仿宋" w:hAnsi="仿宋" w:eastAsia="仿宋" w:cs="仿宋"/>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auto"/>
                <w:kern w:val="1"/>
                <w:sz w:val="24"/>
                <w:highlight w:val="none"/>
                <w:lang w:eastAsia="zh-CN"/>
              </w:rPr>
            </w:pPr>
            <w:r>
              <w:rPr>
                <w:rFonts w:hint="eastAsia" w:ascii="仿宋" w:hAnsi="仿宋" w:eastAsia="仿宋" w:cs="仿宋"/>
                <w:color w:val="auto"/>
                <w:kern w:val="1"/>
                <w:sz w:val="24"/>
                <w:highlight w:val="none"/>
                <w:lang w:val="en-US" w:eastAsia="zh-CN"/>
              </w:rPr>
              <w:t>3</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付款方式</w:t>
            </w:r>
          </w:p>
        </w:tc>
        <w:tc>
          <w:tcPr>
            <w:tcW w:w="597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1.标项二设备在验收合格之后一次性付款。</w:t>
            </w:r>
          </w:p>
          <w:p>
            <w:pPr>
              <w:spacing w:line="44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运维服务期限自合同签订日期后开始计算，运维服务费按月支付，由各属地街道按规定考评打分，通知供应商（乙方）开具增值税专用发票，业主单位在次月月底前完成支付（如遇双休日、节假日顺延），金额为合同总价款的1/24，相应款项中标单位及时打卡发放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731"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hint="default" w:ascii="仿宋" w:hAnsi="仿宋" w:eastAsia="仿宋" w:cs="仿宋"/>
                <w:color w:val="auto"/>
                <w:kern w:val="1"/>
                <w:sz w:val="24"/>
                <w:highlight w:val="none"/>
                <w:lang w:val="en-US" w:eastAsia="zh-CN"/>
              </w:rPr>
            </w:pPr>
            <w:r>
              <w:rPr>
                <w:rFonts w:hint="eastAsia" w:ascii="仿宋" w:hAnsi="仿宋" w:eastAsia="仿宋" w:cs="仿宋"/>
                <w:color w:val="auto"/>
                <w:kern w:val="1"/>
                <w:sz w:val="24"/>
                <w:highlight w:val="none"/>
                <w:lang w:val="en-US" w:eastAsia="zh-CN"/>
              </w:rPr>
              <w:t>4</w:t>
            </w:r>
          </w:p>
        </w:tc>
        <w:tc>
          <w:tcPr>
            <w:tcW w:w="157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shd w:val="clear" w:color="auto" w:fill="FFFFFF"/>
                <w:lang w:eastAsia="zh-CN" w:bidi="ar"/>
              </w:rPr>
              <w:t>服务响应</w:t>
            </w:r>
          </w:p>
        </w:tc>
        <w:tc>
          <w:tcPr>
            <w:tcW w:w="5977"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60" w:lineRule="exact"/>
              <w:ind w:left="0" w:leftChars="0" w:right="0" w:rightChars="0"/>
              <w:jc w:val="left"/>
              <w:textAlignment w:val="auto"/>
              <w:outlineLvl w:val="9"/>
              <w:rPr>
                <w:rFonts w:hint="eastAsia" w:ascii="仿宋" w:hAnsi="仿宋" w:eastAsia="仿宋" w:cs="仿宋"/>
                <w:snapToGrid w:val="0"/>
                <w:color w:val="auto"/>
                <w:kern w:val="2"/>
                <w:sz w:val="24"/>
                <w:szCs w:val="21"/>
                <w:highlight w:val="none"/>
                <w:lang w:val="en-US" w:eastAsia="zh-CN" w:bidi="ar-SA"/>
              </w:rPr>
            </w:pPr>
            <w:r>
              <w:rPr>
                <w:rFonts w:hint="eastAsia" w:ascii="仿宋" w:hAnsi="仿宋" w:eastAsia="仿宋" w:cs="仿宋"/>
                <w:color w:val="auto"/>
                <w:kern w:val="0"/>
                <w:sz w:val="24"/>
                <w:szCs w:val="24"/>
                <w:highlight w:val="none"/>
                <w:shd w:val="clear" w:color="auto" w:fill="FFFFFF"/>
                <w:lang w:eastAsia="zh-CN" w:bidi="ar"/>
              </w:rPr>
              <w:t>提供 7×24 小时的热线电话支持。如甲方有维修维护要求的，乙方在接报后 1 小时内响应。根据问题的严重程度，派遣维修维护人员 2 小时以内到现场处理，24 小时内修复，现场不能修复的，采取无偿提供采购物品的备用件或整机等措施，以保证用户单位的正常使用。最迟保证 48 小时更换到位。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73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color w:val="auto"/>
                <w:kern w:val="1"/>
                <w:sz w:val="24"/>
                <w:highlight w:val="none"/>
                <w:lang w:val="en-US" w:eastAsia="zh-CN"/>
              </w:rPr>
            </w:pPr>
            <w:r>
              <w:rPr>
                <w:rFonts w:hint="eastAsia" w:ascii="仿宋" w:hAnsi="仿宋" w:eastAsia="仿宋" w:cs="仿宋"/>
                <w:color w:val="auto"/>
                <w:kern w:val="1"/>
                <w:sz w:val="24"/>
                <w:highlight w:val="none"/>
                <w:lang w:val="en-US" w:eastAsia="zh-CN"/>
              </w:rPr>
              <w:t>5</w:t>
            </w:r>
          </w:p>
        </w:tc>
        <w:tc>
          <w:tcPr>
            <w:tcW w:w="15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其他要求</w:t>
            </w:r>
          </w:p>
        </w:tc>
        <w:tc>
          <w:tcPr>
            <w:tcW w:w="5977" w:type="dxa"/>
            <w:tcBorders>
              <w:top w:val="single" w:color="000000" w:sz="4" w:space="0"/>
              <w:left w:val="single" w:color="auto" w:sz="4" w:space="0"/>
              <w:bottom w:val="single" w:color="000000" w:sz="4" w:space="0"/>
              <w:right w:val="single" w:color="000000" w:sz="4" w:space="0"/>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60" w:lineRule="exact"/>
              <w:ind w:left="0" w:leftChars="0" w:right="0" w:rightChars="0"/>
              <w:jc w:val="left"/>
              <w:textAlignment w:val="auto"/>
              <w:outlineLvl w:val="9"/>
              <w:rPr>
                <w:rFonts w:hint="eastAsia" w:ascii="仿宋" w:hAnsi="仿宋" w:eastAsia="仿宋" w:cs="仿宋"/>
                <w:snapToGrid w:val="0"/>
                <w:color w:val="auto"/>
                <w:kern w:val="2"/>
                <w:sz w:val="24"/>
                <w:szCs w:val="21"/>
                <w:highlight w:val="none"/>
                <w:lang w:val="en-US" w:eastAsia="zh-CN" w:bidi="ar-SA"/>
              </w:rPr>
            </w:pPr>
            <w:r>
              <w:rPr>
                <w:rFonts w:hint="eastAsia" w:ascii="仿宋" w:hAnsi="仿宋" w:eastAsia="仿宋" w:cs="仿宋"/>
                <w:color w:val="auto"/>
                <w:kern w:val="0"/>
                <w:sz w:val="24"/>
                <w:szCs w:val="24"/>
                <w:highlight w:val="none"/>
                <w:shd w:val="clear" w:color="auto" w:fill="FFFFFF"/>
                <w:lang w:val="en-US" w:eastAsia="zh-CN" w:bidi="ar"/>
              </w:rPr>
              <w:t>在服务期内，中标人负责设施设备及系统的所有维护、维修、设施设备更换和系统优化升级等工作，保证招标单位能正常使用系统，获得高质量满意的服务。在维护期内，除不可抗力等因素所造成的损害外，中标人必须免费提供维修、设备养护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1" w:hRule="atLeast"/>
        </w:trPr>
        <w:tc>
          <w:tcPr>
            <w:tcW w:w="731"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 w:hAnsi="仿宋" w:eastAsia="仿宋" w:cs="仿宋"/>
                <w:color w:val="auto"/>
                <w:kern w:val="1"/>
                <w:sz w:val="24"/>
                <w:highlight w:val="none"/>
                <w:lang w:val="en-US" w:eastAsia="zh-CN"/>
              </w:rPr>
            </w:pPr>
          </w:p>
        </w:tc>
        <w:tc>
          <w:tcPr>
            <w:tcW w:w="1572" w:type="dxa"/>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center"/>
              <w:textAlignment w:val="auto"/>
              <w:rPr>
                <w:rFonts w:hint="eastAsia" w:ascii="仿宋" w:hAnsi="仿宋" w:eastAsia="仿宋" w:cs="仿宋"/>
                <w:color w:val="auto"/>
                <w:sz w:val="24"/>
                <w:szCs w:val="24"/>
                <w:highlight w:val="none"/>
                <w:lang w:eastAsia="zh-CN"/>
              </w:rPr>
            </w:pPr>
          </w:p>
        </w:tc>
        <w:tc>
          <w:tcPr>
            <w:tcW w:w="5977" w:type="dxa"/>
            <w:tcBorders>
              <w:top w:val="single" w:color="000000" w:sz="4" w:space="0"/>
              <w:left w:val="single" w:color="auto" w:sz="4" w:space="0"/>
              <w:bottom w:val="single" w:color="000000" w:sz="4" w:space="0"/>
              <w:right w:val="single" w:color="000000" w:sz="4" w:space="0"/>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60" w:lineRule="exact"/>
              <w:ind w:left="0" w:leftChars="0" w:right="0" w:rightChars="0"/>
              <w:jc w:val="left"/>
              <w:textAlignment w:val="auto"/>
              <w:outlineLvl w:val="9"/>
              <w:rPr>
                <w:rFonts w:hint="eastAsia"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color="auto" w:fill="FFFFFF"/>
                <w:lang w:val="en-US" w:eastAsia="zh-CN" w:bidi="ar"/>
              </w:rPr>
              <w:t>1.人员工资不得低于绍政发【2021】21号文件，绍兴市2021年最低人工工资标准2070元；</w:t>
            </w:r>
          </w:p>
          <w:p>
            <w:pPr>
              <w:numPr>
                <w:ilvl w:val="0"/>
                <w:numId w:val="0"/>
              </w:numPr>
              <w:rPr>
                <w:rFonts w:hint="default"/>
                <w:color w:val="auto"/>
                <w:highlight w:val="none"/>
                <w:lang w:val="en-US" w:eastAsia="zh-CN"/>
              </w:rPr>
            </w:pPr>
            <w:r>
              <w:rPr>
                <w:rFonts w:hint="eastAsia" w:ascii="仿宋" w:hAnsi="仿宋" w:eastAsia="仿宋" w:cs="仿宋"/>
                <w:snapToGrid w:val="0"/>
                <w:color w:val="auto"/>
                <w:kern w:val="0"/>
                <w:sz w:val="24"/>
                <w:szCs w:val="24"/>
                <w:highlight w:val="none"/>
                <w:shd w:val="clear" w:color="auto" w:fill="FFFFFF"/>
                <w:lang w:val="en-US" w:eastAsia="zh-CN" w:bidi="ar"/>
              </w:rPr>
              <w:t>2.人员保险保额不得低于100万、高温费不得低于地方标准。</w:t>
            </w:r>
          </w:p>
        </w:tc>
      </w:tr>
    </w:tbl>
    <w:p>
      <w:pPr>
        <w:keepNext w:val="0"/>
        <w:keepLines w:val="0"/>
        <w:pageBreakBefore w:val="0"/>
        <w:widowControl w:val="0"/>
        <w:kinsoku/>
        <w:wordWrap/>
        <w:overflowPunct/>
        <w:topLinePunct w:val="0"/>
        <w:bidi w:val="0"/>
        <w:adjustRightInd/>
        <w:snapToGrid/>
        <w:spacing w:line="360" w:lineRule="auto"/>
        <w:jc w:val="both"/>
        <w:textAlignment w:val="auto"/>
        <w:outlineLvl w:val="0"/>
        <w:rPr>
          <w:rFonts w:hint="eastAsia" w:ascii="仿宋" w:hAnsi="仿宋" w:eastAsia="仿宋" w:cs="仿宋"/>
          <w:b/>
          <w:bCs/>
          <w:snapToGrid w:val="0"/>
          <w:color w:val="auto"/>
          <w:kern w:val="0"/>
          <w:sz w:val="32"/>
          <w:szCs w:val="32"/>
          <w:highlight w:val="none"/>
          <w:lang w:eastAsia="zh-CN"/>
        </w:rPr>
      </w:pPr>
      <w:r>
        <w:rPr>
          <w:rFonts w:hint="eastAsia" w:ascii="仿宋" w:hAnsi="仿宋" w:eastAsia="仿宋" w:cs="仿宋"/>
          <w:b/>
          <w:bCs/>
          <w:snapToGrid w:val="0"/>
          <w:color w:val="auto"/>
          <w:kern w:val="0"/>
          <w:sz w:val="32"/>
          <w:szCs w:val="32"/>
          <w:highlight w:val="none"/>
          <w:lang w:eastAsia="zh-CN"/>
        </w:rPr>
        <w:t>附件：</w:t>
      </w:r>
    </w:p>
    <w:p>
      <w:pPr>
        <w:keepNext w:val="0"/>
        <w:keepLines w:val="0"/>
        <w:pageBreakBefore w:val="0"/>
        <w:widowControl w:val="0"/>
        <w:kinsoku/>
        <w:wordWrap/>
        <w:overflowPunct/>
        <w:topLinePunct w:val="0"/>
        <w:bidi w:val="0"/>
        <w:adjustRightInd/>
        <w:snapToGrid/>
        <w:spacing w:line="360" w:lineRule="auto"/>
        <w:ind w:firstLine="2891" w:firstLineChars="900"/>
        <w:jc w:val="both"/>
        <w:textAlignment w:val="auto"/>
        <w:outlineLvl w:val="0"/>
        <w:rPr>
          <w:rFonts w:hint="eastAsia" w:ascii="仿宋" w:hAnsi="仿宋" w:eastAsia="仿宋" w:cs="仿宋"/>
          <w:b/>
          <w:bCs/>
          <w:snapToGrid w:val="0"/>
          <w:color w:val="auto"/>
          <w:kern w:val="0"/>
          <w:sz w:val="32"/>
          <w:szCs w:val="32"/>
          <w:highlight w:val="none"/>
          <w:lang w:eastAsia="zh-CN"/>
        </w:rPr>
      </w:pPr>
      <w:r>
        <w:rPr>
          <w:rFonts w:hint="eastAsia" w:ascii="仿宋" w:hAnsi="仿宋" w:eastAsia="仿宋" w:cs="仿宋"/>
          <w:b/>
          <w:bCs/>
          <w:snapToGrid w:val="0"/>
          <w:color w:val="auto"/>
          <w:kern w:val="0"/>
          <w:sz w:val="32"/>
          <w:szCs w:val="32"/>
          <w:highlight w:val="none"/>
          <w:lang w:eastAsia="zh-CN"/>
        </w:rPr>
        <w:t>考</w:t>
      </w:r>
      <w:r>
        <w:rPr>
          <w:rFonts w:hint="eastAsia" w:ascii="仿宋" w:hAnsi="仿宋" w:eastAsia="仿宋" w:cs="仿宋"/>
          <w:b/>
          <w:bCs/>
          <w:snapToGrid w:val="0"/>
          <w:color w:val="auto"/>
          <w:kern w:val="0"/>
          <w:sz w:val="32"/>
          <w:szCs w:val="32"/>
          <w:highlight w:val="none"/>
          <w:lang w:val="en-US" w:eastAsia="zh-CN"/>
        </w:rPr>
        <w:t xml:space="preserve"> </w:t>
      </w:r>
      <w:r>
        <w:rPr>
          <w:rFonts w:hint="eastAsia" w:ascii="仿宋" w:hAnsi="仿宋" w:eastAsia="仿宋" w:cs="仿宋"/>
          <w:b/>
          <w:bCs/>
          <w:snapToGrid w:val="0"/>
          <w:color w:val="auto"/>
          <w:kern w:val="0"/>
          <w:sz w:val="32"/>
          <w:szCs w:val="32"/>
          <w:highlight w:val="none"/>
          <w:lang w:eastAsia="zh-CN"/>
        </w:rPr>
        <w:t>核</w:t>
      </w:r>
      <w:r>
        <w:rPr>
          <w:rFonts w:hint="eastAsia" w:ascii="仿宋" w:hAnsi="仿宋" w:eastAsia="仿宋" w:cs="仿宋"/>
          <w:b/>
          <w:bCs/>
          <w:snapToGrid w:val="0"/>
          <w:color w:val="auto"/>
          <w:kern w:val="0"/>
          <w:sz w:val="32"/>
          <w:szCs w:val="32"/>
          <w:highlight w:val="none"/>
          <w:lang w:val="en-US" w:eastAsia="zh-CN"/>
        </w:rPr>
        <w:t xml:space="preserve"> </w:t>
      </w:r>
      <w:r>
        <w:rPr>
          <w:rFonts w:hint="eastAsia" w:ascii="仿宋" w:hAnsi="仿宋" w:eastAsia="仿宋" w:cs="仿宋"/>
          <w:b/>
          <w:bCs/>
          <w:snapToGrid w:val="0"/>
          <w:color w:val="auto"/>
          <w:kern w:val="0"/>
          <w:sz w:val="32"/>
          <w:szCs w:val="32"/>
          <w:highlight w:val="none"/>
          <w:lang w:eastAsia="zh-CN"/>
        </w:rPr>
        <w:t>办</w:t>
      </w:r>
      <w:r>
        <w:rPr>
          <w:rFonts w:hint="eastAsia" w:ascii="仿宋" w:hAnsi="仿宋" w:eastAsia="仿宋" w:cs="仿宋"/>
          <w:b/>
          <w:bCs/>
          <w:snapToGrid w:val="0"/>
          <w:color w:val="auto"/>
          <w:kern w:val="0"/>
          <w:sz w:val="32"/>
          <w:szCs w:val="32"/>
          <w:highlight w:val="none"/>
          <w:lang w:val="en-US" w:eastAsia="zh-CN"/>
        </w:rPr>
        <w:t xml:space="preserve"> </w:t>
      </w:r>
      <w:r>
        <w:rPr>
          <w:rFonts w:hint="eastAsia" w:ascii="仿宋" w:hAnsi="仿宋" w:eastAsia="仿宋" w:cs="仿宋"/>
          <w:b/>
          <w:bCs/>
          <w:snapToGrid w:val="0"/>
          <w:color w:val="auto"/>
          <w:kern w:val="0"/>
          <w:sz w:val="32"/>
          <w:szCs w:val="32"/>
          <w:highlight w:val="none"/>
          <w:lang w:eastAsia="zh-CN"/>
        </w:rPr>
        <w:t>法（试行）</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rPr>
          <w:rFonts w:hint="eastAsia" w:ascii="仿宋" w:hAnsi="仿宋" w:eastAsia="仿宋" w:cs="仿宋"/>
          <w:color w:val="auto"/>
          <w:kern w:val="0"/>
          <w:sz w:val="24"/>
          <w:szCs w:val="21"/>
          <w:highlight w:val="none"/>
          <w:shd w:val="clear" w:color="auto" w:fill="FFFFFF"/>
          <w:lang w:bidi="ar"/>
        </w:rPr>
      </w:pPr>
      <w:r>
        <w:rPr>
          <w:rFonts w:hint="eastAsia" w:ascii="仿宋" w:hAnsi="仿宋" w:eastAsia="仿宋" w:cs="仿宋"/>
          <w:color w:val="auto"/>
          <w:kern w:val="0"/>
          <w:sz w:val="24"/>
          <w:szCs w:val="21"/>
          <w:highlight w:val="none"/>
          <w:shd w:val="clear" w:color="auto" w:fill="FFFFFF"/>
          <w:lang w:bidi="ar"/>
        </w:rPr>
        <w:t>总体分类质量要求：小区垃圾分类居民参与率达到90%以上，分类准确率达到90%以上，居民满意率达到90%以上。具体要求参照嵊政办（2021）73号文件《嵊州市生活垃圾定时定点分类投放工作实施方案》和《关于开展2023年全市生活垃圾“定时定点”越美小区创建活动的通知》。</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仿宋"/>
          <w:color w:val="auto"/>
          <w:kern w:val="0"/>
          <w:sz w:val="24"/>
          <w:szCs w:val="21"/>
          <w:highlight w:val="none"/>
          <w:shd w:val="clear" w:color="auto" w:fill="FFFFFF"/>
          <w:lang w:bidi="ar"/>
        </w:rPr>
      </w:pPr>
      <w:r>
        <w:rPr>
          <w:rFonts w:hint="eastAsia" w:ascii="仿宋" w:hAnsi="仿宋" w:eastAsia="仿宋" w:cs="仿宋"/>
          <w:color w:val="auto"/>
          <w:kern w:val="0"/>
          <w:sz w:val="24"/>
          <w:szCs w:val="21"/>
          <w:highlight w:val="none"/>
          <w:shd w:val="clear" w:color="auto" w:fill="FFFFFF"/>
          <w:lang w:bidi="ar"/>
        </w:rPr>
        <w:t>主要考核条款：</w:t>
      </w:r>
    </w:p>
    <w:tbl>
      <w:tblPr>
        <w:tblStyle w:val="2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3176"/>
        <w:gridCol w:w="763"/>
        <w:gridCol w:w="486"/>
        <w:gridCol w:w="228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4034" w:type="dxa"/>
            <w:gridSpan w:val="2"/>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考核内容</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标准分</w:t>
            </w:r>
          </w:p>
        </w:tc>
        <w:tc>
          <w:tcPr>
            <w:tcW w:w="2775" w:type="dxa"/>
            <w:gridSpan w:val="2"/>
            <w:noWrap w:val="0"/>
            <w:vAlign w:val="center"/>
          </w:tcPr>
          <w:p>
            <w:pPr>
              <w:pStyle w:val="2"/>
              <w:keepNext w:val="0"/>
              <w:keepLines w:val="0"/>
              <w:suppressLineNumbers w:val="0"/>
              <w:spacing w:before="0" w:beforeAutospacing="0" w:after="0" w:afterAutospacing="0" w:line="240" w:lineRule="auto"/>
              <w:ind w:left="0" w:right="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评分标准</w:t>
            </w:r>
          </w:p>
        </w:tc>
        <w:tc>
          <w:tcPr>
            <w:tcW w:w="708"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restart"/>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color="auto" w:fill="FFFFFF"/>
                <w:lang w:bidi="ar"/>
              </w:rPr>
              <w:t>设施维护</w:t>
            </w:r>
          </w:p>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
                <w:bCs/>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color="auto" w:fill="FFFFFF"/>
                <w:lang w:bidi="ar"/>
              </w:rPr>
              <w:t>（10分）</w:t>
            </w: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各垃圾集置点等点位管理到位，管理制度完善；</w:t>
            </w:r>
          </w:p>
        </w:tc>
        <w:tc>
          <w:tcPr>
            <w:tcW w:w="763" w:type="dxa"/>
            <w:vMerge w:val="restart"/>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2775" w:type="dxa"/>
            <w:gridSpan w:val="2"/>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若未按要求，扣1分/次。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kern w:val="0"/>
                <w:sz w:val="24"/>
                <w:szCs w:val="24"/>
                <w:highlight w:val="none"/>
                <w:shd w:val="clear" w:color="auto" w:fill="FFFFFF"/>
                <w:lang w:bidi="ar"/>
              </w:rPr>
            </w:pP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做到标识正确清晰、清洁美观、台账齐全；</w:t>
            </w:r>
          </w:p>
        </w:tc>
        <w:tc>
          <w:tcPr>
            <w:tcW w:w="763"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2775" w:type="dxa"/>
            <w:gridSpan w:val="2"/>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若未按要求，扣1分/次。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
                <w:bCs/>
                <w:color w:val="auto"/>
                <w:kern w:val="0"/>
                <w:sz w:val="24"/>
                <w:szCs w:val="24"/>
                <w:highlight w:val="none"/>
                <w:shd w:val="clear" w:color="auto" w:fill="FFFFFF"/>
                <w:lang w:bidi="ar"/>
              </w:rPr>
            </w:pP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垃圾收集容器定期清洗、维护、更新，做到无污垢、无破损、无积水、无满溢、无异味、定时消杀除臭。</w:t>
            </w:r>
          </w:p>
        </w:tc>
        <w:tc>
          <w:tcPr>
            <w:tcW w:w="763"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2775" w:type="dxa"/>
            <w:gridSpan w:val="2"/>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若未按要求，扣1分/次。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
                <w:bCs/>
                <w:color w:val="auto"/>
                <w:kern w:val="0"/>
                <w:sz w:val="24"/>
                <w:szCs w:val="24"/>
                <w:highlight w:val="none"/>
                <w:shd w:val="clear" w:color="auto" w:fill="FFFFFF"/>
                <w:lang w:bidi="ar"/>
              </w:rPr>
            </w:pPr>
          </w:p>
        </w:tc>
        <w:tc>
          <w:tcPr>
            <w:tcW w:w="3176" w:type="dxa"/>
            <w:vMerge w:val="restart"/>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大件</w:t>
            </w:r>
            <w:r>
              <w:rPr>
                <w:rFonts w:hint="default" w:ascii="仿宋" w:hAnsi="仿宋" w:eastAsia="仿宋" w:cs="仿宋"/>
                <w:bCs/>
                <w:color w:val="auto"/>
                <w:sz w:val="24"/>
                <w:szCs w:val="24"/>
                <w:highlight w:val="none"/>
              </w:rPr>
              <w:t>、园林、装修</w:t>
            </w:r>
            <w:r>
              <w:rPr>
                <w:rFonts w:hint="eastAsia" w:ascii="仿宋" w:hAnsi="仿宋" w:eastAsia="仿宋" w:cs="仿宋"/>
                <w:bCs/>
                <w:color w:val="auto"/>
                <w:sz w:val="24"/>
                <w:szCs w:val="24"/>
                <w:highlight w:val="none"/>
              </w:rPr>
              <w:t>垃圾点分类准确，垃圾及时清运。</w:t>
            </w:r>
          </w:p>
        </w:tc>
        <w:tc>
          <w:tcPr>
            <w:tcW w:w="763" w:type="dxa"/>
            <w:vMerge w:val="restart"/>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大件</w:t>
            </w:r>
            <w:r>
              <w:rPr>
                <w:rFonts w:hint="default" w:ascii="仿宋" w:hAnsi="仿宋" w:eastAsia="仿宋" w:cs="仿宋"/>
                <w:bCs/>
                <w:color w:val="auto"/>
                <w:sz w:val="24"/>
                <w:szCs w:val="24"/>
                <w:highlight w:val="none"/>
              </w:rPr>
              <w:t>、园林、装修</w:t>
            </w:r>
            <w:r>
              <w:rPr>
                <w:rFonts w:hint="eastAsia" w:ascii="仿宋" w:hAnsi="仿宋" w:eastAsia="仿宋" w:cs="仿宋"/>
                <w:bCs/>
                <w:color w:val="auto"/>
                <w:sz w:val="24"/>
                <w:szCs w:val="24"/>
                <w:highlight w:val="none"/>
              </w:rPr>
              <w:t>垃圾堆放点分类不准确，有生活垃圾混入，扣2分/次。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kern w:val="0"/>
                <w:sz w:val="24"/>
                <w:szCs w:val="24"/>
                <w:highlight w:val="none"/>
                <w:shd w:val="clear" w:color="auto" w:fill="FFFFFF"/>
                <w:lang w:bidi="ar"/>
              </w:rPr>
            </w:pPr>
          </w:p>
        </w:tc>
        <w:tc>
          <w:tcPr>
            <w:tcW w:w="3176"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c>
          <w:tcPr>
            <w:tcW w:w="763"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堆放垃圾</w:t>
            </w:r>
            <w:r>
              <w:rPr>
                <w:rFonts w:hint="default" w:ascii="仿宋" w:hAnsi="仿宋" w:eastAsia="仿宋" w:cs="仿宋"/>
                <w:bCs/>
                <w:color w:val="auto"/>
                <w:sz w:val="24"/>
                <w:szCs w:val="24"/>
                <w:highlight w:val="none"/>
              </w:rPr>
              <w:t>过多</w:t>
            </w:r>
            <w:r>
              <w:rPr>
                <w:rFonts w:hint="eastAsia" w:ascii="仿宋" w:hAnsi="仿宋" w:eastAsia="仿宋" w:cs="仿宋"/>
                <w:bCs/>
                <w:color w:val="auto"/>
                <w:sz w:val="24"/>
                <w:szCs w:val="24"/>
                <w:highlight w:val="none"/>
              </w:rPr>
              <w:t>，没有通知清运公司</w:t>
            </w:r>
            <w:r>
              <w:rPr>
                <w:rFonts w:hint="default" w:ascii="仿宋" w:hAnsi="仿宋" w:eastAsia="仿宋" w:cs="仿宋"/>
                <w:bCs/>
                <w:color w:val="auto"/>
                <w:sz w:val="24"/>
                <w:szCs w:val="24"/>
                <w:highlight w:val="none"/>
              </w:rPr>
              <w:t>及时</w:t>
            </w:r>
            <w:r>
              <w:rPr>
                <w:rFonts w:hint="eastAsia" w:ascii="仿宋" w:hAnsi="仿宋" w:eastAsia="仿宋" w:cs="仿宋"/>
                <w:bCs/>
                <w:color w:val="auto"/>
                <w:sz w:val="24"/>
                <w:szCs w:val="24"/>
                <w:highlight w:val="none"/>
              </w:rPr>
              <w:t>进行垃圾处理，扣2分/次。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
                <w:bCs/>
                <w:color w:val="auto"/>
                <w:kern w:val="0"/>
                <w:sz w:val="24"/>
                <w:szCs w:val="24"/>
                <w:highlight w:val="none"/>
                <w:shd w:val="clear" w:color="auto" w:fill="FFFFFF"/>
                <w:lang w:bidi="ar"/>
              </w:rPr>
            </w:pP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中低价值可回收物进行回收。</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没有设置专门的告示牌公布中低价值物回收种类、服务电话等信息，扣3分。</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858" w:type="dxa"/>
            <w:vMerge w:val="restart"/>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kern w:val="0"/>
                <w:sz w:val="24"/>
                <w:szCs w:val="24"/>
                <w:highlight w:val="none"/>
                <w:shd w:val="clear" w:color="auto" w:fill="FFFFFF"/>
                <w:lang w:eastAsia="zh-CN" w:bidi="ar"/>
              </w:rPr>
            </w:pPr>
            <w:r>
              <w:rPr>
                <w:rFonts w:hint="eastAsia" w:ascii="仿宋" w:hAnsi="仿宋" w:eastAsia="仿宋" w:cs="仿宋"/>
                <w:color w:val="auto"/>
                <w:kern w:val="0"/>
                <w:sz w:val="24"/>
                <w:szCs w:val="24"/>
                <w:highlight w:val="none"/>
                <w:shd w:val="clear" w:color="auto" w:fill="FFFFFF"/>
                <w:lang w:bidi="ar"/>
              </w:rPr>
              <w:t>督导员</w:t>
            </w:r>
            <w:r>
              <w:rPr>
                <w:rFonts w:hint="eastAsia" w:ascii="仿宋" w:hAnsi="仿宋" w:eastAsia="仿宋" w:cs="仿宋"/>
                <w:color w:val="auto"/>
                <w:kern w:val="0"/>
                <w:sz w:val="24"/>
                <w:szCs w:val="24"/>
                <w:highlight w:val="none"/>
                <w:shd w:val="clear" w:color="auto" w:fill="FFFFFF"/>
                <w:lang w:eastAsia="zh-CN" w:bidi="ar"/>
              </w:rPr>
              <w:t>及分类质量</w:t>
            </w:r>
          </w:p>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shd w:val="clear" w:color="auto" w:fill="FFFFFF"/>
                <w:lang w:bidi="ar"/>
              </w:rPr>
              <w:t>（</w:t>
            </w:r>
            <w:r>
              <w:rPr>
                <w:rFonts w:hint="eastAsia" w:ascii="仿宋" w:hAnsi="仿宋" w:eastAsia="仿宋" w:cs="仿宋"/>
                <w:color w:val="auto"/>
                <w:kern w:val="0"/>
                <w:sz w:val="24"/>
                <w:szCs w:val="24"/>
                <w:highlight w:val="none"/>
                <w:shd w:val="clear" w:color="auto" w:fill="FFFFFF"/>
                <w:lang w:val="en-US" w:eastAsia="zh-CN" w:bidi="ar"/>
              </w:rPr>
              <w:t>50</w:t>
            </w:r>
            <w:r>
              <w:rPr>
                <w:rFonts w:hint="eastAsia" w:ascii="仿宋" w:hAnsi="仿宋" w:eastAsia="仿宋" w:cs="仿宋"/>
                <w:color w:val="auto"/>
                <w:kern w:val="0"/>
                <w:sz w:val="24"/>
                <w:szCs w:val="24"/>
                <w:highlight w:val="none"/>
                <w:shd w:val="clear" w:color="auto" w:fill="FFFFFF"/>
                <w:lang w:bidi="ar"/>
              </w:rPr>
              <w:t>分）</w:t>
            </w: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eastAsia="zh-CN"/>
              </w:rPr>
              <w:t>每个投放点配备</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名督导员</w:t>
            </w:r>
            <w:r>
              <w:rPr>
                <w:rFonts w:hint="default" w:ascii="仿宋" w:hAnsi="仿宋" w:eastAsia="仿宋" w:cs="仿宋"/>
                <w:bCs/>
                <w:color w:val="auto"/>
                <w:sz w:val="24"/>
                <w:szCs w:val="24"/>
                <w:highlight w:val="none"/>
                <w:lang w:eastAsia="zh-CN"/>
              </w:rPr>
              <w:t>，根据</w:t>
            </w:r>
            <w:r>
              <w:rPr>
                <w:rFonts w:hint="eastAsia" w:ascii="仿宋" w:hAnsi="仿宋" w:eastAsia="仿宋" w:cs="仿宋"/>
                <w:bCs/>
                <w:color w:val="auto"/>
                <w:sz w:val="24"/>
                <w:szCs w:val="24"/>
                <w:highlight w:val="none"/>
                <w:lang w:val="en-US" w:eastAsia="zh-CN"/>
              </w:rPr>
              <w:t>小区</w:t>
            </w:r>
            <w:r>
              <w:rPr>
                <w:rFonts w:hint="default" w:ascii="仿宋" w:hAnsi="仿宋" w:eastAsia="仿宋" w:cs="仿宋"/>
                <w:bCs/>
                <w:color w:val="auto"/>
                <w:sz w:val="24"/>
                <w:szCs w:val="24"/>
                <w:highlight w:val="none"/>
                <w:lang w:eastAsia="zh-CN"/>
              </w:rPr>
              <w:t>数量按需配备</w:t>
            </w:r>
            <w:r>
              <w:rPr>
                <w:rFonts w:hint="eastAsia" w:ascii="仿宋" w:hAnsi="仿宋" w:eastAsia="仿宋" w:cs="仿宋"/>
                <w:bCs/>
                <w:color w:val="auto"/>
                <w:sz w:val="24"/>
                <w:szCs w:val="24"/>
                <w:highlight w:val="none"/>
                <w:lang w:eastAsia="zh-CN"/>
              </w:rPr>
              <w:t>巡检员</w:t>
            </w:r>
            <w:r>
              <w:rPr>
                <w:rFonts w:hint="eastAsia" w:ascii="仿宋" w:hAnsi="仿宋" w:eastAsia="仿宋" w:cs="仿宋"/>
                <w:bCs/>
                <w:color w:val="auto"/>
                <w:sz w:val="24"/>
                <w:szCs w:val="24"/>
                <w:highlight w:val="none"/>
                <w:lang w:val="en-US" w:eastAsia="zh-CN"/>
              </w:rPr>
              <w:t>负责巡查、监督和指导生活垃圾分类工作，定期巡查生活垃圾分类工作情况，对不规范行为如乱抛包等，进行指导、劝导与督促。</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default" w:ascii="仿宋" w:hAnsi="仿宋" w:eastAsia="仿宋" w:cs="仿宋"/>
                <w:bCs/>
                <w:color w:val="auto"/>
                <w:sz w:val="24"/>
                <w:szCs w:val="24"/>
                <w:highlight w:val="none"/>
                <w:lang w:eastAsia="zh-CN"/>
              </w:rPr>
            </w:pPr>
            <w:r>
              <w:rPr>
                <w:rFonts w:hint="default" w:ascii="仿宋" w:hAnsi="仿宋" w:eastAsia="仿宋" w:cs="仿宋"/>
                <w:bCs/>
                <w:color w:val="auto"/>
                <w:sz w:val="24"/>
                <w:szCs w:val="24"/>
                <w:highlight w:val="none"/>
                <w:lang w:eastAsia="zh-CN"/>
              </w:rPr>
              <w:t>6</w:t>
            </w:r>
          </w:p>
        </w:tc>
        <w:tc>
          <w:tcPr>
            <w:tcW w:w="2775" w:type="dxa"/>
            <w:gridSpan w:val="2"/>
            <w:noWrap w:val="0"/>
            <w:vAlign w:val="center"/>
          </w:tcPr>
          <w:p>
            <w:pPr>
              <w:pStyle w:val="2"/>
              <w:keepNext w:val="0"/>
              <w:keepLines w:val="0"/>
              <w:suppressLineNumbers w:val="0"/>
              <w:spacing w:before="0" w:beforeAutospacing="0" w:after="0" w:afterAutospacing="0" w:line="240" w:lineRule="auto"/>
              <w:ind w:left="0" w:right="0" w:firstLine="0"/>
              <w:jc w:val="center"/>
              <w:rPr>
                <w:rFonts w:hint="default"/>
                <w:color w:val="auto"/>
                <w:highlight w:val="none"/>
                <w:lang w:val="en-US"/>
              </w:rPr>
            </w:pPr>
            <w:r>
              <w:rPr>
                <w:rFonts w:hint="eastAsia" w:ascii="仿宋" w:hAnsi="仿宋" w:eastAsia="仿宋" w:cs="仿宋"/>
                <w:bCs/>
                <w:color w:val="auto"/>
                <w:sz w:val="24"/>
                <w:szCs w:val="24"/>
                <w:highlight w:val="none"/>
                <w:lang w:eastAsia="zh-CN"/>
              </w:rPr>
              <w:t>若未按要求</w:t>
            </w:r>
            <w:r>
              <w:rPr>
                <w:rFonts w:hint="eastAsia" w:ascii="仿宋" w:hAnsi="仿宋" w:eastAsia="仿宋" w:cs="仿宋"/>
                <w:bCs/>
                <w:color w:val="auto"/>
                <w:sz w:val="24"/>
                <w:szCs w:val="24"/>
                <w:highlight w:val="none"/>
                <w:lang w:val="en-US" w:eastAsia="zh-CN"/>
              </w:rPr>
              <w:t>配置</w:t>
            </w:r>
            <w:r>
              <w:rPr>
                <w:rFonts w:hint="eastAsia" w:ascii="仿宋" w:hAnsi="仿宋" w:eastAsia="仿宋" w:cs="仿宋"/>
                <w:bCs/>
                <w:color w:val="auto"/>
                <w:sz w:val="24"/>
                <w:szCs w:val="24"/>
                <w:highlight w:val="none"/>
                <w:lang w:eastAsia="zh-CN"/>
              </w:rPr>
              <w:t>，扣</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eastAsia="zh-CN"/>
              </w:rPr>
              <w:t>分</w:t>
            </w:r>
            <w:r>
              <w:rPr>
                <w:rFonts w:hint="default" w:ascii="仿宋" w:hAnsi="仿宋" w:eastAsia="仿宋" w:cs="仿宋"/>
                <w:bCs/>
                <w:color w:val="auto"/>
                <w:sz w:val="24"/>
                <w:szCs w:val="24"/>
                <w:highlight w:val="none"/>
                <w:lang w:eastAsia="zh-CN"/>
              </w:rPr>
              <w:t>/次</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检查发现乱抛包等不规范行为，扣1分/次。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上岗作业时必须穿戴统一督导员工作服装，佩戴工作牌。</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2</w:t>
            </w: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上班时间未穿着工作服或未佩戴工作牌，扣1分/次。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3176" w:type="dxa"/>
            <w:vMerge w:val="restart"/>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上岗作业时必须遵守上班纪律。</w:t>
            </w:r>
          </w:p>
        </w:tc>
        <w:tc>
          <w:tcPr>
            <w:tcW w:w="763" w:type="dxa"/>
            <w:vMerge w:val="restart"/>
            <w:noWrap w:val="0"/>
            <w:vAlign w:val="center"/>
          </w:tcPr>
          <w:p>
            <w:pPr>
              <w:pStyle w:val="2"/>
              <w:keepNext w:val="0"/>
              <w:keepLines w:val="0"/>
              <w:suppressLineNumbers w:val="0"/>
              <w:spacing w:before="0" w:beforeAutospacing="0" w:after="0" w:afterAutospacing="0" w:line="240" w:lineRule="auto"/>
              <w:ind w:left="0" w:right="0" w:firstLine="0"/>
              <w:jc w:val="center"/>
              <w:rPr>
                <w:rFonts w:hint="default" w:ascii="仿宋" w:hAnsi="仿宋" w:eastAsia="仿宋" w:cs="仿宋"/>
                <w:bCs/>
                <w:color w:val="auto"/>
                <w:sz w:val="24"/>
                <w:szCs w:val="24"/>
                <w:highlight w:val="none"/>
                <w:lang w:eastAsia="zh-CN"/>
              </w:rPr>
            </w:pPr>
            <w:r>
              <w:rPr>
                <w:rFonts w:hint="default" w:ascii="仿宋" w:hAnsi="仿宋" w:eastAsia="仿宋" w:cs="仿宋"/>
                <w:bCs/>
                <w:color w:val="auto"/>
                <w:sz w:val="24"/>
                <w:szCs w:val="24"/>
                <w:highlight w:val="none"/>
                <w:lang w:eastAsia="zh-CN"/>
              </w:rPr>
              <w:t>4</w:t>
            </w:r>
          </w:p>
        </w:tc>
        <w:tc>
          <w:tcPr>
            <w:tcW w:w="486" w:type="dxa"/>
            <w:vMerge w:val="restart"/>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不在岗在位</w:t>
            </w:r>
          </w:p>
        </w:tc>
        <w:tc>
          <w:tcPr>
            <w:tcW w:w="2289"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电话通知后，没赶到现场的扣</w:t>
            </w:r>
            <w:r>
              <w:rPr>
                <w:rFonts w:hint="default"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rPr>
              <w:t>分/次。</w:t>
            </w:r>
          </w:p>
        </w:tc>
        <w:tc>
          <w:tcPr>
            <w:tcW w:w="708"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3176" w:type="dxa"/>
            <w:vMerge w:val="continue"/>
            <w:noWrap w:val="0"/>
            <w:vAlign w:val="center"/>
          </w:tcPr>
          <w:p>
            <w:pPr>
              <w:pStyle w:val="2"/>
              <w:keepNext w:val="0"/>
              <w:keepLines w:val="0"/>
              <w:suppressLineNumbers w:val="0"/>
              <w:spacing w:before="0" w:beforeAutospacing="0" w:after="0" w:afterAutospacing="0" w:line="240" w:lineRule="auto"/>
              <w:ind w:left="0" w:right="0"/>
              <w:rPr>
                <w:rFonts w:hint="eastAsia" w:ascii="仿宋" w:hAnsi="仿宋" w:eastAsia="仿宋" w:cs="仿宋"/>
                <w:bCs/>
                <w:color w:val="auto"/>
                <w:sz w:val="24"/>
                <w:szCs w:val="24"/>
                <w:highlight w:val="none"/>
              </w:rPr>
            </w:pPr>
          </w:p>
        </w:tc>
        <w:tc>
          <w:tcPr>
            <w:tcW w:w="763" w:type="dxa"/>
            <w:vMerge w:val="continue"/>
            <w:noWrap w:val="0"/>
            <w:vAlign w:val="center"/>
          </w:tcPr>
          <w:p>
            <w:pPr>
              <w:pStyle w:val="2"/>
              <w:keepNext w:val="0"/>
              <w:keepLines w:val="0"/>
              <w:suppressLineNumbers w:val="0"/>
              <w:spacing w:before="0" w:beforeAutospacing="0" w:after="0" w:afterAutospacing="0" w:line="240" w:lineRule="auto"/>
              <w:ind w:left="0" w:right="0"/>
              <w:jc w:val="center"/>
              <w:rPr>
                <w:rFonts w:hint="eastAsia" w:ascii="仿宋" w:hAnsi="仿宋" w:eastAsia="仿宋" w:cs="仿宋"/>
                <w:bCs/>
                <w:color w:val="auto"/>
                <w:sz w:val="24"/>
                <w:szCs w:val="24"/>
                <w:highlight w:val="none"/>
              </w:rPr>
            </w:pPr>
          </w:p>
        </w:tc>
        <w:tc>
          <w:tcPr>
            <w:tcW w:w="486" w:type="dxa"/>
            <w:vMerge w:val="continue"/>
            <w:noWrap w:val="0"/>
            <w:vAlign w:val="top"/>
          </w:tcPr>
          <w:p>
            <w:pPr>
              <w:pStyle w:val="2"/>
              <w:keepNext w:val="0"/>
              <w:keepLines w:val="0"/>
              <w:suppressLineNumbers w:val="0"/>
              <w:spacing w:before="0" w:beforeAutospacing="0" w:after="0" w:afterAutospacing="0" w:line="240" w:lineRule="auto"/>
              <w:ind w:left="0" w:right="0"/>
              <w:jc w:val="center"/>
              <w:rPr>
                <w:rFonts w:hint="eastAsia" w:ascii="仿宋" w:hAnsi="仿宋" w:eastAsia="仿宋" w:cs="仿宋"/>
                <w:bCs/>
                <w:color w:val="auto"/>
                <w:sz w:val="24"/>
                <w:szCs w:val="24"/>
                <w:highlight w:val="none"/>
              </w:rPr>
            </w:pPr>
          </w:p>
        </w:tc>
        <w:tc>
          <w:tcPr>
            <w:tcW w:w="2289"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电话通知后，赶到现场的扣</w:t>
            </w:r>
            <w:r>
              <w:rPr>
                <w:rFonts w:hint="default" w:ascii="仿宋" w:hAnsi="仿宋" w:eastAsia="仿宋" w:cs="仿宋"/>
                <w:bCs/>
                <w:color w:val="auto"/>
                <w:sz w:val="24"/>
                <w:szCs w:val="24"/>
                <w:highlight w:val="none"/>
              </w:rPr>
              <w:t>1</w:t>
            </w:r>
            <w:r>
              <w:rPr>
                <w:rFonts w:hint="eastAsia" w:ascii="仿宋" w:hAnsi="仿宋" w:eastAsia="仿宋" w:cs="仿宋"/>
                <w:bCs/>
                <w:color w:val="auto"/>
                <w:sz w:val="24"/>
                <w:szCs w:val="24"/>
                <w:highlight w:val="none"/>
              </w:rPr>
              <w:t>分/次。</w:t>
            </w:r>
          </w:p>
        </w:tc>
        <w:tc>
          <w:tcPr>
            <w:tcW w:w="708" w:type="dxa"/>
            <w:noWrap w:val="0"/>
            <w:vAlign w:val="top"/>
          </w:tcPr>
          <w:p>
            <w:pPr>
              <w:pStyle w:val="2"/>
              <w:keepNext w:val="0"/>
              <w:keepLines w:val="0"/>
              <w:suppressLineNumbers w:val="0"/>
              <w:spacing w:before="0" w:beforeAutospacing="0" w:after="0" w:afterAutospacing="0" w:line="240" w:lineRule="auto"/>
              <w:ind w:left="0" w:right="0"/>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3176" w:type="dxa"/>
            <w:vMerge w:val="restart"/>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积极参与小区、社区、街道等组织的各类培训、宣传活动，接受社区、街道的监督考核，</w:t>
            </w:r>
            <w:r>
              <w:rPr>
                <w:rFonts w:hint="eastAsia" w:ascii="仿宋" w:hAnsi="仿宋" w:eastAsia="仿宋" w:cs="仿宋"/>
                <w:bCs/>
                <w:color w:val="auto"/>
                <w:sz w:val="24"/>
                <w:szCs w:val="24"/>
                <w:highlight w:val="none"/>
                <w:lang w:eastAsia="zh-CN"/>
              </w:rPr>
              <w:t>定期</w:t>
            </w:r>
            <w:r>
              <w:rPr>
                <w:rFonts w:hint="default" w:ascii="仿宋" w:hAnsi="仿宋" w:eastAsia="仿宋" w:cs="仿宋"/>
                <w:bCs/>
                <w:color w:val="auto"/>
                <w:sz w:val="24"/>
                <w:szCs w:val="24"/>
                <w:highlight w:val="none"/>
                <w:lang w:eastAsia="zh-CN"/>
              </w:rPr>
              <w:t>在发袋机中补充</w:t>
            </w:r>
            <w:r>
              <w:rPr>
                <w:rFonts w:hint="eastAsia" w:ascii="仿宋" w:hAnsi="仿宋" w:eastAsia="仿宋" w:cs="仿宋"/>
                <w:bCs/>
                <w:color w:val="auto"/>
                <w:sz w:val="24"/>
                <w:szCs w:val="24"/>
                <w:highlight w:val="none"/>
                <w:lang w:eastAsia="zh-CN"/>
              </w:rPr>
              <w:t>垃圾袋，</w:t>
            </w:r>
            <w:r>
              <w:rPr>
                <w:rFonts w:hint="eastAsia" w:ascii="仿宋" w:hAnsi="仿宋" w:eastAsia="仿宋" w:cs="仿宋"/>
                <w:bCs/>
                <w:color w:val="auto"/>
                <w:sz w:val="24"/>
                <w:szCs w:val="24"/>
                <w:highlight w:val="none"/>
              </w:rPr>
              <w:t>及时、主动</w:t>
            </w:r>
            <w:r>
              <w:rPr>
                <w:rFonts w:hint="default" w:ascii="仿宋" w:hAnsi="仿宋" w:eastAsia="仿宋" w:cs="仿宋"/>
                <w:bCs/>
                <w:color w:val="auto"/>
                <w:sz w:val="24"/>
                <w:szCs w:val="24"/>
                <w:highlight w:val="none"/>
              </w:rPr>
              <w:t>配合</w:t>
            </w:r>
            <w:r>
              <w:rPr>
                <w:rFonts w:hint="eastAsia" w:ascii="仿宋" w:hAnsi="仿宋" w:eastAsia="仿宋" w:cs="仿宋"/>
                <w:bCs/>
                <w:color w:val="auto"/>
                <w:sz w:val="24"/>
                <w:szCs w:val="24"/>
                <w:highlight w:val="none"/>
              </w:rPr>
              <w:t>完成社区、街道交办的发放垃圾桶等临时性工作。</w:t>
            </w:r>
          </w:p>
        </w:tc>
        <w:tc>
          <w:tcPr>
            <w:tcW w:w="763" w:type="dxa"/>
            <w:vMerge w:val="restart"/>
            <w:noWrap w:val="0"/>
            <w:vAlign w:val="center"/>
          </w:tcPr>
          <w:p>
            <w:pPr>
              <w:pStyle w:val="2"/>
              <w:keepNext w:val="0"/>
              <w:keepLines w:val="0"/>
              <w:suppressLineNumbers w:val="0"/>
              <w:spacing w:before="0" w:beforeAutospacing="0" w:after="0" w:afterAutospacing="0" w:line="240" w:lineRule="auto"/>
              <w:ind w:left="0" w:right="0" w:firstLine="0"/>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10</w:t>
            </w: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无故缺席相关培训、宣传等活动，扣</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3176"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c>
          <w:tcPr>
            <w:tcW w:w="763"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未完成各项临时性工作，扣1分/次。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3176" w:type="dxa"/>
            <w:vMerge w:val="continue"/>
            <w:noWrap w:val="0"/>
            <w:vAlign w:val="center"/>
          </w:tcPr>
          <w:p>
            <w:pPr>
              <w:pStyle w:val="2"/>
              <w:keepNext w:val="0"/>
              <w:keepLines w:val="0"/>
              <w:suppressLineNumbers w:val="0"/>
              <w:spacing w:before="0" w:beforeAutospacing="0" w:after="0" w:afterAutospacing="0" w:line="240" w:lineRule="auto"/>
              <w:ind w:left="0" w:right="0"/>
              <w:rPr>
                <w:rFonts w:hint="eastAsia" w:ascii="仿宋" w:hAnsi="仿宋" w:eastAsia="仿宋" w:cs="仿宋"/>
                <w:bCs/>
                <w:color w:val="auto"/>
                <w:sz w:val="24"/>
                <w:szCs w:val="24"/>
                <w:highlight w:val="none"/>
              </w:rPr>
            </w:pPr>
          </w:p>
        </w:tc>
        <w:tc>
          <w:tcPr>
            <w:tcW w:w="763"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荣誉榜在次月3号前未更新到位的扣3分/次。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3176"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c>
          <w:tcPr>
            <w:tcW w:w="763"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lang w:val="en-US" w:eastAsia="zh-CN"/>
              </w:rPr>
            </w:pP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eastAsia="zh-CN"/>
              </w:rPr>
              <w:t>未定期</w:t>
            </w:r>
            <w:r>
              <w:rPr>
                <w:rFonts w:hint="default" w:ascii="仿宋" w:hAnsi="仿宋" w:eastAsia="仿宋" w:cs="仿宋"/>
                <w:bCs/>
                <w:color w:val="auto"/>
                <w:sz w:val="24"/>
                <w:szCs w:val="24"/>
                <w:highlight w:val="none"/>
                <w:lang w:eastAsia="zh-CN"/>
              </w:rPr>
              <w:t>补充</w:t>
            </w:r>
            <w:r>
              <w:rPr>
                <w:rFonts w:hint="eastAsia" w:ascii="仿宋" w:hAnsi="仿宋" w:eastAsia="仿宋" w:cs="仿宋"/>
                <w:bCs/>
                <w:color w:val="auto"/>
                <w:sz w:val="24"/>
                <w:szCs w:val="24"/>
                <w:highlight w:val="none"/>
                <w:lang w:eastAsia="zh-CN"/>
              </w:rPr>
              <w:t>垃圾袋</w:t>
            </w:r>
            <w:r>
              <w:rPr>
                <w:rFonts w:hint="default" w:ascii="仿宋" w:hAnsi="仿宋" w:eastAsia="仿宋" w:cs="仿宋"/>
                <w:bCs/>
                <w:color w:val="auto"/>
                <w:sz w:val="24"/>
                <w:szCs w:val="24"/>
                <w:highlight w:val="none"/>
                <w:lang w:eastAsia="zh-CN"/>
              </w:rPr>
              <w:t>被居民投诉</w:t>
            </w:r>
            <w:r>
              <w:rPr>
                <w:rFonts w:hint="eastAsia" w:ascii="仿宋" w:hAnsi="仿宋" w:eastAsia="仿宋" w:cs="仿宋"/>
                <w:bCs/>
                <w:color w:val="auto"/>
                <w:sz w:val="24"/>
                <w:szCs w:val="24"/>
                <w:highlight w:val="none"/>
                <w:lang w:eastAsia="zh-CN"/>
              </w:rPr>
              <w:t>的，扣</w:t>
            </w:r>
            <w:r>
              <w:rPr>
                <w:rFonts w:hint="eastAsia" w:ascii="仿宋" w:hAnsi="仿宋" w:eastAsia="仿宋" w:cs="仿宋"/>
                <w:bCs/>
                <w:color w:val="auto"/>
                <w:sz w:val="24"/>
                <w:szCs w:val="24"/>
                <w:highlight w:val="none"/>
                <w:lang w:val="en-US" w:eastAsia="zh-CN"/>
              </w:rPr>
              <w:t>1份/次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对小区生活垃圾分类情况进行检查,宣传普及分类知识，指导、劝导小区住户对垃圾进行正确分类投放</w:t>
            </w:r>
            <w:r>
              <w:rPr>
                <w:rFonts w:hint="eastAsia" w:ascii="仿宋" w:hAnsi="仿宋" w:eastAsia="仿宋" w:cs="仿宋"/>
                <w:bCs/>
                <w:color w:val="auto"/>
                <w:sz w:val="24"/>
                <w:szCs w:val="24"/>
                <w:highlight w:val="none"/>
                <w:lang w:eastAsia="zh-CN"/>
              </w:rPr>
              <w:t>，对易腐垃圾做好破袋准确投放</w:t>
            </w:r>
            <w:r>
              <w:rPr>
                <w:rFonts w:hint="eastAsia" w:ascii="仿宋" w:hAnsi="仿宋" w:eastAsia="仿宋" w:cs="仿宋"/>
                <w:bCs/>
                <w:color w:val="auto"/>
                <w:sz w:val="24"/>
                <w:szCs w:val="24"/>
                <w:highlight w:val="none"/>
              </w:rPr>
              <w:t>。</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20</w:t>
            </w: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随机检查时分类准确率达到90%以上的不扣分；80-90%（含）的扣5分；70-80%（含）的扣10分；70%及以下的扣15分。</w:t>
            </w:r>
          </w:p>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未对居民投放垃圾进行破袋检查分类情况的扣5分/次；未按规定定时开放、关闭点位的5分/次</w:t>
            </w:r>
            <w:r>
              <w:rPr>
                <w:rFonts w:hint="eastAsia" w:ascii="仿宋" w:hAnsi="仿宋" w:eastAsia="仿宋" w:cs="仿宋"/>
                <w:bCs/>
                <w:color w:val="auto"/>
                <w:sz w:val="24"/>
                <w:szCs w:val="24"/>
                <w:highlight w:val="none"/>
                <w:lang w:eastAsia="zh-CN"/>
              </w:rPr>
              <w:t>；绍兴市达标镇街通报中，因分类质量被通报的扣</w:t>
            </w:r>
            <w:r>
              <w:rPr>
                <w:rFonts w:hint="eastAsia" w:ascii="仿宋" w:hAnsi="仿宋" w:eastAsia="仿宋" w:cs="仿宋"/>
                <w:bCs/>
                <w:color w:val="auto"/>
                <w:sz w:val="24"/>
                <w:szCs w:val="24"/>
                <w:highlight w:val="none"/>
                <w:lang w:val="en-US" w:eastAsia="zh-CN"/>
              </w:rPr>
              <w:t>5分/次</w:t>
            </w:r>
            <w:r>
              <w:rPr>
                <w:rFonts w:hint="eastAsia" w:ascii="仿宋" w:hAnsi="仿宋" w:eastAsia="仿宋" w:cs="仿宋"/>
                <w:bCs/>
                <w:color w:val="auto"/>
                <w:sz w:val="24"/>
                <w:szCs w:val="24"/>
                <w:highlight w:val="none"/>
              </w:rPr>
              <w:t>。</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小区居民知晓率、满意度调查。</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2</w:t>
            </w: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小区居民不知晓垃圾分类或对督导员工作不满意的，扣1分/次。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检查垃圾收集点周边环境卫生、垃圾入桶和垃圾桶身卫生，垃圾收集点满溢时，及时通知相关单位进行清运。</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3</w:t>
            </w:r>
          </w:p>
        </w:tc>
        <w:tc>
          <w:tcPr>
            <w:tcW w:w="2775" w:type="dxa"/>
            <w:gridSpan w:val="2"/>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垃圾房、垃圾桶外部有杂物，发现一处扣1分/次。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做好分类垃圾桶等设备设施管理，如发现破损等异常情况，及时向物业或相关单位报告，</w:t>
            </w:r>
            <w:r>
              <w:rPr>
                <w:rFonts w:hint="eastAsia" w:ascii="仿宋" w:hAnsi="仿宋" w:eastAsia="仿宋" w:cs="仿宋"/>
                <w:bCs/>
                <w:color w:val="auto"/>
                <w:sz w:val="24"/>
                <w:szCs w:val="24"/>
                <w:highlight w:val="none"/>
                <w:lang w:eastAsia="zh-CN"/>
              </w:rPr>
              <w:t>及时维护以</w:t>
            </w:r>
            <w:r>
              <w:rPr>
                <w:rFonts w:hint="eastAsia" w:ascii="仿宋" w:hAnsi="仿宋" w:eastAsia="仿宋" w:cs="仿宋"/>
                <w:bCs/>
                <w:color w:val="auto"/>
                <w:sz w:val="24"/>
                <w:szCs w:val="24"/>
                <w:highlight w:val="none"/>
              </w:rPr>
              <w:t>确保正常使用。</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default" w:ascii="仿宋" w:hAnsi="仿宋" w:eastAsia="仿宋" w:cs="仿宋"/>
                <w:bCs/>
                <w:color w:val="auto"/>
                <w:sz w:val="24"/>
                <w:szCs w:val="24"/>
                <w:highlight w:val="none"/>
              </w:rPr>
            </w:pPr>
            <w:r>
              <w:rPr>
                <w:rFonts w:hint="default" w:ascii="仿宋" w:hAnsi="仿宋" w:eastAsia="仿宋" w:cs="仿宋"/>
                <w:bCs/>
                <w:color w:val="auto"/>
                <w:sz w:val="24"/>
                <w:szCs w:val="24"/>
                <w:highlight w:val="none"/>
              </w:rPr>
              <w:t>3</w:t>
            </w:r>
          </w:p>
        </w:tc>
        <w:tc>
          <w:tcPr>
            <w:tcW w:w="2775" w:type="dxa"/>
            <w:gridSpan w:val="2"/>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分类设施（四有七标配）、设备及分类垃圾桶破损或无法正常运行</w:t>
            </w:r>
            <w:r>
              <w:rPr>
                <w:rFonts w:hint="eastAsia" w:ascii="仿宋" w:hAnsi="仿宋" w:eastAsia="仿宋" w:cs="仿宋"/>
                <w:bCs/>
                <w:color w:val="auto"/>
                <w:sz w:val="24"/>
                <w:szCs w:val="24"/>
                <w:highlight w:val="none"/>
              </w:rPr>
              <w:t>，不及时上报，</w:t>
            </w:r>
            <w:r>
              <w:rPr>
                <w:rFonts w:hint="eastAsia" w:ascii="仿宋" w:hAnsi="仿宋" w:eastAsia="仿宋" w:cs="仿宋"/>
                <w:bCs/>
                <w:color w:val="auto"/>
                <w:sz w:val="24"/>
                <w:szCs w:val="24"/>
                <w:highlight w:val="none"/>
                <w:lang w:eastAsia="zh-CN"/>
              </w:rPr>
              <w:t>未及时进行维护，</w:t>
            </w:r>
            <w:r>
              <w:rPr>
                <w:rFonts w:hint="eastAsia" w:ascii="仿宋" w:hAnsi="仿宋" w:eastAsia="仿宋" w:cs="仿宋"/>
                <w:bCs/>
                <w:color w:val="auto"/>
                <w:sz w:val="24"/>
                <w:szCs w:val="24"/>
                <w:highlight w:val="none"/>
              </w:rPr>
              <w:t>发现一处扣1分/次。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restart"/>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color="auto" w:fill="FFFFFF"/>
                <w:lang w:bidi="ar"/>
              </w:rPr>
              <w:t>宣传培训</w:t>
            </w:r>
          </w:p>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shd w:val="clear" w:color="auto" w:fill="FFFFFF"/>
                <w:lang w:bidi="ar"/>
              </w:rPr>
              <w:t>（20分）</w:t>
            </w: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每月开展上门入户宣传，要求每个季度对小区居民实现全覆盖</w:t>
            </w:r>
            <w:r>
              <w:rPr>
                <w:rFonts w:hint="default" w:ascii="仿宋" w:hAnsi="仿宋" w:eastAsia="仿宋" w:cs="仿宋"/>
                <w:bCs/>
                <w:color w:val="auto"/>
                <w:sz w:val="24"/>
                <w:szCs w:val="24"/>
                <w:highlight w:val="none"/>
              </w:rPr>
              <w:t>；每个小区每季度开展一次宣传活动。按时</w:t>
            </w:r>
            <w:r>
              <w:rPr>
                <w:rFonts w:hint="eastAsia" w:ascii="仿宋" w:hAnsi="仿宋" w:eastAsia="仿宋" w:cs="仿宋"/>
                <w:bCs/>
                <w:color w:val="auto"/>
                <w:sz w:val="24"/>
                <w:szCs w:val="24"/>
                <w:highlight w:val="none"/>
              </w:rPr>
              <w:t>向街道（社区）提交上门宣传</w:t>
            </w:r>
            <w:r>
              <w:rPr>
                <w:rFonts w:hint="default" w:ascii="仿宋" w:hAnsi="仿宋" w:eastAsia="仿宋" w:cs="仿宋"/>
                <w:bCs/>
                <w:color w:val="auto"/>
                <w:sz w:val="24"/>
                <w:szCs w:val="24"/>
                <w:highlight w:val="none"/>
              </w:rPr>
              <w:t>及相关活动</w:t>
            </w:r>
            <w:r>
              <w:rPr>
                <w:rFonts w:hint="eastAsia" w:ascii="仿宋" w:hAnsi="仿宋" w:eastAsia="仿宋" w:cs="仿宋"/>
                <w:bCs/>
                <w:color w:val="auto"/>
                <w:sz w:val="24"/>
                <w:szCs w:val="24"/>
                <w:highlight w:val="none"/>
              </w:rPr>
              <w:t>照片等资料。</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w:t>
            </w:r>
          </w:p>
        </w:tc>
        <w:tc>
          <w:tcPr>
            <w:tcW w:w="2775" w:type="dxa"/>
            <w:gridSpan w:val="2"/>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发现未按要求进行入户宣传并提交资料的扣5分/次。</w:t>
            </w:r>
          </w:p>
          <w:p>
            <w:pPr>
              <w:pStyle w:val="11"/>
              <w:spacing w:line="240" w:lineRule="auto"/>
              <w:rPr>
                <w:rFonts w:hint="default"/>
                <w:color w:val="auto"/>
                <w:highlight w:val="none"/>
              </w:rPr>
            </w:pPr>
            <w:r>
              <w:rPr>
                <w:rFonts w:hint="default" w:ascii="仿宋" w:hAnsi="仿宋" w:eastAsia="仿宋" w:cs="仿宋"/>
                <w:bCs/>
                <w:color w:val="auto"/>
                <w:sz w:val="24"/>
                <w:szCs w:val="24"/>
                <w:highlight w:val="none"/>
              </w:rPr>
              <w:t>未按要求每季度开展宣传活动并提交资料的扣5分/次。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kern w:val="0"/>
                <w:sz w:val="24"/>
                <w:szCs w:val="24"/>
                <w:highlight w:val="none"/>
                <w:shd w:val="clear" w:color="auto" w:fill="FFFFFF"/>
                <w:lang w:bidi="ar"/>
              </w:rPr>
            </w:pPr>
          </w:p>
        </w:tc>
        <w:tc>
          <w:tcPr>
            <w:tcW w:w="3176" w:type="dxa"/>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按照</w:t>
            </w:r>
            <w:r>
              <w:rPr>
                <w:rFonts w:hint="eastAsia" w:ascii="仿宋" w:hAnsi="仿宋" w:eastAsia="仿宋" w:cs="仿宋"/>
                <w:bCs/>
                <w:color w:val="auto"/>
                <w:sz w:val="24"/>
                <w:szCs w:val="24"/>
                <w:highlight w:val="none"/>
                <w:lang w:eastAsia="zh-CN"/>
              </w:rPr>
              <w:t>《关于开展2023年全市生活垃圾“定时定点”越美小区创建活动的通知》</w:t>
            </w:r>
            <w:r>
              <w:rPr>
                <w:rFonts w:hint="eastAsia" w:ascii="仿宋" w:hAnsi="仿宋" w:eastAsia="仿宋" w:cs="仿宋"/>
                <w:bCs/>
                <w:color w:val="auto"/>
                <w:sz w:val="24"/>
                <w:szCs w:val="24"/>
                <w:highlight w:val="none"/>
              </w:rPr>
              <w:t>要求做好台账资料整理</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w:t>
            </w:r>
          </w:p>
        </w:tc>
        <w:tc>
          <w:tcPr>
            <w:tcW w:w="2775" w:type="dxa"/>
            <w:gridSpan w:val="2"/>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color="auto" w:fill="FFFFFF"/>
                <w:lang w:bidi="ar"/>
              </w:rPr>
              <w:t>台账资料整理混乱或未及时做台账资料的扣3分/次。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58" w:type="dxa"/>
            <w:vMerge w:val="restart"/>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color="auto" w:fill="FFFFFF"/>
                <w:lang w:bidi="ar"/>
              </w:rPr>
              <w:t>监督管理</w:t>
            </w:r>
          </w:p>
          <w:p>
            <w:pPr>
              <w:pStyle w:val="2"/>
              <w:keepNext w:val="0"/>
              <w:keepLines w:val="0"/>
              <w:suppressLineNumbers w:val="0"/>
              <w:spacing w:before="0" w:beforeAutospacing="0" w:after="0" w:afterAutospacing="0" w:line="240" w:lineRule="auto"/>
              <w:ind w:left="0" w:right="0" w:firstLine="0"/>
              <w:jc w:val="left"/>
              <w:rPr>
                <w:rFonts w:hint="eastAsia" w:ascii="仿宋" w:hAnsi="仿宋" w:eastAsia="仿宋" w:cs="仿宋"/>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color="auto" w:fill="FFFFFF"/>
                <w:lang w:bidi="ar"/>
              </w:rPr>
              <w:t>（20分）</w:t>
            </w:r>
          </w:p>
        </w:tc>
        <w:tc>
          <w:tcPr>
            <w:tcW w:w="3176" w:type="dxa"/>
            <w:vMerge w:val="restart"/>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完善工作机制，做好监督管理</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shd w:val="clear" w:color="auto" w:fill="FFFFFF"/>
                <w:lang w:bidi="ar"/>
              </w:rPr>
              <w:t>每月未及时完成居民参与率报表的扣1分/次。</w:t>
            </w: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jc w:val="left"/>
              <w:rPr>
                <w:rFonts w:hint="eastAsia" w:ascii="仿宋" w:hAnsi="仿宋" w:eastAsia="仿宋" w:cs="仿宋"/>
                <w:color w:val="auto"/>
                <w:kern w:val="0"/>
                <w:sz w:val="24"/>
                <w:szCs w:val="24"/>
                <w:highlight w:val="none"/>
                <w:shd w:val="clear" w:color="auto" w:fill="FFFFFF"/>
                <w:lang w:bidi="ar"/>
              </w:rPr>
            </w:pPr>
          </w:p>
        </w:tc>
        <w:tc>
          <w:tcPr>
            <w:tcW w:w="3176"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c>
          <w:tcPr>
            <w:tcW w:w="763" w:type="dxa"/>
            <w:vMerge w:val="restart"/>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18</w:t>
            </w: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color="auto" w:fill="FFFFFF"/>
                <w:lang w:bidi="ar"/>
              </w:rPr>
              <w:t>没有建立自查自纠工作机制的，扣1分。</w:t>
            </w:r>
          </w:p>
        </w:tc>
        <w:tc>
          <w:tcPr>
            <w:tcW w:w="708" w:type="dxa"/>
            <w:vMerge w:val="restart"/>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sz w:val="24"/>
                <w:szCs w:val="24"/>
                <w:highlight w:val="none"/>
              </w:rPr>
            </w:pPr>
          </w:p>
        </w:tc>
        <w:tc>
          <w:tcPr>
            <w:tcW w:w="3176"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sz w:val="24"/>
                <w:szCs w:val="24"/>
                <w:highlight w:val="none"/>
              </w:rPr>
            </w:pPr>
          </w:p>
        </w:tc>
        <w:tc>
          <w:tcPr>
            <w:tcW w:w="763"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sz w:val="24"/>
                <w:szCs w:val="24"/>
                <w:highlight w:val="none"/>
              </w:rPr>
            </w:pP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color="auto" w:fill="FFFFFF"/>
                <w:lang w:bidi="ar"/>
              </w:rPr>
              <w:t>对各级监督中发现的问题、市民投诉、媒体曝光等问题，没有及时调查、核实、处理，落实整改。扣5分/次。</w:t>
            </w:r>
          </w:p>
        </w:tc>
        <w:tc>
          <w:tcPr>
            <w:tcW w:w="708" w:type="dxa"/>
            <w:vMerge w:val="continue"/>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kern w:val="0"/>
                <w:sz w:val="24"/>
                <w:szCs w:val="24"/>
                <w:highlight w:val="none"/>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58"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kern w:val="0"/>
                <w:sz w:val="24"/>
                <w:szCs w:val="24"/>
                <w:highlight w:val="none"/>
                <w:shd w:val="clear" w:color="auto" w:fill="FFFFFF"/>
                <w:lang w:bidi="ar"/>
              </w:rPr>
            </w:pPr>
          </w:p>
        </w:tc>
        <w:tc>
          <w:tcPr>
            <w:tcW w:w="3176"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kern w:val="0"/>
                <w:sz w:val="24"/>
                <w:szCs w:val="24"/>
                <w:highlight w:val="none"/>
                <w:shd w:val="clear" w:color="auto" w:fill="FFFFFF"/>
                <w:lang w:bidi="ar"/>
              </w:rPr>
            </w:pPr>
          </w:p>
        </w:tc>
        <w:tc>
          <w:tcPr>
            <w:tcW w:w="763" w:type="dxa"/>
            <w:vMerge w:val="continue"/>
            <w:noWrap w:val="0"/>
            <w:vAlign w:val="center"/>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kern w:val="0"/>
                <w:sz w:val="24"/>
                <w:szCs w:val="24"/>
                <w:highlight w:val="none"/>
                <w:shd w:val="clear" w:color="auto" w:fill="FFFFFF"/>
                <w:lang w:bidi="ar"/>
              </w:rPr>
            </w:pP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color="auto" w:fill="FFFFFF"/>
                <w:lang w:bidi="ar"/>
              </w:rPr>
              <w:t>出现有责问题导致被媒体曝光、重大创建工作中扣分等不良影响的扣5分/次。</w:t>
            </w:r>
          </w:p>
        </w:tc>
        <w:tc>
          <w:tcPr>
            <w:tcW w:w="708" w:type="dxa"/>
            <w:vMerge w:val="continue"/>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color w:val="auto"/>
                <w:kern w:val="0"/>
                <w:sz w:val="24"/>
                <w:szCs w:val="24"/>
                <w:highlight w:val="none"/>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4" w:type="dxa"/>
            <w:gridSpan w:val="2"/>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合计</w:t>
            </w:r>
          </w:p>
        </w:tc>
        <w:tc>
          <w:tcPr>
            <w:tcW w:w="763" w:type="dxa"/>
            <w:noWrap w:val="0"/>
            <w:vAlign w:val="center"/>
          </w:tcPr>
          <w:p>
            <w:pPr>
              <w:pStyle w:val="2"/>
              <w:keepNext w:val="0"/>
              <w:keepLines w:val="0"/>
              <w:suppressLineNumbers w:val="0"/>
              <w:spacing w:before="0" w:beforeAutospacing="0" w:after="0" w:afterAutospacing="0" w:line="240" w:lineRule="auto"/>
              <w:ind w:left="0" w:right="0" w:firstLine="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100分</w:t>
            </w:r>
          </w:p>
        </w:tc>
        <w:tc>
          <w:tcPr>
            <w:tcW w:w="2775" w:type="dxa"/>
            <w:gridSpan w:val="2"/>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c>
          <w:tcPr>
            <w:tcW w:w="708" w:type="dxa"/>
            <w:noWrap w:val="0"/>
            <w:vAlign w:val="top"/>
          </w:tcPr>
          <w:p>
            <w:pPr>
              <w:pStyle w:val="2"/>
              <w:keepNext w:val="0"/>
              <w:keepLines w:val="0"/>
              <w:suppressLineNumbers w:val="0"/>
              <w:spacing w:before="0" w:beforeAutospacing="0" w:after="0" w:afterAutospacing="0" w:line="240" w:lineRule="auto"/>
              <w:ind w:left="0" w:right="0" w:firstLine="0"/>
              <w:rPr>
                <w:rFonts w:hint="eastAsia" w:ascii="仿宋" w:hAnsi="仿宋" w:eastAsia="仿宋" w:cs="仿宋"/>
                <w:bCs/>
                <w:color w:val="auto"/>
                <w:sz w:val="24"/>
                <w:szCs w:val="24"/>
                <w:highlight w:val="none"/>
              </w:rPr>
            </w:pP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仿宋" w:hAnsi="仿宋" w:eastAsia="仿宋" w:cs="仿宋"/>
          <w:color w:val="auto"/>
          <w:kern w:val="0"/>
          <w:sz w:val="24"/>
          <w:szCs w:val="24"/>
          <w:highlight w:val="none"/>
          <w:shd w:val="clear" w:color="auto" w:fill="FFFFFF"/>
          <w:lang w:val="en-US" w:eastAsia="zh-CN" w:bidi="ar"/>
        </w:rPr>
      </w:pPr>
      <w:r>
        <w:rPr>
          <w:rFonts w:hint="eastAsia" w:ascii="仿宋" w:hAnsi="仿宋" w:eastAsia="仿宋" w:cs="仿宋"/>
          <w:color w:val="auto"/>
          <w:kern w:val="0"/>
          <w:sz w:val="24"/>
          <w:szCs w:val="24"/>
          <w:highlight w:val="none"/>
          <w:shd w:val="clear" w:fill="FFFFFF"/>
          <w:lang w:val="en-US" w:eastAsia="zh-CN" w:bidi="ar"/>
        </w:rPr>
        <w:t>1.</w:t>
      </w:r>
      <w:r>
        <w:rPr>
          <w:rFonts w:hint="eastAsia" w:ascii="仿宋" w:hAnsi="仿宋" w:eastAsia="仿宋" w:cs="仿宋"/>
          <w:color w:val="auto"/>
          <w:kern w:val="0"/>
          <w:sz w:val="24"/>
          <w:szCs w:val="24"/>
          <w:highlight w:val="none"/>
          <w:shd w:val="clear" w:color="auto" w:fill="FFFFFF"/>
          <w:lang w:bidi="ar"/>
        </w:rPr>
        <w:t>本考核办法（试行）在规范要求内采购人可进行补充增设，考核办法（试行）</w:t>
      </w:r>
      <w:r>
        <w:rPr>
          <w:rFonts w:hint="eastAsia" w:ascii="仿宋" w:hAnsi="仿宋" w:eastAsia="仿宋" w:cs="仿宋"/>
          <w:color w:val="auto"/>
          <w:kern w:val="0"/>
          <w:sz w:val="24"/>
          <w:szCs w:val="24"/>
          <w:highlight w:val="none"/>
          <w:shd w:val="clear" w:color="auto" w:fill="FFFFFF"/>
          <w:lang w:eastAsia="zh-CN" w:bidi="ar"/>
        </w:rPr>
        <w:t>由分类办和各街道</w:t>
      </w:r>
      <w:r>
        <w:rPr>
          <w:rFonts w:hint="eastAsia" w:ascii="仿宋" w:hAnsi="仿宋" w:eastAsia="仿宋" w:cs="仿宋"/>
          <w:color w:val="auto"/>
          <w:kern w:val="0"/>
          <w:sz w:val="24"/>
          <w:szCs w:val="24"/>
          <w:highlight w:val="none"/>
          <w:shd w:val="clear" w:color="auto" w:fill="FFFFFF"/>
          <w:lang w:bidi="ar"/>
        </w:rPr>
        <w:t>每月</w:t>
      </w:r>
      <w:r>
        <w:rPr>
          <w:rFonts w:hint="eastAsia" w:ascii="仿宋" w:hAnsi="仿宋" w:eastAsia="仿宋" w:cs="仿宋"/>
          <w:color w:val="auto"/>
          <w:kern w:val="0"/>
          <w:sz w:val="24"/>
          <w:szCs w:val="24"/>
          <w:highlight w:val="none"/>
          <w:shd w:val="clear" w:color="auto" w:fill="FFFFFF"/>
          <w:lang w:eastAsia="zh-CN" w:bidi="ar"/>
        </w:rPr>
        <w:t>分别组织</w:t>
      </w:r>
      <w:r>
        <w:rPr>
          <w:rFonts w:hint="eastAsia" w:ascii="仿宋" w:hAnsi="仿宋" w:eastAsia="仿宋" w:cs="仿宋"/>
          <w:color w:val="auto"/>
          <w:kern w:val="0"/>
          <w:sz w:val="24"/>
          <w:szCs w:val="24"/>
          <w:highlight w:val="none"/>
          <w:shd w:val="clear" w:color="auto" w:fill="FFFFFF"/>
          <w:lang w:bidi="ar"/>
        </w:rPr>
        <w:t>考核</w:t>
      </w:r>
      <w:r>
        <w:rPr>
          <w:rFonts w:hint="eastAsia" w:ascii="仿宋" w:hAnsi="仿宋" w:eastAsia="仿宋" w:cs="仿宋"/>
          <w:color w:val="auto"/>
          <w:kern w:val="0"/>
          <w:sz w:val="24"/>
          <w:szCs w:val="24"/>
          <w:highlight w:val="none"/>
          <w:shd w:val="clear" w:color="auto" w:fill="FFFFFF"/>
          <w:lang w:eastAsia="zh-CN" w:bidi="ar"/>
        </w:rPr>
        <w:t>，月度考核成绩各占</w:t>
      </w:r>
      <w:r>
        <w:rPr>
          <w:rFonts w:hint="eastAsia" w:ascii="仿宋" w:hAnsi="仿宋" w:eastAsia="仿宋" w:cs="仿宋"/>
          <w:color w:val="auto"/>
          <w:kern w:val="0"/>
          <w:sz w:val="24"/>
          <w:szCs w:val="24"/>
          <w:highlight w:val="none"/>
          <w:shd w:val="clear" w:color="auto" w:fill="FFFFFF"/>
          <w:lang w:val="en-US" w:eastAsia="zh-CN" w:bidi="ar"/>
        </w:rPr>
        <w:t>50%。其中</w:t>
      </w:r>
      <w:r>
        <w:rPr>
          <w:rFonts w:hint="default" w:ascii="仿宋" w:hAnsi="仿宋" w:eastAsia="仿宋" w:cs="仿宋"/>
          <w:color w:val="auto"/>
          <w:kern w:val="0"/>
          <w:sz w:val="24"/>
          <w:szCs w:val="24"/>
          <w:highlight w:val="none"/>
          <w:shd w:val="clear" w:color="auto" w:fill="FFFFFF"/>
          <w:lang w:eastAsia="zh-CN" w:bidi="ar"/>
        </w:rPr>
        <w:t>出现有责问题</w:t>
      </w:r>
      <w:r>
        <w:rPr>
          <w:rFonts w:hint="eastAsia" w:ascii="仿宋" w:hAnsi="仿宋" w:eastAsia="仿宋" w:cs="仿宋"/>
          <w:color w:val="auto"/>
          <w:kern w:val="0"/>
          <w:sz w:val="24"/>
          <w:szCs w:val="24"/>
          <w:highlight w:val="none"/>
          <w:shd w:val="clear" w:color="auto" w:fill="FFFFFF"/>
          <w:lang w:val="en-US" w:eastAsia="zh-CN" w:bidi="ar"/>
        </w:rPr>
        <w:t>造成在绍兴市</w:t>
      </w:r>
      <w:r>
        <w:rPr>
          <w:rFonts w:hint="default" w:ascii="仿宋" w:hAnsi="仿宋" w:eastAsia="仿宋" w:cs="仿宋"/>
          <w:color w:val="auto"/>
          <w:kern w:val="0"/>
          <w:sz w:val="24"/>
          <w:szCs w:val="24"/>
          <w:highlight w:val="none"/>
          <w:shd w:val="clear" w:color="auto" w:fill="FFFFFF"/>
          <w:lang w:eastAsia="zh-CN" w:bidi="ar"/>
        </w:rPr>
        <w:t>垃圾分类</w:t>
      </w:r>
      <w:r>
        <w:rPr>
          <w:rFonts w:hint="eastAsia" w:ascii="仿宋" w:hAnsi="仿宋" w:eastAsia="仿宋" w:cs="仿宋"/>
          <w:color w:val="auto"/>
          <w:kern w:val="0"/>
          <w:sz w:val="24"/>
          <w:szCs w:val="24"/>
          <w:highlight w:val="none"/>
          <w:shd w:val="clear" w:color="auto" w:fill="FFFFFF"/>
          <w:lang w:val="en-US" w:eastAsia="zh-CN" w:bidi="ar"/>
        </w:rPr>
        <w:t>月度考核中排名末位等情况，当月考核总分中直接扣10分。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仿宋" w:hAnsi="仿宋" w:eastAsia="仿宋" w:cs="仿宋"/>
          <w:color w:val="auto"/>
          <w:kern w:val="0"/>
          <w:sz w:val="24"/>
          <w:szCs w:val="24"/>
          <w:highlight w:val="none"/>
          <w:shd w:val="clear" w:color="auto" w:fill="FFFFFF"/>
          <w:lang w:bidi="ar"/>
        </w:rPr>
      </w:pPr>
      <w:r>
        <w:rPr>
          <w:rFonts w:hint="eastAsia" w:ascii="仿宋" w:hAnsi="仿宋" w:eastAsia="仿宋" w:cs="仿宋"/>
          <w:color w:val="auto"/>
          <w:kern w:val="0"/>
          <w:sz w:val="24"/>
          <w:szCs w:val="24"/>
          <w:highlight w:val="none"/>
          <w:shd w:val="clear" w:fill="FFFFFF"/>
          <w:lang w:val="en-US" w:eastAsia="zh-CN" w:bidi="ar"/>
        </w:rPr>
        <w:t>2.</w:t>
      </w:r>
      <w:r>
        <w:rPr>
          <w:rFonts w:hint="eastAsia" w:ascii="仿宋" w:hAnsi="仿宋" w:eastAsia="仿宋" w:cs="仿宋"/>
          <w:color w:val="auto"/>
          <w:kern w:val="0"/>
          <w:sz w:val="24"/>
          <w:szCs w:val="24"/>
          <w:highlight w:val="none"/>
          <w:shd w:val="clear" w:color="auto" w:fill="FFFFFF"/>
          <w:lang w:val="en-US" w:eastAsia="zh-CN" w:bidi="ar"/>
        </w:rPr>
        <w:t>同一个小区当月出现3次没有易腐垃圾分出，或者在检查或者考核中，当月3次发现易腐垃圾分类不准确的，采购人和街道有权要求对该小区督导员进行辞退更换，若不更换，扣除当月工资。</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.考核总分100分，月考核中95分及以上为合格；90（含）-95分，每扣1分扣除运营费用</w:t>
      </w:r>
      <w:r>
        <w:rPr>
          <w:rFonts w:hint="eastAsia" w:ascii="仿宋" w:hAnsi="仿宋" w:eastAsia="仿宋" w:cs="仿宋"/>
          <w:color w:val="auto"/>
          <w:kern w:val="0"/>
          <w:sz w:val="24"/>
          <w:highlight w:val="none"/>
          <w:lang w:val="en-US" w:eastAsia="zh-CN"/>
        </w:rPr>
        <w:t>200</w:t>
      </w:r>
      <w:r>
        <w:rPr>
          <w:rFonts w:hint="eastAsia" w:ascii="仿宋" w:hAnsi="仿宋" w:eastAsia="仿宋" w:cs="仿宋"/>
          <w:color w:val="auto"/>
          <w:kern w:val="0"/>
          <w:sz w:val="24"/>
          <w:highlight w:val="none"/>
        </w:rPr>
        <w:t>元；85（含）-90分，每扣1分扣除运营费用</w:t>
      </w:r>
      <w:r>
        <w:rPr>
          <w:rFonts w:hint="eastAsia" w:ascii="仿宋" w:hAnsi="仿宋" w:eastAsia="仿宋" w:cs="仿宋"/>
          <w:color w:val="auto"/>
          <w:kern w:val="0"/>
          <w:sz w:val="24"/>
          <w:highlight w:val="none"/>
          <w:lang w:val="en-US" w:eastAsia="zh-CN"/>
        </w:rPr>
        <w:t>500</w:t>
      </w:r>
      <w:r>
        <w:rPr>
          <w:rFonts w:hint="eastAsia" w:ascii="仿宋" w:hAnsi="仿宋" w:eastAsia="仿宋" w:cs="仿宋"/>
          <w:color w:val="auto"/>
          <w:kern w:val="0"/>
          <w:sz w:val="24"/>
          <w:highlight w:val="none"/>
        </w:rPr>
        <w:t>元；</w:t>
      </w:r>
      <w:r>
        <w:rPr>
          <w:rFonts w:hint="eastAsia" w:ascii="仿宋" w:hAnsi="仿宋" w:eastAsia="仿宋" w:cs="仿宋"/>
          <w:color w:val="auto"/>
          <w:kern w:val="0"/>
          <w:sz w:val="24"/>
          <w:highlight w:val="none"/>
          <w:lang w:val="en-US" w:eastAsia="zh-CN"/>
        </w:rPr>
        <w:t>75（含）-</w:t>
      </w:r>
      <w:r>
        <w:rPr>
          <w:rFonts w:hint="eastAsia" w:ascii="仿宋" w:hAnsi="仿宋" w:eastAsia="仿宋" w:cs="仿宋"/>
          <w:color w:val="auto"/>
          <w:kern w:val="0"/>
          <w:sz w:val="24"/>
          <w:highlight w:val="none"/>
        </w:rPr>
        <w:t>85分</w:t>
      </w:r>
      <w:r>
        <w:rPr>
          <w:rFonts w:hint="eastAsia" w:ascii="仿宋" w:hAnsi="仿宋" w:eastAsia="仿宋" w:cs="仿宋"/>
          <w:color w:val="auto"/>
          <w:kern w:val="0"/>
          <w:sz w:val="24"/>
          <w:highlight w:val="none"/>
          <w:lang w:eastAsia="zh-CN"/>
        </w:rPr>
        <w:t>，每扣</w:t>
      </w:r>
      <w:r>
        <w:rPr>
          <w:rFonts w:hint="eastAsia" w:ascii="仿宋" w:hAnsi="仿宋" w:eastAsia="仿宋" w:cs="仿宋"/>
          <w:color w:val="auto"/>
          <w:kern w:val="0"/>
          <w:sz w:val="24"/>
          <w:highlight w:val="none"/>
          <w:lang w:val="en-US" w:eastAsia="zh-CN"/>
        </w:rPr>
        <w:t>1分扣除运营费用1000元；60（含）-75分，每扣1分扣除运营费用2000元；60分</w:t>
      </w:r>
      <w:r>
        <w:rPr>
          <w:rFonts w:hint="eastAsia" w:ascii="仿宋" w:hAnsi="仿宋" w:eastAsia="仿宋" w:cs="仿宋"/>
          <w:color w:val="auto"/>
          <w:kern w:val="0"/>
          <w:sz w:val="24"/>
          <w:highlight w:val="none"/>
        </w:rPr>
        <w:t>以下的</w:t>
      </w:r>
      <w:r>
        <w:rPr>
          <w:rFonts w:hint="eastAsia" w:ascii="仿宋" w:hAnsi="仿宋" w:eastAsia="仿宋" w:cs="仿宋"/>
          <w:color w:val="auto"/>
          <w:kern w:val="0"/>
          <w:sz w:val="24"/>
          <w:highlight w:val="none"/>
          <w:lang w:eastAsia="zh-CN"/>
        </w:rPr>
        <w:t>直接扣除</w:t>
      </w:r>
      <w:r>
        <w:rPr>
          <w:rFonts w:hint="eastAsia" w:ascii="仿宋" w:hAnsi="仿宋" w:eastAsia="仿宋" w:cs="仿宋"/>
          <w:color w:val="auto"/>
          <w:kern w:val="0"/>
          <w:sz w:val="24"/>
          <w:highlight w:val="none"/>
          <w:lang w:val="en-US" w:eastAsia="zh-CN"/>
        </w:rPr>
        <w:t>50000元。</w:t>
      </w:r>
    </w:p>
    <w:p>
      <w:pPr>
        <w:pStyle w:val="2"/>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4.合同期内经分类办和各街道考核如连续三个月考核分低于60分的或任意三个月考核分低于60分的，采购人有权单方终止采购合同。</w:t>
      </w:r>
    </w:p>
    <w:p>
      <w:pPr>
        <w:widowControl/>
        <w:adjustRightInd/>
        <w:jc w:val="both"/>
        <w:rPr>
          <w:rFonts w:hint="eastAsia" w:ascii="仿宋" w:hAnsi="仿宋" w:eastAsia="仿宋" w:cs="仿宋"/>
          <w:b/>
          <w:color w:val="auto"/>
          <w:sz w:val="36"/>
          <w:szCs w:val="36"/>
          <w:highlight w:val="none"/>
        </w:rPr>
      </w:pPr>
    </w:p>
    <w:p>
      <w:pPr>
        <w:widowControl/>
        <w:adjustRightInd/>
        <w:jc w:val="center"/>
        <w:rPr>
          <w:rFonts w:hint="eastAsia" w:ascii="仿宋" w:hAnsi="仿宋" w:eastAsia="仿宋" w:cs="仿宋"/>
          <w:b/>
          <w:color w:val="auto"/>
          <w:sz w:val="36"/>
          <w:szCs w:val="36"/>
          <w:highlight w:val="none"/>
        </w:rPr>
      </w:pPr>
    </w:p>
    <w:p>
      <w:pPr>
        <w:widowControl/>
        <w:adjustRightInd/>
        <w:jc w:val="center"/>
        <w:rPr>
          <w:rFonts w:hint="eastAsia" w:ascii="仿宋" w:hAnsi="仿宋" w:eastAsia="仿宋" w:cs="仿宋"/>
          <w:b/>
          <w:color w:val="auto"/>
          <w:sz w:val="36"/>
          <w:szCs w:val="36"/>
          <w:highlight w:val="none"/>
        </w:rPr>
      </w:pPr>
    </w:p>
    <w:p>
      <w:pPr>
        <w:widowControl/>
        <w:adjustRightInd/>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7" w:name="_Toc184312108"/>
      <w:bookmarkEnd w:id="7"/>
      <w:bookmarkStart w:id="8" w:name="_Toc184308095"/>
      <w:bookmarkEnd w:id="8"/>
      <w:bookmarkStart w:id="9" w:name="_Toc184310305"/>
      <w:bookmarkEnd w:id="9"/>
      <w:bookmarkStart w:id="10" w:name="_Toc184308108"/>
      <w:bookmarkEnd w:id="10"/>
      <w:bookmarkStart w:id="11" w:name="_Toc184312115"/>
      <w:bookmarkEnd w:id="11"/>
      <w:bookmarkStart w:id="12" w:name="_Toc184314477"/>
      <w:bookmarkEnd w:id="12"/>
      <w:bookmarkStart w:id="13" w:name="_Toc184312080"/>
      <w:bookmarkEnd w:id="13"/>
      <w:bookmarkStart w:id="14" w:name="_Toc184310322"/>
      <w:bookmarkEnd w:id="14"/>
      <w:bookmarkStart w:id="15" w:name="_Toc184313298"/>
      <w:bookmarkEnd w:id="15"/>
      <w:bookmarkStart w:id="16" w:name="_Toc184308104"/>
      <w:bookmarkEnd w:id="16"/>
      <w:bookmarkStart w:id="17" w:name="_Toc184313274"/>
      <w:bookmarkEnd w:id="17"/>
      <w:bookmarkStart w:id="18" w:name="_Toc184313279"/>
      <w:bookmarkEnd w:id="18"/>
      <w:bookmarkStart w:id="19" w:name="_Toc184314482"/>
      <w:bookmarkEnd w:id="19"/>
      <w:bookmarkStart w:id="20" w:name="_Toc184308086"/>
      <w:bookmarkEnd w:id="20"/>
      <w:bookmarkStart w:id="21" w:name="_Toc184312089"/>
      <w:bookmarkEnd w:id="21"/>
      <w:bookmarkStart w:id="22" w:name="_Toc184313285"/>
      <w:bookmarkEnd w:id="22"/>
      <w:bookmarkStart w:id="23" w:name="_Toc184312133"/>
      <w:bookmarkEnd w:id="23"/>
      <w:bookmarkStart w:id="24" w:name="_Toc184312068"/>
      <w:bookmarkEnd w:id="24"/>
      <w:bookmarkStart w:id="25" w:name="_Toc184308038"/>
      <w:bookmarkEnd w:id="25"/>
      <w:bookmarkStart w:id="26" w:name="_Toc184314468"/>
      <w:bookmarkEnd w:id="26"/>
      <w:bookmarkStart w:id="27" w:name="_Toc184313239"/>
      <w:bookmarkEnd w:id="27"/>
      <w:bookmarkStart w:id="28" w:name="_Toc184312120"/>
      <w:bookmarkEnd w:id="28"/>
      <w:bookmarkStart w:id="29" w:name="_Toc184308074"/>
      <w:bookmarkEnd w:id="29"/>
      <w:bookmarkStart w:id="30" w:name="_Toc184312067"/>
      <w:bookmarkEnd w:id="30"/>
      <w:bookmarkStart w:id="31" w:name="_Toc184313264"/>
      <w:bookmarkEnd w:id="31"/>
      <w:bookmarkStart w:id="32" w:name="_Toc184308078"/>
      <w:bookmarkEnd w:id="32"/>
      <w:bookmarkStart w:id="33" w:name="_Toc184312070"/>
      <w:bookmarkEnd w:id="33"/>
      <w:bookmarkStart w:id="34" w:name="_Toc184312109"/>
      <w:bookmarkEnd w:id="34"/>
      <w:bookmarkStart w:id="35" w:name="_Toc184312110"/>
      <w:bookmarkEnd w:id="35"/>
      <w:bookmarkStart w:id="36" w:name="_Toc184308070"/>
      <w:bookmarkEnd w:id="36"/>
      <w:bookmarkStart w:id="37" w:name="_Toc184308068"/>
      <w:bookmarkEnd w:id="37"/>
      <w:bookmarkStart w:id="38" w:name="_Toc184313301"/>
      <w:bookmarkEnd w:id="38"/>
      <w:bookmarkStart w:id="39" w:name="_Toc184314478"/>
      <w:bookmarkEnd w:id="39"/>
      <w:bookmarkStart w:id="40" w:name="_Toc184313289"/>
      <w:bookmarkEnd w:id="40"/>
      <w:bookmarkStart w:id="41" w:name="_Toc184308089"/>
      <w:bookmarkEnd w:id="41"/>
      <w:bookmarkStart w:id="42" w:name="_Toc184308041"/>
      <w:bookmarkEnd w:id="42"/>
      <w:bookmarkStart w:id="43" w:name="_Toc184310297"/>
      <w:bookmarkEnd w:id="43"/>
      <w:bookmarkStart w:id="44" w:name="_Toc184314459"/>
      <w:bookmarkEnd w:id="44"/>
      <w:bookmarkStart w:id="45" w:name="_Toc184313293"/>
      <w:bookmarkEnd w:id="45"/>
      <w:bookmarkStart w:id="46" w:name="_Toc184314444"/>
      <w:bookmarkEnd w:id="46"/>
      <w:bookmarkStart w:id="47" w:name="_Toc184312129"/>
      <w:bookmarkEnd w:id="47"/>
      <w:bookmarkStart w:id="48" w:name="_Toc184314419"/>
      <w:bookmarkEnd w:id="48"/>
      <w:bookmarkStart w:id="49" w:name="_Toc184313300"/>
      <w:bookmarkEnd w:id="49"/>
      <w:bookmarkStart w:id="50" w:name="_Toc184312074"/>
      <w:bookmarkEnd w:id="50"/>
      <w:bookmarkStart w:id="51" w:name="_Toc184312076"/>
      <w:bookmarkEnd w:id="51"/>
      <w:bookmarkStart w:id="52" w:name="_Toc184308071"/>
      <w:bookmarkEnd w:id="52"/>
      <w:bookmarkStart w:id="53" w:name="_Toc184314472"/>
      <w:bookmarkEnd w:id="53"/>
      <w:bookmarkStart w:id="54" w:name="_Toc184310278"/>
      <w:bookmarkEnd w:id="54"/>
      <w:bookmarkStart w:id="55" w:name="_Toc184314465"/>
      <w:bookmarkEnd w:id="55"/>
      <w:bookmarkStart w:id="56" w:name="_Toc184313260"/>
      <w:bookmarkEnd w:id="56"/>
      <w:bookmarkStart w:id="57" w:name="_Toc184308081"/>
      <w:bookmarkEnd w:id="57"/>
      <w:bookmarkStart w:id="58" w:name="_Toc184314457"/>
      <w:bookmarkEnd w:id="58"/>
      <w:bookmarkStart w:id="59" w:name="_Toc184312132"/>
      <w:bookmarkEnd w:id="59"/>
      <w:bookmarkStart w:id="60" w:name="_Toc184313262"/>
      <w:bookmarkEnd w:id="60"/>
      <w:bookmarkStart w:id="61" w:name="_Toc184313240"/>
      <w:bookmarkEnd w:id="61"/>
      <w:bookmarkStart w:id="62" w:name="_Toc184310307"/>
      <w:bookmarkEnd w:id="62"/>
      <w:bookmarkStart w:id="63" w:name="_Toc184308102"/>
      <w:bookmarkEnd w:id="63"/>
      <w:bookmarkStart w:id="64" w:name="_Toc184312087"/>
      <w:bookmarkEnd w:id="64"/>
      <w:bookmarkStart w:id="65" w:name="_Toc184310287"/>
      <w:bookmarkEnd w:id="65"/>
      <w:bookmarkStart w:id="66" w:name="_Toc184312073"/>
      <w:bookmarkEnd w:id="66"/>
      <w:bookmarkStart w:id="67" w:name="_Toc184312111"/>
      <w:bookmarkEnd w:id="67"/>
      <w:bookmarkStart w:id="68" w:name="_Toc184310299"/>
      <w:bookmarkEnd w:id="68"/>
      <w:bookmarkStart w:id="69" w:name="_Toc184313297"/>
      <w:bookmarkEnd w:id="69"/>
      <w:bookmarkStart w:id="70" w:name="_Toc184314455"/>
      <w:bookmarkEnd w:id="70"/>
      <w:bookmarkStart w:id="71" w:name="_Toc184310314"/>
      <w:bookmarkEnd w:id="71"/>
      <w:bookmarkStart w:id="72" w:name="_Toc184310326"/>
      <w:bookmarkEnd w:id="72"/>
      <w:bookmarkStart w:id="73" w:name="_Toc184313248"/>
      <w:bookmarkEnd w:id="73"/>
      <w:bookmarkStart w:id="74" w:name="_Toc184314462"/>
      <w:bookmarkEnd w:id="74"/>
      <w:bookmarkStart w:id="75" w:name="_Toc184310304"/>
      <w:bookmarkEnd w:id="75"/>
      <w:bookmarkStart w:id="76" w:name="_Toc184310310"/>
      <w:bookmarkEnd w:id="76"/>
      <w:bookmarkStart w:id="77" w:name="_Toc184310343"/>
      <w:bookmarkEnd w:id="77"/>
      <w:bookmarkStart w:id="78" w:name="_Toc184310324"/>
      <w:bookmarkEnd w:id="78"/>
      <w:bookmarkStart w:id="79" w:name="_Toc184312095"/>
      <w:bookmarkEnd w:id="79"/>
      <w:bookmarkStart w:id="80" w:name="_Toc184313304"/>
      <w:bookmarkEnd w:id="80"/>
      <w:bookmarkStart w:id="81" w:name="_Toc184312081"/>
      <w:bookmarkEnd w:id="81"/>
      <w:bookmarkStart w:id="82" w:name="_Toc184308051"/>
      <w:bookmarkEnd w:id="82"/>
      <w:bookmarkStart w:id="83" w:name="_Toc184310291"/>
      <w:bookmarkEnd w:id="83"/>
      <w:bookmarkStart w:id="84" w:name="_Toc184313286"/>
      <w:bookmarkEnd w:id="84"/>
      <w:bookmarkStart w:id="85" w:name="_Toc184308067"/>
      <w:bookmarkEnd w:id="85"/>
      <w:bookmarkStart w:id="86" w:name="_Toc184314441"/>
      <w:bookmarkEnd w:id="86"/>
      <w:bookmarkStart w:id="87" w:name="_Toc184312092"/>
      <w:bookmarkEnd w:id="87"/>
      <w:bookmarkStart w:id="88" w:name="_Toc184310281"/>
      <w:bookmarkEnd w:id="88"/>
      <w:bookmarkStart w:id="89" w:name="_Toc184312122"/>
      <w:bookmarkEnd w:id="89"/>
      <w:bookmarkStart w:id="90" w:name="_Toc184313303"/>
      <w:bookmarkEnd w:id="90"/>
      <w:bookmarkStart w:id="91" w:name="_Toc184308077"/>
      <w:bookmarkEnd w:id="91"/>
      <w:bookmarkStart w:id="92" w:name="_Toc184308106"/>
      <w:bookmarkEnd w:id="92"/>
      <w:bookmarkStart w:id="93" w:name="_Toc184314410"/>
      <w:bookmarkEnd w:id="93"/>
      <w:bookmarkStart w:id="94" w:name="_Toc184313250"/>
      <w:bookmarkEnd w:id="94"/>
      <w:bookmarkStart w:id="95" w:name="_Toc184314428"/>
      <w:bookmarkEnd w:id="95"/>
      <w:bookmarkStart w:id="96" w:name="_Toc184313245"/>
      <w:bookmarkEnd w:id="96"/>
      <w:bookmarkStart w:id="97" w:name="_Toc184313306"/>
      <w:bookmarkEnd w:id="97"/>
      <w:bookmarkStart w:id="98" w:name="_Toc184310306"/>
      <w:bookmarkEnd w:id="98"/>
      <w:bookmarkStart w:id="99" w:name="_Toc184314447"/>
      <w:bookmarkEnd w:id="99"/>
      <w:bookmarkStart w:id="100" w:name="_Toc184312069"/>
      <w:bookmarkEnd w:id="100"/>
      <w:bookmarkStart w:id="101" w:name="_Toc184310277"/>
      <w:bookmarkEnd w:id="101"/>
      <w:bookmarkStart w:id="102" w:name="_Toc184312130"/>
      <w:bookmarkEnd w:id="102"/>
      <w:bookmarkStart w:id="103" w:name="_Toc184313247"/>
      <w:bookmarkEnd w:id="103"/>
      <w:bookmarkStart w:id="104" w:name="_Toc184314471"/>
      <w:bookmarkEnd w:id="104"/>
      <w:bookmarkStart w:id="105" w:name="_Toc184310333"/>
      <w:bookmarkEnd w:id="105"/>
      <w:bookmarkStart w:id="106" w:name="_Toc184313253"/>
      <w:bookmarkEnd w:id="106"/>
      <w:bookmarkStart w:id="107" w:name="_Toc184308040"/>
      <w:bookmarkEnd w:id="107"/>
      <w:bookmarkStart w:id="108" w:name="_Toc184308056"/>
      <w:bookmarkEnd w:id="108"/>
      <w:bookmarkStart w:id="109" w:name="_Toc184314466"/>
      <w:bookmarkEnd w:id="109"/>
      <w:bookmarkStart w:id="110" w:name="_Toc184308046"/>
      <w:bookmarkEnd w:id="110"/>
      <w:bookmarkStart w:id="111" w:name="_Toc184310340"/>
      <w:bookmarkEnd w:id="111"/>
      <w:bookmarkStart w:id="112" w:name="_Toc184308099"/>
      <w:bookmarkEnd w:id="112"/>
      <w:bookmarkStart w:id="113" w:name="_Toc184314470"/>
      <w:bookmarkEnd w:id="113"/>
      <w:bookmarkStart w:id="114" w:name="_Toc184314443"/>
      <w:bookmarkEnd w:id="114"/>
      <w:bookmarkStart w:id="115" w:name="_Toc184308069"/>
      <w:bookmarkEnd w:id="115"/>
      <w:bookmarkStart w:id="116" w:name="_Toc184314411"/>
      <w:bookmarkEnd w:id="116"/>
      <w:bookmarkStart w:id="117" w:name="_Toc184310280"/>
      <w:bookmarkEnd w:id="117"/>
      <w:bookmarkStart w:id="118" w:name="_Toc184310285"/>
      <w:bookmarkEnd w:id="118"/>
      <w:bookmarkStart w:id="119" w:name="_Toc184308049"/>
      <w:bookmarkEnd w:id="119"/>
      <w:bookmarkStart w:id="120" w:name="_Toc184310319"/>
      <w:bookmarkEnd w:id="120"/>
      <w:bookmarkStart w:id="121" w:name="_Toc184308080"/>
      <w:bookmarkEnd w:id="121"/>
      <w:bookmarkStart w:id="122" w:name="_Toc184310336"/>
      <w:bookmarkEnd w:id="122"/>
      <w:bookmarkStart w:id="123" w:name="_Toc184314426"/>
      <w:bookmarkEnd w:id="123"/>
      <w:bookmarkStart w:id="124" w:name="_Toc184310293"/>
      <w:bookmarkEnd w:id="124"/>
      <w:bookmarkStart w:id="125" w:name="_Toc184314481"/>
      <w:bookmarkEnd w:id="125"/>
      <w:bookmarkStart w:id="126" w:name="_Toc184308082"/>
      <w:bookmarkEnd w:id="126"/>
      <w:bookmarkStart w:id="127" w:name="_Toc184314458"/>
      <w:bookmarkEnd w:id="127"/>
      <w:bookmarkStart w:id="128" w:name="_Toc184314429"/>
      <w:bookmarkEnd w:id="128"/>
      <w:bookmarkStart w:id="129" w:name="_Toc184308092"/>
      <w:bookmarkEnd w:id="129"/>
      <w:bookmarkStart w:id="130" w:name="_Toc184308037"/>
      <w:bookmarkEnd w:id="130"/>
      <w:bookmarkStart w:id="131" w:name="_Toc184308093"/>
      <w:bookmarkEnd w:id="131"/>
      <w:bookmarkStart w:id="132" w:name="_Toc184313280"/>
      <w:bookmarkEnd w:id="132"/>
      <w:bookmarkStart w:id="133" w:name="_Toc184310344"/>
      <w:bookmarkEnd w:id="133"/>
      <w:bookmarkStart w:id="134" w:name="_Toc184313251"/>
      <w:bookmarkEnd w:id="134"/>
      <w:bookmarkStart w:id="135" w:name="_Toc184310286"/>
      <w:bookmarkEnd w:id="135"/>
      <w:bookmarkStart w:id="136" w:name="_Toc184313296"/>
      <w:bookmarkEnd w:id="136"/>
      <w:bookmarkStart w:id="137" w:name="_Toc184313299"/>
      <w:bookmarkEnd w:id="137"/>
      <w:bookmarkStart w:id="138" w:name="_Toc184313270"/>
      <w:bookmarkEnd w:id="138"/>
      <w:bookmarkStart w:id="139" w:name="_Toc184312097"/>
      <w:bookmarkEnd w:id="139"/>
      <w:bookmarkStart w:id="140" w:name="_Toc184312118"/>
      <w:bookmarkEnd w:id="140"/>
      <w:bookmarkStart w:id="141" w:name="_Toc184308036"/>
      <w:bookmarkEnd w:id="141"/>
      <w:bookmarkStart w:id="142" w:name="_Toc184314474"/>
      <w:bookmarkEnd w:id="142"/>
      <w:bookmarkStart w:id="143" w:name="_Toc184310275"/>
      <w:bookmarkEnd w:id="143"/>
      <w:bookmarkStart w:id="144" w:name="_Toc184310312"/>
      <w:bookmarkEnd w:id="144"/>
      <w:bookmarkStart w:id="145" w:name="_Toc184312086"/>
      <w:bookmarkEnd w:id="145"/>
      <w:bookmarkStart w:id="146" w:name="_Toc184313302"/>
      <w:bookmarkEnd w:id="146"/>
      <w:bookmarkStart w:id="147" w:name="_Toc184308043"/>
      <w:bookmarkEnd w:id="147"/>
      <w:bookmarkStart w:id="148" w:name="_Toc184312088"/>
      <w:bookmarkEnd w:id="148"/>
      <w:bookmarkStart w:id="149" w:name="_Toc184313275"/>
      <w:bookmarkEnd w:id="149"/>
      <w:bookmarkStart w:id="150" w:name="_Toc184308053"/>
      <w:bookmarkEnd w:id="150"/>
      <w:bookmarkStart w:id="151" w:name="_Toc184310282"/>
      <w:bookmarkEnd w:id="151"/>
      <w:bookmarkStart w:id="152" w:name="_Toc184312082"/>
      <w:bookmarkEnd w:id="152"/>
      <w:bookmarkStart w:id="153" w:name="_Toc184313268"/>
      <w:bookmarkEnd w:id="153"/>
      <w:bookmarkStart w:id="154" w:name="_Toc184310341"/>
      <w:bookmarkEnd w:id="154"/>
      <w:bookmarkStart w:id="155" w:name="_Toc184312117"/>
      <w:bookmarkEnd w:id="155"/>
      <w:bookmarkStart w:id="156" w:name="_Toc184308083"/>
      <w:bookmarkEnd w:id="156"/>
      <w:bookmarkStart w:id="157" w:name="_Toc184308084"/>
      <w:bookmarkEnd w:id="157"/>
      <w:bookmarkStart w:id="158" w:name="_Toc184308073"/>
      <w:bookmarkEnd w:id="158"/>
      <w:bookmarkStart w:id="159" w:name="_Toc184310325"/>
      <w:bookmarkEnd w:id="159"/>
      <w:bookmarkStart w:id="160" w:name="_Toc184314412"/>
      <w:bookmarkEnd w:id="160"/>
      <w:bookmarkStart w:id="161" w:name="_Toc184312128"/>
      <w:bookmarkEnd w:id="161"/>
      <w:bookmarkStart w:id="162" w:name="_Toc184308055"/>
      <w:bookmarkEnd w:id="162"/>
      <w:bookmarkStart w:id="163" w:name="_Toc184313287"/>
      <w:bookmarkEnd w:id="163"/>
      <w:bookmarkStart w:id="164" w:name="_Toc184314446"/>
      <w:bookmarkEnd w:id="164"/>
      <w:bookmarkStart w:id="165" w:name="_Toc184312123"/>
      <w:bookmarkEnd w:id="165"/>
      <w:bookmarkStart w:id="166" w:name="_Toc184312131"/>
      <w:bookmarkEnd w:id="166"/>
      <w:bookmarkStart w:id="167" w:name="_Toc184308075"/>
      <w:bookmarkEnd w:id="167"/>
      <w:bookmarkStart w:id="168" w:name="_Toc184310316"/>
      <w:bookmarkEnd w:id="168"/>
      <w:bookmarkStart w:id="169" w:name="_Toc184313284"/>
      <w:bookmarkEnd w:id="169"/>
      <w:bookmarkStart w:id="170" w:name="_Toc184313243"/>
      <w:bookmarkEnd w:id="170"/>
      <w:bookmarkStart w:id="171" w:name="_Toc184314416"/>
      <w:bookmarkEnd w:id="171"/>
      <w:bookmarkStart w:id="172" w:name="_Toc184314431"/>
      <w:bookmarkEnd w:id="172"/>
      <w:bookmarkStart w:id="173" w:name="_Toc184313307"/>
      <w:bookmarkEnd w:id="173"/>
      <w:bookmarkStart w:id="174" w:name="_Toc184314449"/>
      <w:bookmarkEnd w:id="174"/>
      <w:bookmarkStart w:id="175" w:name="_Toc184314476"/>
      <w:bookmarkEnd w:id="175"/>
      <w:bookmarkStart w:id="176" w:name="_Toc184313305"/>
      <w:bookmarkEnd w:id="176"/>
      <w:bookmarkStart w:id="177" w:name="_Toc184312112"/>
      <w:bookmarkEnd w:id="177"/>
      <w:bookmarkStart w:id="178" w:name="_Toc184313255"/>
      <w:bookmarkEnd w:id="178"/>
      <w:bookmarkStart w:id="179" w:name="_Toc184314469"/>
      <w:bookmarkEnd w:id="179"/>
      <w:bookmarkStart w:id="180" w:name="_Toc184310294"/>
      <w:bookmarkEnd w:id="180"/>
      <w:bookmarkStart w:id="181" w:name="_Toc184314413"/>
      <w:bookmarkEnd w:id="181"/>
      <w:bookmarkStart w:id="182" w:name="_Toc184312124"/>
      <w:bookmarkEnd w:id="182"/>
      <w:bookmarkStart w:id="183" w:name="_Toc184314464"/>
      <w:bookmarkEnd w:id="183"/>
      <w:bookmarkStart w:id="184" w:name="_Toc184314456"/>
      <w:bookmarkEnd w:id="184"/>
      <w:bookmarkStart w:id="185" w:name="_Toc184310290"/>
      <w:bookmarkEnd w:id="185"/>
      <w:bookmarkStart w:id="186" w:name="_Toc184314460"/>
      <w:bookmarkEnd w:id="186"/>
      <w:bookmarkStart w:id="187" w:name="_Toc184314448"/>
      <w:bookmarkEnd w:id="187"/>
      <w:bookmarkStart w:id="188" w:name="_Toc184310284"/>
      <w:bookmarkEnd w:id="188"/>
      <w:bookmarkStart w:id="189" w:name="_Toc184308076"/>
      <w:bookmarkEnd w:id="189"/>
      <w:bookmarkStart w:id="190" w:name="_Toc184313246"/>
      <w:bookmarkEnd w:id="190"/>
      <w:bookmarkStart w:id="191" w:name="_Toc184308042"/>
      <w:bookmarkEnd w:id="191"/>
      <w:bookmarkStart w:id="192" w:name="_Toc184308090"/>
      <w:bookmarkEnd w:id="192"/>
      <w:bookmarkStart w:id="193" w:name="_Toc184312100"/>
      <w:bookmarkEnd w:id="193"/>
      <w:bookmarkStart w:id="194" w:name="_Toc184313295"/>
      <w:bookmarkEnd w:id="194"/>
      <w:bookmarkStart w:id="195" w:name="_Toc184310331"/>
      <w:bookmarkEnd w:id="195"/>
      <w:bookmarkStart w:id="196" w:name="_Toc184314479"/>
      <w:bookmarkEnd w:id="196"/>
      <w:bookmarkStart w:id="197" w:name="_Toc184308096"/>
      <w:bookmarkEnd w:id="197"/>
      <w:bookmarkStart w:id="198" w:name="_Toc184313259"/>
      <w:bookmarkEnd w:id="198"/>
      <w:bookmarkStart w:id="199" w:name="_Toc184308047"/>
      <w:bookmarkEnd w:id="199"/>
      <w:bookmarkStart w:id="200" w:name="_Toc184312134"/>
      <w:bookmarkEnd w:id="200"/>
      <w:bookmarkStart w:id="201" w:name="_Toc184313276"/>
      <w:bookmarkEnd w:id="201"/>
      <w:bookmarkStart w:id="202" w:name="_Toc184313265"/>
      <w:bookmarkEnd w:id="202"/>
      <w:bookmarkStart w:id="203" w:name="_Toc184313263"/>
      <w:bookmarkEnd w:id="203"/>
      <w:bookmarkStart w:id="204" w:name="_Toc184313257"/>
      <w:bookmarkEnd w:id="204"/>
      <w:bookmarkStart w:id="205" w:name="_Toc184308066"/>
      <w:bookmarkEnd w:id="205"/>
      <w:bookmarkStart w:id="206" w:name="_Toc184314467"/>
      <w:bookmarkEnd w:id="206"/>
      <w:bookmarkStart w:id="207" w:name="_Toc184310273"/>
      <w:bookmarkEnd w:id="207"/>
      <w:bookmarkStart w:id="208" w:name="_Toc184312107"/>
      <w:bookmarkEnd w:id="208"/>
      <w:bookmarkStart w:id="209" w:name="_Toc184308091"/>
      <w:bookmarkEnd w:id="209"/>
      <w:bookmarkStart w:id="210" w:name="_Toc184314433"/>
      <w:bookmarkEnd w:id="210"/>
      <w:bookmarkStart w:id="211" w:name="_Toc184308100"/>
      <w:bookmarkEnd w:id="211"/>
      <w:bookmarkStart w:id="212" w:name="_Toc184308064"/>
      <w:bookmarkEnd w:id="212"/>
      <w:bookmarkStart w:id="213" w:name="_Toc184310330"/>
      <w:bookmarkEnd w:id="213"/>
      <w:bookmarkStart w:id="214" w:name="_Toc184308088"/>
      <w:bookmarkEnd w:id="214"/>
      <w:bookmarkStart w:id="215" w:name="_Toc184308062"/>
      <w:bookmarkEnd w:id="215"/>
      <w:bookmarkStart w:id="216" w:name="_Toc184312102"/>
      <w:bookmarkEnd w:id="216"/>
      <w:bookmarkStart w:id="217" w:name="_Toc184308103"/>
      <w:bookmarkEnd w:id="217"/>
      <w:bookmarkStart w:id="218" w:name="_Toc184308044"/>
      <w:bookmarkEnd w:id="218"/>
      <w:bookmarkStart w:id="219" w:name="_Toc184310317"/>
      <w:bookmarkEnd w:id="219"/>
      <w:bookmarkStart w:id="220" w:name="_Toc184313291"/>
      <w:bookmarkEnd w:id="220"/>
      <w:bookmarkStart w:id="221" w:name="_Toc184313292"/>
      <w:bookmarkEnd w:id="221"/>
      <w:bookmarkStart w:id="222" w:name="_Toc184308061"/>
      <w:bookmarkEnd w:id="222"/>
      <w:bookmarkStart w:id="223" w:name="_Toc184314445"/>
      <w:bookmarkEnd w:id="223"/>
      <w:bookmarkStart w:id="224" w:name="_Toc184314453"/>
      <w:bookmarkEnd w:id="224"/>
      <w:bookmarkStart w:id="225" w:name="_Toc184312083"/>
      <w:bookmarkEnd w:id="225"/>
      <w:bookmarkStart w:id="226" w:name="_Toc184310320"/>
      <w:bookmarkEnd w:id="226"/>
      <w:bookmarkStart w:id="227" w:name="_Toc184308048"/>
      <w:bookmarkEnd w:id="227"/>
      <w:bookmarkStart w:id="228" w:name="_Toc184310318"/>
      <w:bookmarkEnd w:id="228"/>
      <w:bookmarkStart w:id="229" w:name="_Toc184310279"/>
      <w:bookmarkEnd w:id="229"/>
      <w:bookmarkStart w:id="230" w:name="_Toc184313310"/>
      <w:bookmarkEnd w:id="230"/>
      <w:bookmarkStart w:id="231" w:name="_Toc184310289"/>
      <w:bookmarkEnd w:id="231"/>
      <w:bookmarkStart w:id="232" w:name="_Toc184314418"/>
      <w:bookmarkEnd w:id="232"/>
      <w:bookmarkStart w:id="233" w:name="_Toc184310313"/>
      <w:bookmarkEnd w:id="233"/>
      <w:bookmarkStart w:id="234" w:name="_Toc184314436"/>
      <w:bookmarkEnd w:id="234"/>
      <w:bookmarkStart w:id="235" w:name="_Toc184308098"/>
      <w:bookmarkEnd w:id="235"/>
      <w:bookmarkStart w:id="236" w:name="_Toc184313308"/>
      <w:bookmarkEnd w:id="236"/>
      <w:bookmarkStart w:id="237" w:name="_Toc184312071"/>
      <w:bookmarkEnd w:id="237"/>
      <w:bookmarkStart w:id="238" w:name="_Toc184314480"/>
      <w:bookmarkEnd w:id="238"/>
      <w:bookmarkStart w:id="239" w:name="_Toc184310292"/>
      <w:bookmarkEnd w:id="239"/>
      <w:bookmarkStart w:id="240" w:name="_Toc184313271"/>
      <w:bookmarkEnd w:id="240"/>
      <w:bookmarkStart w:id="241" w:name="_Toc184308101"/>
      <w:bookmarkEnd w:id="241"/>
      <w:bookmarkStart w:id="242" w:name="_Toc184308079"/>
      <w:bookmarkEnd w:id="242"/>
      <w:bookmarkStart w:id="243" w:name="_Toc184310328"/>
      <w:bookmarkEnd w:id="243"/>
      <w:bookmarkStart w:id="244" w:name="_Toc184310296"/>
      <w:bookmarkEnd w:id="244"/>
      <w:bookmarkStart w:id="245" w:name="_Toc184312090"/>
      <w:bookmarkEnd w:id="245"/>
      <w:bookmarkStart w:id="246" w:name="_Toc184313252"/>
      <w:bookmarkEnd w:id="246"/>
      <w:bookmarkStart w:id="247" w:name="_Toc184308072"/>
      <w:bookmarkEnd w:id="247"/>
      <w:bookmarkStart w:id="248" w:name="_Toc184314451"/>
      <w:bookmarkEnd w:id="248"/>
      <w:bookmarkStart w:id="249" w:name="_Toc184312113"/>
      <w:bookmarkEnd w:id="249"/>
      <w:bookmarkStart w:id="250" w:name="_Toc184308059"/>
      <w:bookmarkEnd w:id="250"/>
      <w:bookmarkStart w:id="251" w:name="_Toc184314424"/>
      <w:bookmarkEnd w:id="251"/>
      <w:bookmarkStart w:id="252" w:name="_Toc184314463"/>
      <w:bookmarkEnd w:id="252"/>
      <w:bookmarkStart w:id="253" w:name="_Toc184313258"/>
      <w:bookmarkEnd w:id="253"/>
      <w:bookmarkStart w:id="254" w:name="_Toc184308039"/>
      <w:bookmarkEnd w:id="254"/>
      <w:bookmarkStart w:id="255" w:name="_Toc184314439"/>
      <w:bookmarkEnd w:id="255"/>
      <w:bookmarkStart w:id="256" w:name="_Toc184310327"/>
      <w:bookmarkEnd w:id="256"/>
      <w:bookmarkStart w:id="257" w:name="_Toc184312125"/>
      <w:bookmarkEnd w:id="257"/>
      <w:bookmarkStart w:id="258" w:name="_Toc184314442"/>
      <w:bookmarkEnd w:id="258"/>
      <w:bookmarkStart w:id="259" w:name="_Toc184314440"/>
      <w:bookmarkEnd w:id="259"/>
      <w:bookmarkStart w:id="260" w:name="_Toc184313282"/>
      <w:bookmarkEnd w:id="260"/>
      <w:bookmarkStart w:id="261" w:name="_Toc184310309"/>
      <w:bookmarkEnd w:id="261"/>
      <w:bookmarkStart w:id="262" w:name="_Toc184310272"/>
      <w:bookmarkEnd w:id="262"/>
      <w:bookmarkStart w:id="263" w:name="_Toc184310338"/>
      <w:bookmarkEnd w:id="263"/>
      <w:bookmarkStart w:id="264" w:name="_Toc184314475"/>
      <w:bookmarkEnd w:id="264"/>
      <w:bookmarkStart w:id="265" w:name="_Toc184312104"/>
      <w:bookmarkEnd w:id="265"/>
      <w:bookmarkStart w:id="266" w:name="_Toc184310288"/>
      <w:bookmarkEnd w:id="266"/>
      <w:bookmarkStart w:id="267" w:name="_Toc184314432"/>
      <w:bookmarkEnd w:id="267"/>
      <w:bookmarkStart w:id="268" w:name="_Toc184314420"/>
      <w:bookmarkEnd w:id="268"/>
      <w:bookmarkStart w:id="269" w:name="_Toc184313273"/>
      <w:bookmarkEnd w:id="269"/>
      <w:bookmarkStart w:id="270" w:name="_Toc184310300"/>
      <w:bookmarkEnd w:id="270"/>
      <w:bookmarkStart w:id="271" w:name="_Toc184308050"/>
      <w:bookmarkEnd w:id="271"/>
      <w:bookmarkStart w:id="272" w:name="_Toc184313238"/>
      <w:bookmarkEnd w:id="272"/>
      <w:bookmarkStart w:id="273" w:name="_Toc184312072"/>
      <w:bookmarkEnd w:id="273"/>
      <w:bookmarkStart w:id="274" w:name="_Toc184313272"/>
      <w:bookmarkEnd w:id="274"/>
      <w:bookmarkStart w:id="275" w:name="_Toc184314452"/>
      <w:bookmarkEnd w:id="275"/>
      <w:bookmarkStart w:id="276" w:name="_Toc184308065"/>
      <w:bookmarkEnd w:id="276"/>
      <w:bookmarkStart w:id="277" w:name="_Toc184314434"/>
      <w:bookmarkEnd w:id="277"/>
      <w:bookmarkStart w:id="278" w:name="_Toc184314437"/>
      <w:bookmarkEnd w:id="278"/>
      <w:bookmarkStart w:id="279" w:name="_Toc184310301"/>
      <w:bookmarkEnd w:id="279"/>
      <w:bookmarkStart w:id="280" w:name="_Toc184310337"/>
      <w:bookmarkEnd w:id="280"/>
      <w:bookmarkStart w:id="281" w:name="_Toc184313278"/>
      <w:bookmarkEnd w:id="281"/>
      <w:bookmarkStart w:id="282" w:name="_Toc184308107"/>
      <w:bookmarkEnd w:id="282"/>
      <w:bookmarkStart w:id="283" w:name="_Toc184312077"/>
      <w:bookmarkEnd w:id="283"/>
      <w:bookmarkStart w:id="284" w:name="_Toc184310329"/>
      <w:bookmarkEnd w:id="284"/>
      <w:bookmarkStart w:id="285" w:name="_Toc184314473"/>
      <w:bookmarkEnd w:id="285"/>
      <w:bookmarkStart w:id="286" w:name="_Toc184314417"/>
      <w:bookmarkEnd w:id="286"/>
      <w:bookmarkStart w:id="287" w:name="_Toc184313309"/>
      <w:bookmarkEnd w:id="287"/>
      <w:bookmarkStart w:id="288" w:name="_Toc184310283"/>
      <w:bookmarkEnd w:id="288"/>
      <w:bookmarkStart w:id="289" w:name="_Toc184312116"/>
      <w:bookmarkEnd w:id="289"/>
      <w:bookmarkStart w:id="290" w:name="_Toc184314454"/>
      <w:bookmarkEnd w:id="290"/>
      <w:bookmarkStart w:id="291" w:name="_Toc184313269"/>
      <w:bookmarkEnd w:id="291"/>
      <w:bookmarkStart w:id="292" w:name="_Toc184313267"/>
      <w:bookmarkEnd w:id="292"/>
      <w:bookmarkStart w:id="293" w:name="_Toc184308087"/>
      <w:bookmarkEnd w:id="293"/>
      <w:bookmarkStart w:id="294" w:name="_Toc184314421"/>
      <w:bookmarkEnd w:id="294"/>
      <w:bookmarkStart w:id="295" w:name="_Toc184312078"/>
      <w:bookmarkEnd w:id="295"/>
      <w:bookmarkStart w:id="296" w:name="_Toc184308054"/>
      <w:bookmarkEnd w:id="296"/>
      <w:bookmarkStart w:id="297" w:name="_Toc184312135"/>
      <w:bookmarkEnd w:id="297"/>
      <w:bookmarkStart w:id="298" w:name="_Toc184308063"/>
      <w:bookmarkEnd w:id="298"/>
      <w:bookmarkStart w:id="299" w:name="_Toc184314423"/>
      <w:bookmarkEnd w:id="299"/>
      <w:bookmarkStart w:id="300" w:name="_Toc184313242"/>
      <w:bookmarkEnd w:id="300"/>
      <w:bookmarkStart w:id="301" w:name="_Toc184313254"/>
      <w:bookmarkEnd w:id="301"/>
      <w:bookmarkStart w:id="302" w:name="_Toc184308057"/>
      <w:bookmarkEnd w:id="302"/>
      <w:bookmarkStart w:id="303" w:name="_Toc184312101"/>
      <w:bookmarkEnd w:id="303"/>
      <w:bookmarkStart w:id="304" w:name="_Toc184314450"/>
      <w:bookmarkEnd w:id="304"/>
      <w:bookmarkStart w:id="305" w:name="_Toc184312136"/>
      <w:bookmarkEnd w:id="305"/>
      <w:bookmarkStart w:id="306" w:name="_Toc184310298"/>
      <w:bookmarkEnd w:id="306"/>
      <w:bookmarkStart w:id="307" w:name="_Toc184313241"/>
      <w:bookmarkEnd w:id="307"/>
      <w:bookmarkStart w:id="308" w:name="_Toc184314422"/>
      <w:bookmarkEnd w:id="308"/>
      <w:bookmarkStart w:id="309" w:name="_Toc184313281"/>
      <w:bookmarkEnd w:id="309"/>
      <w:bookmarkStart w:id="310" w:name="_Toc184313283"/>
      <w:bookmarkEnd w:id="310"/>
      <w:bookmarkStart w:id="311" w:name="_Toc184313261"/>
      <w:bookmarkEnd w:id="311"/>
      <w:bookmarkStart w:id="312" w:name="_Toc184314435"/>
      <w:bookmarkEnd w:id="312"/>
      <w:bookmarkStart w:id="313" w:name="_Toc184312094"/>
      <w:bookmarkEnd w:id="313"/>
      <w:bookmarkStart w:id="314" w:name="_Toc184312137"/>
      <w:bookmarkEnd w:id="314"/>
      <w:bookmarkStart w:id="315" w:name="_Toc184310334"/>
      <w:bookmarkEnd w:id="315"/>
      <w:bookmarkStart w:id="316" w:name="_Toc184312126"/>
      <w:bookmarkEnd w:id="316"/>
      <w:bookmarkStart w:id="317" w:name="_Toc184312075"/>
      <w:bookmarkEnd w:id="317"/>
      <w:bookmarkStart w:id="318" w:name="_Toc184312098"/>
      <w:bookmarkEnd w:id="318"/>
      <w:bookmarkStart w:id="319" w:name="_Toc184310342"/>
      <w:bookmarkEnd w:id="319"/>
      <w:bookmarkStart w:id="320" w:name="_Toc184310274"/>
      <w:bookmarkEnd w:id="320"/>
      <w:bookmarkStart w:id="321" w:name="_Toc184313294"/>
      <w:bookmarkEnd w:id="321"/>
      <w:bookmarkStart w:id="322" w:name="_Toc184310303"/>
      <w:bookmarkEnd w:id="322"/>
      <w:bookmarkStart w:id="323" w:name="_Toc184310335"/>
      <w:bookmarkEnd w:id="323"/>
      <w:bookmarkStart w:id="324" w:name="_Toc184310308"/>
      <w:bookmarkEnd w:id="324"/>
      <w:bookmarkStart w:id="325" w:name="_Toc184314427"/>
      <w:bookmarkEnd w:id="325"/>
      <w:bookmarkStart w:id="326" w:name="_Toc184312139"/>
      <w:bookmarkEnd w:id="326"/>
      <w:bookmarkStart w:id="327" w:name="_Toc184310295"/>
      <w:bookmarkEnd w:id="327"/>
      <w:bookmarkStart w:id="328" w:name="_Toc184312138"/>
      <w:bookmarkEnd w:id="328"/>
      <w:bookmarkStart w:id="329" w:name="_Toc184312093"/>
      <w:bookmarkEnd w:id="329"/>
      <w:bookmarkStart w:id="330" w:name="_Toc184314415"/>
      <w:bookmarkEnd w:id="330"/>
      <w:bookmarkStart w:id="331" w:name="_Toc184312119"/>
      <w:bookmarkEnd w:id="331"/>
      <w:bookmarkStart w:id="332" w:name="_Toc184312099"/>
      <w:bookmarkEnd w:id="332"/>
      <w:bookmarkStart w:id="333" w:name="_Toc184312121"/>
      <w:bookmarkEnd w:id="333"/>
      <w:bookmarkStart w:id="334" w:name="_Toc184308085"/>
      <w:bookmarkEnd w:id="334"/>
      <w:bookmarkStart w:id="335" w:name="_Toc184312079"/>
      <w:bookmarkEnd w:id="335"/>
      <w:bookmarkStart w:id="336" w:name="_Toc184310321"/>
      <w:bookmarkEnd w:id="336"/>
      <w:bookmarkStart w:id="337" w:name="_Toc184310339"/>
      <w:bookmarkEnd w:id="337"/>
      <w:bookmarkStart w:id="338" w:name="_Toc184313266"/>
      <w:bookmarkEnd w:id="338"/>
      <w:bookmarkStart w:id="339" w:name="_Toc184312091"/>
      <w:bookmarkEnd w:id="339"/>
      <w:bookmarkStart w:id="340" w:name="_Toc184313244"/>
      <w:bookmarkEnd w:id="340"/>
      <w:bookmarkStart w:id="341" w:name="_Toc184308097"/>
      <w:bookmarkEnd w:id="341"/>
      <w:bookmarkStart w:id="342" w:name="_Toc184310323"/>
      <w:bookmarkEnd w:id="342"/>
      <w:bookmarkStart w:id="343" w:name="_Toc184310311"/>
      <w:bookmarkEnd w:id="343"/>
      <w:bookmarkStart w:id="344" w:name="_Toc184313290"/>
      <w:bookmarkEnd w:id="344"/>
      <w:bookmarkStart w:id="345" w:name="_Toc184310276"/>
      <w:bookmarkEnd w:id="345"/>
      <w:bookmarkStart w:id="346" w:name="_Toc184312106"/>
      <w:bookmarkEnd w:id="346"/>
      <w:bookmarkStart w:id="347" w:name="_Toc184314438"/>
      <w:bookmarkEnd w:id="347"/>
      <w:bookmarkStart w:id="348" w:name="_Toc184312103"/>
      <w:bookmarkEnd w:id="348"/>
      <w:bookmarkStart w:id="349" w:name="_Toc184312096"/>
      <w:bookmarkEnd w:id="349"/>
      <w:bookmarkStart w:id="350" w:name="_Toc184310302"/>
      <w:bookmarkEnd w:id="350"/>
      <w:bookmarkStart w:id="351" w:name="_Toc184314414"/>
      <w:bookmarkEnd w:id="351"/>
      <w:bookmarkStart w:id="352" w:name="_Toc184313277"/>
      <w:bookmarkEnd w:id="352"/>
      <w:bookmarkStart w:id="353" w:name="_Toc184313256"/>
      <w:bookmarkEnd w:id="353"/>
      <w:bookmarkStart w:id="354" w:name="_Toc184312114"/>
      <w:bookmarkEnd w:id="354"/>
      <w:bookmarkStart w:id="355" w:name="_Toc184312084"/>
      <w:bookmarkEnd w:id="355"/>
      <w:bookmarkStart w:id="356" w:name="_Toc184308058"/>
      <w:bookmarkEnd w:id="356"/>
      <w:bookmarkStart w:id="357" w:name="_Toc184314461"/>
      <w:bookmarkEnd w:id="357"/>
      <w:bookmarkStart w:id="358" w:name="_Toc184308060"/>
      <w:bookmarkEnd w:id="358"/>
      <w:bookmarkStart w:id="359" w:name="_Toc184308105"/>
      <w:bookmarkEnd w:id="359"/>
      <w:bookmarkStart w:id="360" w:name="_Toc184313288"/>
      <w:bookmarkEnd w:id="360"/>
      <w:bookmarkStart w:id="361" w:name="_Toc184312085"/>
      <w:bookmarkEnd w:id="361"/>
      <w:bookmarkStart w:id="362" w:name="_Toc184312105"/>
      <w:bookmarkEnd w:id="362"/>
      <w:bookmarkStart w:id="363" w:name="_Toc184310332"/>
      <w:bookmarkEnd w:id="363"/>
      <w:bookmarkStart w:id="364" w:name="_Toc184308052"/>
      <w:bookmarkEnd w:id="364"/>
      <w:bookmarkStart w:id="365" w:name="_Toc184308045"/>
      <w:bookmarkEnd w:id="365"/>
      <w:bookmarkStart w:id="366" w:name="_Toc184314425"/>
      <w:bookmarkEnd w:id="366"/>
      <w:bookmarkStart w:id="367" w:name="_Toc184314430"/>
      <w:bookmarkEnd w:id="367"/>
      <w:bookmarkStart w:id="368" w:name="_Toc184313249"/>
      <w:bookmarkEnd w:id="368"/>
      <w:bookmarkStart w:id="369" w:name="_Toc184310315"/>
      <w:bookmarkEnd w:id="369"/>
      <w:bookmarkStart w:id="370" w:name="_Toc184312127"/>
      <w:bookmarkEnd w:id="370"/>
      <w:bookmarkStart w:id="371" w:name="_Toc184308094"/>
      <w:bookmarkEnd w:id="371"/>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评标办法前附</w:t>
      </w:r>
      <w:r>
        <w:rPr>
          <w:rFonts w:hint="eastAsia" w:ascii="仿宋" w:hAnsi="仿宋" w:eastAsia="仿宋" w:cs="仿宋"/>
          <w:b/>
          <w:color w:val="auto"/>
          <w:sz w:val="24"/>
          <w:highlight w:val="none"/>
          <w:lang w:eastAsia="zh-CN"/>
        </w:rPr>
        <w:t>表</w:t>
      </w:r>
    </w:p>
    <w:p>
      <w:pPr>
        <w:pStyle w:val="2"/>
        <w:ind w:left="0" w:leftChars="0" w:firstLine="0" w:firstLineChars="0"/>
        <w:rPr>
          <w:rFonts w:hint="default"/>
          <w:color w:val="auto"/>
          <w:highlight w:val="none"/>
          <w:lang w:val="en-US" w:eastAsia="zh-CN"/>
        </w:rPr>
      </w:pPr>
      <w:r>
        <w:rPr>
          <w:rFonts w:hint="eastAsia" w:ascii="仿宋" w:hAnsi="仿宋" w:eastAsia="仿宋" w:cs="仿宋"/>
          <w:b/>
          <w:color w:val="auto"/>
          <w:sz w:val="24"/>
          <w:highlight w:val="none"/>
          <w:lang w:val="en-US" w:eastAsia="zh-CN"/>
        </w:rPr>
        <w:t>1.商务技术分（70分）</w:t>
      </w:r>
    </w:p>
    <w:tbl>
      <w:tblPr>
        <w:tblStyle w:val="20"/>
        <w:tblpPr w:leftFromText="180" w:rightFromText="180" w:vertAnchor="text" w:horzAnchor="page" w:tblpXSpec="center" w:tblpY="126"/>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486"/>
        <w:gridCol w:w="5225"/>
        <w:gridCol w:w="763"/>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98" w:type="dxa"/>
            <w:vAlign w:val="center"/>
          </w:tcPr>
          <w:p>
            <w:pPr>
              <w:spacing w:line="240" w:lineRule="auto"/>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序号</w:t>
            </w:r>
          </w:p>
        </w:tc>
        <w:tc>
          <w:tcPr>
            <w:tcW w:w="1486" w:type="dxa"/>
            <w:vAlign w:val="center"/>
          </w:tcPr>
          <w:p>
            <w:pPr>
              <w:spacing w:line="240" w:lineRule="auto"/>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评标内容</w:t>
            </w:r>
          </w:p>
        </w:tc>
        <w:tc>
          <w:tcPr>
            <w:tcW w:w="5225" w:type="dxa"/>
            <w:vAlign w:val="center"/>
          </w:tcPr>
          <w:p>
            <w:pPr>
              <w:spacing w:line="240" w:lineRule="auto"/>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评标标准</w:t>
            </w:r>
          </w:p>
        </w:tc>
        <w:tc>
          <w:tcPr>
            <w:tcW w:w="763" w:type="dxa"/>
            <w:vAlign w:val="center"/>
          </w:tcPr>
          <w:p>
            <w:pPr>
              <w:spacing w:line="240" w:lineRule="auto"/>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权重</w:t>
            </w:r>
          </w:p>
        </w:tc>
        <w:tc>
          <w:tcPr>
            <w:tcW w:w="738" w:type="dxa"/>
            <w:vAlign w:val="center"/>
          </w:tcPr>
          <w:p>
            <w:pPr>
              <w:spacing w:line="240" w:lineRule="auto"/>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8" w:type="dxa"/>
            <w:vMerge w:val="restart"/>
            <w:vAlign w:val="center"/>
          </w:tcPr>
          <w:p>
            <w:pPr>
              <w:spacing w:line="24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486" w:type="dxa"/>
            <w:vMerge w:val="restart"/>
            <w:vAlign w:val="center"/>
          </w:tcPr>
          <w:p>
            <w:pPr>
              <w:adjustRightInd/>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综合实力</w:t>
            </w:r>
          </w:p>
        </w:tc>
        <w:tc>
          <w:tcPr>
            <w:tcW w:w="522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lang w:val="en-US" w:eastAsia="zh-CN"/>
              </w:rPr>
              <w:t>投标人具有垃圾分类处理服务企业国家一级资质的得3分，具有垃圾分类处理服务企业国家二级资质的得2分，具有垃圾分类处理服务企业国家三级资质的得1分，（本项最高得3分）</w:t>
            </w:r>
            <w:r>
              <w:rPr>
                <w:rFonts w:hint="eastAsia" w:ascii="仿宋" w:hAnsi="仿宋" w:eastAsia="仿宋" w:cs="仿宋"/>
                <w:color w:val="auto"/>
                <w:sz w:val="24"/>
                <w:szCs w:val="24"/>
                <w:highlight w:val="none"/>
                <w:shd w:val="clear" w:color="auto" w:fill="auto"/>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b/>
                <w:bCs/>
                <w:color w:val="auto"/>
                <w:kern w:val="0"/>
                <w:sz w:val="24"/>
                <w:szCs w:val="24"/>
                <w:highlight w:val="none"/>
                <w:shd w:val="clear" w:color="auto" w:fill="auto"/>
                <w:lang w:val="en-US" w:eastAsia="zh-CN"/>
              </w:rPr>
              <w:t>（投标文件中须提供有效的相关证明材料复印件并加盖公章）</w:t>
            </w:r>
          </w:p>
        </w:tc>
        <w:tc>
          <w:tcPr>
            <w:tcW w:w="7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3分</w:t>
            </w:r>
          </w:p>
        </w:tc>
        <w:tc>
          <w:tcPr>
            <w:tcW w:w="738" w:type="dxa"/>
            <w:vAlign w:val="center"/>
          </w:tcPr>
          <w:p>
            <w:pPr>
              <w:spacing w:line="24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698" w:type="dxa"/>
            <w:vMerge w:val="continue"/>
            <w:vAlign w:val="center"/>
          </w:tcPr>
          <w:p>
            <w:pPr>
              <w:spacing w:line="240" w:lineRule="auto"/>
              <w:jc w:val="center"/>
              <w:outlineLvl w:val="0"/>
              <w:rPr>
                <w:rFonts w:hint="eastAsia" w:ascii="仿宋" w:hAnsi="仿宋" w:eastAsia="仿宋" w:cs="仿宋"/>
                <w:color w:val="auto"/>
                <w:sz w:val="24"/>
                <w:szCs w:val="24"/>
                <w:highlight w:val="none"/>
              </w:rPr>
            </w:pPr>
          </w:p>
        </w:tc>
        <w:tc>
          <w:tcPr>
            <w:tcW w:w="1486" w:type="dxa"/>
            <w:vMerge w:val="continue"/>
            <w:vAlign w:val="center"/>
          </w:tcPr>
          <w:p>
            <w:pPr>
              <w:spacing w:line="240" w:lineRule="auto"/>
              <w:jc w:val="center"/>
              <w:outlineLvl w:val="0"/>
              <w:rPr>
                <w:rFonts w:hint="eastAsia" w:ascii="仿宋" w:hAnsi="仿宋" w:eastAsia="仿宋" w:cs="仿宋"/>
                <w:color w:val="auto"/>
                <w:sz w:val="24"/>
                <w:szCs w:val="24"/>
                <w:highlight w:val="none"/>
              </w:rPr>
            </w:pPr>
          </w:p>
        </w:tc>
        <w:tc>
          <w:tcPr>
            <w:tcW w:w="522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2020年8月以来，投标人具有政府部门颁发的</w:t>
            </w:r>
            <w:r>
              <w:rPr>
                <w:rFonts w:hint="eastAsia" w:ascii="仿宋" w:hAnsi="仿宋" w:eastAsia="仿宋" w:cs="仿宋"/>
                <w:b w:val="0"/>
                <w:bCs w:val="0"/>
                <w:color w:val="auto"/>
                <w:sz w:val="24"/>
                <w:szCs w:val="24"/>
                <w:highlight w:val="none"/>
                <w:lang w:val="en-US" w:eastAsia="zh-CN"/>
              </w:rPr>
              <w:t>环卫工作或</w:t>
            </w:r>
            <w:r>
              <w:rPr>
                <w:rFonts w:hint="eastAsia" w:ascii="仿宋" w:hAnsi="仿宋" w:eastAsia="仿宋" w:cs="仿宋"/>
                <w:color w:val="auto"/>
                <w:sz w:val="24"/>
                <w:szCs w:val="24"/>
                <w:highlight w:val="none"/>
                <w:lang w:val="en-US" w:eastAsia="zh-CN"/>
              </w:rPr>
              <w:t>垃圾分类相关荣誉的，省级（含）以上政府部门颁发的得 3分，市级政府部门颁发的得 2 分，区（县）级政府部门颁发的得 1 分，（本项最高得3分）。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kern w:val="0"/>
                <w:sz w:val="24"/>
                <w:szCs w:val="24"/>
                <w:highlight w:val="none"/>
                <w:shd w:val="clear" w:color="auto" w:fill="auto"/>
                <w:lang w:val="en-US" w:eastAsia="zh-CN"/>
              </w:rPr>
              <w:t>投标文件中须提供有效的相关证明材料</w:t>
            </w:r>
            <w:r>
              <w:rPr>
                <w:rFonts w:hint="eastAsia" w:ascii="仿宋" w:hAnsi="仿宋" w:eastAsia="仿宋" w:cs="仿宋"/>
                <w:b/>
                <w:bCs/>
                <w:color w:val="auto"/>
                <w:sz w:val="24"/>
                <w:szCs w:val="24"/>
                <w:highlight w:val="none"/>
                <w:lang w:val="en-US" w:eastAsia="zh-CN"/>
              </w:rPr>
              <w:t>）。</w:t>
            </w:r>
          </w:p>
        </w:tc>
        <w:tc>
          <w:tcPr>
            <w:tcW w:w="7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3分</w:t>
            </w:r>
          </w:p>
        </w:tc>
        <w:tc>
          <w:tcPr>
            <w:tcW w:w="738" w:type="dxa"/>
            <w:vAlign w:val="center"/>
          </w:tcPr>
          <w:p>
            <w:pPr>
              <w:spacing w:line="240" w:lineRule="auto"/>
              <w:jc w:val="center"/>
              <w:outlineLvl w:val="0"/>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98" w:type="dxa"/>
            <w:vMerge w:val="continue"/>
            <w:vAlign w:val="center"/>
          </w:tcPr>
          <w:p>
            <w:pPr>
              <w:spacing w:line="240" w:lineRule="auto"/>
              <w:jc w:val="center"/>
              <w:outlineLvl w:val="0"/>
              <w:rPr>
                <w:rFonts w:hint="eastAsia" w:ascii="仿宋" w:hAnsi="仿宋" w:eastAsia="仿宋" w:cs="仿宋"/>
                <w:color w:val="auto"/>
                <w:sz w:val="24"/>
                <w:szCs w:val="24"/>
                <w:highlight w:val="none"/>
              </w:rPr>
            </w:pPr>
          </w:p>
        </w:tc>
        <w:tc>
          <w:tcPr>
            <w:tcW w:w="1486" w:type="dxa"/>
            <w:vMerge w:val="continue"/>
            <w:vAlign w:val="center"/>
          </w:tcPr>
          <w:p>
            <w:pPr>
              <w:widowControl/>
              <w:spacing w:line="240" w:lineRule="auto"/>
              <w:jc w:val="center"/>
              <w:rPr>
                <w:rFonts w:hint="eastAsia" w:ascii="仿宋" w:hAnsi="仿宋" w:eastAsia="仿宋" w:cs="仿宋"/>
                <w:color w:val="auto"/>
                <w:kern w:val="0"/>
                <w:sz w:val="24"/>
                <w:szCs w:val="24"/>
                <w:highlight w:val="none"/>
              </w:rPr>
            </w:pPr>
          </w:p>
        </w:tc>
        <w:tc>
          <w:tcPr>
            <w:tcW w:w="522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1）投标人具有质量管理体系认证证书的得1分；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lang w:val="en-US" w:eastAsia="zh-CN"/>
              </w:rPr>
              <w:t>2</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投标人具有环境管理体系认证证书的得1分；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投标人具有职业健康安全管理体系认证证书的得1分。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（上述证书的认证范围须包含垃圾分类服务，提供有效期内证书扫描件）。</w:t>
            </w:r>
          </w:p>
        </w:tc>
        <w:tc>
          <w:tcPr>
            <w:tcW w:w="7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w:t>
            </w:r>
          </w:p>
        </w:tc>
        <w:tc>
          <w:tcPr>
            <w:tcW w:w="738" w:type="dxa"/>
            <w:vAlign w:val="center"/>
          </w:tcPr>
          <w:p>
            <w:pPr>
              <w:spacing w:line="240" w:lineRule="auto"/>
              <w:jc w:val="center"/>
              <w:outlineLvl w:val="0"/>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98" w:type="dxa"/>
            <w:vMerge w:val="continue"/>
            <w:vAlign w:val="center"/>
          </w:tcPr>
          <w:p>
            <w:pPr>
              <w:spacing w:line="240" w:lineRule="auto"/>
              <w:jc w:val="center"/>
              <w:outlineLvl w:val="0"/>
              <w:rPr>
                <w:rFonts w:hint="eastAsia" w:ascii="仿宋" w:hAnsi="仿宋" w:eastAsia="仿宋" w:cs="仿宋"/>
                <w:color w:val="auto"/>
                <w:highlight w:val="none"/>
              </w:rPr>
            </w:pPr>
          </w:p>
        </w:tc>
        <w:tc>
          <w:tcPr>
            <w:tcW w:w="1486" w:type="dxa"/>
            <w:vMerge w:val="continue"/>
            <w:vAlign w:val="center"/>
          </w:tcPr>
          <w:p>
            <w:pPr>
              <w:spacing w:line="240" w:lineRule="auto"/>
              <w:jc w:val="center"/>
              <w:outlineLvl w:val="0"/>
              <w:rPr>
                <w:rFonts w:hint="eastAsia" w:ascii="仿宋" w:hAnsi="仿宋" w:eastAsia="仿宋" w:cs="仿宋"/>
                <w:color w:val="auto"/>
                <w:highlight w:val="none"/>
              </w:rPr>
            </w:pPr>
          </w:p>
        </w:tc>
        <w:tc>
          <w:tcPr>
            <w:tcW w:w="522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投标人具备《企业诚信管理体系认证》证书的得1分。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lang w:val="en-US" w:eastAsia="zh-CN"/>
              </w:rPr>
              <w:t>2</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投标人具备《生活垃圾分类服务能力认证》证书的得1分。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投标人具备《</w:t>
            </w:r>
            <w:r>
              <w:rPr>
                <w:rFonts w:hint="eastAsia" w:ascii="仿宋" w:hAnsi="仿宋" w:eastAsia="仿宋" w:cs="仿宋"/>
                <w:bCs/>
                <w:color w:val="auto"/>
                <w:sz w:val="24"/>
                <w:highlight w:val="none"/>
                <w:lang w:val="en-US" w:eastAsia="zh-CN"/>
              </w:rPr>
              <w:t>社会责任管理体系认证</w:t>
            </w:r>
            <w:r>
              <w:rPr>
                <w:rFonts w:hint="eastAsia" w:ascii="仿宋" w:hAnsi="仿宋" w:eastAsia="仿宋" w:cs="仿宋"/>
                <w:bCs/>
                <w:color w:val="auto"/>
                <w:sz w:val="24"/>
                <w:highlight w:val="none"/>
              </w:rPr>
              <w:t>》证书的得</w:t>
            </w: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rPr>
              <w:t>分</w:t>
            </w:r>
            <w:r>
              <w:rPr>
                <w:rFonts w:hint="eastAsia" w:ascii="仿宋" w:hAnsi="仿宋" w:eastAsia="仿宋" w:cs="仿宋"/>
                <w:bCs/>
                <w:color w:val="auto"/>
                <w:sz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（上述证书的认证范围须包含垃圾分类服务，提供有效期内证书扫描件）。</w:t>
            </w:r>
          </w:p>
        </w:tc>
        <w:tc>
          <w:tcPr>
            <w:tcW w:w="7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3分</w:t>
            </w:r>
          </w:p>
        </w:tc>
        <w:tc>
          <w:tcPr>
            <w:tcW w:w="738" w:type="dxa"/>
            <w:vAlign w:val="center"/>
          </w:tcPr>
          <w:p>
            <w:pPr>
              <w:spacing w:line="240" w:lineRule="auto"/>
              <w:jc w:val="center"/>
              <w:outlineLvl w:val="0"/>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98" w:type="dxa"/>
            <w:vMerge w:val="continue"/>
            <w:vAlign w:val="center"/>
          </w:tcPr>
          <w:p>
            <w:pPr>
              <w:spacing w:line="240" w:lineRule="auto"/>
              <w:jc w:val="center"/>
              <w:outlineLvl w:val="0"/>
              <w:rPr>
                <w:rFonts w:hint="eastAsia" w:ascii="仿宋" w:hAnsi="仿宋" w:eastAsia="仿宋" w:cs="仿宋"/>
                <w:color w:val="auto"/>
                <w:highlight w:val="none"/>
              </w:rPr>
            </w:pPr>
          </w:p>
        </w:tc>
        <w:tc>
          <w:tcPr>
            <w:tcW w:w="1486" w:type="dxa"/>
            <w:vMerge w:val="continue"/>
            <w:vAlign w:val="center"/>
          </w:tcPr>
          <w:p>
            <w:pPr>
              <w:spacing w:line="240" w:lineRule="auto"/>
              <w:jc w:val="center"/>
              <w:outlineLvl w:val="0"/>
              <w:rPr>
                <w:rFonts w:hint="eastAsia" w:ascii="仿宋" w:hAnsi="仿宋" w:eastAsia="仿宋" w:cs="仿宋"/>
                <w:color w:val="auto"/>
                <w:highlight w:val="none"/>
              </w:rPr>
            </w:pPr>
          </w:p>
        </w:tc>
        <w:tc>
          <w:tcPr>
            <w:tcW w:w="5225" w:type="dxa"/>
            <w:vAlign w:val="center"/>
          </w:tcPr>
          <w:p>
            <w:pPr>
              <w:pStyle w:val="2"/>
              <w:keepNext w:val="0"/>
              <w:keepLines w:val="0"/>
              <w:suppressLineNumbers w:val="0"/>
              <w:spacing w:before="0" w:beforeAutospacing="0" w:after="0" w:afterAutospacing="0" w:line="240" w:lineRule="auto"/>
              <w:ind w:left="0" w:leftChars="0" w:right="0" w:rightChars="0" w:firstLine="0" w:firstLineChars="0"/>
              <w:rPr>
                <w:rFonts w:hint="eastAsia" w:ascii="仿宋" w:hAnsi="仿宋" w:eastAsia="仿宋" w:cs="仿宋"/>
                <w:color w:val="auto"/>
                <w:kern w:val="0"/>
                <w:sz w:val="24"/>
                <w:szCs w:val="24"/>
                <w:highlight w:val="none"/>
              </w:rPr>
            </w:pPr>
            <w:r>
              <w:rPr>
                <w:rFonts w:hint="eastAsia" w:ascii="仿宋" w:hAnsi="仿宋" w:eastAsia="仿宋" w:cs="仿宋"/>
                <w:b w:val="0"/>
                <w:bCs w:val="0"/>
                <w:color w:val="auto"/>
                <w:sz w:val="24"/>
                <w:szCs w:val="24"/>
                <w:highlight w:val="none"/>
                <w:lang w:val="en-US" w:eastAsia="zh-CN"/>
              </w:rPr>
              <w:t>投标人具有行政主管部门颁发的安全生产标准化三级证书或行政主管部门颁发的安全生产许可证的得2分。</w:t>
            </w:r>
            <w:r>
              <w:rPr>
                <w:rFonts w:hint="eastAsia" w:ascii="仿宋" w:hAnsi="仿宋" w:eastAsia="仿宋" w:cs="仿宋"/>
                <w:b/>
                <w:bCs w:val="0"/>
                <w:color w:val="auto"/>
                <w:sz w:val="24"/>
                <w:highlight w:val="none"/>
              </w:rPr>
              <w:t>（提供有效期内</w:t>
            </w:r>
            <w:r>
              <w:rPr>
                <w:rFonts w:hint="eastAsia" w:ascii="仿宋" w:hAnsi="仿宋" w:eastAsia="仿宋" w:cs="仿宋"/>
                <w:b/>
                <w:bCs w:val="0"/>
                <w:color w:val="auto"/>
                <w:sz w:val="24"/>
                <w:highlight w:val="none"/>
                <w:lang w:eastAsia="zh-CN"/>
              </w:rPr>
              <w:t>的</w:t>
            </w:r>
            <w:r>
              <w:rPr>
                <w:rFonts w:hint="eastAsia" w:ascii="仿宋" w:hAnsi="仿宋" w:eastAsia="仿宋" w:cs="仿宋"/>
                <w:b/>
                <w:bCs w:val="0"/>
                <w:color w:val="auto"/>
                <w:sz w:val="24"/>
                <w:highlight w:val="none"/>
              </w:rPr>
              <w:t>证书</w:t>
            </w:r>
            <w:r>
              <w:rPr>
                <w:rFonts w:hint="eastAsia" w:ascii="仿宋" w:hAnsi="仿宋" w:eastAsia="仿宋" w:cs="仿宋"/>
                <w:b/>
                <w:bCs w:val="0"/>
                <w:color w:val="auto"/>
                <w:sz w:val="24"/>
                <w:highlight w:val="none"/>
                <w:lang w:val="en-US" w:eastAsia="zh-CN"/>
              </w:rPr>
              <w:t>扫描件</w:t>
            </w:r>
            <w:r>
              <w:rPr>
                <w:rFonts w:hint="eastAsia" w:ascii="仿宋" w:hAnsi="仿宋" w:eastAsia="仿宋" w:cs="仿宋"/>
                <w:b/>
                <w:bCs w:val="0"/>
                <w:color w:val="auto"/>
                <w:sz w:val="24"/>
                <w:highlight w:val="none"/>
              </w:rPr>
              <w:t>）</w:t>
            </w:r>
          </w:p>
        </w:tc>
        <w:tc>
          <w:tcPr>
            <w:tcW w:w="7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2分</w:t>
            </w:r>
          </w:p>
        </w:tc>
        <w:tc>
          <w:tcPr>
            <w:tcW w:w="738" w:type="dxa"/>
            <w:vAlign w:val="center"/>
          </w:tcPr>
          <w:p>
            <w:pPr>
              <w:spacing w:line="240" w:lineRule="auto"/>
              <w:jc w:val="center"/>
              <w:outlineLvl w:val="0"/>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98" w:type="dxa"/>
            <w:vMerge w:val="continue"/>
            <w:vAlign w:val="center"/>
          </w:tcPr>
          <w:p>
            <w:pPr>
              <w:spacing w:line="240" w:lineRule="auto"/>
              <w:jc w:val="center"/>
              <w:outlineLvl w:val="0"/>
              <w:rPr>
                <w:rFonts w:hint="eastAsia" w:ascii="仿宋" w:hAnsi="仿宋" w:eastAsia="仿宋" w:cs="仿宋"/>
                <w:color w:val="auto"/>
                <w:highlight w:val="none"/>
              </w:rPr>
            </w:pPr>
          </w:p>
        </w:tc>
        <w:tc>
          <w:tcPr>
            <w:tcW w:w="1486" w:type="dxa"/>
            <w:vMerge w:val="continue"/>
            <w:vAlign w:val="center"/>
          </w:tcPr>
          <w:p>
            <w:pPr>
              <w:spacing w:line="240" w:lineRule="auto"/>
              <w:jc w:val="center"/>
              <w:outlineLvl w:val="0"/>
              <w:rPr>
                <w:rFonts w:hint="eastAsia" w:ascii="仿宋" w:hAnsi="仿宋" w:eastAsia="仿宋" w:cs="仿宋"/>
                <w:color w:val="auto"/>
                <w:highlight w:val="none"/>
              </w:rPr>
            </w:pPr>
          </w:p>
        </w:tc>
        <w:tc>
          <w:tcPr>
            <w:tcW w:w="5225" w:type="dxa"/>
            <w:vAlign w:val="center"/>
          </w:tcPr>
          <w:p>
            <w:pPr>
              <w:pStyle w:val="2"/>
              <w:keepNext w:val="0"/>
              <w:keepLines w:val="0"/>
              <w:suppressLineNumbers w:val="0"/>
              <w:spacing w:before="0" w:beforeAutospacing="0" w:after="0" w:afterAutospacing="0" w:line="240" w:lineRule="auto"/>
              <w:ind w:left="0" w:leftChars="0" w:right="0" w:rightChars="0" w:firstLine="0" w:firstLineChars="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投标人具有信息安全管理体系认证证书或信息安全服务认证证书的得2分。</w:t>
            </w:r>
          </w:p>
          <w:p>
            <w:pPr>
              <w:pStyle w:val="2"/>
              <w:keepNext w:val="0"/>
              <w:keepLines w:val="0"/>
              <w:suppressLineNumbers w:val="0"/>
              <w:spacing w:before="0" w:beforeAutospacing="0" w:after="0" w:afterAutospacing="0" w:line="240" w:lineRule="auto"/>
              <w:ind w:left="0" w:leftChars="0" w:right="0" w:rightChars="0" w:firstLine="0" w:firstLineChars="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val="0"/>
                <w:color w:val="auto"/>
                <w:sz w:val="24"/>
                <w:highlight w:val="none"/>
              </w:rPr>
              <w:t>（提供有效期内</w:t>
            </w:r>
            <w:r>
              <w:rPr>
                <w:rFonts w:hint="eastAsia" w:ascii="仿宋" w:hAnsi="仿宋" w:eastAsia="仿宋" w:cs="仿宋"/>
                <w:b/>
                <w:bCs w:val="0"/>
                <w:color w:val="auto"/>
                <w:sz w:val="24"/>
                <w:highlight w:val="none"/>
                <w:lang w:eastAsia="zh-CN"/>
              </w:rPr>
              <w:t>的</w:t>
            </w:r>
            <w:r>
              <w:rPr>
                <w:rFonts w:hint="eastAsia" w:ascii="仿宋" w:hAnsi="仿宋" w:eastAsia="仿宋" w:cs="仿宋"/>
                <w:b/>
                <w:bCs w:val="0"/>
                <w:color w:val="auto"/>
                <w:sz w:val="24"/>
                <w:highlight w:val="none"/>
              </w:rPr>
              <w:t>证书</w:t>
            </w:r>
            <w:r>
              <w:rPr>
                <w:rFonts w:hint="eastAsia" w:ascii="仿宋" w:hAnsi="仿宋" w:eastAsia="仿宋" w:cs="仿宋"/>
                <w:b/>
                <w:bCs w:val="0"/>
                <w:color w:val="auto"/>
                <w:sz w:val="24"/>
                <w:highlight w:val="none"/>
                <w:lang w:val="en-US" w:eastAsia="zh-CN"/>
              </w:rPr>
              <w:t>扫描件</w:t>
            </w:r>
            <w:r>
              <w:rPr>
                <w:rFonts w:hint="eastAsia" w:ascii="仿宋" w:hAnsi="仿宋" w:eastAsia="仿宋" w:cs="仿宋"/>
                <w:b/>
                <w:bCs w:val="0"/>
                <w:color w:val="auto"/>
                <w:sz w:val="24"/>
                <w:highlight w:val="none"/>
              </w:rPr>
              <w:t>）</w:t>
            </w:r>
          </w:p>
        </w:tc>
        <w:tc>
          <w:tcPr>
            <w:tcW w:w="7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2分</w:t>
            </w:r>
          </w:p>
        </w:tc>
        <w:tc>
          <w:tcPr>
            <w:tcW w:w="738" w:type="dxa"/>
            <w:vAlign w:val="center"/>
          </w:tcPr>
          <w:p>
            <w:pPr>
              <w:spacing w:line="240" w:lineRule="auto"/>
              <w:jc w:val="center"/>
              <w:outlineLvl w:val="0"/>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98" w:type="dxa"/>
            <w:vAlign w:val="center"/>
          </w:tcPr>
          <w:p>
            <w:pPr>
              <w:spacing w:line="24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486" w:type="dxa"/>
            <w:shd w:val="clear" w:color="auto" w:fill="auto"/>
            <w:vAlign w:val="center"/>
          </w:tcPr>
          <w:p>
            <w:pPr>
              <w:adjustRightInd/>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成功案例</w:t>
            </w:r>
          </w:p>
        </w:tc>
        <w:tc>
          <w:tcPr>
            <w:tcW w:w="52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根据投标人提供的自20</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8月</w:t>
            </w:r>
            <w:r>
              <w:rPr>
                <w:rFonts w:hint="eastAsia" w:ascii="仿宋" w:hAnsi="仿宋" w:eastAsia="仿宋" w:cs="仿宋"/>
                <w:color w:val="auto"/>
                <w:sz w:val="24"/>
                <w:szCs w:val="24"/>
                <w:highlight w:val="none"/>
              </w:rPr>
              <w:t>以来</w:t>
            </w:r>
            <w:r>
              <w:rPr>
                <w:rFonts w:hint="eastAsia" w:ascii="仿宋" w:hAnsi="仿宋" w:eastAsia="仿宋" w:cs="仿宋"/>
                <w:color w:val="auto"/>
                <w:sz w:val="24"/>
                <w:szCs w:val="24"/>
                <w:highlight w:val="none"/>
                <w:lang w:val="en-US" w:eastAsia="zh-CN"/>
              </w:rPr>
              <w:t>（以合同签订时间为准）承担的垃圾分类服务</w:t>
            </w:r>
            <w:r>
              <w:rPr>
                <w:rFonts w:hint="eastAsia" w:ascii="仿宋" w:hAnsi="仿宋" w:eastAsia="仿宋" w:cs="仿宋"/>
                <w:color w:val="auto"/>
                <w:sz w:val="24"/>
                <w:szCs w:val="24"/>
                <w:highlight w:val="none"/>
                <w:lang w:eastAsia="zh-CN"/>
              </w:rPr>
              <w:t>同类业绩，每有一个项目</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，最高得</w:t>
            </w:r>
            <w:r>
              <w:rPr>
                <w:rFonts w:hint="eastAsia" w:ascii="仿宋" w:hAnsi="仿宋" w:eastAsia="仿宋" w:cs="仿宋"/>
                <w:color w:val="auto"/>
                <w:sz w:val="24"/>
                <w:szCs w:val="24"/>
                <w:highlight w:val="none"/>
                <w:lang w:val="en-US" w:eastAsia="zh-CN"/>
              </w:rPr>
              <w:t>3分。</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须</w:t>
            </w:r>
            <w:r>
              <w:rPr>
                <w:rFonts w:hint="eastAsia" w:ascii="仿宋" w:hAnsi="仿宋" w:eastAsia="仿宋" w:cs="仿宋"/>
                <w:b/>
                <w:bCs/>
                <w:color w:val="auto"/>
                <w:sz w:val="24"/>
                <w:szCs w:val="24"/>
                <w:highlight w:val="none"/>
              </w:rPr>
              <w:t>同时提供中标通知书</w:t>
            </w:r>
            <w:r>
              <w:rPr>
                <w:rFonts w:hint="eastAsia" w:ascii="仿宋" w:hAnsi="仿宋" w:eastAsia="仿宋" w:cs="仿宋"/>
                <w:b/>
                <w:bCs/>
                <w:color w:val="auto"/>
                <w:sz w:val="24"/>
                <w:szCs w:val="24"/>
                <w:highlight w:val="none"/>
                <w:lang w:eastAsia="zh-CN"/>
              </w:rPr>
              <w:t>及</w:t>
            </w:r>
            <w:r>
              <w:rPr>
                <w:rFonts w:hint="eastAsia" w:ascii="仿宋" w:hAnsi="仿宋" w:eastAsia="仿宋" w:cs="仿宋"/>
                <w:b/>
                <w:bCs/>
                <w:color w:val="auto"/>
                <w:sz w:val="24"/>
                <w:szCs w:val="24"/>
                <w:highlight w:val="none"/>
              </w:rPr>
              <w:t>合同</w:t>
            </w:r>
            <w:r>
              <w:rPr>
                <w:rFonts w:hint="eastAsia" w:ascii="仿宋" w:hAnsi="仿宋" w:eastAsia="仿宋" w:cs="仿宋"/>
                <w:b/>
                <w:bCs/>
                <w:color w:val="auto"/>
                <w:sz w:val="24"/>
                <w:szCs w:val="24"/>
                <w:highlight w:val="none"/>
                <w:lang w:val="en-US" w:eastAsia="zh-CN"/>
              </w:rPr>
              <w:t>扫描件，缺一不得分。</w:t>
            </w:r>
            <w:r>
              <w:rPr>
                <w:rFonts w:hint="eastAsia" w:ascii="仿宋" w:hAnsi="仿宋" w:eastAsia="仿宋" w:cs="仿宋"/>
                <w:b/>
                <w:bCs/>
                <w:color w:val="auto"/>
                <w:sz w:val="24"/>
                <w:szCs w:val="24"/>
                <w:highlight w:val="none"/>
              </w:rPr>
              <w:t>）</w:t>
            </w:r>
          </w:p>
        </w:tc>
        <w:tc>
          <w:tcPr>
            <w:tcW w:w="763" w:type="dxa"/>
            <w:shd w:val="clear" w:color="auto" w:fill="auto"/>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b w:val="0"/>
                <w:bCs/>
                <w:color w:val="auto"/>
                <w:sz w:val="24"/>
                <w:szCs w:val="24"/>
                <w:highlight w:val="none"/>
                <w:lang w:val="en-US" w:eastAsia="zh-CN"/>
              </w:rPr>
              <w:t>3分</w:t>
            </w:r>
          </w:p>
        </w:tc>
        <w:tc>
          <w:tcPr>
            <w:tcW w:w="738" w:type="dxa"/>
            <w:shd w:val="clear" w:color="auto" w:fill="auto"/>
            <w:vAlign w:val="top"/>
          </w:tcPr>
          <w:p>
            <w:pPr>
              <w:spacing w:line="240" w:lineRule="auto"/>
              <w:outlineLvl w:val="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8" w:type="dxa"/>
            <w:vMerge w:val="restart"/>
            <w:vAlign w:val="center"/>
          </w:tcPr>
          <w:p>
            <w:pPr>
              <w:spacing w:line="240" w:lineRule="auto"/>
              <w:jc w:val="center"/>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1486"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eastAsia="zh-CN"/>
              </w:rPr>
              <w:t>项目组成人员</w:t>
            </w:r>
          </w:p>
        </w:tc>
        <w:tc>
          <w:tcPr>
            <w:tcW w:w="5225" w:type="dxa"/>
            <w:vMerge w:val="restart"/>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1.拟派项目经理具有本科（含）以上学历，具有类似项目管理经验的，且具有环境工程专业工程师（含）以上职称的，得3分。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2.拟派的项目小组成员具有下列资格证书的 ：①售后服务管理师证书，②垃圾分类工程师证书，③垃圾分类培训师证书，</w:t>
            </w:r>
            <w:r>
              <w:rPr>
                <w:rFonts w:hint="eastAsia" w:ascii="仿宋" w:hAnsi="仿宋" w:eastAsia="仿宋" w:cs="仿宋"/>
                <w:b/>
                <w:bCs/>
                <w:color w:val="auto"/>
                <w:sz w:val="24"/>
                <w:szCs w:val="24"/>
                <w:highlight w:val="none"/>
                <w:lang w:val="en-US" w:eastAsia="zh-CN"/>
              </w:rPr>
              <w:t>每项证书得1分</w:t>
            </w:r>
            <w:r>
              <w:rPr>
                <w:rFonts w:hint="eastAsia" w:ascii="仿宋" w:hAnsi="仿宋" w:eastAsia="仿宋" w:cs="仿宋"/>
                <w:color w:val="auto"/>
                <w:sz w:val="24"/>
                <w:szCs w:val="24"/>
                <w:highlight w:val="none"/>
                <w:lang w:val="en-US" w:eastAsia="zh-CN"/>
              </w:rPr>
              <w:t>，最高得3分</w:t>
            </w:r>
            <w:r>
              <w:rPr>
                <w:rFonts w:hint="eastAsia" w:ascii="仿宋" w:hAnsi="仿宋" w:eastAsia="仿宋" w:cs="仿宋"/>
                <w:b/>
                <w:bCs/>
                <w:color w:val="auto"/>
                <w:sz w:val="24"/>
                <w:szCs w:val="24"/>
                <w:highlight w:val="none"/>
                <w:lang w:val="en-US" w:eastAsia="zh-CN"/>
              </w:rPr>
              <w:t>（1人多证只算1证分值）。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vertAlign w:val="baseline"/>
                <w:lang w:val="en-US" w:eastAsia="zh-CN"/>
              </w:rPr>
              <w:t>注：</w:t>
            </w:r>
            <w:r>
              <w:rPr>
                <w:rFonts w:hint="eastAsia" w:ascii="仿宋" w:hAnsi="仿宋" w:eastAsia="仿宋" w:cs="仿宋"/>
                <w:b/>
                <w:bCs/>
                <w:color w:val="auto"/>
                <w:sz w:val="24"/>
                <w:szCs w:val="24"/>
                <w:highlight w:val="none"/>
              </w:rPr>
              <w:t>投标文件中须提供证书</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证明材料</w:t>
            </w:r>
            <w:r>
              <w:rPr>
                <w:rFonts w:hint="eastAsia" w:ascii="仿宋" w:hAnsi="仿宋" w:eastAsia="仿宋" w:cs="仿宋"/>
                <w:b/>
                <w:bCs/>
                <w:color w:val="auto"/>
                <w:sz w:val="24"/>
                <w:szCs w:val="24"/>
                <w:highlight w:val="none"/>
              </w:rPr>
              <w:t>以及投标人近三个月为其缴纳的社保证明(可提供社保网查询打印件)</w:t>
            </w:r>
            <w:r>
              <w:rPr>
                <w:rFonts w:hint="eastAsia" w:ascii="仿宋" w:hAnsi="仿宋" w:eastAsia="仿宋" w:cs="仿宋"/>
                <w:b/>
                <w:bCs/>
                <w:color w:val="auto"/>
                <w:sz w:val="24"/>
                <w:szCs w:val="24"/>
                <w:highlight w:val="none"/>
                <w:lang w:eastAsia="zh-CN"/>
              </w:rPr>
              <w:t>。</w:t>
            </w:r>
          </w:p>
        </w:tc>
        <w:tc>
          <w:tcPr>
            <w:tcW w:w="763"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6分</w:t>
            </w:r>
          </w:p>
        </w:tc>
        <w:tc>
          <w:tcPr>
            <w:tcW w:w="738" w:type="dxa"/>
            <w:vMerge w:val="restart"/>
            <w:shd w:val="clear" w:color="auto" w:fill="auto"/>
            <w:vAlign w:val="top"/>
          </w:tcPr>
          <w:p>
            <w:pPr>
              <w:spacing w:line="240" w:lineRule="auto"/>
              <w:outlineLvl w:val="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98" w:type="dxa"/>
            <w:vMerge w:val="continue"/>
            <w:vAlign w:val="center"/>
          </w:tcPr>
          <w:p>
            <w:pPr>
              <w:spacing w:line="240" w:lineRule="auto"/>
              <w:jc w:val="center"/>
              <w:outlineLvl w:val="0"/>
              <w:rPr>
                <w:rFonts w:hint="eastAsia" w:ascii="仿宋" w:hAnsi="仿宋" w:eastAsia="仿宋" w:cs="仿宋"/>
                <w:color w:val="auto"/>
                <w:sz w:val="24"/>
                <w:szCs w:val="24"/>
                <w:highlight w:val="none"/>
              </w:rPr>
            </w:pPr>
          </w:p>
        </w:tc>
        <w:tc>
          <w:tcPr>
            <w:tcW w:w="1486" w:type="dxa"/>
            <w:vMerge w:val="continue"/>
            <w:shd w:val="clear" w:color="auto" w:fill="auto"/>
            <w:vAlign w:val="center"/>
          </w:tcPr>
          <w:p>
            <w:pPr>
              <w:spacing w:line="240" w:lineRule="auto"/>
              <w:jc w:val="center"/>
              <w:outlineLvl w:val="0"/>
              <w:rPr>
                <w:rFonts w:hint="eastAsia" w:ascii="仿宋" w:hAnsi="仿宋" w:eastAsia="仿宋" w:cs="仿宋"/>
                <w:color w:val="auto"/>
                <w:sz w:val="24"/>
                <w:szCs w:val="24"/>
                <w:highlight w:val="none"/>
              </w:rPr>
            </w:pPr>
          </w:p>
        </w:tc>
        <w:tc>
          <w:tcPr>
            <w:tcW w:w="5225" w:type="dxa"/>
            <w:vMerge w:val="continue"/>
            <w:shd w:val="clear" w:color="auto" w:fill="auto"/>
            <w:vAlign w:val="center"/>
          </w:tcPr>
          <w:p>
            <w:pPr>
              <w:snapToGrid w:val="0"/>
              <w:spacing w:line="240" w:lineRule="auto"/>
              <w:jc w:val="left"/>
              <w:textAlignment w:val="center"/>
              <w:rPr>
                <w:rFonts w:hint="eastAsia" w:ascii="仿宋" w:hAnsi="仿宋" w:eastAsia="仿宋" w:cs="仿宋"/>
                <w:b/>
                <w:color w:val="auto"/>
                <w:sz w:val="24"/>
                <w:szCs w:val="24"/>
                <w:highlight w:val="none"/>
              </w:rPr>
            </w:pPr>
          </w:p>
        </w:tc>
        <w:tc>
          <w:tcPr>
            <w:tcW w:w="763" w:type="dxa"/>
            <w:vMerge w:val="continue"/>
            <w:shd w:val="clear" w:color="auto" w:fill="auto"/>
            <w:vAlign w:val="center"/>
          </w:tcPr>
          <w:p>
            <w:pPr>
              <w:adjustRightInd/>
              <w:spacing w:line="240" w:lineRule="auto"/>
              <w:jc w:val="center"/>
              <w:rPr>
                <w:rFonts w:hint="eastAsia" w:ascii="仿宋" w:hAnsi="仿宋" w:eastAsia="仿宋" w:cs="仿宋"/>
                <w:color w:val="auto"/>
                <w:sz w:val="24"/>
                <w:szCs w:val="24"/>
                <w:highlight w:val="none"/>
              </w:rPr>
            </w:pPr>
          </w:p>
        </w:tc>
        <w:tc>
          <w:tcPr>
            <w:tcW w:w="738" w:type="dxa"/>
            <w:vMerge w:val="continue"/>
            <w:shd w:val="clear" w:color="auto" w:fill="auto"/>
            <w:vAlign w:val="top"/>
          </w:tcPr>
          <w:p>
            <w:pPr>
              <w:spacing w:line="240" w:lineRule="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698" w:type="dxa"/>
            <w:vMerge w:val="restart"/>
            <w:vAlign w:val="center"/>
          </w:tcPr>
          <w:p>
            <w:pPr>
              <w:spacing w:line="240" w:lineRule="auto"/>
              <w:jc w:val="center"/>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14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color w:val="auto"/>
                <w:spacing w:val="4"/>
                <w:sz w:val="24"/>
                <w:szCs w:val="24"/>
                <w:highlight w:val="none"/>
              </w:rPr>
            </w:pPr>
            <w:r>
              <w:rPr>
                <w:rFonts w:hint="eastAsia" w:ascii="仿宋" w:hAnsi="仿宋" w:eastAsia="仿宋" w:cs="仿宋"/>
                <w:color w:val="auto"/>
                <w:kern w:val="2"/>
                <w:sz w:val="24"/>
                <w:szCs w:val="24"/>
                <w:highlight w:val="none"/>
                <w:lang w:val="en-US" w:eastAsia="zh-CN" w:bidi="ar-SA"/>
              </w:rPr>
              <w:t>项目实施方案</w:t>
            </w:r>
          </w:p>
        </w:tc>
        <w:tc>
          <w:tcPr>
            <w:tcW w:w="5225" w:type="dxa"/>
            <w:shd w:val="clear" w:color="auto" w:fill="auto"/>
            <w:vAlign w:val="center"/>
          </w:tcPr>
          <w:p>
            <w:pPr>
              <w:pStyle w:val="8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仿宋" w:hAnsi="仿宋" w:eastAsia="仿宋" w:cs="仿宋"/>
                <w:bCs/>
                <w:color w:val="auto"/>
                <w:spacing w:val="4"/>
                <w:sz w:val="24"/>
                <w:szCs w:val="24"/>
                <w:highlight w:val="none"/>
              </w:rPr>
            </w:pPr>
            <w:r>
              <w:rPr>
                <w:rFonts w:hint="eastAsia" w:ascii="仿宋" w:hAnsi="仿宋" w:eastAsia="仿宋" w:cs="仿宋"/>
                <w:color w:val="auto"/>
                <w:kern w:val="2"/>
                <w:sz w:val="24"/>
                <w:szCs w:val="24"/>
                <w:highlight w:val="none"/>
                <w:lang w:val="en-US" w:eastAsia="zh-CN" w:bidi="ar-SA"/>
              </w:rPr>
              <w:t>投标人根据采购需求及对本项目的认识程度，结合嵊州市生活垃圾分类实际，制定完整的运营方案包含运营目标（0-2分）、运营重心（0-2分）、运营策略（0-2分）。</w:t>
            </w:r>
          </w:p>
        </w:tc>
        <w:tc>
          <w:tcPr>
            <w:tcW w:w="7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bCs/>
                <w:color w:val="auto"/>
                <w:spacing w:val="4"/>
                <w:sz w:val="24"/>
                <w:szCs w:val="24"/>
                <w:highlight w:val="none"/>
              </w:rPr>
            </w:pPr>
            <w:r>
              <w:rPr>
                <w:rFonts w:hint="eastAsia" w:ascii="仿宋" w:hAnsi="仿宋" w:eastAsia="仿宋" w:cs="仿宋"/>
                <w:color w:val="auto"/>
                <w:kern w:val="0"/>
                <w:sz w:val="24"/>
                <w:szCs w:val="24"/>
                <w:highlight w:val="none"/>
                <w:lang w:val="en-US" w:eastAsia="zh-CN" w:bidi="ar-SA"/>
              </w:rPr>
              <w:t>6分</w:t>
            </w:r>
          </w:p>
        </w:tc>
        <w:tc>
          <w:tcPr>
            <w:tcW w:w="738" w:type="dxa"/>
            <w:shd w:val="clear" w:color="auto" w:fill="auto"/>
            <w:vAlign w:val="top"/>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698" w:type="dxa"/>
            <w:vMerge w:val="continue"/>
            <w:vAlign w:val="center"/>
          </w:tcPr>
          <w:p>
            <w:pPr>
              <w:widowControl/>
              <w:snapToGrid w:val="0"/>
              <w:spacing w:line="240" w:lineRule="auto"/>
              <w:jc w:val="left"/>
              <w:textAlignment w:val="center"/>
              <w:rPr>
                <w:rFonts w:hint="eastAsia" w:ascii="仿宋" w:hAnsi="仿宋" w:eastAsia="仿宋" w:cs="仿宋"/>
                <w:color w:val="auto"/>
                <w:highlight w:val="none"/>
              </w:rPr>
            </w:pPr>
          </w:p>
        </w:tc>
        <w:tc>
          <w:tcPr>
            <w:tcW w:w="1486" w:type="dxa"/>
            <w:vMerge w:val="continue"/>
            <w:shd w:val="clear" w:color="auto" w:fill="auto"/>
            <w:vAlign w:val="center"/>
          </w:tcPr>
          <w:p>
            <w:pPr>
              <w:widowControl/>
              <w:snapToGrid w:val="0"/>
              <w:spacing w:line="240" w:lineRule="auto"/>
              <w:jc w:val="left"/>
              <w:textAlignment w:val="center"/>
              <w:rPr>
                <w:rFonts w:hint="eastAsia" w:ascii="仿宋" w:hAnsi="仿宋" w:eastAsia="仿宋" w:cs="仿宋"/>
                <w:color w:val="auto"/>
                <w:highlight w:val="none"/>
              </w:rPr>
            </w:pPr>
          </w:p>
        </w:tc>
        <w:tc>
          <w:tcPr>
            <w:tcW w:w="5225" w:type="dxa"/>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仿宋" w:hAnsi="仿宋" w:eastAsia="仿宋" w:cs="仿宋"/>
                <w:bCs/>
                <w:color w:val="auto"/>
                <w:spacing w:val="4"/>
                <w:sz w:val="24"/>
                <w:szCs w:val="24"/>
                <w:highlight w:val="none"/>
              </w:rPr>
            </w:pPr>
            <w:r>
              <w:rPr>
                <w:rFonts w:hint="eastAsia" w:ascii="仿宋" w:hAnsi="仿宋" w:eastAsia="仿宋" w:cs="仿宋"/>
                <w:color w:val="auto"/>
                <w:sz w:val="24"/>
                <w:szCs w:val="24"/>
                <w:highlight w:val="none"/>
                <w:lang w:val="en-US" w:eastAsia="zh-CN"/>
              </w:rPr>
              <w:t>垃圾分类宣教方案：根据投标人提供的针对本项目的垃圾分类宣教方案</w:t>
            </w:r>
            <w:r>
              <w:rPr>
                <w:rFonts w:hint="eastAsia" w:ascii="仿宋" w:hAnsi="仿宋" w:eastAsia="仿宋" w:cs="仿宋"/>
                <w:color w:val="auto"/>
                <w:kern w:val="2"/>
                <w:sz w:val="24"/>
                <w:szCs w:val="24"/>
                <w:highlight w:val="none"/>
                <w:lang w:val="en-US" w:eastAsia="zh-CN" w:bidi="ar-SA"/>
              </w:rPr>
              <w:t>（0-1分）</w:t>
            </w:r>
            <w:r>
              <w:rPr>
                <w:rFonts w:hint="eastAsia" w:ascii="仿宋" w:hAnsi="仿宋" w:eastAsia="仿宋" w:cs="仿宋"/>
                <w:color w:val="auto"/>
                <w:sz w:val="24"/>
                <w:szCs w:val="24"/>
                <w:highlight w:val="none"/>
                <w:lang w:val="en-US" w:eastAsia="zh-CN"/>
              </w:rPr>
              <w:t>，居民知晓率、参与率</w:t>
            </w:r>
            <w:r>
              <w:rPr>
                <w:rFonts w:hint="eastAsia" w:ascii="仿宋" w:hAnsi="仿宋" w:eastAsia="仿宋" w:cs="仿宋"/>
                <w:color w:val="auto"/>
                <w:kern w:val="2"/>
                <w:sz w:val="24"/>
                <w:szCs w:val="24"/>
                <w:highlight w:val="none"/>
                <w:lang w:val="en-US" w:eastAsia="zh-CN" w:bidi="ar-SA"/>
              </w:rPr>
              <w:t>（0-1分）</w:t>
            </w:r>
            <w:r>
              <w:rPr>
                <w:rFonts w:hint="eastAsia" w:ascii="仿宋" w:hAnsi="仿宋" w:eastAsia="仿宋" w:cs="仿宋"/>
                <w:color w:val="auto"/>
                <w:sz w:val="24"/>
                <w:szCs w:val="24"/>
                <w:highlight w:val="none"/>
                <w:lang w:val="en-US" w:eastAsia="zh-CN"/>
              </w:rPr>
              <w:t>、满意率、整体宣传氛围</w:t>
            </w:r>
            <w:r>
              <w:rPr>
                <w:rFonts w:hint="eastAsia" w:ascii="仿宋" w:hAnsi="仿宋" w:eastAsia="仿宋" w:cs="仿宋"/>
                <w:color w:val="auto"/>
                <w:kern w:val="2"/>
                <w:sz w:val="24"/>
                <w:szCs w:val="24"/>
                <w:highlight w:val="none"/>
                <w:lang w:val="en-US" w:eastAsia="zh-CN" w:bidi="ar-SA"/>
              </w:rPr>
              <w:t>（0-1分）</w:t>
            </w:r>
            <w:r>
              <w:rPr>
                <w:rFonts w:hint="eastAsia" w:ascii="仿宋" w:hAnsi="仿宋" w:eastAsia="仿宋" w:cs="仿宋"/>
                <w:color w:val="auto"/>
                <w:sz w:val="24"/>
                <w:szCs w:val="24"/>
                <w:highlight w:val="none"/>
                <w:lang w:val="en-US" w:eastAsia="zh-CN"/>
              </w:rPr>
              <w:t>、各类宣传活动</w:t>
            </w:r>
            <w:r>
              <w:rPr>
                <w:rFonts w:hint="eastAsia" w:ascii="仿宋" w:hAnsi="仿宋" w:eastAsia="仿宋" w:cs="仿宋"/>
                <w:color w:val="auto"/>
                <w:kern w:val="2"/>
                <w:sz w:val="24"/>
                <w:szCs w:val="24"/>
                <w:highlight w:val="none"/>
                <w:lang w:val="en-US" w:eastAsia="zh-CN" w:bidi="ar-SA"/>
              </w:rPr>
              <w:t>（0-1分）</w:t>
            </w:r>
            <w:r>
              <w:rPr>
                <w:rFonts w:hint="eastAsia" w:ascii="仿宋" w:hAnsi="仿宋" w:eastAsia="仿宋" w:cs="仿宋"/>
                <w:color w:val="auto"/>
                <w:sz w:val="24"/>
                <w:szCs w:val="24"/>
                <w:highlight w:val="none"/>
                <w:lang w:val="en-US" w:eastAsia="zh-CN"/>
              </w:rPr>
              <w:t>、分类投放准确率提升方案</w:t>
            </w:r>
            <w:r>
              <w:rPr>
                <w:rFonts w:hint="eastAsia" w:ascii="仿宋" w:hAnsi="仿宋" w:eastAsia="仿宋" w:cs="仿宋"/>
                <w:color w:val="auto"/>
                <w:kern w:val="2"/>
                <w:sz w:val="24"/>
                <w:szCs w:val="24"/>
                <w:highlight w:val="none"/>
                <w:lang w:val="en-US" w:eastAsia="zh-CN" w:bidi="ar-SA"/>
              </w:rPr>
              <w:t>（0-1分）。</w:t>
            </w:r>
          </w:p>
        </w:tc>
        <w:tc>
          <w:tcPr>
            <w:tcW w:w="7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bCs/>
                <w:color w:val="auto"/>
                <w:spacing w:val="4"/>
                <w:sz w:val="24"/>
                <w:szCs w:val="24"/>
                <w:highlight w:val="none"/>
              </w:rPr>
            </w:pPr>
            <w:r>
              <w:rPr>
                <w:rFonts w:hint="eastAsia" w:ascii="仿宋" w:hAnsi="仿宋" w:eastAsia="仿宋" w:cs="仿宋"/>
                <w:color w:val="auto"/>
                <w:kern w:val="0"/>
                <w:sz w:val="24"/>
                <w:szCs w:val="24"/>
                <w:highlight w:val="none"/>
                <w:lang w:val="en-US" w:eastAsia="zh-CN" w:bidi="ar-SA"/>
              </w:rPr>
              <w:t>5分</w:t>
            </w:r>
          </w:p>
        </w:tc>
        <w:tc>
          <w:tcPr>
            <w:tcW w:w="738" w:type="dxa"/>
            <w:shd w:val="clear" w:color="auto" w:fill="auto"/>
            <w:vAlign w:val="top"/>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698" w:type="dxa"/>
            <w:vMerge w:val="continue"/>
            <w:vAlign w:val="center"/>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c>
          <w:tcPr>
            <w:tcW w:w="1486" w:type="dxa"/>
            <w:vMerge w:val="continue"/>
            <w:shd w:val="clear" w:color="auto" w:fill="auto"/>
            <w:vAlign w:val="center"/>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c>
          <w:tcPr>
            <w:tcW w:w="5225" w:type="dxa"/>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仿宋" w:hAnsi="仿宋" w:eastAsia="仿宋" w:cs="仿宋"/>
                <w:bCs/>
                <w:color w:val="auto"/>
                <w:spacing w:val="4"/>
                <w:sz w:val="24"/>
                <w:szCs w:val="24"/>
                <w:highlight w:val="none"/>
              </w:rPr>
            </w:pPr>
            <w:r>
              <w:rPr>
                <w:rFonts w:hint="eastAsia" w:ascii="仿宋" w:hAnsi="仿宋" w:eastAsia="仿宋" w:cs="仿宋"/>
                <w:color w:val="auto"/>
                <w:kern w:val="2"/>
                <w:sz w:val="24"/>
                <w:szCs w:val="24"/>
                <w:highlight w:val="none"/>
                <w:lang w:val="en-US" w:eastAsia="zh-CN" w:bidi="ar-SA"/>
              </w:rPr>
              <w:t>制定投放站（0-1分）、日常运营管理（0-1分）、清洗（0-1分）、维护方案（0-1分）。</w:t>
            </w:r>
          </w:p>
        </w:tc>
        <w:tc>
          <w:tcPr>
            <w:tcW w:w="7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bCs/>
                <w:color w:val="auto"/>
                <w:spacing w:val="4"/>
                <w:sz w:val="24"/>
                <w:szCs w:val="24"/>
                <w:highlight w:val="none"/>
              </w:rPr>
            </w:pPr>
            <w:r>
              <w:rPr>
                <w:rFonts w:hint="eastAsia" w:ascii="仿宋" w:hAnsi="仿宋" w:eastAsia="仿宋" w:cs="仿宋"/>
                <w:color w:val="auto"/>
                <w:kern w:val="0"/>
                <w:sz w:val="24"/>
                <w:szCs w:val="24"/>
                <w:highlight w:val="none"/>
                <w:lang w:val="en-US" w:eastAsia="zh-CN" w:bidi="ar-SA"/>
              </w:rPr>
              <w:t>4分</w:t>
            </w:r>
          </w:p>
        </w:tc>
        <w:tc>
          <w:tcPr>
            <w:tcW w:w="738" w:type="dxa"/>
            <w:shd w:val="clear" w:color="auto" w:fill="auto"/>
            <w:vAlign w:val="top"/>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698" w:type="dxa"/>
            <w:vMerge w:val="continue"/>
            <w:vAlign w:val="center"/>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c>
          <w:tcPr>
            <w:tcW w:w="1486" w:type="dxa"/>
            <w:vMerge w:val="continue"/>
            <w:shd w:val="clear" w:color="auto" w:fill="auto"/>
            <w:vAlign w:val="center"/>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c>
          <w:tcPr>
            <w:tcW w:w="5225" w:type="dxa"/>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仿宋" w:hAnsi="仿宋" w:eastAsia="仿宋" w:cs="仿宋"/>
                <w:bCs/>
                <w:color w:val="auto"/>
                <w:spacing w:val="4"/>
                <w:sz w:val="24"/>
                <w:szCs w:val="24"/>
                <w:highlight w:val="none"/>
              </w:rPr>
            </w:pPr>
            <w:r>
              <w:rPr>
                <w:rFonts w:hint="eastAsia" w:ascii="仿宋" w:hAnsi="仿宋" w:eastAsia="仿宋" w:cs="仿宋"/>
                <w:color w:val="auto"/>
                <w:kern w:val="2"/>
                <w:sz w:val="24"/>
                <w:szCs w:val="24"/>
                <w:highlight w:val="none"/>
                <w:lang w:val="en-US" w:eastAsia="zh-CN" w:bidi="ar-SA"/>
              </w:rPr>
              <w:t>自查自纠方案：投标人应建立自查自纠工作机制（0-2分），对督查或自查发现的问题、居民投诉（0-2分）、媒体曝光（0-2分）。</w:t>
            </w:r>
          </w:p>
        </w:tc>
        <w:tc>
          <w:tcPr>
            <w:tcW w:w="7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bCs/>
                <w:color w:val="auto"/>
                <w:spacing w:val="4"/>
                <w:sz w:val="24"/>
                <w:szCs w:val="24"/>
                <w:highlight w:val="none"/>
              </w:rPr>
            </w:pPr>
            <w:r>
              <w:rPr>
                <w:rFonts w:hint="eastAsia" w:ascii="仿宋" w:hAnsi="仿宋" w:eastAsia="仿宋" w:cs="仿宋"/>
                <w:color w:val="auto"/>
                <w:kern w:val="0"/>
                <w:sz w:val="24"/>
                <w:szCs w:val="24"/>
                <w:highlight w:val="none"/>
                <w:lang w:val="en-US" w:eastAsia="zh-CN" w:bidi="ar-SA"/>
              </w:rPr>
              <w:t>6分</w:t>
            </w:r>
          </w:p>
        </w:tc>
        <w:tc>
          <w:tcPr>
            <w:tcW w:w="738" w:type="dxa"/>
            <w:shd w:val="clear" w:color="auto" w:fill="auto"/>
            <w:vAlign w:val="top"/>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698" w:type="dxa"/>
            <w:vMerge w:val="continue"/>
            <w:vAlign w:val="center"/>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c>
          <w:tcPr>
            <w:tcW w:w="1486" w:type="dxa"/>
            <w:vMerge w:val="continue"/>
            <w:shd w:val="clear" w:color="auto" w:fill="auto"/>
            <w:vAlign w:val="center"/>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c>
          <w:tcPr>
            <w:tcW w:w="5225" w:type="dxa"/>
            <w:shd w:val="clear" w:color="auto" w:fill="auto"/>
            <w:vAlign w:val="top"/>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仿宋" w:hAnsi="仿宋" w:eastAsia="仿宋" w:cs="仿宋"/>
                <w:bCs/>
                <w:color w:val="auto"/>
                <w:spacing w:val="4"/>
                <w:sz w:val="24"/>
                <w:szCs w:val="24"/>
                <w:highlight w:val="none"/>
              </w:rPr>
            </w:pPr>
            <w:r>
              <w:rPr>
                <w:rFonts w:hint="eastAsia" w:ascii="仿宋" w:hAnsi="仿宋" w:eastAsia="仿宋" w:cs="仿宋"/>
                <w:color w:val="auto"/>
                <w:kern w:val="2"/>
                <w:sz w:val="24"/>
                <w:szCs w:val="24"/>
                <w:highlight w:val="none"/>
                <w:lang w:val="en-US" w:eastAsia="zh-CN" w:bidi="ar-SA"/>
              </w:rPr>
              <w:t>根据投标人针对本项目智慧信息平台应用方案，包含</w:t>
            </w:r>
            <w:r>
              <w:rPr>
                <w:rFonts w:hint="eastAsia" w:ascii="仿宋" w:hAnsi="仿宋" w:eastAsia="仿宋" w:cs="仿宋"/>
                <w:b w:val="0"/>
                <w:bCs w:val="0"/>
                <w:color w:val="auto"/>
                <w:kern w:val="0"/>
                <w:sz w:val="24"/>
                <w:szCs w:val="24"/>
                <w:highlight w:val="none"/>
                <w:shd w:val="clear" w:color="auto" w:fill="FFFFFF"/>
                <w:lang w:val="en-US" w:eastAsia="zh-CN" w:bidi="ar"/>
              </w:rPr>
              <w:t>数据对接</w:t>
            </w:r>
            <w:r>
              <w:rPr>
                <w:rFonts w:hint="eastAsia" w:ascii="仿宋" w:hAnsi="仿宋" w:eastAsia="仿宋" w:cs="仿宋"/>
                <w:color w:val="auto"/>
                <w:kern w:val="2"/>
                <w:sz w:val="24"/>
                <w:szCs w:val="24"/>
                <w:highlight w:val="none"/>
                <w:lang w:val="en-US" w:eastAsia="zh-CN" w:bidi="ar-SA"/>
              </w:rPr>
              <w:t>（0-1分）</w:t>
            </w:r>
            <w:r>
              <w:rPr>
                <w:rFonts w:hint="eastAsia" w:ascii="仿宋" w:hAnsi="仿宋" w:eastAsia="仿宋" w:cs="仿宋"/>
                <w:b w:val="0"/>
                <w:bCs w:val="0"/>
                <w:color w:val="auto"/>
                <w:kern w:val="0"/>
                <w:sz w:val="24"/>
                <w:szCs w:val="24"/>
                <w:highlight w:val="none"/>
                <w:shd w:val="clear" w:color="auto" w:fill="FFFFFF"/>
                <w:lang w:val="en-US" w:eastAsia="zh-CN" w:bidi="ar"/>
              </w:rPr>
              <w:t>、上传日常运营小区居民的身份卡</w:t>
            </w:r>
            <w:r>
              <w:rPr>
                <w:rFonts w:hint="eastAsia" w:ascii="仿宋" w:hAnsi="仿宋" w:eastAsia="仿宋" w:cs="仿宋"/>
                <w:color w:val="auto"/>
                <w:kern w:val="2"/>
                <w:sz w:val="24"/>
                <w:szCs w:val="24"/>
                <w:highlight w:val="none"/>
                <w:lang w:val="en-US" w:eastAsia="zh-CN" w:bidi="ar-SA"/>
              </w:rPr>
              <w:t>（0-1分）</w:t>
            </w:r>
            <w:r>
              <w:rPr>
                <w:rFonts w:hint="eastAsia" w:ascii="仿宋" w:hAnsi="仿宋" w:eastAsia="仿宋" w:cs="仿宋"/>
                <w:b w:val="0"/>
                <w:bCs w:val="0"/>
                <w:color w:val="auto"/>
                <w:kern w:val="0"/>
                <w:sz w:val="24"/>
                <w:szCs w:val="24"/>
                <w:highlight w:val="none"/>
                <w:shd w:val="clear" w:color="auto" w:fill="FFFFFF"/>
                <w:lang w:val="en-US" w:eastAsia="zh-CN" w:bidi="ar"/>
              </w:rPr>
              <w:t>、投放垃圾量</w:t>
            </w:r>
            <w:r>
              <w:rPr>
                <w:rFonts w:hint="eastAsia" w:ascii="仿宋" w:hAnsi="仿宋" w:eastAsia="仿宋" w:cs="仿宋"/>
                <w:color w:val="auto"/>
                <w:kern w:val="2"/>
                <w:sz w:val="24"/>
                <w:szCs w:val="24"/>
                <w:highlight w:val="none"/>
                <w:lang w:val="en-US" w:eastAsia="zh-CN" w:bidi="ar-SA"/>
              </w:rPr>
              <w:t>（0-1分）</w:t>
            </w:r>
            <w:r>
              <w:rPr>
                <w:rFonts w:hint="eastAsia" w:ascii="仿宋" w:hAnsi="仿宋" w:eastAsia="仿宋" w:cs="仿宋"/>
                <w:b w:val="0"/>
                <w:bCs w:val="0"/>
                <w:color w:val="auto"/>
                <w:kern w:val="0"/>
                <w:sz w:val="24"/>
                <w:szCs w:val="24"/>
                <w:highlight w:val="none"/>
                <w:shd w:val="clear" w:color="auto" w:fill="FFFFFF"/>
                <w:lang w:val="en-US" w:eastAsia="zh-CN" w:bidi="ar"/>
              </w:rPr>
              <w:t>、视频画面监控</w:t>
            </w:r>
            <w:r>
              <w:rPr>
                <w:rFonts w:hint="eastAsia" w:ascii="仿宋" w:hAnsi="仿宋" w:eastAsia="仿宋" w:cs="仿宋"/>
                <w:color w:val="auto"/>
                <w:kern w:val="2"/>
                <w:sz w:val="24"/>
                <w:szCs w:val="24"/>
                <w:highlight w:val="none"/>
                <w:lang w:val="en-US" w:eastAsia="zh-CN" w:bidi="ar-SA"/>
              </w:rPr>
              <w:t>（0-1分）。</w:t>
            </w:r>
          </w:p>
        </w:tc>
        <w:tc>
          <w:tcPr>
            <w:tcW w:w="7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bCs/>
                <w:color w:val="auto"/>
                <w:spacing w:val="4"/>
                <w:sz w:val="24"/>
                <w:szCs w:val="24"/>
                <w:highlight w:val="none"/>
              </w:rPr>
            </w:pPr>
            <w:r>
              <w:rPr>
                <w:rFonts w:hint="eastAsia" w:ascii="仿宋" w:hAnsi="仿宋" w:eastAsia="仿宋" w:cs="仿宋"/>
                <w:color w:val="auto"/>
                <w:kern w:val="0"/>
                <w:sz w:val="24"/>
                <w:szCs w:val="24"/>
                <w:highlight w:val="none"/>
                <w:lang w:val="en-US" w:eastAsia="zh-CN" w:bidi="ar-SA"/>
              </w:rPr>
              <w:t>4分</w:t>
            </w:r>
          </w:p>
        </w:tc>
        <w:tc>
          <w:tcPr>
            <w:tcW w:w="738" w:type="dxa"/>
            <w:shd w:val="clear" w:color="auto" w:fill="auto"/>
            <w:vAlign w:val="top"/>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698" w:type="dxa"/>
            <w:vMerge w:val="continue"/>
            <w:vAlign w:val="center"/>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c>
          <w:tcPr>
            <w:tcW w:w="1486" w:type="dxa"/>
            <w:vMerge w:val="continue"/>
            <w:shd w:val="clear" w:color="auto" w:fill="auto"/>
            <w:vAlign w:val="center"/>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c>
          <w:tcPr>
            <w:tcW w:w="5225" w:type="dxa"/>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仿宋" w:hAnsi="仿宋" w:eastAsia="仿宋" w:cs="仿宋"/>
                <w:bCs/>
                <w:color w:val="auto"/>
                <w:spacing w:val="4"/>
                <w:sz w:val="24"/>
                <w:szCs w:val="24"/>
                <w:highlight w:val="none"/>
              </w:rPr>
            </w:pPr>
            <w:r>
              <w:rPr>
                <w:rFonts w:hint="eastAsia" w:ascii="仿宋" w:hAnsi="仿宋" w:eastAsia="仿宋" w:cs="仿宋"/>
                <w:color w:val="auto"/>
                <w:kern w:val="2"/>
                <w:sz w:val="24"/>
                <w:szCs w:val="24"/>
                <w:highlight w:val="none"/>
                <w:lang w:val="en-US" w:eastAsia="zh-CN" w:bidi="ar-SA"/>
              </w:rPr>
              <w:t>管理制度建设：根据投标人针对本项目的考核管理方案（含岗位责任制度、考核制度、文明作业、内部人员培训等）（0-1分）、工作纪律管理制度（0-1分）、稳定员工队伍制度（0-1分）、业务操作流程制度（0-1分）、安全文明制度（0-1分）。</w:t>
            </w:r>
          </w:p>
        </w:tc>
        <w:tc>
          <w:tcPr>
            <w:tcW w:w="7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Cs/>
                <w:color w:val="auto"/>
                <w:spacing w:val="4"/>
                <w:sz w:val="24"/>
                <w:szCs w:val="24"/>
                <w:highlight w:val="none"/>
              </w:rPr>
            </w:pPr>
            <w:r>
              <w:rPr>
                <w:rFonts w:hint="eastAsia" w:ascii="仿宋" w:hAnsi="仿宋" w:eastAsia="仿宋" w:cs="仿宋"/>
                <w:color w:val="auto"/>
                <w:kern w:val="0"/>
                <w:sz w:val="24"/>
                <w:szCs w:val="24"/>
                <w:highlight w:val="none"/>
                <w:lang w:val="en-US" w:eastAsia="zh-CN" w:bidi="ar-SA"/>
              </w:rPr>
              <w:t>5分</w:t>
            </w:r>
          </w:p>
        </w:tc>
        <w:tc>
          <w:tcPr>
            <w:tcW w:w="738" w:type="dxa"/>
            <w:shd w:val="clear" w:color="auto" w:fill="auto"/>
            <w:vAlign w:val="top"/>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698" w:type="dxa"/>
            <w:vMerge w:val="continue"/>
            <w:vAlign w:val="center"/>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c>
          <w:tcPr>
            <w:tcW w:w="1486" w:type="dxa"/>
            <w:vMerge w:val="continue"/>
            <w:shd w:val="clear" w:color="auto" w:fill="auto"/>
            <w:vAlign w:val="center"/>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c>
          <w:tcPr>
            <w:tcW w:w="5225" w:type="dxa"/>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仿宋" w:hAnsi="仿宋" w:eastAsia="仿宋" w:cs="仿宋"/>
                <w:bCs/>
                <w:color w:val="auto"/>
                <w:spacing w:val="4"/>
                <w:sz w:val="24"/>
                <w:szCs w:val="24"/>
                <w:highlight w:val="none"/>
              </w:rPr>
            </w:pPr>
            <w:r>
              <w:rPr>
                <w:rFonts w:hint="eastAsia" w:ascii="仿宋" w:hAnsi="仿宋" w:eastAsia="仿宋" w:cs="仿宋"/>
                <w:color w:val="auto"/>
                <w:kern w:val="2"/>
                <w:sz w:val="24"/>
                <w:szCs w:val="24"/>
                <w:highlight w:val="none"/>
                <w:lang w:val="en-US" w:eastAsia="zh-CN" w:bidi="ar-SA"/>
              </w:rPr>
              <w:t>督导员培训方案：投标人根据本项目特点制定专职督导员的培训方案。方案内容包括对督导员的选聘（年龄、学历、以往工作等）（0-1分）、分类督导方案（0-1分）、分类流程（0-1分）、配备工具（0-1分）。</w:t>
            </w:r>
          </w:p>
        </w:tc>
        <w:tc>
          <w:tcPr>
            <w:tcW w:w="7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bCs/>
                <w:color w:val="auto"/>
                <w:spacing w:val="4"/>
                <w:sz w:val="24"/>
                <w:szCs w:val="24"/>
                <w:highlight w:val="none"/>
              </w:rPr>
            </w:pPr>
            <w:r>
              <w:rPr>
                <w:rFonts w:hint="eastAsia" w:ascii="仿宋" w:hAnsi="仿宋" w:eastAsia="仿宋" w:cs="仿宋"/>
                <w:color w:val="auto"/>
                <w:kern w:val="0"/>
                <w:sz w:val="24"/>
                <w:szCs w:val="24"/>
                <w:highlight w:val="none"/>
                <w:lang w:val="en-US" w:eastAsia="zh-CN" w:bidi="ar-SA"/>
              </w:rPr>
              <w:t>4分</w:t>
            </w:r>
          </w:p>
        </w:tc>
        <w:tc>
          <w:tcPr>
            <w:tcW w:w="738" w:type="dxa"/>
            <w:shd w:val="clear" w:color="auto" w:fill="auto"/>
            <w:vAlign w:val="top"/>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98" w:type="dxa"/>
            <w:vAlign w:val="center"/>
          </w:tcPr>
          <w:p>
            <w:pPr>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1486" w:type="dxa"/>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color w:val="auto"/>
                <w:spacing w:val="4"/>
                <w:sz w:val="24"/>
                <w:szCs w:val="24"/>
                <w:highlight w:val="none"/>
                <w:lang w:eastAsia="zh-CN"/>
              </w:rPr>
            </w:pPr>
            <w:r>
              <w:rPr>
                <w:rFonts w:hint="eastAsia" w:ascii="仿宋" w:hAnsi="仿宋" w:eastAsia="仿宋" w:cs="仿宋"/>
                <w:color w:val="auto"/>
                <w:kern w:val="2"/>
                <w:sz w:val="24"/>
                <w:szCs w:val="24"/>
                <w:highlight w:val="none"/>
                <w:lang w:val="en-US" w:eastAsia="zh-CN" w:bidi="ar-SA"/>
              </w:rPr>
              <w:t>突发问题的处理方案</w:t>
            </w:r>
          </w:p>
        </w:tc>
        <w:tc>
          <w:tcPr>
            <w:tcW w:w="5225" w:type="dxa"/>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仿宋" w:hAnsi="仿宋" w:eastAsia="仿宋" w:cs="仿宋"/>
                <w:bCs/>
                <w:color w:val="auto"/>
                <w:spacing w:val="4"/>
                <w:sz w:val="24"/>
                <w:szCs w:val="24"/>
                <w:highlight w:val="none"/>
              </w:rPr>
            </w:pPr>
            <w:r>
              <w:rPr>
                <w:rFonts w:hint="eastAsia" w:ascii="仿宋" w:hAnsi="仿宋" w:eastAsia="仿宋" w:cs="仿宋"/>
                <w:color w:val="auto"/>
                <w:kern w:val="2"/>
                <w:sz w:val="24"/>
                <w:szCs w:val="24"/>
                <w:highlight w:val="none"/>
                <w:lang w:val="en-US" w:eastAsia="zh-CN" w:bidi="ar-SA"/>
              </w:rPr>
              <w:t>根据投标人提供的针对突发问题的处理方案（包含恶劣天气影响（0-2分），自然灾害及政府性重大活动（0-2分），重大节假日等特殊情况制定应急处置方案（0-1分），人员、物资安排等方案（0-1分）。</w:t>
            </w:r>
          </w:p>
        </w:tc>
        <w:tc>
          <w:tcPr>
            <w:tcW w:w="7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bCs/>
                <w:color w:val="auto"/>
                <w:spacing w:val="4"/>
                <w:sz w:val="24"/>
                <w:szCs w:val="24"/>
                <w:highlight w:val="none"/>
              </w:rPr>
            </w:pPr>
            <w:r>
              <w:rPr>
                <w:rFonts w:hint="eastAsia" w:ascii="仿宋" w:hAnsi="仿宋" w:eastAsia="仿宋" w:cs="仿宋"/>
                <w:color w:val="auto"/>
                <w:kern w:val="0"/>
                <w:sz w:val="24"/>
                <w:szCs w:val="24"/>
                <w:highlight w:val="none"/>
                <w:lang w:val="en-US" w:eastAsia="zh-CN" w:bidi="ar-SA"/>
              </w:rPr>
              <w:t>6分</w:t>
            </w:r>
          </w:p>
        </w:tc>
        <w:tc>
          <w:tcPr>
            <w:tcW w:w="738" w:type="dxa"/>
            <w:shd w:val="clear" w:color="auto" w:fill="auto"/>
            <w:vAlign w:val="top"/>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98" w:type="dxa"/>
            <w:vAlign w:val="center"/>
          </w:tcPr>
          <w:p>
            <w:pPr>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1486" w:type="dxa"/>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color w:val="auto"/>
                <w:spacing w:val="4"/>
                <w:sz w:val="24"/>
                <w:szCs w:val="24"/>
                <w:highlight w:val="none"/>
              </w:rPr>
            </w:pPr>
            <w:r>
              <w:rPr>
                <w:rFonts w:hint="eastAsia" w:ascii="仿宋" w:hAnsi="仿宋" w:eastAsia="仿宋" w:cs="仿宋"/>
                <w:color w:val="auto"/>
                <w:kern w:val="2"/>
                <w:sz w:val="24"/>
                <w:szCs w:val="24"/>
                <w:highlight w:val="none"/>
                <w:lang w:val="en-US" w:eastAsia="zh-CN" w:bidi="ar-SA"/>
              </w:rPr>
              <w:t>合理化建议和改进措施</w:t>
            </w:r>
          </w:p>
        </w:tc>
        <w:tc>
          <w:tcPr>
            <w:tcW w:w="5225" w:type="dxa"/>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仿宋" w:hAnsi="仿宋" w:eastAsia="仿宋" w:cs="仿宋"/>
                <w:bCs/>
                <w:color w:val="auto"/>
                <w:spacing w:val="4"/>
                <w:sz w:val="24"/>
                <w:szCs w:val="24"/>
                <w:highlight w:val="none"/>
              </w:rPr>
            </w:pPr>
            <w:r>
              <w:rPr>
                <w:rFonts w:hint="eastAsia" w:ascii="仿宋" w:hAnsi="仿宋" w:eastAsia="仿宋" w:cs="仿宋"/>
                <w:color w:val="auto"/>
                <w:sz w:val="24"/>
                <w:szCs w:val="24"/>
                <w:highlight w:val="none"/>
              </w:rPr>
              <w:t>根据</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合理化建议和改进措施的科学性、合理性给分进行</w:t>
            </w:r>
            <w:r>
              <w:rPr>
                <w:rFonts w:hint="eastAsia" w:ascii="仿宋" w:hAnsi="仿宋" w:eastAsia="仿宋" w:cs="仿宋"/>
                <w:color w:val="auto"/>
                <w:sz w:val="24"/>
                <w:szCs w:val="24"/>
                <w:highlight w:val="none"/>
                <w:lang w:eastAsia="zh-CN"/>
              </w:rPr>
              <w:t>打</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0-3分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tc>
        <w:tc>
          <w:tcPr>
            <w:tcW w:w="7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bCs/>
                <w:color w:val="auto"/>
                <w:spacing w:val="4"/>
                <w:sz w:val="24"/>
                <w:szCs w:val="24"/>
                <w:highlight w:val="none"/>
              </w:rPr>
            </w:pPr>
            <w:r>
              <w:rPr>
                <w:rFonts w:hint="eastAsia" w:ascii="仿宋" w:hAnsi="仿宋" w:eastAsia="仿宋" w:cs="仿宋"/>
                <w:color w:val="auto"/>
                <w:kern w:val="0"/>
                <w:sz w:val="24"/>
                <w:szCs w:val="24"/>
                <w:highlight w:val="none"/>
                <w:lang w:val="en-US" w:eastAsia="zh-CN" w:bidi="ar-SA"/>
              </w:rPr>
              <w:t>3分</w:t>
            </w:r>
          </w:p>
        </w:tc>
        <w:tc>
          <w:tcPr>
            <w:tcW w:w="738" w:type="dxa"/>
            <w:shd w:val="clear" w:color="auto" w:fill="auto"/>
            <w:vAlign w:val="top"/>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98" w:type="dxa"/>
            <w:vMerge w:val="restart"/>
            <w:vAlign w:val="center"/>
          </w:tcPr>
          <w:p>
            <w:pPr>
              <w:adjustRightInd/>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486" w:type="dxa"/>
            <w:vMerge w:val="restart"/>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售后服务</w:t>
            </w:r>
          </w:p>
        </w:tc>
        <w:tc>
          <w:tcPr>
            <w:tcW w:w="5225" w:type="dxa"/>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投标人</w:t>
            </w:r>
            <w:r>
              <w:rPr>
                <w:rFonts w:hint="eastAsia" w:ascii="仿宋" w:hAnsi="仿宋" w:eastAsia="仿宋" w:cs="仿宋"/>
                <w:color w:val="auto"/>
                <w:sz w:val="24"/>
                <w:szCs w:val="24"/>
                <w:highlight w:val="none"/>
                <w:lang w:eastAsia="zh-CN"/>
              </w:rPr>
              <w:t>是嵊州市本地企业或</w:t>
            </w:r>
            <w:r>
              <w:rPr>
                <w:rFonts w:hint="eastAsia" w:ascii="仿宋" w:hAnsi="仿宋" w:eastAsia="仿宋" w:cs="仿宋"/>
                <w:color w:val="auto"/>
                <w:sz w:val="24"/>
                <w:szCs w:val="24"/>
                <w:highlight w:val="none"/>
              </w:rPr>
              <w:t>承诺在本项目中标后在嵊州当地设立售后服务机构</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lang w:val="en-US" w:eastAsia="zh-CN"/>
              </w:rPr>
              <w:t>得1分。</w:t>
            </w:r>
          </w:p>
        </w:tc>
        <w:tc>
          <w:tcPr>
            <w:tcW w:w="7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1分</w:t>
            </w:r>
          </w:p>
        </w:tc>
        <w:tc>
          <w:tcPr>
            <w:tcW w:w="738" w:type="dxa"/>
            <w:shd w:val="clear" w:color="auto" w:fill="auto"/>
            <w:vAlign w:val="top"/>
          </w:tcPr>
          <w:p>
            <w:pPr>
              <w:widowControl/>
              <w:snapToGrid w:val="0"/>
              <w:spacing w:line="240" w:lineRule="auto"/>
              <w:jc w:val="left"/>
              <w:textAlignment w:val="center"/>
              <w:rPr>
                <w:rFonts w:hint="eastAsia"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98" w:type="dxa"/>
            <w:vMerge w:val="continue"/>
            <w:vAlign w:val="center"/>
          </w:tcPr>
          <w:p>
            <w:pPr>
              <w:adjustRightInd/>
              <w:spacing w:line="240" w:lineRule="auto"/>
              <w:jc w:val="center"/>
              <w:rPr>
                <w:rFonts w:hint="eastAsia" w:ascii="仿宋" w:hAnsi="仿宋" w:eastAsia="仿宋" w:cs="仿宋"/>
                <w:color w:val="auto"/>
                <w:sz w:val="24"/>
                <w:szCs w:val="24"/>
                <w:highlight w:val="none"/>
                <w:lang w:val="en-US" w:eastAsia="zh-CN"/>
              </w:rPr>
            </w:pPr>
          </w:p>
        </w:tc>
        <w:tc>
          <w:tcPr>
            <w:tcW w:w="1486" w:type="dxa"/>
            <w:vMerge w:val="continue"/>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Cs/>
                <w:color w:val="auto"/>
                <w:spacing w:val="4"/>
                <w:sz w:val="24"/>
                <w:szCs w:val="24"/>
                <w:highlight w:val="none"/>
                <w:lang w:val="en-US" w:eastAsia="zh-CN"/>
              </w:rPr>
            </w:pPr>
          </w:p>
        </w:tc>
        <w:tc>
          <w:tcPr>
            <w:tcW w:w="5225" w:type="dxa"/>
            <w:shd w:val="clear" w:color="auto" w:fill="auto"/>
            <w:vAlign w:val="center"/>
          </w:tcPr>
          <w:p>
            <w:pPr>
              <w:pStyle w:val="8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u w:val="none"/>
                <w:lang w:val="en-US" w:eastAsia="zh-CN"/>
              </w:rPr>
              <w:t>对本项目现场紧急情况进行立即响应的</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tc>
        <w:tc>
          <w:tcPr>
            <w:tcW w:w="76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kern w:val="0"/>
                <w:sz w:val="24"/>
                <w:szCs w:val="24"/>
                <w:highlight w:val="none"/>
                <w:lang w:val="en-US" w:eastAsia="zh-CN" w:bidi="ar-SA"/>
              </w:rPr>
              <w:t>1分</w:t>
            </w:r>
          </w:p>
        </w:tc>
        <w:tc>
          <w:tcPr>
            <w:tcW w:w="738" w:type="dxa"/>
            <w:shd w:val="clear" w:color="auto" w:fill="auto"/>
            <w:vAlign w:val="top"/>
          </w:tcPr>
          <w:p>
            <w:pPr>
              <w:spacing w:line="240" w:lineRule="auto"/>
              <w:jc w:val="left"/>
              <w:rPr>
                <w:rFonts w:hint="eastAsia" w:ascii="仿宋" w:hAnsi="仿宋" w:eastAsia="仿宋" w:cs="仿宋"/>
                <w:color w:val="auto"/>
                <w:sz w:val="24"/>
                <w:szCs w:val="24"/>
                <w:highlight w:val="none"/>
              </w:rPr>
            </w:pPr>
          </w:p>
        </w:tc>
      </w:tr>
    </w:tbl>
    <w:p>
      <w:pPr>
        <w:snapToGrid w:val="0"/>
        <w:spacing w:line="360" w:lineRule="auto"/>
        <w:rPr>
          <w:rFonts w:hint="eastAsia" w:ascii="仿宋" w:hAnsi="仿宋" w:eastAsia="仿宋" w:cs="仿宋_GB2312"/>
          <w:b/>
          <w:color w:val="auto"/>
          <w:sz w:val="24"/>
          <w:highlight w:val="none"/>
        </w:rPr>
      </w:pPr>
    </w:p>
    <w:p>
      <w:pPr>
        <w:snapToGrid w:val="0"/>
        <w:spacing w:line="360" w:lineRule="auto"/>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snapToGrid w:val="0"/>
        <w:spacing w:line="360" w:lineRule="auto"/>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2.价格分（30分）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1.有效投标报价的最低价作为评标基准价，其最低报价为满分；按［投标报价得分=（评标基准价/投标报价）*</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0］的计算公式计算。</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_GB2312" w:hAnsi="仿宋" w:eastAsia="仿宋_GB2312" w:cs="仿宋_GB2312"/>
          <w:b/>
          <w:color w:val="auto"/>
          <w:sz w:val="32"/>
          <w:highlight w:val="none"/>
        </w:rPr>
      </w:pP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因落实政府采购政策需要进行价格调整的，以调整后的价格计算评标基准价和投标报价。</w:t>
      </w:r>
    </w:p>
    <w:p>
      <w:pP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27"/>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2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2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2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2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2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2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27"/>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9"/>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4"/>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9"/>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9"/>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9"/>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9"/>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9"/>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9"/>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9"/>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9"/>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9"/>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9"/>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7.2已确定中标或者中标人但尚未签订政府采购合同的，中标或者成交结果无效；重新开展政府采购活动。</w:t>
      </w:r>
    </w:p>
    <w:p>
      <w:pPr>
        <w:pStyle w:val="9"/>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9"/>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9"/>
        <w:snapToGrid w:val="0"/>
        <w:spacing w:line="360" w:lineRule="auto"/>
        <w:rPr>
          <w:rFonts w:hint="eastAsia"/>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spacing w:line="360" w:lineRule="auto"/>
        <w:ind w:left="720" w:leftChars="343" w:firstLine="1084" w:firstLineChars="300"/>
        <w:outlineLvl w:val="0"/>
        <w:rPr>
          <w:rFonts w:hint="eastAsia"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楷体" w:hAnsi="楷体" w:eastAsia="楷体"/>
          <w:b/>
          <w:color w:val="auto"/>
          <w:sz w:val="28"/>
          <w:szCs w:val="28"/>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pStyle w:val="30"/>
        <w:rPr>
          <w:rFonts w:ascii="仿宋" w:hAnsi="仿宋" w:eastAsia="仿宋"/>
          <w:color w:val="auto"/>
          <w:szCs w:val="24"/>
          <w:highlight w:val="none"/>
        </w:rPr>
      </w:pPr>
    </w:p>
    <w:p>
      <w:pPr>
        <w:pStyle w:val="30"/>
        <w:rPr>
          <w:rFonts w:ascii="仿宋" w:hAnsi="仿宋" w:eastAsia="仿宋"/>
          <w:color w:val="auto"/>
          <w:szCs w:val="24"/>
          <w:highlight w:val="none"/>
        </w:rPr>
      </w:pPr>
    </w:p>
    <w:p>
      <w:pPr>
        <w:pStyle w:val="30"/>
        <w:ind w:left="0" w:leftChars="0" w:firstLine="0" w:firstLineChars="0"/>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ascii="仿宋" w:hAnsi="仿宋" w:eastAsia="仿宋"/>
          <w:color w:val="auto"/>
          <w:sz w:val="24"/>
          <w:highlight w:val="none"/>
          <w:u w:val="single"/>
        </w:rPr>
        <w:t xml:space="preserve">                                   </w:t>
      </w:r>
    </w:p>
    <w:p>
      <w:pPr>
        <w:pStyle w:val="31"/>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pacing w:before="120" w:line="22" w:lineRule="atLeast"/>
        <w:rPr>
          <w:rFonts w:hint="eastAsia"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jc w:val="left"/>
        <w:rPr>
          <w:rFonts w:ascii="仿宋" w:hAnsi="仿宋" w:eastAsia="仿宋"/>
          <w:color w:val="auto"/>
          <w:kern w:val="0"/>
          <w:sz w:val="24"/>
          <w:highlight w:val="none"/>
        </w:rPr>
        <w:sectPr>
          <w:footerReference r:id="rId3" w:type="default"/>
          <w:pgSz w:w="11907" w:h="16840"/>
          <w:pgMar w:top="1474" w:right="1814" w:bottom="1474" w:left="1814" w:header="851" w:footer="851" w:gutter="0"/>
          <w:pgNumType w:start="1"/>
          <w:cols w:space="720" w:num="1"/>
        </w:sectPr>
      </w:pPr>
    </w:p>
    <w:p>
      <w:pPr>
        <w:pStyle w:val="17"/>
        <w:rPr>
          <w:rFonts w:hint="eastAsia" w:ascii="仿宋" w:hAnsi="仿宋" w:eastAsia="仿宋" w:cs="仿宋"/>
          <w:color w:val="auto"/>
          <w:sz w:val="32"/>
          <w:szCs w:val="22"/>
          <w:highlight w:val="none"/>
          <w:lang w:eastAsia="zh-CN"/>
        </w:rPr>
      </w:pPr>
      <w:r>
        <w:rPr>
          <w:rFonts w:hint="eastAsia" w:ascii="仿宋" w:hAnsi="仿宋" w:eastAsia="仿宋" w:cs="仿宋"/>
          <w:color w:val="auto"/>
          <w:sz w:val="32"/>
          <w:szCs w:val="22"/>
          <w:highlight w:val="none"/>
          <w:lang w:eastAsia="zh-CN"/>
        </w:rPr>
        <w:t>合同书</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甲方（采购人）：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乙方（供应商）：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甲</w:t>
      </w:r>
      <w:r>
        <w:rPr>
          <w:rFonts w:hint="eastAsia" w:ascii="仿宋" w:eastAsia="仿宋"/>
          <w:color w:val="auto"/>
          <w:kern w:val="0"/>
          <w:sz w:val="24"/>
          <w:highlight w:val="none"/>
          <w:lang w:eastAsia="zh-CN"/>
        </w:rPr>
        <w:t>、</w:t>
      </w:r>
      <w:r>
        <w:rPr>
          <w:rFonts w:hint="eastAsia" w:ascii="仿宋" w:eastAsia="仿宋"/>
          <w:color w:val="auto"/>
          <w:kern w:val="0"/>
          <w:sz w:val="24"/>
          <w:highlight w:val="none"/>
        </w:rPr>
        <w:t>乙</w:t>
      </w:r>
      <w:r>
        <w:rPr>
          <w:rFonts w:hint="eastAsia" w:ascii="仿宋" w:eastAsia="仿宋"/>
          <w:color w:val="auto"/>
          <w:kern w:val="0"/>
          <w:sz w:val="24"/>
          <w:highlight w:val="none"/>
          <w:lang w:eastAsia="zh-CN"/>
        </w:rPr>
        <w:t>双</w:t>
      </w:r>
      <w:r>
        <w:rPr>
          <w:rFonts w:hint="eastAsia" w:ascii="仿宋" w:eastAsia="仿宋"/>
          <w:color w:val="auto"/>
          <w:kern w:val="0"/>
          <w:sz w:val="24"/>
          <w:highlight w:val="none"/>
        </w:rPr>
        <w:t>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rPr>
        <w:t>项目编号为的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rPr>
        <w:t>项目的政府采购交易结果，签署本合同。</w:t>
      </w:r>
    </w:p>
    <w:p>
      <w:pPr>
        <w:keepNext w:val="0"/>
        <w:keepLines w:val="0"/>
        <w:pageBreakBefore w:val="0"/>
        <w:widowControl/>
        <w:numPr>
          <w:ilvl w:val="0"/>
          <w:numId w:val="0"/>
        </w:numPr>
        <w:kinsoku/>
        <w:wordWrap/>
        <w:overflowPunct/>
        <w:topLinePunct w:val="0"/>
        <w:bidi w:val="0"/>
        <w:adjustRightInd w:val="0"/>
        <w:snapToGrid w:val="0"/>
        <w:spacing w:line="360" w:lineRule="auto"/>
        <w:ind w:left="0" w:leftChars="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bidi="ar-SA"/>
        </w:rPr>
        <w:t>一、</w:t>
      </w:r>
      <w:r>
        <w:rPr>
          <w:rFonts w:hint="eastAsia" w:ascii="仿宋" w:hAnsi="仿宋" w:eastAsia="仿宋" w:cs="仿宋"/>
          <w:b/>
          <w:bCs/>
          <w:color w:val="auto"/>
          <w:kern w:val="0"/>
          <w:sz w:val="24"/>
          <w:szCs w:val="24"/>
          <w:highlight w:val="none"/>
        </w:rPr>
        <w:t>服务内容及标准</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（按采购需求及投标文件的内容填写）</w:t>
      </w:r>
    </w:p>
    <w:p>
      <w:pPr>
        <w:keepNext w:val="0"/>
        <w:keepLines w:val="0"/>
        <w:pageBreakBefore w:val="0"/>
        <w:widowControl/>
        <w:numPr>
          <w:ilvl w:val="0"/>
          <w:numId w:val="0"/>
        </w:numPr>
        <w:kinsoku/>
        <w:wordWrap/>
        <w:overflowPunct/>
        <w:topLinePunct w:val="0"/>
        <w:bidi w:val="0"/>
        <w:adjustRightInd w:val="0"/>
        <w:snapToGrid w:val="0"/>
        <w:spacing w:line="360" w:lineRule="auto"/>
        <w:ind w:left="0" w:leftChars="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bidi="ar-SA"/>
        </w:rPr>
        <w:t>二、</w:t>
      </w:r>
      <w:r>
        <w:rPr>
          <w:rFonts w:hint="eastAsia" w:ascii="仿宋" w:hAnsi="仿宋" w:eastAsia="仿宋" w:cs="仿宋"/>
          <w:b/>
          <w:bCs/>
          <w:color w:val="auto"/>
          <w:kern w:val="0"/>
          <w:sz w:val="24"/>
          <w:szCs w:val="24"/>
          <w:highlight w:val="none"/>
        </w:rPr>
        <w:t>服务价格</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（有服务分项的，需报分项价格和总价）</w:t>
      </w:r>
    </w:p>
    <w:p>
      <w:pPr>
        <w:keepNext w:val="0"/>
        <w:keepLines w:val="0"/>
        <w:pageBreakBefore w:val="0"/>
        <w:widowControl/>
        <w:kinsoku/>
        <w:wordWrap/>
        <w:overflowPunct/>
        <w:topLinePunct w:val="0"/>
        <w:bidi w:val="0"/>
        <w:adjustRightInd w:val="0"/>
        <w:snapToGrid w:val="0"/>
        <w:spacing w:line="360" w:lineRule="auto"/>
        <w:ind w:left="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三、技术资料</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1.乙方应按采购文件规定的时间向甲方提供与本项目有关的技术资料。</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kinsoku/>
        <w:wordWrap/>
        <w:overflowPunct/>
        <w:topLinePunct w:val="0"/>
        <w:bidi w:val="0"/>
        <w:adjustRightInd w:val="0"/>
        <w:snapToGrid w:val="0"/>
        <w:spacing w:line="360" w:lineRule="auto"/>
        <w:ind w:left="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四、知识产权</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1、乙方应保证所提供的货物与服务均不会侵犯任何第三方的知识产权。</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2、乙方保证所交付的服务的所有权完全属于乙方且无任何抵押、查封等产权瑕疵。</w:t>
      </w:r>
    </w:p>
    <w:p>
      <w:pPr>
        <w:keepNext w:val="0"/>
        <w:keepLines w:val="0"/>
        <w:pageBreakBefore w:val="0"/>
        <w:widowControl/>
        <w:kinsoku/>
        <w:wordWrap/>
        <w:overflowPunct/>
        <w:topLinePunct w:val="0"/>
        <w:bidi w:val="0"/>
        <w:adjustRightInd w:val="0"/>
        <w:snapToGrid w:val="0"/>
        <w:spacing w:line="360" w:lineRule="auto"/>
        <w:ind w:left="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五、转包或分包</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不允许转包。</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不允许分包。</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如乙方将项目转包或将不允许分包部分进行了分包，甲方有权解除合同，没收履约保证金并追究乙方的违约责任。</w:t>
      </w:r>
    </w:p>
    <w:p>
      <w:pPr>
        <w:keepNext w:val="0"/>
        <w:keepLines w:val="0"/>
        <w:pageBreakBefore w:val="0"/>
        <w:widowControl/>
        <w:kinsoku/>
        <w:wordWrap/>
        <w:overflowPunct/>
        <w:topLinePunct w:val="0"/>
        <w:bidi w:val="0"/>
        <w:adjustRightInd w:val="0"/>
        <w:snapToGrid w:val="0"/>
        <w:spacing w:line="360" w:lineRule="auto"/>
        <w:ind w:left="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六、履约保证金</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1.履约保证金：</w:t>
      </w:r>
    </w:p>
    <w:p>
      <w:pPr>
        <w:keepNext w:val="0"/>
        <w:keepLines w:val="0"/>
        <w:pageBreakBefore w:val="0"/>
        <w:widowControl/>
        <w:kinsoku/>
        <w:wordWrap/>
        <w:overflowPunct/>
        <w:topLinePunct w:val="0"/>
        <w:bidi w:val="0"/>
        <w:adjustRightInd w:val="0"/>
        <w:snapToGrid w:val="0"/>
        <w:spacing w:line="360" w:lineRule="auto"/>
        <w:ind w:left="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七、项目服务期限及实施地点</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1.服务期限：</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2.实施地点：</w:t>
      </w:r>
    </w:p>
    <w:p>
      <w:pPr>
        <w:keepNext w:val="0"/>
        <w:keepLines w:val="0"/>
        <w:pageBreakBefore w:val="0"/>
        <w:widowControl/>
        <w:kinsoku/>
        <w:wordWrap/>
        <w:overflowPunct/>
        <w:topLinePunct w:val="0"/>
        <w:bidi w:val="0"/>
        <w:adjustRightInd w:val="0"/>
        <w:snapToGrid w:val="0"/>
        <w:spacing w:line="360" w:lineRule="auto"/>
        <w:ind w:left="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八、付款</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付款方式：</w:t>
      </w:r>
    </w:p>
    <w:p>
      <w:pPr>
        <w:keepNext w:val="0"/>
        <w:keepLines w:val="0"/>
        <w:pageBreakBefore w:val="0"/>
        <w:widowControl/>
        <w:numPr>
          <w:ilvl w:val="0"/>
          <w:numId w:val="0"/>
        </w:numPr>
        <w:kinsoku/>
        <w:wordWrap/>
        <w:overflowPunct/>
        <w:topLinePunct w:val="0"/>
        <w:bidi w:val="0"/>
        <w:adjustRightInd w:val="0"/>
        <w:snapToGrid w:val="0"/>
        <w:spacing w:line="360" w:lineRule="auto"/>
        <w:ind w:left="0" w:leftChars="0" w:firstLine="482" w:firstLineChars="200"/>
        <w:textAlignment w:val="auto"/>
        <w:rPr>
          <w:rFonts w:hint="eastAsia"/>
          <w:color w:val="auto"/>
          <w:highlight w:val="none"/>
          <w:lang w:eastAsia="zh-CN"/>
        </w:rPr>
      </w:pPr>
      <w:r>
        <w:rPr>
          <w:rFonts w:hint="eastAsia" w:ascii="仿宋" w:hAnsi="仿宋" w:eastAsia="仿宋" w:cs="仿宋"/>
          <w:b/>
          <w:bCs/>
          <w:color w:val="auto"/>
          <w:kern w:val="0"/>
          <w:sz w:val="24"/>
          <w:szCs w:val="24"/>
          <w:highlight w:val="none"/>
          <w:lang w:val="en-US" w:eastAsia="zh-CN"/>
        </w:rPr>
        <w:t>九、</w:t>
      </w:r>
      <w:r>
        <w:rPr>
          <w:rFonts w:hint="eastAsia" w:ascii="仿宋" w:hAnsi="仿宋" w:eastAsia="仿宋" w:cs="仿宋"/>
          <w:b/>
          <w:bCs/>
          <w:color w:val="auto"/>
          <w:kern w:val="0"/>
          <w:sz w:val="24"/>
          <w:szCs w:val="24"/>
          <w:highlight w:val="none"/>
          <w:lang w:eastAsia="zh-CN"/>
        </w:rPr>
        <w:t>基本要求及考核</w:t>
      </w:r>
    </w:p>
    <w:p>
      <w:pPr>
        <w:keepNext w:val="0"/>
        <w:keepLines w:val="0"/>
        <w:pageBreakBefore w:val="0"/>
        <w:widowControl/>
        <w:kinsoku/>
        <w:wordWrap/>
        <w:overflowPunct/>
        <w:topLinePunct w:val="0"/>
        <w:bidi w:val="0"/>
        <w:adjustRightInd w:val="0"/>
        <w:snapToGrid w:val="0"/>
        <w:spacing w:line="360" w:lineRule="auto"/>
        <w:ind w:left="0" w:firstLine="482" w:firstLineChars="200"/>
        <w:textAlignment w:val="auto"/>
        <w:rPr>
          <w:rFonts w:hint="eastAsia" w:ascii="仿宋" w:hAnsi="仿宋" w:eastAsia="仿宋" w:cs="仿宋"/>
          <w:b/>
          <w:bCs/>
          <w:color w:val="auto"/>
          <w:kern w:val="0"/>
          <w:sz w:val="24"/>
          <w:szCs w:val="24"/>
          <w:highlight w:val="none"/>
          <w:lang w:eastAsia="zh-CN"/>
        </w:rPr>
      </w:pPr>
    </w:p>
    <w:p>
      <w:pPr>
        <w:keepNext w:val="0"/>
        <w:keepLines w:val="0"/>
        <w:pageBreakBefore w:val="0"/>
        <w:widowControl/>
        <w:kinsoku/>
        <w:wordWrap/>
        <w:overflowPunct/>
        <w:topLinePunct w:val="0"/>
        <w:bidi w:val="0"/>
        <w:adjustRightInd w:val="0"/>
        <w:snapToGrid w:val="0"/>
        <w:spacing w:line="360" w:lineRule="auto"/>
        <w:ind w:left="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eastAsia="zh-CN"/>
        </w:rPr>
        <w:t>十</w:t>
      </w:r>
      <w:r>
        <w:rPr>
          <w:rFonts w:hint="eastAsia" w:ascii="仿宋" w:hAnsi="仿宋" w:eastAsia="仿宋" w:cs="仿宋"/>
          <w:b/>
          <w:bCs/>
          <w:color w:val="auto"/>
          <w:kern w:val="0"/>
          <w:sz w:val="24"/>
          <w:szCs w:val="24"/>
          <w:highlight w:val="none"/>
        </w:rPr>
        <w:t>、税费</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本合同执行中相关的一切税费均由乙方负担。</w:t>
      </w:r>
    </w:p>
    <w:p>
      <w:pPr>
        <w:keepNext w:val="0"/>
        <w:keepLines w:val="0"/>
        <w:pageBreakBefore w:val="0"/>
        <w:widowControl/>
        <w:kinsoku/>
        <w:wordWrap/>
        <w:overflowPunct/>
        <w:topLinePunct w:val="0"/>
        <w:bidi w:val="0"/>
        <w:adjustRightInd w:val="0"/>
        <w:snapToGrid w:val="0"/>
        <w:spacing w:line="360" w:lineRule="auto"/>
        <w:ind w:left="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w:t>
      </w:r>
      <w:r>
        <w:rPr>
          <w:rFonts w:hint="eastAsia" w:ascii="仿宋" w:hAnsi="仿宋" w:eastAsia="仿宋" w:cs="仿宋"/>
          <w:b/>
          <w:bCs/>
          <w:color w:val="auto"/>
          <w:kern w:val="0"/>
          <w:sz w:val="24"/>
          <w:szCs w:val="24"/>
          <w:highlight w:val="none"/>
          <w:lang w:eastAsia="zh-CN"/>
        </w:rPr>
        <w:t>一</w:t>
      </w:r>
      <w:r>
        <w:rPr>
          <w:rFonts w:hint="eastAsia" w:ascii="仿宋" w:hAnsi="仿宋" w:eastAsia="仿宋" w:cs="仿宋"/>
          <w:b/>
          <w:bCs/>
          <w:color w:val="auto"/>
          <w:kern w:val="0"/>
          <w:sz w:val="24"/>
          <w:szCs w:val="24"/>
          <w:highlight w:val="none"/>
        </w:rPr>
        <w:t>、违约责任</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1.甲方无正当理由拒绝验收项目的，甲方向乙方偿付拒收合同总价的百分之五违约金。</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2.甲方无故逾期验收和办理合同款项支付手续的,甲方应按逾期付款总额每日万分之五向乙方支付违约金。</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4.乙方所履行的服务质量或服务数量不符合合同规定及采购文件规定的，甲方有权中止接受服务，单方面解除合同，且相关损失由乙方承担。</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5.乙方单方面解除合同的（不可抗力事件造成的除外），除履约保证金归甲方所有外，乙方再向甲方支付合同总值5%的违约金。</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6.解除合同应按《浙江省合同管理办法》向财政备案。</w:t>
      </w:r>
    </w:p>
    <w:p>
      <w:pPr>
        <w:keepNext w:val="0"/>
        <w:keepLines w:val="0"/>
        <w:pageBreakBefore w:val="0"/>
        <w:widowControl/>
        <w:kinsoku/>
        <w:wordWrap/>
        <w:overflowPunct/>
        <w:topLinePunct w:val="0"/>
        <w:bidi w:val="0"/>
        <w:adjustRightInd w:val="0"/>
        <w:snapToGrid w:val="0"/>
        <w:spacing w:line="360" w:lineRule="auto"/>
        <w:ind w:left="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w:t>
      </w:r>
      <w:r>
        <w:rPr>
          <w:rFonts w:hint="eastAsia" w:ascii="仿宋" w:hAnsi="仿宋" w:eastAsia="仿宋" w:cs="仿宋"/>
          <w:b/>
          <w:bCs/>
          <w:color w:val="auto"/>
          <w:kern w:val="0"/>
          <w:sz w:val="24"/>
          <w:szCs w:val="24"/>
          <w:highlight w:val="none"/>
          <w:lang w:eastAsia="zh-CN"/>
        </w:rPr>
        <w:t>二</w:t>
      </w:r>
      <w:r>
        <w:rPr>
          <w:rFonts w:hint="eastAsia" w:ascii="仿宋" w:hAnsi="仿宋" w:eastAsia="仿宋" w:cs="仿宋"/>
          <w:b/>
          <w:bCs/>
          <w:color w:val="auto"/>
          <w:kern w:val="0"/>
          <w:sz w:val="24"/>
          <w:szCs w:val="24"/>
          <w:highlight w:val="none"/>
        </w:rPr>
        <w:t>、不可抗力事件处理</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1.在合同有效期内，任何一方因不可抗力事件导致不能履行合同，则合同履行期可延长，其延长期与不可抗力影响期相同。</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2.不可抗力事件发生后，应立即通知对方，并寄送有关权威机构出具的证明。</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3.不可抗力事件延续120天以上，双方应通过友好协商，确定是否继续履行合同。</w:t>
      </w:r>
    </w:p>
    <w:p>
      <w:pPr>
        <w:keepNext w:val="0"/>
        <w:keepLines w:val="0"/>
        <w:pageBreakBefore w:val="0"/>
        <w:widowControl/>
        <w:kinsoku/>
        <w:wordWrap/>
        <w:overflowPunct/>
        <w:topLinePunct w:val="0"/>
        <w:bidi w:val="0"/>
        <w:adjustRightInd w:val="0"/>
        <w:snapToGrid w:val="0"/>
        <w:spacing w:line="360" w:lineRule="auto"/>
        <w:ind w:left="0"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十</w:t>
      </w:r>
      <w:r>
        <w:rPr>
          <w:rFonts w:hint="eastAsia" w:ascii="仿宋" w:hAnsi="仿宋" w:eastAsia="仿宋" w:cs="仿宋"/>
          <w:b/>
          <w:bCs/>
          <w:color w:val="auto"/>
          <w:kern w:val="0"/>
          <w:sz w:val="24"/>
          <w:szCs w:val="24"/>
          <w:highlight w:val="none"/>
          <w:lang w:eastAsia="zh-CN"/>
        </w:rPr>
        <w:t>三</w:t>
      </w:r>
      <w:r>
        <w:rPr>
          <w:rFonts w:hint="eastAsia" w:ascii="仿宋" w:hAnsi="仿宋" w:eastAsia="仿宋" w:cs="仿宋"/>
          <w:b/>
          <w:bCs/>
          <w:color w:val="auto"/>
          <w:kern w:val="0"/>
          <w:sz w:val="24"/>
          <w:szCs w:val="24"/>
          <w:highlight w:val="none"/>
        </w:rPr>
        <w:t>、诉讼</w:t>
      </w:r>
    </w:p>
    <w:p>
      <w:pPr>
        <w:keepNext w:val="0"/>
        <w:keepLines w:val="0"/>
        <w:pageBreakBefore w:val="0"/>
        <w:widowControl/>
        <w:kinsoku/>
        <w:wordWrap/>
        <w:overflowPunct/>
        <w:topLinePunct w:val="0"/>
        <w:bidi w:val="0"/>
        <w:adjustRightInd w:val="0"/>
        <w:snapToGrid w:val="0"/>
        <w:spacing w:line="360" w:lineRule="auto"/>
        <w:ind w:left="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双方在执行合同中所发生的一切争议，应通过协商解决。如协商不成，可向甲方所在地法院起诉。</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ascii="仿宋" w:eastAsia="仿宋"/>
          <w:b/>
          <w:bCs/>
          <w:color w:val="auto"/>
          <w:kern w:val="0"/>
          <w:sz w:val="24"/>
          <w:highlight w:val="none"/>
        </w:rPr>
      </w:pPr>
      <w:r>
        <w:rPr>
          <w:rFonts w:hint="eastAsia" w:ascii="仿宋" w:eastAsia="仿宋"/>
          <w:b/>
          <w:bCs/>
          <w:color w:val="auto"/>
          <w:kern w:val="0"/>
          <w:sz w:val="24"/>
          <w:highlight w:val="none"/>
        </w:rPr>
        <w:t>十</w:t>
      </w:r>
      <w:r>
        <w:rPr>
          <w:rFonts w:hint="eastAsia" w:ascii="仿宋" w:eastAsia="仿宋"/>
          <w:b/>
          <w:bCs/>
          <w:color w:val="auto"/>
          <w:kern w:val="0"/>
          <w:sz w:val="24"/>
          <w:highlight w:val="none"/>
          <w:lang w:eastAsia="zh-CN"/>
        </w:rPr>
        <w:t>四</w:t>
      </w:r>
      <w:r>
        <w:rPr>
          <w:rFonts w:hint="eastAsia" w:ascii="仿宋" w:eastAsia="仿宋"/>
          <w:b/>
          <w:bCs/>
          <w:color w:val="auto"/>
          <w:kern w:val="0"/>
          <w:sz w:val="24"/>
          <w:highlight w:val="none"/>
        </w:rPr>
        <w:t>、合同生效及其他</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1.合同经甲、乙双方签名并加盖单位公章后生效。</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2.采购文件、投标文件与本合同具有同等法律效力。</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3.本合同未尽事宜，遵照《</w:t>
      </w:r>
      <w:r>
        <w:rPr>
          <w:rFonts w:hint="eastAsia" w:ascii="仿宋" w:eastAsia="仿宋"/>
          <w:color w:val="auto"/>
          <w:kern w:val="0"/>
          <w:sz w:val="24"/>
          <w:highlight w:val="none"/>
          <w:lang w:eastAsia="zh-CN"/>
        </w:rPr>
        <w:t>民法典</w:t>
      </w:r>
      <w:r>
        <w:rPr>
          <w:rFonts w:hint="eastAsia" w:ascii="仿宋" w:eastAsia="仿宋"/>
          <w:color w:val="auto"/>
          <w:kern w:val="0"/>
          <w:sz w:val="24"/>
          <w:highlight w:val="none"/>
        </w:rPr>
        <w:t>》有关条文执行。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4.本合同一式五份，具有同等法律效力，甲、乙双方各执二份，采购代理机构一份。</w:t>
      </w:r>
    </w:p>
    <w:tbl>
      <w:tblPr>
        <w:tblStyle w:val="21"/>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3"/>
        <w:gridCol w:w="4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603" w:type="dxa"/>
            <w:tcBorders>
              <w:top w:val="nil"/>
              <w:left w:val="nil"/>
              <w:bottom w:val="nil"/>
              <w:right w:val="nil"/>
            </w:tcBorders>
            <w:vAlign w:val="center"/>
          </w:tcPr>
          <w:p>
            <w:pPr>
              <w:pStyle w:val="11"/>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 xml:space="preserve">甲方（盖章）： </w:t>
            </w:r>
          </w:p>
        </w:tc>
        <w:tc>
          <w:tcPr>
            <w:tcW w:w="4553" w:type="dxa"/>
            <w:tcBorders>
              <w:top w:val="nil"/>
              <w:left w:val="nil"/>
              <w:bottom w:val="nil"/>
              <w:right w:val="nil"/>
            </w:tcBorders>
            <w:vAlign w:val="center"/>
          </w:tcPr>
          <w:p>
            <w:pPr>
              <w:pStyle w:val="11"/>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603" w:type="dxa"/>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 xml:space="preserve">法定代表人或受委托人（签字）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w:t>
            </w:r>
          </w:p>
        </w:tc>
        <w:tc>
          <w:tcPr>
            <w:tcW w:w="4553" w:type="dxa"/>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 xml:space="preserve">法定代表人或受委托人（签字）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603" w:type="dxa"/>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 xml:space="preserve"> 地址：</w:t>
            </w:r>
          </w:p>
        </w:tc>
        <w:tc>
          <w:tcPr>
            <w:tcW w:w="4553" w:type="dxa"/>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 xml:space="preserve"> 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603" w:type="dxa"/>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leftChars="0" w:right="0" w:rightChars="0"/>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rPr>
              <w:t>电话：</w:t>
            </w:r>
          </w:p>
        </w:tc>
        <w:tc>
          <w:tcPr>
            <w:tcW w:w="4553" w:type="dxa"/>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leftChars="0" w:right="0" w:rightChars="0"/>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603" w:type="dxa"/>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leftChars="0" w:right="0" w:rightChars="0"/>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rPr>
              <w:t>开户银行：</w:t>
            </w:r>
          </w:p>
        </w:tc>
        <w:tc>
          <w:tcPr>
            <w:tcW w:w="4553" w:type="dxa"/>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leftChars="0" w:right="0" w:rightChars="0"/>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603" w:type="dxa"/>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leftChars="0" w:right="0" w:rightChars="0"/>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rPr>
              <w:t>帐号：</w:t>
            </w:r>
          </w:p>
        </w:tc>
        <w:tc>
          <w:tcPr>
            <w:tcW w:w="4553" w:type="dxa"/>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leftChars="0" w:right="0" w:rightChars="0"/>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156" w:type="dxa"/>
            <w:gridSpan w:val="2"/>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合同签订地点：</w:t>
            </w:r>
            <w:r>
              <w:rPr>
                <w:rFonts w:hint="eastAsia" w:ascii="仿宋" w:hAnsi="仿宋" w:eastAsia="仿宋" w:cs="仿宋"/>
                <w:color w:val="auto"/>
                <w:sz w:val="24"/>
                <w:szCs w:val="24"/>
                <w:highlight w:val="none"/>
                <w:lang w:eastAsia="zh-CN"/>
              </w:rPr>
              <w:t xml:space="preserve">嵊州市住房和城乡建设局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156" w:type="dxa"/>
            <w:gridSpan w:val="2"/>
            <w:tcBorders>
              <w:top w:val="nil"/>
              <w:left w:val="nil"/>
              <w:bottom w:val="nil"/>
              <w:righ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leftChars="0" w:right="0" w:firstLine="3360" w:firstLineChars="1400"/>
              <w:textAlignment w:val="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p>
        </w:tc>
      </w:tr>
    </w:tbl>
    <w:p>
      <w:pPr>
        <w:spacing w:line="360" w:lineRule="auto"/>
        <w:jc w:val="center"/>
        <w:outlineLvl w:val="0"/>
        <w:rPr>
          <w:rFonts w:hint="eastAsia" w:ascii="仿宋" w:eastAsia="仿宋"/>
          <w:color w:val="auto"/>
          <w:kern w:val="0"/>
          <w:sz w:val="24"/>
          <w:highlight w:val="none"/>
        </w:rPr>
      </w:pPr>
      <w:r>
        <w:rPr>
          <w:rFonts w:hint="eastAsia" w:ascii="仿宋" w:eastAsia="仿宋"/>
          <w:color w:val="auto"/>
          <w:kern w:val="0"/>
          <w:sz w:val="24"/>
          <w:highlight w:val="none"/>
        </w:rPr>
        <w:t xml:space="preserve">       </w:t>
      </w: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eastAsia="仿宋"/>
          <w:color w:val="auto"/>
          <w:kern w:val="0"/>
          <w:sz w:val="24"/>
          <w:highlight w:val="none"/>
        </w:rPr>
      </w:pPr>
    </w:p>
    <w:p>
      <w:pPr>
        <w:spacing w:line="360" w:lineRule="auto"/>
        <w:jc w:val="center"/>
        <w:outlineLvl w:val="0"/>
        <w:rPr>
          <w:rFonts w:hint="eastAsia" w:ascii="仿宋" w:hAnsi="仿宋" w:eastAsia="仿宋" w:cs="仿宋_GB2312"/>
          <w:b/>
          <w:color w:val="auto"/>
          <w:sz w:val="36"/>
          <w:szCs w:val="20"/>
          <w:highlight w:val="none"/>
        </w:rPr>
      </w:pPr>
    </w:p>
    <w:p>
      <w:pPr>
        <w:spacing w:line="360"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r>
        <w:rPr>
          <w:rFonts w:ascii="仿宋" w:hAnsi="仿宋" w:eastAsia="仿宋" w:cs="仿宋_GB2312"/>
          <w:b/>
          <w:color w:val="auto"/>
          <w:sz w:val="36"/>
          <w:szCs w:val="20"/>
          <w:highlight w:val="none"/>
        </w:rPr>
        <w:t xml:space="preserve"> </w:t>
      </w:r>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资格证明文件部分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w:t>
      </w:r>
      <w:r>
        <w:rPr>
          <w:rFonts w:hint="eastAsia" w:ascii="仿宋_GB2312" w:hAnsi="仿宋" w:eastAsia="仿宋_GB2312" w:cs="仿宋_GB2312"/>
          <w:color w:val="auto"/>
          <w:sz w:val="24"/>
          <w:highlight w:val="none"/>
        </w:rPr>
        <w:t>营业执照扫描件</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r>
        <w:rPr>
          <w:rFonts w:ascii="仿宋_GB2312" w:hAnsi="仿宋" w:eastAsia="仿宋_GB2312" w:cs="仿宋_GB2312"/>
          <w:color w:val="auto"/>
          <w:sz w:val="24"/>
          <w:highlight w:val="none"/>
        </w:rPr>
        <w:t>）落实政府采购政策需满足的资格要求……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w:t>
      </w:r>
      <w:r>
        <w:rPr>
          <w:rFonts w:ascii="仿宋_GB2312" w:hAnsi="仿宋" w:eastAsia="仿宋_GB2312" w:cs="仿宋_GB2312"/>
          <w:color w:val="auto"/>
          <w:sz w:val="24"/>
          <w:highlight w:val="none"/>
        </w:rPr>
        <w:t>）本项目的特定资格要求……</w:t>
      </w:r>
      <w:r>
        <w:rPr>
          <w:rFonts w:hint="eastAsia" w:ascii="仿宋_GB2312" w:hAnsi="仿宋" w:eastAsia="仿宋_GB2312" w:cs="仿宋_GB2312"/>
          <w:color w:val="auto"/>
          <w:sz w:val="24"/>
          <w:highlight w:val="none"/>
        </w:rPr>
        <w:t>…………………………………………（页码）</w:t>
      </w: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color w:val="auto"/>
          <w:kern w:val="0"/>
          <w:sz w:val="24"/>
          <w:highlight w:val="none"/>
        </w:rPr>
        <w:t>一、</w:t>
      </w:r>
      <w:r>
        <w:rPr>
          <w:rFonts w:hint="eastAsia" w:ascii="仿宋_GB2312" w:hAnsi="仿宋" w:eastAsia="仿宋_GB2312" w:cs="仿宋_GB2312"/>
          <w:b/>
          <w:color w:val="auto"/>
          <w:kern w:val="0"/>
          <w:sz w:val="32"/>
          <w:szCs w:val="32"/>
          <w:highlight w:val="none"/>
        </w:rPr>
        <w:t>营业执照扫描件</w:t>
      </w:r>
    </w:p>
    <w:p>
      <w:pPr>
        <w:snapToGrid w:val="0"/>
        <w:spacing w:line="360" w:lineRule="auto"/>
        <w:ind w:left="2931" w:right="480"/>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w:t>
      </w:r>
      <w:r>
        <w:rPr>
          <w:rFonts w:ascii="仿宋_GB2312" w:hAnsi="仿宋" w:eastAsia="仿宋_GB2312" w:cs="仿宋_GB2312"/>
          <w:b/>
          <w:color w:val="auto"/>
          <w:kern w:val="0"/>
          <w:sz w:val="32"/>
          <w:szCs w:val="32"/>
          <w:highlight w:val="none"/>
        </w:rPr>
        <w:t>符合参加政府采购活动应当具备的一般条件的承诺函</w:t>
      </w:r>
    </w:p>
    <w:p>
      <w:pPr>
        <w:snapToGrid w:val="0"/>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b/>
          <w:bCs/>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我方参与（项目名称）【项目编号：】政府采购活动，郑重承诺：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5520" w:firstLineChars="2300"/>
        <w:rPr>
          <w:rFonts w:ascii="仿宋_GB2312" w:hAnsi="仿宋" w:eastAsia="仿宋_GB2312" w:cs="仿宋_GB2312"/>
          <w:color w:val="auto"/>
          <w:kern w:val="0"/>
          <w:sz w:val="24"/>
          <w:highlight w:val="none"/>
          <w:lang w:val="zh-CN"/>
        </w:rPr>
      </w:pPr>
    </w:p>
    <w:p>
      <w:pPr>
        <w:snapToGrid w:val="0"/>
        <w:spacing w:line="360" w:lineRule="auto"/>
        <w:ind w:firstLine="5520" w:firstLineChars="2300"/>
        <w:rPr>
          <w:rFonts w:ascii="仿宋_GB2312" w:hAnsi="仿宋" w:eastAsia="仿宋_GB2312" w:cs="仿宋_GB2312"/>
          <w:color w:val="auto"/>
          <w:kern w:val="0"/>
          <w:sz w:val="24"/>
          <w:highlight w:val="none"/>
          <w:lang w:val="zh-CN"/>
        </w:rPr>
      </w:pP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both"/>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三、落实政府采购政策需满足的资格要求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.专门面向中小企业，货物全部由符合政策要求的中小企业（或小微企业）制造或者服务全部由符合政策要求的中小企业（或小微企业）承接的，提供相应的中小企业声明函（附件4）。 </w:t>
      </w:r>
    </w:p>
    <w:p>
      <w:pPr>
        <w:widowControl/>
        <w:spacing w:line="360" w:lineRule="auto"/>
        <w:ind w:firstLine="480"/>
        <w:jc w:val="left"/>
        <w:rPr>
          <w:rFonts w:ascii="仿宋" w:hAnsi="仿宋" w:eastAsia="仿宋" w:cs="仿宋"/>
          <w:color w:val="auto"/>
          <w:sz w:val="24"/>
          <w:highlight w:val="none"/>
        </w:rPr>
      </w:pPr>
    </w:p>
    <w:p>
      <w:pPr>
        <w:widowControl/>
        <w:spacing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ascii="仿宋" w:hAnsi="仿宋" w:eastAsia="仿宋" w:cs="仿宋"/>
          <w:color w:val="auto"/>
          <w:sz w:val="24"/>
          <w:highlight w:val="none"/>
        </w:rPr>
      </w:pP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ascii="仿宋" w:eastAsia="仿宋" w:cs="仿宋"/>
          <w:color w:val="auto"/>
          <w:highlight w:val="none"/>
        </w:rPr>
      </w:pPr>
      <w:r>
        <w:rPr>
          <w:rFonts w:hint="eastAsia" w:ascii="仿宋" w:eastAsia="仿宋" w:cs="仿宋"/>
          <w:color w:val="auto"/>
          <w:kern w:val="0"/>
          <w:sz w:val="24"/>
          <w:szCs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 xml:space="preserve">                                        日期：  年  月   日</w:t>
      </w:r>
    </w:p>
    <w:p>
      <w:pPr>
        <w:spacing w:line="360" w:lineRule="auto"/>
        <w:rPr>
          <w:rFonts w:ascii="仿宋_GB2312" w:hAnsi="仿宋" w:eastAsia="仿宋_GB2312"/>
          <w:color w:val="auto"/>
          <w:sz w:val="24"/>
          <w:highlight w:val="none"/>
        </w:rPr>
      </w:pP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b/>
          <w:color w:val="auto"/>
          <w:sz w:val="24"/>
          <w:highlight w:val="none"/>
        </w:rPr>
        <w:t xml:space="preserve">    </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四、本项目的特定资格要求（若有）</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spacing w:line="360" w:lineRule="auto"/>
        <w:jc w:val="both"/>
        <w:rPr>
          <w:rFonts w:ascii="仿宋_GB2312" w:hAnsi="仿宋" w:eastAsia="仿宋_GB2312" w:cs="仿宋_GB2312"/>
          <w:b/>
          <w:color w:val="auto"/>
          <w:kern w:val="0"/>
          <w:sz w:val="36"/>
          <w:szCs w:val="36"/>
          <w:highlight w:val="none"/>
        </w:rPr>
      </w:pPr>
    </w:p>
    <w:p>
      <w:pPr>
        <w:pStyle w:val="2"/>
        <w:rPr>
          <w:rFonts w:ascii="仿宋_GB2312" w:hAnsi="仿宋" w:eastAsia="仿宋_GB2312" w:cs="仿宋_GB2312"/>
          <w:b/>
          <w:color w:val="auto"/>
          <w:kern w:val="0"/>
          <w:sz w:val="36"/>
          <w:szCs w:val="36"/>
          <w:highlight w:val="none"/>
        </w:rPr>
      </w:pPr>
    </w:p>
    <w:p>
      <w:pPr>
        <w:rPr>
          <w:rFonts w:ascii="仿宋_GB2312" w:hAnsi="仿宋" w:eastAsia="仿宋_GB2312" w:cs="仿宋_GB2312"/>
          <w:b/>
          <w:color w:val="auto"/>
          <w:kern w:val="0"/>
          <w:sz w:val="36"/>
          <w:szCs w:val="36"/>
          <w:highlight w:val="none"/>
        </w:rPr>
      </w:pPr>
    </w:p>
    <w:p>
      <w:pPr>
        <w:pStyle w:val="2"/>
        <w:rPr>
          <w:rFonts w:ascii="仿宋_GB2312" w:hAnsi="仿宋" w:eastAsia="仿宋_GB2312" w:cs="仿宋_GB2312"/>
          <w:b/>
          <w:color w:val="auto"/>
          <w:kern w:val="0"/>
          <w:sz w:val="36"/>
          <w:szCs w:val="36"/>
          <w:highlight w:val="none"/>
        </w:rPr>
      </w:pPr>
    </w:p>
    <w:p>
      <w:pPr>
        <w:rPr>
          <w:color w:val="auto"/>
          <w:highlight w:val="none"/>
        </w:rPr>
      </w:pPr>
    </w:p>
    <w:p>
      <w:pPr>
        <w:spacing w:line="360" w:lineRule="auto"/>
        <w:jc w:val="center"/>
        <w:rPr>
          <w:rFonts w:ascii="仿宋_GB2312" w:hAnsi="仿宋" w:eastAsia="仿宋_GB2312" w:cs="仿宋_GB2312"/>
          <w:b/>
          <w:color w:val="auto"/>
          <w:kern w:val="0"/>
          <w:sz w:val="24"/>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 w:hAnsi="仿宋" w:eastAsia="仿宋" w:cs="仿宋"/>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（1）营业执照扫描件…………………………………………………………………（页码）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（2）投标函……………………………………………………………………………（页码）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（3）授权委托书或法定代表人（单位负责人、自然人本人）身份证明………（页码）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（4）联合协议………………………………………………………………………（页码）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（5）分包意向协议…………………………………………………………………（页码）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（6）符合性审查资料…………………………………………………………………（页码）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（7）评标标准相应的商务技术资料…………………………………………………（页码）</w:t>
      </w:r>
    </w:p>
    <w:p>
      <w:pPr>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商务</w:t>
      </w:r>
      <w:r>
        <w:rPr>
          <w:rFonts w:hint="eastAsia" w:ascii="仿宋" w:hAnsi="仿宋" w:eastAsia="仿宋" w:cs="仿宋"/>
          <w:color w:val="auto"/>
          <w:sz w:val="24"/>
          <w:highlight w:val="none"/>
          <w:lang w:val="zh-CN" w:eastAsia="zh-CN"/>
        </w:rPr>
        <w:t>响应</w:t>
      </w:r>
      <w:r>
        <w:rPr>
          <w:rFonts w:hint="eastAsia" w:ascii="仿宋" w:hAnsi="仿宋" w:eastAsia="仿宋" w:cs="仿宋"/>
          <w:color w:val="auto"/>
          <w:sz w:val="24"/>
          <w:highlight w:val="none"/>
          <w:lang w:val="zh-CN"/>
        </w:rPr>
        <w:t>表…………………………………………………………………（页码）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技术偏离表…………………………………………………………………（页码）</w:t>
      </w:r>
    </w:p>
    <w:p>
      <w:pPr>
        <w:snapToGrid w:val="0"/>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成功案列</w:t>
      </w:r>
      <w:r>
        <w:rPr>
          <w:rFonts w:hint="eastAsia" w:ascii="仿宋" w:hAnsi="仿宋" w:eastAsia="仿宋" w:cs="仿宋"/>
          <w:color w:val="auto"/>
          <w:sz w:val="24"/>
          <w:highlight w:val="none"/>
        </w:rPr>
        <w:t>…………………………………………………………………（页码）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sz w:val="24"/>
          <w:highlight w:val="none"/>
        </w:rPr>
        <w:t>………………………………………………（页码）</w:t>
      </w: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一、营业执照</w:t>
      </w: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pStyle w:val="19"/>
        <w:rPr>
          <w:color w:val="auto"/>
          <w:highlight w:val="none"/>
        </w:rPr>
      </w:pPr>
    </w:p>
    <w:p>
      <w:pPr>
        <w:pStyle w:val="19"/>
        <w:rPr>
          <w:color w:val="auto"/>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二、投标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我方参加你方组织的（项目名称）【项目编号：】招标的有关活动，并对此项目进行投标。为此：</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2.1资格证明文件：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2.1.1营业执照；</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2.1.2承诺函；</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2.1.3落实政府采购政策需满足的资格要求（若有）；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2.1.4本项目的特定资格要求（若有）。</w:t>
      </w:r>
    </w:p>
    <w:p>
      <w:pPr>
        <w:snapToGrid w:val="0"/>
        <w:spacing w:line="360" w:lineRule="auto"/>
        <w:ind w:left="210" w:leftChars="1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2.2.1营业执照；</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2.2.3授权委托书或法定代表人（单位负责人）身份证明；</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2.2.4联合协议（如果有）；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2.2.5分包意向协议（如果有）；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2.2.6符合性审查资料；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2.2.8商务</w:t>
      </w:r>
      <w:r>
        <w:rPr>
          <w:rFonts w:hint="eastAsia" w:ascii="仿宋" w:hAnsi="仿宋" w:eastAsia="仿宋" w:cs="仿宋"/>
          <w:color w:val="auto"/>
          <w:sz w:val="24"/>
          <w:highlight w:val="none"/>
          <w:lang w:val="en-US" w:eastAsia="zh-CN"/>
        </w:rPr>
        <w:t>响应表</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2.2.9</w:t>
      </w:r>
      <w:r>
        <w:rPr>
          <w:rFonts w:hint="eastAsia" w:ascii="仿宋" w:hAnsi="仿宋" w:eastAsia="仿宋" w:cs="仿宋"/>
          <w:color w:val="auto"/>
          <w:sz w:val="24"/>
          <w:highlight w:val="none"/>
        </w:rPr>
        <w:t>技术偏离表；</w:t>
      </w:r>
    </w:p>
    <w:p>
      <w:pPr>
        <w:snapToGrid w:val="0"/>
        <w:spacing w:line="360" w:lineRule="auto"/>
        <w:ind w:left="420" w:leftChars="200"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10成功案列；</w:t>
      </w:r>
    </w:p>
    <w:p>
      <w:pPr>
        <w:snapToGrid w:val="0"/>
        <w:spacing w:line="360" w:lineRule="auto"/>
        <w:ind w:left="420" w:leftChars="2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2.2.11</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5"/>
        <w:rPr>
          <w:color w:val="auto"/>
          <w:highlight w:val="none"/>
        </w:rPr>
      </w:pPr>
    </w:p>
    <w:p>
      <w:pPr>
        <w:rPr>
          <w:color w:val="auto"/>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三、授权委托书或法定代表人（单位负责人、自然人本人）身份证明</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（项目名称）【项目编号：】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 xml:space="preserve">                                                 签发日期：  年  月   日</w:t>
      </w: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b/>
          <w:color w:val="auto"/>
          <w:kern w:val="0"/>
          <w:sz w:val="32"/>
          <w:szCs w:val="32"/>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32"/>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20"/>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32"/>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32"/>
              <w:adjustRightInd w:val="0"/>
              <w:spacing w:line="360" w:lineRule="auto"/>
              <w:rPr>
                <w:rFonts w:ascii="仿宋" w:hAnsi="仿宋" w:eastAsia="仿宋" w:cs="仿宋"/>
                <w:bCs/>
                <w:color w:val="auto"/>
                <w:sz w:val="24"/>
                <w:highlight w:val="none"/>
              </w:rPr>
            </w:pPr>
          </w:p>
        </w:tc>
      </w:tr>
    </w:tbl>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lang w:val="zh-CN"/>
        </w:rPr>
        <w:t xml:space="preserve">                   日期：  年  月  日</w:t>
      </w:r>
    </w:p>
    <w:p>
      <w:pPr>
        <w:pStyle w:val="17"/>
        <w:rPr>
          <w:rFonts w:ascii="仿宋_GB2312" w:hAnsi="仿宋" w:eastAsia="仿宋_GB2312" w:cs="仿宋_GB2312"/>
          <w:color w:val="auto"/>
          <w:highlight w:val="none"/>
          <w:lang w:val="zh-CN"/>
        </w:rPr>
      </w:pPr>
    </w:p>
    <w:p>
      <w:pPr>
        <w:rPr>
          <w:rFonts w:ascii="仿宋_GB2312" w:hAnsi="仿宋" w:eastAsia="仿宋_GB2312" w:cs="仿宋_GB2312"/>
          <w:color w:val="auto"/>
          <w:highlight w:val="none"/>
          <w:lang w:val="zh-CN"/>
        </w:rPr>
      </w:pPr>
    </w:p>
    <w:p>
      <w:pPr>
        <w:pStyle w:val="5"/>
        <w:rPr>
          <w:rFonts w:ascii="仿宋_GB2312" w:hAnsi="仿宋" w:eastAsia="仿宋_GB2312" w:cs="仿宋_GB2312"/>
          <w:color w:val="auto"/>
          <w:highlight w:val="none"/>
        </w:rPr>
      </w:pPr>
    </w:p>
    <w:p>
      <w:pPr>
        <w:rPr>
          <w:rFonts w:ascii="仿宋_GB2312" w:hAnsi="仿宋" w:eastAsia="仿宋_GB2312" w:cs="仿宋_GB2312"/>
          <w:color w:val="auto"/>
          <w:highlight w:val="none"/>
          <w:lang w:val="zh-CN"/>
        </w:rPr>
      </w:pPr>
    </w:p>
    <w:p>
      <w:pPr>
        <w:pStyle w:val="5"/>
        <w:rPr>
          <w:rFonts w:ascii="仿宋_GB2312" w:hAnsi="仿宋" w:eastAsia="仿宋_GB2312" w:cs="仿宋_GB2312"/>
          <w:color w:val="auto"/>
          <w:highlight w:val="none"/>
        </w:rPr>
      </w:pPr>
    </w:p>
    <w:p>
      <w:pPr>
        <w:rPr>
          <w:rFonts w:ascii="仿宋_GB2312" w:hAnsi="仿宋" w:eastAsia="仿宋_GB2312" w:cs="仿宋_GB2312"/>
          <w:color w:val="auto"/>
          <w:highlight w:val="none"/>
          <w:lang w:val="zh-CN"/>
        </w:rPr>
      </w:pPr>
    </w:p>
    <w:p>
      <w:pPr>
        <w:pStyle w:val="5"/>
        <w:rPr>
          <w:rFonts w:ascii="仿宋_GB2312" w:hAnsi="仿宋" w:eastAsia="仿宋_GB2312" w:cs="仿宋_GB2312"/>
          <w:color w:val="auto"/>
          <w:highlight w:val="none"/>
        </w:rPr>
      </w:pPr>
    </w:p>
    <w:p>
      <w:pPr>
        <w:rPr>
          <w:rFonts w:ascii="仿宋_GB2312" w:hAnsi="仿宋" w:eastAsia="仿宋_GB2312" w:cs="仿宋_GB2312"/>
          <w:color w:val="auto"/>
          <w:highlight w:val="none"/>
          <w:lang w:val="zh-CN"/>
        </w:rPr>
      </w:pPr>
    </w:p>
    <w:p>
      <w:pPr>
        <w:rPr>
          <w:rFonts w:ascii="仿宋" w:hAnsi="仿宋" w:eastAsia="仿宋" w:cs="仿宋"/>
          <w:b/>
          <w:color w:val="auto"/>
          <w:kern w:val="0"/>
          <w:sz w:val="32"/>
          <w:szCs w:val="32"/>
          <w:highlight w:val="none"/>
          <w:lang w:val="zh-CN"/>
        </w:rPr>
      </w:pPr>
    </w:p>
    <w:p>
      <w:pPr>
        <w:rPr>
          <w:rFonts w:ascii="仿宋" w:hAnsi="仿宋" w:eastAsia="仿宋" w:cs="仿宋"/>
          <w:b/>
          <w:color w:val="auto"/>
          <w:kern w:val="0"/>
          <w:sz w:val="32"/>
          <w:szCs w:val="32"/>
          <w:highlight w:val="none"/>
          <w:lang w:val="zh-CN"/>
        </w:rPr>
      </w:pPr>
    </w:p>
    <w:p>
      <w:pP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四、联合协议</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4</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ascii="仿宋" w:hAnsi="仿宋" w:eastAsia="仿宋" w:cs="仿宋"/>
          <w:b/>
          <w:color w:val="auto"/>
          <w:kern w:val="0"/>
          <w:sz w:val="32"/>
          <w:szCs w:val="32"/>
          <w:highlight w:val="none"/>
          <w:lang w:val="zh-CN"/>
        </w:rPr>
        <w:sectPr>
          <w:headerReference r:id="rId5" w:type="first"/>
          <w:footerReference r:id="rId7" w:type="first"/>
          <w:headerReference r:id="rId4" w:type="default"/>
          <w:footerReference r:id="rId6"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五、分包意向协议</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ascii="仿宋" w:eastAsia="仿宋" w:cs="仿宋"/>
          <w:color w:val="auto"/>
          <w:highlight w:val="none"/>
        </w:rPr>
      </w:pPr>
      <w:r>
        <w:rPr>
          <w:rFonts w:hint="eastAsia" w:ascii="仿宋" w:eastAsia="仿宋" w:cs="仿宋"/>
          <w:color w:val="auto"/>
          <w:kern w:val="0"/>
          <w:sz w:val="24"/>
          <w:szCs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4</w:t>
      </w:r>
      <w:r>
        <w:rPr>
          <w:rFonts w:hint="eastAsia" w:ascii="仿宋" w:hAnsi="仿宋" w:eastAsia="仿宋" w:cs="仿宋"/>
          <w:b/>
          <w:color w:val="auto"/>
          <w:kern w:val="0"/>
          <w:sz w:val="24"/>
          <w:highlight w:val="none"/>
          <w:lang w:val="zh-CN"/>
        </w:rPr>
        <w:t>%的扣除）</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r>
        <w:rPr>
          <w:rFonts w:hint="eastAsia" w:ascii="仿宋" w:hAnsi="仿宋" w:eastAsia="仿宋" w:cs="仿宋"/>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六、符合性审查资料</w:t>
      </w:r>
    </w:p>
    <w:tbl>
      <w:tblPr>
        <w:tblStyle w:val="20"/>
        <w:tblpPr w:leftFromText="180" w:rightFromText="180" w:vertAnchor="text" w:horzAnchor="page" w:tblpXSpec="center" w:tblpY="598"/>
        <w:tblOverlap w:val="never"/>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4864"/>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73" w:type="dxa"/>
            <w:vAlign w:val="center"/>
          </w:tcPr>
          <w:p>
            <w:pPr>
              <w:snapToGrid w:val="0"/>
              <w:spacing w:line="240" w:lineRule="atLeast"/>
              <w:jc w:val="both"/>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864"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73"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1</w:t>
            </w:r>
          </w:p>
        </w:tc>
        <w:tc>
          <w:tcPr>
            <w:tcW w:w="4864" w:type="dxa"/>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jc w:val="center"/>
              <w:rPr>
                <w:rFonts w:ascii="仿宋" w:hAnsi="仿宋" w:eastAsia="仿宋"/>
                <w:color w:val="auto"/>
                <w:sz w:val="24"/>
                <w:highlight w:val="none"/>
              </w:rPr>
            </w:pPr>
            <w:r>
              <w:rPr>
                <w:rFonts w:hint="eastAsia" w:ascii="仿宋_GB2312" w:hAnsi="仿宋" w:eastAsia="仿宋_GB2312" w:cs="仿宋_GB2312"/>
                <w:color w:val="auto"/>
                <w:sz w:val="24"/>
                <w:highlight w:val="none"/>
              </w:rPr>
              <w:t>需要使用电子签名或者签字盖章的投标文件的组成部分</w:t>
            </w:r>
          </w:p>
        </w:tc>
        <w:tc>
          <w:tcPr>
            <w:tcW w:w="1418" w:type="dxa"/>
            <w:vAlign w:val="center"/>
          </w:tcPr>
          <w:p>
            <w:pPr>
              <w:jc w:val="center"/>
              <w:rPr>
                <w:rFonts w:ascii="仿宋" w:hAnsi="仿宋" w:eastAsia="仿宋" w:cs="仿宋_GB2312"/>
                <w:color w:val="auto"/>
                <w:sz w:val="24"/>
                <w:highlight w:val="none"/>
              </w:rPr>
            </w:pPr>
          </w:p>
          <w:p>
            <w:pPr>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jc w:val="cente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73" w:type="dxa"/>
            <w:vAlign w:val="center"/>
          </w:tcPr>
          <w:p>
            <w:pPr>
              <w:spacing w:line="360" w:lineRule="auto"/>
              <w:jc w:val="center"/>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864" w:type="dxa"/>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jc w:val="cente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vAlign w:val="center"/>
          </w:tcPr>
          <w:p>
            <w:pPr>
              <w:jc w:val="center"/>
              <w:rPr>
                <w:rFonts w:ascii="仿宋" w:hAnsi="仿宋" w:eastAsia="仿宋" w:cs="仿宋_GB2312"/>
                <w:color w:val="auto"/>
                <w:sz w:val="24"/>
                <w:highlight w:val="none"/>
              </w:rPr>
            </w:pPr>
          </w:p>
          <w:p>
            <w:pPr>
              <w:jc w:val="center"/>
              <w:rPr>
                <w:rFonts w:ascii="仿宋" w:hAnsi="仿宋" w:eastAsia="仿宋" w:cs="仿宋_GB2312"/>
                <w:color w:val="auto"/>
                <w:sz w:val="24"/>
                <w:highlight w:val="none"/>
              </w:rPr>
            </w:pPr>
          </w:p>
          <w:p>
            <w:pPr>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4"/>
              <w:jc w:val="center"/>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73"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3</w:t>
            </w:r>
          </w:p>
        </w:tc>
        <w:tc>
          <w:tcPr>
            <w:tcW w:w="4864" w:type="dxa"/>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vAlign w:val="center"/>
          </w:tcPr>
          <w:p>
            <w:pPr>
              <w:jc w:val="cente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73"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4</w:t>
            </w:r>
          </w:p>
        </w:tc>
        <w:tc>
          <w:tcPr>
            <w:tcW w:w="4864" w:type="dxa"/>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jc w:val="cente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vAlign w:val="center"/>
          </w:tcPr>
          <w:p>
            <w:pPr>
              <w:jc w:val="cente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七、评标标准相应的商务技术资料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（按招标文件第四部分评标办法前附表中“投标文件中评标标准相应的商务技术资料目录”提供资料，表格格式根据评分标准自行调整）</w:t>
      </w:r>
    </w:p>
    <w:tbl>
      <w:tblPr>
        <w:tblStyle w:val="20"/>
        <w:tblpPr w:leftFromText="180" w:rightFromText="180" w:vertAnchor="text" w:horzAnchor="page" w:tblpXSpec="center" w:tblpY="126"/>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117"/>
        <w:gridCol w:w="5692"/>
        <w:gridCol w:w="836"/>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jc w:val="center"/>
              <w:outlineLvl w:val="0"/>
              <w:rPr>
                <w:rFonts w:ascii="仿宋" w:hAnsi="仿宋" w:eastAsia="仿宋" w:cs="仿宋"/>
                <w:bCs/>
                <w:color w:val="auto"/>
                <w:szCs w:val="21"/>
                <w:highlight w:val="none"/>
              </w:rPr>
            </w:pPr>
            <w:r>
              <w:rPr>
                <w:rFonts w:hint="eastAsia" w:ascii="仿宋" w:hAnsi="仿宋" w:eastAsia="仿宋" w:cs="仿宋"/>
                <w:bCs/>
                <w:color w:val="auto"/>
                <w:szCs w:val="21"/>
                <w:highlight w:val="none"/>
              </w:rPr>
              <w:t>序号</w:t>
            </w:r>
          </w:p>
        </w:tc>
        <w:tc>
          <w:tcPr>
            <w:tcW w:w="1117" w:type="dxa"/>
            <w:vAlign w:val="center"/>
          </w:tcPr>
          <w:p>
            <w:pPr>
              <w:jc w:val="center"/>
              <w:outlineLvl w:val="0"/>
              <w:rPr>
                <w:rFonts w:ascii="仿宋" w:hAnsi="仿宋" w:eastAsia="仿宋" w:cs="仿宋"/>
                <w:bCs/>
                <w:color w:val="auto"/>
                <w:szCs w:val="21"/>
                <w:highlight w:val="none"/>
              </w:rPr>
            </w:pPr>
            <w:r>
              <w:rPr>
                <w:rFonts w:hint="eastAsia" w:ascii="仿宋" w:hAnsi="仿宋" w:eastAsia="仿宋" w:cs="仿宋"/>
                <w:bCs/>
                <w:color w:val="auto"/>
                <w:szCs w:val="21"/>
                <w:highlight w:val="none"/>
              </w:rPr>
              <w:t>评标内容</w:t>
            </w:r>
          </w:p>
        </w:tc>
        <w:tc>
          <w:tcPr>
            <w:tcW w:w="5692" w:type="dxa"/>
            <w:vAlign w:val="center"/>
          </w:tcPr>
          <w:p>
            <w:pPr>
              <w:jc w:val="center"/>
              <w:outlineLvl w:val="0"/>
              <w:rPr>
                <w:rFonts w:ascii="仿宋" w:hAnsi="仿宋" w:eastAsia="仿宋" w:cs="仿宋"/>
                <w:bCs/>
                <w:color w:val="auto"/>
                <w:szCs w:val="21"/>
                <w:highlight w:val="none"/>
              </w:rPr>
            </w:pPr>
            <w:r>
              <w:rPr>
                <w:rFonts w:hint="eastAsia" w:ascii="仿宋" w:hAnsi="仿宋" w:eastAsia="仿宋" w:cs="仿宋"/>
                <w:bCs/>
                <w:color w:val="auto"/>
                <w:szCs w:val="21"/>
                <w:highlight w:val="none"/>
              </w:rPr>
              <w:t>评标标准</w:t>
            </w:r>
          </w:p>
        </w:tc>
        <w:tc>
          <w:tcPr>
            <w:tcW w:w="836" w:type="dxa"/>
            <w:vAlign w:val="center"/>
          </w:tcPr>
          <w:p>
            <w:pPr>
              <w:jc w:val="center"/>
              <w:outlineLvl w:val="0"/>
              <w:rPr>
                <w:rFonts w:ascii="仿宋" w:hAnsi="仿宋" w:eastAsia="仿宋" w:cs="仿宋"/>
                <w:bCs/>
                <w:color w:val="auto"/>
                <w:szCs w:val="21"/>
                <w:highlight w:val="none"/>
              </w:rPr>
            </w:pPr>
            <w:r>
              <w:rPr>
                <w:rFonts w:hint="eastAsia" w:ascii="仿宋" w:hAnsi="仿宋" w:eastAsia="仿宋" w:cs="仿宋"/>
                <w:bCs/>
                <w:color w:val="auto"/>
                <w:szCs w:val="21"/>
                <w:highlight w:val="none"/>
              </w:rPr>
              <w:t>分值</w:t>
            </w:r>
          </w:p>
        </w:tc>
        <w:tc>
          <w:tcPr>
            <w:tcW w:w="805" w:type="dxa"/>
            <w:vAlign w:val="center"/>
          </w:tcPr>
          <w:p>
            <w:pPr>
              <w:jc w:val="center"/>
              <w:outlineLvl w:val="0"/>
              <w:rPr>
                <w:rFonts w:ascii="仿宋" w:hAnsi="仿宋" w:eastAsia="仿宋" w:cs="仿宋"/>
                <w:bCs/>
                <w:color w:val="auto"/>
                <w:szCs w:val="21"/>
                <w:highlight w:val="none"/>
              </w:rPr>
            </w:pPr>
            <w:r>
              <w:rPr>
                <w:rFonts w:hint="eastAsia" w:ascii="仿宋" w:hAnsi="仿宋" w:eastAsia="仿宋" w:cs="仿宋"/>
                <w:bCs/>
                <w:color w:val="auto"/>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spacing w:line="360" w:lineRule="auto"/>
              <w:jc w:val="center"/>
              <w:outlineLvl w:val="0"/>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1117" w:type="dxa"/>
            <w:vAlign w:val="center"/>
          </w:tcPr>
          <w:p>
            <w:pPr>
              <w:spacing w:line="360" w:lineRule="auto"/>
              <w:jc w:val="center"/>
              <w:outlineLvl w:val="0"/>
              <w:rPr>
                <w:rFonts w:ascii="仿宋" w:hAnsi="仿宋" w:eastAsia="仿宋" w:cs="仿宋"/>
                <w:color w:val="auto"/>
                <w:szCs w:val="21"/>
                <w:highlight w:val="none"/>
              </w:rPr>
            </w:pPr>
          </w:p>
        </w:tc>
        <w:tc>
          <w:tcPr>
            <w:tcW w:w="5692" w:type="dxa"/>
            <w:vAlign w:val="center"/>
          </w:tcPr>
          <w:p>
            <w:pPr>
              <w:rPr>
                <w:rFonts w:ascii="仿宋" w:hAnsi="仿宋" w:eastAsia="仿宋" w:cs="仿宋"/>
                <w:color w:val="auto"/>
                <w:szCs w:val="21"/>
                <w:highlight w:val="none"/>
              </w:rPr>
            </w:pPr>
          </w:p>
        </w:tc>
        <w:tc>
          <w:tcPr>
            <w:tcW w:w="836" w:type="dxa"/>
            <w:vAlign w:val="center"/>
          </w:tcPr>
          <w:p>
            <w:pPr>
              <w:jc w:val="center"/>
              <w:rPr>
                <w:rFonts w:ascii="仿宋" w:hAnsi="仿宋" w:eastAsia="仿宋" w:cs="仿宋"/>
                <w:color w:val="auto"/>
                <w:szCs w:val="21"/>
                <w:highlight w:val="none"/>
              </w:rPr>
            </w:pPr>
          </w:p>
        </w:tc>
        <w:tc>
          <w:tcPr>
            <w:tcW w:w="805" w:type="dxa"/>
            <w:vAlign w:val="center"/>
          </w:tcPr>
          <w:p>
            <w:pPr>
              <w:spacing w:line="360" w:lineRule="auto"/>
              <w:jc w:val="center"/>
              <w:outlineLvl w:val="0"/>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spacing w:line="360" w:lineRule="auto"/>
              <w:jc w:val="center"/>
              <w:outlineLvl w:val="0"/>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1117" w:type="dxa"/>
            <w:vAlign w:val="center"/>
          </w:tcPr>
          <w:p>
            <w:pPr>
              <w:spacing w:line="360" w:lineRule="auto"/>
              <w:jc w:val="center"/>
              <w:outlineLvl w:val="0"/>
              <w:rPr>
                <w:rFonts w:ascii="仿宋" w:hAnsi="仿宋" w:eastAsia="仿宋" w:cs="仿宋"/>
                <w:color w:val="auto"/>
                <w:szCs w:val="21"/>
                <w:highlight w:val="none"/>
              </w:rPr>
            </w:pPr>
          </w:p>
        </w:tc>
        <w:tc>
          <w:tcPr>
            <w:tcW w:w="5692" w:type="dxa"/>
            <w:vAlign w:val="center"/>
          </w:tcPr>
          <w:p>
            <w:pPr>
              <w:pStyle w:val="9"/>
              <w:spacing w:line="240" w:lineRule="auto"/>
              <w:ind w:firstLine="0" w:firstLineChars="0"/>
              <w:rPr>
                <w:rFonts w:ascii="仿宋" w:hAnsi="仿宋" w:eastAsia="仿宋" w:cs="仿宋"/>
                <w:color w:val="auto"/>
                <w:sz w:val="21"/>
                <w:szCs w:val="21"/>
                <w:highlight w:val="none"/>
              </w:rPr>
            </w:pPr>
          </w:p>
        </w:tc>
        <w:tc>
          <w:tcPr>
            <w:tcW w:w="836" w:type="dxa"/>
            <w:vAlign w:val="center"/>
          </w:tcPr>
          <w:p>
            <w:pPr>
              <w:jc w:val="center"/>
              <w:rPr>
                <w:rFonts w:ascii="仿宋" w:hAnsi="仿宋" w:eastAsia="仿宋" w:cs="仿宋"/>
                <w:color w:val="auto"/>
                <w:szCs w:val="21"/>
                <w:highlight w:val="none"/>
              </w:rPr>
            </w:pPr>
          </w:p>
        </w:tc>
        <w:tc>
          <w:tcPr>
            <w:tcW w:w="805" w:type="dxa"/>
            <w:vAlign w:val="center"/>
          </w:tcPr>
          <w:p>
            <w:pPr>
              <w:spacing w:line="360" w:lineRule="auto"/>
              <w:jc w:val="center"/>
              <w:outlineLvl w:val="0"/>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spacing w:line="360" w:lineRule="auto"/>
              <w:jc w:val="center"/>
              <w:outlineLvl w:val="0"/>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1117" w:type="dxa"/>
            <w:vAlign w:val="center"/>
          </w:tcPr>
          <w:p>
            <w:pPr>
              <w:spacing w:line="360" w:lineRule="auto"/>
              <w:jc w:val="center"/>
              <w:outlineLvl w:val="0"/>
              <w:rPr>
                <w:rFonts w:ascii="仿宋" w:hAnsi="仿宋" w:eastAsia="仿宋" w:cs="仿宋"/>
                <w:color w:val="auto"/>
                <w:szCs w:val="21"/>
                <w:highlight w:val="none"/>
              </w:rPr>
            </w:pPr>
          </w:p>
        </w:tc>
        <w:tc>
          <w:tcPr>
            <w:tcW w:w="5692" w:type="dxa"/>
            <w:vAlign w:val="center"/>
          </w:tcPr>
          <w:p>
            <w:pPr>
              <w:adjustRightInd/>
              <w:rPr>
                <w:rFonts w:ascii="仿宋" w:hAnsi="仿宋" w:eastAsia="仿宋" w:cs="仿宋"/>
                <w:bCs/>
                <w:iCs/>
                <w:color w:val="auto"/>
                <w:szCs w:val="21"/>
                <w:highlight w:val="none"/>
              </w:rPr>
            </w:pPr>
          </w:p>
        </w:tc>
        <w:tc>
          <w:tcPr>
            <w:tcW w:w="836" w:type="dxa"/>
            <w:vAlign w:val="center"/>
          </w:tcPr>
          <w:p>
            <w:pPr>
              <w:adjustRightInd/>
              <w:spacing w:line="360" w:lineRule="auto"/>
              <w:jc w:val="center"/>
              <w:rPr>
                <w:rFonts w:ascii="仿宋" w:hAnsi="仿宋" w:eastAsia="仿宋" w:cs="仿宋"/>
                <w:bCs/>
                <w:iCs/>
                <w:color w:val="auto"/>
                <w:szCs w:val="21"/>
                <w:highlight w:val="none"/>
              </w:rPr>
            </w:pPr>
          </w:p>
        </w:tc>
        <w:tc>
          <w:tcPr>
            <w:tcW w:w="805" w:type="dxa"/>
            <w:vAlign w:val="top"/>
          </w:tcPr>
          <w:p>
            <w:pPr>
              <w:spacing w:line="360" w:lineRule="auto"/>
              <w:outlineLvl w:val="0"/>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spacing w:line="360" w:lineRule="auto"/>
              <w:jc w:val="center"/>
              <w:outlineLvl w:val="0"/>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1117" w:type="dxa"/>
            <w:vAlign w:val="center"/>
          </w:tcPr>
          <w:p>
            <w:pPr>
              <w:adjustRightInd/>
              <w:spacing w:line="360" w:lineRule="auto"/>
              <w:jc w:val="center"/>
              <w:rPr>
                <w:rFonts w:ascii="仿宋" w:hAnsi="仿宋" w:eastAsia="仿宋" w:cs="仿宋"/>
                <w:color w:val="auto"/>
                <w:szCs w:val="21"/>
                <w:highlight w:val="none"/>
              </w:rPr>
            </w:pPr>
          </w:p>
        </w:tc>
        <w:tc>
          <w:tcPr>
            <w:tcW w:w="5692" w:type="dxa"/>
            <w:vAlign w:val="center"/>
          </w:tcPr>
          <w:p>
            <w:pPr>
              <w:adjustRightInd/>
              <w:rPr>
                <w:rFonts w:ascii="仿宋" w:hAnsi="仿宋" w:eastAsia="仿宋" w:cs="仿宋"/>
                <w:color w:val="auto"/>
                <w:szCs w:val="21"/>
                <w:highlight w:val="none"/>
              </w:rPr>
            </w:pPr>
          </w:p>
        </w:tc>
        <w:tc>
          <w:tcPr>
            <w:tcW w:w="836" w:type="dxa"/>
            <w:vAlign w:val="center"/>
          </w:tcPr>
          <w:p>
            <w:pPr>
              <w:adjustRightInd/>
              <w:spacing w:line="360" w:lineRule="auto"/>
              <w:jc w:val="center"/>
              <w:rPr>
                <w:rFonts w:ascii="仿宋" w:hAnsi="仿宋" w:eastAsia="仿宋" w:cs="仿宋"/>
                <w:color w:val="auto"/>
                <w:szCs w:val="21"/>
                <w:highlight w:val="none"/>
              </w:rPr>
            </w:pPr>
          </w:p>
        </w:tc>
        <w:tc>
          <w:tcPr>
            <w:tcW w:w="805" w:type="dxa"/>
            <w:vAlign w:val="top"/>
          </w:tcPr>
          <w:p>
            <w:pPr>
              <w:spacing w:line="360" w:lineRule="auto"/>
              <w:outlineLvl w:val="0"/>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adjustRightInd/>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1117" w:type="dxa"/>
            <w:vAlign w:val="center"/>
          </w:tcPr>
          <w:p>
            <w:pPr>
              <w:adjustRightInd/>
              <w:spacing w:line="360" w:lineRule="auto"/>
              <w:jc w:val="center"/>
              <w:rPr>
                <w:rFonts w:ascii="仿宋" w:hAnsi="仿宋" w:eastAsia="仿宋" w:cs="仿宋"/>
                <w:color w:val="auto"/>
                <w:szCs w:val="21"/>
                <w:highlight w:val="none"/>
              </w:rPr>
            </w:pPr>
          </w:p>
        </w:tc>
        <w:tc>
          <w:tcPr>
            <w:tcW w:w="5692" w:type="dxa"/>
            <w:vAlign w:val="center"/>
          </w:tcPr>
          <w:p>
            <w:pPr>
              <w:adjustRightInd/>
              <w:rPr>
                <w:rFonts w:ascii="仿宋" w:hAnsi="仿宋" w:eastAsia="仿宋" w:cs="仿宋"/>
                <w:color w:val="auto"/>
                <w:szCs w:val="21"/>
                <w:highlight w:val="none"/>
              </w:rPr>
            </w:pPr>
          </w:p>
        </w:tc>
        <w:tc>
          <w:tcPr>
            <w:tcW w:w="836" w:type="dxa"/>
            <w:vAlign w:val="center"/>
          </w:tcPr>
          <w:p>
            <w:pPr>
              <w:adjustRightInd/>
              <w:jc w:val="center"/>
              <w:rPr>
                <w:rFonts w:ascii="仿宋" w:hAnsi="仿宋" w:eastAsia="仿宋" w:cs="仿宋"/>
                <w:color w:val="auto"/>
                <w:szCs w:val="21"/>
                <w:highlight w:val="none"/>
              </w:rPr>
            </w:pPr>
          </w:p>
        </w:tc>
        <w:tc>
          <w:tcPr>
            <w:tcW w:w="805" w:type="dxa"/>
            <w:vAlign w:val="top"/>
          </w:tcPr>
          <w:p>
            <w:pPr>
              <w:adjustRightInd/>
              <w:spacing w:line="360" w:lineRule="auto"/>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1117" w:type="dxa"/>
            <w:vAlign w:val="center"/>
          </w:tcPr>
          <w:p>
            <w:pPr>
              <w:jc w:val="center"/>
              <w:rPr>
                <w:rFonts w:ascii="仿宋" w:hAnsi="仿宋" w:eastAsia="仿宋" w:cs="仿宋"/>
                <w:color w:val="auto"/>
                <w:szCs w:val="21"/>
                <w:highlight w:val="none"/>
              </w:rPr>
            </w:pPr>
          </w:p>
        </w:tc>
        <w:tc>
          <w:tcPr>
            <w:tcW w:w="5692" w:type="dxa"/>
            <w:vAlign w:val="center"/>
          </w:tcPr>
          <w:p>
            <w:pPr>
              <w:adjustRightInd/>
              <w:rPr>
                <w:rFonts w:ascii="仿宋" w:hAnsi="仿宋" w:eastAsia="仿宋" w:cs="仿宋"/>
                <w:bCs/>
                <w:iCs/>
                <w:color w:val="auto"/>
                <w:szCs w:val="21"/>
                <w:highlight w:val="none"/>
              </w:rPr>
            </w:pPr>
          </w:p>
        </w:tc>
        <w:tc>
          <w:tcPr>
            <w:tcW w:w="836" w:type="dxa"/>
            <w:vAlign w:val="center"/>
          </w:tcPr>
          <w:p>
            <w:pPr>
              <w:adjustRightInd/>
              <w:spacing w:line="360" w:lineRule="auto"/>
              <w:jc w:val="center"/>
              <w:rPr>
                <w:rFonts w:ascii="仿宋" w:hAnsi="仿宋" w:eastAsia="仿宋" w:cs="仿宋"/>
                <w:bCs/>
                <w:iCs/>
                <w:color w:val="auto"/>
                <w:szCs w:val="21"/>
                <w:highlight w:val="none"/>
              </w:rPr>
            </w:pPr>
          </w:p>
        </w:tc>
        <w:tc>
          <w:tcPr>
            <w:tcW w:w="805" w:type="dxa"/>
            <w:vAlign w:val="top"/>
          </w:tcPr>
          <w:p>
            <w:pPr>
              <w:jc w:val="center"/>
              <w:rPr>
                <w:rFonts w:ascii="仿宋" w:hAnsi="仿宋" w:eastAsia="仿宋" w:cs="仿宋"/>
                <w:bCs/>
                <w:i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jc w:val="center"/>
              <w:rPr>
                <w:rFonts w:ascii="仿宋" w:hAnsi="仿宋" w:eastAsia="仿宋" w:cs="仿宋"/>
                <w:bCs/>
                <w:iCs/>
                <w:color w:val="auto"/>
                <w:szCs w:val="21"/>
                <w:highlight w:val="none"/>
              </w:rPr>
            </w:pPr>
            <w:r>
              <w:rPr>
                <w:rFonts w:hint="eastAsia" w:ascii="仿宋" w:hAnsi="仿宋" w:eastAsia="仿宋" w:cs="仿宋"/>
                <w:bCs/>
                <w:iCs/>
                <w:color w:val="auto"/>
                <w:szCs w:val="21"/>
                <w:highlight w:val="none"/>
              </w:rPr>
              <w:t>7</w:t>
            </w:r>
          </w:p>
        </w:tc>
        <w:tc>
          <w:tcPr>
            <w:tcW w:w="1117" w:type="dxa"/>
            <w:vAlign w:val="center"/>
          </w:tcPr>
          <w:p>
            <w:pPr>
              <w:jc w:val="center"/>
              <w:rPr>
                <w:rFonts w:ascii="仿宋" w:hAnsi="仿宋" w:eastAsia="仿宋" w:cs="仿宋"/>
                <w:bCs/>
                <w:iCs/>
                <w:color w:val="auto"/>
                <w:szCs w:val="21"/>
                <w:highlight w:val="none"/>
              </w:rPr>
            </w:pPr>
          </w:p>
        </w:tc>
        <w:tc>
          <w:tcPr>
            <w:tcW w:w="5692" w:type="dxa"/>
            <w:vAlign w:val="center"/>
          </w:tcPr>
          <w:p>
            <w:pPr>
              <w:adjustRightInd/>
              <w:rPr>
                <w:rFonts w:ascii="仿宋" w:hAnsi="仿宋" w:eastAsia="仿宋" w:cs="仿宋"/>
                <w:bCs/>
                <w:iCs/>
                <w:color w:val="auto"/>
                <w:szCs w:val="21"/>
                <w:highlight w:val="none"/>
              </w:rPr>
            </w:pPr>
          </w:p>
        </w:tc>
        <w:tc>
          <w:tcPr>
            <w:tcW w:w="836" w:type="dxa"/>
            <w:vAlign w:val="center"/>
          </w:tcPr>
          <w:p>
            <w:pPr>
              <w:adjustRightInd/>
              <w:spacing w:line="360" w:lineRule="auto"/>
              <w:jc w:val="center"/>
              <w:rPr>
                <w:rFonts w:ascii="仿宋" w:hAnsi="仿宋" w:eastAsia="仿宋" w:cs="仿宋"/>
                <w:bCs/>
                <w:iCs/>
                <w:color w:val="auto"/>
                <w:szCs w:val="21"/>
                <w:highlight w:val="none"/>
              </w:rPr>
            </w:pPr>
          </w:p>
        </w:tc>
        <w:tc>
          <w:tcPr>
            <w:tcW w:w="805" w:type="dxa"/>
            <w:vAlign w:val="top"/>
          </w:tcPr>
          <w:p>
            <w:pPr>
              <w:jc w:val="center"/>
              <w:rPr>
                <w:rFonts w:ascii="仿宋" w:hAnsi="仿宋" w:eastAsia="仿宋" w:cs="仿宋"/>
                <w:bCs/>
                <w:i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jc w:val="center"/>
              <w:rPr>
                <w:rFonts w:ascii="仿宋" w:hAnsi="仿宋" w:eastAsia="仿宋" w:cs="仿宋"/>
                <w:bCs/>
                <w:iCs/>
                <w:color w:val="auto"/>
                <w:szCs w:val="21"/>
                <w:highlight w:val="none"/>
              </w:rPr>
            </w:pPr>
            <w:r>
              <w:rPr>
                <w:rFonts w:hint="eastAsia" w:ascii="仿宋" w:hAnsi="仿宋" w:eastAsia="仿宋" w:cs="仿宋"/>
                <w:bCs/>
                <w:iCs/>
                <w:color w:val="auto"/>
                <w:szCs w:val="21"/>
                <w:highlight w:val="none"/>
              </w:rPr>
              <w:t>8</w:t>
            </w:r>
          </w:p>
        </w:tc>
        <w:tc>
          <w:tcPr>
            <w:tcW w:w="1117" w:type="dxa"/>
            <w:vAlign w:val="center"/>
          </w:tcPr>
          <w:p>
            <w:pPr>
              <w:jc w:val="center"/>
              <w:rPr>
                <w:rFonts w:ascii="仿宋" w:hAnsi="仿宋" w:eastAsia="仿宋" w:cs="仿宋"/>
                <w:bCs/>
                <w:iCs/>
                <w:color w:val="auto"/>
                <w:szCs w:val="21"/>
                <w:highlight w:val="none"/>
              </w:rPr>
            </w:pPr>
          </w:p>
        </w:tc>
        <w:tc>
          <w:tcPr>
            <w:tcW w:w="5692" w:type="dxa"/>
            <w:vAlign w:val="center"/>
          </w:tcPr>
          <w:p>
            <w:pPr>
              <w:adjustRightInd/>
              <w:jc w:val="left"/>
              <w:rPr>
                <w:rFonts w:ascii="仿宋" w:hAnsi="仿宋" w:eastAsia="仿宋" w:cs="仿宋"/>
                <w:bCs/>
                <w:iCs/>
                <w:color w:val="auto"/>
                <w:szCs w:val="21"/>
                <w:highlight w:val="none"/>
              </w:rPr>
            </w:pPr>
          </w:p>
        </w:tc>
        <w:tc>
          <w:tcPr>
            <w:tcW w:w="836" w:type="dxa"/>
            <w:vAlign w:val="center"/>
          </w:tcPr>
          <w:p>
            <w:pPr>
              <w:adjustRightInd/>
              <w:spacing w:line="360" w:lineRule="auto"/>
              <w:jc w:val="center"/>
              <w:rPr>
                <w:rFonts w:ascii="仿宋" w:hAnsi="仿宋" w:eastAsia="仿宋" w:cs="仿宋"/>
                <w:bCs/>
                <w:iCs/>
                <w:color w:val="auto"/>
                <w:szCs w:val="21"/>
                <w:highlight w:val="none"/>
              </w:rPr>
            </w:pPr>
          </w:p>
        </w:tc>
        <w:tc>
          <w:tcPr>
            <w:tcW w:w="805" w:type="dxa"/>
            <w:vAlign w:val="top"/>
          </w:tcPr>
          <w:p>
            <w:pPr>
              <w:jc w:val="center"/>
              <w:rPr>
                <w:rFonts w:ascii="仿宋" w:hAnsi="仿宋" w:eastAsia="仿宋" w:cs="仿宋"/>
                <w:bCs/>
                <w:i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spacing w:line="360" w:lineRule="auto"/>
              <w:jc w:val="center"/>
              <w:outlineLvl w:val="0"/>
              <w:rPr>
                <w:rFonts w:ascii="仿宋" w:hAnsi="仿宋" w:eastAsia="仿宋" w:cs="仿宋"/>
                <w:color w:val="auto"/>
                <w:szCs w:val="21"/>
                <w:highlight w:val="none"/>
              </w:rPr>
            </w:pPr>
            <w:r>
              <w:rPr>
                <w:rFonts w:hint="eastAsia" w:ascii="仿宋" w:hAnsi="仿宋" w:eastAsia="仿宋" w:cs="仿宋"/>
                <w:color w:val="auto"/>
                <w:szCs w:val="21"/>
                <w:highlight w:val="none"/>
              </w:rPr>
              <w:t>9</w:t>
            </w:r>
          </w:p>
        </w:tc>
        <w:tc>
          <w:tcPr>
            <w:tcW w:w="1117" w:type="dxa"/>
            <w:vAlign w:val="center"/>
          </w:tcPr>
          <w:p>
            <w:pPr>
              <w:spacing w:line="360" w:lineRule="auto"/>
              <w:jc w:val="center"/>
              <w:rPr>
                <w:rFonts w:ascii="仿宋" w:hAnsi="仿宋" w:eastAsia="仿宋" w:cs="仿宋"/>
                <w:color w:val="auto"/>
                <w:szCs w:val="21"/>
                <w:highlight w:val="none"/>
              </w:rPr>
            </w:pPr>
          </w:p>
        </w:tc>
        <w:tc>
          <w:tcPr>
            <w:tcW w:w="5692" w:type="dxa"/>
            <w:vAlign w:val="center"/>
          </w:tcPr>
          <w:p>
            <w:pPr>
              <w:rPr>
                <w:rFonts w:ascii="仿宋" w:hAnsi="仿宋" w:eastAsia="仿宋" w:cs="仿宋"/>
                <w:color w:val="auto"/>
                <w:szCs w:val="21"/>
                <w:highlight w:val="none"/>
              </w:rPr>
            </w:pPr>
          </w:p>
        </w:tc>
        <w:tc>
          <w:tcPr>
            <w:tcW w:w="836" w:type="dxa"/>
            <w:vAlign w:val="center"/>
          </w:tcPr>
          <w:p>
            <w:pPr>
              <w:spacing w:line="360" w:lineRule="auto"/>
              <w:jc w:val="center"/>
              <w:rPr>
                <w:rFonts w:ascii="仿宋" w:hAnsi="仿宋" w:eastAsia="仿宋" w:cs="仿宋"/>
                <w:color w:val="auto"/>
                <w:szCs w:val="21"/>
                <w:highlight w:val="none"/>
              </w:rPr>
            </w:pPr>
          </w:p>
        </w:tc>
        <w:tc>
          <w:tcPr>
            <w:tcW w:w="805" w:type="dxa"/>
            <w:vAlign w:val="top"/>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1117" w:type="dxa"/>
            <w:vAlign w:val="center"/>
          </w:tcPr>
          <w:p>
            <w:pPr>
              <w:rPr>
                <w:rFonts w:ascii="仿宋" w:hAnsi="仿宋" w:eastAsia="仿宋" w:cs="仿宋"/>
                <w:color w:val="auto"/>
                <w:szCs w:val="21"/>
                <w:highlight w:val="none"/>
              </w:rPr>
            </w:pPr>
          </w:p>
        </w:tc>
        <w:tc>
          <w:tcPr>
            <w:tcW w:w="5692" w:type="dxa"/>
            <w:vAlign w:val="center"/>
          </w:tcPr>
          <w:p>
            <w:pPr>
              <w:rPr>
                <w:rFonts w:ascii="仿宋" w:hAnsi="仿宋" w:eastAsia="仿宋" w:cs="仿宋"/>
                <w:color w:val="auto"/>
                <w:szCs w:val="21"/>
                <w:highlight w:val="none"/>
              </w:rPr>
            </w:pPr>
          </w:p>
        </w:tc>
        <w:tc>
          <w:tcPr>
            <w:tcW w:w="836" w:type="dxa"/>
            <w:vAlign w:val="center"/>
          </w:tcPr>
          <w:p>
            <w:pPr>
              <w:spacing w:line="360" w:lineRule="auto"/>
              <w:jc w:val="center"/>
              <w:rPr>
                <w:rFonts w:ascii="仿宋" w:hAnsi="仿宋" w:eastAsia="仿宋" w:cs="仿宋"/>
                <w:color w:val="auto"/>
                <w:szCs w:val="21"/>
                <w:highlight w:val="none"/>
              </w:rPr>
            </w:pPr>
          </w:p>
        </w:tc>
        <w:tc>
          <w:tcPr>
            <w:tcW w:w="805" w:type="dxa"/>
            <w:vAlign w:val="top"/>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rPr>
                <w:rFonts w:ascii="仿宋" w:hAnsi="仿宋" w:eastAsia="仿宋" w:cs="仿宋"/>
                <w:color w:val="auto"/>
                <w:szCs w:val="21"/>
                <w:highlight w:val="none"/>
              </w:rPr>
            </w:pPr>
          </w:p>
        </w:tc>
        <w:tc>
          <w:tcPr>
            <w:tcW w:w="1117" w:type="dxa"/>
            <w:vAlign w:val="center"/>
          </w:tcPr>
          <w:p>
            <w:pPr>
              <w:rPr>
                <w:rFonts w:ascii="仿宋" w:hAnsi="仿宋" w:eastAsia="仿宋" w:cs="仿宋"/>
                <w:color w:val="auto"/>
                <w:szCs w:val="21"/>
                <w:highlight w:val="none"/>
              </w:rPr>
            </w:pPr>
          </w:p>
        </w:tc>
        <w:tc>
          <w:tcPr>
            <w:tcW w:w="5692" w:type="dxa"/>
            <w:vAlign w:val="center"/>
          </w:tcPr>
          <w:p>
            <w:pPr>
              <w:rPr>
                <w:rFonts w:ascii="仿宋" w:hAnsi="仿宋" w:eastAsia="仿宋" w:cs="仿宋"/>
                <w:color w:val="auto"/>
                <w:szCs w:val="21"/>
                <w:highlight w:val="none"/>
              </w:rPr>
            </w:pPr>
          </w:p>
        </w:tc>
        <w:tc>
          <w:tcPr>
            <w:tcW w:w="836" w:type="dxa"/>
            <w:vAlign w:val="center"/>
          </w:tcPr>
          <w:p>
            <w:pPr>
              <w:spacing w:line="360" w:lineRule="auto"/>
              <w:jc w:val="center"/>
              <w:rPr>
                <w:rFonts w:ascii="仿宋" w:hAnsi="仿宋" w:eastAsia="仿宋" w:cs="仿宋"/>
                <w:color w:val="auto"/>
                <w:szCs w:val="21"/>
                <w:highlight w:val="none"/>
              </w:rPr>
            </w:pPr>
          </w:p>
        </w:tc>
        <w:tc>
          <w:tcPr>
            <w:tcW w:w="805" w:type="dxa"/>
            <w:vAlign w:val="top"/>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adjustRightInd/>
              <w:jc w:val="center"/>
              <w:rPr>
                <w:rFonts w:ascii="仿宋" w:hAnsi="仿宋" w:eastAsia="仿宋" w:cs="仿宋"/>
                <w:color w:val="auto"/>
                <w:szCs w:val="21"/>
                <w:highlight w:val="none"/>
              </w:rPr>
            </w:pPr>
          </w:p>
        </w:tc>
        <w:tc>
          <w:tcPr>
            <w:tcW w:w="1117" w:type="dxa"/>
            <w:vAlign w:val="center"/>
          </w:tcPr>
          <w:p>
            <w:pPr>
              <w:adjustRightInd/>
              <w:jc w:val="center"/>
              <w:rPr>
                <w:rFonts w:ascii="仿宋" w:hAnsi="仿宋" w:eastAsia="仿宋" w:cs="仿宋"/>
                <w:color w:val="auto"/>
                <w:szCs w:val="21"/>
                <w:highlight w:val="none"/>
              </w:rPr>
            </w:pPr>
          </w:p>
        </w:tc>
        <w:tc>
          <w:tcPr>
            <w:tcW w:w="5692" w:type="dxa"/>
            <w:vAlign w:val="center"/>
          </w:tcPr>
          <w:p>
            <w:pPr>
              <w:rPr>
                <w:rFonts w:ascii="仿宋" w:hAnsi="仿宋" w:eastAsia="仿宋" w:cs="仿宋"/>
                <w:bCs/>
                <w:iCs/>
                <w:color w:val="auto"/>
                <w:szCs w:val="21"/>
                <w:highlight w:val="none"/>
              </w:rPr>
            </w:pPr>
          </w:p>
        </w:tc>
        <w:tc>
          <w:tcPr>
            <w:tcW w:w="836" w:type="dxa"/>
            <w:vAlign w:val="center"/>
          </w:tcPr>
          <w:p>
            <w:pPr>
              <w:spacing w:line="360" w:lineRule="auto"/>
              <w:jc w:val="center"/>
              <w:rPr>
                <w:rFonts w:ascii="仿宋" w:hAnsi="仿宋" w:eastAsia="仿宋" w:cs="仿宋"/>
                <w:bCs/>
                <w:iCs/>
                <w:color w:val="auto"/>
                <w:szCs w:val="21"/>
                <w:highlight w:val="none"/>
              </w:rPr>
            </w:pPr>
          </w:p>
        </w:tc>
        <w:tc>
          <w:tcPr>
            <w:tcW w:w="805" w:type="dxa"/>
            <w:vAlign w:val="top"/>
          </w:tcPr>
          <w:p>
            <w:pPr>
              <w:adjustRightInd/>
              <w:jc w:val="center"/>
              <w:rPr>
                <w:rFonts w:ascii="仿宋" w:hAnsi="仿宋" w:eastAsia="仿宋" w:cs="仿宋"/>
                <w:bCs/>
                <w:i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adjustRightInd/>
              <w:jc w:val="center"/>
              <w:rPr>
                <w:rFonts w:ascii="仿宋" w:hAnsi="仿宋" w:eastAsia="仿宋" w:cs="仿宋"/>
                <w:color w:val="auto"/>
                <w:szCs w:val="21"/>
                <w:highlight w:val="none"/>
              </w:rPr>
            </w:pPr>
          </w:p>
        </w:tc>
        <w:tc>
          <w:tcPr>
            <w:tcW w:w="1117" w:type="dxa"/>
            <w:vAlign w:val="center"/>
          </w:tcPr>
          <w:p>
            <w:pPr>
              <w:adjustRightInd/>
              <w:jc w:val="center"/>
              <w:rPr>
                <w:rFonts w:ascii="仿宋" w:hAnsi="仿宋" w:eastAsia="仿宋" w:cs="仿宋"/>
                <w:color w:val="auto"/>
                <w:szCs w:val="21"/>
                <w:highlight w:val="none"/>
              </w:rPr>
            </w:pPr>
          </w:p>
        </w:tc>
        <w:tc>
          <w:tcPr>
            <w:tcW w:w="5692" w:type="dxa"/>
            <w:vAlign w:val="center"/>
          </w:tcPr>
          <w:p>
            <w:pPr>
              <w:rPr>
                <w:rFonts w:ascii="仿宋" w:hAnsi="仿宋" w:eastAsia="仿宋" w:cs="仿宋"/>
                <w:bCs/>
                <w:iCs/>
                <w:color w:val="auto"/>
                <w:szCs w:val="21"/>
                <w:highlight w:val="none"/>
              </w:rPr>
            </w:pPr>
          </w:p>
        </w:tc>
        <w:tc>
          <w:tcPr>
            <w:tcW w:w="836" w:type="dxa"/>
            <w:vAlign w:val="center"/>
          </w:tcPr>
          <w:p>
            <w:pPr>
              <w:spacing w:line="360" w:lineRule="auto"/>
              <w:jc w:val="center"/>
              <w:rPr>
                <w:rFonts w:ascii="仿宋" w:hAnsi="仿宋" w:eastAsia="仿宋" w:cs="仿宋"/>
                <w:bCs/>
                <w:iCs/>
                <w:color w:val="auto"/>
                <w:szCs w:val="21"/>
                <w:highlight w:val="none"/>
              </w:rPr>
            </w:pPr>
          </w:p>
        </w:tc>
        <w:tc>
          <w:tcPr>
            <w:tcW w:w="805" w:type="dxa"/>
            <w:vAlign w:val="top"/>
          </w:tcPr>
          <w:p>
            <w:pPr>
              <w:adjustRightInd/>
              <w:jc w:val="center"/>
              <w:rPr>
                <w:rFonts w:ascii="仿宋" w:hAnsi="仿宋" w:eastAsia="仿宋" w:cs="仿宋"/>
                <w:bCs/>
                <w:i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vAlign w:val="center"/>
          </w:tcPr>
          <w:p>
            <w:pPr>
              <w:adjustRightInd/>
              <w:jc w:val="center"/>
              <w:rPr>
                <w:rFonts w:ascii="仿宋" w:hAnsi="仿宋" w:eastAsia="仿宋" w:cs="仿宋"/>
                <w:bCs/>
                <w:iCs/>
                <w:color w:val="auto"/>
                <w:szCs w:val="21"/>
                <w:highlight w:val="none"/>
              </w:rPr>
            </w:pPr>
          </w:p>
        </w:tc>
        <w:tc>
          <w:tcPr>
            <w:tcW w:w="1117" w:type="dxa"/>
            <w:vAlign w:val="center"/>
          </w:tcPr>
          <w:p>
            <w:pPr>
              <w:adjustRightInd/>
              <w:jc w:val="center"/>
              <w:rPr>
                <w:rFonts w:ascii="仿宋" w:hAnsi="仿宋" w:eastAsia="仿宋" w:cs="仿宋"/>
                <w:bCs/>
                <w:iCs/>
                <w:color w:val="auto"/>
                <w:szCs w:val="21"/>
                <w:highlight w:val="none"/>
              </w:rPr>
            </w:pPr>
          </w:p>
        </w:tc>
        <w:tc>
          <w:tcPr>
            <w:tcW w:w="5692" w:type="dxa"/>
            <w:vAlign w:val="center"/>
          </w:tcPr>
          <w:p>
            <w:pPr>
              <w:jc w:val="left"/>
              <w:rPr>
                <w:rFonts w:ascii="仿宋" w:hAnsi="仿宋" w:eastAsia="仿宋" w:cs="仿宋"/>
                <w:bCs/>
                <w:iCs/>
                <w:color w:val="auto"/>
                <w:szCs w:val="21"/>
                <w:highlight w:val="none"/>
              </w:rPr>
            </w:pPr>
          </w:p>
        </w:tc>
        <w:tc>
          <w:tcPr>
            <w:tcW w:w="836" w:type="dxa"/>
            <w:vAlign w:val="center"/>
          </w:tcPr>
          <w:p>
            <w:pPr>
              <w:spacing w:line="360" w:lineRule="auto"/>
              <w:jc w:val="center"/>
              <w:rPr>
                <w:rFonts w:ascii="仿宋" w:hAnsi="仿宋" w:eastAsia="仿宋" w:cs="仿宋"/>
                <w:bCs/>
                <w:iCs/>
                <w:color w:val="auto"/>
                <w:szCs w:val="21"/>
                <w:highlight w:val="none"/>
              </w:rPr>
            </w:pPr>
          </w:p>
        </w:tc>
        <w:tc>
          <w:tcPr>
            <w:tcW w:w="805" w:type="dxa"/>
            <w:vAlign w:val="top"/>
          </w:tcPr>
          <w:p>
            <w:pPr>
              <w:adjustRightInd/>
              <w:jc w:val="center"/>
              <w:rPr>
                <w:rFonts w:ascii="仿宋" w:hAnsi="仿宋" w:eastAsia="仿宋" w:cs="仿宋"/>
                <w:bCs/>
                <w:iCs/>
                <w:color w:val="auto"/>
                <w:szCs w:val="21"/>
                <w:highlight w:val="none"/>
              </w:rPr>
            </w:pPr>
          </w:p>
        </w:tc>
      </w:tr>
    </w:tbl>
    <w:p>
      <w:pP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八、商务</w:t>
      </w:r>
      <w:r>
        <w:rPr>
          <w:rFonts w:hint="eastAsia" w:ascii="仿宋_GB2312" w:hAnsi="仿宋" w:eastAsia="仿宋_GB2312" w:cs="仿宋_GB2312"/>
          <w:b/>
          <w:color w:val="auto"/>
          <w:kern w:val="0"/>
          <w:sz w:val="32"/>
          <w:szCs w:val="32"/>
          <w:highlight w:val="none"/>
          <w:lang w:val="en-US" w:eastAsia="zh-CN"/>
        </w:rPr>
        <w:t>响应</w:t>
      </w:r>
      <w:r>
        <w:rPr>
          <w:rFonts w:hint="eastAsia" w:ascii="仿宋_GB2312" w:hAnsi="仿宋" w:eastAsia="仿宋_GB2312" w:cs="仿宋_GB2312"/>
          <w:b/>
          <w:color w:val="auto"/>
          <w:kern w:val="0"/>
          <w:sz w:val="32"/>
          <w:szCs w:val="32"/>
          <w:highlight w:val="none"/>
        </w:rPr>
        <w:t>表</w:t>
      </w:r>
    </w:p>
    <w:tbl>
      <w:tblPr>
        <w:tblStyle w:val="20"/>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bl>
    <w:p>
      <w:pPr>
        <w:spacing w:line="360" w:lineRule="auto"/>
        <w:ind w:firstLine="480" w:firstLineChars="20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en-US" w:eastAsia="zh-CN"/>
        </w:rPr>
        <w:t>注</w:t>
      </w:r>
      <w:r>
        <w:rPr>
          <w:rFonts w:hint="eastAsia" w:ascii="仿宋_GB2312" w:hAnsi="仿宋" w:eastAsia="仿宋_GB2312" w:cs="仿宋_GB2312"/>
          <w:color w:val="auto"/>
          <w:kern w:val="0"/>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1.用数量来表示的需求，必须用确切的数字、单位来响应。</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2.没有填写在</w:t>
      </w:r>
      <w:r>
        <w:rPr>
          <w:rFonts w:hint="eastAsia" w:ascii="仿宋" w:hAnsi="仿宋" w:eastAsia="仿宋" w:cs="仿宋"/>
          <w:color w:val="auto"/>
          <w:sz w:val="24"/>
          <w:highlight w:val="none"/>
          <w:lang w:val="en-US" w:eastAsia="zh-CN"/>
        </w:rPr>
        <w:t>响应</w:t>
      </w:r>
      <w:r>
        <w:rPr>
          <w:rFonts w:hint="eastAsia" w:ascii="仿宋" w:hAnsi="仿宋" w:eastAsia="仿宋" w:cs="仿宋"/>
          <w:color w:val="auto"/>
          <w:sz w:val="24"/>
          <w:highlight w:val="none"/>
        </w:rPr>
        <w:t>表中的其它所有</w:t>
      </w:r>
      <w:r>
        <w:rPr>
          <w:rFonts w:hint="eastAsia" w:ascii="仿宋" w:hAnsi="仿宋" w:eastAsia="仿宋" w:cs="仿宋"/>
          <w:color w:val="auto"/>
          <w:sz w:val="24"/>
          <w:highlight w:val="none"/>
          <w:lang w:val="en-US" w:eastAsia="zh-CN"/>
        </w:rPr>
        <w:t>商务</w:t>
      </w:r>
      <w:r>
        <w:rPr>
          <w:rFonts w:hint="eastAsia" w:ascii="仿宋" w:hAnsi="仿宋" w:eastAsia="仿宋" w:cs="仿宋"/>
          <w:color w:val="auto"/>
          <w:sz w:val="24"/>
          <w:highlight w:val="none"/>
        </w:rPr>
        <w:t>条款都默认为完全响应采购文件要求。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3.此表仅提供了表格形式，投标人应根据需要准备足够数量的表格来填写。</w:t>
      </w:r>
    </w:p>
    <w:p>
      <w:pPr>
        <w:jc w:val="left"/>
        <w:rPr>
          <w:rFonts w:ascii="仿宋_GB2312" w:hAnsi="仿宋" w:eastAsia="仿宋_GB2312" w:cs="仿宋_GB2312"/>
          <w:color w:val="auto"/>
          <w:kern w:val="0"/>
          <w:sz w:val="24"/>
          <w:highlight w:val="none"/>
        </w:rPr>
      </w:pPr>
    </w:p>
    <w:p>
      <w:pPr>
        <w:rPr>
          <w:color w:val="auto"/>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九、</w:t>
      </w:r>
      <w:r>
        <w:rPr>
          <w:rFonts w:hint="eastAsia" w:ascii="仿宋_GB2312" w:hAnsi="仿宋" w:eastAsia="仿宋_GB2312" w:cs="仿宋_GB2312"/>
          <w:b/>
          <w:color w:val="auto"/>
          <w:kern w:val="0"/>
          <w:sz w:val="32"/>
          <w:szCs w:val="32"/>
          <w:highlight w:val="none"/>
        </w:rPr>
        <w:t>技术偏离表</w:t>
      </w:r>
    </w:p>
    <w:tbl>
      <w:tblPr>
        <w:tblStyle w:val="20"/>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投标人保证：除技术偏离表列出的偏离外，投标人响应招标文件的全部要求</w:t>
      </w: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jc w:val="center"/>
        <w:rPr>
          <w:rFonts w:hint="eastAsia" w:ascii="仿宋_GB2312" w:hAnsi="仿宋" w:eastAsia="仿宋_GB2312" w:cs="仿宋_GB2312"/>
          <w:b/>
          <w:color w:val="auto"/>
          <w:kern w:val="0"/>
          <w:sz w:val="32"/>
          <w:szCs w:val="32"/>
          <w:highlight w:val="none"/>
          <w:lang w:val="en-US" w:eastAsia="zh-CN"/>
        </w:rPr>
      </w:pPr>
      <w:r>
        <w:rPr>
          <w:rFonts w:hint="eastAsia" w:ascii="仿宋_GB2312" w:hAnsi="仿宋" w:eastAsia="仿宋_GB2312" w:cs="仿宋_GB2312"/>
          <w:b/>
          <w:color w:val="auto"/>
          <w:kern w:val="0"/>
          <w:sz w:val="32"/>
          <w:szCs w:val="32"/>
          <w:highlight w:val="none"/>
          <w:lang w:val="en-US" w:eastAsia="zh-CN"/>
        </w:rPr>
        <w:t>十、成功案例</w:t>
      </w:r>
    </w:p>
    <w:tbl>
      <w:tblPr>
        <w:tblStyle w:val="2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563"/>
        <w:gridCol w:w="1559"/>
        <w:gridCol w:w="1559"/>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560"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1563"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简要描述（用户名、规模。合同金额等）</w:t>
            </w:r>
          </w:p>
        </w:tc>
        <w:tc>
          <w:tcPr>
            <w:tcW w:w="1559"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地点</w:t>
            </w:r>
          </w:p>
        </w:tc>
        <w:tc>
          <w:tcPr>
            <w:tcW w:w="1559"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采购单位联系人及电话</w:t>
            </w:r>
          </w:p>
        </w:tc>
        <w:tc>
          <w:tcPr>
            <w:tcW w:w="1559"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签约</w:t>
            </w:r>
            <w:r>
              <w:rPr>
                <w:rFonts w:hint="eastAsia" w:ascii="仿宋" w:hAnsi="仿宋" w:eastAsia="仿宋" w:cs="仿宋"/>
                <w:color w:val="auto"/>
                <w:sz w:val="24"/>
                <w:highlight w:val="none"/>
              </w:rPr>
              <w:t>时间</w:t>
            </w:r>
          </w:p>
        </w:tc>
        <w:tc>
          <w:tcPr>
            <w:tcW w:w="1559" w:type="dxa"/>
            <w:noWrap w:val="0"/>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560" w:type="dxa"/>
            <w:noWrap w:val="0"/>
            <w:vAlign w:val="center"/>
          </w:tcPr>
          <w:p>
            <w:pPr>
              <w:adjustRightInd w:val="0"/>
              <w:snapToGrid w:val="0"/>
              <w:jc w:val="center"/>
              <w:rPr>
                <w:rFonts w:hint="eastAsia" w:ascii="仿宋" w:hAnsi="仿宋" w:eastAsia="仿宋" w:cs="仿宋"/>
                <w:color w:val="auto"/>
                <w:highlight w:val="none"/>
              </w:rPr>
            </w:pPr>
          </w:p>
        </w:tc>
        <w:tc>
          <w:tcPr>
            <w:tcW w:w="1563"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560" w:type="dxa"/>
            <w:noWrap w:val="0"/>
            <w:vAlign w:val="center"/>
          </w:tcPr>
          <w:p>
            <w:pPr>
              <w:adjustRightInd w:val="0"/>
              <w:snapToGrid w:val="0"/>
              <w:jc w:val="center"/>
              <w:rPr>
                <w:rFonts w:hint="eastAsia" w:ascii="仿宋" w:hAnsi="仿宋" w:eastAsia="仿宋" w:cs="仿宋"/>
                <w:color w:val="auto"/>
                <w:highlight w:val="none"/>
              </w:rPr>
            </w:pPr>
          </w:p>
        </w:tc>
        <w:tc>
          <w:tcPr>
            <w:tcW w:w="1563"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560" w:type="dxa"/>
            <w:noWrap w:val="0"/>
            <w:vAlign w:val="center"/>
          </w:tcPr>
          <w:p>
            <w:pPr>
              <w:adjustRightInd w:val="0"/>
              <w:snapToGrid w:val="0"/>
              <w:jc w:val="center"/>
              <w:rPr>
                <w:rFonts w:hint="eastAsia" w:ascii="仿宋" w:hAnsi="仿宋" w:eastAsia="仿宋" w:cs="仿宋"/>
                <w:color w:val="auto"/>
                <w:highlight w:val="none"/>
              </w:rPr>
            </w:pPr>
          </w:p>
        </w:tc>
        <w:tc>
          <w:tcPr>
            <w:tcW w:w="1563"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560" w:type="dxa"/>
            <w:noWrap w:val="0"/>
            <w:vAlign w:val="center"/>
          </w:tcPr>
          <w:p>
            <w:pPr>
              <w:adjustRightInd w:val="0"/>
              <w:snapToGrid w:val="0"/>
              <w:jc w:val="center"/>
              <w:rPr>
                <w:rFonts w:hint="eastAsia" w:ascii="仿宋" w:hAnsi="仿宋" w:eastAsia="仿宋" w:cs="仿宋"/>
                <w:color w:val="auto"/>
                <w:highlight w:val="none"/>
              </w:rPr>
            </w:pPr>
          </w:p>
        </w:tc>
        <w:tc>
          <w:tcPr>
            <w:tcW w:w="1563"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c>
          <w:tcPr>
            <w:tcW w:w="1559" w:type="dxa"/>
            <w:noWrap w:val="0"/>
            <w:vAlign w:val="center"/>
          </w:tcPr>
          <w:p>
            <w:pPr>
              <w:pStyle w:val="86"/>
              <w:adjustRightInd w:val="0"/>
              <w:snapToGrid w:val="0"/>
              <w:rPr>
                <w:rFonts w:hint="eastAsia" w:ascii="仿宋" w:hAnsi="仿宋" w:eastAsia="仿宋" w:cs="仿宋"/>
                <w:color w:val="auto"/>
                <w:sz w:val="21"/>
                <w:highlight w:val="none"/>
              </w:rPr>
            </w:pPr>
          </w:p>
        </w:tc>
        <w:tc>
          <w:tcPr>
            <w:tcW w:w="1559" w:type="dxa"/>
            <w:noWrap w:val="0"/>
            <w:vAlign w:val="center"/>
          </w:tcPr>
          <w:p>
            <w:pPr>
              <w:adjustRightInd w:val="0"/>
              <w:snapToGrid w:val="0"/>
              <w:jc w:val="center"/>
              <w:rPr>
                <w:rFonts w:hint="eastAsia" w:ascii="仿宋" w:hAnsi="仿宋" w:eastAsia="仿宋" w:cs="仿宋"/>
                <w:color w:val="auto"/>
                <w:highlight w:val="none"/>
              </w:rPr>
            </w:pPr>
          </w:p>
        </w:tc>
      </w:tr>
    </w:tbl>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jc w:val="center"/>
        <w:rPr>
          <w:rFonts w:hint="eastAsia" w:ascii="仿宋_GB2312" w:hAnsi="仿宋" w:eastAsia="仿宋_GB2312" w:cs="仿宋_GB2312"/>
          <w:b/>
          <w:color w:val="auto"/>
          <w:kern w:val="0"/>
          <w:sz w:val="32"/>
          <w:szCs w:val="32"/>
          <w:highlight w:val="none"/>
          <w:lang w:val="en-US" w:eastAsia="zh-CN"/>
        </w:rPr>
      </w:pPr>
    </w:p>
    <w:p>
      <w:pPr>
        <w:jc w:val="center"/>
        <w:rPr>
          <w:rFonts w:hint="eastAsia" w:ascii="仿宋_GB2312" w:hAnsi="仿宋" w:eastAsia="仿宋_GB2312" w:cs="仿宋_GB2312"/>
          <w:b/>
          <w:color w:val="auto"/>
          <w:kern w:val="0"/>
          <w:sz w:val="32"/>
          <w:szCs w:val="32"/>
          <w:highlight w:val="none"/>
          <w:lang w:val="en-US" w:eastAsia="zh-CN"/>
        </w:rPr>
      </w:pPr>
    </w:p>
    <w:p>
      <w:pPr>
        <w:jc w:val="center"/>
        <w:rPr>
          <w:rFonts w:hint="eastAsia" w:ascii="仿宋_GB2312" w:hAnsi="仿宋" w:eastAsia="仿宋_GB2312" w:cs="仿宋_GB2312"/>
          <w:b/>
          <w:color w:val="auto"/>
          <w:kern w:val="0"/>
          <w:sz w:val="32"/>
          <w:szCs w:val="32"/>
          <w:highlight w:val="none"/>
          <w:lang w:val="en-US" w:eastAsia="zh-CN"/>
        </w:rPr>
      </w:pPr>
    </w:p>
    <w:p>
      <w:pPr>
        <w:jc w:val="center"/>
        <w:rPr>
          <w:rFonts w:hint="eastAsia" w:ascii="仿宋_GB2312" w:hAnsi="仿宋" w:eastAsia="仿宋_GB2312" w:cs="仿宋_GB2312"/>
          <w:b/>
          <w:color w:val="auto"/>
          <w:kern w:val="0"/>
          <w:sz w:val="32"/>
          <w:szCs w:val="32"/>
          <w:highlight w:val="none"/>
          <w:lang w:val="en-US" w:eastAsia="zh-CN"/>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十一</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pStyle w:val="17"/>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pStyle w:val="34"/>
        <w:tabs>
          <w:tab w:val="clear" w:pos="720"/>
        </w:tabs>
        <w:snapToGrid w:val="0"/>
        <w:spacing w:before="120" w:after="120"/>
        <w:jc w:val="center"/>
        <w:outlineLvl w:val="9"/>
        <w:rPr>
          <w:rFonts w:hint="default" w:ascii="仿宋_GB2312" w:hAnsi="仿宋" w:eastAsia="仿宋_GB2312" w:cs="仿宋_GB2312"/>
          <w:color w:val="auto"/>
          <w:kern w:val="2"/>
          <w:sz w:val="32"/>
          <w:szCs w:val="32"/>
          <w:highlight w:val="none"/>
          <w:lang w:val="en-US" w:eastAsia="zh-CN"/>
        </w:rPr>
      </w:pPr>
      <w:r>
        <w:rPr>
          <w:rFonts w:hint="eastAsia" w:ascii="仿宋_GB2312" w:hAnsi="仿宋" w:eastAsia="仿宋_GB2312" w:cs="仿宋_GB2312"/>
          <w:color w:val="auto"/>
          <w:kern w:val="2"/>
          <w:sz w:val="32"/>
          <w:szCs w:val="32"/>
          <w:highlight w:val="none"/>
        </w:rPr>
        <w:t>一、开标一览表（报价表）</w:t>
      </w:r>
      <w:r>
        <w:rPr>
          <w:rFonts w:hint="eastAsia" w:ascii="仿宋_GB2312" w:hAnsi="仿宋" w:eastAsia="仿宋_GB2312" w:cs="仿宋_GB2312"/>
          <w:color w:val="auto"/>
          <w:kern w:val="2"/>
          <w:sz w:val="32"/>
          <w:szCs w:val="32"/>
          <w:highlight w:val="none"/>
          <w:lang w:eastAsia="zh-CN"/>
        </w:rPr>
        <w:t>（标项</w:t>
      </w:r>
      <w:r>
        <w:rPr>
          <w:rFonts w:hint="eastAsia" w:ascii="仿宋_GB2312" w:hAnsi="仿宋" w:eastAsia="仿宋_GB2312" w:cs="仿宋_GB2312"/>
          <w:color w:val="auto"/>
          <w:kern w:val="2"/>
          <w:sz w:val="32"/>
          <w:szCs w:val="32"/>
          <w:highlight w:val="none"/>
          <w:lang w:val="en-US" w:eastAsia="zh-CN"/>
        </w:rPr>
        <w:t>*）</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rPr>
        <w:t>（项目名称：）</w:t>
      </w:r>
      <w:r>
        <w:rPr>
          <w:rFonts w:hint="eastAsia" w:ascii="仿宋_GB2312" w:hAnsi="仿宋" w:eastAsia="仿宋_GB2312" w:cs="仿宋_GB2312"/>
          <w:color w:val="auto"/>
          <w:kern w:val="0"/>
          <w:sz w:val="24"/>
          <w:highlight w:val="none"/>
          <w:lang w:val="zh-CN"/>
        </w:rPr>
        <w:t>【项目编号：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20"/>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275"/>
        <w:gridCol w:w="2182"/>
        <w:gridCol w:w="765"/>
        <w:gridCol w:w="765"/>
        <w:gridCol w:w="855"/>
        <w:gridCol w:w="1305"/>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767"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1275"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项目名称</w:t>
            </w:r>
          </w:p>
        </w:tc>
        <w:tc>
          <w:tcPr>
            <w:tcW w:w="2182" w:type="dxa"/>
            <w:vAlign w:val="top"/>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规格型号（或具体服务）</w:t>
            </w:r>
          </w:p>
        </w:tc>
        <w:tc>
          <w:tcPr>
            <w:tcW w:w="765" w:type="dxa"/>
            <w:vAlign w:val="center"/>
          </w:tcPr>
          <w:p>
            <w:pPr>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cs="仿宋_GB2312"/>
                <w:b/>
                <w:color w:val="auto"/>
                <w:sz w:val="24"/>
                <w:highlight w:val="none"/>
                <w:lang w:eastAsia="zh-CN"/>
              </w:rPr>
              <w:t>单位</w:t>
            </w:r>
          </w:p>
        </w:tc>
        <w:tc>
          <w:tcPr>
            <w:tcW w:w="765" w:type="dxa"/>
            <w:vAlign w:val="center"/>
          </w:tcPr>
          <w:p>
            <w:pPr>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cs="仿宋_GB2312"/>
                <w:b/>
                <w:color w:val="auto"/>
                <w:sz w:val="24"/>
                <w:highlight w:val="none"/>
                <w:lang w:eastAsia="zh-CN"/>
              </w:rPr>
              <w:t>数量</w:t>
            </w:r>
          </w:p>
        </w:tc>
        <w:tc>
          <w:tcPr>
            <w:tcW w:w="855" w:type="dxa"/>
            <w:vAlign w:val="center"/>
          </w:tcPr>
          <w:p>
            <w:pPr>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b/>
                <w:color w:val="auto"/>
                <w:sz w:val="24"/>
                <w:highlight w:val="none"/>
                <w:lang w:eastAsia="zh-CN"/>
              </w:rPr>
              <w:t>单价</w:t>
            </w:r>
          </w:p>
        </w:tc>
        <w:tc>
          <w:tcPr>
            <w:tcW w:w="1305" w:type="dxa"/>
            <w:vAlign w:val="center"/>
          </w:tcPr>
          <w:p>
            <w:pPr>
              <w:spacing w:line="360" w:lineRule="auto"/>
              <w:jc w:val="center"/>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lang w:eastAsia="zh-CN"/>
              </w:rPr>
              <w:t>合计</w:t>
            </w:r>
          </w:p>
        </w:tc>
        <w:tc>
          <w:tcPr>
            <w:tcW w:w="923" w:type="dxa"/>
            <w:vAlign w:val="center"/>
          </w:tcPr>
          <w:p>
            <w:pPr>
              <w:spacing w:line="360" w:lineRule="auto"/>
              <w:jc w:val="center"/>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67"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275" w:type="dxa"/>
            <w:vMerge w:val="restart"/>
            <w:vAlign w:val="center"/>
          </w:tcPr>
          <w:p>
            <w:pPr>
              <w:snapToGrid w:val="0"/>
              <w:spacing w:line="360" w:lineRule="auto"/>
              <w:jc w:val="center"/>
              <w:rPr>
                <w:rFonts w:ascii="仿宋_GB2312" w:hAnsi="仿宋" w:eastAsia="仿宋_GB2312" w:cs="仿宋_GB2312"/>
                <w:color w:val="auto"/>
                <w:sz w:val="24"/>
                <w:highlight w:val="none"/>
              </w:rPr>
            </w:pPr>
          </w:p>
        </w:tc>
        <w:tc>
          <w:tcPr>
            <w:tcW w:w="2182" w:type="dxa"/>
            <w:vAlign w:val="center"/>
          </w:tcPr>
          <w:p>
            <w:pPr>
              <w:snapToGrid w:val="0"/>
              <w:spacing w:line="360" w:lineRule="auto"/>
              <w:jc w:val="center"/>
              <w:rPr>
                <w:rFonts w:ascii="仿宋_GB2312" w:hAnsi="仿宋" w:eastAsia="仿宋_GB2312" w:cs="仿宋_GB2312"/>
                <w:color w:val="auto"/>
                <w:sz w:val="24"/>
                <w:highlight w:val="none"/>
              </w:rPr>
            </w:pPr>
          </w:p>
        </w:tc>
        <w:tc>
          <w:tcPr>
            <w:tcW w:w="765" w:type="dxa"/>
            <w:vAlign w:val="center"/>
          </w:tcPr>
          <w:p>
            <w:pPr>
              <w:snapToGrid w:val="0"/>
              <w:spacing w:line="360" w:lineRule="auto"/>
              <w:jc w:val="center"/>
              <w:rPr>
                <w:rFonts w:ascii="仿宋_GB2312" w:hAnsi="仿宋" w:eastAsia="仿宋_GB2312" w:cs="仿宋_GB2312"/>
                <w:color w:val="auto"/>
                <w:sz w:val="24"/>
                <w:highlight w:val="none"/>
              </w:rPr>
            </w:pPr>
          </w:p>
        </w:tc>
        <w:tc>
          <w:tcPr>
            <w:tcW w:w="765" w:type="dxa"/>
            <w:vAlign w:val="center"/>
          </w:tcPr>
          <w:p>
            <w:pPr>
              <w:snapToGrid w:val="0"/>
              <w:spacing w:line="360" w:lineRule="auto"/>
              <w:jc w:val="center"/>
              <w:rPr>
                <w:rFonts w:ascii="仿宋_GB2312" w:hAnsi="仿宋" w:eastAsia="仿宋_GB2312" w:cs="仿宋_GB2312"/>
                <w:color w:val="auto"/>
                <w:sz w:val="24"/>
                <w:highlight w:val="none"/>
              </w:rPr>
            </w:pPr>
          </w:p>
        </w:tc>
        <w:tc>
          <w:tcPr>
            <w:tcW w:w="855" w:type="dxa"/>
            <w:vAlign w:val="center"/>
          </w:tcPr>
          <w:p>
            <w:pPr>
              <w:snapToGrid w:val="0"/>
              <w:spacing w:line="360" w:lineRule="auto"/>
              <w:jc w:val="center"/>
              <w:rPr>
                <w:rFonts w:ascii="仿宋_GB2312" w:hAnsi="仿宋" w:eastAsia="仿宋_GB2312" w:cs="仿宋_GB2312"/>
                <w:color w:val="auto"/>
                <w:sz w:val="24"/>
                <w:highlight w:val="none"/>
              </w:rPr>
            </w:pPr>
          </w:p>
        </w:tc>
        <w:tc>
          <w:tcPr>
            <w:tcW w:w="1305" w:type="dxa"/>
            <w:vAlign w:val="center"/>
          </w:tcPr>
          <w:p>
            <w:pPr>
              <w:spacing w:line="360" w:lineRule="auto"/>
              <w:jc w:val="center"/>
              <w:rPr>
                <w:rFonts w:ascii="仿宋_GB2312" w:hAnsi="仿宋" w:eastAsia="仿宋_GB2312" w:cs="仿宋_GB2312"/>
                <w:color w:val="auto"/>
                <w:sz w:val="24"/>
                <w:highlight w:val="none"/>
              </w:rPr>
            </w:pPr>
          </w:p>
        </w:tc>
        <w:tc>
          <w:tcPr>
            <w:tcW w:w="923"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67" w:type="dxa"/>
            <w:vAlign w:val="center"/>
          </w:tcPr>
          <w:p>
            <w:pPr>
              <w:spacing w:line="360" w:lineRule="auto"/>
              <w:jc w:val="center"/>
              <w:rPr>
                <w:rFonts w:hint="default"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w:t>
            </w:r>
          </w:p>
        </w:tc>
        <w:tc>
          <w:tcPr>
            <w:tcW w:w="1275" w:type="dxa"/>
            <w:vMerge w:val="continue"/>
            <w:vAlign w:val="center"/>
          </w:tcPr>
          <w:p>
            <w:pPr>
              <w:snapToGrid w:val="0"/>
              <w:spacing w:line="360" w:lineRule="auto"/>
              <w:jc w:val="center"/>
              <w:rPr>
                <w:rFonts w:ascii="仿宋_GB2312" w:hAnsi="仿宋" w:eastAsia="仿宋_GB2312" w:cs="仿宋_GB2312"/>
                <w:color w:val="auto"/>
                <w:sz w:val="24"/>
                <w:highlight w:val="none"/>
              </w:rPr>
            </w:pPr>
          </w:p>
        </w:tc>
        <w:tc>
          <w:tcPr>
            <w:tcW w:w="2182" w:type="dxa"/>
            <w:vAlign w:val="center"/>
          </w:tcPr>
          <w:p>
            <w:pPr>
              <w:snapToGrid w:val="0"/>
              <w:spacing w:line="360" w:lineRule="auto"/>
              <w:jc w:val="center"/>
              <w:rPr>
                <w:rFonts w:ascii="仿宋_GB2312" w:hAnsi="仿宋" w:eastAsia="仿宋_GB2312" w:cs="仿宋_GB2312"/>
                <w:color w:val="auto"/>
                <w:sz w:val="24"/>
                <w:highlight w:val="none"/>
              </w:rPr>
            </w:pPr>
          </w:p>
        </w:tc>
        <w:tc>
          <w:tcPr>
            <w:tcW w:w="765" w:type="dxa"/>
            <w:vAlign w:val="center"/>
          </w:tcPr>
          <w:p>
            <w:pPr>
              <w:snapToGrid w:val="0"/>
              <w:spacing w:line="360" w:lineRule="auto"/>
              <w:jc w:val="center"/>
              <w:rPr>
                <w:rFonts w:ascii="仿宋_GB2312" w:hAnsi="仿宋" w:eastAsia="仿宋_GB2312" w:cs="仿宋_GB2312"/>
                <w:color w:val="auto"/>
                <w:sz w:val="24"/>
                <w:highlight w:val="none"/>
              </w:rPr>
            </w:pPr>
          </w:p>
        </w:tc>
        <w:tc>
          <w:tcPr>
            <w:tcW w:w="765" w:type="dxa"/>
            <w:vAlign w:val="center"/>
          </w:tcPr>
          <w:p>
            <w:pPr>
              <w:snapToGrid w:val="0"/>
              <w:spacing w:line="360" w:lineRule="auto"/>
              <w:jc w:val="center"/>
              <w:rPr>
                <w:rFonts w:ascii="仿宋_GB2312" w:hAnsi="仿宋" w:eastAsia="仿宋_GB2312" w:cs="仿宋_GB2312"/>
                <w:color w:val="auto"/>
                <w:sz w:val="24"/>
                <w:highlight w:val="none"/>
              </w:rPr>
            </w:pPr>
          </w:p>
        </w:tc>
        <w:tc>
          <w:tcPr>
            <w:tcW w:w="855" w:type="dxa"/>
            <w:vAlign w:val="center"/>
          </w:tcPr>
          <w:p>
            <w:pPr>
              <w:snapToGrid w:val="0"/>
              <w:spacing w:line="360" w:lineRule="auto"/>
              <w:jc w:val="center"/>
              <w:rPr>
                <w:rFonts w:ascii="仿宋_GB2312" w:hAnsi="仿宋" w:eastAsia="仿宋_GB2312" w:cs="仿宋_GB2312"/>
                <w:color w:val="auto"/>
                <w:sz w:val="24"/>
                <w:highlight w:val="none"/>
              </w:rPr>
            </w:pPr>
          </w:p>
        </w:tc>
        <w:tc>
          <w:tcPr>
            <w:tcW w:w="1305" w:type="dxa"/>
            <w:vAlign w:val="center"/>
          </w:tcPr>
          <w:p>
            <w:pPr>
              <w:spacing w:line="360" w:lineRule="auto"/>
              <w:jc w:val="center"/>
              <w:rPr>
                <w:rFonts w:ascii="仿宋_GB2312" w:hAnsi="仿宋" w:eastAsia="仿宋_GB2312" w:cs="仿宋_GB2312"/>
                <w:color w:val="auto"/>
                <w:sz w:val="24"/>
                <w:highlight w:val="none"/>
              </w:rPr>
            </w:pPr>
          </w:p>
        </w:tc>
        <w:tc>
          <w:tcPr>
            <w:tcW w:w="923"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754" w:type="dxa"/>
            <w:gridSpan w:val="5"/>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投标报价（元）</w:t>
            </w:r>
          </w:p>
        </w:tc>
        <w:tc>
          <w:tcPr>
            <w:tcW w:w="3083" w:type="dxa"/>
            <w:gridSpan w:val="3"/>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754" w:type="dxa"/>
            <w:gridSpan w:val="5"/>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备注</w:t>
            </w:r>
          </w:p>
        </w:tc>
        <w:tc>
          <w:tcPr>
            <w:tcW w:w="3083" w:type="dxa"/>
            <w:gridSpan w:val="3"/>
            <w:vAlign w:val="center"/>
          </w:tcPr>
          <w:p>
            <w:pPr>
              <w:spacing w:line="360" w:lineRule="auto"/>
              <w:jc w:val="center"/>
              <w:rPr>
                <w:rFonts w:ascii="仿宋_GB2312" w:hAnsi="仿宋" w:eastAsia="仿宋_GB2312" w:cs="仿宋_GB2312"/>
                <w:color w:val="auto"/>
                <w:sz w:val="24"/>
                <w:highlight w:val="none"/>
              </w:rPr>
            </w:pPr>
          </w:p>
        </w:tc>
      </w:tr>
    </w:tbl>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r>
        <w:rPr>
          <w:rFonts w:ascii="仿宋_GB2312" w:hAnsi="仿宋" w:eastAsia="仿宋_GB2312" w:cs="仿宋_GB2312"/>
          <w:color w:val="auto"/>
          <w:kern w:val="0"/>
          <w:sz w:val="24"/>
          <w:highlight w:val="none"/>
          <w:lang w:val="zh-CN"/>
        </w:rPr>
        <w:t>1</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lang w:val="zh-CN"/>
        </w:rPr>
        <w:t>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lang w:val="zh-CN"/>
        </w:rPr>
        <w:t>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lang w:val="zh-CN"/>
        </w:rPr>
        <w:t>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szCs w:val="22"/>
          <w:highlight w:val="none"/>
        </w:rPr>
        <w:t>.</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firstLine="480" w:firstLineChars="200"/>
        <w:rPr>
          <w:rFonts w:ascii="仿宋_GB2312" w:hAnsi="仿宋" w:eastAsia="仿宋_GB2312"/>
          <w:b/>
          <w:color w:val="auto"/>
          <w:kern w:val="0"/>
          <w:sz w:val="24"/>
          <w:highlight w:val="none"/>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rFonts w:ascii="仿宋_GB2312" w:hAnsi="仿宋" w:eastAsia="仿宋_GB2312" w:cs="仿宋_GB2312"/>
          <w:color w:val="auto"/>
          <w:sz w:val="32"/>
          <w:szCs w:val="32"/>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372" w:name="OLE_LINK13"/>
      <w:bookmarkStart w:id="373" w:name="OLE_LINK14"/>
      <w:r>
        <w:rPr>
          <w:rFonts w:hint="eastAsia" w:ascii="仿宋_GB2312" w:hAnsi="仿宋" w:eastAsia="仿宋_GB2312"/>
          <w:b/>
          <w:color w:val="auto"/>
          <w:spacing w:val="6"/>
          <w:sz w:val="32"/>
          <w:szCs w:val="32"/>
          <w:highlight w:val="none"/>
        </w:rPr>
        <w:t>残疾人福利性单位声明函</w:t>
      </w:r>
    </w:p>
    <w:bookmarkEnd w:id="372"/>
    <w:bookmarkEnd w:id="373"/>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z w:val="24"/>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rPr>
          <w:rFonts w:hint="eastAsia" w:ascii="仿宋" w:hAnsi="仿宋" w:eastAsia="仿宋"/>
          <w:b/>
          <w:color w:val="auto"/>
          <w:spacing w:val="6"/>
          <w:sz w:val="32"/>
          <w:szCs w:val="32"/>
          <w:highlight w:val="none"/>
        </w:rPr>
      </w:pPr>
    </w:p>
    <w:p>
      <w:pPr>
        <w:autoSpaceDE w:val="0"/>
        <w:autoSpaceDN w:val="0"/>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附件4：</w:t>
      </w:r>
      <w:r>
        <w:rPr>
          <w:rFonts w:hint="eastAsia" w:ascii="仿宋_GB2312" w:hAnsi="宋体" w:eastAsia="仿宋_GB2312"/>
          <w:b/>
          <w:color w:val="auto"/>
          <w:sz w:val="32"/>
          <w:szCs w:val="32"/>
          <w:highlight w:val="none"/>
        </w:rPr>
        <w:t>中小企业声明函</w:t>
      </w:r>
    </w:p>
    <w:p>
      <w:pPr>
        <w:spacing w:line="360" w:lineRule="auto"/>
        <w:jc w:val="both"/>
        <w:rPr>
          <w:rFonts w:hint="eastAsia"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065"/>
        <w:gridCol w:w="900"/>
        <w:gridCol w:w="1530"/>
        <w:gridCol w:w="1110"/>
        <w:gridCol w:w="1260"/>
        <w:gridCol w:w="123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lang w:eastAsia="zh-CN"/>
              </w:rPr>
            </w:pPr>
            <w:r>
              <w:rPr>
                <w:rFonts w:hint="eastAsia" w:ascii="仿宋" w:hAnsi="仿宋" w:eastAsia="仿宋" w:cs="仿宋"/>
                <w:color w:val="auto"/>
                <w:sz w:val="24"/>
                <w:highlight w:val="none"/>
                <w:vertAlign w:val="baseline"/>
                <w:lang w:eastAsia="zh-CN"/>
              </w:rPr>
              <w:t>序号</w:t>
            </w:r>
          </w:p>
        </w:tc>
        <w:tc>
          <w:tcPr>
            <w:tcW w:w="1065"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标的名称</w:t>
            </w:r>
          </w:p>
        </w:tc>
        <w:tc>
          <w:tcPr>
            <w:tcW w:w="90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所属行业</w:t>
            </w:r>
          </w:p>
        </w:tc>
        <w:tc>
          <w:tcPr>
            <w:tcW w:w="153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lang w:eastAsia="zh-CN"/>
              </w:rPr>
            </w:pPr>
            <w:r>
              <w:rPr>
                <w:rFonts w:hint="eastAsia" w:ascii="仿宋" w:hAnsi="仿宋" w:eastAsia="仿宋" w:cs="仿宋"/>
                <w:color w:val="auto"/>
                <w:sz w:val="24"/>
                <w:highlight w:val="none"/>
              </w:rPr>
              <w:t>承建（承接）企业</w:t>
            </w:r>
            <w:r>
              <w:rPr>
                <w:rFonts w:hint="eastAsia" w:ascii="仿宋" w:hAnsi="仿宋" w:eastAsia="仿宋" w:cs="仿宋"/>
                <w:color w:val="auto"/>
                <w:sz w:val="24"/>
                <w:highlight w:val="none"/>
                <w:lang w:eastAsia="zh-CN"/>
              </w:rPr>
              <w:t>名称</w:t>
            </w:r>
          </w:p>
        </w:tc>
        <w:tc>
          <w:tcPr>
            <w:tcW w:w="111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lang w:eastAsia="zh-CN"/>
              </w:rPr>
            </w:pP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lang w:eastAsia="zh-CN"/>
              </w:rPr>
              <w:t>数量</w:t>
            </w:r>
          </w:p>
        </w:tc>
        <w:tc>
          <w:tcPr>
            <w:tcW w:w="126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lang w:eastAsia="zh-CN"/>
              </w:rPr>
            </w:pPr>
            <w:r>
              <w:rPr>
                <w:rFonts w:hint="eastAsia" w:ascii="仿宋" w:hAnsi="仿宋" w:eastAsia="仿宋" w:cs="仿宋"/>
                <w:color w:val="auto"/>
                <w:sz w:val="24"/>
                <w:highlight w:val="none"/>
              </w:rPr>
              <w:t>营业收入</w:t>
            </w:r>
            <w:r>
              <w:rPr>
                <w:rFonts w:hint="eastAsia" w:ascii="仿宋" w:hAnsi="仿宋" w:eastAsia="仿宋" w:cs="仿宋"/>
                <w:color w:val="auto"/>
                <w:sz w:val="24"/>
                <w:highlight w:val="none"/>
                <w:lang w:eastAsia="zh-CN"/>
              </w:rPr>
              <w:t>（万元）</w:t>
            </w:r>
          </w:p>
        </w:tc>
        <w:tc>
          <w:tcPr>
            <w:tcW w:w="123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lang w:eastAsia="zh-CN"/>
              </w:rPr>
            </w:pPr>
            <w:r>
              <w:rPr>
                <w:rFonts w:hint="eastAsia" w:ascii="仿宋" w:hAnsi="仿宋" w:eastAsia="仿宋" w:cs="仿宋"/>
                <w:color w:val="auto"/>
                <w:sz w:val="24"/>
                <w:highlight w:val="none"/>
              </w:rPr>
              <w:t>资产总额</w:t>
            </w:r>
            <w:r>
              <w:rPr>
                <w:rFonts w:hint="eastAsia" w:ascii="仿宋" w:hAnsi="仿宋" w:eastAsia="仿宋" w:cs="仿宋"/>
                <w:color w:val="auto"/>
                <w:sz w:val="24"/>
                <w:highlight w:val="none"/>
                <w:lang w:eastAsia="zh-CN"/>
              </w:rPr>
              <w:t>（万元）</w:t>
            </w:r>
          </w:p>
        </w:tc>
        <w:tc>
          <w:tcPr>
            <w:tcW w:w="1403"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lang w:eastAsia="zh-CN"/>
              </w:rPr>
            </w:pPr>
            <w:r>
              <w:rPr>
                <w:rFonts w:hint="eastAsia" w:ascii="仿宋" w:hAnsi="仿宋" w:eastAsia="仿宋" w:cs="仿宋"/>
                <w:color w:val="auto"/>
                <w:sz w:val="24"/>
                <w:highlight w:val="none"/>
                <w:vertAlign w:val="baseline"/>
                <w:lang w:eastAsia="zh-CN"/>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1</w:t>
            </w:r>
          </w:p>
        </w:tc>
        <w:tc>
          <w:tcPr>
            <w:tcW w:w="1065"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90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153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111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126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123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1403"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r>
              <w:rPr>
                <w:rFonts w:hint="eastAsia" w:ascii="仿宋" w:hAnsi="仿宋" w:eastAsia="仿宋" w:cs="仿宋"/>
                <w:color w:val="auto"/>
                <w:sz w:val="24"/>
                <w:highlight w:val="none"/>
                <w:vertAlign w:val="baseline"/>
              </w:rPr>
              <w:sym w:font="Wingdings" w:char="00A8"/>
            </w:r>
            <w:r>
              <w:rPr>
                <w:rFonts w:hint="eastAsia" w:ascii="仿宋" w:hAnsi="仿宋" w:eastAsia="仿宋" w:cs="仿宋"/>
                <w:color w:val="auto"/>
                <w:sz w:val="24"/>
                <w:highlight w:val="none"/>
                <w:vertAlign w:val="baseline"/>
              </w:rPr>
              <w:t>中型企业</w:t>
            </w:r>
          </w:p>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r>
              <w:rPr>
                <w:rFonts w:hint="eastAsia" w:ascii="仿宋" w:hAnsi="仿宋" w:eastAsia="仿宋" w:cs="仿宋"/>
                <w:color w:val="auto"/>
                <w:sz w:val="24"/>
                <w:highlight w:val="none"/>
                <w:vertAlign w:val="baseline"/>
              </w:rPr>
              <w:sym w:font="Wingdings" w:char="00A8"/>
            </w:r>
            <w:r>
              <w:rPr>
                <w:rFonts w:hint="eastAsia" w:ascii="仿宋" w:hAnsi="仿宋" w:eastAsia="仿宋" w:cs="仿宋"/>
                <w:color w:val="auto"/>
                <w:sz w:val="24"/>
                <w:highlight w:val="none"/>
                <w:vertAlign w:val="baseline"/>
              </w:rPr>
              <w:t>小型企业</w:t>
            </w:r>
          </w:p>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r>
              <w:rPr>
                <w:rFonts w:hint="eastAsia" w:ascii="仿宋" w:hAnsi="仿宋" w:eastAsia="仿宋" w:cs="仿宋"/>
                <w:color w:val="auto"/>
                <w:sz w:val="24"/>
                <w:highlight w:val="none"/>
                <w:vertAlign w:val="baseline"/>
              </w:rPr>
              <w:sym w:font="Wingdings" w:char="00A8"/>
            </w:r>
            <w:r>
              <w:rPr>
                <w:rFonts w:hint="eastAsia" w:ascii="仿宋" w:hAnsi="仿宋" w:eastAsia="仿宋" w:cs="仿宋"/>
                <w:color w:val="auto"/>
                <w:sz w:val="24"/>
                <w:highlight w:val="none"/>
                <w:vertAlign w:val="baseline"/>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88"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w:t>
            </w:r>
          </w:p>
        </w:tc>
        <w:tc>
          <w:tcPr>
            <w:tcW w:w="1065"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90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153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111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126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1230"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c>
          <w:tcPr>
            <w:tcW w:w="1403" w:type="dxa"/>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auto"/>
                <w:sz w:val="24"/>
                <w:highlight w:val="none"/>
                <w:vertAlign w:val="baseline"/>
              </w:rPr>
            </w:pPr>
          </w:p>
        </w:tc>
      </w:tr>
    </w:tbl>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spacing w:line="52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widowControl/>
        <w:spacing w:line="52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1.投标人提供的中小企业声明函与实际情况不符的，视为投标人提供虚假材料投标，投标无效。</w:t>
      </w:r>
    </w:p>
    <w:p>
      <w:pPr>
        <w:widowControl/>
        <w:spacing w:line="52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2.根据《政府采购促进中小企业发展管理办法》的通知（财库〔2020〕46号）规定，中标、成交供应商享受中小企业扶持政策的，采购代理机构将随中标、成交结果公开中标、成交供应商的《中小企业声明函》。</w:t>
      </w:r>
    </w:p>
    <w:p>
      <w:pPr>
        <w:widowControl/>
        <w:spacing w:line="52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符合《关于促进残疾人就业政府采购政策的通知》（财库〔2017〕141号）规定的条件并提供《残疾人福利性单位声明函》（附件1）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widowControl/>
        <w:spacing w:line="52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①中标供应商为残疾人福利性单位的，其《残疾人福利性单位声明函》随中标结果同时公告，接受社会监督。</w:t>
      </w:r>
    </w:p>
    <w:p>
      <w:pPr>
        <w:spacing w:line="588" w:lineRule="exact"/>
        <w:jc w:val="left"/>
        <w:rPr>
          <w:rFonts w:ascii="仿宋" w:hAnsi="仿宋" w:eastAsia="仿宋" w:cs="仿宋"/>
          <w:b/>
          <w:color w:val="auto"/>
          <w:spacing w:val="6"/>
          <w:sz w:val="24"/>
          <w:highlight w:val="none"/>
        </w:rPr>
      </w:pPr>
      <w:r>
        <w:rPr>
          <w:rFonts w:hint="eastAsia" w:ascii="仿宋" w:hAnsi="仿宋" w:eastAsia="仿宋" w:cs="仿宋"/>
          <w:color w:val="auto"/>
          <w:sz w:val="24"/>
          <w:highlight w:val="none"/>
        </w:rPr>
        <w:t>②供应商提供的《残疾人福利性单位声明函》与事实不符的，依照《政府采购法》第七十七条第一款的规定追究法律责任。</w:t>
      </w: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rPr>
          <w:color w:val="auto"/>
          <w:highlight w:val="none"/>
        </w:rPr>
      </w:pPr>
    </w:p>
    <w:p>
      <w:pPr>
        <w:pStyle w:val="80"/>
        <w:widowControl w:val="0"/>
        <w:snapToGrid w:val="0"/>
        <w:spacing w:line="360" w:lineRule="auto"/>
        <w:rPr>
          <w:color w:val="auto"/>
          <w:highlight w:val="none"/>
        </w:rPr>
      </w:pPr>
    </w:p>
    <w:p>
      <w:pPr>
        <w:pStyle w:val="80"/>
        <w:widowControl w:val="0"/>
        <w:snapToGrid w:val="0"/>
        <w:spacing w:line="360" w:lineRule="auto"/>
        <w:ind w:firstLine="420" w:firstLineChars="200"/>
        <w:rPr>
          <w:rFonts w:hint="default" w:ascii="仿宋" w:hAnsi="仿宋" w:eastAsia="仿宋" w:cs="仿宋"/>
          <w:color w:val="auto"/>
          <w:sz w:val="24"/>
          <w:szCs w:val="24"/>
          <w:highlight w:val="none"/>
        </w:rPr>
      </w:pPr>
      <w:r>
        <w:rPr>
          <w:color w:val="auto"/>
          <w:highlight w:val="none"/>
        </w:rPr>
        <w:fldChar w:fldCharType="begin"/>
      </w:r>
      <w:r>
        <w:rPr>
          <w:color w:val="auto"/>
          <w:highlight w:val="none"/>
        </w:rPr>
        <w:instrText xml:space="preserve"> HYPERLINK "mailto:根据浙江省财政厅关于印发《浙江省政府采购活动现场组织管理办法》的通知（浙财采监【2015】13号）文件要求，由各投标供应商在投标文件解密后半小时内如实填写政府采购活动现场确认声明书，并以扫描件形式发送至271184168@qq.com邮箱，如未如实填写，将有可能影响你的投标文件评审（政府采购活动现场确认声明书格式见附表）。" </w:instrText>
      </w:r>
      <w:r>
        <w:rPr>
          <w:color w:val="auto"/>
          <w:highlight w:val="none"/>
        </w:rPr>
        <w:fldChar w:fldCharType="separate"/>
      </w:r>
      <w:r>
        <w:rPr>
          <w:rStyle w:val="25"/>
          <w:rFonts w:ascii="仿宋" w:hAnsi="仿宋" w:eastAsia="仿宋" w:cs="仿宋"/>
          <w:color w:val="auto"/>
          <w:sz w:val="24"/>
          <w:szCs w:val="24"/>
          <w:highlight w:val="none"/>
        </w:rPr>
        <w:t>根据浙江省财政厅关于印发《浙江省政府采购活动现场组织管理办法》的通知（浙财采监【2015】13号）文件要求，由各投标供应商在投标文件解密后半小时内如实填写政府采购活动现场确认声明书，并以扫描件形式发送至402666980@qq.com邮箱，如未如实填写，将有可能影响你的投标文件评审（政府采购活动现场确认声明书格式如下）。</w:t>
      </w:r>
      <w:r>
        <w:rPr>
          <w:rStyle w:val="25"/>
          <w:rFonts w:ascii="仿宋" w:hAnsi="仿宋" w:eastAsia="仿宋" w:cs="仿宋"/>
          <w:color w:val="auto"/>
          <w:sz w:val="24"/>
          <w:szCs w:val="24"/>
          <w:highlight w:val="none"/>
        </w:rPr>
        <w:fldChar w:fldCharType="end"/>
      </w:r>
    </w:p>
    <w:p>
      <w:pPr>
        <w:pStyle w:val="80"/>
        <w:widowControl w:val="0"/>
        <w:snapToGrid w:val="0"/>
        <w:spacing w:line="360" w:lineRule="auto"/>
        <w:ind w:firstLine="480" w:firstLineChars="200"/>
        <w:rPr>
          <w:rFonts w:hint="default" w:ascii="仿宋" w:hAnsi="仿宋" w:eastAsia="仿宋" w:cs="仿宋"/>
          <w:color w:val="auto"/>
          <w:sz w:val="24"/>
          <w:szCs w:val="24"/>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p>
    <w:p>
      <w:pPr>
        <w:pStyle w:val="80"/>
        <w:widowControl w:val="0"/>
        <w:snapToGrid w:val="0"/>
        <w:spacing w:line="360" w:lineRule="auto"/>
        <w:jc w:val="center"/>
        <w:rPr>
          <w:rFonts w:hint="default" w:ascii="仿宋" w:hAnsi="仿宋" w:eastAsia="仿宋" w:cs="仿宋"/>
          <w:b/>
          <w:bCs/>
          <w:color w:val="auto"/>
          <w:sz w:val="28"/>
          <w:szCs w:val="28"/>
          <w:highlight w:val="none"/>
        </w:rPr>
      </w:pPr>
      <w:r>
        <w:rPr>
          <w:rFonts w:ascii="仿宋" w:hAnsi="仿宋" w:eastAsia="仿宋" w:cs="仿宋"/>
          <w:b/>
          <w:bCs/>
          <w:color w:val="auto"/>
          <w:sz w:val="28"/>
          <w:szCs w:val="28"/>
          <w:highlight w:val="none"/>
        </w:rPr>
        <w:t>政府采购活动现场确认声明书</w:t>
      </w:r>
    </w:p>
    <w:p>
      <w:pPr>
        <w:pStyle w:val="80"/>
        <w:widowControl w:val="0"/>
        <w:snapToGrid w:val="0"/>
        <w:spacing w:line="360" w:lineRule="auto"/>
        <w:jc w:val="both"/>
        <w:rPr>
          <w:rFonts w:hint="default" w:ascii="仿宋" w:hAnsi="仿宋" w:eastAsia="仿宋" w:cs="仿宋"/>
          <w:b/>
          <w:color w:val="auto"/>
          <w:sz w:val="24"/>
          <w:szCs w:val="24"/>
          <w:highlight w:val="none"/>
        </w:rPr>
      </w:pPr>
      <w:r>
        <w:rPr>
          <w:rFonts w:hint="eastAsia" w:ascii="仿宋" w:hAnsi="仿宋" w:eastAsia="仿宋" w:cs="仿宋"/>
          <w:color w:val="auto"/>
          <w:kern w:val="0"/>
          <w:sz w:val="24"/>
          <w:szCs w:val="24"/>
          <w:highlight w:val="none"/>
          <w:u w:val="single"/>
          <w:lang w:eastAsia="zh-CN"/>
        </w:rPr>
        <w:t>浙江越锋项目管理有限公司</w:t>
      </w:r>
      <w:r>
        <w:rPr>
          <w:rFonts w:ascii="仿宋" w:hAnsi="仿宋" w:eastAsia="仿宋" w:cs="仿宋"/>
          <w:color w:val="auto"/>
          <w:kern w:val="0"/>
          <w:sz w:val="24"/>
          <w:szCs w:val="24"/>
          <w:highlight w:val="none"/>
        </w:rPr>
        <w:t>：</w:t>
      </w:r>
    </w:p>
    <w:p>
      <w:pPr>
        <w:pStyle w:val="80"/>
        <w:widowControl w:val="0"/>
        <w:snapToGrid w:val="0"/>
        <w:spacing w:line="360" w:lineRule="auto"/>
        <w:ind w:firstLine="504" w:firstLineChars="200"/>
        <w:jc w:val="both"/>
        <w:rPr>
          <w:rFonts w:hint="default" w:ascii="仿宋" w:hAnsi="仿宋" w:eastAsia="仿宋" w:cs="仿宋"/>
          <w:color w:val="auto"/>
          <w:spacing w:val="6"/>
          <w:sz w:val="24"/>
          <w:szCs w:val="24"/>
          <w:highlight w:val="none"/>
        </w:rPr>
      </w:pPr>
      <w:r>
        <w:rPr>
          <w:rFonts w:ascii="仿宋" w:hAnsi="仿宋" w:eastAsia="仿宋" w:cs="仿宋"/>
          <w:color w:val="auto"/>
          <w:spacing w:val="6"/>
          <w:sz w:val="24"/>
          <w:szCs w:val="24"/>
          <w:highlight w:val="none"/>
        </w:rPr>
        <w:t>本人</w:t>
      </w:r>
      <w:r>
        <w:rPr>
          <w:rFonts w:ascii="仿宋" w:hAnsi="仿宋" w:eastAsia="仿宋" w:cs="仿宋"/>
          <w:color w:val="auto"/>
          <w:spacing w:val="6"/>
          <w:sz w:val="24"/>
          <w:szCs w:val="24"/>
          <w:highlight w:val="none"/>
          <w:u w:val="single"/>
        </w:rPr>
        <w:t xml:space="preserve">     </w:t>
      </w:r>
      <w:r>
        <w:rPr>
          <w:rFonts w:ascii="仿宋" w:hAnsi="仿宋" w:eastAsia="仿宋" w:cs="仿宋"/>
          <w:color w:val="auto"/>
          <w:spacing w:val="6"/>
          <w:sz w:val="24"/>
          <w:szCs w:val="24"/>
          <w:highlight w:val="none"/>
        </w:rPr>
        <w:t>经由</w:t>
      </w:r>
      <w:r>
        <w:rPr>
          <w:rFonts w:ascii="仿宋" w:hAnsi="仿宋" w:eastAsia="仿宋" w:cs="仿宋"/>
          <w:color w:val="auto"/>
          <w:spacing w:val="6"/>
          <w:sz w:val="24"/>
          <w:szCs w:val="24"/>
          <w:highlight w:val="none"/>
          <w:u w:val="single"/>
        </w:rPr>
        <w:t xml:space="preserve">                         （单位）</w:t>
      </w:r>
      <w:r>
        <w:rPr>
          <w:rFonts w:ascii="仿宋" w:hAnsi="仿宋" w:eastAsia="仿宋" w:cs="仿宋"/>
          <w:color w:val="auto"/>
          <w:spacing w:val="6"/>
          <w:sz w:val="24"/>
          <w:szCs w:val="24"/>
          <w:highlight w:val="none"/>
        </w:rPr>
        <w:t>负责人</w:t>
      </w:r>
      <w:r>
        <w:rPr>
          <w:rFonts w:ascii="仿宋" w:hAnsi="仿宋" w:eastAsia="仿宋" w:cs="仿宋"/>
          <w:color w:val="auto"/>
          <w:spacing w:val="6"/>
          <w:sz w:val="24"/>
          <w:szCs w:val="24"/>
          <w:highlight w:val="none"/>
          <w:u w:val="single"/>
        </w:rPr>
        <w:t xml:space="preserve"> </w:t>
      </w:r>
      <w:r>
        <w:rPr>
          <w:rFonts w:ascii="仿宋" w:hAnsi="仿宋" w:eastAsia="仿宋" w:cs="仿宋"/>
          <w:i/>
          <w:iCs/>
          <w:color w:val="auto"/>
          <w:spacing w:val="6"/>
          <w:sz w:val="24"/>
          <w:szCs w:val="24"/>
          <w:highlight w:val="none"/>
          <w:u w:val="single"/>
        </w:rPr>
        <w:t xml:space="preserve">     </w:t>
      </w:r>
      <w:r>
        <w:rPr>
          <w:rFonts w:ascii="仿宋" w:hAnsi="仿宋" w:eastAsia="仿宋" w:cs="仿宋"/>
          <w:color w:val="auto"/>
          <w:spacing w:val="6"/>
          <w:sz w:val="24"/>
          <w:szCs w:val="24"/>
          <w:highlight w:val="none"/>
          <w:u w:val="single"/>
        </w:rPr>
        <w:t>（姓名）</w:t>
      </w:r>
      <w:r>
        <w:rPr>
          <w:rFonts w:ascii="仿宋" w:hAnsi="仿宋" w:eastAsia="仿宋" w:cs="仿宋"/>
          <w:color w:val="auto"/>
          <w:spacing w:val="6"/>
          <w:sz w:val="24"/>
          <w:szCs w:val="24"/>
          <w:highlight w:val="none"/>
        </w:rPr>
        <w:t xml:space="preserve">合法授权参加 </w:t>
      </w:r>
      <w:r>
        <w:rPr>
          <w:rFonts w:ascii="仿宋" w:hAnsi="仿宋" w:eastAsia="仿宋" w:cs="仿宋"/>
          <w:color w:val="auto"/>
          <w:spacing w:val="6"/>
          <w:sz w:val="24"/>
          <w:szCs w:val="24"/>
          <w:highlight w:val="none"/>
          <w:u w:val="single"/>
        </w:rPr>
        <w:t xml:space="preserve">                        </w:t>
      </w:r>
      <w:r>
        <w:rPr>
          <w:rFonts w:ascii="仿宋" w:hAnsi="仿宋" w:eastAsia="仿宋" w:cs="仿宋"/>
          <w:color w:val="auto"/>
          <w:spacing w:val="6"/>
          <w:sz w:val="24"/>
          <w:szCs w:val="24"/>
          <w:highlight w:val="none"/>
        </w:rPr>
        <w:t>（项目编号：</w:t>
      </w:r>
      <w:r>
        <w:rPr>
          <w:rFonts w:hint="eastAsia" w:ascii="仿宋" w:hAnsi="仿宋" w:eastAsia="仿宋" w:cs="仿宋"/>
          <w:color w:val="auto"/>
          <w:spacing w:val="6"/>
          <w:sz w:val="24"/>
          <w:szCs w:val="24"/>
          <w:highlight w:val="none"/>
          <w:u w:val="single"/>
          <w:lang w:eastAsia="zh-CN"/>
        </w:rPr>
        <w:t>zjyf2023-12</w:t>
      </w:r>
      <w:r>
        <w:rPr>
          <w:rFonts w:ascii="仿宋" w:hAnsi="仿宋" w:eastAsia="仿宋" w:cs="仿宋"/>
          <w:color w:val="auto"/>
          <w:spacing w:val="6"/>
          <w:sz w:val="24"/>
          <w:szCs w:val="24"/>
          <w:highlight w:val="none"/>
        </w:rPr>
        <w:t xml:space="preserve">）政府采购活动，经与本单位法人代表（负责人）联系确认，现就有关公平竞争事项郑重声明如下： </w:t>
      </w:r>
    </w:p>
    <w:p>
      <w:pPr>
        <w:pStyle w:val="81"/>
        <w:widowControl/>
        <w:snapToGrid w:val="0"/>
        <w:spacing w:line="360" w:lineRule="auto"/>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一、本单位与采购人之间 </w:t>
      </w:r>
    </w:p>
    <w:p>
      <w:pPr>
        <w:pStyle w:val="81"/>
        <w:widowControl/>
        <w:snapToGrid w:val="0"/>
        <w:spacing w:line="360" w:lineRule="auto"/>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□不存在利害关系;</w:t>
      </w:r>
    </w:p>
    <w:p>
      <w:pPr>
        <w:pStyle w:val="81"/>
        <w:widowControl/>
        <w:snapToGrid w:val="0"/>
        <w:spacing w:line="360" w:lineRule="auto"/>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□存在下列利害关系</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w:t>
      </w:r>
    </w:p>
    <w:p>
      <w:pPr>
        <w:pStyle w:val="81"/>
        <w:widowControl/>
        <w:snapToGrid w:val="0"/>
        <w:spacing w:line="360" w:lineRule="auto"/>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A.投资关系    B.行政隶属关系    C.业务指导关系</w:t>
      </w:r>
    </w:p>
    <w:p>
      <w:pPr>
        <w:pStyle w:val="81"/>
        <w:widowControl/>
        <w:snapToGrid w:val="0"/>
        <w:spacing w:line="360" w:lineRule="auto"/>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D.其他可能</w:t>
      </w:r>
      <w:r>
        <w:rPr>
          <w:rFonts w:ascii="仿宋" w:hAnsi="仿宋" w:eastAsia="仿宋" w:cs="仿宋"/>
          <w:color w:val="auto"/>
          <w:sz w:val="24"/>
          <w:szCs w:val="24"/>
          <w:highlight w:val="none"/>
        </w:rPr>
        <w:t>影响采购公正的</w:t>
      </w:r>
      <w:r>
        <w:rPr>
          <w:rFonts w:ascii="仿宋" w:hAnsi="仿宋" w:eastAsia="仿宋" w:cs="仿宋"/>
          <w:color w:val="auto"/>
          <w:kern w:val="0"/>
          <w:sz w:val="24"/>
          <w:szCs w:val="24"/>
          <w:highlight w:val="none"/>
        </w:rPr>
        <w:t>利害关系</w:t>
      </w:r>
      <w:r>
        <w:rPr>
          <w:rFonts w:ascii="仿宋" w:hAnsi="仿宋" w:eastAsia="仿宋" w:cs="仿宋"/>
          <w:color w:val="auto"/>
          <w:kern w:val="0"/>
          <w:sz w:val="24"/>
          <w:szCs w:val="24"/>
          <w:highlight w:val="none"/>
          <w:u w:val="single"/>
        </w:rPr>
        <w:t xml:space="preserve">（如有，请如实说明）                 </w:t>
      </w:r>
      <w:r>
        <w:rPr>
          <w:rFonts w:ascii="仿宋" w:hAnsi="仿宋" w:eastAsia="仿宋" w:cs="仿宋"/>
          <w:color w:val="auto"/>
          <w:kern w:val="0"/>
          <w:sz w:val="24"/>
          <w:szCs w:val="24"/>
          <w:highlight w:val="none"/>
        </w:rPr>
        <w:t>。</w:t>
      </w:r>
    </w:p>
    <w:p>
      <w:pPr>
        <w:pStyle w:val="81"/>
        <w:widowControl/>
        <w:snapToGrid w:val="0"/>
        <w:spacing w:line="360" w:lineRule="auto"/>
        <w:rPr>
          <w:rFonts w:hint="default" w:ascii="仿宋" w:hAnsi="仿宋" w:eastAsia="仿宋" w:cs="仿宋"/>
          <w:color w:val="auto"/>
          <w:kern w:val="0"/>
          <w:sz w:val="24"/>
          <w:szCs w:val="24"/>
          <w:highlight w:val="none"/>
        </w:rPr>
      </w:pPr>
      <w:r>
        <w:rPr>
          <w:rFonts w:ascii="仿宋" w:hAnsi="仿宋" w:eastAsia="仿宋" w:cs="仿宋"/>
          <w:color w:val="auto"/>
          <w:spacing w:val="6"/>
          <w:sz w:val="24"/>
          <w:szCs w:val="24"/>
          <w:highlight w:val="none"/>
        </w:rPr>
        <w:t>二、</w:t>
      </w:r>
      <w:r>
        <w:rPr>
          <w:rFonts w:ascii="仿宋" w:hAnsi="仿宋" w:eastAsia="仿宋" w:cs="仿宋"/>
          <w:color w:val="auto"/>
          <w:kern w:val="0"/>
          <w:sz w:val="24"/>
          <w:szCs w:val="24"/>
          <w:highlight w:val="none"/>
        </w:rPr>
        <w:t xml:space="preserve">现已清楚知道参加本项目采购活动的其他所有供应商名称，本单位 </w:t>
      </w:r>
    </w:p>
    <w:p>
      <w:pPr>
        <w:pStyle w:val="81"/>
        <w:widowControl/>
        <w:snapToGrid w:val="0"/>
        <w:spacing w:line="360" w:lineRule="auto"/>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□与其他所有供应商之间均不存在利害关系 </w:t>
      </w:r>
    </w:p>
    <w:p>
      <w:pPr>
        <w:pStyle w:val="81"/>
        <w:widowControl/>
        <w:snapToGrid w:val="0"/>
        <w:spacing w:line="360" w:lineRule="auto"/>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□与</w:t>
      </w:r>
      <w:r>
        <w:rPr>
          <w:rFonts w:ascii="仿宋" w:hAnsi="仿宋" w:eastAsia="仿宋" w:cs="仿宋"/>
          <w:color w:val="auto"/>
          <w:kern w:val="0"/>
          <w:sz w:val="24"/>
          <w:szCs w:val="24"/>
          <w:highlight w:val="none"/>
          <w:u w:val="single"/>
        </w:rPr>
        <w:t xml:space="preserve">           （供应商名称）</w:t>
      </w:r>
      <w:r>
        <w:rPr>
          <w:rFonts w:ascii="仿宋" w:hAnsi="仿宋" w:eastAsia="仿宋" w:cs="仿宋"/>
          <w:color w:val="auto"/>
          <w:kern w:val="0"/>
          <w:sz w:val="24"/>
          <w:szCs w:val="24"/>
          <w:highlight w:val="none"/>
        </w:rPr>
        <w:t>之间存在下列利害关系</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w:t>
      </w:r>
    </w:p>
    <w:p>
      <w:pPr>
        <w:pStyle w:val="80"/>
        <w:widowControl w:val="0"/>
        <w:snapToGrid w:val="0"/>
        <w:spacing w:line="360" w:lineRule="auto"/>
        <w:jc w:val="both"/>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A.法定代表人或负责人或实际控制人是同一人</w:t>
      </w:r>
    </w:p>
    <w:p>
      <w:pPr>
        <w:pStyle w:val="80"/>
        <w:widowControl w:val="0"/>
        <w:snapToGrid w:val="0"/>
        <w:spacing w:line="360" w:lineRule="auto"/>
        <w:jc w:val="both"/>
        <w:rPr>
          <w:rFonts w:hint="default" w:ascii="仿宋" w:hAnsi="仿宋" w:eastAsia="仿宋" w:cs="仿宋"/>
          <w:color w:val="auto"/>
          <w:spacing w:val="6"/>
          <w:sz w:val="24"/>
          <w:szCs w:val="24"/>
          <w:highlight w:val="none"/>
        </w:rPr>
      </w:pPr>
      <w:r>
        <w:rPr>
          <w:rFonts w:ascii="仿宋" w:hAnsi="仿宋" w:eastAsia="仿宋" w:cs="仿宋"/>
          <w:color w:val="auto"/>
          <w:kern w:val="0"/>
          <w:sz w:val="24"/>
          <w:szCs w:val="24"/>
          <w:highlight w:val="none"/>
        </w:rPr>
        <w:t xml:space="preserve">  B.法定代表人或负责人或实际控制人是夫妻关系</w:t>
      </w:r>
    </w:p>
    <w:p>
      <w:pPr>
        <w:pStyle w:val="80"/>
        <w:widowControl w:val="0"/>
        <w:snapToGrid w:val="0"/>
        <w:spacing w:line="360" w:lineRule="auto"/>
        <w:jc w:val="both"/>
        <w:rPr>
          <w:rFonts w:hint="default" w:ascii="仿宋" w:hAnsi="仿宋" w:eastAsia="仿宋" w:cs="仿宋"/>
          <w:color w:val="auto"/>
          <w:spacing w:val="6"/>
          <w:sz w:val="24"/>
          <w:szCs w:val="24"/>
          <w:highlight w:val="none"/>
        </w:rPr>
      </w:pPr>
      <w:r>
        <w:rPr>
          <w:rFonts w:ascii="仿宋" w:hAnsi="仿宋" w:eastAsia="仿宋" w:cs="仿宋"/>
          <w:color w:val="auto"/>
          <w:kern w:val="0"/>
          <w:sz w:val="24"/>
          <w:szCs w:val="24"/>
          <w:highlight w:val="none"/>
        </w:rPr>
        <w:t xml:space="preserve">  C.法定代表人或负责人或实际控制人是直系血亲关系</w:t>
      </w:r>
    </w:p>
    <w:p>
      <w:pPr>
        <w:pStyle w:val="80"/>
        <w:widowControl w:val="0"/>
        <w:snapToGrid w:val="0"/>
        <w:spacing w:line="360" w:lineRule="auto"/>
        <w:jc w:val="both"/>
        <w:rPr>
          <w:rFonts w:hint="default" w:ascii="仿宋" w:hAnsi="仿宋" w:eastAsia="仿宋" w:cs="仿宋"/>
          <w:color w:val="auto"/>
          <w:spacing w:val="6"/>
          <w:sz w:val="24"/>
          <w:szCs w:val="24"/>
          <w:highlight w:val="none"/>
        </w:rPr>
      </w:pPr>
      <w:r>
        <w:rPr>
          <w:rFonts w:ascii="仿宋" w:hAnsi="仿宋" w:eastAsia="仿宋" w:cs="仿宋"/>
          <w:color w:val="auto"/>
          <w:kern w:val="0"/>
          <w:sz w:val="24"/>
          <w:szCs w:val="24"/>
          <w:highlight w:val="none"/>
        </w:rPr>
        <w:t xml:space="preserve">  D.法定代表人或负责人或实际控制人存在三代以内旁系血亲关系</w:t>
      </w:r>
    </w:p>
    <w:p>
      <w:pPr>
        <w:pStyle w:val="80"/>
        <w:widowControl w:val="0"/>
        <w:snapToGrid w:val="0"/>
        <w:spacing w:line="360" w:lineRule="auto"/>
        <w:jc w:val="both"/>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E.法定代表人或负责人或实际控制人存在近姻亲关系</w:t>
      </w:r>
    </w:p>
    <w:p>
      <w:pPr>
        <w:pStyle w:val="80"/>
        <w:widowControl w:val="0"/>
        <w:snapToGrid w:val="0"/>
        <w:spacing w:line="360" w:lineRule="auto"/>
        <w:jc w:val="both"/>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F.法定代表人或负责人或实际控制人存在股份控制或实际控制关系</w:t>
      </w:r>
    </w:p>
    <w:p>
      <w:pPr>
        <w:pStyle w:val="80"/>
        <w:widowControl w:val="0"/>
        <w:snapToGrid w:val="0"/>
        <w:spacing w:line="360" w:lineRule="auto"/>
        <w:jc w:val="both"/>
        <w:outlineLvl w:val="0"/>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G.存在共同直接或间接投资设立子公司、联营企业和合营企业情况</w:t>
      </w:r>
    </w:p>
    <w:p>
      <w:pPr>
        <w:pStyle w:val="80"/>
        <w:widowControl w:val="0"/>
        <w:snapToGrid w:val="0"/>
        <w:spacing w:line="360" w:lineRule="auto"/>
        <w:jc w:val="both"/>
        <w:rPr>
          <w:rFonts w:hint="default" w:ascii="仿宋" w:hAnsi="仿宋" w:eastAsia="仿宋" w:cs="仿宋"/>
          <w:color w:val="auto"/>
          <w:sz w:val="24"/>
          <w:szCs w:val="24"/>
          <w:highlight w:val="none"/>
        </w:rPr>
      </w:pPr>
      <w:r>
        <w:rPr>
          <w:rFonts w:ascii="仿宋" w:hAnsi="仿宋" w:eastAsia="仿宋" w:cs="仿宋"/>
          <w:color w:val="auto"/>
          <w:kern w:val="0"/>
          <w:sz w:val="24"/>
          <w:szCs w:val="24"/>
          <w:highlight w:val="none"/>
        </w:rPr>
        <w:t xml:space="preserve">  H.存在分级代理或代销关系、同一生产制造商关系、</w:t>
      </w:r>
      <w:r>
        <w:rPr>
          <w:rFonts w:ascii="仿宋" w:hAnsi="仿宋" w:eastAsia="仿宋" w:cs="仿宋"/>
          <w:color w:val="auto"/>
          <w:sz w:val="24"/>
          <w:szCs w:val="24"/>
          <w:highlight w:val="none"/>
        </w:rPr>
        <w:t>管理关系、重要业务（占主营业务收入50%以上）或重要财务往来关系（如融资）等其他实质性控制关系</w:t>
      </w:r>
    </w:p>
    <w:p>
      <w:pPr>
        <w:pStyle w:val="80"/>
        <w:widowControl w:val="0"/>
        <w:snapToGrid w:val="0"/>
        <w:spacing w:line="360" w:lineRule="auto"/>
        <w:jc w:val="both"/>
        <w:rPr>
          <w:rFonts w:hint="default" w:ascii="仿宋" w:hAnsi="仿宋" w:eastAsia="仿宋" w:cs="仿宋"/>
          <w:color w:val="auto"/>
          <w:spacing w:val="6"/>
          <w:sz w:val="24"/>
          <w:szCs w:val="24"/>
          <w:highlight w:val="none"/>
        </w:rPr>
      </w:pPr>
      <w:r>
        <w:rPr>
          <w:rFonts w:ascii="仿宋" w:hAnsi="仿宋" w:eastAsia="仿宋" w:cs="仿宋"/>
          <w:color w:val="auto"/>
          <w:sz w:val="24"/>
          <w:szCs w:val="24"/>
          <w:highlight w:val="none"/>
        </w:rPr>
        <w:t xml:space="preserve">  I</w:t>
      </w:r>
      <w:r>
        <w:rPr>
          <w:rFonts w:ascii="仿宋" w:hAnsi="仿宋" w:eastAsia="仿宋" w:cs="仿宋"/>
          <w:color w:val="auto"/>
          <w:kern w:val="0"/>
          <w:sz w:val="24"/>
          <w:szCs w:val="24"/>
          <w:highlight w:val="none"/>
        </w:rPr>
        <w:t>.</w:t>
      </w:r>
      <w:r>
        <w:rPr>
          <w:rFonts w:ascii="仿宋" w:hAnsi="仿宋" w:eastAsia="仿宋" w:cs="仿宋"/>
          <w:color w:val="auto"/>
          <w:sz w:val="24"/>
          <w:szCs w:val="24"/>
          <w:highlight w:val="none"/>
        </w:rPr>
        <w:t>其他利害关系情况</w:t>
      </w:r>
      <w:r>
        <w:rPr>
          <w:rFonts w:ascii="仿宋" w:hAnsi="仿宋" w:eastAsia="仿宋" w:cs="仿宋"/>
          <w:color w:val="auto"/>
          <w:sz w:val="24"/>
          <w:szCs w:val="24"/>
          <w:highlight w:val="none"/>
          <w:u w:val="single"/>
        </w:rPr>
        <w:t xml:space="preserve">                              </w:t>
      </w:r>
      <w:r>
        <w:rPr>
          <w:rFonts w:ascii="仿宋" w:hAnsi="仿宋" w:eastAsia="仿宋" w:cs="仿宋"/>
          <w:color w:val="auto"/>
          <w:kern w:val="0"/>
          <w:sz w:val="24"/>
          <w:szCs w:val="24"/>
          <w:highlight w:val="none"/>
        </w:rPr>
        <w:t>。</w:t>
      </w:r>
    </w:p>
    <w:p>
      <w:pPr>
        <w:pStyle w:val="81"/>
        <w:widowControl/>
        <w:snapToGrid w:val="0"/>
        <w:spacing w:line="360" w:lineRule="auto"/>
        <w:rPr>
          <w:rFonts w:hint="default" w:ascii="仿宋" w:hAnsi="仿宋" w:eastAsia="仿宋" w:cs="仿宋"/>
          <w:color w:val="auto"/>
          <w:kern w:val="0"/>
          <w:sz w:val="24"/>
          <w:szCs w:val="24"/>
          <w:highlight w:val="none"/>
        </w:rPr>
      </w:pPr>
      <w:r>
        <w:rPr>
          <w:rFonts w:ascii="仿宋" w:hAnsi="仿宋" w:eastAsia="仿宋" w:cs="仿宋"/>
          <w:color w:val="auto"/>
          <w:sz w:val="24"/>
          <w:szCs w:val="24"/>
          <w:highlight w:val="none"/>
        </w:rPr>
        <w:t>三、现已清楚知道并</w:t>
      </w:r>
      <w:r>
        <w:rPr>
          <w:rFonts w:ascii="仿宋" w:hAnsi="仿宋" w:eastAsia="仿宋" w:cs="仿宋"/>
          <w:color w:val="auto"/>
          <w:kern w:val="0"/>
          <w:sz w:val="24"/>
          <w:szCs w:val="24"/>
          <w:highlight w:val="none"/>
        </w:rPr>
        <w:t>严格遵守政府采购法律法规和现场纪律。</w:t>
      </w:r>
    </w:p>
    <w:p>
      <w:pPr>
        <w:pStyle w:val="81"/>
        <w:widowControl/>
        <w:snapToGrid w:val="0"/>
        <w:spacing w:line="360" w:lineRule="auto"/>
        <w:rPr>
          <w:rFonts w:hint="default"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四、我发现</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供应商之间存在或可能存在上述第二条第</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项利害关系。</w:t>
      </w:r>
    </w:p>
    <w:p>
      <w:pPr>
        <w:pStyle w:val="80"/>
        <w:widowControl w:val="0"/>
        <w:snapToGrid w:val="0"/>
        <w:spacing w:line="360" w:lineRule="auto"/>
        <w:jc w:val="both"/>
        <w:rPr>
          <w:rFonts w:ascii="仿宋_GB2312" w:hAnsi="仿宋" w:eastAsia="仿宋_GB2312" w:cs="仿宋_GB2312"/>
          <w:color w:val="auto"/>
          <w:kern w:val="2"/>
          <w:sz w:val="32"/>
          <w:szCs w:val="32"/>
          <w:highlight w:val="none"/>
        </w:rPr>
      </w:pPr>
      <w:r>
        <w:rPr>
          <w:rFonts w:ascii="仿宋" w:hAnsi="仿宋" w:eastAsia="仿宋" w:cs="仿宋"/>
          <w:color w:val="auto"/>
          <w:sz w:val="24"/>
          <w:szCs w:val="24"/>
          <w:highlight w:val="none"/>
        </w:rPr>
        <w:t xml:space="preserve"> （供应商代表签名）：                                        </w:t>
      </w:r>
      <w:r>
        <w:rPr>
          <w:rFonts w:hint="eastAsia" w:ascii="仿宋" w:hAnsi="仿宋" w:eastAsia="仿宋" w:cs="仿宋"/>
          <w:color w:val="auto"/>
          <w:sz w:val="24"/>
          <w:szCs w:val="24"/>
          <w:highlight w:val="none"/>
          <w:lang w:eastAsia="zh-CN"/>
        </w:rPr>
        <w:t>2023年</w:t>
      </w:r>
      <w:r>
        <w:rPr>
          <w:rFonts w:ascii="仿宋" w:hAnsi="仿宋" w:eastAsia="仿宋" w:cs="仿宋"/>
          <w:color w:val="auto"/>
          <w:sz w:val="24"/>
          <w:szCs w:val="24"/>
          <w:highlight w:val="none"/>
        </w:rPr>
        <w:t xml:space="preserve">  月   日</w:t>
      </w:r>
    </w:p>
    <w:p>
      <w:pPr>
        <w:rPr>
          <w:rFonts w:ascii="宋体" w:hAnsi="宋体" w:cs="宋体"/>
          <w:b/>
          <w:bCs/>
          <w:color w:val="auto"/>
          <w:kern w:val="0"/>
          <w:sz w:val="24"/>
          <w:highlight w:val="none"/>
        </w:rPr>
        <w:sectPr>
          <w:pgSz w:w="11906" w:h="16838"/>
          <w:pgMar w:top="1440" w:right="1417" w:bottom="1440" w:left="1417" w:header="851" w:footer="992" w:gutter="0"/>
          <w:cols w:space="720" w:num="1"/>
          <w:docGrid w:type="lines" w:linePitch="312" w:charSpace="0"/>
        </w:sectPr>
      </w:pPr>
    </w:p>
    <w:tbl>
      <w:tblPr>
        <w:tblStyle w:val="20"/>
        <w:tblW w:w="15077"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077" w:type="dxa"/>
            <w:gridSpan w:val="11"/>
            <w:tcBorders>
              <w:top w:val="nil"/>
              <w:left w:val="nil"/>
              <w:bottom w:val="nil"/>
              <w:right w:val="nil"/>
            </w:tcBorders>
            <w:vAlign w:val="bottom"/>
          </w:tcPr>
          <w:p>
            <w:pPr>
              <w:widowControl/>
              <w:wordWrap w:val="0"/>
              <w:jc w:val="center"/>
              <w:rPr>
                <w:rFonts w:ascii="宋体" w:hAnsi="宋体" w:cs="宋体"/>
                <w:b/>
                <w:bCs/>
                <w:color w:val="auto"/>
                <w:kern w:val="0"/>
                <w:sz w:val="32"/>
                <w:szCs w:val="32"/>
                <w:highlight w:val="none"/>
              </w:rPr>
            </w:pPr>
            <w:r>
              <w:rPr>
                <w:rFonts w:hint="eastAsia" w:ascii="宋体" w:hAnsi="宋体" w:cs="宋体"/>
                <w:b/>
                <w:bCs/>
                <w:color w:val="auto"/>
                <w:kern w:val="0"/>
                <w:sz w:val="24"/>
                <w:highlight w:val="none"/>
              </w:rPr>
              <w:t>中小微行业划型标准规定（根据工信部联企业〔</w:t>
            </w:r>
            <w:r>
              <w:rPr>
                <w:rFonts w:ascii="宋体" w:hAnsi="宋体" w:cs="宋体"/>
                <w:b/>
                <w:bCs/>
                <w:color w:val="auto"/>
                <w:kern w:val="0"/>
                <w:sz w:val="24"/>
                <w:highlight w:val="none"/>
              </w:rPr>
              <w:t>2011</w:t>
            </w:r>
            <w:r>
              <w:rPr>
                <w:rFonts w:hint="eastAsia" w:ascii="宋体" w:hAnsi="宋体" w:cs="宋体"/>
                <w:b/>
                <w:bCs/>
                <w:color w:val="auto"/>
                <w:kern w:val="0"/>
                <w:sz w:val="24"/>
                <w:highlight w:val="none"/>
              </w:rPr>
              <w:t>〕</w:t>
            </w:r>
            <w:r>
              <w:rPr>
                <w:rFonts w:ascii="宋体" w:hAnsi="宋体" w:cs="宋体"/>
                <w:b/>
                <w:bCs/>
                <w:color w:val="auto"/>
                <w:kern w:val="0"/>
                <w:sz w:val="24"/>
                <w:highlight w:val="none"/>
              </w:rPr>
              <w:t>300</w:t>
            </w:r>
            <w:r>
              <w:rPr>
                <w:rFonts w:hint="eastAsia" w:ascii="宋体" w:hAnsi="宋体" w:cs="宋体"/>
                <w:b/>
                <w:bCs/>
                <w:color w:val="auto"/>
                <w:kern w:val="0"/>
                <w:sz w:val="24"/>
                <w:highlight w:val="none"/>
              </w:rPr>
              <w:t>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vMerge w:val="restart"/>
            <w:tcBorders>
              <w:top w:val="single" w:color="auto" w:sz="8" w:space="0"/>
              <w:left w:val="single" w:color="auto" w:sz="8" w:space="0"/>
              <w:bottom w:val="single" w:color="000000" w:sz="4" w:space="0"/>
              <w:right w:val="single" w:color="auto" w:sz="8" w:space="0"/>
            </w:tcBorders>
            <w:vAlign w:val="center"/>
          </w:tcPr>
          <w:p>
            <w:pPr>
              <w:widowControl/>
              <w:wordWrap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行业</w:t>
            </w:r>
          </w:p>
        </w:tc>
        <w:tc>
          <w:tcPr>
            <w:tcW w:w="4968" w:type="dxa"/>
            <w:gridSpan w:val="3"/>
            <w:tcBorders>
              <w:top w:val="single" w:color="auto" w:sz="8" w:space="0"/>
              <w:left w:val="nil"/>
              <w:bottom w:val="single" w:color="auto" w:sz="4" w:space="0"/>
              <w:right w:val="single" w:color="000000" w:sz="8" w:space="0"/>
            </w:tcBorders>
            <w:vAlign w:val="bottom"/>
          </w:tcPr>
          <w:p>
            <w:pPr>
              <w:widowControl/>
              <w:wordWrap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中型企业</w:t>
            </w:r>
          </w:p>
        </w:tc>
        <w:tc>
          <w:tcPr>
            <w:tcW w:w="4282" w:type="dxa"/>
            <w:gridSpan w:val="3"/>
            <w:tcBorders>
              <w:top w:val="single" w:color="auto" w:sz="8" w:space="0"/>
              <w:left w:val="nil"/>
              <w:bottom w:val="single" w:color="auto" w:sz="4" w:space="0"/>
              <w:right w:val="single" w:color="000000" w:sz="8" w:space="0"/>
            </w:tcBorders>
            <w:vAlign w:val="bottom"/>
          </w:tcPr>
          <w:p>
            <w:pPr>
              <w:widowControl/>
              <w:wordWrap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小型企业</w:t>
            </w:r>
          </w:p>
        </w:tc>
        <w:tc>
          <w:tcPr>
            <w:tcW w:w="3818" w:type="dxa"/>
            <w:gridSpan w:val="3"/>
            <w:tcBorders>
              <w:top w:val="single" w:color="auto" w:sz="8" w:space="0"/>
              <w:left w:val="nil"/>
              <w:bottom w:val="single" w:color="auto" w:sz="4" w:space="0"/>
              <w:right w:val="single" w:color="000000" w:sz="8" w:space="0"/>
            </w:tcBorders>
            <w:vAlign w:val="bottom"/>
          </w:tcPr>
          <w:p>
            <w:pPr>
              <w:widowControl/>
              <w:wordWrap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vMerge w:val="continue"/>
            <w:tcBorders>
              <w:top w:val="single" w:color="auto" w:sz="8" w:space="0"/>
              <w:left w:val="single" w:color="auto" w:sz="8" w:space="0"/>
              <w:bottom w:val="single" w:color="000000" w:sz="4" w:space="0"/>
              <w:right w:val="single" w:color="auto" w:sz="8" w:space="0"/>
            </w:tcBorders>
            <w:vAlign w:val="center"/>
          </w:tcPr>
          <w:p>
            <w:pPr>
              <w:widowControl/>
              <w:wordWrap w:val="0"/>
              <w:jc w:val="left"/>
              <w:rPr>
                <w:rFonts w:ascii="宋体" w:hAnsi="宋体" w:cs="宋体"/>
                <w:b/>
                <w:bCs/>
                <w:color w:val="auto"/>
                <w:kern w:val="0"/>
                <w:sz w:val="24"/>
                <w:highlight w:val="none"/>
              </w:rPr>
            </w:pPr>
          </w:p>
        </w:tc>
        <w:tc>
          <w:tcPr>
            <w:tcW w:w="1512" w:type="dxa"/>
            <w:tcBorders>
              <w:top w:val="nil"/>
              <w:left w:val="nil"/>
              <w:bottom w:val="single" w:color="auto" w:sz="4" w:space="0"/>
              <w:right w:val="single" w:color="auto" w:sz="4" w:space="0"/>
            </w:tcBorders>
            <w:vAlign w:val="bottom"/>
          </w:tcPr>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779" w:type="dxa"/>
            <w:tcBorders>
              <w:top w:val="nil"/>
              <w:left w:val="nil"/>
              <w:bottom w:val="single" w:color="auto" w:sz="4" w:space="0"/>
              <w:right w:val="single" w:color="auto" w:sz="4" w:space="0"/>
            </w:tcBorders>
            <w:vAlign w:val="bottom"/>
          </w:tcPr>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p>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677" w:type="dxa"/>
            <w:tcBorders>
              <w:top w:val="nil"/>
              <w:left w:val="nil"/>
              <w:bottom w:val="single" w:color="auto" w:sz="4" w:space="0"/>
              <w:right w:val="single" w:color="auto" w:sz="8" w:space="0"/>
            </w:tcBorders>
            <w:vAlign w:val="bottom"/>
          </w:tcPr>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p>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252" w:type="dxa"/>
            <w:tcBorders>
              <w:top w:val="nil"/>
              <w:left w:val="nil"/>
              <w:bottom w:val="single" w:color="auto" w:sz="4" w:space="0"/>
              <w:right w:val="single" w:color="auto" w:sz="4" w:space="0"/>
            </w:tcBorders>
            <w:vAlign w:val="bottom"/>
          </w:tcPr>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494" w:type="dxa"/>
            <w:tcBorders>
              <w:top w:val="nil"/>
              <w:left w:val="nil"/>
              <w:bottom w:val="single" w:color="auto" w:sz="4" w:space="0"/>
              <w:right w:val="single" w:color="auto" w:sz="4" w:space="0"/>
            </w:tcBorders>
            <w:vAlign w:val="bottom"/>
          </w:tcPr>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p>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536" w:type="dxa"/>
            <w:tcBorders>
              <w:top w:val="nil"/>
              <w:left w:val="nil"/>
              <w:bottom w:val="single" w:color="auto" w:sz="4" w:space="0"/>
              <w:right w:val="single" w:color="auto" w:sz="8" w:space="0"/>
            </w:tcBorders>
            <w:vAlign w:val="bottom"/>
          </w:tcPr>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p>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297" w:type="dxa"/>
            <w:tcBorders>
              <w:top w:val="nil"/>
              <w:left w:val="nil"/>
              <w:bottom w:val="single" w:color="auto" w:sz="4" w:space="0"/>
              <w:right w:val="single" w:color="auto" w:sz="4" w:space="0"/>
            </w:tcBorders>
            <w:vAlign w:val="bottom"/>
          </w:tcPr>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287" w:type="dxa"/>
            <w:tcBorders>
              <w:top w:val="nil"/>
              <w:left w:val="nil"/>
              <w:bottom w:val="single" w:color="auto" w:sz="4" w:space="0"/>
              <w:right w:val="single" w:color="auto" w:sz="4" w:space="0"/>
            </w:tcBorders>
            <w:vAlign w:val="bottom"/>
          </w:tcPr>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r>
              <w:rPr>
                <w:rFonts w:hint="eastAsia" w:ascii="宋体" w:hAnsi="宋体" w:cs="宋体"/>
                <w:color w:val="auto"/>
                <w:kern w:val="0"/>
                <w:sz w:val="20"/>
                <w:highlight w:val="none"/>
              </w:rPr>
              <w:t>（万元）</w:t>
            </w:r>
          </w:p>
        </w:tc>
        <w:tc>
          <w:tcPr>
            <w:tcW w:w="1234" w:type="dxa"/>
            <w:tcBorders>
              <w:top w:val="nil"/>
              <w:left w:val="nil"/>
              <w:bottom w:val="single" w:color="auto" w:sz="4" w:space="0"/>
              <w:right w:val="single" w:color="auto" w:sz="8" w:space="0"/>
            </w:tcBorders>
            <w:vAlign w:val="bottom"/>
          </w:tcPr>
          <w:p>
            <w:pPr>
              <w:widowControl/>
              <w:wordWrap w:val="0"/>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r>
              <w:rPr>
                <w:rFonts w:hint="eastAsia" w:ascii="宋体" w:hAnsi="宋体" w:cs="宋体"/>
                <w:color w:val="auto"/>
                <w:kern w:val="0"/>
                <w:sz w:val="20"/>
                <w:highlight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 xml:space="preserve"> 1</w:t>
            </w:r>
            <w:r>
              <w:rPr>
                <w:rFonts w:hint="eastAsia" w:ascii="宋体" w:hAnsi="宋体" w:cs="宋体"/>
                <w:color w:val="auto"/>
                <w:kern w:val="0"/>
                <w:sz w:val="20"/>
                <w:highlight w:val="none"/>
              </w:rPr>
              <w:t>、农林牧渔业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50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 xml:space="preserve"> 2</w:t>
            </w:r>
            <w:r>
              <w:rPr>
                <w:rFonts w:hint="eastAsia" w:ascii="宋体" w:hAnsi="宋体" w:cs="宋体"/>
                <w:color w:val="auto"/>
                <w:kern w:val="0"/>
                <w:sz w:val="20"/>
                <w:highlight w:val="none"/>
              </w:rPr>
              <w:t>、工业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40000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 xml:space="preserve"> 3</w:t>
            </w:r>
            <w:r>
              <w:rPr>
                <w:rFonts w:hint="eastAsia" w:ascii="宋体" w:hAnsi="宋体" w:cs="宋体"/>
                <w:color w:val="auto"/>
                <w:kern w:val="0"/>
                <w:sz w:val="20"/>
                <w:highlight w:val="none"/>
              </w:rPr>
              <w:t>、建筑业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6000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80000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80000</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6000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 xml:space="preserve"> 4</w:t>
            </w:r>
            <w:r>
              <w:rPr>
                <w:rFonts w:hint="eastAsia" w:ascii="宋体" w:hAnsi="宋体" w:cs="宋体"/>
                <w:color w:val="auto"/>
                <w:kern w:val="0"/>
                <w:sz w:val="20"/>
                <w:highlight w:val="none"/>
              </w:rPr>
              <w:t>、批发业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40000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5</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5</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 xml:space="preserve"> 5</w:t>
            </w:r>
            <w:r>
              <w:rPr>
                <w:rFonts w:hint="eastAsia" w:ascii="宋体" w:hAnsi="宋体" w:cs="宋体"/>
                <w:color w:val="auto"/>
                <w:kern w:val="0"/>
                <w:sz w:val="20"/>
                <w:highlight w:val="none"/>
              </w:rPr>
              <w:t>、零售业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50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 xml:space="preserve"> 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 xml:space="preserve"> 6</w:t>
            </w:r>
            <w:r>
              <w:rPr>
                <w:rFonts w:hint="eastAsia" w:ascii="宋体" w:hAnsi="宋体" w:cs="宋体"/>
                <w:color w:val="auto"/>
                <w:kern w:val="0"/>
                <w:sz w:val="20"/>
                <w:highlight w:val="none"/>
              </w:rPr>
              <w:t>、交通运输业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3000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200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V</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 xml:space="preserve"> 7</w:t>
            </w:r>
            <w:r>
              <w:rPr>
                <w:rFonts w:hint="eastAsia" w:ascii="宋体" w:hAnsi="宋体" w:cs="宋体"/>
                <w:color w:val="auto"/>
                <w:kern w:val="0"/>
                <w:sz w:val="20"/>
                <w:highlight w:val="none"/>
              </w:rPr>
              <w:t>、仓储业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 xml:space="preserve"> 8</w:t>
            </w:r>
            <w:r>
              <w:rPr>
                <w:rFonts w:hint="eastAsia" w:ascii="宋体" w:hAnsi="宋体" w:cs="宋体"/>
                <w:color w:val="auto"/>
                <w:kern w:val="0"/>
                <w:sz w:val="20"/>
                <w:highlight w:val="none"/>
              </w:rPr>
              <w:t>、邮政业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 xml:space="preserve"> 9</w:t>
            </w:r>
            <w:r>
              <w:rPr>
                <w:rFonts w:hint="eastAsia" w:ascii="宋体" w:hAnsi="宋体" w:cs="宋体"/>
                <w:color w:val="auto"/>
                <w:kern w:val="0"/>
                <w:sz w:val="20"/>
                <w:highlight w:val="none"/>
              </w:rPr>
              <w:t>、住宿业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、餐饮业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V</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11</w:t>
            </w:r>
            <w:r>
              <w:rPr>
                <w:rFonts w:hint="eastAsia" w:ascii="宋体" w:hAnsi="宋体" w:cs="宋体"/>
                <w:color w:val="auto"/>
                <w:kern w:val="0"/>
                <w:sz w:val="20"/>
                <w:highlight w:val="none"/>
              </w:rPr>
              <w:t>、信息传输业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12</w:t>
            </w:r>
            <w:r>
              <w:rPr>
                <w:rFonts w:hint="eastAsia" w:ascii="宋体" w:hAnsi="宋体" w:cs="宋体"/>
                <w:color w:val="auto"/>
                <w:kern w:val="0"/>
                <w:sz w:val="20"/>
                <w:highlight w:val="none"/>
              </w:rPr>
              <w:t>、软件和信息技术服务业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 xml:space="preserve"> 50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13</w:t>
            </w:r>
            <w:r>
              <w:rPr>
                <w:rFonts w:hint="eastAsia" w:ascii="宋体" w:hAnsi="宋体" w:cs="宋体"/>
                <w:color w:val="auto"/>
                <w:kern w:val="0"/>
                <w:sz w:val="20"/>
                <w:highlight w:val="none"/>
              </w:rPr>
              <w:t>、房地产开发经营</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14</w:t>
            </w:r>
            <w:r>
              <w:rPr>
                <w:rFonts w:hint="eastAsia" w:ascii="宋体" w:hAnsi="宋体" w:cs="宋体"/>
                <w:color w:val="auto"/>
                <w:kern w:val="0"/>
                <w:sz w:val="20"/>
                <w:highlight w:val="none"/>
              </w:rPr>
              <w:t>、物业管理</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15</w:t>
            </w:r>
            <w:r>
              <w:rPr>
                <w:rFonts w:hint="eastAsia" w:ascii="宋体" w:hAnsi="宋体" w:cs="宋体"/>
                <w:color w:val="auto"/>
                <w:kern w:val="0"/>
                <w:sz w:val="20"/>
                <w:highlight w:val="none"/>
              </w:rPr>
              <w:t>、租赁和商务服务业</w:t>
            </w:r>
          </w:p>
        </w:tc>
        <w:tc>
          <w:tcPr>
            <w:tcW w:w="151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677"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8000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120000</w:t>
            </w:r>
          </w:p>
        </w:tc>
        <w:tc>
          <w:tcPr>
            <w:tcW w:w="1252"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536"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 xml:space="preserve"> 100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8000</w:t>
            </w:r>
          </w:p>
        </w:tc>
        <w:tc>
          <w:tcPr>
            <w:tcW w:w="129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34" w:type="dxa"/>
            <w:tcBorders>
              <w:top w:val="nil"/>
              <w:left w:val="nil"/>
              <w:bottom w:val="single" w:color="auto" w:sz="4" w:space="0"/>
              <w:right w:val="single" w:color="auto" w:sz="8"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 w:hRule="atLeast"/>
        </w:trPr>
        <w:tc>
          <w:tcPr>
            <w:tcW w:w="2003" w:type="dxa"/>
            <w:tcBorders>
              <w:top w:val="nil"/>
              <w:left w:val="single" w:color="auto" w:sz="8" w:space="0"/>
              <w:bottom w:val="single" w:color="auto" w:sz="8" w:space="0"/>
              <w:right w:val="single" w:color="auto" w:sz="8" w:space="0"/>
            </w:tcBorders>
            <w:vAlign w:val="bottom"/>
          </w:tcPr>
          <w:p>
            <w:pPr>
              <w:widowControl/>
              <w:wordWrap w:val="0"/>
              <w:jc w:val="left"/>
              <w:rPr>
                <w:rFonts w:ascii="宋体" w:hAnsi="宋体" w:cs="宋体"/>
                <w:color w:val="auto"/>
                <w:kern w:val="0"/>
                <w:sz w:val="20"/>
                <w:highlight w:val="none"/>
              </w:rPr>
            </w:pPr>
            <w:r>
              <w:rPr>
                <w:rFonts w:ascii="宋体" w:hAnsi="宋体" w:cs="宋体"/>
                <w:color w:val="auto"/>
                <w:kern w:val="0"/>
                <w:sz w:val="20"/>
                <w:highlight w:val="none"/>
              </w:rPr>
              <w:t>16</w:t>
            </w:r>
            <w:r>
              <w:rPr>
                <w:rFonts w:hint="eastAsia" w:ascii="宋体" w:hAnsi="宋体" w:cs="宋体"/>
                <w:color w:val="auto"/>
                <w:kern w:val="0"/>
                <w:sz w:val="20"/>
                <w:highlight w:val="none"/>
              </w:rPr>
              <w:t>、其他未列明行业</w:t>
            </w:r>
          </w:p>
        </w:tc>
        <w:tc>
          <w:tcPr>
            <w:tcW w:w="1512" w:type="dxa"/>
            <w:tcBorders>
              <w:top w:val="nil"/>
              <w:left w:val="nil"/>
              <w:bottom w:val="single" w:color="auto" w:sz="8"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8"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677" w:type="dxa"/>
            <w:tcBorders>
              <w:top w:val="nil"/>
              <w:left w:val="nil"/>
              <w:bottom w:val="single" w:color="auto" w:sz="8"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8"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8"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536" w:type="dxa"/>
            <w:tcBorders>
              <w:top w:val="nil"/>
              <w:left w:val="nil"/>
              <w:bottom w:val="single" w:color="auto" w:sz="8"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8" w:space="0"/>
              <w:right w:val="single" w:color="auto" w:sz="4" w:space="0"/>
            </w:tcBorders>
            <w:vAlign w:val="center"/>
          </w:tcPr>
          <w:p>
            <w:pPr>
              <w:widowControl/>
              <w:wordWrap w:val="0"/>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8" w:space="0"/>
              <w:right w:val="single" w:color="auto" w:sz="4"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34" w:type="dxa"/>
            <w:tcBorders>
              <w:top w:val="nil"/>
              <w:left w:val="nil"/>
              <w:bottom w:val="single" w:color="auto" w:sz="8" w:space="0"/>
              <w:right w:val="single" w:color="auto" w:sz="8" w:space="0"/>
            </w:tcBorders>
            <w:vAlign w:val="center"/>
          </w:tcPr>
          <w:p>
            <w:pPr>
              <w:widowControl/>
              <w:wordWrap w:val="0"/>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077" w:type="dxa"/>
            <w:gridSpan w:val="11"/>
            <w:tcBorders>
              <w:top w:val="nil"/>
              <w:left w:val="nil"/>
              <w:bottom w:val="nil"/>
              <w:right w:val="nil"/>
            </w:tcBorders>
            <w:vAlign w:val="top"/>
          </w:tcPr>
          <w:p>
            <w:pPr>
              <w:widowControl/>
              <w:wordWrap w:val="0"/>
              <w:jc w:val="left"/>
              <w:rPr>
                <w:rFonts w:ascii="宋体" w:hAnsi="宋体" w:cs="宋体"/>
                <w:color w:val="auto"/>
                <w:kern w:val="0"/>
                <w:sz w:val="20"/>
                <w:highlight w:val="none"/>
              </w:rPr>
            </w:pPr>
            <w:r>
              <w:rPr>
                <w:rFonts w:hint="eastAsia" w:ascii="宋体" w:hAnsi="宋体" w:cs="宋体"/>
                <w:color w:val="auto"/>
                <w:kern w:val="0"/>
                <w:sz w:val="20"/>
                <w:highlight w:val="none"/>
              </w:rPr>
              <w:t>说明　</w:t>
            </w:r>
            <w:r>
              <w:rPr>
                <w:rFonts w:ascii="宋体" w:hAnsi="宋体" w:cs="宋体"/>
                <w:color w:val="auto"/>
                <w:kern w:val="0"/>
                <w:sz w:val="20"/>
                <w:highlight w:val="none"/>
              </w:rPr>
              <w:t>1</w:t>
            </w:r>
            <w:r>
              <w:rPr>
                <w:rFonts w:hint="eastAsia" w:ascii="宋体" w:hAnsi="宋体" w:cs="宋体"/>
                <w:color w:val="auto"/>
                <w:kern w:val="0"/>
                <w:sz w:val="20"/>
                <w:highlight w:val="none"/>
              </w:rPr>
              <w:t>、企业类型的划分以统计部门的统计数据为依据。</w:t>
            </w:r>
          </w:p>
          <w:p>
            <w:pPr>
              <w:widowControl/>
              <w:wordWrap w:val="0"/>
              <w:ind w:firstLine="600" w:firstLineChars="300"/>
              <w:jc w:val="left"/>
              <w:rPr>
                <w:rFonts w:ascii="宋体" w:hAnsi="宋体" w:cs="宋体"/>
                <w:color w:val="auto"/>
                <w:kern w:val="0"/>
                <w:sz w:val="20"/>
                <w:highlight w:val="none"/>
              </w:rPr>
            </w:pPr>
            <w:r>
              <w:rPr>
                <w:rFonts w:ascii="宋体" w:hAnsi="宋体" w:cs="宋体"/>
                <w:color w:val="auto"/>
                <w:kern w:val="0"/>
                <w:sz w:val="20"/>
                <w:highlight w:val="none"/>
              </w:rPr>
              <w:t>2</w:t>
            </w:r>
            <w:r>
              <w:rPr>
                <w:rFonts w:hint="eastAsia" w:ascii="宋体" w:hAnsi="宋体" w:cs="宋体"/>
                <w:color w:val="auto"/>
                <w:kern w:val="0"/>
                <w:sz w:val="20"/>
                <w:highlight w:val="none"/>
              </w:rPr>
              <w:t>、个体工商户和本规定以外的行业，参照本规定进行划型。</w:t>
            </w:r>
          </w:p>
          <w:p>
            <w:pPr>
              <w:widowControl/>
              <w:wordWrap w:val="0"/>
              <w:ind w:firstLine="600" w:firstLineChars="300"/>
              <w:jc w:val="left"/>
              <w:rPr>
                <w:rFonts w:ascii="宋体" w:hAnsi="宋体" w:cs="宋体"/>
                <w:color w:val="auto"/>
                <w:kern w:val="0"/>
                <w:sz w:val="20"/>
                <w:highlight w:val="none"/>
              </w:rPr>
            </w:pPr>
            <w:r>
              <w:rPr>
                <w:rFonts w:ascii="宋体" w:hAnsi="宋体" w:cs="宋体"/>
                <w:color w:val="auto"/>
                <w:kern w:val="0"/>
                <w:sz w:val="20"/>
                <w:highlight w:val="none"/>
              </w:rPr>
              <w:t>3</w:t>
            </w:r>
            <w:r>
              <w:rPr>
                <w:rFonts w:hint="eastAsia" w:ascii="宋体" w:hAnsi="宋体" w:cs="宋体"/>
                <w:color w:val="auto"/>
                <w:kern w:val="0"/>
                <w:sz w:val="20"/>
                <w:highlight w:val="none"/>
              </w:rPr>
              <w:t>、本规定的中型企业标准上限即为大型企业标准的下限。</w:t>
            </w:r>
          </w:p>
        </w:tc>
      </w:tr>
    </w:tbl>
    <w:p>
      <w:pPr>
        <w:rPr>
          <w:color w:val="auto"/>
          <w:highlight w:val="none"/>
        </w:rPr>
      </w:pPr>
    </w:p>
    <w:sectPr>
      <w:pgSz w:w="16838" w:h="11906" w:orient="landscape"/>
      <w:pgMar w:top="1417" w:right="1440" w:bottom="141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2"/>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12"/>
                          </w:pPr>
                          <w:r>
                            <w:fldChar w:fldCharType="begin"/>
                          </w:r>
                          <w:r>
                            <w:instrText xml:space="preserve"> PAGE  \* MERGEFORMAT </w:instrText>
                          </w:r>
                          <w:r>
                            <w:fldChar w:fldCharType="separate"/>
                          </w:r>
                          <w:r>
                            <w:t>25</w:t>
                          </w:r>
                          <w: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GSmMTrIAQAAjQMAAA4AAABkcnMvZTJvRG9jLnhtbK1TzY7TMBC+I/EO&#10;lu80TbeLIGq6QqoWISFYaZcHcB2nseQ/zbhN+gLwBpy4cOe5+hyMnbQLy2UPXJLxePLN930zWd0M&#10;1rCDAtTe1byczTlTTvpGu13NvzzcvnrDGUbhGmG8UzU/KuQ365cvVn2o1MJ33jQKGIE4rPpQ8y7G&#10;UBUFyk5ZgTMflKPL1oMVkY6wKxoQPaFbUyzm89dF76EJ4KVCpOxmvOQTIjwH0Letlmrj5d4qF0dU&#10;UEZEkoSdDsjXmW3bKhk/ty2qyEzNSWnMT2pC8TY9i/VKVDsQodNyoiCeQ+GJJiu0o6YXqI2Igu1B&#10;/wNltQSPvo0z6W0xCsmOkIpy/sSb+04ElbWQ1RgupuP/g5WfDnfAdEObwJkTlgZ++v7t9OPX6edX&#10;tkj29AErqroPdzCdkMKkdWjBpjepYEO29HixVA2RSUqW5fLt1TVnkq7Kq3K5vE6YxePHATC+V96y&#10;FNQcaGLZSHH4iHEsPZekXs7famMoLyrj/koQZsoUie/IMEVx2A4T7a1vjqS1p2HX3NFuc2Y+OPIy&#10;7cU5gHOwPQf7AHrXEbUy88Lwbh+JROaWOoywU2OaUlY3bVRagz/PuerxL1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S/0sLQAAAAAwEAAA8AAAAAAAAAAQAgAAAAIgAAAGRycy9kb3ducmV2Lnht&#10;bFBLAQIUABQAAAAIAIdO4kBkpjE6yAEAAI0DAAAOAAAAAAAAAAEAIAAAAB8BAABkcnMvZTJvRG9j&#10;LnhtbFBLBQYAAAAABgAGAFkBAABZ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25</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r>
      <w:t></w:t>
    </w:r>
    <w:r>
      <w:rPr>
        <w:rFonts w:hint="eastAsia"/>
      </w:rPr>
      <w:t xml:space="preserve">                                               </w:t>
    </w:r>
    <w:r>
      <w:rPr>
        <w:rFonts w:hint="eastAsia"/>
        <w:b/>
        <w:bCs/>
        <w:color w:val="00B05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t></w:t>
    </w:r>
    <w:r>
      <w:rPr>
        <w:rFonts w:hint="eastAsia"/>
      </w:rPr>
      <w:t xml:space="preserve">         </w:t>
    </w:r>
  </w:p>
  <w:p>
    <w:pPr>
      <w:pStyle w:val="13"/>
      <w:rPr>
        <w:b/>
        <w:bCs/>
        <w:color w:val="00B050"/>
      </w:rPr>
    </w:pPr>
    <w:r>
      <w:rPr>
        <w:rFonts w:hint="eastAsia"/>
      </w:rPr>
      <w:t xml:space="preserve">                                                                 </w:t>
    </w:r>
    <w:r>
      <w:rPr>
        <w:rFonts w:hint="eastAsia"/>
        <w:b/>
        <w:bCs/>
        <w:color w:val="00B05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仿宋_GB2312"/>
        <w:b/>
        <w:i/>
        <w:u w:val="single"/>
      </w:rPr>
    </w:pPr>
    <w:r>
      <w:t></w:t>
    </w:r>
    <w:r>
      <w:rPr>
        <w:rFonts w:hint="eastAsia"/>
      </w:rPr>
      <w:t xml:space="preserve">                                               </w:t>
    </w:r>
    <w:r>
      <w:rPr>
        <w:rFonts w:hint="eastAsia"/>
        <w:b/>
        <w:bCs/>
        <w:color w:val="00B050"/>
      </w:rP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t></w:t>
    </w:r>
    <w:r>
      <w:rPr>
        <w:rFonts w:hint="eastAsia"/>
      </w:rPr>
      <w:t xml:space="preserve">         </w:t>
    </w:r>
  </w:p>
  <w:p>
    <w:pPr>
      <w:pStyle w:val="1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B01DB"/>
    <w:multiLevelType w:val="singleLevel"/>
    <w:tmpl w:val="CEBB01DB"/>
    <w:lvl w:ilvl="0" w:tentative="0">
      <w:start w:val="2"/>
      <w:numFmt w:val="chineseCounting"/>
      <w:suff w:val="nothing"/>
      <w:lvlText w:val="（%1）"/>
      <w:lvlJc w:val="left"/>
      <w:rPr>
        <w:rFonts w:hint="eastAsia"/>
      </w:rPr>
    </w:lvl>
  </w:abstractNum>
  <w:abstractNum w:abstractNumId="1">
    <w:nsid w:val="7DF6ACC1"/>
    <w:multiLevelType w:val="singleLevel"/>
    <w:tmpl w:val="7DF6ACC1"/>
    <w:lvl w:ilvl="0" w:tentative="0">
      <w:start w:val="1"/>
      <w:numFmt w:val="decimal"/>
      <w:pStyle w:val="6"/>
      <w:lvlText w:val="%1."/>
      <w:lvlJc w:val="left"/>
      <w:pPr>
        <w:tabs>
          <w:tab w:val="left"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TZjMzIyNmI3YWI1YmMzODkwYzVlNDJhZDNjODkifQ=="/>
  </w:docVars>
  <w:rsids>
    <w:rsidRoot w:val="00000000"/>
    <w:rsid w:val="005C6ADC"/>
    <w:rsid w:val="00701236"/>
    <w:rsid w:val="01CF5B90"/>
    <w:rsid w:val="036C34DA"/>
    <w:rsid w:val="03BC7DCC"/>
    <w:rsid w:val="03DF1864"/>
    <w:rsid w:val="04312A3C"/>
    <w:rsid w:val="048B3E34"/>
    <w:rsid w:val="058129B7"/>
    <w:rsid w:val="06043E9E"/>
    <w:rsid w:val="066A7A79"/>
    <w:rsid w:val="06773360"/>
    <w:rsid w:val="06AE7966"/>
    <w:rsid w:val="0A4726C5"/>
    <w:rsid w:val="0A7332F4"/>
    <w:rsid w:val="0B427292"/>
    <w:rsid w:val="0B626F71"/>
    <w:rsid w:val="0C9C26D8"/>
    <w:rsid w:val="0CAA6E21"/>
    <w:rsid w:val="0D470B14"/>
    <w:rsid w:val="0DC161D1"/>
    <w:rsid w:val="0DC21F49"/>
    <w:rsid w:val="0E342E47"/>
    <w:rsid w:val="0E6D3896"/>
    <w:rsid w:val="0E7019A5"/>
    <w:rsid w:val="11551A52"/>
    <w:rsid w:val="11E73086"/>
    <w:rsid w:val="1300322E"/>
    <w:rsid w:val="13370CE3"/>
    <w:rsid w:val="13845BA2"/>
    <w:rsid w:val="1653052A"/>
    <w:rsid w:val="183F48C2"/>
    <w:rsid w:val="1AE47077"/>
    <w:rsid w:val="1C3E7ADE"/>
    <w:rsid w:val="1CE123EB"/>
    <w:rsid w:val="1DFE2A4C"/>
    <w:rsid w:val="1FFC1936"/>
    <w:rsid w:val="20096B45"/>
    <w:rsid w:val="21943785"/>
    <w:rsid w:val="220C6819"/>
    <w:rsid w:val="235C1920"/>
    <w:rsid w:val="23905F23"/>
    <w:rsid w:val="24B37A8E"/>
    <w:rsid w:val="26FE6AFC"/>
    <w:rsid w:val="28DC431E"/>
    <w:rsid w:val="299B6018"/>
    <w:rsid w:val="29E5365E"/>
    <w:rsid w:val="2AC22ABB"/>
    <w:rsid w:val="2AFB4FC0"/>
    <w:rsid w:val="2B626DED"/>
    <w:rsid w:val="2E9B5C01"/>
    <w:rsid w:val="2F8D3AD3"/>
    <w:rsid w:val="301D1535"/>
    <w:rsid w:val="303C437E"/>
    <w:rsid w:val="31185CE8"/>
    <w:rsid w:val="32285F6F"/>
    <w:rsid w:val="3499652C"/>
    <w:rsid w:val="35D72186"/>
    <w:rsid w:val="35DB7EC8"/>
    <w:rsid w:val="388760E5"/>
    <w:rsid w:val="39825E89"/>
    <w:rsid w:val="3A4B6C9E"/>
    <w:rsid w:val="3AC21656"/>
    <w:rsid w:val="3B954675"/>
    <w:rsid w:val="3DBF00CF"/>
    <w:rsid w:val="3E9A1FA2"/>
    <w:rsid w:val="3EC7548D"/>
    <w:rsid w:val="3F4A7E6C"/>
    <w:rsid w:val="402C1320"/>
    <w:rsid w:val="40650ACD"/>
    <w:rsid w:val="406B67A9"/>
    <w:rsid w:val="4256277F"/>
    <w:rsid w:val="440525B4"/>
    <w:rsid w:val="4496799F"/>
    <w:rsid w:val="47E77B51"/>
    <w:rsid w:val="49202387"/>
    <w:rsid w:val="49284C78"/>
    <w:rsid w:val="493C4382"/>
    <w:rsid w:val="4B2B6E4F"/>
    <w:rsid w:val="4BFC5BBD"/>
    <w:rsid w:val="4CC71656"/>
    <w:rsid w:val="4CD418ED"/>
    <w:rsid w:val="4D896004"/>
    <w:rsid w:val="4DD23507"/>
    <w:rsid w:val="4E816CDB"/>
    <w:rsid w:val="51CF5A1E"/>
    <w:rsid w:val="54DC547B"/>
    <w:rsid w:val="55570796"/>
    <w:rsid w:val="58704ABF"/>
    <w:rsid w:val="5B3752F1"/>
    <w:rsid w:val="5D613110"/>
    <w:rsid w:val="5DBB7A5D"/>
    <w:rsid w:val="5E904368"/>
    <w:rsid w:val="600F0E5B"/>
    <w:rsid w:val="61340DFE"/>
    <w:rsid w:val="615E2D65"/>
    <w:rsid w:val="61783F6D"/>
    <w:rsid w:val="61974AFA"/>
    <w:rsid w:val="637751DE"/>
    <w:rsid w:val="66CC44AE"/>
    <w:rsid w:val="66E04746"/>
    <w:rsid w:val="671B1623"/>
    <w:rsid w:val="68D75A1D"/>
    <w:rsid w:val="69482477"/>
    <w:rsid w:val="6B3B2294"/>
    <w:rsid w:val="6BB60386"/>
    <w:rsid w:val="6CDB5F08"/>
    <w:rsid w:val="6D5426DC"/>
    <w:rsid w:val="6DD217DD"/>
    <w:rsid w:val="6E1D2CA3"/>
    <w:rsid w:val="6E3B07FD"/>
    <w:rsid w:val="6FEA2DCB"/>
    <w:rsid w:val="7150168C"/>
    <w:rsid w:val="71882E4C"/>
    <w:rsid w:val="72233A82"/>
    <w:rsid w:val="72A252EE"/>
    <w:rsid w:val="72E15E16"/>
    <w:rsid w:val="735955DB"/>
    <w:rsid w:val="742A5D78"/>
    <w:rsid w:val="74D800BD"/>
    <w:rsid w:val="75B23A9A"/>
    <w:rsid w:val="785E3A65"/>
    <w:rsid w:val="7A0F14BB"/>
    <w:rsid w:val="7B30793B"/>
    <w:rsid w:val="7C852370"/>
    <w:rsid w:val="7DAB4CF1"/>
    <w:rsid w:val="7F5559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4"/>
    <w:basedOn w:val="1"/>
    <w:next w:val="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paragraph" w:styleId="6">
    <w:name w:val="List Number"/>
    <w:basedOn w:val="1"/>
    <w:qFormat/>
    <w:uiPriority w:val="0"/>
    <w:pPr>
      <w:numPr>
        <w:ilvl w:val="0"/>
        <w:numId w:val="1"/>
      </w:numPr>
    </w:pPr>
  </w:style>
  <w:style w:type="paragraph" w:styleId="7">
    <w:name w:val="caption"/>
    <w:basedOn w:val="1"/>
    <w:next w:val="1"/>
    <w:qFormat/>
    <w:uiPriority w:val="0"/>
    <w:rPr>
      <w:b/>
      <w:sz w:val="28"/>
      <w:szCs w:val="20"/>
    </w:rPr>
  </w:style>
  <w:style w:type="paragraph" w:styleId="8">
    <w:name w:val="Body Text"/>
    <w:basedOn w:val="1"/>
    <w:next w:val="1"/>
    <w:link w:val="82"/>
    <w:qFormat/>
    <w:uiPriority w:val="99"/>
    <w:pPr>
      <w:autoSpaceDE w:val="0"/>
      <w:autoSpaceDN w:val="0"/>
      <w:spacing w:line="360" w:lineRule="auto"/>
    </w:pPr>
    <w:rPr>
      <w:rFonts w:ascii="宋体" w:hAnsi="Arial" w:cs="Arial"/>
      <w:snapToGrid w:val="0"/>
      <w:sz w:val="24"/>
      <w:szCs w:val="21"/>
      <w:lang w:val="zh-CN"/>
    </w:rPr>
  </w:style>
  <w:style w:type="paragraph" w:styleId="9">
    <w:name w:val="Body Text Indent"/>
    <w:basedOn w:val="1"/>
    <w:next w:val="10"/>
    <w:qFormat/>
    <w:uiPriority w:val="0"/>
    <w:pPr>
      <w:spacing w:line="480" w:lineRule="exact"/>
      <w:ind w:firstLine="480" w:firstLineChars="200"/>
    </w:pPr>
    <w:rPr>
      <w:rFonts w:ascii="宋体" w:hAnsi="宋体"/>
      <w:sz w:val="24"/>
    </w:rPr>
  </w:style>
  <w:style w:type="paragraph" w:styleId="10">
    <w:name w:val="envelope return"/>
    <w:basedOn w:val="1"/>
    <w:qFormat/>
    <w:uiPriority w:val="0"/>
    <w:pPr>
      <w:snapToGrid w:val="0"/>
    </w:pPr>
    <w:rPr>
      <w:rFonts w:ascii="Arial" w:hAnsi="Arial"/>
    </w:rPr>
  </w:style>
  <w:style w:type="paragraph" w:styleId="11">
    <w:name w:val="Plain Text"/>
    <w:basedOn w:val="1"/>
    <w:next w:val="1"/>
    <w:qFormat/>
    <w:uiPriority w:val="0"/>
    <w:rPr>
      <w:rFonts w:ascii="宋体" w:hAnsi="Courier New" w:cs="Arial"/>
      <w:snapToGrid w:val="0"/>
      <w:szCs w:val="21"/>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6"/>
    <w:basedOn w:val="1"/>
    <w:next w:val="1"/>
    <w:qFormat/>
    <w:uiPriority w:val="0"/>
    <w:pPr>
      <w:ind w:left="2100" w:leftChars="1000"/>
    </w:pPr>
  </w:style>
  <w:style w:type="paragraph" w:styleId="15">
    <w:name w:val="Body Text 2"/>
    <w:basedOn w:val="1"/>
    <w:qFormat/>
    <w:uiPriority w:val="0"/>
    <w:pPr>
      <w:spacing w:after="120" w:line="480" w:lineRule="auto"/>
    </w:pPr>
  </w:style>
  <w:style w:type="paragraph" w:styleId="16">
    <w:name w:val="Normal (Web)"/>
    <w:basedOn w:val="1"/>
    <w:qFormat/>
    <w:uiPriority w:val="99"/>
    <w:pPr>
      <w:widowControl/>
      <w:spacing w:before="100" w:beforeAutospacing="1" w:after="100" w:afterAutospacing="1"/>
      <w:jc w:val="left"/>
    </w:pPr>
    <w:rPr>
      <w:rFonts w:ascii="宋体" w:hAnsi="宋体" w:cs="宋体"/>
      <w:sz w:val="24"/>
    </w:rPr>
  </w:style>
  <w:style w:type="paragraph" w:styleId="17">
    <w:name w:val="Title"/>
    <w:basedOn w:val="1"/>
    <w:next w:val="1"/>
    <w:qFormat/>
    <w:uiPriority w:val="10"/>
    <w:pPr>
      <w:widowControl/>
      <w:overflowPunct w:val="0"/>
      <w:autoSpaceDE w:val="0"/>
      <w:autoSpaceDN w:val="0"/>
      <w:jc w:val="center"/>
      <w:textAlignment w:val="baseline"/>
    </w:pPr>
    <w:rPr>
      <w:b/>
      <w:kern w:val="0"/>
      <w:sz w:val="24"/>
      <w:szCs w:val="20"/>
    </w:rPr>
  </w:style>
  <w:style w:type="paragraph" w:styleId="18">
    <w:name w:val="Body Text First Indent"/>
    <w:basedOn w:val="8"/>
    <w:next w:val="1"/>
    <w:qFormat/>
    <w:uiPriority w:val="0"/>
    <w:pPr>
      <w:ind w:firstLine="420"/>
    </w:pPr>
    <w:rPr>
      <w:rFonts w:hAnsi="Calibri" w:cs="Times New Roman"/>
      <w:szCs w:val="20"/>
    </w:rPr>
  </w:style>
  <w:style w:type="paragraph" w:styleId="19">
    <w:name w:val="Body Text First Indent 2"/>
    <w:basedOn w:val="9"/>
    <w:next w:val="1"/>
    <w:qFormat/>
    <w:uiPriority w:val="0"/>
    <w:pPr>
      <w:adjustRightInd/>
      <w:spacing w:after="120" w:line="240" w:lineRule="auto"/>
      <w:ind w:left="420" w:leftChars="200" w:firstLine="210"/>
    </w:pPr>
    <w:rPr>
      <w:sz w:val="21"/>
    </w:rPr>
  </w:style>
  <w:style w:type="table" w:styleId="21">
    <w:name w:val="Table Grid"/>
    <w:basedOn w:val="20"/>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rPr>
      <w:rFonts w:ascii="Arial" w:hAnsi="Arial" w:eastAsia="黑体" w:cs="Arial"/>
      <w:snapToGrid w:val="0"/>
      <w:kern w:val="0"/>
      <w:szCs w:val="21"/>
    </w:rPr>
  </w:style>
  <w:style w:type="character" w:styleId="24">
    <w:name w:val="FollowedHyperlink"/>
    <w:basedOn w:val="22"/>
    <w:unhideWhenUsed/>
    <w:qFormat/>
    <w:uiPriority w:val="99"/>
    <w:rPr>
      <w:color w:val="954F72"/>
      <w:u w:val="single"/>
    </w:rPr>
  </w:style>
  <w:style w:type="character" w:styleId="25">
    <w:name w:val="Hyperlink"/>
    <w:qFormat/>
    <w:uiPriority w:val="99"/>
    <w:rPr>
      <w:rFonts w:ascii="Arial" w:hAnsi="Arial" w:eastAsia="黑体" w:cs="Arial"/>
      <w:snapToGrid w:val="0"/>
      <w:color w:val="000000"/>
      <w:kern w:val="0"/>
      <w:sz w:val="18"/>
      <w:szCs w:val="18"/>
      <w:u w:val="none"/>
    </w:rPr>
  </w:style>
  <w:style w:type="paragraph" w:customStyle="1" w:styleId="26">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27">
    <w:name w:val="正文2"/>
    <w:basedOn w:val="1"/>
    <w:qFormat/>
    <w:uiPriority w:val="0"/>
    <w:pPr>
      <w:spacing w:before="156" w:line="360" w:lineRule="auto"/>
      <w:ind w:firstLine="510" w:firstLineChars="200"/>
    </w:pPr>
    <w:rPr>
      <w:sz w:val="24"/>
      <w:szCs w:val="20"/>
    </w:rPr>
  </w:style>
  <w:style w:type="paragraph" w:customStyle="1" w:styleId="2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0">
    <w:name w:val="正文缩进1"/>
    <w:basedOn w:val="1"/>
    <w:next w:val="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1">
    <w:name w:val="索引 11"/>
    <w:basedOn w:val="1"/>
    <w:next w:val="1"/>
    <w:qFormat/>
    <w:uiPriority w:val="99"/>
    <w:pPr>
      <w:adjustRightInd/>
      <w:spacing w:line="360" w:lineRule="auto"/>
    </w:pPr>
    <w:rPr>
      <w:rFonts w:ascii="仿宋_GB2312" w:eastAsia="仿宋_GB2312"/>
      <w:sz w:val="24"/>
      <w:szCs w:val="20"/>
    </w:rPr>
  </w:style>
  <w:style w:type="paragraph" w:customStyle="1" w:styleId="32">
    <w:name w:val="纯文本_0_0"/>
    <w:basedOn w:val="33"/>
    <w:qFormat/>
    <w:uiPriority w:val="0"/>
    <w:rPr>
      <w:rFonts w:ascii="宋体" w:hAnsi="Courier New"/>
      <w:szCs w:val="21"/>
    </w:rPr>
  </w:style>
  <w:style w:type="paragraph" w:customStyle="1" w:styleId="3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5">
    <w:name w:val="样式 列表编号 + 段后: 0.5 行"/>
    <w:basedOn w:val="6"/>
    <w:qFormat/>
    <w:uiPriority w:val="0"/>
    <w:pPr>
      <w:widowControl/>
      <w:numPr>
        <w:ilvl w:val="0"/>
        <w:numId w:val="0"/>
      </w:numPr>
      <w:spacing w:after="120"/>
      <w:ind w:left="840" w:hanging="420"/>
      <w:jc w:val="left"/>
    </w:pPr>
    <w:rPr>
      <w:rFonts w:cs="宋体"/>
      <w:kern w:val="0"/>
      <w:sz w:val="24"/>
      <w:szCs w:val="20"/>
    </w:rPr>
  </w:style>
  <w:style w:type="paragraph" w:customStyle="1" w:styleId="36">
    <w:name w:val="font5"/>
    <w:basedOn w:val="1"/>
    <w:qFormat/>
    <w:uiPriority w:val="0"/>
    <w:pPr>
      <w:widowControl/>
      <w:adjustRightInd/>
      <w:spacing w:before="100" w:beforeAutospacing="1" w:after="100" w:afterAutospacing="1"/>
      <w:jc w:val="left"/>
    </w:pPr>
    <w:rPr>
      <w:rFonts w:ascii="等线" w:hAnsi="等线" w:eastAsia="等线" w:cs="宋体"/>
      <w:kern w:val="0"/>
      <w:sz w:val="18"/>
      <w:szCs w:val="18"/>
    </w:rPr>
  </w:style>
  <w:style w:type="paragraph" w:customStyle="1" w:styleId="37">
    <w:name w:val="font6"/>
    <w:basedOn w:val="1"/>
    <w:qFormat/>
    <w:uiPriority w:val="0"/>
    <w:pPr>
      <w:widowControl/>
      <w:adjustRightInd/>
      <w:spacing w:before="100" w:beforeAutospacing="1" w:after="100" w:afterAutospacing="1"/>
      <w:jc w:val="left"/>
    </w:pPr>
    <w:rPr>
      <w:rFonts w:ascii="宋体" w:hAnsi="宋体" w:cs="宋体"/>
      <w:kern w:val="0"/>
      <w:sz w:val="20"/>
      <w:szCs w:val="20"/>
    </w:rPr>
  </w:style>
  <w:style w:type="paragraph" w:customStyle="1" w:styleId="38">
    <w:name w:val="font7"/>
    <w:basedOn w:val="1"/>
    <w:qFormat/>
    <w:uiPriority w:val="0"/>
    <w:pPr>
      <w:widowControl/>
      <w:adjustRightInd/>
      <w:spacing w:before="100" w:beforeAutospacing="1" w:after="100" w:afterAutospacing="1"/>
      <w:jc w:val="left"/>
    </w:pPr>
    <w:rPr>
      <w:rFonts w:ascii="等线" w:hAnsi="等线" w:eastAsia="等线" w:cs="宋体"/>
      <w:kern w:val="0"/>
      <w:sz w:val="18"/>
      <w:szCs w:val="18"/>
    </w:rPr>
  </w:style>
  <w:style w:type="paragraph" w:customStyle="1" w:styleId="39">
    <w:name w:val="xl65"/>
    <w:basedOn w:val="1"/>
    <w:qFormat/>
    <w:uiPriority w:val="0"/>
    <w:pPr>
      <w:widowControl/>
      <w:adjustRightInd/>
      <w:spacing w:before="100" w:beforeAutospacing="1" w:after="100" w:afterAutospacing="1"/>
      <w:jc w:val="left"/>
    </w:pPr>
    <w:rPr>
      <w:rFonts w:ascii="宋体" w:hAnsi="宋体" w:cs="宋体"/>
      <w:kern w:val="0"/>
      <w:sz w:val="20"/>
      <w:szCs w:val="20"/>
    </w:rPr>
  </w:style>
  <w:style w:type="paragraph" w:customStyle="1" w:styleId="40">
    <w:name w:val="xl66"/>
    <w:basedOn w:val="1"/>
    <w:qFormat/>
    <w:uiPriority w:val="0"/>
    <w:pPr>
      <w:widowControl/>
      <w:adjustRightInd/>
      <w:spacing w:before="100" w:beforeAutospacing="1" w:after="100" w:afterAutospacing="1"/>
      <w:jc w:val="left"/>
    </w:pPr>
    <w:rPr>
      <w:rFonts w:ascii="宋体" w:hAnsi="宋体" w:cs="宋体"/>
      <w:kern w:val="0"/>
      <w:sz w:val="20"/>
      <w:szCs w:val="20"/>
    </w:rPr>
  </w:style>
  <w:style w:type="paragraph" w:customStyle="1" w:styleId="41">
    <w:name w:val="xl67"/>
    <w:basedOn w:val="1"/>
    <w:qFormat/>
    <w:uiPriority w:val="0"/>
    <w:pPr>
      <w:widowControl/>
      <w:pBdr>
        <w:top w:val="single" w:color="auto" w:sz="8" w:space="0"/>
        <w:left w:val="single" w:color="auto" w:sz="8"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42">
    <w:name w:val="xl68"/>
    <w:basedOn w:val="1"/>
    <w:qFormat/>
    <w:uiPriority w:val="0"/>
    <w:pPr>
      <w:widowControl/>
      <w:pBdr>
        <w:top w:val="single" w:color="auto" w:sz="8" w:space="0"/>
        <w:left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43">
    <w:name w:val="xl69"/>
    <w:basedOn w:val="1"/>
    <w:qFormat/>
    <w:uiPriority w:val="0"/>
    <w:pPr>
      <w:widowControl/>
      <w:pBdr>
        <w:top w:val="single" w:color="auto" w:sz="8" w:space="0"/>
        <w:left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44">
    <w:name w:val="xl70"/>
    <w:basedOn w:val="1"/>
    <w:qFormat/>
    <w:uiPriority w:val="0"/>
    <w:pPr>
      <w:widowControl/>
      <w:pBdr>
        <w:top w:val="single" w:color="auto" w:sz="8" w:space="0"/>
        <w:left w:val="single" w:color="auto" w:sz="4" w:space="0"/>
        <w:right w:val="single" w:color="auto" w:sz="8"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45">
    <w:name w:val="xl71"/>
    <w:basedOn w:val="1"/>
    <w:qFormat/>
    <w:uiPriority w:val="0"/>
    <w:pPr>
      <w:widowControl/>
      <w:pBdr>
        <w:top w:val="single" w:color="auto" w:sz="8" w:space="0"/>
        <w:left w:val="single" w:color="auto" w:sz="8"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46">
    <w:name w:val="xl72"/>
    <w:basedOn w:val="1"/>
    <w:qFormat/>
    <w:uiPriority w:val="0"/>
    <w:pPr>
      <w:widowControl/>
      <w:pBdr>
        <w:top w:val="single" w:color="auto" w:sz="8"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47">
    <w:name w:val="xl73"/>
    <w:basedOn w:val="1"/>
    <w:qFormat/>
    <w:uiPriority w:val="0"/>
    <w:pPr>
      <w:widowControl/>
      <w:pBdr>
        <w:top w:val="single" w:color="auto" w:sz="8"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48">
    <w:name w:val="xl74"/>
    <w:basedOn w:val="1"/>
    <w:qFormat/>
    <w:uiPriority w:val="0"/>
    <w:pPr>
      <w:widowControl/>
      <w:pBdr>
        <w:top w:val="single" w:color="auto" w:sz="8" w:space="0"/>
        <w:left w:val="single" w:color="auto" w:sz="4" w:space="0"/>
        <w:bottom w:val="single" w:color="auto" w:sz="4" w:space="0"/>
        <w:right w:val="single" w:color="auto" w:sz="8"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49">
    <w:name w:val="xl75"/>
    <w:basedOn w:val="1"/>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5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52">
    <w:name w:val="xl78"/>
    <w:basedOn w:val="1"/>
    <w:qFormat/>
    <w:uiPriority w:val="0"/>
    <w:pPr>
      <w:widowControl/>
      <w:pBdr>
        <w:top w:val="single" w:color="auto" w:sz="4" w:space="0"/>
        <w:left w:val="single" w:color="auto" w:sz="4" w:space="0"/>
        <w:bottom w:val="single" w:color="auto" w:sz="4" w:space="0"/>
        <w:right w:val="single" w:color="auto" w:sz="8"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5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54">
    <w:name w:val="xl8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55">
    <w:name w:val="xl81"/>
    <w:basedOn w:val="1"/>
    <w:qFormat/>
    <w:uiPriority w:val="0"/>
    <w:pPr>
      <w:widowControl/>
      <w:pBdr>
        <w:top w:val="single" w:color="auto" w:sz="4" w:space="0"/>
        <w:left w:val="single" w:color="auto" w:sz="4" w:space="0"/>
        <w:bottom w:val="single" w:color="auto" w:sz="4" w:space="0"/>
        <w:right w:val="single" w:color="auto" w:sz="8"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56">
    <w:name w:val="xl82"/>
    <w:basedOn w:val="1"/>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57">
    <w:name w:val="xl8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center"/>
    </w:pPr>
    <w:rPr>
      <w:rFonts w:ascii="宋体" w:hAnsi="宋体" w:cs="宋体"/>
      <w:kern w:val="0"/>
      <w:sz w:val="20"/>
      <w:szCs w:val="20"/>
    </w:rPr>
  </w:style>
  <w:style w:type="paragraph" w:customStyle="1" w:styleId="58">
    <w:name w:val="xl84"/>
    <w:basedOn w:val="1"/>
    <w:qFormat/>
    <w:uiPriority w:val="0"/>
    <w:pPr>
      <w:widowControl/>
      <w:pBdr>
        <w:left w:val="single" w:color="auto" w:sz="8"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59">
    <w:name w:val="xl85"/>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60">
    <w:name w:val="xl86"/>
    <w:basedOn w:val="1"/>
    <w:qFormat/>
    <w:uiPriority w:val="0"/>
    <w:pPr>
      <w:widowControl/>
      <w:pBdr>
        <w:left w:val="single" w:color="auto" w:sz="8"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61">
    <w:name w:val="xl87"/>
    <w:basedOn w:val="1"/>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62">
    <w:name w:val="xl88"/>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63">
    <w:name w:val="xl89"/>
    <w:basedOn w:val="1"/>
    <w:qFormat/>
    <w:uiPriority w:val="0"/>
    <w:pPr>
      <w:widowControl/>
      <w:adjustRightInd/>
      <w:spacing w:before="100" w:beforeAutospacing="1" w:after="100" w:afterAutospacing="1"/>
      <w:jc w:val="left"/>
      <w:textAlignment w:val="center"/>
    </w:pPr>
    <w:rPr>
      <w:rFonts w:ascii="宋体" w:hAnsi="宋体" w:cs="宋体"/>
      <w:kern w:val="0"/>
      <w:sz w:val="20"/>
      <w:szCs w:val="20"/>
    </w:rPr>
  </w:style>
  <w:style w:type="paragraph" w:customStyle="1" w:styleId="64">
    <w:name w:val="xl90"/>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65">
    <w:name w:val="xl91"/>
    <w:basedOn w:val="1"/>
    <w:qFormat/>
    <w:uiPriority w:val="0"/>
    <w:pPr>
      <w:widowControl/>
      <w:pBdr>
        <w:top w:val="single" w:color="auto" w:sz="4" w:space="0"/>
        <w:left w:val="single" w:color="auto" w:sz="4" w:space="0"/>
        <w:right w:val="single" w:color="auto" w:sz="8"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66">
    <w:name w:val="xl92"/>
    <w:basedOn w:val="1"/>
    <w:qFormat/>
    <w:uiPriority w:val="0"/>
    <w:pPr>
      <w:widowControl/>
      <w:pBdr>
        <w:top w:val="single" w:color="auto" w:sz="4" w:space="0"/>
        <w:left w:val="single" w:color="auto" w:sz="8"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67">
    <w:name w:val="xl93"/>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68">
    <w:name w:val="xl94"/>
    <w:basedOn w:val="1"/>
    <w:qFormat/>
    <w:uiPriority w:val="0"/>
    <w:pPr>
      <w:widowControl/>
      <w:pBdr>
        <w:top w:val="single" w:color="auto" w:sz="4" w:space="0"/>
        <w:left w:val="single" w:color="auto" w:sz="4" w:space="0"/>
        <w:right w:val="single" w:color="auto" w:sz="8"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69">
    <w:name w:val="xl95"/>
    <w:basedOn w:val="1"/>
    <w:qFormat/>
    <w:uiPriority w:val="0"/>
    <w:pPr>
      <w:widowControl/>
      <w:pBdr>
        <w:top w:val="single" w:color="auto" w:sz="4" w:space="0"/>
        <w:left w:val="single" w:color="auto" w:sz="8" w:space="0"/>
        <w:bottom w:val="single" w:color="auto" w:sz="8" w:space="0"/>
        <w:right w:val="single" w:color="auto" w:sz="4" w:space="0"/>
      </w:pBdr>
      <w:adjustRightInd/>
      <w:spacing w:before="100" w:beforeAutospacing="1" w:after="100" w:afterAutospacing="1"/>
      <w:jc w:val="left"/>
      <w:textAlignment w:val="center"/>
    </w:pPr>
    <w:rPr>
      <w:rFonts w:ascii="宋体" w:hAnsi="宋体" w:cs="宋体"/>
      <w:kern w:val="0"/>
      <w:sz w:val="20"/>
      <w:szCs w:val="20"/>
    </w:rPr>
  </w:style>
  <w:style w:type="paragraph" w:customStyle="1" w:styleId="70">
    <w:name w:val="xl96"/>
    <w:basedOn w:val="1"/>
    <w:qFormat/>
    <w:uiPriority w:val="0"/>
    <w:pPr>
      <w:widowControl/>
      <w:pBdr>
        <w:top w:val="single" w:color="auto" w:sz="4" w:space="0"/>
        <w:left w:val="single" w:color="auto" w:sz="4" w:space="0"/>
        <w:bottom w:val="single" w:color="auto" w:sz="8"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71">
    <w:name w:val="xl97"/>
    <w:basedOn w:val="1"/>
    <w:qFormat/>
    <w:uiPriority w:val="0"/>
    <w:pPr>
      <w:widowControl/>
      <w:pBdr>
        <w:top w:val="single" w:color="auto" w:sz="4" w:space="0"/>
        <w:left w:val="single" w:color="auto" w:sz="4" w:space="0"/>
        <w:bottom w:val="single" w:color="auto" w:sz="8" w:space="0"/>
        <w:right w:val="single" w:color="auto" w:sz="4" w:space="0"/>
      </w:pBdr>
      <w:adjustRightInd/>
      <w:spacing w:before="100" w:beforeAutospacing="1" w:after="100" w:afterAutospacing="1"/>
      <w:jc w:val="left"/>
      <w:textAlignment w:val="center"/>
    </w:pPr>
    <w:rPr>
      <w:rFonts w:ascii="宋体" w:hAnsi="宋体" w:cs="宋体"/>
      <w:kern w:val="0"/>
      <w:sz w:val="20"/>
      <w:szCs w:val="20"/>
    </w:rPr>
  </w:style>
  <w:style w:type="paragraph" w:customStyle="1" w:styleId="72">
    <w:name w:val="xl98"/>
    <w:basedOn w:val="1"/>
    <w:qFormat/>
    <w:uiPriority w:val="0"/>
    <w:pPr>
      <w:widowControl/>
      <w:pBdr>
        <w:top w:val="single" w:color="auto" w:sz="4" w:space="0"/>
        <w:left w:val="single" w:color="auto" w:sz="4" w:space="0"/>
        <w:bottom w:val="single" w:color="auto" w:sz="8" w:space="0"/>
        <w:right w:val="single" w:color="auto" w:sz="4"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73">
    <w:name w:val="xl99"/>
    <w:basedOn w:val="1"/>
    <w:qFormat/>
    <w:uiPriority w:val="0"/>
    <w:pPr>
      <w:widowControl/>
      <w:pBdr>
        <w:top w:val="single" w:color="auto" w:sz="4" w:space="0"/>
        <w:left w:val="single" w:color="auto" w:sz="4" w:space="0"/>
        <w:bottom w:val="single" w:color="auto" w:sz="8" w:space="0"/>
        <w:right w:val="single" w:color="auto" w:sz="8" w:space="0"/>
      </w:pBdr>
      <w:adjustRightInd/>
      <w:spacing w:before="100" w:beforeAutospacing="1" w:after="100" w:afterAutospacing="1"/>
      <w:jc w:val="center"/>
      <w:textAlignment w:val="center"/>
    </w:pPr>
    <w:rPr>
      <w:rFonts w:ascii="宋体" w:hAnsi="宋体" w:cs="宋体"/>
      <w:b/>
      <w:bCs/>
      <w:kern w:val="0"/>
      <w:sz w:val="20"/>
      <w:szCs w:val="20"/>
    </w:rPr>
  </w:style>
  <w:style w:type="paragraph" w:customStyle="1" w:styleId="74">
    <w:name w:val="xl100"/>
    <w:basedOn w:val="1"/>
    <w:qFormat/>
    <w:uiPriority w:val="0"/>
    <w:pPr>
      <w:widowControl/>
      <w:pBdr>
        <w:top w:val="single" w:color="auto" w:sz="4" w:space="0"/>
        <w:left w:val="single" w:color="auto" w:sz="8"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75">
    <w:name w:val="xl101"/>
    <w:basedOn w:val="1"/>
    <w:qFormat/>
    <w:uiPriority w:val="0"/>
    <w:pPr>
      <w:widowControl/>
      <w:pBdr>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0"/>
      <w:szCs w:val="20"/>
    </w:rPr>
  </w:style>
  <w:style w:type="paragraph" w:customStyle="1" w:styleId="76">
    <w:name w:val="HtmlNormal"/>
    <w:basedOn w:val="1"/>
    <w:qFormat/>
    <w:uiPriority w:val="0"/>
    <w:pPr>
      <w:widowControl/>
      <w:spacing w:before="100" w:beforeAutospacing="1" w:after="100" w:afterAutospacing="1"/>
      <w:jc w:val="left"/>
      <w:textAlignment w:val="baseline"/>
    </w:pPr>
    <w:rPr>
      <w:rFonts w:ascii="宋体" w:hAnsi="宋体"/>
      <w:kern w:val="0"/>
      <w:sz w:val="24"/>
    </w:rPr>
  </w:style>
  <w:style w:type="paragraph" w:customStyle="1" w:styleId="77">
    <w:name w:val="表格"/>
    <w:basedOn w:val="1"/>
    <w:qFormat/>
    <w:uiPriority w:val="0"/>
    <w:pPr>
      <w:widowControl/>
      <w:jc w:val="center"/>
      <w:textAlignment w:val="center"/>
    </w:pPr>
    <w:rPr>
      <w:rFonts w:ascii="宋体" w:hAnsi="宋体" w:cs="宋体"/>
      <w:kern w:val="0"/>
      <w:sz w:val="24"/>
    </w:rPr>
  </w:style>
  <w:style w:type="paragraph" w:customStyle="1" w:styleId="78">
    <w:name w:val="Heading2"/>
    <w:basedOn w:val="1"/>
    <w:next w:val="1"/>
    <w:qFormat/>
    <w:uiPriority w:val="0"/>
    <w:pPr>
      <w:keepNext/>
      <w:widowControl/>
      <w:spacing w:line="216" w:lineRule="auto"/>
      <w:textAlignment w:val="baseline"/>
    </w:pPr>
    <w:rPr>
      <w:rFonts w:ascii="宋体"/>
      <w:b/>
      <w:sz w:val="28"/>
    </w:rPr>
  </w:style>
  <w:style w:type="paragraph" w:customStyle="1" w:styleId="79">
    <w:name w:val="文档正文"/>
    <w:basedOn w:val="1"/>
    <w:qFormat/>
    <w:uiPriority w:val="99"/>
    <w:rPr>
      <w:rFonts w:ascii="宋体" w:hAnsi="宋体" w:cs="Arial"/>
      <w:bCs/>
      <w:szCs w:val="21"/>
    </w:rPr>
  </w:style>
  <w:style w:type="paragraph" w:customStyle="1" w:styleId="80">
    <w:name w:val="纯文本1"/>
    <w:basedOn w:val="81"/>
    <w:qFormat/>
    <w:uiPriority w:val="0"/>
    <w:pPr>
      <w:widowControl/>
      <w:jc w:val="left"/>
    </w:pPr>
    <w:rPr>
      <w:rFonts w:ascii="宋体" w:hAnsi="Courier New"/>
    </w:rPr>
  </w:style>
  <w:style w:type="paragraph" w:customStyle="1" w:styleId="81">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customStyle="1" w:styleId="82">
    <w:name w:val="正文文本 Char"/>
    <w:basedOn w:val="22"/>
    <w:link w:val="8"/>
    <w:qFormat/>
    <w:uiPriority w:val="99"/>
    <w:rPr>
      <w:rFonts w:ascii="宋体" w:hAnsi="Arial" w:eastAsia="宋体" w:cs="Arial"/>
      <w:snapToGrid w:val="0"/>
      <w:kern w:val="2"/>
      <w:sz w:val="24"/>
      <w:szCs w:val="21"/>
      <w:lang w:val="zh-CN"/>
    </w:rPr>
  </w:style>
  <w:style w:type="character" w:customStyle="1" w:styleId="83">
    <w:name w:val="NormalCharacter"/>
    <w:semiHidden/>
    <w:qFormat/>
    <w:uiPriority w:val="0"/>
    <w:rPr>
      <w:rFonts w:ascii="Times New Roman" w:hAnsi="Times New Roman" w:eastAsia="宋体" w:cs="Times New Roman"/>
      <w:kern w:val="2"/>
      <w:sz w:val="21"/>
      <w:szCs w:val="24"/>
      <w:lang w:val="en-US" w:eastAsia="zh-CN" w:bidi="ar-SA"/>
    </w:rPr>
  </w:style>
  <w:style w:type="paragraph" w:styleId="84">
    <w:name w:val="List Paragraph"/>
    <w:basedOn w:val="1"/>
    <w:qFormat/>
    <w:uiPriority w:val="34"/>
    <w:pPr>
      <w:ind w:firstLine="420" w:firstLineChars="200"/>
    </w:pPr>
  </w:style>
  <w:style w:type="paragraph" w:customStyle="1" w:styleId="85">
    <w:name w:val="List Paragraph1"/>
    <w:basedOn w:val="1"/>
    <w:qFormat/>
    <w:uiPriority w:val="0"/>
    <w:pPr>
      <w:ind w:firstLine="420" w:firstLineChars="200"/>
    </w:pPr>
    <w:rPr>
      <w:szCs w:val="24"/>
    </w:rPr>
  </w:style>
  <w:style w:type="paragraph" w:customStyle="1" w:styleId="86">
    <w:name w:val="表内文字"/>
    <w:basedOn w:val="1"/>
    <w:qFormat/>
    <w:uiPriority w:val="0"/>
    <w:pPr>
      <w:tabs>
        <w:tab w:val="left" w:pos="1418"/>
      </w:tabs>
      <w:spacing w:line="360" w:lineRule="auto"/>
      <w:jc w:val="center"/>
    </w:pPr>
    <w:rPr>
      <w:rFonts w:ascii="仿宋_GB2312" w:eastAsia="仿宋_GB2312"/>
      <w:spacing w:val="-20"/>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81</Pages>
  <Words>36978</Words>
  <Characters>39501</Characters>
  <Lines>265</Lines>
  <Paragraphs>74</Paragraphs>
  <TotalTime>44</TotalTime>
  <ScaleCrop>false</ScaleCrop>
  <LinksUpToDate>false</LinksUpToDate>
  <CharactersWithSpaces>44846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2022-07-18T10:09:00Z</dcterms:created>
  <dc:creator>心雨</dc:creator>
  <cp:lastModifiedBy>WPS_1539672984</cp:lastModifiedBy>
  <cp:lastPrinted>2023-09-08T07:00:00Z</cp:lastPrinted>
  <dcterms:modified xsi:type="dcterms:W3CDTF">2023-09-27T06:52:02Z</dcterms:modified>
  <dc:title>嵊州市湛头滞洪区调整专题项目（嵊州滞洪区建设和现代化改造工程）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84C7A1F49D9B44F2AA8E81ABF95F3B0C</vt:lpwstr>
  </property>
</Properties>
</file>