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hint="eastAsia" w:ascii="隶书" w:hAnsi="Arial" w:eastAsia="隶书" w:cs="Arial"/>
          <w:b/>
          <w:sz w:val="72"/>
          <w:szCs w:val="72"/>
          <w:highlight w:val="none"/>
          <w:lang w:eastAsia="zh-CN"/>
        </w:rPr>
      </w:pPr>
      <w:r>
        <w:rPr>
          <w:rFonts w:hint="eastAsia" w:ascii="隶书" w:hAnsi="Arial" w:eastAsia="隶书" w:cs="Arial"/>
          <w:b/>
          <w:sz w:val="52"/>
          <w:szCs w:val="52"/>
          <w:highlight w:val="none"/>
          <w:lang w:eastAsia="zh-CN"/>
        </w:rPr>
        <w:t>绍兴市越城区综合行政执法局信息指挥中心项目（第二次）</w:t>
      </w:r>
    </w:p>
    <w:p>
      <w:pPr>
        <w:spacing w:line="312" w:lineRule="auto"/>
        <w:jc w:val="center"/>
        <w:outlineLvl w:val="0"/>
        <w:rPr>
          <w:rFonts w:ascii="隶书" w:hAnsi="Arial" w:eastAsia="隶书" w:cs="Arial"/>
          <w:b/>
          <w:sz w:val="72"/>
          <w:szCs w:val="72"/>
          <w:highlight w:val="none"/>
        </w:rPr>
      </w:pP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公</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开</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招</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标</w:t>
      </w:r>
    </w:p>
    <w:p>
      <w:pPr>
        <w:spacing w:line="312" w:lineRule="auto"/>
        <w:jc w:val="center"/>
        <w:outlineLvl w:val="0"/>
        <w:rPr>
          <w:rFonts w:ascii="隶书" w:eastAsia="隶书"/>
          <w:b/>
          <w:sz w:val="72"/>
          <w:szCs w:val="72"/>
          <w:highlight w:val="none"/>
        </w:rPr>
      </w:pPr>
      <w:r>
        <w:rPr>
          <w:rFonts w:hint="eastAsia" w:ascii="隶书" w:eastAsia="隶书"/>
          <w:b/>
          <w:sz w:val="72"/>
          <w:szCs w:val="72"/>
          <w:highlight w:val="none"/>
        </w:rPr>
        <w:t>文</w:t>
      </w:r>
    </w:p>
    <w:p>
      <w:pPr>
        <w:spacing w:line="312" w:lineRule="auto"/>
        <w:jc w:val="center"/>
        <w:outlineLvl w:val="0"/>
        <w:rPr>
          <w:rFonts w:ascii="隶书" w:eastAsia="隶书"/>
          <w:b/>
          <w:sz w:val="28"/>
          <w:szCs w:val="28"/>
          <w:highlight w:val="none"/>
        </w:rPr>
      </w:pPr>
      <w:r>
        <w:rPr>
          <w:rFonts w:hint="eastAsia" w:ascii="隶书" w:eastAsia="隶书"/>
          <w:b/>
          <w:sz w:val="72"/>
          <w:szCs w:val="72"/>
          <w:highlight w:val="none"/>
        </w:rPr>
        <w:t>件</w:t>
      </w:r>
    </w:p>
    <w:p>
      <w:pPr>
        <w:spacing w:line="312" w:lineRule="auto"/>
        <w:jc w:val="both"/>
        <w:rPr>
          <w:rFonts w:ascii="隶书" w:eastAsia="隶书"/>
          <w:b/>
          <w:sz w:val="28"/>
          <w:szCs w:val="28"/>
          <w:highlight w:val="none"/>
        </w:rPr>
      </w:pPr>
    </w:p>
    <w:p>
      <w:pPr>
        <w:spacing w:line="312" w:lineRule="auto"/>
        <w:jc w:val="center"/>
        <w:rPr>
          <w:rFonts w:hint="eastAsia" w:ascii="隶书" w:eastAsia="隶书"/>
          <w:b/>
          <w:sz w:val="28"/>
          <w:szCs w:val="28"/>
          <w:highlight w:val="none"/>
          <w:lang w:eastAsia="zh-CN"/>
        </w:rPr>
      </w:pPr>
      <w:r>
        <w:rPr>
          <w:rFonts w:hint="eastAsia" w:ascii="隶书" w:eastAsia="隶书"/>
          <w:b/>
          <w:sz w:val="28"/>
          <w:szCs w:val="28"/>
          <w:highlight w:val="none"/>
        </w:rPr>
        <w:t>招标编号:</w:t>
      </w:r>
      <w:r>
        <w:rPr>
          <w:rFonts w:hint="eastAsia" w:ascii="隶书" w:eastAsia="隶书"/>
          <w:b/>
          <w:sz w:val="28"/>
          <w:szCs w:val="28"/>
          <w:highlight w:val="none"/>
          <w:lang w:eastAsia="zh-CN"/>
        </w:rPr>
        <w:t>ZJMY2022-10-26-1</w:t>
      </w:r>
    </w:p>
    <w:tbl>
      <w:tblPr>
        <w:tblStyle w:val="31"/>
        <w:tblW w:w="7800" w:type="dxa"/>
        <w:jc w:val="center"/>
        <w:tblLayout w:type="fixed"/>
        <w:tblCellMar>
          <w:top w:w="0" w:type="dxa"/>
          <w:left w:w="108" w:type="dxa"/>
          <w:bottom w:w="0" w:type="dxa"/>
          <w:right w:w="108" w:type="dxa"/>
        </w:tblCellMar>
      </w:tblPr>
      <w:tblGrid>
        <w:gridCol w:w="2356"/>
        <w:gridCol w:w="5444"/>
      </w:tblGrid>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highlight w:val="none"/>
              </w:rPr>
            </w:pPr>
            <w:r>
              <w:rPr>
                <w:rFonts w:hint="eastAsia" w:ascii="隶书" w:hAnsi="宋体" w:eastAsia="隶书"/>
                <w:spacing w:val="93"/>
                <w:kern w:val="0"/>
                <w:sz w:val="28"/>
                <w:szCs w:val="28"/>
                <w:highlight w:val="none"/>
              </w:rPr>
              <w:t>采购单</w:t>
            </w:r>
            <w:r>
              <w:rPr>
                <w:rFonts w:hint="eastAsia" w:ascii="隶书" w:hAnsi="宋体" w:eastAsia="隶书"/>
                <w:spacing w:val="1"/>
                <w:kern w:val="0"/>
                <w:sz w:val="28"/>
                <w:szCs w:val="28"/>
                <w:highlight w:val="none"/>
              </w:rPr>
              <w:t>位</w:t>
            </w:r>
            <w:r>
              <w:rPr>
                <w:rFonts w:hint="eastAsia" w:ascii="隶书" w:hAnsi="宋体" w:eastAsia="隶书"/>
                <w:sz w:val="28"/>
                <w:szCs w:val="28"/>
                <w:highlight w:val="none"/>
              </w:rPr>
              <w:t>：</w:t>
            </w:r>
          </w:p>
        </w:tc>
        <w:tc>
          <w:tcPr>
            <w:tcW w:w="5444" w:type="dxa"/>
            <w:vAlign w:val="center"/>
          </w:tcPr>
          <w:p>
            <w:pPr>
              <w:spacing w:after="100" w:afterAutospacing="1"/>
              <w:rPr>
                <w:rFonts w:ascii="隶书" w:hAnsi="宋体" w:eastAsia="隶书"/>
                <w:sz w:val="28"/>
                <w:szCs w:val="28"/>
                <w:highlight w:val="none"/>
              </w:rPr>
            </w:pPr>
            <w:r>
              <w:rPr>
                <w:rFonts w:hint="eastAsia" w:ascii="隶书" w:hAnsi="宋体" w:eastAsia="隶书"/>
                <w:sz w:val="28"/>
                <w:szCs w:val="28"/>
                <w:highlight w:val="none"/>
              </w:rPr>
              <w:t>绍兴市越城区综合行政执法局</w:t>
            </w:r>
          </w:p>
        </w:tc>
      </w:tr>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highlight w:val="none"/>
              </w:rPr>
            </w:pPr>
            <w:r>
              <w:rPr>
                <w:rFonts w:hint="eastAsia" w:ascii="隶书" w:hAnsi="宋体" w:eastAsia="隶书"/>
                <w:kern w:val="0"/>
                <w:sz w:val="28"/>
                <w:szCs w:val="28"/>
                <w:highlight w:val="none"/>
              </w:rPr>
              <w:t>采购代理机构</w:t>
            </w:r>
            <w:r>
              <w:rPr>
                <w:rFonts w:hint="eastAsia" w:ascii="隶书" w:hAnsi="宋体" w:eastAsia="隶书"/>
                <w:sz w:val="28"/>
                <w:szCs w:val="28"/>
                <w:highlight w:val="none"/>
              </w:rPr>
              <w:t>：</w:t>
            </w:r>
          </w:p>
        </w:tc>
        <w:tc>
          <w:tcPr>
            <w:tcW w:w="5444" w:type="dxa"/>
          </w:tcPr>
          <w:p>
            <w:pPr>
              <w:spacing w:after="100" w:afterAutospacing="1"/>
              <w:rPr>
                <w:rFonts w:ascii="隶书" w:hAnsi="宋体" w:eastAsia="隶书"/>
                <w:sz w:val="28"/>
                <w:szCs w:val="28"/>
                <w:highlight w:val="none"/>
              </w:rPr>
            </w:pPr>
            <w:r>
              <w:rPr>
                <w:rFonts w:hint="eastAsia" w:ascii="隶书" w:hAnsi="宋体" w:eastAsia="隶书"/>
                <w:sz w:val="28"/>
                <w:szCs w:val="28"/>
                <w:highlight w:val="none"/>
              </w:rPr>
              <w:t>浙江明业项目管理有限公司</w:t>
            </w:r>
          </w:p>
        </w:tc>
      </w:tr>
      <w:tr>
        <w:tblPrEx>
          <w:tblCellMar>
            <w:top w:w="0" w:type="dxa"/>
            <w:left w:w="108" w:type="dxa"/>
            <w:bottom w:w="0" w:type="dxa"/>
            <w:right w:w="108" w:type="dxa"/>
          </w:tblCellMar>
        </w:tblPrEx>
        <w:trPr>
          <w:trHeight w:val="399" w:hRule="atLeast"/>
          <w:jc w:val="center"/>
        </w:trPr>
        <w:tc>
          <w:tcPr>
            <w:tcW w:w="7800" w:type="dxa"/>
            <w:gridSpan w:val="2"/>
          </w:tcPr>
          <w:p>
            <w:pPr>
              <w:spacing w:after="100" w:afterAutospacing="1"/>
              <w:jc w:val="center"/>
              <w:rPr>
                <w:rFonts w:ascii="隶书" w:hAnsi="宋体" w:eastAsia="隶书"/>
                <w:sz w:val="28"/>
                <w:szCs w:val="28"/>
                <w:highlight w:val="none"/>
              </w:rPr>
            </w:pPr>
            <w:r>
              <w:rPr>
                <w:rFonts w:hint="eastAsia" w:ascii="隶书" w:eastAsia="隶书"/>
                <w:b/>
                <w:sz w:val="28"/>
                <w:szCs w:val="28"/>
                <w:highlight w:val="none"/>
              </w:rPr>
              <w:t>二</w:t>
            </w:r>
            <w:r>
              <w:rPr>
                <w:rFonts w:ascii="隶书" w:eastAsia="隶书"/>
                <w:b/>
                <w:sz w:val="28"/>
                <w:szCs w:val="28"/>
                <w:highlight w:val="none"/>
              </w:rPr>
              <w:t>0</w:t>
            </w:r>
            <w:r>
              <w:rPr>
                <w:rFonts w:hint="eastAsia" w:ascii="隶书" w:eastAsia="隶书"/>
                <w:b/>
                <w:sz w:val="28"/>
                <w:szCs w:val="28"/>
                <w:highlight w:val="none"/>
              </w:rPr>
              <w:t>二二年</w:t>
            </w:r>
            <w:r>
              <w:rPr>
                <w:rFonts w:hint="eastAsia" w:ascii="隶书" w:eastAsia="隶书"/>
                <w:b/>
                <w:sz w:val="28"/>
                <w:szCs w:val="28"/>
                <w:highlight w:val="none"/>
                <w:lang w:val="en-US" w:eastAsia="zh-CN"/>
              </w:rPr>
              <w:t>十二</w:t>
            </w:r>
            <w:r>
              <w:rPr>
                <w:rFonts w:hint="eastAsia" w:ascii="隶书" w:eastAsia="隶书"/>
                <w:b/>
                <w:sz w:val="28"/>
                <w:szCs w:val="28"/>
                <w:highlight w:val="none"/>
              </w:rPr>
              <w:t>月</w:t>
            </w:r>
          </w:p>
        </w:tc>
      </w:tr>
    </w:tbl>
    <w:p>
      <w:pPr>
        <w:rPr>
          <w:rFonts w:ascii="仿宋" w:hAnsi="仿宋" w:eastAsia="仿宋" w:cs="仿宋"/>
          <w:b/>
          <w:sz w:val="44"/>
          <w:szCs w:val="44"/>
          <w:highlight w:val="none"/>
        </w:rPr>
      </w:pPr>
    </w:p>
    <w:p>
      <w:pPr>
        <w:jc w:val="center"/>
        <w:rPr>
          <w:rFonts w:ascii="仿宋" w:hAnsi="仿宋" w:eastAsia="仿宋" w:cs="仿宋"/>
          <w:b/>
          <w:sz w:val="44"/>
          <w:szCs w:val="44"/>
          <w:highlight w:val="none"/>
        </w:rPr>
      </w:pPr>
    </w:p>
    <w:p>
      <w:pPr>
        <w:pStyle w:val="41"/>
        <w:rPr>
          <w:rFonts w:ascii="仿宋" w:hAnsi="仿宋" w:eastAsia="仿宋" w:cs="仿宋"/>
          <w:b/>
          <w:sz w:val="44"/>
          <w:szCs w:val="44"/>
          <w:highlight w:val="none"/>
        </w:rPr>
      </w:pPr>
    </w:p>
    <w:p>
      <w:pPr>
        <w:pStyle w:val="41"/>
        <w:rPr>
          <w:rFonts w:ascii="仿宋" w:hAnsi="仿宋" w:eastAsia="仿宋" w:cs="仿宋"/>
          <w:b/>
          <w:sz w:val="44"/>
          <w:szCs w:val="44"/>
          <w:highlight w:val="none"/>
        </w:rPr>
      </w:pPr>
    </w:p>
    <w:p>
      <w:pPr>
        <w:jc w:val="center"/>
        <w:rPr>
          <w:rFonts w:ascii="仿宋" w:hAnsi="仿宋" w:eastAsia="仿宋" w:cs="仿宋"/>
          <w:b/>
          <w:sz w:val="44"/>
          <w:szCs w:val="44"/>
          <w:highlight w:val="none"/>
        </w:rPr>
      </w:pPr>
      <w:r>
        <w:rPr>
          <w:rFonts w:hint="eastAsia" w:ascii="仿宋" w:hAnsi="仿宋" w:eastAsia="仿宋" w:cs="仿宋"/>
          <w:b/>
          <w:sz w:val="44"/>
          <w:szCs w:val="44"/>
          <w:highlight w:val="none"/>
        </w:rPr>
        <w:t>目录</w:t>
      </w:r>
    </w:p>
    <w:p>
      <w:pPr>
        <w:jc w:val="center"/>
        <w:rPr>
          <w:rFonts w:ascii="仿宋" w:hAnsi="仿宋" w:eastAsia="仿宋" w:cs="仿宋"/>
          <w:b/>
          <w:sz w:val="44"/>
          <w:szCs w:val="44"/>
          <w:highlight w:val="none"/>
        </w:rPr>
      </w:pPr>
    </w:p>
    <w:p>
      <w:pPr>
        <w:jc w:val="center"/>
        <w:rPr>
          <w:rFonts w:ascii="仿宋" w:hAnsi="仿宋" w:eastAsia="仿宋" w:cs="仿宋"/>
          <w:highlight w:val="none"/>
        </w:rPr>
      </w:pP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第一部分 招标公告</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第二部分 投标须知</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第三部分 招标项目范围及要求</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第四部分 合同的主要条款</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第五部分 评标方法及标准</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第六部分 投标文件及其附件格式</w:t>
      </w: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pageBreakBefore/>
        <w:snapToGrid w:val="0"/>
        <w:spacing w:line="600" w:lineRule="exact"/>
        <w:jc w:val="center"/>
        <w:rPr>
          <w:rFonts w:ascii="仿宋" w:hAnsi="仿宋" w:eastAsia="仿宋" w:cs="仿宋"/>
          <w:b/>
          <w:sz w:val="36"/>
          <w:szCs w:val="36"/>
          <w:highlight w:val="none"/>
        </w:rPr>
      </w:pPr>
      <w:r>
        <w:rPr>
          <w:rFonts w:hint="eastAsia" w:ascii="仿宋" w:hAnsi="仿宋" w:eastAsia="仿宋" w:cs="仿宋"/>
          <w:b/>
          <w:sz w:val="36"/>
          <w:szCs w:val="36"/>
          <w:highlight w:val="none"/>
        </w:rPr>
        <w:t>第一部分 招标公告</w:t>
      </w:r>
    </w:p>
    <w:tbl>
      <w:tblPr>
        <w:tblStyle w:val="31"/>
        <w:tblW w:w="9026" w:type="dxa"/>
        <w:tblInd w:w="0" w:type="dxa"/>
        <w:tblLayout w:type="fixed"/>
        <w:tblCellMar>
          <w:top w:w="0" w:type="dxa"/>
          <w:left w:w="0" w:type="dxa"/>
          <w:bottom w:w="0" w:type="dxa"/>
          <w:right w:w="0" w:type="dxa"/>
        </w:tblCellMar>
      </w:tblPr>
      <w:tblGrid>
        <w:gridCol w:w="9026"/>
      </w:tblGrid>
      <w:tr>
        <w:tblPrEx>
          <w:tblCellMar>
            <w:top w:w="0" w:type="dxa"/>
            <w:left w:w="0" w:type="dxa"/>
            <w:bottom w:w="0" w:type="dxa"/>
            <w:right w:w="0" w:type="dxa"/>
          </w:tblCellMar>
        </w:tblPrEx>
        <w:tc>
          <w:tcPr>
            <w:tcW w:w="9026" w:type="dxa"/>
            <w:vAlign w:val="center"/>
          </w:tcPr>
          <w:p>
            <w:pPr>
              <w:spacing w:line="288" w:lineRule="auto"/>
              <w:rPr>
                <w:rFonts w:ascii="仿宋" w:hAnsi="仿宋" w:eastAsia="仿宋" w:cs="仿宋"/>
                <w:sz w:val="24"/>
                <w:highlight w:val="none"/>
              </w:rPr>
            </w:pPr>
            <w:r>
              <w:rPr>
                <w:rFonts w:hint="eastAsia" w:ascii="仿宋" w:hAnsi="仿宋" w:eastAsia="仿宋" w:cs="仿宋"/>
                <w:sz w:val="24"/>
                <w:highlight w:val="none"/>
              </w:rPr>
              <w:br w:type="page"/>
            </w:r>
          </w:p>
          <w:tbl>
            <w:tblPr>
              <w:tblStyle w:val="3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项目概况：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eastAsia="zh-CN"/>
                    </w:rPr>
                    <w:t>绍兴市越城区综合行政执法局信息指挥中心项目（第二次）</w:t>
                  </w:r>
                  <w:r>
                    <w:rPr>
                      <w:rFonts w:hint="eastAsia" w:ascii="仿宋" w:hAnsi="仿宋" w:eastAsia="仿宋" w:cs="仿宋"/>
                      <w:kern w:val="0"/>
                      <w:sz w:val="24"/>
                      <w:highlight w:val="none"/>
                    </w:rPr>
                    <w:t>的潜在供应商应在http://www.zcygov.cn/ 获取（下载）采购文件，并于2022年1</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23</w:t>
                  </w:r>
                  <w:r>
                    <w:rPr>
                      <w:rFonts w:hint="eastAsia" w:ascii="仿宋" w:hAnsi="仿宋" w:eastAsia="仿宋" w:cs="仿宋"/>
                      <w:kern w:val="0"/>
                      <w:sz w:val="24"/>
                      <w:highlight w:val="none"/>
                    </w:rPr>
                    <w:t>日09:30（北京时间）前递交（上传）投标文件。</w:t>
                  </w:r>
                </w:p>
              </w:tc>
            </w:tr>
          </w:tbl>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一、项目基本情况</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项目编号：</w:t>
            </w:r>
            <w:r>
              <w:rPr>
                <w:rFonts w:hint="eastAsia" w:ascii="仿宋" w:hAnsi="仿宋" w:eastAsia="仿宋" w:cs="仿宋"/>
                <w:kern w:val="0"/>
                <w:sz w:val="24"/>
                <w:highlight w:val="none"/>
                <w:lang w:eastAsia="zh-CN"/>
              </w:rPr>
              <w:t>ZJMY2022-10-26-1</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项目名称：</w:t>
            </w:r>
            <w:r>
              <w:rPr>
                <w:rFonts w:hint="eastAsia" w:ascii="仿宋" w:hAnsi="仿宋" w:eastAsia="仿宋" w:cs="仿宋"/>
                <w:kern w:val="0"/>
                <w:sz w:val="24"/>
                <w:highlight w:val="none"/>
                <w:lang w:eastAsia="zh-CN"/>
              </w:rPr>
              <w:t>绍兴市越城区综合行政执法局信息指挥中心项目（第二次）</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预算金额（元）：18</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0000</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最高限价（元）：18</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0000</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采购需求：详见采购文件</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标项一:</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标项名称:</w:t>
            </w:r>
            <w:r>
              <w:rPr>
                <w:rFonts w:hint="eastAsia" w:ascii="仿宋" w:hAnsi="仿宋" w:eastAsia="仿宋" w:cs="仿宋"/>
                <w:kern w:val="0"/>
                <w:sz w:val="24"/>
                <w:highlight w:val="none"/>
                <w:lang w:eastAsia="zh-CN"/>
              </w:rPr>
              <w:t>绍兴市越城区综合行政执法局信息指挥中心项目（第二次）</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数量:不限</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预算金额（元）:</w:t>
            </w:r>
            <w:r>
              <w:rPr>
                <w:rFonts w:ascii="仿宋" w:hAnsi="仿宋" w:eastAsia="仿宋" w:cs="仿宋"/>
                <w:kern w:val="0"/>
                <w:sz w:val="24"/>
                <w:highlight w:val="none"/>
              </w:rPr>
              <w:t xml:space="preserve"> </w:t>
            </w:r>
            <w:r>
              <w:rPr>
                <w:rFonts w:hint="eastAsia" w:ascii="仿宋" w:hAnsi="仿宋" w:eastAsia="仿宋" w:cs="仿宋"/>
                <w:kern w:val="0"/>
                <w:sz w:val="24"/>
                <w:highlight w:val="none"/>
              </w:rPr>
              <w:t>18</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0000</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简要规格描述或项目基本概况介绍、用途：详见采购文件。</w:t>
            </w:r>
          </w:p>
          <w:p>
            <w:pPr>
              <w:pStyle w:val="73"/>
              <w:spacing w:afterLines="0" w:line="288" w:lineRule="auto"/>
              <w:ind w:left="479" w:leftChars="228" w:firstLine="0" w:firstLineChars="0"/>
              <w:rPr>
                <w:rFonts w:ascii="仿宋" w:hAnsi="仿宋" w:eastAsia="仿宋" w:cs="仿宋"/>
                <w:szCs w:val="24"/>
                <w:highlight w:val="none"/>
              </w:rPr>
            </w:pPr>
            <w:r>
              <w:rPr>
                <w:rFonts w:hint="eastAsia" w:ascii="仿宋" w:hAnsi="仿宋" w:eastAsia="仿宋" w:cs="仿宋"/>
                <w:szCs w:val="24"/>
                <w:highlight w:val="none"/>
              </w:rPr>
              <w:t>备注：无。</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合同履约期限：按双方合同约定条款执行。</w:t>
            </w:r>
          </w:p>
          <w:p>
            <w:pPr>
              <w:widowControl/>
              <w:snapToGrid w:val="0"/>
              <w:spacing w:line="288" w:lineRule="auto"/>
              <w:ind w:firstLine="480" w:firstLineChars="200"/>
              <w:rPr>
                <w:highlight w:val="none"/>
              </w:rPr>
            </w:pPr>
            <w:r>
              <w:rPr>
                <w:rFonts w:hint="eastAsia" w:ascii="仿宋" w:hAnsi="仿宋" w:eastAsia="仿宋" w:cs="仿宋"/>
                <w:kern w:val="0"/>
                <w:sz w:val="24"/>
                <w:highlight w:val="none"/>
              </w:rPr>
              <w:t>本项目（否）接受联合体投标。</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二、申请人的资格要求：</w:t>
            </w:r>
          </w:p>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2.落实政府采购政策需满足的资格要求：专门面向中小企业，货物全部由符合政策要求的中小企业制造，提供中小企业声明函。</w:t>
            </w:r>
          </w:p>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3.本项目的特定资格要求：无。</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三、获取招标文件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时间：/至2022年</w:t>
            </w:r>
            <w:r>
              <w:rPr>
                <w:rFonts w:hint="eastAsia" w:ascii="仿宋" w:hAnsi="仿宋" w:eastAsia="仿宋" w:cs="仿宋"/>
                <w:kern w:val="0"/>
                <w:sz w:val="24"/>
                <w:highlight w:val="none"/>
                <w:lang w:val="en-US" w:eastAsia="zh-CN"/>
              </w:rPr>
              <w:t>12</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23</w:t>
            </w:r>
            <w:r>
              <w:rPr>
                <w:rFonts w:hint="eastAsia" w:ascii="仿宋" w:hAnsi="仿宋" w:eastAsia="仿宋" w:cs="仿宋"/>
                <w:kern w:val="0"/>
                <w:sz w:val="24"/>
                <w:highlight w:val="none"/>
              </w:rPr>
              <w:t>日，每天上午00:00至12:00，下午12:00至23:59（北京时间，线上获取法定节假日均可，线下获取文件法定节假日除外）</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地点（网址）：</w:t>
            </w:r>
            <w:r>
              <w:rPr>
                <w:rFonts w:hint="eastAsia" w:ascii="仿宋" w:hAnsi="仿宋" w:eastAsia="仿宋" w:cs="仿宋"/>
                <w:bCs/>
                <w:kern w:val="0"/>
                <w:sz w:val="24"/>
                <w:highlight w:val="none"/>
              </w:rPr>
              <w:t>http://www.zcygov.cn/</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方式：</w:t>
            </w:r>
            <w:r>
              <w:rPr>
                <w:rFonts w:hint="eastAsia" w:ascii="仿宋" w:hAnsi="仿宋" w:eastAsia="仿宋" w:cs="仿宋"/>
                <w:bCs/>
                <w:kern w:val="0"/>
                <w:sz w:val="24"/>
                <w:highlight w:val="none"/>
              </w:rPr>
              <w:t>供应商登陆政采云平台http://www.zcygov.cn/，在线申请获取采购文件（进入“项目采购”应用，在获取采购文件菜单中选择项目，申请获取采购文件）。</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售价（元）：0</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四、提交投标文件截止时间、开标时间和地点</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提交投标文件截止时间：2022年</w:t>
            </w:r>
            <w:r>
              <w:rPr>
                <w:rFonts w:hint="eastAsia" w:ascii="仿宋" w:hAnsi="仿宋" w:eastAsia="仿宋" w:cs="仿宋"/>
                <w:kern w:val="0"/>
                <w:sz w:val="24"/>
                <w:highlight w:val="none"/>
                <w:lang w:val="en-US" w:eastAsia="zh-CN"/>
              </w:rPr>
              <w:t>12</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23</w:t>
            </w:r>
            <w:r>
              <w:rPr>
                <w:rFonts w:hint="eastAsia" w:ascii="仿宋" w:hAnsi="仿宋" w:eastAsia="仿宋" w:cs="仿宋"/>
                <w:kern w:val="0"/>
                <w:sz w:val="24"/>
                <w:highlight w:val="none"/>
              </w:rPr>
              <w:t>日09:30（北京时间）</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投标地点（网址）：</w:t>
            </w:r>
            <w:r>
              <w:rPr>
                <w:rFonts w:hint="eastAsia" w:ascii="仿宋" w:hAnsi="仿宋" w:eastAsia="仿宋" w:cs="仿宋"/>
                <w:bCs/>
                <w:kern w:val="0"/>
                <w:sz w:val="24"/>
                <w:highlight w:val="none"/>
              </w:rPr>
              <w:t>http://www.zcygov.cn/</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开标时间：2022年</w:t>
            </w:r>
            <w:r>
              <w:rPr>
                <w:rFonts w:hint="eastAsia" w:ascii="仿宋" w:hAnsi="仿宋" w:eastAsia="仿宋" w:cs="仿宋"/>
                <w:kern w:val="0"/>
                <w:sz w:val="24"/>
                <w:highlight w:val="none"/>
                <w:lang w:val="en-US" w:eastAsia="zh-CN"/>
              </w:rPr>
              <w:t>12</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23</w:t>
            </w:r>
            <w:r>
              <w:rPr>
                <w:rFonts w:hint="eastAsia" w:ascii="仿宋" w:hAnsi="仿宋" w:eastAsia="仿宋" w:cs="仿宋"/>
                <w:kern w:val="0"/>
                <w:sz w:val="24"/>
                <w:highlight w:val="none"/>
              </w:rPr>
              <w:t>日09:30</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开标地点（网址）：绍兴市越城区解放大道111号中石化大楼7楼。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五、公告期限</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自本公告发布之日起5个工作日。</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六、其他补充事宜</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288" w:lineRule="auto"/>
              <w:ind w:firstLine="420" w:firstLineChars="200"/>
              <w:rPr>
                <w:rFonts w:ascii="仿宋" w:hAnsi="仿宋" w:eastAsia="仿宋" w:cs="仿宋"/>
                <w:kern w:val="0"/>
                <w:sz w:val="24"/>
                <w:highlight w:val="none"/>
              </w:rPr>
            </w:pPr>
            <w:r>
              <w:rPr>
                <w:rFonts w:hint="eastAsia" w:ascii="仿宋_GB2312" w:hAnsi="新宋体" w:eastAsia="仿宋_GB2312"/>
                <w:highlight w:val="none"/>
              </w:rPr>
              <w:t>2.其他事项：</w:t>
            </w:r>
            <w:r>
              <w:rPr>
                <w:rFonts w:hint="eastAsia" w:ascii="仿宋" w:hAnsi="仿宋" w:eastAsia="仿宋" w:cs="宋体"/>
                <w:kern w:val="0"/>
                <w:sz w:val="24"/>
                <w:highlight w:val="none"/>
              </w:rPr>
              <w:t>（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投标人应特别注意CA锁有效性，CA锁延期、补办后，虽硬件介质不变，但锁的证书Key号发生改变，视为不同锁，会导致开标时无法解密投标文件），视为投标文件撤回；⑩具体操作指南：详见政采云平台“服务中心-帮助文档-项目采购-操作流程-电子招投标-政府采购项目电子交易管理操作指南-供应商”</w:t>
            </w:r>
            <w:r>
              <w:rPr>
                <w:rFonts w:hint="eastAsia" w:ascii="仿宋" w:hAnsi="仿宋" w:eastAsia="仿宋" w:cs="仿宋"/>
                <w:kern w:val="0"/>
                <w:sz w:val="24"/>
                <w:highlight w:val="none"/>
              </w:rPr>
              <w:t>。</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七、对本次采购提出询问、质疑、投诉，请按以下方式联系</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1.采购人信息</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名称：绍兴市越城区综合行政执法局</w:t>
            </w:r>
          </w:p>
          <w:p>
            <w:pPr>
              <w:widowControl/>
              <w:snapToGrid w:val="0"/>
              <w:spacing w:line="288"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地址：绍兴市越城区</w:t>
            </w:r>
            <w:r>
              <w:rPr>
                <w:rFonts w:hint="eastAsia" w:ascii="仿宋" w:hAnsi="仿宋" w:eastAsia="仿宋" w:cs="仿宋"/>
                <w:kern w:val="0"/>
                <w:sz w:val="24"/>
                <w:highlight w:val="none"/>
                <w:lang w:val="en-US" w:eastAsia="zh-CN"/>
              </w:rPr>
              <w:t>胜利西路219号</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传真：/</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项目联系人（询问）：</w:t>
            </w:r>
            <w:r>
              <w:rPr>
                <w:rFonts w:hint="eastAsia" w:ascii="仿宋" w:hAnsi="仿宋" w:eastAsia="仿宋" w:cs="仿宋"/>
                <w:kern w:val="0"/>
                <w:sz w:val="24"/>
                <w:highlight w:val="none"/>
              </w:rPr>
              <w:t>陈锋</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项目联系方式（询问）：</w:t>
            </w:r>
            <w:r>
              <w:rPr>
                <w:rFonts w:hint="eastAsia" w:ascii="仿宋" w:hAnsi="仿宋" w:eastAsia="仿宋" w:cs="仿宋"/>
                <w:kern w:val="0"/>
                <w:sz w:val="24"/>
                <w:highlight w:val="none"/>
                <w:lang w:val="en-US" w:eastAsia="zh-CN"/>
              </w:rPr>
              <w:t>0575-88245532</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质疑联系人：斯展明</w:t>
            </w:r>
            <w:r>
              <w:rPr>
                <w:rFonts w:hint="eastAsia" w:ascii="仿宋" w:hAnsi="仿宋" w:eastAsia="仿宋" w:cs="仿宋"/>
                <w:kern w:val="0"/>
                <w:sz w:val="24"/>
                <w:highlight w:val="none"/>
                <w:lang w:val="en-US" w:eastAsia="zh-CN"/>
              </w:rPr>
              <w:t xml:space="preserve"> </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质疑联系方式：</w:t>
            </w:r>
            <w:r>
              <w:rPr>
                <w:rFonts w:hint="eastAsia" w:ascii="仿宋" w:hAnsi="仿宋" w:eastAsia="仿宋" w:cs="仿宋"/>
                <w:kern w:val="0"/>
                <w:sz w:val="24"/>
                <w:highlight w:val="none"/>
                <w:lang w:val="en-US" w:eastAsia="zh-CN"/>
              </w:rPr>
              <w:t>13336828156</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2.采购代理机构信息</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名称：浙江明业项目管理有限公司</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地址：绍兴市越城区解放大道111号中石化大楼</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传真：/</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项目联系人（询问）：张雅美</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项目联系方式（询问）：18969520733</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质疑联系人：张臻</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质疑联系方式：0575-88318082</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3.同级政府采购监督管理部门</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名称：绍兴市越城区财政局</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地址：绍兴市越城区凤林西路151号</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传真：/</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联系人：季扬</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监督投诉电话：0575-85221643</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CA问题联系电话（人工）：汇信CA 400-888-4636；天谷CA 400-087-8198。</w:t>
            </w:r>
          </w:p>
        </w:tc>
      </w:tr>
    </w:tbl>
    <w:p>
      <w:pPr>
        <w:widowControl/>
        <w:spacing w:line="288" w:lineRule="auto"/>
        <w:jc w:val="left"/>
        <w:rPr>
          <w:rFonts w:ascii="仿宋" w:hAnsi="仿宋" w:eastAsia="仿宋" w:cs="仿宋"/>
          <w:kern w:val="0"/>
          <w:sz w:val="24"/>
          <w:highlight w:val="none"/>
        </w:rPr>
      </w:pPr>
    </w:p>
    <w:p>
      <w:pPr>
        <w:widowControl/>
        <w:spacing w:line="288" w:lineRule="auto"/>
        <w:jc w:val="left"/>
        <w:rPr>
          <w:rFonts w:ascii="仿宋" w:hAnsi="仿宋" w:eastAsia="仿宋" w:cs="仿宋"/>
          <w:kern w:val="0"/>
          <w:sz w:val="24"/>
          <w:highlight w:val="none"/>
        </w:rPr>
      </w:pPr>
      <w:r>
        <w:rPr>
          <w:rFonts w:hint="eastAsia" w:ascii="仿宋" w:hAnsi="仿宋" w:eastAsia="仿宋" w:cs="仿宋"/>
          <w:sz w:val="24"/>
          <w:highlight w:val="none"/>
        </w:rPr>
        <w:br w:type="page"/>
      </w:r>
    </w:p>
    <w:p>
      <w:pPr>
        <w:pageBreakBefore/>
        <w:snapToGrid w:val="0"/>
        <w:spacing w:line="600" w:lineRule="exact"/>
        <w:jc w:val="center"/>
        <w:rPr>
          <w:rFonts w:ascii="仿宋" w:hAnsi="仿宋" w:eastAsia="仿宋" w:cs="仿宋"/>
          <w:b/>
          <w:sz w:val="36"/>
          <w:szCs w:val="36"/>
          <w:highlight w:val="none"/>
        </w:rPr>
      </w:pPr>
      <w:r>
        <w:rPr>
          <w:rFonts w:hint="eastAsia" w:ascii="仿宋" w:hAnsi="仿宋" w:eastAsia="仿宋" w:cs="仿宋"/>
          <w:b/>
          <w:sz w:val="36"/>
          <w:szCs w:val="36"/>
          <w:highlight w:val="none"/>
        </w:rPr>
        <w:t>第二部分 投标须知</w:t>
      </w:r>
    </w:p>
    <w:p>
      <w:pPr>
        <w:spacing w:line="288" w:lineRule="auto"/>
        <w:ind w:left="238"/>
        <w:jc w:val="center"/>
        <w:rPr>
          <w:rFonts w:ascii="仿宋" w:hAnsi="仿宋" w:eastAsia="仿宋" w:cs="仿宋"/>
          <w:b/>
          <w:sz w:val="24"/>
          <w:highlight w:val="none"/>
        </w:rPr>
      </w:pPr>
      <w:r>
        <w:rPr>
          <w:rFonts w:hint="eastAsia" w:ascii="仿宋" w:hAnsi="仿宋" w:eastAsia="仿宋" w:cs="仿宋"/>
          <w:b/>
          <w:sz w:val="24"/>
          <w:highlight w:val="none"/>
        </w:rPr>
        <w:t>前附表</w:t>
      </w:r>
    </w:p>
    <w:tbl>
      <w:tblPr>
        <w:tblStyle w:val="3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8371" w:type="dxa"/>
            <w:gridSpan w:val="2"/>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8371" w:type="dxa"/>
            <w:gridSpan w:val="2"/>
            <w:vAlign w:val="center"/>
          </w:tcPr>
          <w:p>
            <w:pPr>
              <w:snapToGrid w:val="0"/>
              <w:spacing w:line="288" w:lineRule="auto"/>
              <w:rPr>
                <w:rFonts w:ascii="仿宋" w:hAnsi="仿宋" w:eastAsia="仿宋" w:cs="仿宋"/>
                <w:sz w:val="24"/>
                <w:highlight w:val="none"/>
              </w:rPr>
            </w:pPr>
            <w:r>
              <w:rPr>
                <w:rFonts w:hint="eastAsia" w:ascii="仿宋" w:hAnsi="仿宋" w:eastAsia="仿宋" w:cs="仿宋"/>
                <w:b/>
                <w:sz w:val="24"/>
                <w:highlight w:val="none"/>
              </w:rPr>
              <w:t>投标人应当提交的资格、资信证明文件</w:t>
            </w:r>
            <w:r>
              <w:rPr>
                <w:rFonts w:hint="eastAsia" w:ascii="仿宋" w:hAnsi="仿宋" w:eastAsia="仿宋" w:cs="仿宋"/>
                <w:sz w:val="24"/>
                <w:highlight w:val="none"/>
              </w:rPr>
              <w:t>：</w:t>
            </w:r>
          </w:p>
          <w:p>
            <w:pPr>
              <w:snapToGrid w:val="0"/>
              <w:spacing w:line="288" w:lineRule="auto"/>
              <w:rPr>
                <w:rFonts w:ascii="仿宋" w:hAnsi="仿宋" w:eastAsia="仿宋" w:cs="仿宋"/>
                <w:sz w:val="24"/>
                <w:highlight w:val="none"/>
              </w:rPr>
            </w:pPr>
            <w:r>
              <w:rPr>
                <w:rFonts w:hint="eastAsia" w:ascii="仿宋" w:hAnsi="仿宋" w:eastAsia="仿宋" w:cs="仿宋"/>
                <w:b/>
                <w:sz w:val="24"/>
                <w:highlight w:val="none"/>
              </w:rPr>
              <w:t>（1）相关证明文件：</w:t>
            </w:r>
            <w:r>
              <w:rPr>
                <w:rFonts w:hint="eastAsia" w:ascii="仿宋" w:hAnsi="仿宋" w:eastAsia="仿宋" w:cs="仿宋"/>
                <w:sz w:val="24"/>
                <w:highlight w:val="none"/>
              </w:rPr>
              <w:t>营业执照(或事业法人登记证或其他工商等登记证明材料)复印件、2021年度资产负债表等财务报表资料文件(新成立的公司提供情况说明)、参加本次政府采购活动前三年内，在经营活动中没有重大违法记录的声明（详见格式范例）。</w:t>
            </w:r>
          </w:p>
          <w:p>
            <w:pPr>
              <w:snapToGrid w:val="0"/>
              <w:spacing w:line="288" w:lineRule="auto"/>
              <w:rPr>
                <w:rFonts w:ascii="仿宋" w:hAnsi="仿宋" w:eastAsia="仿宋" w:cs="仿宋"/>
                <w:sz w:val="24"/>
                <w:highlight w:val="none"/>
              </w:rPr>
            </w:pPr>
            <w:r>
              <w:rPr>
                <w:rFonts w:hint="eastAsia" w:ascii="仿宋" w:hAnsi="仿宋" w:eastAsia="仿宋" w:cs="仿宋"/>
                <w:b/>
                <w:sz w:val="24"/>
                <w:highlight w:val="none"/>
              </w:rPr>
              <w:t>（2）资信证明文件（如果有，按招标文件第三部分招标项目范围及要求和第五部分评分标准提供）。</w:t>
            </w:r>
          </w:p>
          <w:p>
            <w:pPr>
              <w:snapToGrid w:val="0"/>
              <w:spacing w:line="288" w:lineRule="auto"/>
              <w:rPr>
                <w:rFonts w:ascii="仿宋" w:hAnsi="仿宋" w:eastAsia="仿宋" w:cs="仿宋"/>
                <w:sz w:val="24"/>
                <w:highlight w:val="none"/>
                <w:u w:val="single"/>
              </w:rPr>
            </w:pPr>
            <w:r>
              <w:rPr>
                <w:rFonts w:hint="eastAsia" w:ascii="仿宋" w:hAnsi="仿宋" w:eastAsia="仿宋" w:cs="仿宋"/>
                <w:b/>
                <w:sz w:val="24"/>
                <w:highlight w:val="none"/>
              </w:rPr>
              <w:t>（3）特许资格、资信证明文件（如果有）：</w:t>
            </w:r>
          </w:p>
          <w:p>
            <w:pPr>
              <w:spacing w:line="288"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8371" w:type="dxa"/>
            <w:gridSpan w:val="2"/>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资格审查方式：</w:t>
            </w:r>
          </w:p>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1.资格后审。</w:t>
            </w:r>
          </w:p>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8371" w:type="dxa"/>
            <w:gridSpan w:val="2"/>
            <w:vAlign w:val="center"/>
          </w:tcPr>
          <w:p>
            <w:pPr>
              <w:autoSpaceDE w:val="0"/>
              <w:autoSpaceDN w:val="0"/>
              <w:spacing w:line="288" w:lineRule="auto"/>
              <w:textAlignment w:val="bottom"/>
              <w:rPr>
                <w:rFonts w:ascii="仿宋" w:hAnsi="仿宋" w:eastAsia="仿宋" w:cs="仿宋"/>
                <w:sz w:val="24"/>
                <w:highlight w:val="none"/>
              </w:rPr>
            </w:pPr>
            <w:r>
              <w:rPr>
                <w:rFonts w:hint="eastAsia" w:ascii="仿宋" w:hAnsi="仿宋" w:eastAsia="仿宋" w:cs="仿宋"/>
                <w:b/>
                <w:sz w:val="24"/>
                <w:highlight w:val="none"/>
              </w:rPr>
              <w:t>投标有效期：</w:t>
            </w:r>
            <w:r>
              <w:rPr>
                <w:rFonts w:hint="eastAsia" w:ascii="仿宋" w:hAnsi="仿宋" w:eastAsia="仿宋" w:cs="仿宋"/>
                <w:sz w:val="24"/>
                <w:highlight w:val="none"/>
              </w:rPr>
              <w:t>投标有效期为从提交投标文件的截止之日起90天。</w:t>
            </w:r>
            <w:r>
              <w:rPr>
                <w:rFonts w:hint="eastAsia" w:ascii="仿宋" w:hAnsi="仿宋" w:eastAsia="仿宋" w:cs="仿宋"/>
                <w:b/>
                <w:sz w:val="24"/>
                <w:highlight w:val="none"/>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8371" w:type="dxa"/>
            <w:gridSpan w:val="2"/>
            <w:vAlign w:val="center"/>
          </w:tcPr>
          <w:p>
            <w:pPr>
              <w:spacing w:line="288" w:lineRule="auto"/>
              <w:rPr>
                <w:rFonts w:ascii="仿宋" w:hAnsi="仿宋" w:eastAsia="仿宋" w:cs="仿宋"/>
                <w:sz w:val="24"/>
                <w:highlight w:val="none"/>
              </w:rPr>
            </w:pPr>
            <w:r>
              <w:rPr>
                <w:rFonts w:hint="eastAsia" w:ascii="仿宋" w:hAnsi="仿宋" w:eastAsia="仿宋" w:cs="仿宋"/>
                <w:b/>
                <w:sz w:val="24"/>
                <w:highlight w:val="none"/>
              </w:rPr>
              <w:t>分包或转包：</w:t>
            </w:r>
            <w:r>
              <w:rPr>
                <w:rFonts w:hint="eastAsia" w:ascii="仿宋" w:hAnsi="仿宋" w:eastAsia="仿宋" w:cs="仿宋"/>
                <w:sz w:val="24"/>
                <w:highlight w:val="none"/>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5</w:t>
            </w:r>
          </w:p>
        </w:tc>
        <w:tc>
          <w:tcPr>
            <w:tcW w:w="8371" w:type="dxa"/>
            <w:gridSpan w:val="2"/>
            <w:vAlign w:val="center"/>
          </w:tcPr>
          <w:p>
            <w:pPr>
              <w:spacing w:line="288" w:lineRule="auto"/>
              <w:rPr>
                <w:rFonts w:ascii="仿宋" w:hAnsi="仿宋" w:eastAsia="仿宋" w:cs="仿宋"/>
                <w:sz w:val="24"/>
                <w:highlight w:val="none"/>
              </w:rPr>
            </w:pPr>
            <w:r>
              <w:rPr>
                <w:rFonts w:hint="eastAsia" w:ascii="仿宋" w:hAnsi="仿宋" w:eastAsia="仿宋" w:cs="仿宋"/>
                <w:b/>
                <w:sz w:val="24"/>
                <w:highlight w:val="none"/>
              </w:rPr>
              <w:t>投标文件份数：</w:t>
            </w:r>
            <w:r>
              <w:rPr>
                <w:rFonts w:hint="eastAsia" w:ascii="仿宋" w:hAnsi="仿宋" w:eastAsia="仿宋" w:cs="仿宋"/>
                <w:sz w:val="24"/>
                <w:highlight w:val="none"/>
              </w:rPr>
              <w:t>本项目实行网上投标，供应商于“政采云”上提供电子投标文件。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8371" w:type="dxa"/>
            <w:gridSpan w:val="2"/>
            <w:vAlign w:val="center"/>
          </w:tcPr>
          <w:p>
            <w:pPr>
              <w:autoSpaceDE w:val="0"/>
              <w:autoSpaceDN w:val="0"/>
              <w:spacing w:line="288" w:lineRule="auto"/>
              <w:textAlignment w:val="bottom"/>
              <w:rPr>
                <w:rFonts w:ascii="仿宋" w:hAnsi="仿宋" w:eastAsia="仿宋" w:cs="仿宋"/>
                <w:b/>
                <w:sz w:val="24"/>
                <w:highlight w:val="none"/>
              </w:rPr>
            </w:pPr>
            <w:r>
              <w:rPr>
                <w:rFonts w:hint="eastAsia" w:ascii="仿宋" w:hAnsi="仿宋" w:eastAsia="仿宋" w:cs="仿宋"/>
                <w:b/>
                <w:sz w:val="24"/>
                <w:highlight w:val="none"/>
              </w:rPr>
              <w:t>开标前答疑会或现场考察：</w:t>
            </w:r>
            <w:r>
              <w:rPr>
                <w:rFonts w:hint="eastAsia" w:ascii="仿宋" w:hAnsi="仿宋" w:eastAsia="仿宋" w:cs="仿宋"/>
                <w:bCs/>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7</w:t>
            </w:r>
          </w:p>
        </w:tc>
        <w:tc>
          <w:tcPr>
            <w:tcW w:w="8371" w:type="dxa"/>
            <w:gridSpan w:val="2"/>
            <w:vAlign w:val="center"/>
          </w:tcPr>
          <w:p>
            <w:pPr>
              <w:spacing w:line="288" w:lineRule="auto"/>
              <w:rPr>
                <w:rFonts w:ascii="仿宋" w:hAnsi="仿宋" w:eastAsia="仿宋" w:cs="仿宋"/>
                <w:b/>
                <w:sz w:val="24"/>
                <w:highlight w:val="none"/>
              </w:rPr>
            </w:pPr>
            <w:r>
              <w:rPr>
                <w:rFonts w:hint="eastAsia" w:ascii="仿宋" w:hAnsi="仿宋" w:eastAsia="仿宋" w:cs="仿宋"/>
                <w:b/>
                <w:sz w:val="24"/>
                <w:highlight w:val="none"/>
              </w:rPr>
              <w:t>样品提供：</w:t>
            </w:r>
            <w:r>
              <w:rPr>
                <w:rFonts w:hint="eastAsia" w:ascii="仿宋" w:hAnsi="仿宋" w:eastAsia="仿宋" w:cs="仿宋"/>
                <w:bCs/>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8</w:t>
            </w:r>
          </w:p>
        </w:tc>
        <w:tc>
          <w:tcPr>
            <w:tcW w:w="8371" w:type="dxa"/>
            <w:gridSpan w:val="2"/>
            <w:vAlign w:val="center"/>
          </w:tcPr>
          <w:p>
            <w:pPr>
              <w:spacing w:line="288" w:lineRule="auto"/>
              <w:rPr>
                <w:rFonts w:ascii="仿宋" w:hAnsi="仿宋" w:eastAsia="仿宋" w:cs="仿宋"/>
                <w:sz w:val="24"/>
                <w:highlight w:val="none"/>
              </w:rPr>
            </w:pPr>
            <w:r>
              <w:rPr>
                <w:rFonts w:hint="eastAsia" w:ascii="仿宋" w:hAnsi="仿宋" w:eastAsia="仿宋" w:cs="仿宋"/>
                <w:b/>
                <w:sz w:val="24"/>
                <w:highlight w:val="none"/>
              </w:rPr>
              <w:t>演示(讲解)：</w:t>
            </w:r>
            <w:r>
              <w:rPr>
                <w:rFonts w:hint="eastAsia" w:ascii="仿宋" w:hAnsi="仿宋" w:eastAsia="仿宋" w:cs="仿宋"/>
                <w:bCs/>
                <w:sz w:val="24"/>
                <w:highlight w:val="none"/>
              </w:rPr>
              <w:t>根据招标文件要求。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9</w:t>
            </w:r>
          </w:p>
        </w:tc>
        <w:tc>
          <w:tcPr>
            <w:tcW w:w="855" w:type="dxa"/>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进口产品</w:t>
            </w:r>
          </w:p>
        </w:tc>
        <w:tc>
          <w:tcPr>
            <w:tcW w:w="7516" w:type="dxa"/>
            <w:vAlign w:val="center"/>
          </w:tcPr>
          <w:p>
            <w:pPr>
              <w:snapToGrid w:val="0"/>
              <w:spacing w:line="288" w:lineRule="auto"/>
              <w:rPr>
                <w:rFonts w:ascii="仿宋" w:hAnsi="仿宋" w:eastAsia="仿宋" w:cs="仿宋"/>
                <w:b/>
                <w:sz w:val="24"/>
                <w:highlight w:val="none"/>
              </w:rPr>
            </w:pPr>
            <w:r>
              <w:rPr>
                <w:rFonts w:hint="eastAsia" w:ascii="仿宋" w:hAnsi="仿宋" w:eastAsia="仿宋" w:cs="仿宋"/>
                <w:sz w:val="24"/>
                <w:highlight w:val="none"/>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restart"/>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10</w:t>
            </w:r>
          </w:p>
        </w:tc>
        <w:tc>
          <w:tcPr>
            <w:tcW w:w="855" w:type="dxa"/>
            <w:vMerge w:val="restart"/>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投标人信用信息事项</w:t>
            </w:r>
          </w:p>
        </w:tc>
        <w:tc>
          <w:tcPr>
            <w:tcW w:w="7516" w:type="dxa"/>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信用信息查询渠道及截止时间：</w:t>
            </w:r>
            <w:r>
              <w:rPr>
                <w:rFonts w:hint="eastAsia" w:ascii="仿宋" w:hAnsi="仿宋" w:eastAsia="仿宋" w:cs="仿宋"/>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
                <w:b/>
                <w:sz w:val="24"/>
                <w:highlight w:val="none"/>
              </w:rPr>
              <w:t>投标截止时间前</w:t>
            </w:r>
            <w:r>
              <w:rPr>
                <w:rFonts w:hint="eastAsia" w:ascii="仿宋" w:hAnsi="仿宋" w:eastAsia="仿宋" w:cs="仿宋"/>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288" w:lineRule="auto"/>
              <w:jc w:val="center"/>
              <w:rPr>
                <w:rFonts w:ascii="仿宋" w:hAnsi="仿宋" w:eastAsia="仿宋" w:cs="仿宋"/>
                <w:sz w:val="24"/>
                <w:highlight w:val="none"/>
              </w:rPr>
            </w:pPr>
          </w:p>
        </w:tc>
        <w:tc>
          <w:tcPr>
            <w:tcW w:w="855" w:type="dxa"/>
            <w:vMerge w:val="continue"/>
            <w:vAlign w:val="center"/>
          </w:tcPr>
          <w:p>
            <w:pPr>
              <w:snapToGrid w:val="0"/>
              <w:spacing w:line="288" w:lineRule="auto"/>
              <w:rPr>
                <w:rFonts w:ascii="仿宋" w:hAnsi="仿宋" w:eastAsia="仿宋" w:cs="仿宋"/>
                <w:b/>
                <w:sz w:val="24"/>
                <w:highlight w:val="none"/>
              </w:rPr>
            </w:pPr>
          </w:p>
        </w:tc>
        <w:tc>
          <w:tcPr>
            <w:tcW w:w="7516" w:type="dxa"/>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信用信息查询记录和证据留存的具体方式：</w:t>
            </w:r>
            <w:r>
              <w:rPr>
                <w:rFonts w:hint="eastAsia" w:ascii="仿宋" w:hAnsi="仿宋" w:eastAsia="仿宋" w:cs="仿宋"/>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288" w:lineRule="auto"/>
              <w:jc w:val="center"/>
              <w:rPr>
                <w:rFonts w:ascii="仿宋" w:hAnsi="仿宋" w:eastAsia="仿宋" w:cs="仿宋"/>
                <w:sz w:val="24"/>
                <w:highlight w:val="none"/>
              </w:rPr>
            </w:pPr>
          </w:p>
        </w:tc>
        <w:tc>
          <w:tcPr>
            <w:tcW w:w="855" w:type="dxa"/>
            <w:vMerge w:val="continue"/>
            <w:vAlign w:val="center"/>
          </w:tcPr>
          <w:p>
            <w:pPr>
              <w:snapToGrid w:val="0"/>
              <w:spacing w:line="288" w:lineRule="auto"/>
              <w:rPr>
                <w:rFonts w:ascii="仿宋" w:hAnsi="仿宋" w:eastAsia="仿宋" w:cs="仿宋"/>
                <w:b/>
                <w:sz w:val="24"/>
                <w:highlight w:val="none"/>
              </w:rPr>
            </w:pPr>
          </w:p>
        </w:tc>
        <w:tc>
          <w:tcPr>
            <w:tcW w:w="7516" w:type="dxa"/>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信用信息的使用规则：</w:t>
            </w:r>
            <w:r>
              <w:rPr>
                <w:rFonts w:hint="eastAsia" w:ascii="仿宋" w:hAnsi="仿宋" w:eastAsia="仿宋" w:cs="仿宋"/>
                <w:sz w:val="24"/>
                <w:highlight w:val="none"/>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11</w:t>
            </w:r>
          </w:p>
        </w:tc>
        <w:tc>
          <w:tcPr>
            <w:tcW w:w="8371" w:type="dxa"/>
            <w:gridSpan w:val="2"/>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扰乱公共资源交易市场秩序行为：</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12</w:t>
            </w:r>
          </w:p>
        </w:tc>
        <w:tc>
          <w:tcPr>
            <w:tcW w:w="8371" w:type="dxa"/>
            <w:gridSpan w:val="2"/>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13</w:t>
            </w:r>
          </w:p>
        </w:tc>
        <w:tc>
          <w:tcPr>
            <w:tcW w:w="8371" w:type="dxa"/>
            <w:gridSpan w:val="2"/>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14</w:t>
            </w:r>
          </w:p>
        </w:tc>
        <w:tc>
          <w:tcPr>
            <w:tcW w:w="8371" w:type="dxa"/>
            <w:gridSpan w:val="2"/>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投标与开标注意事项：</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1.本项目实行网上投标，采用电子投标文件。若供应商参与投标，自行承担投标一切费用。</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2.标前准备：各供应商应在开标前应确保成为浙江省政府采购网正式注册入库供应商，并完成CA数字证书办理。因未注册入库、未办理CA数字证书等原因造成无法投标或投标失败等后果由供应商自行承担。</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供应商将政采云电子交易客户端下载、安装完成后，可通过账号密码或CA登录客户端进行投标文件制作。在使用政采云投标客户端时，建议使用WIN7及以上操作系统。</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《CA申领操作指南》：https://help.zcygov.cn/web/site_2/2018/11-29/2452.html</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《CA管理操作指南》：https://help.zcygov.cn/web/site_2/2019/08-20/3405.html</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《CA驱动和申领流程》:</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http://zfcg.czt.zj.gov.cn//bidClientTemplate/2019-05-27/12945.html</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3.投标文件制作、递交、解密：</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3.2投标人通过“政采云”平台制作电子投标文件，投标文件制作详见“供应商-政府采购项目电子交易操作指南：</w:t>
            </w:r>
            <w:r>
              <w:rPr>
                <w:highlight w:val="none"/>
              </w:rPr>
              <w:fldChar w:fldCharType="begin"/>
            </w:r>
            <w:r>
              <w:rPr>
                <w:highlight w:val="none"/>
              </w:rPr>
              <w:instrText xml:space="preserve"> HYPERLINK "https://help.zcygov.cn/web/site_2/2018/12-28/2573.html" </w:instrText>
            </w:r>
            <w:r>
              <w:rPr>
                <w:highlight w:val="none"/>
              </w:rPr>
              <w:fldChar w:fldCharType="separate"/>
            </w:r>
            <w:r>
              <w:rPr>
                <w:rStyle w:val="38"/>
                <w:rFonts w:hint="eastAsia" w:ascii="仿宋" w:hAnsi="仿宋" w:eastAsia="仿宋" w:cs="仿宋"/>
                <w:color w:val="auto"/>
                <w:sz w:val="24"/>
                <w:highlight w:val="none"/>
              </w:rPr>
              <w:t>https://help.zcygov.cn/web/site_2/2018/12-28/2573.html</w:t>
            </w:r>
            <w:r>
              <w:rPr>
                <w:rStyle w:val="38"/>
                <w:rFonts w:ascii="仿宋" w:hAnsi="仿宋" w:eastAsia="仿宋" w:cs="仿宋"/>
                <w:color w:val="auto"/>
                <w:sz w:val="24"/>
                <w:highlight w:val="none"/>
              </w:rPr>
              <w:fldChar w:fldCharType="end"/>
            </w:r>
            <w:r>
              <w:rPr>
                <w:rFonts w:hint="eastAsia" w:ascii="仿宋" w:hAnsi="仿宋" w:eastAsia="仿宋" w:cs="仿宋"/>
                <w:sz w:val="24"/>
                <w:highlight w:val="none"/>
              </w:rPr>
              <w:t>”。</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3.3开标时间后30分钟内供应商可以登录“政采云”平台，用“项目采购-开标评标”功能进行解密投标文件。若供应商</w:t>
            </w:r>
            <w:r>
              <w:rPr>
                <w:rFonts w:hint="eastAsia" w:ascii="仿宋" w:hAnsi="仿宋" w:eastAsia="仿宋" w:cs="仿宋"/>
                <w:b/>
                <w:sz w:val="24"/>
                <w:highlight w:val="none"/>
                <w:u w:val="single"/>
              </w:rPr>
              <w:t>未按时解密的</w:t>
            </w:r>
            <w:r>
              <w:rPr>
                <w:rFonts w:hint="eastAsia" w:ascii="仿宋" w:hAnsi="仿宋" w:eastAsia="仿宋" w:cs="仿宋"/>
                <w:sz w:val="24"/>
                <w:highlight w:val="none"/>
              </w:rPr>
              <w:t>，</w:t>
            </w:r>
            <w:r>
              <w:rPr>
                <w:rFonts w:hint="eastAsia" w:ascii="仿宋" w:hAnsi="仿宋" w:eastAsia="仿宋" w:cs="仿宋"/>
                <w:b/>
                <w:sz w:val="24"/>
                <w:highlight w:val="none"/>
                <w:u w:val="single"/>
              </w:rPr>
              <w:t>视为投标文件撤回</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15</w:t>
            </w:r>
          </w:p>
        </w:tc>
        <w:tc>
          <w:tcPr>
            <w:tcW w:w="8371" w:type="dxa"/>
            <w:gridSpan w:val="2"/>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参与绍兴市政府采购活动的供应商按照《浙江省政府采购供应商注册和诚信管理暂行办法》要求执行。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288" w:lineRule="auto"/>
              <w:jc w:val="center"/>
              <w:rPr>
                <w:rFonts w:ascii="仿宋" w:hAnsi="仿宋" w:eastAsia="仿宋" w:cs="仿宋"/>
                <w:sz w:val="24"/>
                <w:highlight w:val="none"/>
              </w:rPr>
            </w:pPr>
            <w:r>
              <w:rPr>
                <w:rFonts w:hint="eastAsia" w:ascii="仿宋" w:hAnsi="仿宋" w:eastAsia="仿宋" w:cs="仿宋"/>
                <w:sz w:val="24"/>
                <w:highlight w:val="none"/>
              </w:rPr>
              <w:t>16</w:t>
            </w:r>
          </w:p>
        </w:tc>
        <w:tc>
          <w:tcPr>
            <w:tcW w:w="8371" w:type="dxa"/>
            <w:gridSpan w:val="2"/>
            <w:vAlign w:val="center"/>
          </w:tcPr>
          <w:p>
            <w:pPr>
              <w:snapToGrid w:val="0"/>
              <w:spacing w:line="420" w:lineRule="exact"/>
              <w:rPr>
                <w:rFonts w:ascii="仿宋" w:hAnsi="仿宋" w:eastAsia="仿宋"/>
                <w:b/>
                <w:kern w:val="0"/>
                <w:sz w:val="24"/>
                <w:highlight w:val="none"/>
              </w:rPr>
            </w:pPr>
            <w:r>
              <w:rPr>
                <w:rFonts w:hint="eastAsia" w:ascii="仿宋" w:hAnsi="仿宋" w:eastAsia="仿宋"/>
                <w:b/>
                <w:kern w:val="0"/>
                <w:sz w:val="24"/>
                <w:highlight w:val="none"/>
              </w:rPr>
              <w:t>中标单位需支付以下费用，并在投标报价中自行考虑：</w:t>
            </w:r>
          </w:p>
          <w:p>
            <w:pPr>
              <w:snapToGrid w:val="0"/>
              <w:spacing w:line="420" w:lineRule="exact"/>
              <w:rPr>
                <w:rFonts w:ascii="仿宋" w:hAnsi="仿宋" w:eastAsia="仿宋"/>
                <w:kern w:val="0"/>
                <w:sz w:val="24"/>
                <w:highlight w:val="none"/>
              </w:rPr>
            </w:pPr>
            <w:r>
              <w:rPr>
                <w:rFonts w:hint="eastAsia" w:ascii="仿宋" w:hAnsi="仿宋" w:eastAsia="仿宋"/>
                <w:kern w:val="0"/>
                <w:sz w:val="24"/>
                <w:highlight w:val="none"/>
              </w:rPr>
              <w:t>中标供应商须向采购代理机构按如下标准和规定交纳中标服务费：</w:t>
            </w:r>
          </w:p>
          <w:p>
            <w:pPr>
              <w:snapToGrid w:val="0"/>
              <w:spacing w:line="420" w:lineRule="exact"/>
              <w:rPr>
                <w:rFonts w:ascii="仿宋" w:hAnsi="仿宋" w:eastAsia="仿宋"/>
                <w:kern w:val="0"/>
                <w:sz w:val="24"/>
                <w:highlight w:val="none"/>
              </w:rPr>
            </w:pPr>
            <w:r>
              <w:rPr>
                <w:rFonts w:hint="eastAsia" w:ascii="仿宋" w:hAnsi="仿宋" w:eastAsia="仿宋"/>
                <w:kern w:val="0"/>
                <w:sz w:val="24"/>
                <w:highlight w:val="none"/>
              </w:rPr>
              <w:t>①以中标通知书中确定的中标金额作为服务费的计算基数，中标金额在</w:t>
            </w:r>
            <w:r>
              <w:rPr>
                <w:rFonts w:ascii="仿宋" w:hAnsi="仿宋" w:eastAsia="仿宋"/>
                <w:kern w:val="0"/>
                <w:sz w:val="24"/>
                <w:highlight w:val="none"/>
              </w:rPr>
              <w:t>100</w:t>
            </w:r>
            <w:r>
              <w:rPr>
                <w:rFonts w:hint="eastAsia" w:ascii="仿宋" w:hAnsi="仿宋" w:eastAsia="仿宋"/>
                <w:kern w:val="0"/>
                <w:sz w:val="24"/>
                <w:highlight w:val="none"/>
              </w:rPr>
              <w:t>万以下部分为</w:t>
            </w:r>
            <w:r>
              <w:rPr>
                <w:rFonts w:ascii="仿宋" w:hAnsi="仿宋" w:eastAsia="仿宋"/>
                <w:kern w:val="0"/>
                <w:sz w:val="24"/>
                <w:highlight w:val="none"/>
              </w:rPr>
              <w:t>1.5%</w:t>
            </w:r>
            <w:r>
              <w:rPr>
                <w:rFonts w:hint="eastAsia" w:ascii="仿宋" w:hAnsi="仿宋" w:eastAsia="仿宋"/>
                <w:kern w:val="0"/>
                <w:sz w:val="24"/>
                <w:highlight w:val="none"/>
              </w:rPr>
              <w:t>，100万-500万之间的部分1.1%。</w:t>
            </w:r>
            <w:r>
              <w:rPr>
                <w:rFonts w:ascii="仿宋" w:hAnsi="仿宋" w:eastAsia="仿宋"/>
                <w:kern w:val="0"/>
                <w:sz w:val="24"/>
                <w:highlight w:val="none"/>
              </w:rPr>
              <w:t xml:space="preserve"> </w:t>
            </w:r>
          </w:p>
          <w:p>
            <w:pPr>
              <w:snapToGrid w:val="0"/>
              <w:spacing w:line="288" w:lineRule="auto"/>
              <w:rPr>
                <w:rFonts w:ascii="仿宋" w:hAnsi="仿宋" w:eastAsia="仿宋" w:cs="仿宋"/>
                <w:sz w:val="24"/>
                <w:highlight w:val="none"/>
              </w:rPr>
            </w:pPr>
            <w:r>
              <w:rPr>
                <w:rFonts w:hint="eastAsia" w:ascii="仿宋" w:hAnsi="仿宋" w:eastAsia="仿宋"/>
                <w:kern w:val="0"/>
                <w:sz w:val="24"/>
                <w:highlight w:val="none"/>
              </w:rPr>
              <w:t>②中标服务费的交纳时间：领取中标通知书前交纳。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288" w:lineRule="auto"/>
              <w:rPr>
                <w:rFonts w:ascii="仿宋" w:hAnsi="仿宋" w:eastAsia="仿宋" w:cs="仿宋"/>
                <w:sz w:val="24"/>
                <w:highlight w:val="none"/>
              </w:rPr>
            </w:pPr>
            <w:r>
              <w:rPr>
                <w:rFonts w:hint="eastAsia" w:ascii="仿宋" w:hAnsi="仿宋" w:eastAsia="仿宋" w:cs="仿宋"/>
                <w:sz w:val="24"/>
                <w:highlight w:val="none"/>
              </w:rPr>
              <w:t>解释：凡涉及本招标文件的解释权属于采购人和本公司。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288" w:lineRule="auto"/>
              <w:rPr>
                <w:rFonts w:ascii="仿宋" w:hAnsi="仿宋" w:eastAsia="仿宋" w:cs="仿宋"/>
                <w:b/>
                <w:sz w:val="24"/>
                <w:highlight w:val="none"/>
              </w:rPr>
            </w:pPr>
            <w:r>
              <w:rPr>
                <w:rFonts w:hint="eastAsia" w:ascii="仿宋" w:hAnsi="仿宋" w:eastAsia="仿宋" w:cs="仿宋"/>
                <w:b/>
                <w:sz w:val="24"/>
                <w:highlight w:val="none"/>
              </w:rPr>
              <w:t>注：中标人放弃中标资格或因质疑、投诉被取消中标资格或不能履行合同的，本项目重新组织采购。</w:t>
            </w:r>
          </w:p>
        </w:tc>
      </w:tr>
    </w:tbl>
    <w:p>
      <w:pPr>
        <w:snapToGrid w:val="0"/>
        <w:spacing w:line="288" w:lineRule="auto"/>
        <w:jc w:val="center"/>
        <w:rPr>
          <w:rFonts w:ascii="仿宋" w:hAnsi="仿宋" w:eastAsia="仿宋" w:cs="仿宋"/>
          <w:b/>
          <w:sz w:val="36"/>
          <w:szCs w:val="36"/>
          <w:highlight w:val="none"/>
        </w:rPr>
      </w:pPr>
    </w:p>
    <w:p>
      <w:pPr>
        <w:snapToGrid w:val="0"/>
        <w:spacing w:line="288" w:lineRule="auto"/>
        <w:jc w:val="center"/>
        <w:rPr>
          <w:rFonts w:ascii="仿宋" w:hAnsi="仿宋" w:eastAsia="仿宋" w:cs="仿宋"/>
          <w:b/>
          <w:sz w:val="36"/>
          <w:szCs w:val="36"/>
          <w:highlight w:val="none"/>
        </w:rPr>
      </w:pPr>
    </w:p>
    <w:p>
      <w:pPr>
        <w:snapToGrid w:val="0"/>
        <w:spacing w:line="288" w:lineRule="auto"/>
        <w:jc w:val="center"/>
        <w:rPr>
          <w:rFonts w:ascii="仿宋" w:hAnsi="仿宋" w:eastAsia="仿宋" w:cs="仿宋"/>
          <w:b/>
          <w:sz w:val="36"/>
          <w:szCs w:val="36"/>
          <w:highlight w:val="none"/>
        </w:rPr>
      </w:pPr>
    </w:p>
    <w:p>
      <w:pPr>
        <w:jc w:val="center"/>
        <w:rPr>
          <w:rFonts w:ascii="仿宋" w:hAnsi="仿宋" w:eastAsia="仿宋" w:cs="仿宋"/>
          <w:b/>
          <w:sz w:val="36"/>
          <w:szCs w:val="36"/>
          <w:highlight w:val="none"/>
        </w:rPr>
      </w:pPr>
    </w:p>
    <w:p>
      <w:pPr>
        <w:jc w:val="center"/>
        <w:rPr>
          <w:rFonts w:ascii="仿宋" w:hAnsi="仿宋" w:eastAsia="仿宋" w:cs="仿宋"/>
          <w:b/>
          <w:sz w:val="36"/>
          <w:szCs w:val="36"/>
          <w:highlight w:val="none"/>
        </w:rPr>
      </w:pPr>
    </w:p>
    <w:p>
      <w:pPr>
        <w:rPr>
          <w:rFonts w:ascii="仿宋" w:hAnsi="仿宋" w:eastAsia="仿宋" w:cs="仿宋"/>
          <w:b/>
          <w:sz w:val="36"/>
          <w:szCs w:val="36"/>
          <w:highlight w:val="none"/>
        </w:rPr>
      </w:pPr>
    </w:p>
    <w:p>
      <w:pPr>
        <w:pStyle w:val="3"/>
        <w:numPr>
          <w:ilvl w:val="0"/>
          <w:numId w:val="0"/>
        </w:numPr>
        <w:rPr>
          <w:highlight w:val="none"/>
        </w:rPr>
      </w:pPr>
    </w:p>
    <w:p>
      <w:pPr>
        <w:rPr>
          <w:highlight w:val="none"/>
        </w:rPr>
      </w:pPr>
    </w:p>
    <w:p>
      <w:pPr>
        <w:pStyle w:val="40"/>
        <w:rPr>
          <w:highlight w:val="none"/>
        </w:rPr>
      </w:pPr>
    </w:p>
    <w:p>
      <w:pPr>
        <w:pStyle w:val="10"/>
        <w:rPr>
          <w:highlight w:val="none"/>
        </w:rPr>
      </w:pPr>
    </w:p>
    <w:p>
      <w:pPr>
        <w:pStyle w:val="10"/>
        <w:rPr>
          <w:highlight w:val="none"/>
        </w:rPr>
      </w:pPr>
    </w:p>
    <w:p>
      <w:pPr>
        <w:pStyle w:val="40"/>
        <w:rPr>
          <w:highlight w:val="none"/>
        </w:rPr>
      </w:pPr>
    </w:p>
    <w:p>
      <w:pPr>
        <w:snapToGrid w:val="0"/>
        <w:spacing w:line="284"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一、总则</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1.项目说明</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1.1本招标文件适用于该项目的招标、投标、开标、资格审查及信用信息查询、评标、定标、合同、验收等行为（法律、法规另有规定的，从其规定）。</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1.2投标人一旦参与本次招标活动，即被视为接受了本招标文件的所有内容，如有任何异议，均应在法定时间内提出。</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1.4本招标文件所称公章是指单位法定名称章或者冠以法定名称的投标业务专用章或单位法定名称电子公章。</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2.定义</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2.1政府采购当事人及监管部门：</w:t>
      </w:r>
      <w:r>
        <w:rPr>
          <w:rFonts w:hint="eastAsia" w:ascii="仿宋" w:hAnsi="仿宋" w:eastAsia="仿宋" w:cs="仿宋"/>
          <w:sz w:val="24"/>
          <w:highlight w:val="none"/>
          <w:u w:val="single"/>
        </w:rPr>
        <w:t>绍兴市越城区综合行政执法局</w:t>
      </w:r>
      <w:r>
        <w:rPr>
          <w:rFonts w:hint="eastAsia" w:ascii="仿宋" w:hAnsi="仿宋" w:eastAsia="仿宋" w:cs="仿宋"/>
          <w:sz w:val="24"/>
          <w:highlight w:val="none"/>
        </w:rPr>
        <w:t>为本项目的采购人（合同中的甲方），</w:t>
      </w:r>
      <w:r>
        <w:rPr>
          <w:rFonts w:hint="eastAsia" w:ascii="仿宋" w:hAnsi="仿宋" w:eastAsia="仿宋" w:cs="仿宋"/>
          <w:sz w:val="24"/>
          <w:highlight w:val="none"/>
          <w:u w:val="single"/>
        </w:rPr>
        <w:t>浙江明业项目管理有限公司</w:t>
      </w:r>
      <w:r>
        <w:rPr>
          <w:rFonts w:hint="eastAsia" w:ascii="仿宋" w:hAnsi="仿宋" w:eastAsia="仿宋" w:cs="仿宋"/>
          <w:sz w:val="24"/>
          <w:highlight w:val="none"/>
        </w:rPr>
        <w:t>为采购代理机构，响应招标、参加投标竞争的法人、其他组织或者自然人为投标人，经评审产生并经批准的投标人为中标候选人，经公告无异议，并签订合同后的中标人为供应商（合同中的乙方）。</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2.2“产品”系指供方按招标文件规定，经合法途径取得的，须向采购人提供的一切产品、保险、税金、安装、施工、调试、备品备件、工具、手册及其它有关技术资料和材料。</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2.3“服务”系指招标文件规定投标人须承担的安装、调试、技术协助、校准、培训、技术指导以及其他类似的义务。</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2.4“项目”系指投标人按招标文件规定向采购人提供的产品和服务。</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2.5“授权代表”系指法定代表人的被授权委托人。</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2.6“★”系指实质性指标要求条款，“▲”系指主要性能指标要求条款。如任意一条打“★”的指标出现负偏离视为实质性不响应招标文件要求，作无效投标处理；如任意一条打“▲”的指标出现负偏离按评分标准作扣分处理。</w:t>
      </w:r>
    </w:p>
    <w:p>
      <w:pPr>
        <w:spacing w:line="288"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3.采购项目需要落实的政府采购政策</w:t>
      </w:r>
    </w:p>
    <w:p>
      <w:pPr>
        <w:spacing w:line="288"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节能环保要求</w:t>
      </w:r>
    </w:p>
    <w:p>
      <w:pPr>
        <w:spacing w:line="288"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sz w:val="24"/>
          <w:highlight w:val="none"/>
        </w:rPr>
      </w:pPr>
      <w:r>
        <w:rPr>
          <w:rFonts w:hint="eastAsia" w:ascii="仿宋" w:hAnsi="仿宋" w:eastAsia="仿宋" w:cs="仿宋"/>
          <w:sz w:val="24"/>
          <w:highlight w:val="none"/>
        </w:rPr>
        <w:t>3.3</w:t>
      </w:r>
      <w:r>
        <w:rPr>
          <w:rFonts w:hint="eastAsia" w:ascii="仿宋" w:hAnsi="仿宋" w:eastAsia="仿宋" w:cs="仿宋"/>
          <w:bCs/>
          <w:sz w:val="24"/>
          <w:highlight w:val="none"/>
        </w:rPr>
        <w:t>小微</w:t>
      </w:r>
      <w:r>
        <w:rPr>
          <w:rFonts w:hint="eastAsia" w:ascii="仿宋" w:hAnsi="仿宋" w:eastAsia="仿宋" w:cs="仿宋"/>
          <w:sz w:val="24"/>
          <w:highlight w:val="none"/>
        </w:rPr>
        <w:t>企业价格扣除。</w:t>
      </w:r>
    </w:p>
    <w:p>
      <w:pPr>
        <w:spacing w:line="288" w:lineRule="auto"/>
        <w:rPr>
          <w:rFonts w:ascii="仿宋" w:hAnsi="仿宋" w:eastAsia="仿宋" w:cs="仿宋"/>
          <w:bCs/>
          <w:sz w:val="24"/>
          <w:highlight w:val="none"/>
        </w:rPr>
      </w:pPr>
      <w:r>
        <w:rPr>
          <w:rFonts w:hint="eastAsia" w:ascii="仿宋" w:hAnsi="仿宋" w:eastAsia="仿宋" w:cs="仿宋"/>
          <w:sz w:val="24"/>
          <w:highlight w:val="none"/>
        </w:rPr>
        <w:t>3.3.1小微企业是指</w:t>
      </w:r>
      <w:r>
        <w:rPr>
          <w:rFonts w:hint="eastAsia" w:ascii="仿宋" w:hAnsi="仿宋" w:eastAsia="仿宋" w:cs="仿宋"/>
          <w:bCs/>
          <w:sz w:val="24"/>
          <w:highlight w:val="none"/>
        </w:rPr>
        <w:t>在中华人民共和国境内依法设立，依据国务院批准的中小企业划分标准确定的小型企业和微型企业，但与大企业的负责人为同一人，或者与大企业存在直接控股、管理关系的除外。</w:t>
      </w:r>
    </w:p>
    <w:p>
      <w:pPr>
        <w:spacing w:line="288"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符合中小企业划分标准的个体工商户，在政府采购活动中视同中小企业。</w:t>
      </w:r>
    </w:p>
    <w:p>
      <w:pPr>
        <w:spacing w:line="288" w:lineRule="auto"/>
        <w:rPr>
          <w:rFonts w:ascii="仿宋" w:hAnsi="仿宋" w:eastAsia="仿宋" w:cs="仿宋"/>
          <w:bCs/>
          <w:sz w:val="24"/>
          <w:highlight w:val="none"/>
        </w:rPr>
      </w:pPr>
      <w:r>
        <w:rPr>
          <w:rFonts w:hint="eastAsia" w:ascii="仿宋" w:hAnsi="仿宋" w:eastAsia="仿宋" w:cs="仿宋"/>
          <w:bCs/>
          <w:sz w:val="24"/>
          <w:highlight w:val="none"/>
        </w:rPr>
        <w:t>3.3.2在货物采购项目中，货物由小微企业制造，即货物由小微企业生产且使用该小微企业商号或者注册商标。</w:t>
      </w:r>
      <w:r>
        <w:rPr>
          <w:rFonts w:hint="eastAsia" w:ascii="仿宋" w:hAnsi="仿宋" w:eastAsia="仿宋" w:cs="仿宋"/>
          <w:b/>
          <w:bCs/>
          <w:sz w:val="24"/>
          <w:highlight w:val="none"/>
        </w:rPr>
        <w:t>供应商提供的货物既有中小企业制造货物，也有大型企业制造货物的，不享受中小企业扶持政策。</w:t>
      </w:r>
    </w:p>
    <w:p>
      <w:pPr>
        <w:spacing w:line="288" w:lineRule="auto"/>
        <w:rPr>
          <w:rFonts w:ascii="仿宋" w:hAnsi="仿宋" w:eastAsia="仿宋" w:cs="仿宋"/>
          <w:bCs/>
          <w:sz w:val="24"/>
          <w:highlight w:val="none"/>
        </w:rPr>
      </w:pPr>
      <w:r>
        <w:rPr>
          <w:rFonts w:hint="eastAsia" w:ascii="仿宋" w:hAnsi="仿宋" w:eastAsia="仿宋" w:cs="仿宋"/>
          <w:bCs/>
          <w:sz w:val="24"/>
          <w:highlight w:val="none"/>
        </w:rPr>
        <w:t>3.3.3在服务采购项目中，服务由小微企业承接，即提供服务的人员为小微企业依照《中华人民共和国劳动合同法》订立劳动合同的从业人员。</w:t>
      </w:r>
    </w:p>
    <w:p>
      <w:pPr>
        <w:spacing w:line="288" w:lineRule="auto"/>
        <w:rPr>
          <w:rFonts w:ascii="仿宋" w:hAnsi="仿宋" w:eastAsia="仿宋" w:cs="仿宋"/>
          <w:sz w:val="24"/>
          <w:highlight w:val="none"/>
        </w:rPr>
      </w:pPr>
      <w:r>
        <w:rPr>
          <w:rFonts w:hint="eastAsia" w:ascii="仿宋" w:hAnsi="仿宋" w:eastAsia="仿宋" w:cs="仿宋"/>
          <w:sz w:val="24"/>
          <w:highlight w:val="none"/>
        </w:rPr>
        <w:t>3.3.4小微企业应按照招标文件格式要求提供《中小企业声明函》。</w:t>
      </w:r>
    </w:p>
    <w:p>
      <w:pPr>
        <w:spacing w:line="288" w:lineRule="auto"/>
        <w:rPr>
          <w:rFonts w:ascii="仿宋" w:hAnsi="仿宋" w:eastAsia="仿宋" w:cs="仿宋"/>
          <w:sz w:val="24"/>
          <w:highlight w:val="none"/>
        </w:rPr>
      </w:pPr>
      <w:r>
        <w:rPr>
          <w:rFonts w:hint="eastAsia" w:ascii="仿宋" w:hAnsi="仿宋" w:eastAsia="仿宋" w:cs="仿宋"/>
          <w:sz w:val="24"/>
          <w:highlight w:val="none"/>
        </w:rPr>
        <w:t>3.3.5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pacing w:line="288" w:lineRule="auto"/>
        <w:rPr>
          <w:rFonts w:ascii="仿宋" w:hAnsi="仿宋" w:eastAsia="仿宋" w:cs="仿宋"/>
          <w:sz w:val="24"/>
          <w:highlight w:val="none"/>
        </w:rPr>
      </w:pPr>
      <w:r>
        <w:rPr>
          <w:rFonts w:hint="eastAsia" w:ascii="仿宋" w:hAnsi="仿宋" w:eastAsia="仿宋" w:cs="仿宋"/>
          <w:sz w:val="24"/>
          <w:highlight w:val="none"/>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以联合体形式参加政府采购活动，联合体各方均为中小企业的，联合体视同中小企业。其中，联合体各方均为小微企业的，联合体视同小微企业。</w:t>
      </w:r>
    </w:p>
    <w:p>
      <w:pPr>
        <w:spacing w:line="288" w:lineRule="auto"/>
        <w:rPr>
          <w:rFonts w:ascii="仿宋" w:hAnsi="仿宋" w:eastAsia="仿宋" w:cs="仿宋"/>
          <w:sz w:val="24"/>
          <w:highlight w:val="none"/>
        </w:rPr>
      </w:pPr>
      <w:r>
        <w:rPr>
          <w:rFonts w:hint="eastAsia" w:ascii="仿宋" w:hAnsi="仿宋" w:eastAsia="仿宋" w:cs="仿宋"/>
          <w:sz w:val="24"/>
          <w:highlight w:val="none"/>
        </w:rPr>
        <w:t>3.3.7符合《关于促进残疾人就业政府采购政策的通知》（财库〔2017〕141号）规定的条件并提供《残疾人福利性单位声明函》（附件1）的残疾人福利性单位视同小微企业；</w:t>
      </w:r>
    </w:p>
    <w:p>
      <w:pPr>
        <w:spacing w:line="284" w:lineRule="auto"/>
        <w:rPr>
          <w:rFonts w:ascii="仿宋" w:hAnsi="仿宋" w:eastAsia="仿宋" w:cs="仿宋"/>
          <w:sz w:val="24"/>
          <w:highlight w:val="none"/>
        </w:rPr>
      </w:pPr>
      <w:r>
        <w:rPr>
          <w:rFonts w:hint="eastAsia" w:ascii="仿宋" w:hAnsi="仿宋" w:eastAsia="仿宋" w:cs="仿宋"/>
          <w:sz w:val="24"/>
          <w:highlight w:val="none"/>
        </w:rPr>
        <w:t>3.3.8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284" w:lineRule="auto"/>
        <w:rPr>
          <w:rFonts w:ascii="仿宋" w:hAnsi="仿宋" w:eastAsia="仿宋" w:cs="仿宋"/>
          <w:b/>
          <w:bCs/>
          <w:sz w:val="24"/>
          <w:highlight w:val="none"/>
        </w:rPr>
      </w:pPr>
      <w:r>
        <w:rPr>
          <w:rFonts w:hint="eastAsia" w:ascii="仿宋" w:hAnsi="仿宋" w:eastAsia="仿宋" w:cs="仿宋"/>
          <w:b/>
          <w:bCs/>
          <w:sz w:val="24"/>
          <w:highlight w:val="none"/>
        </w:rPr>
        <w:t>★4.特别说明：</w:t>
      </w:r>
    </w:p>
    <w:p>
      <w:pPr>
        <w:spacing w:line="284" w:lineRule="auto"/>
        <w:rPr>
          <w:rFonts w:ascii="仿宋" w:hAnsi="仿宋" w:eastAsia="仿宋" w:cs="仿宋"/>
          <w:sz w:val="24"/>
          <w:highlight w:val="none"/>
        </w:rPr>
      </w:pPr>
      <w:r>
        <w:rPr>
          <w:rFonts w:hint="eastAsia" w:ascii="仿宋" w:hAnsi="仿宋" w:eastAsia="仿宋" w:cs="仿宋"/>
          <w:sz w:val="24"/>
          <w:highlight w:val="none"/>
        </w:rPr>
        <w:t>4.1供应商投标所使用的资格、信誉、荣誉、业绩与企业认证必须为投标单位所拥有。供应商投标所使用的采购项目实施人员必须为投标单位正式员工。</w:t>
      </w:r>
    </w:p>
    <w:p>
      <w:pPr>
        <w:spacing w:line="284" w:lineRule="auto"/>
        <w:rPr>
          <w:rFonts w:ascii="仿宋" w:hAnsi="仿宋" w:eastAsia="仿宋" w:cs="仿宋"/>
          <w:sz w:val="24"/>
          <w:highlight w:val="none"/>
        </w:rPr>
      </w:pPr>
      <w:r>
        <w:rPr>
          <w:rFonts w:hint="eastAsia" w:ascii="仿宋" w:hAnsi="仿宋" w:eastAsia="仿宋" w:cs="仿宋"/>
          <w:sz w:val="24"/>
          <w:highlight w:val="none"/>
        </w:rPr>
        <w:t>4.2供应商应仔细阅读招标文件的所有内容，按照招标文件的要求提交投标文件，并对所提供的全部资料的真实性承担法律责任。</w:t>
      </w:r>
    </w:p>
    <w:p>
      <w:pPr>
        <w:spacing w:line="284" w:lineRule="auto"/>
        <w:rPr>
          <w:rFonts w:ascii="仿宋" w:hAnsi="仿宋" w:eastAsia="仿宋" w:cs="仿宋"/>
          <w:sz w:val="24"/>
          <w:highlight w:val="none"/>
        </w:rPr>
      </w:pPr>
      <w:r>
        <w:rPr>
          <w:rFonts w:hint="eastAsia" w:ascii="仿宋" w:hAnsi="仿宋" w:eastAsia="仿宋" w:cs="仿宋"/>
          <w:sz w:val="24"/>
          <w:highlight w:val="none"/>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napToGrid w:val="0"/>
        <w:spacing w:line="284" w:lineRule="auto"/>
        <w:jc w:val="center"/>
        <w:rPr>
          <w:rFonts w:ascii="仿宋" w:hAnsi="仿宋" w:eastAsia="仿宋" w:cs="仿宋"/>
          <w:b/>
          <w:sz w:val="24"/>
          <w:highlight w:val="none"/>
        </w:rPr>
      </w:pPr>
      <w:r>
        <w:rPr>
          <w:rFonts w:hint="eastAsia" w:ascii="仿宋" w:hAnsi="仿宋" w:eastAsia="仿宋" w:cs="仿宋"/>
          <w:b/>
          <w:sz w:val="36"/>
          <w:szCs w:val="36"/>
          <w:highlight w:val="none"/>
        </w:rPr>
        <w:t>二、招标文件</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1.招标方式</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1.1 本次招标采用</w:t>
      </w:r>
      <w:r>
        <w:rPr>
          <w:rFonts w:hint="eastAsia" w:ascii="仿宋" w:hAnsi="仿宋" w:eastAsia="仿宋" w:cs="仿宋"/>
          <w:b/>
          <w:kern w:val="0"/>
          <w:sz w:val="24"/>
          <w:highlight w:val="none"/>
        </w:rPr>
        <w:t>公开招标</w:t>
      </w:r>
      <w:r>
        <w:rPr>
          <w:rFonts w:hint="eastAsia" w:ascii="仿宋" w:hAnsi="仿宋" w:eastAsia="仿宋" w:cs="仿宋"/>
          <w:sz w:val="24"/>
          <w:highlight w:val="none"/>
        </w:rPr>
        <w:t>方式进行。</w:t>
      </w:r>
    </w:p>
    <w:p>
      <w:pPr>
        <w:snapToGrid w:val="0"/>
        <w:spacing w:line="284" w:lineRule="auto"/>
        <w:jc w:val="left"/>
        <w:rPr>
          <w:rFonts w:ascii="仿宋" w:hAnsi="仿宋" w:eastAsia="仿宋" w:cs="仿宋"/>
          <w:b/>
          <w:sz w:val="24"/>
          <w:highlight w:val="none"/>
        </w:rPr>
      </w:pPr>
      <w:r>
        <w:rPr>
          <w:rFonts w:hint="eastAsia" w:ascii="仿宋" w:hAnsi="仿宋" w:eastAsia="仿宋" w:cs="仿宋"/>
          <w:sz w:val="24"/>
          <w:highlight w:val="none"/>
        </w:rPr>
        <w:t>1.2 如某一标项投标人或实质性响应招标文件的投标人不足三家时，由采购人重新组织招标或按有关规定实施。</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1.3 本次招标设定限价，即招标公告中公布的各标项预算金额或最高限价（各标项之间的预算金额不能互相调整）。</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2.投标委托</w:t>
      </w:r>
    </w:p>
    <w:p>
      <w:pPr>
        <w:snapToGrid w:val="0"/>
        <w:spacing w:line="284" w:lineRule="auto"/>
        <w:ind w:firstLine="480" w:firstLineChars="200"/>
        <w:jc w:val="left"/>
        <w:rPr>
          <w:rFonts w:ascii="仿宋" w:hAnsi="仿宋" w:eastAsia="仿宋" w:cs="仿宋"/>
          <w:highlight w:val="none"/>
        </w:rPr>
      </w:pPr>
      <w:r>
        <w:rPr>
          <w:rFonts w:hint="eastAsia" w:ascii="仿宋" w:hAnsi="仿宋" w:eastAsia="仿宋" w:cs="仿宋"/>
          <w:sz w:val="24"/>
          <w:highlight w:val="none"/>
        </w:rPr>
        <w:t>本项目为电子投标项目，授权代表不需要参加现场投标和开标。</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3.投标费用</w:t>
      </w:r>
    </w:p>
    <w:p>
      <w:pPr>
        <w:pStyle w:val="11"/>
        <w:numPr>
          <w:ilvl w:val="0"/>
          <w:numId w:val="0"/>
        </w:numPr>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投标人应自行承担编制投标文件及参加本次投标所涉及的一切费用。不管投标结果如何，招标人对上述费用不负任何责任。</w:t>
      </w:r>
      <w:r>
        <w:rPr>
          <w:rFonts w:hint="eastAsia" w:ascii="仿宋" w:hAnsi="仿宋" w:eastAsia="仿宋" w:cs="仿宋"/>
          <w:b/>
          <w:bCs/>
          <w:sz w:val="24"/>
          <w:highlight w:val="none"/>
        </w:rPr>
        <w:t>中标人须向招标代理机构交纳代理服务费，具体详见投标人须知前附表。</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4.招标文件的修改</w:t>
      </w:r>
    </w:p>
    <w:p>
      <w:pPr>
        <w:spacing w:line="284" w:lineRule="auto"/>
        <w:jc w:val="left"/>
        <w:rPr>
          <w:rFonts w:ascii="仿宋" w:hAnsi="仿宋" w:eastAsia="仿宋" w:cs="仿宋"/>
          <w:sz w:val="24"/>
          <w:highlight w:val="none"/>
        </w:rPr>
      </w:pPr>
      <w:r>
        <w:rPr>
          <w:rFonts w:hint="eastAsia" w:ascii="仿宋" w:hAnsi="仿宋" w:eastAsia="仿宋" w:cs="仿宋"/>
          <w:sz w:val="24"/>
          <w:highlight w:val="none"/>
        </w:rPr>
        <w:t>4.1招标文件包括本招标文件及所有所述的招标答疑记录和发出的补充通知组成。</w:t>
      </w:r>
    </w:p>
    <w:p>
      <w:pPr>
        <w:pStyle w:val="11"/>
        <w:numPr>
          <w:ilvl w:val="0"/>
          <w:numId w:val="0"/>
        </w:numPr>
        <w:spacing w:line="284" w:lineRule="auto"/>
        <w:jc w:val="left"/>
        <w:rPr>
          <w:rFonts w:ascii="仿宋" w:hAnsi="仿宋" w:eastAsia="仿宋" w:cs="仿宋"/>
          <w:sz w:val="24"/>
          <w:highlight w:val="none"/>
        </w:rPr>
      </w:pPr>
      <w:r>
        <w:rPr>
          <w:rFonts w:hint="eastAsia" w:ascii="仿宋" w:hAnsi="仿宋" w:eastAsia="仿宋" w:cs="仿宋"/>
          <w:sz w:val="24"/>
          <w:highlight w:val="none"/>
        </w:rPr>
        <w:t xml:space="preserve">4.2招标文件的澄清 </w:t>
      </w:r>
    </w:p>
    <w:p>
      <w:pPr>
        <w:pStyle w:val="11"/>
        <w:numPr>
          <w:ilvl w:val="0"/>
          <w:numId w:val="0"/>
        </w:numPr>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1"/>
        <w:numPr>
          <w:ilvl w:val="0"/>
          <w:numId w:val="0"/>
        </w:numPr>
        <w:spacing w:line="284" w:lineRule="auto"/>
        <w:jc w:val="left"/>
        <w:rPr>
          <w:rFonts w:ascii="仿宋" w:hAnsi="仿宋" w:eastAsia="仿宋" w:cs="仿宋"/>
          <w:sz w:val="24"/>
          <w:highlight w:val="none"/>
        </w:rPr>
      </w:pPr>
      <w:r>
        <w:rPr>
          <w:rFonts w:hint="eastAsia" w:ascii="仿宋" w:hAnsi="仿宋" w:eastAsia="仿宋" w:cs="仿宋"/>
          <w:sz w:val="24"/>
          <w:highlight w:val="none"/>
        </w:rPr>
        <w:t>4.3招标文件的修改</w:t>
      </w:r>
    </w:p>
    <w:p>
      <w:pPr>
        <w:adjustRightInd/>
        <w:spacing w:line="288" w:lineRule="auto"/>
        <w:rPr>
          <w:rFonts w:ascii="仿宋" w:hAnsi="仿宋" w:eastAsia="仿宋" w:cs="仿宋"/>
          <w:sz w:val="24"/>
          <w:highlight w:val="none"/>
        </w:rPr>
      </w:pPr>
      <w:r>
        <w:rPr>
          <w:rFonts w:hint="eastAsia" w:ascii="仿宋" w:hAnsi="仿宋" w:eastAsia="仿宋" w:cs="仿宋"/>
          <w:sz w:val="24"/>
          <w:highlight w:val="none"/>
        </w:rPr>
        <w:t>4.3.1在投标截止时间前规定时间内，招标人有权修改招标文件，并发布更正补充公告，</w:t>
      </w:r>
      <w:r>
        <w:rPr>
          <w:rFonts w:hint="eastAsia" w:ascii="仿宋" w:hAnsi="仿宋" w:eastAsia="仿宋" w:cs="仿宋"/>
          <w:bCs/>
          <w:sz w:val="24"/>
          <w:highlight w:val="none"/>
        </w:rPr>
        <w:t>更正补充公告请自行登录浙江政府采购网或绍兴公共资源交易网</w:t>
      </w:r>
      <w:r>
        <w:rPr>
          <w:rFonts w:hint="eastAsia" w:ascii="仿宋" w:hAnsi="仿宋" w:eastAsia="仿宋" w:cs="Arial"/>
          <w:bCs/>
          <w:color w:val="000000"/>
          <w:sz w:val="24"/>
          <w:highlight w:val="none"/>
        </w:rPr>
        <w:t>公告页面中下载</w:t>
      </w:r>
      <w:r>
        <w:rPr>
          <w:rFonts w:hint="eastAsia" w:ascii="仿宋" w:hAnsi="仿宋" w:eastAsia="仿宋" w:cs="仿宋"/>
          <w:bCs/>
          <w:sz w:val="24"/>
          <w:highlight w:val="none"/>
        </w:rPr>
        <w:t>。</w:t>
      </w:r>
      <w:r>
        <w:rPr>
          <w:rFonts w:hint="eastAsia" w:ascii="仿宋" w:hAnsi="仿宋" w:eastAsia="仿宋" w:cs="仿宋"/>
          <w:sz w:val="24"/>
          <w:highlight w:val="none"/>
        </w:rPr>
        <w:t>通知中没有注明更改投标截止时间的视为截止时间不变。修改的文件作为招标文件的补充和组成部分，对所有投标人均有约束力。</w:t>
      </w:r>
    </w:p>
    <w:p>
      <w:pPr>
        <w:snapToGrid w:val="0"/>
        <w:spacing w:line="284" w:lineRule="auto"/>
        <w:jc w:val="left"/>
        <w:rPr>
          <w:rFonts w:ascii="仿宋" w:hAnsi="仿宋" w:eastAsia="仿宋" w:cs="仿宋"/>
          <w:color w:val="FF0000"/>
          <w:sz w:val="24"/>
          <w:highlight w:val="none"/>
        </w:rPr>
      </w:pPr>
      <w:r>
        <w:rPr>
          <w:rFonts w:hint="eastAsia" w:ascii="仿宋" w:hAnsi="仿宋" w:eastAsia="仿宋" w:cs="仿宋"/>
          <w:sz w:val="24"/>
          <w:highlight w:val="none"/>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5.参考品牌</w:t>
      </w:r>
    </w:p>
    <w:p>
      <w:pPr>
        <w:pStyle w:val="11"/>
        <w:numPr>
          <w:ilvl w:val="0"/>
          <w:numId w:val="0"/>
        </w:numPr>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284"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三、投标文件</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1.投标文件的语言及计量单位</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1.1投标人应仔细阅读招标文件中的所有内容，按照招标文件要求，详细编制投标文件，并保证投标文件的正确性和真实性。</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1.2 投标文件以及投标方与招标方就有关投标事宜的所有来往函电，均应以中文书写（技术术语除外）。</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1.3 投标计量单位，除招标文件中有特殊要求外，应采用中华人民共和国法定计量单位，货币单位：人民币元。</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1.4不按招标文件的要求提供的投标文件可能导致被拒绝。</w:t>
      </w:r>
    </w:p>
    <w:p>
      <w:pPr>
        <w:snapToGrid w:val="0"/>
        <w:spacing w:line="284" w:lineRule="auto"/>
        <w:jc w:val="left"/>
        <w:rPr>
          <w:rFonts w:ascii="仿宋" w:hAnsi="仿宋" w:eastAsia="仿宋" w:cs="仿宋"/>
          <w:b/>
          <w:bCs/>
          <w:sz w:val="24"/>
          <w:highlight w:val="none"/>
        </w:rPr>
      </w:pPr>
      <w:r>
        <w:rPr>
          <w:rFonts w:hint="eastAsia" w:ascii="仿宋" w:hAnsi="仿宋" w:eastAsia="仿宋" w:cs="仿宋"/>
          <w:b/>
          <w:bCs/>
          <w:sz w:val="24"/>
          <w:highlight w:val="none"/>
        </w:rPr>
        <w:t>1.5投标文件的形式和效力</w:t>
      </w:r>
    </w:p>
    <w:p>
      <w:pPr>
        <w:snapToGrid w:val="0"/>
        <w:spacing w:line="284" w:lineRule="auto"/>
        <w:jc w:val="left"/>
        <w:rPr>
          <w:rFonts w:ascii="仿宋" w:hAnsi="仿宋" w:eastAsia="仿宋" w:cs="仿宋"/>
          <w:b/>
          <w:bCs/>
          <w:sz w:val="24"/>
          <w:highlight w:val="none"/>
        </w:rPr>
      </w:pPr>
      <w:r>
        <w:rPr>
          <w:rFonts w:hint="eastAsia" w:ascii="仿宋" w:hAnsi="仿宋" w:eastAsia="仿宋" w:cs="仿宋"/>
          <w:b/>
          <w:bCs/>
          <w:sz w:val="24"/>
          <w:highlight w:val="none"/>
        </w:rPr>
        <w:t>1.5.1投标文件为电子投标文件，电子投标文件按“政采云供应商项目采购-电子招投标操作指南”及本招标文件要求制作、加密传输。</w:t>
      </w:r>
    </w:p>
    <w:p>
      <w:pPr>
        <w:snapToGrid w:val="0"/>
        <w:spacing w:line="284" w:lineRule="auto"/>
        <w:jc w:val="left"/>
        <w:rPr>
          <w:rFonts w:ascii="仿宋" w:hAnsi="仿宋" w:eastAsia="仿宋" w:cs="仿宋"/>
          <w:b/>
          <w:bCs/>
          <w:sz w:val="24"/>
          <w:highlight w:val="none"/>
          <w:u w:val="single"/>
        </w:rPr>
      </w:pPr>
      <w:r>
        <w:rPr>
          <w:rFonts w:hint="eastAsia" w:ascii="仿宋" w:hAnsi="仿宋" w:eastAsia="仿宋" w:cs="仿宋"/>
          <w:b/>
          <w:bCs/>
          <w:sz w:val="24"/>
          <w:highlight w:val="none"/>
          <w:u w:val="single"/>
        </w:rPr>
        <w:t>1.5.2投标文件的效力：</w:t>
      </w:r>
    </w:p>
    <w:p>
      <w:pPr>
        <w:snapToGrid w:val="0"/>
        <w:spacing w:line="284"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u w:val="single"/>
        </w:rPr>
        <w:t>投标文件未在投标截止时间前完成传输的，视为投标文件撤回；投标文件未按时解密，亦视为投标文件撤回。</w:t>
      </w:r>
    </w:p>
    <w:p>
      <w:pPr>
        <w:snapToGrid w:val="0"/>
        <w:spacing w:line="284" w:lineRule="auto"/>
        <w:jc w:val="left"/>
        <w:rPr>
          <w:rFonts w:ascii="仿宋" w:hAnsi="仿宋" w:eastAsia="仿宋" w:cs="仿宋"/>
          <w:b/>
          <w:sz w:val="24"/>
          <w:highlight w:val="none"/>
        </w:rPr>
      </w:pPr>
      <w:r>
        <w:rPr>
          <w:rFonts w:hint="eastAsia" w:ascii="仿宋" w:hAnsi="仿宋" w:eastAsia="仿宋" w:cs="仿宋"/>
          <w:b/>
          <w:sz w:val="24"/>
          <w:highlight w:val="none"/>
        </w:rPr>
        <w:t>2.投标文件的组成</w:t>
      </w:r>
    </w:p>
    <w:p>
      <w:pPr>
        <w:spacing w:line="284" w:lineRule="auto"/>
        <w:ind w:firstLine="480" w:firstLineChars="200"/>
        <w:jc w:val="left"/>
        <w:rPr>
          <w:rFonts w:ascii="仿宋" w:hAnsi="仿宋" w:eastAsia="仿宋"/>
          <w:b/>
          <w:sz w:val="24"/>
          <w:highlight w:val="none"/>
        </w:rPr>
      </w:pPr>
      <w:r>
        <w:rPr>
          <w:rFonts w:hint="eastAsia" w:ascii="仿宋" w:hAnsi="仿宋" w:eastAsia="仿宋" w:cs="仿宋"/>
          <w:sz w:val="24"/>
          <w:highlight w:val="none"/>
        </w:rPr>
        <w:t>投标文件由“报价文件资料”、“商务技术（资信）文件资料”两部分组成,</w:t>
      </w:r>
      <w:r>
        <w:rPr>
          <w:rFonts w:hint="eastAsia" w:ascii="仿宋" w:hAnsi="仿宋" w:eastAsia="仿宋"/>
          <w:b/>
          <w:sz w:val="24"/>
          <w:highlight w:val="none"/>
        </w:rPr>
        <w:t>其中电子投标文件中所须加盖公章部分均应采用电子签章。</w:t>
      </w:r>
    </w:p>
    <w:p>
      <w:pPr>
        <w:spacing w:line="284" w:lineRule="auto"/>
        <w:jc w:val="left"/>
        <w:rPr>
          <w:rFonts w:ascii="仿宋" w:hAnsi="仿宋" w:eastAsia="仿宋" w:cs="仿宋"/>
          <w:sz w:val="24"/>
          <w:highlight w:val="none"/>
        </w:rPr>
      </w:pPr>
      <w:r>
        <w:rPr>
          <w:rFonts w:hint="eastAsia" w:ascii="仿宋" w:hAnsi="仿宋" w:eastAsia="仿宋" w:cs="仿宋"/>
          <w:sz w:val="24"/>
          <w:highlight w:val="none"/>
        </w:rPr>
        <w:t>2.1“报价文件资料”应包含以下内容：</w:t>
      </w:r>
    </w:p>
    <w:p>
      <w:pPr>
        <w:tabs>
          <w:tab w:val="left" w:pos="3870"/>
          <w:tab w:val="left" w:pos="4085"/>
        </w:tabs>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2.1.1投标响应函（格式见第六部分附件）；</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2.1.2开标一览表（格式见第六部分附件）；</w:t>
      </w:r>
    </w:p>
    <w:p>
      <w:pPr>
        <w:snapToGrid w:val="0"/>
        <w:spacing w:line="284" w:lineRule="auto"/>
        <w:jc w:val="left"/>
        <w:rPr>
          <w:rFonts w:ascii="仿宋" w:hAnsi="仿宋" w:eastAsia="仿宋" w:cs="仿宋"/>
          <w:bCs/>
          <w:sz w:val="24"/>
          <w:highlight w:val="none"/>
        </w:rPr>
      </w:pPr>
      <w:r>
        <w:rPr>
          <w:rFonts w:hint="eastAsia" w:ascii="仿宋" w:hAnsi="仿宋" w:eastAsia="仿宋" w:cs="仿宋"/>
          <w:bCs/>
          <w:sz w:val="24"/>
          <w:highlight w:val="none"/>
        </w:rPr>
        <w:t>2.1.3小微企业声明函及证明资料（如有，格式见第六部分附件）；</w:t>
      </w:r>
    </w:p>
    <w:p>
      <w:pPr>
        <w:snapToGrid w:val="0"/>
        <w:spacing w:line="284" w:lineRule="auto"/>
        <w:jc w:val="left"/>
        <w:rPr>
          <w:rFonts w:ascii="仿宋" w:hAnsi="仿宋" w:eastAsia="仿宋" w:cs="仿宋"/>
          <w:bCs/>
          <w:sz w:val="24"/>
          <w:highlight w:val="none"/>
        </w:rPr>
      </w:pPr>
      <w:r>
        <w:rPr>
          <w:rFonts w:hint="eastAsia" w:ascii="仿宋" w:hAnsi="仿宋" w:eastAsia="仿宋" w:cs="仿宋"/>
          <w:bCs/>
          <w:sz w:val="24"/>
          <w:highlight w:val="none"/>
        </w:rPr>
        <w:t>2.1.4残疾人福利性单位声明函（如有，格式见第六部分附件）。</w:t>
      </w:r>
    </w:p>
    <w:p>
      <w:pPr>
        <w:tabs>
          <w:tab w:val="left" w:pos="3870"/>
          <w:tab w:val="left" w:pos="4085"/>
        </w:tabs>
        <w:snapToGrid w:val="0"/>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以上文件组成“报价文件资料”。投标人在“报价文件资料”中应对招标文件作实质性响应，该项内容将作为评标重要指标。</w:t>
      </w:r>
    </w:p>
    <w:p>
      <w:pPr>
        <w:pStyle w:val="15"/>
        <w:numPr>
          <w:ilvl w:val="0"/>
          <w:numId w:val="0"/>
        </w:numPr>
        <w:tabs>
          <w:tab w:val="left" w:pos="1854"/>
          <w:tab w:val="clear" w:pos="1200"/>
        </w:tabs>
        <w:spacing w:line="284" w:lineRule="auto"/>
        <w:rPr>
          <w:rFonts w:ascii="仿宋" w:hAnsi="仿宋" w:eastAsia="仿宋" w:cs="仿宋"/>
          <w:sz w:val="24"/>
          <w:highlight w:val="none"/>
        </w:rPr>
      </w:pPr>
      <w:r>
        <w:rPr>
          <w:rFonts w:hint="eastAsia" w:ascii="仿宋" w:hAnsi="仿宋" w:eastAsia="仿宋" w:cs="仿宋"/>
          <w:sz w:val="24"/>
          <w:highlight w:val="none"/>
        </w:rPr>
        <w:t>2.2 “商务技术（资信）文件资料”应包括以下内容：</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2.2.1法定代表人授权委托书(个体工商户不需要提供，投标文件中提供情况说明，格式见第六部分附件)；</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2.2.2授权代表社保证明（个体工商户不需要提供，投标文件中提供情况说明，格式见第六部分附件）；</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2.2.3法定代表人身份证明书（格式见第六部分附件）；</w:t>
      </w:r>
    </w:p>
    <w:p>
      <w:pPr>
        <w:snapToGrid w:val="0"/>
        <w:spacing w:line="284" w:lineRule="auto"/>
        <w:rPr>
          <w:rFonts w:ascii="仿宋" w:hAnsi="仿宋" w:eastAsia="仿宋" w:cs="仿宋"/>
          <w:kern w:val="0"/>
          <w:sz w:val="24"/>
          <w:highlight w:val="none"/>
        </w:rPr>
      </w:pPr>
      <w:r>
        <w:rPr>
          <w:rFonts w:hint="eastAsia" w:ascii="仿宋" w:hAnsi="仿宋" w:eastAsia="仿宋" w:cs="仿宋"/>
          <w:sz w:val="24"/>
          <w:highlight w:val="none"/>
        </w:rPr>
        <w:t>2.2.4相关资质证明或文件复印件（加盖单位公章）：</w:t>
      </w:r>
    </w:p>
    <w:p>
      <w:pPr>
        <w:pStyle w:val="17"/>
        <w:spacing w:line="284" w:lineRule="auto"/>
        <w:ind w:firstLine="480" w:firstLineChars="200"/>
        <w:rPr>
          <w:rFonts w:ascii="仿宋" w:hAnsi="仿宋" w:eastAsia="仿宋" w:cs="仿宋"/>
          <w:sz w:val="24"/>
          <w:szCs w:val="24"/>
          <w:highlight w:val="none"/>
        </w:rPr>
      </w:pPr>
      <w:bookmarkStart w:id="0" w:name="_Hlt68403820"/>
      <w:bookmarkEnd w:id="0"/>
      <w:bookmarkStart w:id="1" w:name="_Hlt68072998"/>
      <w:bookmarkEnd w:id="1"/>
      <w:bookmarkStart w:id="2" w:name="_Hlt68073093"/>
      <w:bookmarkEnd w:id="2"/>
      <w:r>
        <w:rPr>
          <w:rFonts w:hint="eastAsia" w:ascii="仿宋" w:hAnsi="仿宋" w:eastAsia="仿宋" w:cs="仿宋"/>
          <w:sz w:val="24"/>
          <w:szCs w:val="24"/>
          <w:highlight w:val="none"/>
        </w:rPr>
        <w:t>（1）营业执照；</w:t>
      </w:r>
    </w:p>
    <w:p>
      <w:pPr>
        <w:snapToGrid w:val="0"/>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（2）2021年度资产负债表等财务报表资料文件(新成立的公司或个体工商户不需要提供，投标文件中提供情况说明)；</w:t>
      </w:r>
    </w:p>
    <w:p>
      <w:pPr>
        <w:pStyle w:val="17"/>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（3）具有履行合同所必需的设备和专业技术能力的承诺函；</w:t>
      </w:r>
    </w:p>
    <w:p>
      <w:pPr>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（4）参加本次政府采购活动前三年内，在经营活动中没有重大违法记录的声明（需要特别声明“没有因违反《浙江省政府采购供应商注册及诚信管理暂行办法》被列入‘黑名单’，在处罚有效期”）；</w:t>
      </w:r>
    </w:p>
    <w:p>
      <w:pPr>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（6）提供依法缴纳税收和社会保障资金的良好记录证明，税收和社保证明打印时间不得早于投标截止时间前1个月(个体工商户不需要提供，投标文件中提供情况说明)； </w:t>
      </w:r>
    </w:p>
    <w:p>
      <w:pPr>
        <w:snapToGrid w:val="0"/>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（7）符合特定资格条件（如果项目要求）的有关证明材料（复印件）；</w:t>
      </w:r>
    </w:p>
    <w:p>
      <w:pPr>
        <w:pStyle w:val="17"/>
        <w:snapToGrid w:val="0"/>
        <w:spacing w:line="284" w:lineRule="auto"/>
        <w:rPr>
          <w:rFonts w:ascii="仿宋" w:hAnsi="仿宋" w:eastAsia="仿宋" w:cs="仿宋"/>
          <w:sz w:val="24"/>
          <w:szCs w:val="24"/>
          <w:highlight w:val="none"/>
          <w:lang w:val="zh-CN"/>
        </w:rPr>
      </w:pPr>
      <w:r>
        <w:rPr>
          <w:rFonts w:hint="eastAsia" w:ascii="仿宋" w:hAnsi="仿宋" w:eastAsia="仿宋" w:cs="仿宋"/>
          <w:sz w:val="24"/>
          <w:szCs w:val="24"/>
          <w:highlight w:val="none"/>
        </w:rPr>
        <w:t>2.2.5</w:t>
      </w:r>
      <w:r>
        <w:rPr>
          <w:rFonts w:hint="eastAsia" w:ascii="仿宋" w:hAnsi="仿宋" w:eastAsia="仿宋" w:cs="仿宋"/>
          <w:sz w:val="24"/>
          <w:szCs w:val="24"/>
          <w:highlight w:val="none"/>
          <w:lang w:val="zh-CN"/>
        </w:rPr>
        <w:t>投标人应提供针对项目的完整技术解决方案：</w:t>
      </w:r>
    </w:p>
    <w:p>
      <w:pPr>
        <w:snapToGrid w:val="0"/>
        <w:spacing w:line="284"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284"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本项目如需采购政府强制采购的节能产品的或投标人提供的产品是环境标志产品，投标人须按格式提供节能产品、环境标志产品认证证书复印件。</w:t>
      </w:r>
    </w:p>
    <w:p>
      <w:pPr>
        <w:tabs>
          <w:tab w:val="left" w:pos="3870"/>
          <w:tab w:val="left" w:pos="4085"/>
        </w:tabs>
        <w:snapToGrid w:val="0"/>
        <w:spacing w:line="284" w:lineRule="auto"/>
        <w:jc w:val="left"/>
        <w:rPr>
          <w:rFonts w:ascii="仿宋" w:hAnsi="仿宋" w:eastAsia="仿宋" w:cs="仿宋"/>
          <w:kern w:val="0"/>
          <w:sz w:val="24"/>
          <w:highlight w:val="none"/>
          <w:lang w:val="zh-CN"/>
        </w:rPr>
      </w:pPr>
      <w:r>
        <w:rPr>
          <w:rFonts w:hint="eastAsia" w:ascii="仿宋" w:hAnsi="仿宋" w:eastAsia="仿宋" w:cs="仿宋"/>
          <w:sz w:val="24"/>
          <w:highlight w:val="none"/>
        </w:rPr>
        <w:t>2.2.6优惠条件：投标人承诺给予招标人的各种优惠条件，包括设备价格、运输、保险、安装调试、付款条件、技术服务、售后服务等方面的优惠；当优惠条件涉及“报价单”中的各项费用时，必须与投标价格相统一；</w:t>
      </w:r>
      <w:r>
        <w:rPr>
          <w:rFonts w:hint="eastAsia" w:ascii="仿宋" w:hAnsi="仿宋" w:eastAsia="仿宋" w:cs="仿宋"/>
          <w:kern w:val="0"/>
          <w:sz w:val="24"/>
          <w:highlight w:val="none"/>
          <w:lang w:val="zh-CN"/>
        </w:rPr>
        <w:t>（如果有）</w:t>
      </w:r>
    </w:p>
    <w:p>
      <w:pPr>
        <w:tabs>
          <w:tab w:val="left" w:pos="3870"/>
          <w:tab w:val="left" w:pos="4085"/>
        </w:tabs>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2.2.7提供相关标段成功案例。应有需方名称及联系电话，提供最终用户合同复印件及中标通知书复印件（加盖单位公章）；</w:t>
      </w:r>
    </w:p>
    <w:p>
      <w:pPr>
        <w:snapToGrid w:val="0"/>
        <w:spacing w:line="284" w:lineRule="auto"/>
        <w:rPr>
          <w:rFonts w:ascii="仿宋" w:hAnsi="仿宋" w:eastAsia="仿宋" w:cs="仿宋"/>
          <w:kern w:val="0"/>
          <w:sz w:val="24"/>
          <w:highlight w:val="none"/>
          <w:lang w:val="zh-CN"/>
        </w:rPr>
      </w:pPr>
      <w:r>
        <w:rPr>
          <w:rFonts w:hint="eastAsia" w:ascii="仿宋" w:hAnsi="仿宋" w:eastAsia="仿宋" w:cs="仿宋"/>
          <w:kern w:val="0"/>
          <w:sz w:val="24"/>
          <w:highlight w:val="none"/>
        </w:rPr>
        <w:t>2.2.8</w:t>
      </w:r>
      <w:r>
        <w:rPr>
          <w:rFonts w:hint="eastAsia" w:ascii="仿宋" w:hAnsi="仿宋" w:eastAsia="仿宋" w:cs="仿宋"/>
          <w:sz w:val="24"/>
          <w:highlight w:val="none"/>
        </w:rPr>
        <w:t>投标人在投标文件技术偏离说明表中，</w:t>
      </w:r>
      <w:r>
        <w:rPr>
          <w:rFonts w:hint="eastAsia" w:ascii="仿宋" w:hAnsi="仿宋" w:eastAsia="仿宋" w:cs="仿宋"/>
          <w:kern w:val="0"/>
          <w:sz w:val="24"/>
          <w:highlight w:val="none"/>
          <w:lang w:val="zh-CN"/>
        </w:rPr>
        <w:t>应对</w:t>
      </w:r>
      <w:r>
        <w:rPr>
          <w:rFonts w:hint="eastAsia" w:ascii="仿宋" w:hAnsi="仿宋" w:eastAsia="仿宋" w:cs="仿宋"/>
          <w:sz w:val="24"/>
          <w:highlight w:val="none"/>
        </w:rPr>
        <w:t>项目技术规范和服务要求</w:t>
      </w:r>
      <w:r>
        <w:rPr>
          <w:rFonts w:hint="eastAsia" w:ascii="仿宋" w:hAnsi="仿宋" w:eastAsia="仿宋" w:cs="仿宋"/>
          <w:kern w:val="0"/>
          <w:sz w:val="24"/>
          <w:highlight w:val="none"/>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p>
    <w:p>
      <w:pPr>
        <w:snapToGrid w:val="0"/>
        <w:spacing w:line="284"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2.2.</w:t>
      </w:r>
      <w:r>
        <w:rPr>
          <w:rFonts w:hint="eastAsia" w:ascii="仿宋" w:hAnsi="仿宋" w:eastAsia="仿宋" w:cs="仿宋"/>
          <w:kern w:val="0"/>
          <w:sz w:val="24"/>
          <w:highlight w:val="none"/>
        </w:rPr>
        <w:t>9</w:t>
      </w:r>
      <w:r>
        <w:rPr>
          <w:rFonts w:hint="eastAsia" w:ascii="仿宋" w:hAnsi="仿宋" w:eastAsia="仿宋" w:cs="仿宋"/>
          <w:kern w:val="0"/>
          <w:sz w:val="24"/>
          <w:highlight w:val="none"/>
          <w:lang w:val="zh-CN"/>
        </w:rPr>
        <w:t>针对本项目建设的详细实施计划。本项目详细工作实施组织方案，包括(但不限于)以下内容：组织机构、工作时间进度表、工作程序和步骤、管理和协调方法、关键步骤的思路和要点。（如果有）</w:t>
      </w:r>
    </w:p>
    <w:p>
      <w:pPr>
        <w:snapToGrid w:val="0"/>
        <w:spacing w:line="284" w:lineRule="auto"/>
        <w:rPr>
          <w:rFonts w:ascii="仿宋" w:hAnsi="仿宋" w:eastAsia="仿宋" w:cs="仿宋"/>
          <w:kern w:val="0"/>
          <w:sz w:val="24"/>
          <w:highlight w:val="none"/>
        </w:rPr>
      </w:pPr>
      <w:r>
        <w:rPr>
          <w:rFonts w:hint="eastAsia" w:ascii="仿宋" w:hAnsi="仿宋" w:eastAsia="仿宋" w:cs="仿宋"/>
          <w:kern w:val="0"/>
          <w:sz w:val="24"/>
          <w:highlight w:val="none"/>
        </w:rPr>
        <w:t>2.2.10</w:t>
      </w:r>
      <w:r>
        <w:rPr>
          <w:rFonts w:hint="eastAsia" w:ascii="仿宋" w:hAnsi="仿宋" w:eastAsia="仿宋" w:cs="仿宋"/>
          <w:snapToGrid w:val="0"/>
          <w:sz w:val="24"/>
          <w:highlight w:val="none"/>
        </w:rPr>
        <w:t>非本地投标人售后服务机构证明材料。非本地投标人</w:t>
      </w:r>
      <w:r>
        <w:rPr>
          <w:rFonts w:hint="eastAsia" w:ascii="仿宋" w:hAnsi="仿宋" w:eastAsia="仿宋" w:cs="仿宋"/>
          <w:sz w:val="24"/>
          <w:highlight w:val="none"/>
          <w:lang w:val="zh-CN"/>
        </w:rPr>
        <w:t>在绍兴的分公司</w:t>
      </w:r>
      <w:r>
        <w:rPr>
          <w:rFonts w:hint="eastAsia" w:ascii="仿宋" w:hAnsi="仿宋" w:eastAsia="仿宋" w:cs="仿宋"/>
          <w:kern w:val="0"/>
          <w:sz w:val="24"/>
          <w:highlight w:val="none"/>
        </w:rPr>
        <w:t>（</w:t>
      </w:r>
      <w:r>
        <w:rPr>
          <w:rFonts w:hint="eastAsia" w:ascii="仿宋" w:hAnsi="仿宋" w:eastAsia="仿宋" w:cs="仿宋"/>
          <w:sz w:val="24"/>
          <w:highlight w:val="none"/>
          <w:lang w:val="zh-CN"/>
        </w:rPr>
        <w:t>需提供本地工商注册</w:t>
      </w:r>
      <w:r>
        <w:rPr>
          <w:rFonts w:hint="eastAsia" w:ascii="仿宋" w:hAnsi="仿宋" w:eastAsia="仿宋" w:cs="仿宋"/>
          <w:sz w:val="24"/>
          <w:highlight w:val="none"/>
        </w:rPr>
        <w:t>登记</w:t>
      </w:r>
      <w:r>
        <w:rPr>
          <w:rFonts w:hint="eastAsia" w:ascii="仿宋" w:hAnsi="仿宋" w:eastAsia="仿宋" w:cs="仿宋"/>
          <w:sz w:val="24"/>
          <w:highlight w:val="none"/>
          <w:lang w:val="zh-CN"/>
        </w:rPr>
        <w:t>资料）或办事处</w:t>
      </w:r>
      <w:r>
        <w:rPr>
          <w:rFonts w:hint="eastAsia" w:ascii="仿宋" w:hAnsi="仿宋" w:eastAsia="仿宋" w:cs="仿宋"/>
          <w:kern w:val="0"/>
          <w:sz w:val="24"/>
          <w:highlight w:val="none"/>
        </w:rPr>
        <w:t>（</w:t>
      </w:r>
      <w:r>
        <w:rPr>
          <w:rFonts w:hint="eastAsia" w:ascii="仿宋" w:hAnsi="仿宋" w:eastAsia="仿宋" w:cs="仿宋"/>
          <w:sz w:val="24"/>
          <w:highlight w:val="none"/>
          <w:lang w:val="zh-CN"/>
        </w:rPr>
        <w:t>需提供本地国内经济合作办注册资料</w:t>
      </w:r>
      <w:r>
        <w:rPr>
          <w:rFonts w:hint="eastAsia" w:ascii="仿宋" w:hAnsi="仿宋" w:eastAsia="仿宋" w:cs="仿宋"/>
          <w:kern w:val="0"/>
          <w:sz w:val="24"/>
          <w:highlight w:val="none"/>
        </w:rPr>
        <w:t>）或符合本项目服务能力并签订合作协议的第三方机构或者在中标（成交）公示后在本地设立售后服务机构作</w:t>
      </w:r>
      <w:r>
        <w:rPr>
          <w:rFonts w:hint="eastAsia" w:ascii="仿宋" w:hAnsi="仿宋" w:eastAsia="仿宋" w:cs="仿宋"/>
          <w:sz w:val="24"/>
          <w:highlight w:val="none"/>
          <w:lang w:val="zh-CN"/>
        </w:rPr>
        <w:t>为常驻服务和技术支持机构；</w:t>
      </w:r>
      <w:r>
        <w:rPr>
          <w:rFonts w:hint="eastAsia" w:ascii="仿宋" w:hAnsi="仿宋" w:eastAsia="仿宋" w:cs="仿宋"/>
          <w:kern w:val="0"/>
          <w:sz w:val="24"/>
          <w:highlight w:val="none"/>
          <w:lang w:val="zh-CN"/>
        </w:rPr>
        <w:t>（如果有）</w:t>
      </w:r>
    </w:p>
    <w:p>
      <w:pPr>
        <w:snapToGrid w:val="0"/>
        <w:spacing w:line="284" w:lineRule="auto"/>
        <w:jc w:val="left"/>
        <w:rPr>
          <w:rFonts w:ascii="仿宋" w:hAnsi="仿宋" w:eastAsia="仿宋" w:cs="仿宋"/>
          <w:sz w:val="24"/>
          <w:highlight w:val="none"/>
        </w:rPr>
      </w:pPr>
      <w:r>
        <w:rPr>
          <w:rFonts w:hint="eastAsia" w:ascii="仿宋" w:hAnsi="仿宋" w:eastAsia="仿宋" w:cs="仿宋"/>
          <w:sz w:val="24"/>
          <w:highlight w:val="none"/>
        </w:rPr>
        <w:t>2.2.11</w:t>
      </w:r>
      <w:r>
        <w:rPr>
          <w:rFonts w:hint="eastAsia" w:ascii="仿宋" w:hAnsi="仿宋" w:eastAsia="仿宋" w:cs="仿宋"/>
          <w:sz w:val="24"/>
          <w:highlight w:val="none"/>
          <w:u w:val="wave"/>
        </w:rPr>
        <w:t>未尽事宜请各投标单位按评分细则和相对应标项相关要求制作(重要)</w:t>
      </w:r>
      <w:r>
        <w:rPr>
          <w:rFonts w:hint="eastAsia" w:ascii="仿宋" w:hAnsi="仿宋" w:eastAsia="仿宋" w:cs="仿宋"/>
          <w:sz w:val="24"/>
          <w:highlight w:val="none"/>
        </w:rPr>
        <w:t>；</w:t>
      </w:r>
    </w:p>
    <w:p>
      <w:pPr>
        <w:pStyle w:val="15"/>
        <w:numPr>
          <w:ilvl w:val="0"/>
          <w:numId w:val="0"/>
        </w:numPr>
        <w:tabs>
          <w:tab w:val="left" w:pos="1854"/>
          <w:tab w:val="clear" w:pos="1200"/>
        </w:tabs>
        <w:spacing w:line="284" w:lineRule="auto"/>
        <w:rPr>
          <w:rFonts w:ascii="仿宋" w:hAnsi="仿宋" w:eastAsia="仿宋" w:cs="仿宋"/>
          <w:sz w:val="24"/>
          <w:highlight w:val="none"/>
        </w:rPr>
      </w:pPr>
      <w:r>
        <w:rPr>
          <w:rFonts w:hint="eastAsia" w:ascii="仿宋" w:hAnsi="仿宋" w:eastAsia="仿宋" w:cs="仿宋"/>
          <w:sz w:val="24"/>
          <w:highlight w:val="none"/>
        </w:rPr>
        <w:t>2.2.12投标人需要说明的其他文件和说明（格式自拟）。</w:t>
      </w:r>
    </w:p>
    <w:p>
      <w:pPr>
        <w:tabs>
          <w:tab w:val="left" w:pos="3870"/>
          <w:tab w:val="left" w:pos="4085"/>
        </w:tabs>
        <w:snapToGrid w:val="0"/>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以上文件组成“商务技术（资信）文件资料”。投标人在“商务技术（资信）文件资料”中应对招标文件作实质性响应，该项内容将作为评标重要指标。</w:t>
      </w:r>
    </w:p>
    <w:p>
      <w:pPr>
        <w:pStyle w:val="15"/>
        <w:numPr>
          <w:ilvl w:val="0"/>
          <w:numId w:val="0"/>
        </w:numPr>
        <w:tabs>
          <w:tab w:val="left" w:pos="1854"/>
          <w:tab w:val="clear" w:pos="1200"/>
        </w:tabs>
        <w:spacing w:line="284" w:lineRule="auto"/>
        <w:ind w:right="-78" w:rightChars="-37" w:firstLine="480" w:firstLineChars="200"/>
        <w:rPr>
          <w:rFonts w:ascii="仿宋" w:hAnsi="仿宋" w:eastAsia="仿宋" w:cs="仿宋"/>
          <w:b/>
          <w:sz w:val="24"/>
          <w:highlight w:val="none"/>
        </w:rPr>
      </w:pPr>
      <w:r>
        <w:rPr>
          <w:rFonts w:hint="eastAsia" w:ascii="仿宋" w:hAnsi="仿宋" w:eastAsia="仿宋" w:cs="仿宋"/>
          <w:sz w:val="24"/>
          <w:highlight w:val="none"/>
        </w:rPr>
        <w:t>投标人不按招标文件的要求提供的投标文件，可能会被评标委员会视为未实质性响应，其风险应由投标人自行承担。</w:t>
      </w:r>
    </w:p>
    <w:p>
      <w:pPr>
        <w:tabs>
          <w:tab w:val="left" w:pos="3870"/>
        </w:tabs>
        <w:snapToGrid w:val="0"/>
        <w:spacing w:line="284"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注：复印件应加盖投标人公章</w:t>
      </w:r>
    </w:p>
    <w:p>
      <w:pPr>
        <w:spacing w:line="284" w:lineRule="auto"/>
        <w:jc w:val="left"/>
        <w:rPr>
          <w:rFonts w:ascii="仿宋" w:hAnsi="仿宋" w:eastAsia="仿宋" w:cs="仿宋"/>
          <w:b/>
          <w:sz w:val="24"/>
          <w:highlight w:val="none"/>
        </w:rPr>
      </w:pPr>
      <w:r>
        <w:rPr>
          <w:rFonts w:hint="eastAsia" w:ascii="仿宋" w:hAnsi="仿宋" w:eastAsia="仿宋" w:cs="仿宋"/>
          <w:b/>
          <w:sz w:val="24"/>
          <w:highlight w:val="none"/>
        </w:rPr>
        <w:t>3.投标报价</w:t>
      </w:r>
    </w:p>
    <w:p>
      <w:pPr>
        <w:pStyle w:val="17"/>
        <w:spacing w:line="284" w:lineRule="auto"/>
        <w:jc w:val="left"/>
        <w:rPr>
          <w:rFonts w:ascii="仿宋" w:hAnsi="仿宋" w:eastAsia="仿宋" w:cs="仿宋"/>
          <w:sz w:val="24"/>
          <w:highlight w:val="none"/>
        </w:rPr>
      </w:pPr>
      <w:r>
        <w:rPr>
          <w:rFonts w:hint="eastAsia" w:ascii="仿宋" w:hAnsi="仿宋" w:eastAsia="仿宋" w:cs="仿宋"/>
          <w:sz w:val="24"/>
          <w:highlight w:val="none"/>
        </w:rPr>
        <w:t>3.1投标人应按招标文件中《开标一览表》等附表要求填写。</w:t>
      </w:r>
    </w:p>
    <w:p>
      <w:pPr>
        <w:pStyle w:val="17"/>
        <w:spacing w:line="284" w:lineRule="auto"/>
        <w:jc w:val="left"/>
        <w:rPr>
          <w:rFonts w:ascii="仿宋" w:hAnsi="仿宋" w:eastAsia="仿宋" w:cs="仿宋"/>
          <w:sz w:val="24"/>
          <w:highlight w:val="none"/>
        </w:rPr>
      </w:pPr>
      <w:r>
        <w:rPr>
          <w:rFonts w:hint="eastAsia" w:ascii="仿宋" w:hAnsi="仿宋" w:eastAsia="仿宋" w:cs="仿宋"/>
          <w:sz w:val="24"/>
          <w:highlight w:val="none"/>
        </w:rPr>
        <w:t>3.2报价为购买货物或服务需缴纳的所有税费及其他包括知识产权在内的一切相关费用。</w:t>
      </w:r>
    </w:p>
    <w:p>
      <w:pPr>
        <w:pStyle w:val="17"/>
        <w:spacing w:line="284" w:lineRule="auto"/>
        <w:jc w:val="left"/>
        <w:rPr>
          <w:rFonts w:ascii="仿宋" w:hAnsi="仿宋" w:eastAsia="仿宋" w:cs="仿宋"/>
          <w:sz w:val="24"/>
          <w:highlight w:val="none"/>
        </w:rPr>
      </w:pPr>
      <w:r>
        <w:rPr>
          <w:rFonts w:hint="eastAsia" w:ascii="仿宋" w:hAnsi="仿宋" w:eastAsia="仿宋" w:cs="仿宋"/>
          <w:sz w:val="24"/>
          <w:highlight w:val="none"/>
        </w:rPr>
        <w:t>3.3招标文件未列明，而投标人认为必需的费用也需列入报价。</w:t>
      </w:r>
    </w:p>
    <w:p>
      <w:pPr>
        <w:pStyle w:val="17"/>
        <w:spacing w:line="284" w:lineRule="auto"/>
        <w:jc w:val="left"/>
        <w:rPr>
          <w:rFonts w:ascii="仿宋" w:hAnsi="仿宋" w:eastAsia="仿宋" w:cs="仿宋"/>
          <w:sz w:val="24"/>
          <w:highlight w:val="none"/>
        </w:rPr>
      </w:pPr>
      <w:r>
        <w:rPr>
          <w:rFonts w:hint="eastAsia" w:ascii="仿宋" w:hAnsi="仿宋" w:eastAsia="仿宋" w:cs="仿宋"/>
          <w:sz w:val="24"/>
          <w:highlight w:val="none"/>
        </w:rPr>
        <w:t>3.4对于可能有配件、耗材、选件和特殊工具的服务，还应填报投标设备配件、耗材、选件表和备件及特殊工具清单，注明品牌、型号、产地、功能、单价、批量折扣等内容，该表格的格式由投标人自行设计。</w:t>
      </w:r>
    </w:p>
    <w:p>
      <w:pPr>
        <w:tabs>
          <w:tab w:val="left" w:pos="525"/>
        </w:tabs>
        <w:spacing w:line="284" w:lineRule="auto"/>
        <w:jc w:val="left"/>
        <w:rPr>
          <w:rFonts w:ascii="仿宋" w:hAnsi="仿宋" w:eastAsia="仿宋" w:cs="仿宋"/>
          <w:sz w:val="24"/>
          <w:highlight w:val="none"/>
        </w:rPr>
      </w:pPr>
      <w:r>
        <w:rPr>
          <w:rFonts w:hint="eastAsia" w:ascii="仿宋" w:hAnsi="仿宋" w:eastAsia="仿宋" w:cs="仿宋"/>
          <w:sz w:val="24"/>
          <w:highlight w:val="none"/>
        </w:rPr>
        <w:t>3.5</w:t>
      </w:r>
      <w:r>
        <w:rPr>
          <w:rFonts w:hint="eastAsia" w:ascii="仿宋" w:hAnsi="仿宋" w:eastAsia="仿宋" w:cs="仿宋"/>
          <w:b/>
          <w:i/>
          <w:sz w:val="24"/>
          <w:highlight w:val="none"/>
        </w:rPr>
        <w:t>投标报价只允许有一个报价，有选择的报价将不予接受（除指定外）。</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
          <w:sz w:val="24"/>
          <w:highlight w:val="none"/>
        </w:rPr>
        <w:t>4.投标文件的有效期</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4.1投标有效期为从提交投标文件的截止之日起90天。</w:t>
      </w:r>
      <w:r>
        <w:rPr>
          <w:rFonts w:hint="eastAsia" w:ascii="仿宋" w:hAnsi="仿宋" w:eastAsia="仿宋" w:cs="仿宋"/>
          <w:b/>
          <w:sz w:val="24"/>
          <w:highlight w:val="none"/>
        </w:rPr>
        <w:t>投标人的投标文件中承诺的投标有效期少于招标文件中载明的投标有效期的，投标无效。</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4.2在特殊情况下，招标人可与投标人协商延长投标书的有效期，这种要求和答复均以书面形式进行。</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Cs/>
          <w:sz w:val="24"/>
          <w:highlight w:val="none"/>
        </w:rPr>
        <w:t>4.3投标人可拒绝接受延期要求而不会导致投标保证金被没收。同意延长有效期的投标人不能修改投标文件。</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
          <w:sz w:val="24"/>
          <w:highlight w:val="none"/>
        </w:rPr>
        <w:t>5.投标文件的规定</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Cs/>
          <w:sz w:val="24"/>
          <w:highlight w:val="none"/>
        </w:rPr>
        <w:t>5.1投标文件由“商务技术（资信）文件资料”、“报价文件资料”两部分文件组成，应按统一格式填写。</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Cs/>
          <w:sz w:val="24"/>
          <w:highlight w:val="none"/>
        </w:rPr>
        <w:t>5.2投标文件须按附件格式要求进行电子签章，投标人应写全称。</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Cs/>
          <w:sz w:val="24"/>
          <w:highlight w:val="none"/>
        </w:rPr>
        <w:t>5.4投标文件不得涂改，若有修改错漏处，须加盖单位公章或者法定代表人或其授权代表签字或盖章。</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Cs/>
          <w:sz w:val="24"/>
          <w:highlight w:val="none"/>
        </w:rPr>
        <w:t>5.5投标文件因字迹潦草或表达不清所引起的后果由投标人负责。</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Cs/>
          <w:sz w:val="24"/>
          <w:highlight w:val="none"/>
        </w:rPr>
        <w:t>5.6投标人应认真阅读招标文件中所有的内容。如果投标人编制的投标文件实质上不响应招标文件的要求，其投标文件将被招标人拒绝。</w:t>
      </w:r>
    </w:p>
    <w:p>
      <w:pPr>
        <w:pStyle w:val="11"/>
        <w:numPr>
          <w:ilvl w:val="0"/>
          <w:numId w:val="0"/>
        </w:numPr>
        <w:adjustRightInd/>
        <w:spacing w:line="284" w:lineRule="auto"/>
        <w:rPr>
          <w:rFonts w:ascii="仿宋" w:hAnsi="仿宋" w:eastAsia="仿宋" w:cs="仿宋"/>
          <w:bCs/>
          <w:sz w:val="24"/>
          <w:highlight w:val="none"/>
        </w:rPr>
      </w:pPr>
      <w:r>
        <w:rPr>
          <w:rFonts w:hint="eastAsia" w:ascii="仿宋" w:hAnsi="仿宋" w:eastAsia="仿宋" w:cs="仿宋"/>
          <w:b/>
          <w:sz w:val="24"/>
          <w:highlight w:val="none"/>
        </w:rPr>
        <w:t>5.7电子投标文件部分：投标人应根据“政采云供应商项目采购-电子招投标操作指南”及本招标文件规定的格式和顺序编制电子投标文件并进行关联定位。</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
          <w:sz w:val="24"/>
          <w:highlight w:val="none"/>
        </w:rPr>
        <w:t>6.投标文件的提交</w:t>
      </w:r>
    </w:p>
    <w:p>
      <w:pPr>
        <w:pStyle w:val="11"/>
        <w:numPr>
          <w:ilvl w:val="0"/>
          <w:numId w:val="0"/>
        </w:numPr>
        <w:adjustRightInd/>
        <w:spacing w:line="284"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投标人应按“招标公告”规定的时间、方式将投标文件提交给采购代理机构，采购代理机构将拒绝接受逾期提交的投标文件。</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
          <w:sz w:val="24"/>
          <w:highlight w:val="none"/>
        </w:rPr>
        <w:t>7.投标文件的补充和修改</w:t>
      </w:r>
    </w:p>
    <w:p>
      <w:pPr>
        <w:pStyle w:val="11"/>
        <w:numPr>
          <w:ilvl w:val="0"/>
          <w:numId w:val="0"/>
        </w:numPr>
        <w:adjustRightInd/>
        <w:spacing w:line="284"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napToGrid w:val="0"/>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四、开标和评标</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1．电子招投标开标及评审程序</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1.1投标截止时间后，主持人宣布开标会开始。</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1.2投标人登录政采云平台，用“项目采购-开标评标”功能对电子投标文件进行在线解密。在线解密电子投标文件时间为开标时间起30分钟内。</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1.3评标委员会对资格和商务技术响应文件进行评审。</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1.4主持人宣布商务技术得分及无效（废）投标情形（如有），公布经商务技术（资信）评审符合招标文件要求的投标人名单及其商务技术得分。</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1.5启封报价文件资料，主持人宣读投标人名称、投标价格和投标文件的其他内容。未宣读的投标报价和招标文件未允许提供的备选投标方案等实质性内容，评标时不予承认。</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1.6评标委员会对投标文件报价文件资料进行评审，核准投标报价及计算价格分，汇总商务技术分、价格分，根据得分排序确定中标候选人。</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1.7主持人公布评标结果。</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特别说明：政采云公司如对电子化开标及评审程序有调整的，按调整后的程序操作。</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2.采购过程中出现以下情形，导致电子交易平台无法正常运行，或者无法保证电子交易的公平、公正和安全时，采购组织机构可中止电子交易活动：</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 xml:space="preserve">2.1电子交易平台发生故障而无法登录访问的； </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2.2电子交易平台应用或数据库出现错误，不能进行正常操作的；</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2.3电子交易平台发现严重安全漏洞，有潜在泄密危险的；</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 xml:space="preserve">2.4病毒发作导致不能进行正常操作的； </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2.5其他无法保证电子交易的公平、公正和安全的情况。</w:t>
      </w:r>
    </w:p>
    <w:p>
      <w:pPr>
        <w:adjustRightInd/>
        <w:snapToGrid w:val="0"/>
        <w:spacing w:line="288" w:lineRule="auto"/>
        <w:jc w:val="left"/>
        <w:rPr>
          <w:rFonts w:ascii="仿宋" w:hAnsi="仿宋" w:eastAsia="仿宋" w:cs="仿宋"/>
          <w:b/>
          <w:sz w:val="24"/>
          <w:highlight w:val="none"/>
        </w:rPr>
      </w:pPr>
      <w:r>
        <w:rPr>
          <w:rFonts w:hint="eastAsia" w:ascii="仿宋" w:hAnsi="仿宋" w:eastAsia="仿宋" w:cs="仿宋"/>
          <w:sz w:val="24"/>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snapToGrid w:val="0"/>
        <w:spacing w:line="288" w:lineRule="auto"/>
        <w:jc w:val="left"/>
        <w:rPr>
          <w:rFonts w:ascii="仿宋" w:hAnsi="仿宋" w:eastAsia="仿宋" w:cs="仿宋"/>
          <w:b/>
          <w:bCs/>
          <w:sz w:val="24"/>
          <w:highlight w:val="none"/>
        </w:rPr>
      </w:pPr>
      <w:r>
        <w:rPr>
          <w:rFonts w:hint="eastAsia" w:ascii="仿宋" w:hAnsi="仿宋" w:eastAsia="仿宋" w:cs="仿宋"/>
          <w:b/>
          <w:bCs/>
          <w:sz w:val="24"/>
          <w:highlight w:val="none"/>
        </w:rPr>
        <w:t>3.评标</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3.1评标委员会由招标采购单位依法组建，负责评标活动。评标委员会遵循公开、公平、公正、科学合理、竞争择优的原则。</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3.2评标委员会由采购人代表和有关方面的专家组成，成员人数为五人以上单数。</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3.3评标委员会负责对投标人资格的最终审定。</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3.4评标委员会可以要求投标人对其投标文件中含义不明确的内容作必要的澄清或者说明，但澄清或者说明不得超过投标文件的范围或者改变投标文件的实质性内容。</w:t>
      </w:r>
    </w:p>
    <w:p>
      <w:pPr>
        <w:snapToGrid w:val="0"/>
        <w:spacing w:line="288"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pPr>
        <w:snapToGrid w:val="0"/>
        <w:spacing w:line="288"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供应商通过政采云平台交换的数据电文必须进行电子签章。</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3.5评标委员会对投标文件的判定，只依据投标文件和招标文件内容本身，不依据任何外来证明。</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3.6评标委员会不向落标方解释落标的原因。</w:t>
      </w:r>
    </w:p>
    <w:p>
      <w:pPr>
        <w:snapToGrid w:val="0"/>
        <w:spacing w:line="288" w:lineRule="auto"/>
        <w:jc w:val="left"/>
        <w:rPr>
          <w:rFonts w:ascii="仿宋" w:hAnsi="仿宋" w:eastAsia="仿宋" w:cs="仿宋"/>
          <w:b/>
          <w:bCs/>
          <w:sz w:val="24"/>
          <w:highlight w:val="none"/>
        </w:rPr>
      </w:pPr>
      <w:r>
        <w:rPr>
          <w:rFonts w:hint="eastAsia" w:ascii="仿宋" w:hAnsi="仿宋" w:eastAsia="仿宋" w:cs="仿宋"/>
          <w:b/>
          <w:bCs/>
          <w:sz w:val="24"/>
          <w:highlight w:val="none"/>
        </w:rPr>
        <w:t>4.投标文件的初审鉴定</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4.1资格性审查</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4.1.1依据法律、法规和招标文件规定，评标委员会对投标人进行资格审查，以确定投标人是否具备投标资格。</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4.2符合性审查</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4.3如果投标文件实质不响应招标文件的各项要求，评标委员会将予以拒绝，并且不允许投标人通过修改或撤销其不符合要求的差异或保留，使之成为具有实质性响应的投标。</w:t>
      </w:r>
    </w:p>
    <w:p>
      <w:pPr>
        <w:snapToGrid w:val="0"/>
        <w:spacing w:line="288" w:lineRule="auto"/>
        <w:jc w:val="left"/>
        <w:rPr>
          <w:rFonts w:ascii="仿宋" w:hAnsi="仿宋" w:eastAsia="仿宋" w:cs="仿宋"/>
          <w:sz w:val="24"/>
          <w:highlight w:val="none"/>
        </w:rPr>
      </w:pPr>
      <w:r>
        <w:rPr>
          <w:rFonts w:hint="eastAsia" w:ascii="仿宋" w:hAnsi="仿宋" w:eastAsia="仿宋" w:cs="仿宋"/>
          <w:b/>
          <w:bCs/>
          <w:sz w:val="24"/>
          <w:highlight w:val="none"/>
        </w:rPr>
        <w:t>5.投标文件报价出现前后不一致的，按照下列规定修正：</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5.1投标文件中开标一览表（报价表）内容与投标文件中相应内容不一致的，以开标一览表（报价表）为准；</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5.2大写金额和小写金额不一致的，以大写金额为准；</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5.3单价金额小数点或者百分比有明显错位的，以开标一览表的总价为准，并修改单价；</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5.4总价金额与按单价汇总金额不一致的，以单价金额计算结果为准。</w:t>
      </w:r>
    </w:p>
    <w:p>
      <w:pPr>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napToGrid w:val="0"/>
        <w:spacing w:line="288" w:lineRule="auto"/>
        <w:jc w:val="left"/>
        <w:rPr>
          <w:rFonts w:ascii="仿宋" w:hAnsi="仿宋" w:eastAsia="仿宋" w:cs="仿宋"/>
          <w:b/>
          <w:bCs/>
          <w:sz w:val="24"/>
          <w:highlight w:val="none"/>
        </w:rPr>
      </w:pPr>
      <w:r>
        <w:rPr>
          <w:rFonts w:hint="eastAsia" w:ascii="仿宋" w:hAnsi="仿宋" w:eastAsia="仿宋" w:cs="仿宋"/>
          <w:b/>
          <w:bCs/>
          <w:sz w:val="24"/>
          <w:highlight w:val="none"/>
        </w:rPr>
        <w:t>6.投标文件的评审、比较和否决</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6.1评标委员会将对在实质上响应招标文件要求的投标文件进行评估和比较。</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6.2在评审过程中，评标委员会可以要求投标人就投标文件含义不明确的内容通过政采云平台进行书面说明并提供相关材料，但不得超过投标文件的范围或者改变投标文件的实质性内容。</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6.3在评标过程中，如发现与招标文件要求相偏离的，评标委员会可对其偏离情形进行必要的核实。</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6.4在评审过程中，如属于实质性偏离或符合无效响应条件的，应当询问相关投标人，并可对其通过政采云平台进行线上确认，但不允许对偏离条款进行补充、修正或撤回。</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6.5比较与评价。评标委员会应当按照评标标准，对符合性审查合格的投标文件进行商务和技术评估，综合比较与评价。</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6.6汇总（商务技术得分情况）。评标委员会各成员应当独立对每个投标人的商务技术（资信）文件进行评价，并汇总商务技术得分情况。</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6.7 报价审核。对符合采购需求且通过商务技术（资信）评审的投标人的报价的合理性、准确性等进行审查核实。</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6.7.2根据财政部发布的《政府采购促进中小企业发展暂行办法》规定，对于非专门面向中小企业的项目，对小型和微型企业产品的价格给予一定的扣除，用扣除后的价格参与评审。</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6.7.3如需投标价格修正，按财政部87号令第五十九条的规定对投标价格进行修正。</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6.8评标委员会依据招标文件规定的评标标准和方法，对投标文件进行评审和比较后，向</w:t>
      </w:r>
      <w:r>
        <w:rPr>
          <w:rFonts w:hint="eastAsia" w:ascii="仿宋" w:hAnsi="仿宋" w:eastAsia="仿宋" w:cs="仿宋"/>
          <w:sz w:val="24"/>
          <w:highlight w:val="none"/>
          <w:u w:val="single"/>
        </w:rPr>
        <w:t>浙江明业项目管理有限公司</w:t>
      </w:r>
      <w:r>
        <w:rPr>
          <w:rFonts w:hint="eastAsia" w:ascii="仿宋" w:hAnsi="仿宋" w:eastAsia="仿宋" w:cs="仿宋"/>
          <w:sz w:val="24"/>
          <w:highlight w:val="none"/>
        </w:rPr>
        <w:t>提供书面评标报告，并按得分高低排序推荐中标候选供应商。</w:t>
      </w:r>
    </w:p>
    <w:p>
      <w:pPr>
        <w:snapToGrid w:val="0"/>
        <w:spacing w:line="288" w:lineRule="auto"/>
        <w:jc w:val="left"/>
        <w:rPr>
          <w:rFonts w:ascii="仿宋" w:hAnsi="仿宋" w:eastAsia="仿宋" w:cs="仿宋"/>
          <w:b/>
          <w:bCs/>
          <w:sz w:val="24"/>
          <w:highlight w:val="none"/>
        </w:rPr>
      </w:pPr>
      <w:r>
        <w:rPr>
          <w:rFonts w:hint="eastAsia" w:ascii="仿宋" w:hAnsi="仿宋" w:eastAsia="仿宋" w:cs="仿宋"/>
          <w:b/>
          <w:bCs/>
          <w:sz w:val="24"/>
          <w:highlight w:val="none"/>
        </w:rPr>
        <w:t>7.投标文件的澄清</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对投标文件中含义不明、表述不一致或有明显计算错误等内容，评标委员会将对投标人进行询标，并可要求投标人作澄清，作为投标文件的补充部分，但澄清的内容不得改变投标文件的实质性内容。</w:t>
      </w:r>
    </w:p>
    <w:p>
      <w:pPr>
        <w:pStyle w:val="17"/>
        <w:snapToGrid w:val="0"/>
        <w:spacing w:line="288"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8.无效投标的情形</w:t>
      </w:r>
    </w:p>
    <w:p>
      <w:pPr>
        <w:tabs>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投标文件有下列情形之一的作无效投标处理：</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8.1未按照招标文件规定要求签署、盖章的；</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8.2单位负责人为同一人或者存在直接控股、管理关系的不同供应商参加同一合同项下的政府采购活动的（均无效）；</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 xml:space="preserve">8.3为采购项目提供整体设计、规范编制或者项目管理、监理、检测等服务的供应商参加该采购项目的其他采购活动的； </w:t>
      </w:r>
    </w:p>
    <w:p>
      <w:pPr>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8.4投标人不具备招标文件中规定的资格要求的（投标人未提供有效的资格证明文件的，视为投标人不具备招标文件中规定的资格要求）；</w:t>
      </w:r>
    </w:p>
    <w:p>
      <w:pPr>
        <w:snapToGrid w:val="0"/>
        <w:spacing w:line="288" w:lineRule="auto"/>
        <w:jc w:val="left"/>
        <w:rPr>
          <w:rFonts w:ascii="仿宋" w:hAnsi="仿宋" w:eastAsia="仿宋" w:cs="仿宋"/>
          <w:b/>
          <w:kern w:val="0"/>
          <w:sz w:val="24"/>
          <w:highlight w:val="none"/>
        </w:rPr>
      </w:pPr>
      <w:r>
        <w:rPr>
          <w:rFonts w:hint="eastAsia" w:ascii="仿宋" w:hAnsi="仿宋" w:eastAsia="仿宋" w:cs="仿宋"/>
          <w:b/>
          <w:kern w:val="0"/>
          <w:sz w:val="24"/>
          <w:highlight w:val="none"/>
        </w:rPr>
        <w:t>8.5《法定代表人授权委托书》或《法定代表人身份证明书》填写不全、错误、未加盖公章(《法定代表人授权委托书》要求“公章”和“签字或盖章”缺一不可）的；</w:t>
      </w:r>
    </w:p>
    <w:p>
      <w:pPr>
        <w:snapToGrid w:val="0"/>
        <w:spacing w:line="288" w:lineRule="auto"/>
        <w:jc w:val="left"/>
        <w:rPr>
          <w:rFonts w:ascii="仿宋" w:hAnsi="仿宋" w:eastAsia="仿宋" w:cs="仿宋"/>
          <w:b/>
          <w:kern w:val="0"/>
          <w:sz w:val="24"/>
          <w:highlight w:val="none"/>
        </w:rPr>
      </w:pPr>
      <w:r>
        <w:rPr>
          <w:rFonts w:hint="eastAsia" w:ascii="仿宋" w:hAnsi="仿宋" w:eastAsia="仿宋" w:cs="仿宋"/>
          <w:b/>
          <w:kern w:val="0"/>
          <w:sz w:val="24"/>
          <w:highlight w:val="none"/>
        </w:rPr>
        <w:t>8.6授权代表非投标单位正式职工的（以社保证明为准，如授权代表为离退休返聘人员的，需提供退休证明及单位聘用证明）；</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8.7投标文件中的投标函未加盖投标人的企业公章或填写不全的；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kern w:val="0"/>
          <w:sz w:val="24"/>
          <w:highlight w:val="none"/>
        </w:rPr>
      </w:pPr>
      <w:r>
        <w:rPr>
          <w:rFonts w:hint="eastAsia" w:ascii="仿宋" w:hAnsi="仿宋" w:eastAsia="仿宋" w:cs="仿宋"/>
          <w:b/>
          <w:kern w:val="0"/>
          <w:sz w:val="24"/>
          <w:highlight w:val="none"/>
        </w:rPr>
        <w:t>8.8报</w:t>
      </w:r>
      <w:r>
        <w:rPr>
          <w:rFonts w:hint="eastAsia" w:ascii="仿宋" w:hAnsi="仿宋" w:eastAsia="仿宋" w:cs="仿宋"/>
          <w:b/>
          <w:sz w:val="24"/>
          <w:highlight w:val="none"/>
        </w:rPr>
        <w:t>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kern w:val="0"/>
          <w:sz w:val="24"/>
          <w:highlight w:val="none"/>
        </w:rPr>
        <w:t>8.9</w:t>
      </w:r>
      <w:r>
        <w:rPr>
          <w:rFonts w:hint="eastAsia" w:ascii="仿宋" w:hAnsi="仿宋" w:eastAsia="仿宋" w:cs="仿宋"/>
          <w:b/>
          <w:sz w:val="24"/>
          <w:highlight w:val="none"/>
        </w:rPr>
        <w:t>未按招标文件规定的格式填写，或对招标服务或技术或产品等要求未详细应答或应答内容不全、有缺失的,经评标委员会认定为无法评审的；</w:t>
      </w:r>
    </w:p>
    <w:p>
      <w:pPr>
        <w:pStyle w:val="17"/>
        <w:snapToGrid w:val="0"/>
        <w:spacing w:line="288"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8.10出现同一标的物或本次招标产品(服务)内的主要产品(重要组成部分)出现商务技术（资信）文件资料、报价文件资料描述不一致或前后描述不一致，经评标委员会认定后为无法评审的；</w:t>
      </w:r>
    </w:p>
    <w:p>
      <w:pPr>
        <w:pStyle w:val="17"/>
        <w:snapToGrid w:val="0"/>
        <w:spacing w:line="288"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8.11《技术偏离说明表》不真实填写或弄虚作假的；</w:t>
      </w:r>
    </w:p>
    <w:p>
      <w:pPr>
        <w:tabs>
          <w:tab w:val="left" w:pos="3870"/>
          <w:tab w:val="left" w:pos="4085"/>
        </w:tabs>
        <w:snapToGrid w:val="0"/>
        <w:spacing w:line="288" w:lineRule="auto"/>
        <w:jc w:val="left"/>
        <w:rPr>
          <w:rFonts w:ascii="仿宋" w:hAnsi="仿宋" w:eastAsia="仿宋" w:cs="仿宋"/>
          <w:b/>
          <w:kern w:val="0"/>
          <w:sz w:val="24"/>
          <w:highlight w:val="none"/>
        </w:rPr>
      </w:pPr>
      <w:r>
        <w:rPr>
          <w:rFonts w:hint="eastAsia" w:ascii="仿宋" w:hAnsi="仿宋" w:eastAsia="仿宋" w:cs="仿宋"/>
          <w:b/>
          <w:sz w:val="24"/>
          <w:highlight w:val="none"/>
        </w:rPr>
        <w:t>8.12投</w:t>
      </w:r>
      <w:r>
        <w:rPr>
          <w:rFonts w:hint="eastAsia" w:ascii="仿宋" w:hAnsi="仿宋" w:eastAsia="仿宋" w:cs="仿宋"/>
          <w:b/>
          <w:kern w:val="0"/>
          <w:sz w:val="24"/>
          <w:highlight w:val="none"/>
        </w:rPr>
        <w:t>标文件含有采购人不能接受的附加条件；</w:t>
      </w:r>
    </w:p>
    <w:p>
      <w:pPr>
        <w:tabs>
          <w:tab w:val="left" w:pos="3870"/>
          <w:tab w:val="left" w:pos="4085"/>
        </w:tabs>
        <w:snapToGrid w:val="0"/>
        <w:spacing w:line="288" w:lineRule="auto"/>
        <w:jc w:val="left"/>
        <w:rPr>
          <w:rFonts w:ascii="仿宋" w:hAnsi="仿宋" w:eastAsia="仿宋" w:cs="仿宋"/>
          <w:b/>
          <w:kern w:val="0"/>
          <w:sz w:val="24"/>
          <w:highlight w:val="none"/>
        </w:rPr>
      </w:pPr>
      <w:r>
        <w:rPr>
          <w:rFonts w:hint="eastAsia" w:ascii="仿宋" w:hAnsi="仿宋" w:eastAsia="仿宋" w:cs="仿宋"/>
          <w:b/>
          <w:kern w:val="0"/>
          <w:sz w:val="24"/>
          <w:highlight w:val="none"/>
        </w:rPr>
        <w:t>8.13评</w:t>
      </w:r>
      <w:r>
        <w:rPr>
          <w:rFonts w:hint="eastAsia" w:ascii="仿宋" w:hAnsi="仿宋" w:eastAsia="仿宋" w:cs="仿宋"/>
          <w:b/>
          <w:sz w:val="24"/>
          <w:highlight w:val="none"/>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8.14报价超过招标文件中规定的预算金额或最高限价的；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8.15投标文件“商务技术（资信）文件资料”部分中出现《开标一览表》相关内容的；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8.16采购人拟采购的产品属于政府强制采购的节能产品品目清单范围的，投标人未按招标文件要求提供国家确定的认证机构出具的、处于有效期之内的节能产品认证证书的；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8.17《开标一览表》填写不完整或字迹不能辨认或有漏项的，经评标委员会认定属于重大偏差的；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8.18投标人对根据修正原则修正后的报价不确认的；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8.19投标人提供虚假材料投标的（包括但不限于以下情节）；</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8.19.1使用伪造、变造的许可证件；8.19.2提供虚假的财务状况或者业绩；8.19.3提供虚假的项目负责人或者主要技术人员简历、劳动关系证明；8.19.4提供虚假的信用状况；</w:t>
      </w:r>
    </w:p>
    <w:p>
      <w:pPr>
        <w:tabs>
          <w:tab w:val="left" w:pos="3870"/>
          <w:tab w:val="left" w:pos="4085"/>
        </w:tabs>
        <w:snapToGrid w:val="0"/>
        <w:spacing w:line="288" w:lineRule="auto"/>
        <w:ind w:firstLine="480"/>
        <w:jc w:val="left"/>
        <w:rPr>
          <w:rFonts w:ascii="仿宋" w:hAnsi="仿宋" w:eastAsia="仿宋" w:cs="仿宋"/>
          <w:sz w:val="24"/>
          <w:highlight w:val="none"/>
        </w:rPr>
      </w:pPr>
      <w:r>
        <w:rPr>
          <w:rFonts w:hint="eastAsia" w:ascii="仿宋" w:hAnsi="仿宋" w:eastAsia="仿宋" w:cs="仿宋"/>
          <w:sz w:val="24"/>
          <w:highlight w:val="none"/>
        </w:rPr>
        <w:t>8.19.5其他弄虚作假的行为。</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8.20下列情形之一的，视为投标人串通投标，其投标无效：</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8.20.1不同投标人的投标文件由同一单位或者个人编制；</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8.20.2不同投标人委托同一单位或者个人办理投标事宜；</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8.20.3不同投标人的投标文件载明的项目管理成员或者联系人员为同一人；</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8.20.4不同投标人的投标文件异常一致或者投标报价呈规律性差异；</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8.20.5不同投标人的投标文件相互混装；</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8.20.6有二份及二份以上投标文件的相互之间有特别相同或相似之处，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8.21有下列情形之一的，属于恶意串通，其投标无效：</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8.21.1供应商直接或者间接从采购人或者采购代理机构处获得其他供应商的相关情况并修改其投标文件或者响应文件；</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8.21.2供应商按照采购人或者采购代理机构的授意撤换、修改投标文件或者响应文件；</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8.23.3供应商之间协商报价、技术方案等投标文件或者响应文件的实质性内容；</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8.21.4属于同一集团、协会、商会等组织成员的供应商按照该组织要求协同参加政府采购活动；</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8.21.5供应商之间事先约定由某一特定供应商中标、成交；</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8.21.6供应商之间商定部分供应商放弃参加政府采购活动或者放弃中标、成交；</w:t>
      </w:r>
    </w:p>
    <w:p>
      <w:pPr>
        <w:tabs>
          <w:tab w:val="left" w:pos="3870"/>
          <w:tab w:val="left" w:pos="4085"/>
        </w:tabs>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8.21.7供应商与采购人或者采购代理机构之间、供应商相互之间，为谋求特定供应商中标、成交或者排斥其他供应商的其他串通行为。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sz w:val="24"/>
          <w:highlight w:val="none"/>
        </w:rPr>
      </w:pPr>
      <w:r>
        <w:rPr>
          <w:rFonts w:hint="eastAsia" w:ascii="仿宋" w:hAnsi="仿宋" w:eastAsia="仿宋" w:cs="仿宋"/>
          <w:b/>
          <w:sz w:val="24"/>
          <w:highlight w:val="none"/>
        </w:rPr>
        <w:t>8.22评标委员会认定有重大偏差或实质性不响应招标文件要求的；</w:t>
      </w:r>
    </w:p>
    <w:p>
      <w:pPr>
        <w:spacing w:line="288" w:lineRule="auto"/>
        <w:rPr>
          <w:rFonts w:ascii="仿宋" w:hAnsi="仿宋" w:eastAsia="仿宋" w:cs="仿宋"/>
          <w:sz w:val="24"/>
          <w:highlight w:val="none"/>
        </w:rPr>
      </w:pPr>
      <w:r>
        <w:rPr>
          <w:rFonts w:hint="eastAsia" w:ascii="仿宋" w:hAnsi="仿宋" w:eastAsia="仿宋" w:cs="仿宋"/>
          <w:b/>
          <w:sz w:val="24"/>
          <w:highlight w:val="none"/>
        </w:rPr>
        <w:t>8.23其他违反法律、法规的情形。</w:t>
      </w:r>
    </w:p>
    <w:p>
      <w:pPr>
        <w:snapToGrid w:val="0"/>
        <w:spacing w:line="288" w:lineRule="auto"/>
        <w:rPr>
          <w:rFonts w:ascii="仿宋" w:hAnsi="仿宋" w:eastAsia="仿宋" w:cs="仿宋"/>
          <w:b/>
          <w:kern w:val="0"/>
          <w:sz w:val="24"/>
          <w:highlight w:val="none"/>
        </w:rPr>
      </w:pPr>
      <w:r>
        <w:rPr>
          <w:rFonts w:hint="eastAsia" w:ascii="仿宋" w:hAnsi="仿宋" w:eastAsia="仿宋" w:cs="仿宋"/>
          <w:b/>
          <w:kern w:val="0"/>
          <w:sz w:val="24"/>
          <w:highlight w:val="none"/>
        </w:rPr>
        <w:t>9.评标过程保密</w:t>
      </w:r>
    </w:p>
    <w:p>
      <w:pPr>
        <w:snapToGrid w:val="0"/>
        <w:spacing w:line="288" w:lineRule="auto"/>
        <w:rPr>
          <w:rFonts w:ascii="仿宋" w:hAnsi="仿宋" w:eastAsia="仿宋" w:cs="仿宋"/>
          <w:kern w:val="0"/>
          <w:sz w:val="24"/>
          <w:highlight w:val="none"/>
        </w:rPr>
      </w:pPr>
      <w:r>
        <w:rPr>
          <w:rFonts w:hint="eastAsia" w:ascii="仿宋" w:hAnsi="仿宋" w:eastAsia="仿宋" w:cs="仿宋"/>
          <w:kern w:val="0"/>
          <w:sz w:val="24"/>
          <w:highlight w:val="none"/>
        </w:rPr>
        <w:t>9.1</w:t>
      </w:r>
      <w:r>
        <w:rPr>
          <w:rFonts w:hint="eastAsia" w:ascii="仿宋" w:hAnsi="仿宋" w:eastAsia="仿宋" w:cs="仿宋"/>
          <w:sz w:val="24"/>
          <w:highlight w:val="none"/>
        </w:rPr>
        <w:t>评审活动在严格保密的情况下进行。评审过程中凡是与采购响应文件评审和比较、中标成交供应商推荐等评审有关的情况和评审文件的，以及涉及国家秘密和商业秘密等信息，评审委员会成员、采购人和采购代理机构工作人员、相关监督人员等与评审有关的人员应当予以保密。</w:t>
      </w:r>
    </w:p>
    <w:p>
      <w:pPr>
        <w:snapToGrid w:val="0"/>
        <w:spacing w:line="288" w:lineRule="auto"/>
        <w:rPr>
          <w:rFonts w:ascii="仿宋" w:hAnsi="仿宋" w:eastAsia="仿宋" w:cs="仿宋"/>
          <w:kern w:val="0"/>
          <w:sz w:val="24"/>
          <w:highlight w:val="none"/>
        </w:rPr>
      </w:pPr>
      <w:r>
        <w:rPr>
          <w:rFonts w:hint="eastAsia" w:ascii="仿宋" w:hAnsi="仿宋" w:eastAsia="仿宋" w:cs="仿宋"/>
          <w:kern w:val="0"/>
          <w:sz w:val="24"/>
          <w:highlight w:val="none"/>
        </w:rPr>
        <w:t>9.2在评标期间，投标人企图影响招标人或</w:t>
      </w:r>
      <w:r>
        <w:rPr>
          <w:rFonts w:hint="eastAsia" w:ascii="仿宋" w:hAnsi="仿宋" w:eastAsia="仿宋" w:cs="仿宋"/>
          <w:sz w:val="24"/>
          <w:highlight w:val="none"/>
        </w:rPr>
        <w:t>评标委员会</w:t>
      </w:r>
      <w:r>
        <w:rPr>
          <w:rFonts w:hint="eastAsia" w:ascii="仿宋" w:hAnsi="仿宋" w:eastAsia="仿宋" w:cs="仿宋"/>
          <w:kern w:val="0"/>
          <w:sz w:val="24"/>
          <w:highlight w:val="none"/>
        </w:rPr>
        <w:t>的任何活动，都将导致投标被拒绝，并由其承担相应的法律责任。</w:t>
      </w:r>
    </w:p>
    <w:p>
      <w:pPr>
        <w:snapToGrid w:val="0"/>
        <w:spacing w:line="284" w:lineRule="auto"/>
        <w:jc w:val="center"/>
        <w:rPr>
          <w:rFonts w:ascii="仿宋" w:hAnsi="仿宋" w:eastAsia="仿宋" w:cs="仿宋"/>
          <w:b/>
          <w:sz w:val="36"/>
          <w:szCs w:val="36"/>
          <w:highlight w:val="none"/>
        </w:rPr>
      </w:pPr>
      <w:bookmarkStart w:id="3" w:name="_Toc81372776"/>
      <w:bookmarkStart w:id="4" w:name="_Toc84325929"/>
      <w:bookmarkStart w:id="5" w:name="_Toc81372953"/>
      <w:r>
        <w:rPr>
          <w:rFonts w:hint="eastAsia" w:ascii="仿宋" w:hAnsi="仿宋" w:eastAsia="仿宋" w:cs="仿宋"/>
          <w:b/>
          <w:sz w:val="36"/>
          <w:szCs w:val="36"/>
          <w:highlight w:val="none"/>
        </w:rPr>
        <w:t>五、授予合同</w:t>
      </w:r>
    </w:p>
    <w:p>
      <w:pPr>
        <w:pStyle w:val="11"/>
        <w:numPr>
          <w:ilvl w:val="0"/>
          <w:numId w:val="0"/>
        </w:numPr>
        <w:adjustRightInd/>
        <w:spacing w:line="284" w:lineRule="auto"/>
        <w:rPr>
          <w:rFonts w:ascii="仿宋" w:hAnsi="仿宋" w:eastAsia="仿宋" w:cs="仿宋"/>
          <w:b/>
          <w:sz w:val="24"/>
          <w:highlight w:val="none"/>
        </w:rPr>
      </w:pPr>
      <w:r>
        <w:rPr>
          <w:rFonts w:hint="eastAsia" w:ascii="仿宋" w:hAnsi="仿宋" w:eastAsia="仿宋" w:cs="仿宋"/>
          <w:b/>
          <w:sz w:val="24"/>
          <w:highlight w:val="none"/>
        </w:rPr>
        <w:t>1.中标条件</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1.1投标文件基本符合招标文件要求；</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1.2投标人有很好的执行合同的能力；</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1.3实施方案最合理并对招标人最为有利，最大限度满足招标文件的要求；</w:t>
      </w:r>
    </w:p>
    <w:p>
      <w:pPr>
        <w:pStyle w:val="11"/>
        <w:numPr>
          <w:ilvl w:val="0"/>
          <w:numId w:val="0"/>
        </w:numPr>
        <w:adjustRightInd/>
        <w:spacing w:line="284" w:lineRule="auto"/>
        <w:rPr>
          <w:rFonts w:ascii="仿宋" w:hAnsi="仿宋" w:eastAsia="仿宋" w:cs="仿宋"/>
          <w:sz w:val="24"/>
          <w:highlight w:val="none"/>
        </w:rPr>
      </w:pPr>
      <w:r>
        <w:rPr>
          <w:rFonts w:hint="eastAsia" w:ascii="仿宋" w:hAnsi="仿宋" w:eastAsia="仿宋" w:cs="仿宋"/>
          <w:sz w:val="24"/>
          <w:highlight w:val="none"/>
        </w:rPr>
        <w:t>1.4投标人能够提供质量技术、商务经济占综合优势的系统及服务。</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1.5招标人将把中标通知书授予最佳投标者，但最低价不是中标的绝对保证。</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2.中标确认</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2.1采购人应当自收到评标报告之日起５个工作日内，在评标报告确定的中标候选人名单中按顺序确定中标人。</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2.2采购人在收到评标报告5个工作日内未按评标报告推荐的中标候选人顺序确定中标人，视同按评标报告推荐的顺序确定的中标候选人为中标人。</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2.3采购人应在确认中标人前再次对资格条件和相关证件材料进一步查验核实。</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3．中标通知</w:t>
      </w:r>
    </w:p>
    <w:bookmarkEnd w:id="3"/>
    <w:bookmarkEnd w:id="4"/>
    <w:bookmarkEnd w:id="5"/>
    <w:p>
      <w:pPr>
        <w:pStyle w:val="74"/>
        <w:tabs>
          <w:tab w:val="left" w:pos="0"/>
        </w:tabs>
        <w:adjustRightInd/>
        <w:spacing w:before="0" w:line="284" w:lineRule="auto"/>
        <w:ind w:firstLine="0" w:firstLineChars="0"/>
        <w:rPr>
          <w:rFonts w:ascii="仿宋" w:hAnsi="仿宋" w:eastAsia="仿宋" w:cs="仿宋"/>
          <w:szCs w:val="24"/>
          <w:highlight w:val="none"/>
        </w:rPr>
      </w:pPr>
      <w:r>
        <w:rPr>
          <w:rFonts w:hint="eastAsia" w:ascii="仿宋" w:hAnsi="仿宋" w:eastAsia="仿宋" w:cs="仿宋"/>
          <w:szCs w:val="24"/>
          <w:highlight w:val="none"/>
        </w:rPr>
        <w:t>3.1</w:t>
      </w:r>
      <w:r>
        <w:rPr>
          <w:rFonts w:hint="eastAsia" w:ascii="仿宋" w:hAnsi="仿宋" w:eastAsia="仿宋" w:cs="仿宋"/>
          <w:kern w:val="0"/>
          <w:szCs w:val="24"/>
          <w:highlight w:val="none"/>
        </w:rPr>
        <w:t>采购代理机构</w:t>
      </w:r>
      <w:r>
        <w:rPr>
          <w:rFonts w:hint="eastAsia" w:ascii="仿宋" w:hAnsi="仿宋" w:eastAsia="仿宋" w:cs="仿宋"/>
          <w:szCs w:val="24"/>
          <w:highlight w:val="none"/>
        </w:rPr>
        <w:t>对中标结果在指定媒体</w:t>
      </w:r>
      <w:r>
        <w:rPr>
          <w:rFonts w:hint="eastAsia" w:ascii="仿宋" w:hAnsi="仿宋" w:eastAsia="仿宋" w:cs="仿宋"/>
          <w:kern w:val="0"/>
          <w:szCs w:val="24"/>
          <w:highlight w:val="none"/>
        </w:rPr>
        <w:t>（浙江政府采购网</w:t>
      </w:r>
      <w:r>
        <w:rPr>
          <w:highlight w:val="none"/>
        </w:rPr>
        <w:fldChar w:fldCharType="begin"/>
      </w:r>
      <w:r>
        <w:rPr>
          <w:highlight w:val="none"/>
        </w:rPr>
        <w:instrText xml:space="preserve"> HYPERLINK "http://zfcg.czt.zj.gov.cn/" </w:instrText>
      </w:r>
      <w:r>
        <w:rPr>
          <w:highlight w:val="none"/>
        </w:rPr>
        <w:fldChar w:fldCharType="separate"/>
      </w:r>
      <w:r>
        <w:rPr>
          <w:rFonts w:hint="eastAsia" w:ascii="仿宋" w:hAnsi="仿宋" w:eastAsia="仿宋" w:cs="仿宋"/>
          <w:bCs/>
          <w:highlight w:val="none"/>
          <w:u w:val="single"/>
        </w:rPr>
        <w:t>http://zfcg.czt.zj.gov.cn</w:t>
      </w:r>
      <w:r>
        <w:rPr>
          <w:rFonts w:ascii="仿宋" w:hAnsi="仿宋" w:eastAsia="仿宋" w:cs="仿宋"/>
          <w:bCs/>
          <w:highlight w:val="none"/>
          <w:u w:val="single"/>
        </w:rPr>
        <w:fldChar w:fldCharType="end"/>
      </w:r>
      <w:r>
        <w:rPr>
          <w:rFonts w:hint="eastAsia" w:ascii="仿宋" w:hAnsi="仿宋" w:eastAsia="仿宋" w:cs="仿宋"/>
          <w:kern w:val="0"/>
          <w:szCs w:val="24"/>
          <w:highlight w:val="none"/>
        </w:rPr>
        <w:t>、绍兴公共资源交易网</w:t>
      </w:r>
      <w:r>
        <w:rPr>
          <w:highlight w:val="none"/>
        </w:rPr>
        <w:fldChar w:fldCharType="begin"/>
      </w:r>
      <w:r>
        <w:rPr>
          <w:highlight w:val="none"/>
        </w:rPr>
        <w:instrText xml:space="preserve"> HYPERLINK "http://ggb.sx.gov.cn" </w:instrText>
      </w:r>
      <w:r>
        <w:rPr>
          <w:highlight w:val="none"/>
        </w:rPr>
        <w:fldChar w:fldCharType="separate"/>
      </w:r>
      <w:r>
        <w:rPr>
          <w:rStyle w:val="38"/>
          <w:rFonts w:hint="eastAsia" w:ascii="仿宋" w:hAnsi="仿宋" w:eastAsia="仿宋" w:cs="仿宋"/>
          <w:color w:val="auto"/>
          <w:szCs w:val="24"/>
          <w:highlight w:val="none"/>
        </w:rPr>
        <w:t>http://ggb.sx.gov.cn</w:t>
      </w:r>
      <w:r>
        <w:rPr>
          <w:rStyle w:val="38"/>
          <w:rFonts w:ascii="仿宋" w:hAnsi="仿宋" w:eastAsia="仿宋" w:cs="仿宋"/>
          <w:color w:val="auto"/>
          <w:szCs w:val="24"/>
          <w:highlight w:val="none"/>
        </w:rPr>
        <w:fldChar w:fldCharType="end"/>
      </w:r>
      <w:r>
        <w:rPr>
          <w:rFonts w:hint="eastAsia" w:ascii="仿宋" w:hAnsi="仿宋" w:eastAsia="仿宋" w:cs="仿宋"/>
          <w:kern w:val="0"/>
          <w:szCs w:val="24"/>
          <w:highlight w:val="none"/>
        </w:rPr>
        <w:t>）发布中标公告，中标公告期限为1个工作日。</w:t>
      </w:r>
    </w:p>
    <w:p>
      <w:pPr>
        <w:tabs>
          <w:tab w:val="left" w:pos="0"/>
        </w:tabs>
        <w:adjustRightInd/>
        <w:spacing w:line="284" w:lineRule="auto"/>
        <w:rPr>
          <w:rFonts w:ascii="仿宋" w:hAnsi="仿宋" w:eastAsia="仿宋" w:cs="仿宋"/>
          <w:kern w:val="0"/>
          <w:sz w:val="24"/>
          <w:highlight w:val="none"/>
          <w:lang w:val="zh-CN"/>
        </w:rPr>
      </w:pPr>
      <w:r>
        <w:rPr>
          <w:rFonts w:hint="eastAsia" w:ascii="仿宋" w:hAnsi="仿宋" w:eastAsia="仿宋" w:cs="仿宋"/>
          <w:sz w:val="24"/>
          <w:highlight w:val="none"/>
        </w:rPr>
        <w:t>3.2在采购代理机构发出中标通知书前，中标供应商如有违反有关法律法规和本项目要求行为的，则取消该投标人的中标资格</w:t>
      </w:r>
      <w:r>
        <w:rPr>
          <w:rFonts w:hint="eastAsia" w:ascii="仿宋" w:hAnsi="仿宋" w:eastAsia="仿宋" w:cs="仿宋"/>
          <w:kern w:val="0"/>
          <w:sz w:val="24"/>
          <w:highlight w:val="none"/>
          <w:lang w:val="zh-CN"/>
        </w:rPr>
        <w:t>。</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3.3采购代理机构对中标结果不作任何说明和解释，也不回答任何提问。</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4．履约保证金</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4.1采购人在签订合同时，按规定可向中标人收取不高于中标额的1％的履约保证金，采购人不得以供应商事先提交履约保证金作为签订合同的条件。鼓励采购人根据项目特点、供应商诚信等情况免收履约保证金或降低缴纳比例。</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4.2供应商在履行完合同约定事项后，采购人应及时退还履约保证金。</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4.3供应商以银行、保险公司出具保函形式提交履约保证金的，采购人不得拒收。</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5．合同备案</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5.1中标人应当在中标通知书发出之日起30天内与采购人签订合同，自采购合同签订之日起</w:t>
      </w:r>
      <w:r>
        <w:rPr>
          <w:rFonts w:hint="eastAsia" w:ascii="仿宋" w:hAnsi="仿宋" w:eastAsia="仿宋" w:cs="仿宋"/>
          <w:b/>
          <w:sz w:val="24"/>
          <w:highlight w:val="none"/>
        </w:rPr>
        <w:t>3个工作日内</w:t>
      </w:r>
      <w:r>
        <w:rPr>
          <w:rFonts w:hint="eastAsia" w:ascii="仿宋" w:hAnsi="仿宋" w:eastAsia="仿宋" w:cs="仿宋"/>
          <w:sz w:val="24"/>
          <w:highlight w:val="none"/>
        </w:rPr>
        <w:t>，将</w:t>
      </w:r>
      <w:r>
        <w:rPr>
          <w:rFonts w:hint="eastAsia" w:ascii="仿宋" w:hAnsi="仿宋" w:eastAsia="仿宋" w:cs="仿宋"/>
          <w:b/>
          <w:sz w:val="24"/>
          <w:highlight w:val="none"/>
        </w:rPr>
        <w:t>采购合同原件</w:t>
      </w:r>
      <w:r>
        <w:rPr>
          <w:rFonts w:hint="eastAsia" w:ascii="仿宋" w:hAnsi="仿宋" w:eastAsia="仿宋" w:cs="仿宋"/>
          <w:sz w:val="24"/>
          <w:highlight w:val="none"/>
        </w:rPr>
        <w:t>报</w:t>
      </w:r>
      <w:r>
        <w:rPr>
          <w:rFonts w:hint="eastAsia" w:ascii="仿宋" w:hAnsi="仿宋" w:eastAsia="仿宋" w:cs="仿宋"/>
          <w:sz w:val="24"/>
          <w:highlight w:val="none"/>
          <w:u w:val="single"/>
        </w:rPr>
        <w:t>浙江明业项目管理有限公司</w:t>
      </w:r>
      <w:r>
        <w:rPr>
          <w:rFonts w:hint="eastAsia" w:ascii="仿宋" w:hAnsi="仿宋" w:eastAsia="仿宋" w:cs="仿宋"/>
          <w:sz w:val="24"/>
          <w:highlight w:val="none"/>
        </w:rPr>
        <w:t>备案。</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5.2未领取中标通知书，采购双方自行签订的合同不予备案。</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6.验收</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6.2采购人可以邀请参加本项目的其他投标人或者第三方机构参与验收。参与验收的投标人或者第三方机构的意见作为验收书的参考资料一并存档。</w:t>
      </w:r>
    </w:p>
    <w:p>
      <w:pPr>
        <w:adjustRightInd/>
        <w:spacing w:line="284" w:lineRule="auto"/>
        <w:jc w:val="left"/>
        <w:rPr>
          <w:rFonts w:ascii="仿宋" w:hAnsi="仿宋" w:eastAsia="仿宋" w:cs="仿宋"/>
          <w:sz w:val="24"/>
          <w:highlight w:val="none"/>
        </w:rPr>
      </w:pPr>
      <w:r>
        <w:rPr>
          <w:rFonts w:hint="eastAsia" w:ascii="仿宋" w:hAnsi="仿宋" w:eastAsia="仿宋" w:cs="仿宋"/>
          <w:sz w:val="24"/>
          <w:highlight w:val="none"/>
        </w:rPr>
        <w:t>6.3 采购人负责加强对中标人的履约管理，并按照采购合同约定，及时向中标人支付采购资金。对于中标人违反采购合同约定的行为，采购人应当及时处理，依法追究其违约责任。</w:t>
      </w:r>
    </w:p>
    <w:p>
      <w:pPr>
        <w:adjustRightInd/>
        <w:spacing w:line="284" w:lineRule="auto"/>
        <w:jc w:val="left"/>
        <w:rPr>
          <w:rFonts w:ascii="仿宋" w:hAnsi="仿宋" w:eastAsia="仿宋" w:cs="仿宋"/>
          <w:b/>
          <w:sz w:val="24"/>
          <w:highlight w:val="none"/>
        </w:rPr>
      </w:pPr>
      <w:r>
        <w:rPr>
          <w:rFonts w:hint="eastAsia" w:ascii="仿宋" w:hAnsi="仿宋" w:eastAsia="仿宋" w:cs="仿宋"/>
          <w:b/>
          <w:sz w:val="24"/>
          <w:highlight w:val="none"/>
        </w:rPr>
        <w:t>7. 售后服务考核</w:t>
      </w:r>
    </w:p>
    <w:p>
      <w:pPr>
        <w:adjustRightInd/>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采购代理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napToGrid w:val="0"/>
        <w:spacing w:line="284"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六、质疑与投诉</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adjustRightInd/>
        <w:spacing w:line="284" w:lineRule="auto"/>
        <w:ind w:firstLine="472" w:firstLineChars="196"/>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1.供应商询问</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供应商对政府采购活动事项有疑问的，可以向采购代理机构提出询问，采购代理机构将对供应商依法提出的询问作出答复，但答复的内容不得涉及商业秘密。</w:t>
      </w:r>
    </w:p>
    <w:p>
      <w:pPr>
        <w:autoSpaceDE w:val="0"/>
        <w:autoSpaceDN w:val="0"/>
        <w:adjustRightInd/>
        <w:spacing w:line="284" w:lineRule="auto"/>
        <w:ind w:firstLine="472" w:firstLineChars="196"/>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2.供应商质疑</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2.1供应商认为采购文件、采购过程和成交结果使自己的权益受到损害的，可以在知道或者应知其权益受到损害之日起七个工作日内，以书面形式向采购代理机构提出质疑，否则，采购代理机构不予受理：</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（2）对采购过程提出质疑的，质疑期限为各采购程序环节结束之日起计算。</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（3）对采购结果提出质疑的，质疑期限自采购结果公告（包括公示、预公告、结果变更公告等）期限届满之日起计算。</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（4）供应商应在法定质疑期内一次性提出针对同一采购程序环节的质疑。</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3.供应商提交的质疑书需一式三份，质疑书至少应包括下列主要内容：</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（1）质疑人的名称、地址、邮政编码、联系人、联系电话，以及被质疑人名称及联系方式；</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（2）被质疑采购项目名称、编号及采购内容；</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（3）具体、明确的质疑事项和与质疑事项相关的请求</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（4）事实依据；</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（5）必要的法律依据；</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（6）认为自己合法权益受到损害或可能受到损害的相关证据材料；</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（7）提出质疑的日期。</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 质疑书应当署名。质疑人为自然人的，应当由本人签字并附有效身份证明；质疑人为法人或其他组织的，应当由法定代表人或主要负责人签字（或盖章）并加盖单位公章。</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（9） 质疑人因故不能自行办理质疑事项的，可以委托代理人办理质疑事宜，但应当向被质疑人提交授权委托书，并载明委托代理的具体权限和事项。</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（10）质疑人提供的相关材料中有外文资料的，应当将与质疑相关的外文资料完整、客观、真实地翻译为中文，并注明翻译人员姓名、工作单位、联系方式等信息。</w:t>
      </w:r>
    </w:p>
    <w:p>
      <w:pPr>
        <w:pStyle w:val="17"/>
        <w:adjustRightInd/>
        <w:spacing w:line="284"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4.采购代理机构应当在收到供应商的书面质疑后七个工作日内作出答复，并以书面形式通知质疑供应商和其他与质疑处理结果有利害关系的政府采购当事人，但答复的内容不得涉及商业秘密。</w:t>
      </w:r>
    </w:p>
    <w:p>
      <w:pPr>
        <w:adjustRightInd/>
        <w:spacing w:line="284"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5.询问或者质疑事项可能影响采购结果的，采购人应当暂停签订合同，已经签订合同的，应当中止履行合同。</w:t>
      </w:r>
    </w:p>
    <w:p>
      <w:pPr>
        <w:pStyle w:val="17"/>
        <w:adjustRightInd/>
        <w:spacing w:line="288" w:lineRule="auto"/>
        <w:rPr>
          <w:rFonts w:ascii="仿宋" w:hAnsi="仿宋" w:eastAsia="仿宋" w:cs="仿宋"/>
          <w:b/>
          <w:sz w:val="36"/>
          <w:szCs w:val="36"/>
          <w:highlight w:val="none"/>
        </w:rPr>
      </w:pPr>
    </w:p>
    <w:p>
      <w:pPr>
        <w:pStyle w:val="10"/>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360" w:lineRule="auto"/>
        <w:jc w:val="center"/>
        <w:rPr>
          <w:rFonts w:ascii="仿宋" w:hAnsi="仿宋" w:eastAsia="仿宋" w:cs="仿宋"/>
          <w:b/>
          <w:sz w:val="36"/>
          <w:szCs w:val="36"/>
          <w:highlight w:val="none"/>
        </w:rPr>
      </w:pPr>
    </w:p>
    <w:p>
      <w:pPr>
        <w:pStyle w:val="17"/>
        <w:adjustRightInd/>
        <w:spacing w:line="360" w:lineRule="auto"/>
        <w:jc w:val="center"/>
        <w:rPr>
          <w:rFonts w:ascii="仿宋" w:hAnsi="仿宋" w:eastAsia="仿宋" w:cs="仿宋"/>
          <w:b/>
          <w:sz w:val="36"/>
          <w:szCs w:val="36"/>
          <w:highlight w:val="none"/>
        </w:rPr>
      </w:pPr>
    </w:p>
    <w:p>
      <w:pPr>
        <w:rPr>
          <w:highlight w:val="none"/>
        </w:rPr>
      </w:pPr>
    </w:p>
    <w:p>
      <w:pPr>
        <w:pStyle w:val="41"/>
        <w:rPr>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p>
    <w:p>
      <w:pPr>
        <w:pStyle w:val="17"/>
        <w:adjustRightInd/>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第三部分 招标项目范围及要求</w:t>
      </w:r>
    </w:p>
    <w:p>
      <w:pPr>
        <w:spacing w:line="440" w:lineRule="exact"/>
        <w:ind w:right="420"/>
        <w:rPr>
          <w:rFonts w:hint="eastAsia" w:ascii="仿宋_GB2312" w:hAnsi="新宋体" w:eastAsia="仿宋_GB2312" w:cs="Arial"/>
          <w:b/>
          <w:bCs/>
          <w:sz w:val="24"/>
          <w:highlight w:val="none"/>
          <w:lang w:eastAsia="zh-CN"/>
        </w:rPr>
      </w:pPr>
      <w:bookmarkStart w:id="6" w:name="_Toc390868099"/>
      <w:bookmarkStart w:id="7" w:name="_Toc390875516"/>
      <w:bookmarkStart w:id="8" w:name="_Toc505949790"/>
      <w:r>
        <w:rPr>
          <w:rFonts w:hint="eastAsia" w:ascii="仿宋_GB2312" w:hAnsi="新宋体" w:eastAsia="仿宋_GB2312" w:cs="Arial"/>
          <w:b/>
          <w:bCs/>
          <w:sz w:val="24"/>
          <w:highlight w:val="none"/>
          <w:bdr w:val="single" w:color="auto" w:sz="4" w:space="0"/>
        </w:rPr>
        <w:t>01标</w:t>
      </w:r>
      <w:r>
        <w:rPr>
          <w:rFonts w:hint="eastAsia" w:ascii="仿宋_GB2312" w:hAnsi="新宋体" w:eastAsia="仿宋_GB2312" w:cs="Arial"/>
          <w:b/>
          <w:bCs/>
          <w:sz w:val="24"/>
          <w:highlight w:val="none"/>
          <w:lang w:eastAsia="zh-CN"/>
        </w:rPr>
        <w:t>绍兴市越城区综合行政执法局信息指挥中心项目（第二次）</w:t>
      </w:r>
    </w:p>
    <w:p>
      <w:pPr>
        <w:spacing w:line="440" w:lineRule="exact"/>
        <w:ind w:firstLine="590" w:firstLineChars="245"/>
        <w:rPr>
          <w:rFonts w:ascii="仿宋_GB2312" w:hAnsi="仿宋" w:eastAsia="仿宋_GB2312"/>
          <w:b/>
          <w:color w:val="000000" w:themeColor="text1"/>
          <w:sz w:val="24"/>
          <w:highlight w:val="none"/>
          <w14:textFill>
            <w14:solidFill>
              <w14:schemeClr w14:val="tx1"/>
            </w14:solidFill>
          </w14:textFill>
        </w:rPr>
      </w:pPr>
      <w:bookmarkStart w:id="9" w:name="_Toc484763956"/>
      <w:r>
        <w:rPr>
          <w:rFonts w:hint="eastAsia" w:ascii="仿宋_GB2312" w:hAnsi="仿宋" w:eastAsia="仿宋_GB2312"/>
          <w:b/>
          <w:color w:val="000000" w:themeColor="text1"/>
          <w:sz w:val="24"/>
          <w:highlight w:val="none"/>
          <w14:textFill>
            <w14:solidFill>
              <w14:schemeClr w14:val="tx1"/>
            </w14:solidFill>
          </w14:textFill>
        </w:rPr>
        <w:t>一、</w:t>
      </w:r>
      <w:bookmarkEnd w:id="9"/>
      <w:r>
        <w:rPr>
          <w:rFonts w:hint="eastAsia" w:ascii="仿宋_GB2312" w:hAnsi="仿宋" w:eastAsia="仿宋_GB2312"/>
          <w:b/>
          <w:color w:val="000000" w:themeColor="text1"/>
          <w:sz w:val="24"/>
          <w:highlight w:val="none"/>
          <w14:textFill>
            <w14:solidFill>
              <w14:schemeClr w14:val="tx1"/>
            </w14:solidFill>
          </w14:textFill>
        </w:rPr>
        <w:t>项目情况</w:t>
      </w:r>
    </w:p>
    <w:p>
      <w:pPr>
        <w:spacing w:line="440" w:lineRule="exact"/>
        <w:ind w:firstLine="482" w:firstLineChars="200"/>
        <w:rPr>
          <w:rFonts w:ascii="仿宋_GB2312" w:hAnsi="新宋体" w:eastAsia="仿宋_GB2312" w:cs="Arial"/>
          <w:b/>
          <w:bCs/>
          <w:color w:val="000000" w:themeColor="text1"/>
          <w:sz w:val="24"/>
          <w:highlight w:val="none"/>
          <w14:textFill>
            <w14:solidFill>
              <w14:schemeClr w14:val="tx1"/>
            </w14:solidFill>
          </w14:textFill>
        </w:rPr>
      </w:pPr>
      <w:r>
        <w:rPr>
          <w:rFonts w:hint="eastAsia" w:ascii="仿宋_GB2312" w:hAnsi="新宋体" w:eastAsia="仿宋_GB2312" w:cs="Arial"/>
          <w:b/>
          <w:bCs/>
          <w:color w:val="000000" w:themeColor="text1"/>
          <w:sz w:val="24"/>
          <w:highlight w:val="none"/>
          <w14:textFill>
            <w14:solidFill>
              <w14:schemeClr w14:val="tx1"/>
            </w14:solidFill>
          </w14:textFill>
        </w:rPr>
        <w:t>（一）建设背景</w:t>
      </w:r>
    </w:p>
    <w:p>
      <w:pPr>
        <w:snapToGrid w:val="0"/>
        <w:spacing w:line="3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为健全完善全覆盖的整体政府监管体系和全闭环的行政执法体系，加快构建全方位的监管执法协同体系，基本形成权责统一、权威高效“大综合一体化”行政执法新格局，最终实现权力规则化、规则数字化、数字智能化的目标，使整体执法效能全面提升。</w:t>
      </w:r>
    </w:p>
    <w:p>
      <w:pPr>
        <w:snapToGrid w:val="0"/>
        <w:spacing w:line="3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区综合执法局目前没有信息指挥中心用于整体行政执法指挥调度，根据“大综合一体化”行政执法改革对提升整体智能化和信息化及城市管理智能化提升要求，新建信息指挥中心以满足局本级及各中队、单位指挥信息畅通，进一步提升执法效能、管理效率,初步建立监管执法协同体系。</w:t>
      </w:r>
    </w:p>
    <w:p>
      <w:pPr>
        <w:spacing w:line="440" w:lineRule="exact"/>
        <w:ind w:firstLine="482" w:firstLineChars="200"/>
        <w:rPr>
          <w:rFonts w:ascii="仿宋_GB2312" w:hAnsi="仿宋" w:eastAsia="仿宋_GB2312"/>
          <w:color w:val="000000" w:themeColor="text1"/>
          <w:sz w:val="24"/>
          <w:highlight w:val="none"/>
          <w:shd w:val="clear" w:color="auto" w:fill="FFFFFF"/>
          <w14:textFill>
            <w14:solidFill>
              <w14:schemeClr w14:val="tx1"/>
            </w14:solidFill>
          </w14:textFill>
        </w:rPr>
      </w:pPr>
      <w:r>
        <w:rPr>
          <w:rFonts w:hint="eastAsia" w:ascii="仿宋_GB2312" w:hAnsi="新宋体" w:eastAsia="仿宋_GB2312" w:cs="Arial"/>
          <w:b/>
          <w:bCs/>
          <w:color w:val="000000" w:themeColor="text1"/>
          <w:sz w:val="24"/>
          <w:highlight w:val="none"/>
          <w14:textFill>
            <w14:solidFill>
              <w14:schemeClr w14:val="tx1"/>
            </w14:solidFill>
          </w14:textFill>
        </w:rPr>
        <w:t>（三）建设内容</w:t>
      </w:r>
    </w:p>
    <w:p>
      <w:pPr>
        <w:snapToGrid w:val="0"/>
        <w:spacing w:line="3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本次项目主要建设内容为：</w:t>
      </w:r>
    </w:p>
    <w:p>
      <w:pPr>
        <w:spacing w:line="440" w:lineRule="exact"/>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主要建设内容为行政执法态势驾驶舱、融合通信指挥调度系统、指挥大屏系统、网络及安全设备、数字会议系统等。</w:t>
      </w:r>
    </w:p>
    <w:p>
      <w:pPr>
        <w:spacing w:line="440" w:lineRule="exact"/>
        <w:ind w:firstLine="482" w:firstLineChars="200"/>
        <w:rPr>
          <w:highlight w:val="none"/>
        </w:rPr>
      </w:pPr>
      <w:r>
        <w:rPr>
          <w:rFonts w:hint="eastAsia" w:ascii="仿宋_GB2312" w:eastAsia="仿宋_GB2312"/>
          <w:b/>
          <w:color w:val="000000" w:themeColor="text1"/>
          <w:sz w:val="24"/>
          <w:highlight w:val="none"/>
          <w14:textFill>
            <w14:solidFill>
              <w14:schemeClr w14:val="tx1"/>
            </w14:solidFill>
          </w14:textFill>
        </w:rPr>
        <w:t>二、采购内容及要求</w:t>
      </w:r>
    </w:p>
    <w:tbl>
      <w:tblPr>
        <w:tblStyle w:val="31"/>
        <w:tblpPr w:leftFromText="180" w:rightFromText="180" w:vertAnchor="text" w:horzAnchor="page" w:tblpX="1775" w:tblpY="43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948"/>
        <w:gridCol w:w="762"/>
        <w:gridCol w:w="65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序号</w:t>
            </w:r>
          </w:p>
        </w:tc>
        <w:tc>
          <w:tcPr>
            <w:tcW w:w="1143"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设备或材料名称</w:t>
            </w:r>
          </w:p>
        </w:tc>
        <w:tc>
          <w:tcPr>
            <w:tcW w:w="447"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数量</w:t>
            </w:r>
          </w:p>
        </w:tc>
        <w:tc>
          <w:tcPr>
            <w:tcW w:w="385"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单位</w:t>
            </w:r>
          </w:p>
        </w:tc>
        <w:tc>
          <w:tcPr>
            <w:tcW w:w="2642"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1、软件系统</w:t>
            </w:r>
          </w:p>
        </w:tc>
        <w:tc>
          <w:tcPr>
            <w:tcW w:w="447"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385"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2642"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驾驶舱软件</w:t>
            </w:r>
          </w:p>
        </w:tc>
        <w:tc>
          <w:tcPr>
            <w:tcW w:w="447"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385"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2642" w:type="pct"/>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1143" w:type="pct"/>
            <w:vMerge w:val="restar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行政执法态势驾驶舱</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可视化框架建设：基于主体数据整理和业务数据分类，进行可视化框架定制建设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业务主题建设：通过数据汇聚、指数分析、数据下钻等方式，将全域运行态势数据、管理资源直观地展现在大屏上，城市管理者能够通过窗口上一目了然，直观地感知全区行政执法运行状况，为决策提供支撑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3</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数据开发：根据的业务需求，建立标准库，并在标准库的数据资源基础上，进一步融合、整理形成不同的主题数据库，为数据的综合应用和深入分析提供数据支撑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系统对接：外部系统和业务数据源的对接工作。基于标准webservice对核心业务系统和核心数据源进行对接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后台管理：对态势窗口的访问管理进行后台权限控制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电子政务云资源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项</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融合通信指挥调度系统</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4"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5G执法记录仪</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xml:space="preserve">显示屏 </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2.4 英寸 TFT LCD， 240*320， 电容触摸屏,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CPU8核64位处理器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内存 </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4GB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视频输入 主机内置摄像机录像分辨率 1920*1080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视频录像 视频分辨率最高为 1080P/30FPS， 1280× 720/30FPS、 720x576/30FPS 可选；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▲无线传输功能：执法记录仪可通过无线通信方式以文件或流的形式传输数据，设备需内置无线传输模块；（提供封面具有CMA、ilac-MRA、CNAS标志的第三方检测机构的检测报告复印件）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卫星定位功能：执法记录仪可接收卫星数据并提供定位信息，应优先使用北斗卫星导航定位，设备需内置北斗和GPS模块；（提供封面具有CMA、ilac-MRA、CNAS标志的第三方检测机构的检测报告复印件）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▲执法记录可实现人脸比对，执法记录仪设备人脸库不低于十万张（提供封面具有CMA、ilac-MRA、CNAS标志的第三方检测机构的检测报告复印件）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双码流 录像 1080P30，同时网传 1080P30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视频编码格式 H.264/H.265</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照片格式 JPG，主相机</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3000 万像素</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快门 电子快门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红外夜视 自动红外夜视灯开/关，滤光片自动切换</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白平衡 自动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闪光灯 支持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存储介质容量 EMMC， 标配存储芯片容量 64GB（可选 128GB、 256GB）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卫星定位 内置 GPS 和北斗二代组合定位功能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5G 实时传输 全网通，支持国内所有运营商 5G/4G 频段</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WIFI 功能 802.11 b/g/n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5G单兵</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6.4英寸高清全面屏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ARM八核2.0Hz处理器，8GB RAM，256GB ROM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前置</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1600万像素相机，后置主摄像机</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4800万像素</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▲内存 </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8GB；存储</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256GB，支持扩展存储卡（提供封面具有CMA、ilac-MRA、CNAS标志的第三方检测机构的检测报告复印件）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设备应具备功能扩展接口，可集成二代身份证阅读器设备（提供封面具有CMA、ilac-MRA、CNAS标志的第三方检测机构的检测报告复印件）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▲设备支持 5G 网络制式（提供封面具有CMA、ilac-MRA、CNAS标志的第三方检测机构的检测报告复印件）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支持手动/自动对焦</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图片分辨率：最高4800万</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录像格式：MP4</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图片格式：JPEG</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视频压缩标准：H.264;H.265</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音频压缩标准：G.711alaw,G.711ulaw,G.722.1,PCM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音频压缩码率：8K,16K</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音频采样率：</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16 kHz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屏幕尺寸：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6.4英寸；分辨率：1080*2300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屏幕类型：多点电容触摸屏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支持5G网络，兼容4G/3G/2G</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Wi-Fi频段：2.4GHz，5.8GHz双频段</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Wi-Fi工作模式：AP;STATION</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蓝牙：支持蓝牙 V5.1</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定位：GPS;北斗;混合定位</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NFC：支持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基本配置</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操作系统：Android11.0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CPU：八核2.0 Ghz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内存：</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8GB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内置存储介质：Emmc</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内置存储容量：</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3</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5G物联网卡</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15</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张</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每年480G，VPN定向流量，其中五张用于原有车载取证系统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车载取证系统</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执法车辆车载取证设备，单独更新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VPN专线链路</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条</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运营商机房至行政执法局机房3年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执法记录仪采集站</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材质：主体黑色；</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尺寸：长*宽*厚＝635*604.6*73；</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接入数量：支持8台执法终端同时接入；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显示屏：</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13.3寸液晶显示屏，分辨率1920*1080；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内存：</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2G内存；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系统：嵌入式、安卓双系统设计；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安装方式：默认标配壁挂式支架，可选配桌面式或移动式支架；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存储硬盘：自带 </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2T 硬盘,可扩展至 6 块硬盘,单盘最大支持 8T，支持 RAID 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▲可通过人脸识别验证登录，验证通过后可对锁定的执法记录仪自动解锁（提供封面具有CMA、ilac-MRA、CNAS标志的第三方检测机构的检测报告复印件）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执法数据采集设备在接入能力满负荷条件下采集接口充电电流应均不小于1300mA</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执法数据采集设备平均无故障工作时间（MTBF）不应低于10000h</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▲采用安卓和嵌入式双系统设计，安卓操作系统，操作方便快捷，嵌入式数据采集系统，数据更安全，设备更稳定（提供封面具有CMA、ilac-MRA、CNAS标志的第三方检测机构的检测报告复印件）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功率：</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120W</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USB接口：1个USB 3.0 ，1个USB2.0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数据线：4P USB数据线8根（Mini B型USB）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网络线：RJ45后置，千兆用于本地网络通讯和调试。</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电源线：1.8M 标准电源线</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工作电源：智能温控电源、额定电压AC100V—240V~50/60HZ（宽电压）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7</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桌面式融合通信智能调度终端</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面板采用一体式钢化玻璃设计，后方采用铝合金支架支持多个角度摆放，支持PoE供电</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采用硬件噪声抑制与回声消除，保证话音质量清晰明亮，支持免提或听筒通话两种方式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内置200W高清旋转摄像头，支持隐私保护</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支持VGA、HDMI接口输出以及外接音频输入输出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支持与平台对接，支持获取通讯录，支持查收消息及通话记录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8</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视频数据存储服务器</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主处理器：64位高性能多核处理器；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操作系统：嵌入式Linux操作系统；</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控制器：单控制器；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含24块6T硬盘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高速缓存：标配8GB，可扩展至64GB；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▲样机默认支持4个千兆RJ45自适应网络接口，支持1个百兆RJ45自适应管理网口。选配支持1个Mini SAS HD接口。样机前面板具有锁止功能，加锁后硬盘无法取出，具有可拆卸式防尘滤网样机选配支持带显示器的前面板。(提供公安部检测报告)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具有备用电池模块，可安装2块电池，样机掉电时可保护缓存中数据，恢复供电后数据不丢失，可查看断电前10s、断电后17s的视频录像(提供公安部检测报告)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视频直存（私有协议）：320路（800Mbps）接入，320路（800Mbps） 存储，320路（800Mbps） 转发，32路（64Mbps）网络回放；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硬盘接口：</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24个，SATA，单盘容量支持1~18TB，支持热插拔，支持CMR，支持企业盘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支持纠删码技术。最多可以支持16个盘掉线或者损坏，数据仍然有效，保留的硬盘中的数据可正常读出，且新数据可正常写入.创建RAID后即为同步完成状态(提供公安部检测报告)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三方摄像机接入:安讯士、onvif、onvifs、GB28181、松下、三星、Arecont、佳能、索尼、Pelco、海康威视、RTSP等。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IPSAN性能:280路（560Mbps）视频流写入（平台写入IO块大小64KB）400路（800Mbps）视频流写入（平台写入IO块大小512KB）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网络协议:HTTP；HTTPS；TCP/IP；IPv4；RTSP；UDP；SMTP；NTP；DHCP；DNS；DDNS；P2P；GAT1400；iSCSI ; FTP ;  SMB ; NFS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接入标准:ONVIF(profile S)、GB/T28181、CGI、SDK</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浏览器:Chrome、PCAPP、IE9以上、firefox</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网络模式:支持多址模式，负载均衡、容错、链路聚合多种网口绑定模式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多路回放:最大支持16路回放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录像方式:支持自动录像、手动录像、视频检测IO、报警、智能事件、热成像、全部录像查询</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存储方式:支持本机硬盘，支持网络硬盘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备份方式:支持硬盘、外接USB存储设备</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iSCSI:支持客户端，支持服务端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网络硬盘:支持客户端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RAID:RAID0/1/5/6/10/50/60；SRAID；需要使用企业级硬盘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录像管理功能:支持录像控制（连续、事件、定时、定时&amp;事件）</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存储池:支持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异常报警:支持设备断线、存储错误、存储满、录像丢帧、SSD异常、IP冲突、MAC冲突、登陆锁定、风扇转速异常、无硬盘、网络安全异常、电源异常、硬盘健康异常、RAID异常、存储池异常、温度报警、共享服务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9</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平台服务器</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2U单路标准机架式服务器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CPU：1颗 x86架构HYGON处理器，核数≥24核，频率≥2.2GHz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内存：64G DDR4，16根内存插槽，最大支持扩展至2TB内存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硬盘：4块600G 10K 2.5英寸SAS盘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可选支持12块3.5寸(兼容2.5寸)热插拔SAS/SATA硬盘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可选支持2块后置2.5寸热插拔SAS/SATA硬盘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可选支持4块NVME U.2热插拔硬盘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支持1个M.2插槽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支持1个TF插槽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阵列卡：标配SAS_HBA卡，支持RAID0/1/10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可选RAID_2G卡，支持0/1/5/6/10/50/60，可选支持断电保护</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PCIE扩展：最大可支持6个PCIe扩展插槽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网口：2个千兆电口</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其他接口：1个千兆RJ-45管理接口，4个USB 3.0接口，2个位于机箱后部，2个位于机箱前部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1143" w:type="pct"/>
            <w:vMerge w:val="restar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移动执法融合通信综合管理软件</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通过一图展示，结合视频、语音等通讯方式，实现应急可视化指挥调度，迅速处理突发问题，提升执法应急指挥和扁平指挥能力。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11</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平台账户授权数量，支持</w:t>
            </w:r>
            <w:r>
              <w:rPr>
                <w:rFonts w:hint="eastAsia" w:ascii="仿宋" w:hAnsi="仿宋" w:eastAsia="仿宋" w:cs="宋体"/>
                <w:color w:val="000000"/>
                <w:kern w:val="0"/>
                <w:szCs w:val="21"/>
                <w:highlight w:val="none"/>
              </w:rPr>
              <w:t>Web客户端和融合通信APP授权个数控制</w:t>
            </w:r>
            <w:r>
              <w:rPr>
                <w:rFonts w:hint="eastAsia" w:ascii="仿宋" w:hAnsi="仿宋" w:eastAsia="仿宋" w:cs="宋体"/>
                <w:color w:val="000000"/>
                <w:kern w:val="0"/>
                <w:szCs w:val="21"/>
                <w:highlight w:val="none"/>
              </w:rPr>
              <w:br w:type="textWrapping"/>
            </w:r>
            <w:r>
              <w:rPr>
                <w:rFonts w:hint="eastAsia" w:ascii="仿宋" w:hAnsi="仿宋" w:eastAsia="仿宋" w:cs="宋体"/>
                <w:color w:val="000000"/>
                <w:kern w:val="0"/>
                <w:szCs w:val="21"/>
                <w:highlight w:val="none"/>
              </w:rPr>
              <w:t>▲要求支持根据用户习惯自定义配置快捷功能入口；支持首页投放大屏展示；支持最近7天每日的用户活跃数统计（提供封面具有CMA、ilac-MRA、CNAS标志的第三方检测机构的检测报告复印件）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12</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1、支持综合音频接入网关、数字子板、模拟子板、无线子板、集群子板、音频子板等设备的接入管理，实现公网电话、集群系统、音频系统的接入；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2、支持单呼功能，对固定电话、移动电话、集群终端等各类型终端通过鼠标点击直接发起呼叫；</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3、支持组呼功能，对各种类型通信终端编制一个固定组，可对一个群组发起组呼，允许组呼过程中手动停止；</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4、支持强插功能，调度员加入被强插的联系人的双方通话中，从而形成一个三方通话，若其中一方拆线，则剩余两方继续保持通话；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5、支持强拆功能，断开两个联系人之间的通话，然后再与被强拆的联系人建立通话，支持对非空闲状态的用户进行拆线；</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6、支持点击组呼通知，选择快捷组任意位人员后，播放预先录制的一段语音；</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7、支持转接功能，通话过程当前用户点击转接按钮，选择转接人员将当前通话转接给其他人，用户释放掉当前通话；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8、支持保持功能，通话过程当前用户点击保持按钮，保持当前通话，当前用户做其他操作不受影响，保持时播放一个固定音乐；</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9、支持点击一键同振功能，人员所有联系方式同时呼出，接听后结束呼出；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10、支持监听功能，具有监听权限的终端，可直接进入到选中成员的通话中，在不影响双方通话的情况下进行监听；</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11、支持挂断功能，可对通话进行挂断；</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12、支持手动拨号，直接拨打联系人短号/手机号进行通话；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13、支持音频模板配置，导入组呼通知录音文件，导入后可点击播放试听；</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14、支持实时通话队列展示；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15、支持通话记录查询展示，可通过呼叫/呼入、通话状态进行筛选，并对通话录音进行播放下载操作。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13</w:t>
            </w:r>
          </w:p>
        </w:tc>
        <w:tc>
          <w:tcPr>
            <w:tcW w:w="1143" w:type="pct"/>
            <w:vMerge w:val="continue"/>
            <w:vAlign w:val="center"/>
          </w:tcPr>
          <w:p>
            <w:pPr>
              <w:widowControl/>
              <w:jc w:val="left"/>
              <w:rPr>
                <w:rFonts w:ascii="仿宋" w:hAnsi="仿宋" w:eastAsia="仿宋" w:cs="宋体"/>
                <w:kern w:val="0"/>
                <w:szCs w:val="21"/>
                <w:highlight w:val="none"/>
              </w:rPr>
            </w:pP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一、联系人管理</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1.支持按组织展示平台中所有的用户，支持添加到常用联系人；支持查看联系人信息；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2.支持按组织展示平台中所有的设备，支持添加到常用设备列表；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3.支持创建一个群组，并添加群组成员，支持退群；群组支持踢出成员；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4.支持编辑群组名称；支持收藏与取消收藏群组；</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5.支持群组名称，成员加入，退群消息通知；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6.支持模糊检索常用联系人，设备，联系人列表，群组；</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二、语音通话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1.支持终端间一对一或多对多实时音频通话（终端包括Web端、安卓APP、单兵、执法记录仪）；</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2.支持在通话过程中邀请群组内其他成员加入语音通话；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3.支持主动加入/退出群组内的语音通话；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4.支持语音通话中成员加入，离开消息通知；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三、视频通话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1.支持终端间一对一或多对多实时视频通话（终端包括Web端、安卓APP、单兵、执法记录仪）；</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2.支持在通话过程中邀请群组内其他成员加入视频通；</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3.支持主动加入/退出群组内的视频通话；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4.支持视频通话中成员加入，离开消息通知；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四、即时消息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1.支持终端间一对一或多对多文字聊天（终端包括Web端，安卓APP）；</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2.支持终端间一对一或多对多进行图片文件，文件收发（终端包括Web端 、安卓APP）；</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3.支持web端向其他终端发送语音消息（其他终端包括APP安卓端，Web终端）；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4.支持web端发送视频文件并发送给其他终端（其他终端包括：APP安卓端，Web终端）；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五、拨号盘</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可以使用拨号盘输入号码发起音视频通话。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▲要求支持 webRTC 即时消息、音视频通话、视频会议，即时消息类型支持文字、图片、文件、语音消息、视频消息。（提供封面具有CMA、ilac-MRA、CNAS标志的第三方检测机构的检测报告复印件）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2、硬件设备</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指挥中心LED大屏</w:t>
            </w:r>
          </w:p>
        </w:tc>
        <w:tc>
          <w:tcPr>
            <w:tcW w:w="447"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385"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2642"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1143"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操作终端</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CPU：兆芯ZX-E U6780A，8核,主频 ≥2.7GHz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BIOS：百敖V1.0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内存：≥8G DDR4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硬盘：≥256GB SSD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显卡：≥2GB 独立显卡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操作系统：统信UOS 3年</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显示屏：≥22英寸 分辨率1920×1080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机箱：≥11L小机箱</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中标后签订合同前须提供原厂质保三年授权函，否则取消中标资格。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1143"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五工位弧形操作台</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总长：≥4086mm(含侧板）</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总宽：≥950mm (含侧板）</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总高：≥950mm (含侧板）</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配套≥5把座椅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3</w:t>
            </w:r>
          </w:p>
        </w:tc>
        <w:tc>
          <w:tcPr>
            <w:tcW w:w="1143"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86寸会议平板</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4K显示，纤毫毕现：4K分辨率，画面细节纤毫可见；防眩光抗指纹，不惧强光；配套支架投屏器笔</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▲负一屏：首页右滑显示负一屏，支持会议预约会议信息、天气、设备状态、系统帮助与首页常用应用软件同时显示；（提供带有 CNAS、CMA、CAL 标识的第三方检测报告复印件证明）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▲底边栏：全屏应用框架，无侧边栏中控菜单遮挡主界面展示，底部常驻系统操作栏，可手动向下滑动自动收起和底部向上滑动自动展开；（提供带有 CNAS、CMA、CAL 标识的第三方检测报告复印件证明）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显示参数：屏幕尺寸：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86英寸</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刷新率：</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60 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像素间距：0.164(H) × 0.493(V) 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物理分辨率：3840 × 2160 @60 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显示尺寸：86 inch LED背光源</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背光源类型：DLED</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响应时间：</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6 ms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色域：90% NTSC（CIE1931）（Typ.）</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色深度：10 bit</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对比度：1200：1（Typ.）</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亮度：350 cd/m</w:t>
            </w:r>
            <w:r>
              <w:rPr>
                <w:rFonts w:ascii="Calibri" w:hAnsi="Calibri" w:eastAsia="仿宋" w:cs="Calibri"/>
                <w:kern w:val="0"/>
                <w:szCs w:val="21"/>
                <w:highlight w:val="none"/>
              </w:rPr>
              <w:t>²</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可视角：178°(H)/178°(V)</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系统参数：</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CPU：4核 A73*2+A53*2，主频1.5 GHz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内置存储：</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32 GB，内存：3 GB，操作系统：Android 8.0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网卡：内置百兆网卡，支持路由功能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触控参数：触控响应速度：＜ 10 ms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触摸方式：红外触控</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触摸精度：90%以上的触摸区域为 ±1 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玻璃：AG顺滑玻璃</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触控点：20点</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触摸工艺：零贴合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LED显示单元</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8.61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xml:space="preserve">产品像素点间距≤1.538mm，LED灯管的每个像素点由1纯红1纯绿1纯蓝三像素构成，表贴三合一封装。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屏体尺寸：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3840mm*2240mm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 模组尺寸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320mm*160mm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显示屏整屏像素失控率小于0.000001且区域像素失控率小于0.000003</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水平和垂直视角＞170°；亮度均匀性＞99%，色度均匀性≤±0.001Cx、Cy之内。</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投标产品符合CQC31-452629-2016《计算机显示器节能认证规则》技术要求，可提供中国节能产品认证证书（CQC）</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投标人或投标人所投LED产品制造商须提供国家信息安全漏洞库（CNNVD）技术支撑单位登记证书。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LED显示单元</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8.61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xml:space="preserve">产品像素点间距≤1.538mm，LED灯管的每个像素点由1纯红1纯绿1纯蓝三像素构成，表贴三合一封装。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屏体尺寸：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3840mm*2240mm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 模组尺寸</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320mm*160mm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显示屏整屏像素失控率小于0.000001且区域像素失控率小于0.000003</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水平和垂直视角＞170°；亮度均匀性＞99%，色度均匀性≤±0.001Cx、Cy之内。</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投标产品符合CQC31-452629-2016《计算机显示器节能认证规则》技术要求，可提供中国节能产品认证证书（CQC）</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投标人或投标人所投LED产品制造商需提供国家信息安全漏洞库（CNNVD）技术支撑单位登记证书。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开关电源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85</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输入电压/输入频率 200～240VAC /47~63HZ；电压调节范围 ±10，浪涌电流60A/230VAC 冷启动，负载40A/200VAC，频率范围47~63Hz；线性调整率 ±0.5%，负载调整率 ±2% ，电压精度±1.0% ，工作温度-20～+50℃，工作湿度，20～90%RH不凝固，输出端短路后电源保护，输出关断.去掉短路，电源重新供电后恢复正常输出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7</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接收卡</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61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张</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支持逐点亮色度校正，有效消除色差，显著提升 LED 画面显示的一致性，给用户带来更加细腻的画面。硬件设计和软件设计充分考虑用户部署、系统运行和维护时的场景，使部署更容易，运行更稳定、维护更高效。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8</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控制卡</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8</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带载230万；输入：1 路 DVI，1 路 HDMI，1 路 DP，1 路 VGA 输出：4 路网口输出，1 路 DVI 输出 ；2048×1152@60Hz 或 1920×1200@60Hz ，刷新频率3840hz19寸1U标准机箱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9</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矩阵拼接控制器</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标准19”的4U机架设计，电信运营级机箱系统</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插卡式模块设计，可根据市场需求灵活配置；业务卡支持热插拔，可方便进行维护</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冗余风扇散热系统设计，吹抽两种模式同时工作，智能调控温度，配合机箱结构，形成固定风道，确保机箱内温度平衡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双通道冗余电源设计（标配单电源），支持直流/交流电源，适应于机房等应用环境</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支持模拟，数字视频信号的输入和矩阵输出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支持标清，高清视频信号的矩阵切换和输出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支持模拟/SDI/HDCVI信号无压缩直接输出上墙</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支持网络键盘，客户端等控制切换</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▲支持ISCSI、IPSAN等存储方式；（提供权威机构检测报告证明）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支持标清/高清/模拟/数字等多种视频混合显示。（提供权威机构检测报告证明）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采用H.264或MPEG4视频压缩标准，支持双码流技术，可变码流，支持复合流和视频流编码，复合流编码时音频和视频同步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8路DVI输入（支持转VGA或HDMI）+8路HDMI输出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支持VGA、DVI、HDMI、CVBS、HD-SDI、3G-SDI输出显示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支持300W/500W/800W/1200W解码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支持视音频同步解码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60个显示屏的任意拼接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支持开窗和漫游功能，单屏支持</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36个窗口</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30个预设场景，用户可以自定义每个场景电视墙布局</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支持高清底图显示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支持高清全景拼接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支持80路1080P网络视频接入、存储及转发</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支持网络级联</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支持TCP/IP协议，支持RTP/RTSP/RTCP/TCP/UDP/DHCP等网络协议</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支持远程控制模拟，数字视频切换上墙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控制软件</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支持拼控器、播控主机、 KVM 坐席、 PC主机、中控主机设备增删改查的统一管理；支持查看播控主机、 KVM 坐席、 PC 主机、中控主机设备的在线/离线状态；支持通过平台远程重启、更新播控主机的程序；支持场景关联播控主机的开关量模式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查看指定屏幕场景的播放状态，可添加、修改、删除、切换场景，并且可将场景关联中控模式，使场景与灯光、空调、投影等设备开关量模式联动，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PDF、文本等内容窗口拖动到大屏中，每种类型窗口可添加多个文件，可设置内容文件播放时长，内容播放顺序等属性；支持实时查看大屏显示的内容，可远程操控数据可视化面板、AR 客户端、VR 网页端、第三方业务系统等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大屏上支持显示配置好的门户，作为统一的门户入口，可控制单块或多块屏幕一起切换；支持自定义设置门户标题、背景图片、菜单名称、菜单图片、菜单链接内容，包含页面、场景、二级门户等（提供有效检测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▲可控制大屏的智能控制功能，包括广告、会议、监控、护眼模式的开启屏保，以及对具有除湿功能的大屏进行除湿（提供有效检测报告）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支持可视化展示播控主机、屏幕、拼控器、中控主机、 PC 主机、 KVM 坐席等设备的在离线统计信息以及播控主机的页面数量、分辨率、温度、稳定运行时长、设备告警等信息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支持语音控制大屏操作，如清空屏幕、切换预案、开关屏幕、控制灯光、音箱、投影、窗帘等中控设备的开关、参数调节、点位上墙，云台左移、右移、拉近、拉远，屏幕互换等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支持屏幕、网页、窗口等类型投屏，不需要外接物理线缆；通过电脑/平板远程控制播控主机，并可实时显示画面，支持设置抓屏区域的分辨率，可设置为7680×2160、 3840×2160、 2736×1824、 1920×1080、 1280×720；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支持通过平板设置大屏门户菜单，可切换屏幕进行内容显示；支持通过门户菜单实现对大屏内容显示的导航操作；支持控制正在播放视频的进度，启动、停止播放；支持在平板上进行 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 gpu、内存参数；可实时查看大屏正在播放内容；可在播放信号源内容之前进行预查看，不影响大屏内容当前显示的内容；支持在平板上移动、删除虚拟 LED；支持实时查看大屏显示的内容，可远程操控数据可视化面板、AR 客户端、VR 网页端、第三方业务系统等。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支持通过触摸板（ Surface 显控端、会议平板）控制多个屏幕场景的展示。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工程安装</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工程安装及上门维保服务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12</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结构</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17.22</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钢结构及不锈钢包边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13</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电源线</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批</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放置电源线和网线：显示屏配电箱至显示屏位置放6组3*2.5电线，从机柜位置至显示屏位置放18根以上6类网线，（显示屏位置预留线的长度应可以自由拉到显示屏任意边缘）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安装调试</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17.22</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工程安装及上门维保服务 含运费 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15</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辅材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17.22</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含磁柱、屏体内部电源线、信号线及排线等 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门禁读卡器</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识别方式：指纹、密码、人脸</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指纹比对时间：1:1≤1.5秒</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1:1000≤1秒</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指纹辨识FRR（错误拒绝率）小于等于0.01%，指纹辨识FAR（错误接受率）小于等于0.001%</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卡片感应距离为0~5cm（塑料外壳到卡片距离）</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可透过软件自行设定读取卡片序号或区块数据</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选择读取区块数据可自定义区块位置、密钥以及卡号长度</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可存储的指纹容量大，一共可以存储</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5000枚指纹信息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可设定用户比对模式为指纹模式、刷卡模式、指纹+刷卡模式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指纹辨识支持1:1（指纹+刷卡模式）与1:N的比对模式（指纹模式）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采用RS-485通讯传输方式，传输速率</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19200bps-N-8-1，通讯协议具有CRC确认机制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17</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门禁专用电源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输入</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220VAC,输出</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12VDC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18</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门禁控制器</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32位高速处理器，性能强劲、速度快</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支持RS485、TCP/IP有线网络双通信接口，通讯数据采用特殊加密处理，更安全，无泄密之忧</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支持长度</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20位的卡号识别和存储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可存储</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10万笔合法卡，30万笔刷卡记录</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支持多门互锁功能、反潜回功能、多重卡开门功能、首卡开门功能、超级卡和超级密码开门、在线升级功能、中心远程开门功能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支持读卡器防拆报警、门未关妥报警、门被外力开起报警、开门等待超时报警、胁迫卡和胁迫码报警、限制名单报警、非法卡超次刷卡报警</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支持防区报警输入，具有防短、防剪功能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同时支持RS485接口和韦根接口读卡器的接入，RS485接口采用双接口设计，支持环路断点故障检测和冗余功能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韦根格式支持W26、W34等多种格式，能无缝兼容第三方韦根接口读卡器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支持普通卡/延时开门卡/限制名单/巡更卡/来宾卡/胁迫卡/超级卡等多种卡片类型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19</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磁力锁</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1.锁体主体颜色为深灰色；</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2.最大静态直线拉力：280kg(600Lbs) ± 15%；</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3.断电开锁，满足消防要求；</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4.具有电锁状态指示灯（红灯为开锁状态， 绿灯为上锁状态）；</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5.支持锁状态侦测信号(门磁)输出：NO/NC/COM接点；</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6.工作电压：12V/420mA 或 24V/210mA；</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7.锁体尺寸：长238*宽47*厚28(mm)；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8.吸板尺寸：长182*宽38*高13(mm)；</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9.使用环境：室内（不防水）；</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10.适用门型：木门、玻璃门、金属门、防火门。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20</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开门按钮</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开门按钮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门禁专用管线等线缆、辅材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项</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门禁专用管线等线缆、辅材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网络及安全设备</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二级等保测评</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项</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二级等保测评服务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核心交换机</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业务槽位≥3</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交换容量</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76.8Tbps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转发能力</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8640Mpps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控引擎模块≥2，满足1+1冗余,倒换时间为0ms，要求提供测试报告；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 EPON OLT及10G EPON OLT接口，支持10G EPON 功能，支持10G 对称和非对称 ONU；提供第三方测试报告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聚合组数≥1023组，每组成员≥32个</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支持DRNI跨设备链路聚合</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虚拟化故障双向收敛≤45ms,要求提供具备CNAS认证的第三方测试报告，支持N:1虚拟化，最大支持4台设备虚拟化成一台设备，并支持N:1虚拟化的情况下，实现1:N虚拟化，虚拟化数量≥8台，要求提供第三方测试报告；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 40G 跟 100G 端口切换，切换后流量正常转发，无丢包，提供第三方测试报告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支持OpenFlow、TRILL、EVB、EVI、FCOE功能，要求提供第三方测试报告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MAC表≥1000k，IPV4 FIB表≥3M,IPV6 FIB表≥1M，ARP表≥256K,,以上要求提供第三方测试报告；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内置智能管理功能，支持通过图形化界面设备配置及命令一键下发和版本智能升级提供工信部权威第三方测试报告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为了便于以后的业务扩展，核心设备支持独立式的应用控制业务板卡、负载均衡业务板卡、入侵防御业务板卡、无线控制器业务板卡等（非复合板）；提供官网配置截图，并提供详细板卡截图和链接</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支持vxlan特性，能够实现VXLAN二三层互联</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▲支持部署多业务融合板卡，实现对摄像头等物联终端统一识别、认证、和管理，支持部署windows server，要求提供第三方测试报告；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中标后签订合同前须提供原厂三年质保函及授权书，否则取消中标资格。</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支持原生无线 AC 功能：无需独立的AC板卡或带AC功能的接口板，即支持无线AP管理功能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支持ISSU技术，升级过程中保障业务不中断</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支持内置智能图形化管理功能，能够实现通过图形化界面设备配置及命令一键下发和版本智能升级</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支持MACsec加密技术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冗余电源，冗余主控，千兆光口≥24;万兆光口≥4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3</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电源模块</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250W 交流电源模块（电源面板侧出风）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虚拟化线缆</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虚拟化线缆及接口两根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风扇</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资产管理风扇模块(电源侧进风,端口侧出风)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防火墙</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1、硬件架构:非X86多核架构，1U高度</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2、▲接口要求:固定接口≥16GE电口+4Combo口+6千兆光口+2万兆光口；提供产品实物图片</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3、性能要求:网络层吞吐量≥8Gbps，最大并发数≥300万，每秒新建连接数≥6万；</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4、升级服务:提供</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3年IPS、AV特征库升级服务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5、部署模式:支持路由模式、透明（网桥）模式、混合模式部署</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"6、NAT功能:实现一对一、多对一、多对多等多种形式的NAT，实现DNS、FTP、H.323等多种NAT ALG功能。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NAT地址池支持动态探测和可用地址分配"</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7、VPN:实现高性能IPSec、L2TP、GRE VPN、SSL VPN等功能。支持IPsec VPN隧道自动建立，无需流量触发；支持IPsec VPN智能选路，根据应用和隧道质量调度流量。（提供功能截图）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8、安全策略:支持一体化安全策略，能够基于时间、用户/用户组、应用层协议、五元组、内容安全统一界面进行安全策略配置</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策略风险调优，支持安全策略优化分析，支持策略数冗余及命中分析，支持基于应用风险的策略调优，可根据流量、应用、风险类型等细粒度展示，并给出总体安全评分，便于用户更好的管理安全策略。（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9、应用识别:支持至少5000条以上的应用识别，且提示风险类型及风险级别，便于用户根据实际情况进行上网行为管理。</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10、URL过滤:设备提供海量预分类的URL地址库，根据URL类别实现URL过滤；支持联动云端URL地址库进行全面实施核查。（提供功能截图）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11、入侵防御:实现对黑客攻击、蠕虫/病毒、木马、恶意代码、间谍软件/广告软件等攻击的防御，实现缓冲区溢出、SQL注入、IDS/IPS逃逸等攻击的防御，实现攻击特征库的分类。IPS发现攻击后抓取报文，并支持通过WEB下载对应抓包文件，供客户进行分析；支持超过7000种特征的攻击检测和防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12、防病毒:可基于病毒特征进行检测，实现病毒库手动和自动升级，报文流处理模式，实现病毒日志和报表；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支持基于文件协议、邮件协议（SMTP/POP3/imap)、共享协议（NFS/SMB）的病毒功能（提供功能截图）"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13、数据安全:支持数据防泄露，对传输的文件和内容进行识别过滤，对内容与身份证、信用卡、银行卡、社会安全卡号等类型进行匹配。（提供功能截图）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14、IPv6:实现IPV6动态路由协议、IPV6对象及策略、IPV6状态防火墙、IPV6攻击防范、IPV6 GRE/IPSEC VPN、IPV6日志审计、IPV6会话热备等功能。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支持IPV6下的访问控制、IPSec VPN、DDoS防护等安全功能。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15、负载均衡:多出口智能选路，支持基于链路权重、带宽、配置优先级、链路质量、用户业务、运营商、域名、时间、DSCP、PPPoE、DNS、地址加权HASH等智能选路方式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支持DNS透明代理功能，可基于负载均衡算法代理内网用户进行DNS请求转发，避免单运营商DNS解析出现单一链路流量过载，平衡多条运营商线路的带宽利用率。（提供功能截图）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16、DDoS防护:能够防范DOS/DDOS攻击： Land、Smurf、Fraggle、WinNuke、Ping of Death、Tear Drop、IP Spoofing、SYN Flood、ICMP Flood、UDP Flood、HTTP Flood（cc）攻击、ARP欺骗、TCP报文标志位不合法、超大ICMP报文、地址扫描的防范、端口扫描的防范、DNS Flood、ACK Flood、FIN Flood、分片Flood、Tiny-Fragment。</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支持流量自学习功能，可设置自学习时间，并自动生成DDoS防范策略。（提供功能截图）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17、诊断中心:支持丢包统计功能，用与分析和记录设备的转发流程和安全业务模块（如：攻击防范、会话管理和连接数限制等）丢弃报文的详细原因，通过查看各个模块丢弃报文的详细原因，有利于管理员对网络故障的快速排查和定位。</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支持网页诊断功能，用于当内网用户访问网页出现故障时，对网络进行基本的诊断，并给出故障原因。</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支持报文示踪功能，支持真实流量、导入报文、构造报文等方式，用于分析和追踪设备中各个安全业务模块（如：攻击防范、uRPF、会话管理和连接数限制等）对报文的处理过程，通过查看报文示踪记录的详细信息，有利于管理员对网络故障的快速排查和定位。</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18、▲</w:t>
            </w:r>
            <w:r>
              <w:rPr>
                <w:rFonts w:hint="eastAsia" w:ascii="仿宋" w:hAnsi="仿宋" w:eastAsia="仿宋" w:cs="宋体"/>
                <w:kern w:val="0"/>
                <w:szCs w:val="21"/>
                <w:highlight w:val="none"/>
              </w:rPr>
              <w:t>投标人或产品生产厂商须为国家信息安全漏洞库（CNNVD）一级技术</w:t>
            </w:r>
            <w:r>
              <w:rPr>
                <w:rFonts w:hint="eastAsia" w:ascii="仿宋" w:hAnsi="仿宋" w:eastAsia="仿宋" w:cs="宋体"/>
                <w:kern w:val="0"/>
                <w:szCs w:val="21"/>
                <w:highlight w:val="none"/>
              </w:rPr>
              <w:t>支撑单位，要求提供证书复印件和官网截图加盖投标人公章；</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投标人或产品生产厂商须提供公安部颁发的信息安全等级保护安全建设服务机构能力评估合格证书，要求提供证书复印件加盖投标人公章；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19、</w:t>
            </w:r>
            <w:r>
              <w:rPr>
                <w:rFonts w:hint="eastAsia" w:ascii="仿宋" w:hAnsi="仿宋" w:eastAsia="仿宋" w:cs="宋体"/>
                <w:kern w:val="0"/>
                <w:szCs w:val="21"/>
                <w:highlight w:val="none"/>
              </w:rPr>
              <w:t>产品资质:所投产品须具备公安部监制的计算机信息系统安全专用产品销售许可证；提供证书复印件加盖投标人公章。</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具备中国网络安全审查技术与认证中心颁发的EAL4增强级（或EAL4+）认证证书；提供证书复印件加盖投标人公章。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7" w:type="pct"/>
            <w:gridSpan w:val="2"/>
            <w:shd w:val="clear" w:color="auto" w:fill="auto"/>
            <w:noWrap/>
            <w:vAlign w:val="center"/>
          </w:tcPr>
          <w:p>
            <w:pPr>
              <w:widowControl/>
              <w:jc w:val="center"/>
              <w:rPr>
                <w:rFonts w:ascii="仿宋" w:hAnsi="仿宋" w:eastAsia="仿宋" w:cs="宋体"/>
                <w:b/>
                <w:bCs/>
                <w:kern w:val="0"/>
                <w:szCs w:val="21"/>
                <w:highlight w:val="none"/>
              </w:rPr>
            </w:pPr>
            <w:r>
              <w:rPr>
                <w:rFonts w:hint="eastAsia" w:ascii="仿宋" w:hAnsi="仿宋" w:eastAsia="仿宋" w:cs="宋体"/>
                <w:b/>
                <w:bCs/>
                <w:kern w:val="0"/>
                <w:szCs w:val="21"/>
                <w:highlight w:val="none"/>
              </w:rPr>
              <w:t>无纸化数字会议设备</w:t>
            </w:r>
          </w:p>
        </w:tc>
        <w:tc>
          <w:tcPr>
            <w:tcW w:w="447"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385"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c>
          <w:tcPr>
            <w:tcW w:w="2642" w:type="pct"/>
            <w:shd w:val="clear" w:color="auto" w:fill="auto"/>
            <w:noWrap/>
            <w:vAlign w:val="center"/>
          </w:tcPr>
          <w:p>
            <w:pPr>
              <w:widowControl/>
              <w:jc w:val="left"/>
              <w:rPr>
                <w:rFonts w:ascii="仿宋" w:hAnsi="仿宋" w:eastAsia="仿宋" w:cs="宋体"/>
                <w:b/>
                <w:bCs/>
                <w:kern w:val="0"/>
                <w:szCs w:val="21"/>
                <w:highlight w:val="none"/>
              </w:rPr>
            </w:pPr>
            <w:r>
              <w:rPr>
                <w:rFonts w:hint="eastAsia" w:ascii="仿宋" w:hAnsi="仿宋" w:eastAsia="仿宋" w:cs="宋体"/>
                <w:b/>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会议终端</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内存容量：</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8GB，触摸屏类型：IPS电容式触摸屏，像素：</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800万像素，屏幕尺寸：10.8英寸，后置摄像头像素：</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1300万像素，PC平板二合一，15W无线快充。需要与区协同办公系统结合使用。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无线胖AP终端</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无线传输速率：</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1200Mbps,无线网络支持频率：2.4G&amp;5G,网络标准：802.11b 802.11g 802.11n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3</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千兆网络交换机</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1.固化10/100/1000M以太网电口≥24，100/1000M SFP千兆光接口≥4个，10/100/1000M复用电口≥2个</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2.交换容量≥256Gbps，包转发率≥42Mpps(若官网有两个值，以小值为准)</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3.支持Openflow 1.3标准，提供官网链接及截图</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4.支持静态路由、RIP、RIPng、OSPF,提供官网截图证明;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5.支持本地端口镜像和远程端口镜像RSPAN；支持流镜像，同时支持N：M的端口镜像（M大于1）；</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6.支持纵向虚拟化，提供官网截图证明；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7.支持端口休眠，关闭没有应用的端口，节省能源；支持智能风扇调速（提供官网截图证明）并提供Rohs节能证书。</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8.为保证投标产品稳定、可靠，需要提供入网证书作为证明，且入网证书能在信产部网站查询.为保障产品代码质量，投标人或生产厂商国内研发机构需通过CMMI4级及以上认证，其证书必须能在官方网站查询.</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9.支持内置防雷技术，提供≥10KV业务端口防雷能力，提供官网截图和链接作为证明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10.中标后签订合同前须提供原厂商针对本项目的授权函与三年质保函，否则取消中标资格。</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11.为了简化运维要求支持智能管理中心特性，能够做到设备角色选定、FTP服务器配置、全局配置及网管口配置，要求提供官网链接和截图作为证明。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12.支持最大9台设备虚拟化成一台逻辑设备；支持完善的堆叠分裂检测机制，堆叠分裂后能自动完成MAC和IP地址的重配置，无需手动干预，要求提供权威机构颁发的测试报告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13.所投产品须提供信息安全等级保护安全建设服务机构能力评估合格证书，要求提供证书复印件加盖公章。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音箱【8寸全频】</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1.额定功率≥200W,最大功率≥400W</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2.额定阻抗 8Ω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3.灵敏度 93dB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4.频率响应 70Hz--20KHz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功放【2*450W】</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1.功率：2*450w/8Ω，2*680w/4Ω；</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2.频响：20~20kHz(-0.5dB)；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3.总谐波失真：&lt;0.05；</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4.信噪比：&gt;104dB；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5.阻尼系数：&gt;600；</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6.分离度：&gt;60dB；</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7.转换速率：&gt;13v/ μs；</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8.输入灵敏度：32dB/1v/1.4v；</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9.输入阻抗：20k/10k；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6</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壁挂音箱支架</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只</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配套支架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7</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无线话筒【一拖二主机+手持话筒】</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4</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1.真分集接收器实现最佳接收有效距离150米；</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2.采用红外对频与手动调频方式实现传送器无线同步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3.超强叠机.无线接收距离远近可调；</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4.频率可锁定控制功能按钮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5.独特智能ID识别技术，实现多套同时分布使用；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6.发射器采用50MHz频宽，方便各频率段互换，尤其是在KTV；</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7.易读照明式液晶显示；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8.收方式：二次变频超外差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8</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天线分配器</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1.提供≥4台UHF系列自动选讯接收机的多频道系统。</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2.天线输入插座可以直接配置适用频带范围内的各种单杆天线.同轴天线.延长天线组及对数定向天线组。</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3.四组电源输出：12V/600~1000mA。</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4.频率范围：480-1000MHz</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5.发射与接收双向工作;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 xml:space="preserve">6.频率范围:480MHZ-1000MHZ;               </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7.水平面波瓣宽度-°：145</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8.垂直面波瓣宽度-°：75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9</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调音台【12路输入2编组输出】</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1.12路通道输入高品质的话筒前置放大器和精确的均衡电路；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2.+48V幻象供电开关选择；</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3.2编组输出，1组AUX辅助输出，1组FX发送，1路立体声返回；</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4.10段LED电平显示器，内置数码效果器效果器；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5.录音输出接口，PSU内置电源；</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6.内置SD卡接口.USB接口MP3播放器。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7.频率范围：20Hz-20KHz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10</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反馈抑制器</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1.内置音频系统噪声实时动态检测仪，配置抗干扰电路和噪声门，自行处理干扰噪声。</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2.内置极速智能混音器，支持多路话筒接入通道开放和管理音量，无缝极速转换，确保声音连续不断。</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3.内置极速数字反馈抑制器和产生量参量均衡器。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4.内置抗手机等无线通讯工具的电磁波噪声干扰的电路。</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5.具有AFC自动反馈自锁按键，按下反馈生效自动搜索，弹起直通</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6.具有平衡/非平衡输入和输出，包含卡侬XLR和6.35插座；</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7.支持高低音拔码，高音反馈具有音量调节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11</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数字音频处理器【8R+8C】</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1.内置USB声卡，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2.处理器芯片采用处理器：ADI SHARC 21489架构，40bit DSP浮点运算引擎；</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3.模拟输入输出通道数量8*8，支持输入输出通道LINK和分组功能；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4.输入输出量化不低于48KHz/24bit；</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5.增益共享自动混音(AMC)：自动增益(AGC);</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6.每个通道应有8个点的自适应反馈抑制（AFC）；</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7.输入通道具备：8段PEQ ，且提供五种滤波器类型选择。</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8.具有9*9 音频矩阵；</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9.</w:t>
            </w:r>
            <w:r>
              <w:rPr>
                <w:rFonts w:hint="eastAsia" w:ascii="仿宋" w:hAnsi="仿宋" w:eastAsia="仿宋" w:cs="宋体"/>
                <w:kern w:val="0"/>
                <w:szCs w:val="21"/>
                <w:highlight w:val="none"/>
              </w:rPr>
              <w:t>A/D动态范围：113dB，D/A动态范围：115dB</w:t>
            </w:r>
            <w:r>
              <w:rPr>
                <w:rFonts w:hint="eastAsia" w:ascii="仿宋" w:hAnsi="仿宋" w:eastAsia="仿宋" w:cs="宋体"/>
                <w:kern w:val="0"/>
                <w:szCs w:val="21"/>
                <w:highlight w:val="none"/>
              </w:rPr>
              <w:t>；</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10.频率响应范围：20～20kHz (±0.2dB)，总谐波失真(THD+N)：≧0.003% @1kHz，+4dBu；</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11.采样率/量化位数：48K/24bit，40bit DSP浮点运算引擎；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12</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音视频处理软件</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套</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1.具有电子压限器、高低通、参数均衡、延时、输通道声像平衡调节模块；</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2.通道参数设置可快速拷贝；</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3.各通道均设有多功能菜单，哑音和监听；</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4.可设置快捷场景调用模式和场景存储；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5.内置DSP效果器；</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6.支持有线网口调节；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13</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电源时序器【8路可控型】</w:t>
            </w:r>
          </w:p>
        </w:tc>
        <w:tc>
          <w:tcPr>
            <w:tcW w:w="447"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2</w:t>
            </w:r>
          </w:p>
        </w:tc>
        <w:tc>
          <w:tcPr>
            <w:tcW w:w="385" w:type="pct"/>
            <w:shd w:val="clear" w:color="auto" w:fill="auto"/>
            <w:noWrap/>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台</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r>
              <w:rPr>
                <w:rFonts w:hint="eastAsia" w:ascii="仿宋" w:hAnsi="仿宋" w:eastAsia="仿宋" w:cs="宋体"/>
                <w:kern w:val="0"/>
                <w:szCs w:val="21"/>
                <w:highlight w:val="none"/>
              </w:rPr>
              <w:t>≥</w:t>
            </w:r>
            <w:r>
              <w:rPr>
                <w:rFonts w:hint="eastAsia" w:ascii="仿宋" w:hAnsi="仿宋" w:eastAsia="仿宋" w:cs="宋体"/>
                <w:kern w:val="0"/>
                <w:szCs w:val="21"/>
                <w:highlight w:val="none"/>
              </w:rPr>
              <w:t>19寸标准机柜1U设计</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2.提供延时操作功能；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3.10路通道开关状态可由面板显示；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4.通过面板一键开关，可开关各路通道，实现时序功能；</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5.可通过软件方式，锁闭和解锁面板按键；</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6. 有RS232和RS485控制接口，短路信号控制接口，</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7. 多个同类设备可进行级联，实现一键同时开关多个设备，</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8.提供端口互锁功能，可用于控制投影机电动幕，升降架，以及电动窗帘。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shd w:val="clear" w:color="auto" w:fill="auto"/>
            <w:noWrap/>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14</w:t>
            </w:r>
          </w:p>
        </w:tc>
        <w:tc>
          <w:tcPr>
            <w:tcW w:w="1143"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辅材</w:t>
            </w:r>
          </w:p>
        </w:tc>
        <w:tc>
          <w:tcPr>
            <w:tcW w:w="447"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1</w:t>
            </w:r>
          </w:p>
        </w:tc>
        <w:tc>
          <w:tcPr>
            <w:tcW w:w="385"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项</w:t>
            </w:r>
          </w:p>
        </w:tc>
        <w:tc>
          <w:tcPr>
            <w:tcW w:w="2642" w:type="pct"/>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配套辅材，跳线，网线，HDMI线，同轴线，电源线、机柜等</w:t>
            </w:r>
          </w:p>
        </w:tc>
      </w:tr>
    </w:tbl>
    <w:p>
      <w:pPr>
        <w:spacing w:line="460" w:lineRule="exact"/>
        <w:ind w:firstLine="482" w:firstLineChars="200"/>
        <w:rPr>
          <w:rFonts w:cs="新宋体" w:asciiTheme="minorEastAsia" w:hAnsiTheme="minorEastAsia" w:eastAsiaTheme="minorEastAsia"/>
          <w:b/>
          <w:bCs/>
          <w:sz w:val="24"/>
          <w:highlight w:val="none"/>
        </w:rPr>
      </w:pPr>
      <w:r>
        <w:rPr>
          <w:rFonts w:hint="eastAsia" w:cs="新宋体" w:asciiTheme="minorEastAsia" w:hAnsiTheme="minorEastAsia" w:eastAsiaTheme="minorEastAsia"/>
          <w:b/>
          <w:bCs/>
          <w:sz w:val="24"/>
          <w:highlight w:val="none"/>
        </w:rPr>
        <w:t>注：所有提供的证书须在有效期内，提供的证书和检测报告复印件须加盖投标人公章。</w:t>
      </w:r>
    </w:p>
    <w:p>
      <w:pPr>
        <w:tabs>
          <w:tab w:val="left" w:pos="3870"/>
          <w:tab w:val="left" w:pos="4085"/>
        </w:tabs>
        <w:autoSpaceDE w:val="0"/>
        <w:autoSpaceDN w:val="0"/>
        <w:spacing w:line="440" w:lineRule="exact"/>
        <w:ind w:firstLine="482" w:firstLineChars="200"/>
        <w:jc w:val="left"/>
        <w:rPr>
          <w:rFonts w:ascii="仿宋_GB2312" w:hAnsi="宋体" w:eastAsia="仿宋_GB2312"/>
          <w:b/>
          <w:color w:val="000000" w:themeColor="text1"/>
          <w:sz w:val="24"/>
          <w:highlight w:val="none"/>
          <w14:textFill>
            <w14:solidFill>
              <w14:schemeClr w14:val="tx1"/>
            </w14:solidFill>
          </w14:textFill>
        </w:rPr>
      </w:pPr>
      <w:r>
        <w:rPr>
          <w:rFonts w:hint="eastAsia" w:ascii="仿宋_GB2312" w:hAnsi="宋体" w:eastAsia="仿宋_GB2312"/>
          <w:b/>
          <w:color w:val="000000" w:themeColor="text1"/>
          <w:sz w:val="24"/>
          <w:highlight w:val="none"/>
          <w14:textFill>
            <w14:solidFill>
              <w14:schemeClr w14:val="tx1"/>
            </w14:solidFill>
          </w14:textFill>
        </w:rPr>
        <w:t>三、其他要求说明</w:t>
      </w:r>
    </w:p>
    <w:p>
      <w:pPr>
        <w:tabs>
          <w:tab w:val="left" w:pos="3870"/>
          <w:tab w:val="left" w:pos="4085"/>
        </w:tabs>
        <w:autoSpaceDE w:val="0"/>
        <w:autoSpaceDN w:val="0"/>
        <w:spacing w:line="4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1.质保期要求：项目验收合格后，所投产品进入质保期，投标人须提供至少3年的原厂质保。</w:t>
      </w:r>
    </w:p>
    <w:p>
      <w:pPr>
        <w:tabs>
          <w:tab w:val="left" w:pos="3870"/>
          <w:tab w:val="left" w:pos="4085"/>
        </w:tabs>
        <w:autoSpaceDE w:val="0"/>
        <w:autoSpaceDN w:val="0"/>
        <w:spacing w:line="440" w:lineRule="exact"/>
        <w:ind w:firstLine="482" w:firstLineChars="200"/>
        <w:jc w:val="left"/>
        <w:rPr>
          <w:rFonts w:ascii="仿宋_GB2312" w:hAnsi="宋体" w:eastAsia="仿宋_GB2312"/>
          <w:b/>
          <w:color w:val="000000" w:themeColor="text1"/>
          <w:sz w:val="24"/>
          <w:highlight w:val="none"/>
          <w14:textFill>
            <w14:solidFill>
              <w14:schemeClr w14:val="tx1"/>
            </w14:solidFill>
          </w14:textFill>
        </w:rPr>
      </w:pPr>
      <w:r>
        <w:rPr>
          <w:rFonts w:hint="eastAsia" w:ascii="仿宋_GB2312" w:hAnsi="宋体" w:eastAsia="仿宋_GB2312"/>
          <w:b/>
          <w:color w:val="000000" w:themeColor="text1"/>
          <w:sz w:val="24"/>
          <w:highlight w:val="none"/>
          <w14:textFill>
            <w14:solidFill>
              <w14:schemeClr w14:val="tx1"/>
            </w14:solidFill>
          </w14:textFill>
        </w:rPr>
        <w:t>四、维护回应时间</w:t>
      </w:r>
    </w:p>
    <w:p>
      <w:pPr>
        <w:tabs>
          <w:tab w:val="left" w:pos="3870"/>
          <w:tab w:val="left" w:pos="4085"/>
        </w:tabs>
        <w:autoSpaceDE w:val="0"/>
        <w:autoSpaceDN w:val="0"/>
        <w:spacing w:line="4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投标人需设立7X24小时维护热线，安排全天候热线接待人员，接到维护电话后排查故障原因，需到现场解决的问题保证市区2小时、郊区4小时内上门服务，当天故障当天解决。</w:t>
      </w:r>
    </w:p>
    <w:p>
      <w:pPr>
        <w:tabs>
          <w:tab w:val="left" w:pos="3870"/>
          <w:tab w:val="left" w:pos="4085"/>
        </w:tabs>
        <w:autoSpaceDE w:val="0"/>
        <w:autoSpaceDN w:val="0"/>
        <w:spacing w:line="440" w:lineRule="exact"/>
        <w:ind w:firstLine="482" w:firstLineChars="200"/>
        <w:jc w:val="left"/>
        <w:rPr>
          <w:rFonts w:ascii="仿宋_GB2312" w:hAnsi="宋体" w:eastAsia="仿宋_GB2312"/>
          <w:b/>
          <w:color w:val="000000" w:themeColor="text1"/>
          <w:sz w:val="24"/>
          <w:highlight w:val="none"/>
          <w14:textFill>
            <w14:solidFill>
              <w14:schemeClr w14:val="tx1"/>
            </w14:solidFill>
          </w14:textFill>
        </w:rPr>
      </w:pPr>
      <w:r>
        <w:rPr>
          <w:rFonts w:hint="eastAsia" w:ascii="仿宋_GB2312" w:hAnsi="宋体" w:eastAsia="仿宋_GB2312"/>
          <w:b/>
          <w:color w:val="000000" w:themeColor="text1"/>
          <w:sz w:val="24"/>
          <w:highlight w:val="none"/>
          <w14:textFill>
            <w14:solidFill>
              <w14:schemeClr w14:val="tx1"/>
            </w14:solidFill>
          </w14:textFill>
        </w:rPr>
        <w:t>五、工期和服务期限</w:t>
      </w:r>
    </w:p>
    <w:p>
      <w:pPr>
        <w:tabs>
          <w:tab w:val="left" w:pos="3870"/>
          <w:tab w:val="left" w:pos="4085"/>
        </w:tabs>
        <w:autoSpaceDE w:val="0"/>
        <w:autoSpaceDN w:val="0"/>
        <w:spacing w:line="440" w:lineRule="exact"/>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1.中标单位在合同签订之日起60个工作日内完成系统建设调试（用户根据工程进度需要延迟的除外），如延迟一天则需付给招标单位该标项中标总金额的0.2%作为违约金。若超出规定时间10天还未完成，采购方有权与中标单位解除合同，验收过程中，如发现该设备功能参数不符合招投标文件技术参数相关要求，中标单位须在5个工作日之内完成整改，若超出规定时间每一天扣中标价0.2%的金额给采购方，若超过10天还未进行整改，采购方有权与中标单位解除合同，同时为了维护采购方的相关权益，采购方将无偿使用中标单位的物品3个月，确保投标单位能够有时间进行再一次采购,有关的安装调试费用应已包含在投标价中，采购方不再另外付费。维保期为自项目竣工验收合格之日起</w:t>
      </w:r>
      <w:r>
        <w:rPr>
          <w:rFonts w:ascii="仿宋_GB2312" w:hAnsi="宋体" w:eastAsia="仿宋_GB2312"/>
          <w:color w:val="000000" w:themeColor="text1"/>
          <w:sz w:val="24"/>
          <w:highlight w:val="none"/>
          <w14:textFill>
            <w14:solidFill>
              <w14:schemeClr w14:val="tx1"/>
            </w14:solidFill>
          </w14:textFill>
        </w:rPr>
        <w:t>36</w:t>
      </w:r>
      <w:r>
        <w:rPr>
          <w:rFonts w:hint="eastAsia" w:ascii="仿宋_GB2312" w:hAnsi="宋体" w:eastAsia="仿宋_GB2312"/>
          <w:color w:val="000000" w:themeColor="text1"/>
          <w:sz w:val="24"/>
          <w:highlight w:val="none"/>
          <w14:textFill>
            <w14:solidFill>
              <w14:schemeClr w14:val="tx1"/>
            </w14:solidFill>
          </w14:textFill>
        </w:rPr>
        <w:t>个月。</w:t>
      </w:r>
    </w:p>
    <w:p>
      <w:pPr>
        <w:tabs>
          <w:tab w:val="left" w:pos="3870"/>
          <w:tab w:val="left" w:pos="4085"/>
        </w:tabs>
        <w:autoSpaceDE w:val="0"/>
        <w:autoSpaceDN w:val="0"/>
        <w:spacing w:line="44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2.投标人需承诺在建设和维保过程中相关纠纷处理条款，投标人派驻工作人员发生的相关劳务纠纷、人身安全和伤残等方面的纠纷，由投标人负责。</w:t>
      </w:r>
    </w:p>
    <w:p>
      <w:pPr>
        <w:tabs>
          <w:tab w:val="left" w:pos="3870"/>
          <w:tab w:val="left" w:pos="4085"/>
        </w:tabs>
        <w:autoSpaceDE w:val="0"/>
        <w:autoSpaceDN w:val="0"/>
        <w:spacing w:line="440" w:lineRule="exact"/>
        <w:ind w:firstLine="482" w:firstLineChars="200"/>
        <w:jc w:val="left"/>
        <w:rPr>
          <w:rFonts w:ascii="仿宋_GB2312" w:hAnsi="宋体" w:eastAsia="仿宋_GB2312"/>
          <w:b/>
          <w:color w:val="000000" w:themeColor="text1"/>
          <w:sz w:val="24"/>
          <w:highlight w:val="none"/>
          <w14:textFill>
            <w14:solidFill>
              <w14:schemeClr w14:val="tx1"/>
            </w14:solidFill>
          </w14:textFill>
        </w:rPr>
      </w:pPr>
      <w:r>
        <w:rPr>
          <w:rFonts w:hint="eastAsia" w:ascii="仿宋_GB2312" w:hAnsi="宋体" w:eastAsia="仿宋_GB2312"/>
          <w:b/>
          <w:color w:val="000000" w:themeColor="text1"/>
          <w:sz w:val="24"/>
          <w:highlight w:val="none"/>
          <w14:textFill>
            <w14:solidFill>
              <w14:schemeClr w14:val="tx1"/>
            </w14:solidFill>
          </w14:textFill>
        </w:rPr>
        <w:t>六、付款方式</w:t>
      </w:r>
    </w:p>
    <w:p>
      <w:pPr>
        <w:numPr>
          <w:ilvl w:val="0"/>
          <w:numId w:val="6"/>
        </w:numPr>
        <w:snapToGrid w:val="0"/>
        <w:spacing w:line="440" w:lineRule="exact"/>
        <w:jc w:val="left"/>
        <w:rPr>
          <w:rFonts w:ascii="仿宋_GB2312" w:hAnsi="宋体" w:eastAsia="仿宋_GB2312"/>
          <w:sz w:val="24"/>
          <w:highlight w:val="none"/>
        </w:rPr>
      </w:pPr>
      <w:r>
        <w:rPr>
          <w:rFonts w:hint="eastAsia" w:ascii="仿宋_GB2312" w:hAnsi="宋体" w:eastAsia="仿宋_GB2312"/>
          <w:color w:val="000000" w:themeColor="text1"/>
          <w:sz w:val="24"/>
          <w:highlight w:val="none"/>
          <w14:textFill>
            <w14:solidFill>
              <w14:schemeClr w14:val="tx1"/>
            </w14:solidFill>
          </w14:textFill>
        </w:rPr>
        <w:t>付款方式：</w:t>
      </w:r>
      <w:r>
        <w:rPr>
          <w:rFonts w:hint="eastAsia" w:ascii="仿宋_GB2312" w:hAnsi="宋体" w:eastAsia="仿宋_GB2312"/>
          <w:sz w:val="24"/>
          <w:highlight w:val="none"/>
        </w:rPr>
        <w:t>合同签订后7个工作日内支付合同价的40%，安装完成且验收合格后付至合同价的100%。</w:t>
      </w:r>
    </w:p>
    <w:p>
      <w:pPr>
        <w:spacing w:line="440" w:lineRule="exact"/>
        <w:ind w:firstLine="482" w:firstLineChars="200"/>
        <w:rPr>
          <w:rFonts w:ascii="仿宋_GB2312" w:hAnsi="宋体" w:eastAsia="仿宋_GB2312"/>
          <w:b/>
          <w:color w:val="000000" w:themeColor="text1"/>
          <w:sz w:val="24"/>
          <w:highlight w:val="none"/>
          <w14:textFill>
            <w14:solidFill>
              <w14:schemeClr w14:val="tx1"/>
            </w14:solidFill>
          </w14:textFill>
        </w:rPr>
      </w:pPr>
      <w:r>
        <w:rPr>
          <w:rFonts w:hint="eastAsia" w:ascii="仿宋_GB2312" w:hAnsi="宋体" w:eastAsia="仿宋_GB2312"/>
          <w:b/>
          <w:color w:val="000000" w:themeColor="text1"/>
          <w:sz w:val="24"/>
          <w:highlight w:val="none"/>
          <w14:textFill>
            <w14:solidFill>
              <w14:schemeClr w14:val="tx1"/>
            </w14:solidFill>
          </w14:textFill>
        </w:rPr>
        <w:t>七、履约保证金：</w:t>
      </w:r>
    </w:p>
    <w:p>
      <w:pPr>
        <w:spacing w:line="44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项目合同签订后，中标方须在15日内向采购人指定账户打入合同金额的1% 或以银行保函形式作为履约保证金，项目验收结束后退还履约保证金（不计息）。</w:t>
      </w:r>
    </w:p>
    <w:p>
      <w:pPr>
        <w:spacing w:line="460" w:lineRule="exact"/>
        <w:ind w:firstLine="482" w:firstLineChars="200"/>
        <w:rPr>
          <w:rFonts w:cs="新宋体" w:asciiTheme="minorEastAsia" w:hAnsiTheme="minorEastAsia" w:eastAsiaTheme="minorEastAsia"/>
          <w:b/>
          <w:bCs/>
          <w:sz w:val="24"/>
          <w:highlight w:val="none"/>
        </w:rPr>
      </w:pPr>
    </w:p>
    <w:p>
      <w:pPr>
        <w:snapToGrid w:val="0"/>
        <w:spacing w:line="440" w:lineRule="exact"/>
        <w:jc w:val="left"/>
        <w:rPr>
          <w:rFonts w:ascii="仿宋" w:hAnsi="仿宋" w:eastAsia="仿宋" w:cs="仿宋"/>
          <w:kern w:val="0"/>
          <w:szCs w:val="21"/>
          <w:highlight w:val="none"/>
        </w:rPr>
      </w:pPr>
    </w:p>
    <w:p>
      <w:pPr>
        <w:pStyle w:val="19"/>
        <w:spacing w:line="240" w:lineRule="auto"/>
        <w:outlineLvl w:val="0"/>
        <w:rPr>
          <w:rFonts w:ascii="仿宋" w:hAnsi="仿宋" w:eastAsia="仿宋" w:cs="仿宋"/>
          <w:b/>
          <w:highlight w:val="none"/>
        </w:rPr>
      </w:pPr>
    </w:p>
    <w:p>
      <w:pPr>
        <w:spacing w:line="440" w:lineRule="exact"/>
        <w:jc w:val="left"/>
        <w:rPr>
          <w:rFonts w:ascii="仿宋" w:hAnsi="仿宋" w:eastAsia="仿宋" w:cs="仿宋"/>
          <w:b/>
          <w:color w:val="000000"/>
          <w:szCs w:val="21"/>
          <w:highlight w:val="none"/>
        </w:rPr>
        <w:sectPr>
          <w:footerReference r:id="rId3" w:type="default"/>
          <w:pgSz w:w="11906" w:h="16838"/>
          <w:pgMar w:top="1440" w:right="1800" w:bottom="1440" w:left="1800" w:header="851" w:footer="992" w:gutter="0"/>
          <w:cols w:space="425" w:num="1"/>
          <w:docGrid w:type="lines" w:linePitch="312" w:charSpace="0"/>
        </w:sectPr>
      </w:pPr>
    </w:p>
    <w:bookmarkEnd w:id="6"/>
    <w:bookmarkEnd w:id="7"/>
    <w:bookmarkEnd w:id="8"/>
    <w:p>
      <w:pPr>
        <w:jc w:val="center"/>
        <w:rPr>
          <w:rFonts w:ascii="宋体" w:hAnsi="宋体"/>
          <w:bCs/>
          <w:sz w:val="24"/>
          <w:highlight w:val="none"/>
        </w:rPr>
      </w:pPr>
    </w:p>
    <w:p>
      <w:pPr>
        <w:jc w:val="center"/>
        <w:rPr>
          <w:rFonts w:ascii="仿宋" w:hAnsi="仿宋" w:eastAsia="仿宋" w:cs="仿宋"/>
          <w:b/>
          <w:sz w:val="36"/>
          <w:szCs w:val="36"/>
          <w:highlight w:val="none"/>
        </w:rPr>
      </w:pPr>
      <w:r>
        <w:rPr>
          <w:rFonts w:hint="eastAsia" w:ascii="仿宋" w:hAnsi="仿宋" w:eastAsia="仿宋" w:cs="仿宋"/>
          <w:b/>
          <w:sz w:val="36"/>
          <w:szCs w:val="36"/>
          <w:highlight w:val="none"/>
        </w:rPr>
        <w:t>第四部分 合同主要条款</w:t>
      </w:r>
    </w:p>
    <w:p>
      <w:pPr>
        <w:rPr>
          <w:rFonts w:ascii="仿宋" w:hAnsi="仿宋" w:eastAsia="仿宋"/>
          <w:sz w:val="24"/>
          <w:highlight w:val="none"/>
          <w:u w:val="single"/>
        </w:rPr>
      </w:pPr>
      <w:r>
        <w:rPr>
          <w:rFonts w:hint="eastAsia" w:ascii="仿宋" w:hAnsi="仿宋" w:eastAsia="仿宋"/>
          <w:sz w:val="24"/>
          <w:highlight w:val="none"/>
        </w:rPr>
        <w:t>合同编号：</w:t>
      </w:r>
    </w:p>
    <w:p>
      <w:pPr>
        <w:spacing w:line="480" w:lineRule="auto"/>
        <w:jc w:val="center"/>
        <w:rPr>
          <w:rFonts w:ascii="仿宋" w:hAnsi="仿宋" w:eastAsia="仿宋"/>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政府采购合同参考范本</w:t>
      </w:r>
    </w:p>
    <w:p>
      <w:pPr>
        <w:spacing w:line="48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（货物类）</w:t>
      </w:r>
    </w:p>
    <w:p>
      <w:pPr>
        <w:pStyle w:val="118"/>
        <w:rPr>
          <w:rFonts w:ascii="仿宋" w:hAnsi="仿宋" w:eastAsia="仿宋"/>
          <w:szCs w:val="24"/>
          <w:highlight w:val="none"/>
        </w:rPr>
      </w:pPr>
    </w:p>
    <w:p>
      <w:pPr>
        <w:pStyle w:val="118"/>
        <w:rPr>
          <w:rFonts w:ascii="仿宋" w:hAnsi="仿宋" w:eastAsia="仿宋"/>
          <w:szCs w:val="24"/>
          <w:highlight w:val="none"/>
        </w:rPr>
      </w:pPr>
    </w:p>
    <w:p>
      <w:pPr>
        <w:pStyle w:val="118"/>
        <w:jc w:val="center"/>
        <w:rPr>
          <w:rFonts w:ascii="仿宋" w:hAnsi="仿宋" w:eastAsia="仿宋"/>
          <w:szCs w:val="24"/>
          <w:highlight w:val="none"/>
        </w:rPr>
      </w:pPr>
    </w:p>
    <w:p>
      <w:pPr>
        <w:pStyle w:val="118"/>
        <w:ind w:firstLine="2843" w:firstLineChars="1180"/>
        <w:rPr>
          <w:rFonts w:ascii="仿宋" w:hAnsi="仿宋" w:eastAsia="仿宋"/>
          <w:b/>
          <w:szCs w:val="24"/>
          <w:highlight w:val="none"/>
        </w:rPr>
      </w:pPr>
      <w:r>
        <w:rPr>
          <w:rFonts w:hint="eastAsia" w:ascii="仿宋" w:hAnsi="仿宋" w:eastAsia="仿宋"/>
          <w:b/>
          <w:szCs w:val="24"/>
          <w:highlight w:val="none"/>
        </w:rPr>
        <w:t>第一部分  合同书</w:t>
      </w:r>
    </w:p>
    <w:p>
      <w:pPr>
        <w:pStyle w:val="118"/>
        <w:rPr>
          <w:rFonts w:ascii="仿宋" w:hAnsi="仿宋" w:eastAsia="仿宋"/>
          <w:szCs w:val="24"/>
          <w:highlight w:val="none"/>
        </w:rPr>
      </w:pPr>
    </w:p>
    <w:p>
      <w:pPr>
        <w:pStyle w:val="118"/>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rPr>
      </w:pPr>
      <w:r>
        <w:rPr>
          <w:rFonts w:hint="eastAsia" w:ascii="仿宋" w:hAnsi="仿宋" w:eastAsia="仿宋"/>
          <w:sz w:val="24"/>
          <w:highlight w:val="none"/>
        </w:rPr>
        <w:t>项目名称：</w:t>
      </w:r>
    </w:p>
    <w:p>
      <w:pPr>
        <w:pStyle w:val="119"/>
        <w:spacing w:before="120" w:line="22" w:lineRule="atLeast"/>
        <w:rPr>
          <w:rFonts w:ascii="仿宋" w:hAnsi="仿宋" w:eastAsia="仿宋"/>
          <w:szCs w:val="24"/>
          <w:highlight w:val="none"/>
        </w:rPr>
      </w:pPr>
    </w:p>
    <w:p>
      <w:pPr>
        <w:pStyle w:val="119"/>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签订地：</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签订日期：年月日</w:t>
      </w:r>
    </w:p>
    <w:p>
      <w:pPr>
        <w:widowControl/>
        <w:jc w:val="left"/>
        <w:rPr>
          <w:rFonts w:ascii="仿宋" w:hAnsi="仿宋" w:eastAsia="仿宋"/>
          <w:kern w:val="0"/>
          <w:sz w:val="24"/>
          <w:highlight w:val="none"/>
        </w:rPr>
        <w:sectPr>
          <w:headerReference r:id="rId4" w:type="default"/>
          <w:footerReference r:id="rId5" w:type="default"/>
          <w:pgSz w:w="11907" w:h="16840"/>
          <w:pgMar w:top="1474" w:right="1814" w:bottom="1474" w:left="1814" w:header="851" w:footer="851" w:gutter="0"/>
          <w:cols w:space="720" w:num="1"/>
          <w:titlePg/>
          <w:docGrid w:linePitch="286" w:charSpace="0"/>
        </w:sectPr>
      </w:pP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lang w:val="zh-CN"/>
        </w:rPr>
        <w:t>年月日</w:t>
      </w:r>
      <w:r>
        <w:rPr>
          <w:rFonts w:hint="eastAsia" w:ascii="仿宋" w:hAnsi="仿宋" w:eastAsia="仿宋"/>
          <w:sz w:val="24"/>
          <w:highlight w:val="none"/>
        </w:rPr>
        <w:t>，</w:t>
      </w:r>
      <w:r>
        <w:rPr>
          <w:rFonts w:hint="eastAsia" w:ascii="仿宋" w:hAnsi="仿宋" w:eastAsia="仿宋"/>
          <w:sz w:val="24"/>
          <w:highlight w:val="none"/>
          <w:u w:val="single"/>
        </w:rPr>
        <w:t>（采购人）</w:t>
      </w:r>
      <w:r>
        <w:rPr>
          <w:rFonts w:hint="eastAsia" w:ascii="仿宋" w:hAnsi="仿宋" w:eastAsia="仿宋"/>
          <w:sz w:val="24"/>
          <w:highlight w:val="none"/>
        </w:rPr>
        <w:t>以</w:t>
      </w:r>
      <w:r>
        <w:rPr>
          <w:rFonts w:ascii="仿宋" w:hAnsi="仿宋" w:eastAsia="仿宋"/>
          <w:sz w:val="24"/>
          <w:highlight w:val="none"/>
          <w:u w:val="single"/>
        </w:rPr>
        <w:t xml:space="preserve">   （政府采购方式）  </w:t>
      </w:r>
      <w:r>
        <w:rPr>
          <w:rFonts w:hint="eastAsia" w:ascii="仿宋" w:hAnsi="仿宋" w:eastAsia="仿宋"/>
          <w:sz w:val="24"/>
          <w:highlight w:val="none"/>
        </w:rPr>
        <w:t>对</w:t>
      </w:r>
      <w:r>
        <w:rPr>
          <w:rFonts w:ascii="仿宋" w:hAnsi="仿宋" w:eastAsia="仿宋"/>
          <w:sz w:val="24"/>
          <w:highlight w:val="none"/>
          <w:u w:val="single"/>
        </w:rPr>
        <w:t xml:space="preserve">   （同前</w:t>
      </w:r>
      <w:r>
        <w:rPr>
          <w:rFonts w:hint="eastAsia" w:ascii="仿宋" w:hAnsi="仿宋" w:eastAsia="仿宋"/>
          <w:sz w:val="24"/>
          <w:highlight w:val="none"/>
          <w:u w:val="single"/>
        </w:rPr>
        <w:t>页项目名称）</w:t>
      </w:r>
      <w:r>
        <w:rPr>
          <w:rFonts w:hint="eastAsia" w:ascii="仿宋" w:hAnsi="仿宋" w:eastAsia="仿宋"/>
          <w:sz w:val="24"/>
          <w:highlight w:val="none"/>
        </w:rPr>
        <w:t>项目进行了采购。经</w:t>
      </w:r>
      <w:r>
        <w:rPr>
          <w:rFonts w:ascii="仿宋" w:hAnsi="仿宋" w:eastAsia="仿宋"/>
          <w:sz w:val="24"/>
          <w:highlight w:val="none"/>
          <w:u w:val="single"/>
        </w:rPr>
        <w:t xml:space="preserve">   （相关评定主体名称）   </w:t>
      </w:r>
      <w:r>
        <w:rPr>
          <w:rFonts w:hint="eastAsia" w:ascii="仿宋" w:hAnsi="仿宋" w:eastAsia="仿宋"/>
          <w:sz w:val="24"/>
          <w:highlight w:val="none"/>
        </w:rPr>
        <w:t>评定，</w:t>
      </w:r>
      <w:r>
        <w:rPr>
          <w:rFonts w:ascii="仿宋" w:hAnsi="仿宋" w:eastAsia="仿宋"/>
          <w:sz w:val="24"/>
          <w:highlight w:val="none"/>
          <w:u w:val="single"/>
        </w:rPr>
        <w:t xml:space="preserve">   （中标供应商名称）</w:t>
      </w:r>
      <w:r>
        <w:rPr>
          <w:rFonts w:hint="eastAsia" w:ascii="仿宋" w:hAnsi="仿宋" w:eastAsia="仿宋"/>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sz w:val="24"/>
          <w:highlight w:val="none"/>
          <w:u w:val="single"/>
        </w:rPr>
        <w:t>（采购人）</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(以下简称：乙方)协商一致，约定以下合同</w:t>
      </w:r>
      <w:r>
        <w:rPr>
          <w:rFonts w:hint="eastAsia" w:ascii="仿宋" w:hAnsi="仿宋" w:eastAsia="仿宋"/>
          <w:sz w:val="24"/>
          <w:highlight w:val="none"/>
        </w:rPr>
        <w:t>条款，以兹共同遵守、全面履行。</w:t>
      </w:r>
    </w:p>
    <w:p>
      <w:pPr>
        <w:spacing w:line="560" w:lineRule="exact"/>
        <w:ind w:firstLine="482" w:firstLineChars="200"/>
        <w:outlineLvl w:val="0"/>
        <w:rPr>
          <w:rFonts w:ascii="仿宋" w:hAnsi="仿宋" w:eastAsia="仿宋"/>
          <w:b/>
          <w:sz w:val="24"/>
          <w:highlight w:val="none"/>
        </w:rPr>
      </w:pPr>
      <w:bookmarkStart w:id="10" w:name="_Toc2232"/>
      <w:bookmarkStart w:id="11" w:name="_Toc3029"/>
      <w:bookmarkStart w:id="12" w:name="_Toc24059"/>
      <w:r>
        <w:rPr>
          <w:rFonts w:ascii="仿宋" w:hAnsi="仿宋" w:eastAsia="仿宋"/>
          <w:b/>
          <w:sz w:val="24"/>
          <w:highlight w:val="none"/>
        </w:rPr>
        <w:t xml:space="preserve">1.1 </w:t>
      </w:r>
      <w:r>
        <w:rPr>
          <w:rFonts w:hint="eastAsia" w:ascii="仿宋" w:hAnsi="仿宋" w:eastAsia="仿宋"/>
          <w:b/>
          <w:sz w:val="24"/>
          <w:highlight w:val="none"/>
        </w:rPr>
        <w:t>合同组成部分</w:t>
      </w:r>
      <w:bookmarkEnd w:id="10"/>
      <w:bookmarkEnd w:id="11"/>
      <w:bookmarkEnd w:id="1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1.1.1 </w:t>
      </w:r>
      <w:r>
        <w:rPr>
          <w:rFonts w:hint="eastAsia" w:ascii="仿宋" w:hAnsi="仿宋" w:eastAsia="仿宋"/>
          <w:sz w:val="24"/>
          <w:highlight w:val="none"/>
        </w:rPr>
        <w:t>本合同及其补充合同、变更协议；</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1.1.2 </w:t>
      </w:r>
      <w:r>
        <w:rPr>
          <w:rFonts w:hint="eastAsia" w:ascii="仿宋" w:hAnsi="仿宋" w:eastAsia="仿宋"/>
          <w:sz w:val="24"/>
          <w:highlight w:val="none"/>
        </w:rPr>
        <w:t>中标通知书；</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1.1.3 </w:t>
      </w:r>
      <w:r>
        <w:rPr>
          <w:rFonts w:hint="eastAsia" w:ascii="仿宋" w:hAnsi="仿宋" w:eastAsia="仿宋"/>
          <w:sz w:val="24"/>
          <w:highlight w:val="none"/>
        </w:rPr>
        <w:t>投标文件（含澄清或者说明文件）；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1.1.4 </w:t>
      </w:r>
      <w:r>
        <w:rPr>
          <w:rFonts w:hint="eastAsia" w:ascii="仿宋" w:hAnsi="仿宋" w:eastAsia="仿宋"/>
          <w:sz w:val="24"/>
          <w:highlight w:val="none"/>
        </w:rPr>
        <w:t>招标文件（含澄清或者修改文件）；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1.1.5 </w:t>
      </w:r>
      <w:r>
        <w:rPr>
          <w:rFonts w:hint="eastAsia" w:ascii="仿宋" w:hAnsi="仿宋" w:eastAsia="仿宋"/>
          <w:sz w:val="24"/>
          <w:highlight w:val="none"/>
        </w:rPr>
        <w:t>其他相关采购文件。</w:t>
      </w:r>
    </w:p>
    <w:p>
      <w:pPr>
        <w:spacing w:line="560" w:lineRule="exact"/>
        <w:ind w:firstLine="482" w:firstLineChars="200"/>
        <w:outlineLvl w:val="0"/>
        <w:rPr>
          <w:rFonts w:ascii="仿宋" w:hAnsi="仿宋" w:eastAsia="仿宋"/>
          <w:b/>
          <w:sz w:val="24"/>
          <w:highlight w:val="none"/>
        </w:rPr>
      </w:pPr>
      <w:bookmarkStart w:id="13" w:name="_Toc21295"/>
      <w:bookmarkStart w:id="14" w:name="_Toc27126"/>
      <w:bookmarkStart w:id="15" w:name="_Toc24300"/>
      <w:r>
        <w:rPr>
          <w:rFonts w:ascii="仿宋" w:hAnsi="仿宋" w:eastAsia="仿宋"/>
          <w:b/>
          <w:sz w:val="24"/>
          <w:highlight w:val="none"/>
        </w:rPr>
        <w:t xml:space="preserve">1.2 </w:t>
      </w:r>
      <w:bookmarkEnd w:id="13"/>
      <w:bookmarkEnd w:id="14"/>
      <w:bookmarkEnd w:id="15"/>
      <w:r>
        <w:rPr>
          <w:rFonts w:ascii="仿宋" w:hAnsi="仿宋" w:eastAsia="仿宋"/>
          <w:b/>
          <w:sz w:val="24"/>
          <w:highlight w:val="none"/>
        </w:rPr>
        <w:t>采购清单</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1.2.1 采购货物</w:t>
      </w:r>
      <w:r>
        <w:rPr>
          <w:rFonts w:hint="eastAsia" w:ascii="仿宋" w:hAnsi="仿宋" w:eastAsia="仿宋"/>
          <w:sz w:val="24"/>
          <w:highlight w:val="none"/>
        </w:rPr>
        <w:t>内容：；</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1.2.2规格型号及</w:t>
      </w:r>
      <w:r>
        <w:rPr>
          <w:rFonts w:hint="eastAsia" w:ascii="仿宋" w:hAnsi="仿宋" w:eastAsia="仿宋"/>
          <w:sz w:val="24"/>
          <w:highlight w:val="none"/>
        </w:rPr>
        <w:t>数量；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1.2.3</w:t>
      </w:r>
      <w:r>
        <w:rPr>
          <w:rFonts w:hint="eastAsia" w:ascii="仿宋" w:hAnsi="仿宋" w:eastAsia="仿宋"/>
          <w:sz w:val="24"/>
          <w:highlight w:val="none"/>
        </w:rPr>
        <w:t>质保年限；</w:t>
      </w:r>
    </w:p>
    <w:p>
      <w:pPr>
        <w:spacing w:line="560" w:lineRule="exact"/>
        <w:ind w:firstLine="482" w:firstLineChars="200"/>
        <w:outlineLvl w:val="0"/>
        <w:rPr>
          <w:rFonts w:ascii="仿宋" w:hAnsi="仿宋" w:eastAsia="仿宋"/>
          <w:b/>
          <w:sz w:val="24"/>
          <w:highlight w:val="none"/>
        </w:rPr>
      </w:pPr>
      <w:bookmarkStart w:id="16" w:name="_Toc23292"/>
      <w:bookmarkStart w:id="17" w:name="_Toc21551"/>
      <w:bookmarkStart w:id="18" w:name="_Toc21631"/>
      <w:r>
        <w:rPr>
          <w:rFonts w:ascii="仿宋" w:hAnsi="仿宋" w:eastAsia="仿宋"/>
          <w:b/>
          <w:sz w:val="24"/>
          <w:highlight w:val="none"/>
        </w:rPr>
        <w:t xml:space="preserve">1.3 </w:t>
      </w:r>
      <w:r>
        <w:rPr>
          <w:rFonts w:hint="eastAsia" w:ascii="仿宋" w:hAnsi="仿宋" w:eastAsia="仿宋"/>
          <w:b/>
          <w:sz w:val="24"/>
          <w:highlight w:val="none"/>
        </w:rPr>
        <w:t>价款</w:t>
      </w:r>
      <w:bookmarkEnd w:id="16"/>
      <w:bookmarkEnd w:id="17"/>
      <w:bookmarkEnd w:id="18"/>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本合同总价为：￥元（大写：元人民币）。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15"/>
        <w:gridCol w:w="1359"/>
        <w:gridCol w:w="1359"/>
        <w:gridCol w:w="1357"/>
        <w:gridCol w:w="135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982"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货物名称</w:t>
            </w: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jc w:val="center"/>
              <w:rPr>
                <w:rFonts w:ascii="仿宋" w:hAnsi="仿宋" w:eastAsia="仿宋"/>
                <w:sz w:val="24"/>
                <w:szCs w:val="24"/>
                <w:highlight w:val="none"/>
              </w:rPr>
            </w:pPr>
            <w:r>
              <w:rPr>
                <w:rFonts w:ascii="仿宋" w:hAnsi="仿宋" w:eastAsia="仿宋"/>
                <w:sz w:val="24"/>
                <w:szCs w:val="24"/>
                <w:highlight w:val="none"/>
              </w:rPr>
              <w:t>品牌型号</w:t>
            </w: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数量</w:t>
            </w:r>
          </w:p>
        </w:tc>
        <w:tc>
          <w:tcPr>
            <w:tcW w:w="734"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单价</w:t>
            </w:r>
          </w:p>
        </w:tc>
        <w:tc>
          <w:tcPr>
            <w:tcW w:w="734"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交货期/质保期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982"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982"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982"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982"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8" w:type="pct"/>
            <w:gridSpan w:val="2"/>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r>
              <w:rPr>
                <w:rFonts w:ascii="仿宋" w:hAnsi="仿宋" w:eastAsia="仿宋"/>
                <w:sz w:val="24"/>
                <w:szCs w:val="24"/>
                <w:highlight w:val="none"/>
              </w:rPr>
              <w:t>合计</w:t>
            </w:r>
          </w:p>
        </w:tc>
        <w:tc>
          <w:tcPr>
            <w:tcW w:w="735" w:type="pct"/>
            <w:tcBorders>
              <w:top w:val="single" w:color="auto" w:sz="4" w:space="0"/>
              <w:left w:val="single" w:color="auto" w:sz="4" w:space="0"/>
              <w:bottom w:val="single" w:color="auto" w:sz="4" w:space="0"/>
              <w:right w:val="single" w:color="auto" w:sz="4" w:space="0"/>
            </w:tcBorders>
            <w:vAlign w:val="center"/>
          </w:tcPr>
          <w:p>
            <w:pPr>
              <w:pStyle w:val="120"/>
              <w:spacing w:line="560" w:lineRule="exact"/>
              <w:ind w:firstLine="200"/>
              <w:jc w:val="center"/>
              <w:rPr>
                <w:rFonts w:ascii="仿宋" w:hAnsi="仿宋" w:eastAsia="仿宋"/>
                <w:sz w:val="24"/>
                <w:szCs w:val="24"/>
                <w:highlight w:val="none"/>
              </w:rPr>
            </w:pPr>
          </w:p>
        </w:tc>
        <w:tc>
          <w:tcPr>
            <w:tcW w:w="735"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c>
          <w:tcPr>
            <w:tcW w:w="734" w:type="pct"/>
            <w:tcBorders>
              <w:top w:val="single" w:color="auto" w:sz="4" w:space="0"/>
              <w:left w:val="single" w:color="auto" w:sz="4" w:space="0"/>
              <w:bottom w:val="single" w:color="auto" w:sz="4" w:space="0"/>
              <w:right w:val="single" w:color="auto" w:sz="4" w:space="0"/>
            </w:tcBorders>
          </w:tcPr>
          <w:p>
            <w:pPr>
              <w:pStyle w:val="120"/>
              <w:spacing w:line="560" w:lineRule="exact"/>
              <w:ind w:firstLine="200"/>
              <w:jc w:val="center"/>
              <w:rPr>
                <w:rFonts w:ascii="仿宋" w:hAnsi="仿宋" w:eastAsia="仿宋"/>
                <w:sz w:val="24"/>
                <w:szCs w:val="24"/>
                <w:highlight w:val="none"/>
              </w:rPr>
            </w:pPr>
          </w:p>
        </w:tc>
      </w:tr>
    </w:tbl>
    <w:p>
      <w:pPr>
        <w:spacing w:line="440" w:lineRule="exact"/>
        <w:ind w:firstLine="482" w:firstLineChars="200"/>
        <w:outlineLvl w:val="0"/>
        <w:rPr>
          <w:rFonts w:ascii="仿宋" w:hAnsi="仿宋" w:eastAsia="仿宋"/>
          <w:b/>
          <w:sz w:val="24"/>
          <w:highlight w:val="none"/>
        </w:rPr>
      </w:pPr>
      <w:bookmarkStart w:id="19" w:name="_Toc1814"/>
      <w:bookmarkStart w:id="20" w:name="_Toc22618"/>
      <w:bookmarkStart w:id="21" w:name="_Toc10340"/>
      <w:r>
        <w:rPr>
          <w:rFonts w:ascii="仿宋" w:hAnsi="仿宋" w:eastAsia="仿宋"/>
          <w:b/>
          <w:sz w:val="24"/>
          <w:highlight w:val="none"/>
        </w:rPr>
        <w:t xml:space="preserve">1.4 </w:t>
      </w:r>
      <w:r>
        <w:rPr>
          <w:rFonts w:hint="eastAsia" w:ascii="仿宋" w:hAnsi="仿宋" w:eastAsia="仿宋"/>
          <w:b/>
          <w:sz w:val="24"/>
          <w:highlight w:val="none"/>
        </w:rPr>
        <w:t>付款</w:t>
      </w:r>
      <w:bookmarkEnd w:id="19"/>
      <w:bookmarkEnd w:id="20"/>
      <w:bookmarkEnd w:id="21"/>
      <w:r>
        <w:rPr>
          <w:rFonts w:hint="eastAsia" w:ascii="仿宋" w:hAnsi="仿宋" w:eastAsia="仿宋"/>
          <w:b/>
          <w:sz w:val="24"/>
          <w:highlight w:val="none"/>
        </w:rPr>
        <w:t>方式、时间和条件</w:t>
      </w:r>
    </w:p>
    <w:p>
      <w:pPr>
        <w:spacing w:line="440" w:lineRule="exact"/>
        <w:ind w:firstLine="480" w:firstLineChars="200"/>
        <w:outlineLvl w:val="0"/>
        <w:rPr>
          <w:rFonts w:ascii="仿宋" w:hAnsi="仿宋" w:eastAsia="仿宋"/>
          <w:sz w:val="24"/>
          <w:highlight w:val="none"/>
        </w:rPr>
      </w:pPr>
      <w:r>
        <w:rPr>
          <w:rFonts w:ascii="仿宋" w:hAnsi="仿宋" w:eastAsia="仿宋"/>
          <w:sz w:val="24"/>
          <w:highlight w:val="none"/>
        </w:rPr>
        <w:t>资金支付的方式、时间和条件详见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440" w:lineRule="exact"/>
        <w:ind w:firstLine="482" w:firstLineChars="200"/>
        <w:outlineLvl w:val="0"/>
        <w:rPr>
          <w:rFonts w:ascii="仿宋" w:hAnsi="仿宋" w:eastAsia="仿宋"/>
          <w:b/>
          <w:sz w:val="24"/>
          <w:highlight w:val="none"/>
        </w:rPr>
      </w:pPr>
      <w:bookmarkStart w:id="22" w:name="_Toc2846"/>
      <w:bookmarkStart w:id="23" w:name="_Toc32071"/>
      <w:bookmarkStart w:id="24" w:name="_Toc19304"/>
      <w:r>
        <w:rPr>
          <w:rFonts w:ascii="仿宋" w:hAnsi="仿宋" w:eastAsia="仿宋"/>
          <w:b/>
          <w:sz w:val="24"/>
          <w:highlight w:val="none"/>
        </w:rPr>
        <w:t>1.5</w:t>
      </w:r>
      <w:r>
        <w:rPr>
          <w:rFonts w:hint="eastAsia" w:ascii="仿宋" w:hAnsi="仿宋" w:eastAsia="仿宋"/>
          <w:b/>
          <w:sz w:val="24"/>
          <w:highlight w:val="none"/>
        </w:rPr>
        <w:t>交付期限、地点和方式</w:t>
      </w:r>
      <w:bookmarkEnd w:id="22"/>
      <w:bookmarkEnd w:id="23"/>
      <w:bookmarkEnd w:id="24"/>
    </w:p>
    <w:p>
      <w:pPr>
        <w:spacing w:line="440" w:lineRule="exact"/>
        <w:ind w:firstLine="480" w:firstLineChars="200"/>
        <w:rPr>
          <w:rFonts w:ascii="仿宋" w:hAnsi="仿宋" w:eastAsia="仿宋"/>
          <w:sz w:val="24"/>
          <w:highlight w:val="none"/>
          <w:u w:val="single"/>
        </w:rPr>
      </w:pPr>
      <w:r>
        <w:rPr>
          <w:rFonts w:ascii="仿宋" w:hAnsi="仿宋" w:eastAsia="仿宋"/>
          <w:sz w:val="24"/>
          <w:highlight w:val="none"/>
        </w:rPr>
        <w:t xml:space="preserve">1.5.1 </w:t>
      </w:r>
      <w:r>
        <w:rPr>
          <w:rFonts w:hint="eastAsia" w:ascii="仿宋" w:hAnsi="仿宋" w:eastAsia="仿宋"/>
          <w:sz w:val="24"/>
          <w:highlight w:val="none"/>
        </w:rPr>
        <w:t>交付期限：</w:t>
      </w:r>
      <w:r>
        <w:rPr>
          <w:rFonts w:ascii="仿宋" w:hAnsi="仿宋" w:eastAsia="仿宋"/>
          <w:sz w:val="24"/>
          <w:highlight w:val="none"/>
        </w:rPr>
        <w:t>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440" w:lineRule="exact"/>
        <w:ind w:firstLine="480" w:firstLineChars="200"/>
        <w:rPr>
          <w:rFonts w:ascii="仿宋" w:hAnsi="仿宋" w:eastAsia="仿宋"/>
          <w:sz w:val="24"/>
          <w:highlight w:val="none"/>
        </w:rPr>
      </w:pPr>
      <w:r>
        <w:rPr>
          <w:rFonts w:ascii="仿宋" w:hAnsi="仿宋" w:eastAsia="仿宋"/>
          <w:sz w:val="24"/>
          <w:highlight w:val="none"/>
        </w:rPr>
        <w:t xml:space="preserve">1.5.2 </w:t>
      </w:r>
      <w:r>
        <w:rPr>
          <w:rFonts w:hint="eastAsia" w:ascii="仿宋" w:hAnsi="仿宋" w:eastAsia="仿宋"/>
          <w:sz w:val="24"/>
          <w:highlight w:val="none"/>
        </w:rPr>
        <w:t>交付地点：</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1.5.3 </w:t>
      </w:r>
      <w:r>
        <w:rPr>
          <w:rFonts w:hint="eastAsia" w:ascii="仿宋" w:hAnsi="仿宋" w:eastAsia="仿宋"/>
          <w:sz w:val="24"/>
          <w:highlight w:val="none"/>
        </w:rPr>
        <w:t>交付方式：</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25" w:name="_Toc19554"/>
      <w:bookmarkStart w:id="26" w:name="_Toc27250"/>
      <w:bookmarkStart w:id="27" w:name="_Toc21423"/>
      <w:r>
        <w:rPr>
          <w:rFonts w:ascii="仿宋" w:hAnsi="仿宋" w:eastAsia="仿宋"/>
          <w:b/>
          <w:sz w:val="24"/>
          <w:highlight w:val="none"/>
        </w:rPr>
        <w:t xml:space="preserve">1.6 </w:t>
      </w:r>
      <w:r>
        <w:rPr>
          <w:rFonts w:hint="eastAsia" w:ascii="仿宋" w:hAnsi="仿宋" w:eastAsia="仿宋"/>
          <w:b/>
          <w:sz w:val="24"/>
          <w:highlight w:val="none"/>
        </w:rPr>
        <w:t>违约责任</w:t>
      </w:r>
      <w:bookmarkEnd w:id="25"/>
      <w:bookmarkEnd w:id="26"/>
      <w:bookmarkEnd w:id="27"/>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1.6.1 </w:t>
      </w:r>
      <w:r>
        <w:rPr>
          <w:rFonts w:hint="eastAsia" w:ascii="仿宋" w:hAnsi="仿宋" w:eastAsia="仿宋"/>
          <w:sz w:val="24"/>
          <w:highlight w:val="none"/>
        </w:rPr>
        <w:t>除不可抗力外，如果乙方没有按照本合同约定的期限、地点和方式提供货物，那么甲方可要求乙方支付违约金</w:t>
      </w:r>
      <w:r>
        <w:rPr>
          <w:rFonts w:ascii="仿宋" w:hAnsi="仿宋" w:eastAsia="仿宋"/>
          <w:sz w:val="24"/>
          <w:highlight w:val="none"/>
        </w:rPr>
        <w:t>；迟延交付的违约金计算数额达到前述最高限额之日起，甲方有权在要求乙方支付违约金的同时，书面通知乙方解除本合同；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1.6.2 </w:t>
      </w:r>
      <w:r>
        <w:rPr>
          <w:rFonts w:hint="eastAsia" w:ascii="仿宋" w:hAnsi="仿宋" w:eastAsia="仿宋"/>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sz w:val="24"/>
          <w:highlight w:val="none"/>
        </w:rPr>
        <w:t>%计算，最高限额为本合同总价的%；迟延付款的违约金计算数额达到前述最高限额之日起，乙方有权在要求甲方支付违约金的同时，书面通知甲方解除本合同；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highlight w:val="none"/>
        </w:rPr>
      </w:pPr>
      <w:r>
        <w:rPr>
          <w:rFonts w:hint="eastAsia" w:ascii="仿宋" w:hAnsi="仿宋" w:eastAsia="仿宋"/>
          <w:sz w:val="24"/>
          <w:highlight w:val="none"/>
        </w:rPr>
        <w:t>1.6.7违约责任</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另有约定的，从其约定。</w:t>
      </w:r>
    </w:p>
    <w:p>
      <w:pPr>
        <w:spacing w:line="560" w:lineRule="exact"/>
        <w:ind w:firstLine="482" w:firstLineChars="200"/>
        <w:outlineLvl w:val="0"/>
        <w:rPr>
          <w:rFonts w:ascii="仿宋" w:hAnsi="仿宋" w:eastAsia="仿宋"/>
          <w:b/>
          <w:sz w:val="24"/>
          <w:highlight w:val="none"/>
        </w:rPr>
      </w:pPr>
      <w:bookmarkStart w:id="28" w:name="_Toc28375"/>
      <w:bookmarkStart w:id="29" w:name="_Toc15583"/>
      <w:bookmarkStart w:id="30" w:name="_Toc16021"/>
      <w:r>
        <w:rPr>
          <w:rFonts w:ascii="仿宋" w:hAnsi="仿宋" w:eastAsia="仿宋"/>
          <w:b/>
          <w:sz w:val="24"/>
          <w:highlight w:val="none"/>
        </w:rPr>
        <w:t xml:space="preserve">1.7 </w:t>
      </w:r>
      <w:r>
        <w:rPr>
          <w:rFonts w:hint="eastAsia" w:ascii="仿宋" w:hAnsi="仿宋" w:eastAsia="仿宋"/>
          <w:b/>
          <w:sz w:val="24"/>
          <w:highlight w:val="none"/>
        </w:rPr>
        <w:t>合同争议的解决</w:t>
      </w:r>
      <w:bookmarkEnd w:id="28"/>
      <w:bookmarkEnd w:id="29"/>
      <w:bookmarkEnd w:id="30"/>
    </w:p>
    <w:p>
      <w:pPr>
        <w:spacing w:line="560" w:lineRule="exact"/>
        <w:ind w:left="-61" w:leftChars="-29" w:right="-420" w:rightChars="-200" w:firstLine="240" w:firstLineChars="100"/>
        <w:rPr>
          <w:rFonts w:ascii="仿宋" w:hAnsi="仿宋" w:eastAsia="仿宋"/>
          <w:sz w:val="24"/>
          <w:highlight w:val="none"/>
        </w:rPr>
      </w:pPr>
      <w:r>
        <w:rPr>
          <w:rFonts w:hint="eastAsia" w:ascii="仿宋" w:hAnsi="仿宋" w:eastAsia="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highlight w:val="none"/>
          <w:u w:val="single"/>
        </w:rPr>
        <w:t xml:space="preserve"> 合同专用条款  </w:t>
      </w:r>
      <w:r>
        <w:rPr>
          <w:rFonts w:hint="eastAsia" w:ascii="仿宋" w:hAnsi="仿宋" w:eastAsia="仿宋"/>
          <w:sz w:val="24"/>
          <w:highlight w:val="none"/>
        </w:rPr>
        <w:t>条款规定的方式解决：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1.7.1 </w:t>
      </w:r>
      <w:r>
        <w:rPr>
          <w:rFonts w:hint="eastAsia" w:ascii="仿宋" w:hAnsi="仿宋" w:eastAsia="仿宋"/>
          <w:sz w:val="24"/>
          <w:highlight w:val="none"/>
        </w:rPr>
        <w:t>将争议提交</w:t>
      </w:r>
      <w:r>
        <w:rPr>
          <w:rFonts w:hint="eastAsia" w:ascii="仿宋" w:hAnsi="仿宋" w:eastAsia="仿宋"/>
          <w:b/>
          <w:i/>
          <w:sz w:val="24"/>
          <w:highlight w:val="none"/>
          <w:u w:val="single"/>
        </w:rPr>
        <w:t>合同专用条款</w:t>
      </w:r>
      <w:r>
        <w:rPr>
          <w:rFonts w:hint="eastAsia" w:ascii="仿宋" w:hAnsi="仿宋" w:eastAsia="仿宋"/>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1.7.2 </w:t>
      </w:r>
      <w:r>
        <w:rPr>
          <w:rFonts w:hint="eastAsia" w:ascii="仿宋" w:hAnsi="仿宋" w:eastAsia="仿宋"/>
          <w:sz w:val="24"/>
          <w:highlight w:val="none"/>
        </w:rPr>
        <w:t>向</w:t>
      </w:r>
      <w:r>
        <w:rPr>
          <w:rFonts w:hint="eastAsia" w:ascii="仿宋" w:hAnsi="仿宋" w:eastAsia="仿宋"/>
          <w:b/>
          <w:i/>
          <w:sz w:val="24"/>
          <w:highlight w:val="none"/>
          <w:u w:val="single"/>
        </w:rPr>
        <w:t>合同专用条款</w:t>
      </w:r>
      <w:r>
        <w:rPr>
          <w:rFonts w:hint="eastAsia" w:ascii="仿宋" w:hAnsi="仿宋" w:eastAsia="仿宋"/>
          <w:sz w:val="24"/>
          <w:highlight w:val="none"/>
        </w:rPr>
        <w:t>人民法院起诉。</w:t>
      </w:r>
    </w:p>
    <w:p>
      <w:pPr>
        <w:spacing w:line="560" w:lineRule="exact"/>
        <w:ind w:firstLine="482" w:firstLineChars="200"/>
        <w:outlineLvl w:val="0"/>
        <w:rPr>
          <w:rFonts w:ascii="仿宋" w:hAnsi="仿宋" w:eastAsia="仿宋"/>
          <w:b/>
          <w:sz w:val="24"/>
          <w:highlight w:val="none"/>
        </w:rPr>
      </w:pPr>
      <w:bookmarkStart w:id="31" w:name="_Toc7245"/>
      <w:bookmarkStart w:id="32" w:name="_Toc15322"/>
      <w:bookmarkStart w:id="33" w:name="_Toc11173"/>
      <w:r>
        <w:rPr>
          <w:rFonts w:ascii="仿宋" w:hAnsi="仿宋" w:eastAsia="仿宋"/>
          <w:b/>
          <w:sz w:val="24"/>
          <w:highlight w:val="none"/>
        </w:rPr>
        <w:t xml:space="preserve">1.8 </w:t>
      </w:r>
      <w:r>
        <w:rPr>
          <w:rFonts w:hint="eastAsia" w:ascii="仿宋" w:hAnsi="仿宋" w:eastAsia="仿宋"/>
          <w:b/>
          <w:sz w:val="24"/>
          <w:highlight w:val="none"/>
        </w:rPr>
        <w:t>合同生效</w:t>
      </w:r>
      <w:bookmarkEnd w:id="31"/>
      <w:bookmarkEnd w:id="32"/>
      <w:bookmarkEnd w:id="33"/>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本合同自双方当事人盖章或者签字时生效。</w:t>
      </w:r>
    </w:p>
    <w:p>
      <w:pPr>
        <w:autoSpaceDE w:val="0"/>
        <w:autoSpaceDN w:val="0"/>
        <w:spacing w:line="24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b/>
          <w:sz w:val="24"/>
          <w:highlight w:val="none"/>
          <w:lang w:val="zh-CN"/>
        </w:rPr>
        <w:t xml:space="preserve">    </w:t>
      </w:r>
      <w:r>
        <w:rPr>
          <w:rFonts w:hint="eastAsia" w:ascii="仿宋" w:hAnsi="仿宋" w:eastAsia="仿宋"/>
          <w:b/>
          <w:sz w:val="24"/>
          <w:highlight w:val="none"/>
        </w:rPr>
        <w:t xml:space="preserve">                        </w:t>
      </w:r>
      <w:r>
        <w:rPr>
          <w:rFonts w:ascii="仿宋" w:hAnsi="仿宋" w:eastAsia="仿宋"/>
          <w:b/>
          <w:sz w:val="24"/>
          <w:highlight w:val="none"/>
          <w:lang w:val="zh-CN"/>
        </w:rPr>
        <w:t xml:space="preserve">  </w:t>
      </w:r>
      <w:r>
        <w:rPr>
          <w:rFonts w:hint="eastAsia" w:ascii="仿宋" w:hAnsi="仿宋" w:eastAsia="仿宋"/>
          <w:b/>
          <w:sz w:val="24"/>
          <w:highlight w:val="none"/>
        </w:rPr>
        <w:t xml:space="preserve">  </w:t>
      </w:r>
      <w:r>
        <w:rPr>
          <w:rFonts w:ascii="仿宋" w:hAnsi="仿宋" w:eastAsia="仿宋"/>
          <w:b/>
          <w:sz w:val="24"/>
          <w:highlight w:val="none"/>
          <w:lang w:val="zh-CN"/>
        </w:rPr>
        <w:t>乙方</w:t>
      </w:r>
      <w:r>
        <w:rPr>
          <w:rFonts w:hint="eastAsia" w:ascii="仿宋" w:hAnsi="仿宋" w:eastAsia="仿宋"/>
          <w:sz w:val="24"/>
          <w:highlight w:val="none"/>
          <w:lang w:val="zh-CN"/>
        </w:rPr>
        <w:t>：</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w:t>
      </w:r>
      <w:r>
        <w:rPr>
          <w:rFonts w:hint="eastAsia" w:ascii="仿宋" w:hAnsi="仿宋" w:eastAsia="仿宋"/>
          <w:sz w:val="24"/>
          <w:highlight w:val="none"/>
        </w:rPr>
        <w:t xml:space="preserve">                    </w:t>
      </w:r>
      <w:r>
        <w:rPr>
          <w:rFonts w:hint="eastAsia" w:ascii="仿宋" w:hAnsi="仿宋" w:eastAsia="仿宋"/>
          <w:sz w:val="24"/>
          <w:highlight w:val="none"/>
          <w:lang w:val="zh-CN"/>
        </w:rPr>
        <w:t>统一社会信用代码或身份证号码：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w:t>
      </w:r>
      <w:r>
        <w:rPr>
          <w:rFonts w:hint="eastAsia" w:ascii="仿宋" w:hAnsi="仿宋" w:eastAsia="仿宋"/>
          <w:sz w:val="24"/>
          <w:highlight w:val="none"/>
        </w:rPr>
        <w:t xml:space="preserve">                                </w:t>
      </w:r>
      <w:r>
        <w:rPr>
          <w:rFonts w:hint="eastAsia" w:ascii="仿宋" w:hAnsi="仿宋" w:eastAsia="仿宋"/>
          <w:sz w:val="24"/>
          <w:highlight w:val="none"/>
          <w:lang w:val="zh-CN"/>
        </w:rPr>
        <w:t>住所：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w:t>
      </w:r>
      <w:r>
        <w:rPr>
          <w:rFonts w:hint="eastAsia" w:ascii="仿宋" w:hAnsi="仿宋" w:eastAsia="仿宋"/>
          <w:sz w:val="24"/>
          <w:highlight w:val="none"/>
        </w:rPr>
        <w:t xml:space="preserve">                               </w:t>
      </w:r>
      <w:r>
        <w:rPr>
          <w:rFonts w:hint="eastAsia" w:ascii="仿宋" w:hAnsi="仿宋" w:eastAsia="仿宋"/>
          <w:sz w:val="24"/>
          <w:highlight w:val="none"/>
          <w:lang w:val="zh-CN"/>
        </w:rPr>
        <w:t>法定代表人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或授权代表（签字）：</w:t>
      </w:r>
      <w:r>
        <w:rPr>
          <w:rFonts w:ascii="仿宋" w:hAnsi="仿宋" w:eastAsia="仿宋"/>
          <w:sz w:val="24"/>
          <w:highlight w:val="none"/>
          <w:lang w:val="zh-CN"/>
        </w:rPr>
        <w:t xml:space="preserve">                     或授权代表（签字）: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w:t>
      </w:r>
      <w:r>
        <w:rPr>
          <w:rFonts w:hint="eastAsia" w:ascii="仿宋" w:hAnsi="仿宋" w:eastAsia="仿宋"/>
          <w:sz w:val="24"/>
          <w:highlight w:val="none"/>
        </w:rPr>
        <w:t xml:space="preserve">                                 </w:t>
      </w:r>
      <w:r>
        <w:rPr>
          <w:rFonts w:hint="eastAsia" w:ascii="仿宋" w:hAnsi="仿宋" w:eastAsia="仿宋"/>
          <w:sz w:val="24"/>
          <w:highlight w:val="none"/>
          <w:lang w:val="zh-CN"/>
        </w:rPr>
        <w:t>联系人：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w:t>
      </w:r>
      <w:r>
        <w:rPr>
          <w:rFonts w:hint="eastAsia" w:ascii="仿宋" w:hAnsi="仿宋" w:eastAsia="仿宋"/>
          <w:sz w:val="24"/>
          <w:highlight w:val="none"/>
        </w:rPr>
        <w:t xml:space="preserve">                           </w:t>
      </w:r>
      <w:r>
        <w:rPr>
          <w:rFonts w:hint="eastAsia" w:ascii="仿宋" w:hAnsi="仿宋" w:eastAsia="仿宋"/>
          <w:sz w:val="24"/>
          <w:highlight w:val="none"/>
          <w:lang w:val="zh-CN"/>
        </w:rPr>
        <w:t>约定送达地址：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w:t>
      </w:r>
      <w:r>
        <w:rPr>
          <w:rFonts w:hint="eastAsia" w:ascii="仿宋" w:hAnsi="仿宋" w:eastAsia="仿宋"/>
          <w:sz w:val="24"/>
          <w:highlight w:val="none"/>
        </w:rPr>
        <w:t xml:space="preserve">                               </w:t>
      </w:r>
      <w:r>
        <w:rPr>
          <w:rFonts w:hint="eastAsia" w:ascii="仿宋" w:hAnsi="仿宋" w:eastAsia="仿宋"/>
          <w:sz w:val="24"/>
          <w:highlight w:val="none"/>
          <w:lang w:val="zh-CN"/>
        </w:rPr>
        <w:t>邮政编码：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w:t>
      </w:r>
      <w:r>
        <w:rPr>
          <w:rFonts w:hint="eastAsia" w:ascii="仿宋" w:hAnsi="仿宋" w:eastAsia="仿宋"/>
          <w:sz w:val="24"/>
          <w:highlight w:val="none"/>
        </w:rPr>
        <w:t xml:space="preserve">                               </w:t>
      </w:r>
      <w:r>
        <w:rPr>
          <w:rFonts w:hint="eastAsia" w:ascii="仿宋" w:hAnsi="仿宋" w:eastAsia="仿宋"/>
          <w:sz w:val="24"/>
          <w:highlight w:val="none"/>
          <w:lang w:val="zh-CN"/>
        </w:rPr>
        <w:t>电子邮箱：</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                               开户账号：</w:t>
      </w:r>
    </w:p>
    <w:p>
      <w:pPr>
        <w:widowControl/>
        <w:spacing w:line="560" w:lineRule="exact"/>
        <w:jc w:val="left"/>
        <w:rPr>
          <w:rFonts w:ascii="仿宋" w:hAnsi="仿宋" w:eastAsia="仿宋"/>
          <w:b/>
          <w:sz w:val="24"/>
          <w:highlight w:val="none"/>
        </w:rPr>
      </w:pPr>
    </w:p>
    <w:p>
      <w:pPr>
        <w:pStyle w:val="118"/>
        <w:pageBreakBefore/>
        <w:spacing w:line="560" w:lineRule="exact"/>
        <w:ind w:firstLine="723"/>
        <w:jc w:val="center"/>
        <w:rPr>
          <w:rFonts w:ascii="仿宋" w:hAnsi="仿宋" w:eastAsia="仿宋"/>
          <w:b/>
          <w:sz w:val="36"/>
          <w:szCs w:val="36"/>
          <w:highlight w:val="none"/>
        </w:rPr>
      </w:pPr>
      <w:r>
        <w:rPr>
          <w:rFonts w:hint="eastAsia" w:ascii="仿宋" w:hAnsi="仿宋" w:eastAsia="仿宋"/>
          <w:b/>
          <w:sz w:val="36"/>
          <w:szCs w:val="36"/>
          <w:highlight w:val="none"/>
        </w:rPr>
        <w:t>第二部分合同一般条款</w:t>
      </w:r>
    </w:p>
    <w:p>
      <w:pPr>
        <w:spacing w:line="560" w:lineRule="exact"/>
        <w:ind w:firstLine="482" w:firstLineChars="200"/>
        <w:outlineLvl w:val="0"/>
        <w:rPr>
          <w:rFonts w:ascii="仿宋" w:hAnsi="仿宋" w:eastAsia="仿宋"/>
          <w:b/>
          <w:sz w:val="24"/>
          <w:highlight w:val="none"/>
        </w:rPr>
      </w:pPr>
      <w:bookmarkStart w:id="34" w:name="_Ref467378499"/>
      <w:bookmarkStart w:id="35" w:name="_Toc28763"/>
      <w:bookmarkStart w:id="36" w:name="_Ref467379205"/>
      <w:bookmarkStart w:id="37" w:name="_Ref467379214"/>
      <w:bookmarkStart w:id="38" w:name="_Toc487900349"/>
      <w:bookmarkStart w:id="39" w:name="_Toc259093669"/>
      <w:bookmarkStart w:id="40" w:name="_Toc16917"/>
      <w:bookmarkStart w:id="41" w:name="_Ref467378404"/>
      <w:bookmarkStart w:id="42" w:name="_Ref467379225"/>
      <w:bookmarkStart w:id="43" w:name="_Ref467379195"/>
      <w:bookmarkStart w:id="44" w:name="_Toc19614"/>
      <w:bookmarkStart w:id="45" w:name="_Ref467379094"/>
      <w:bookmarkStart w:id="46" w:name="_Ref467378463"/>
      <w:bookmarkStart w:id="47" w:name="_Ref467379109"/>
      <w:bookmarkStart w:id="48" w:name="_Toc279701240"/>
      <w:bookmarkStart w:id="49" w:name="_Ref467379101"/>
      <w:r>
        <w:rPr>
          <w:rFonts w:ascii="仿宋" w:hAnsi="仿宋" w:eastAsia="仿宋"/>
          <w:b/>
          <w:sz w:val="24"/>
          <w:highlight w:val="none"/>
        </w:rPr>
        <w:t xml:space="preserve">2.1 </w:t>
      </w:r>
      <w:r>
        <w:rPr>
          <w:rFonts w:hint="eastAsia" w:ascii="仿宋" w:hAnsi="仿宋" w:eastAsia="仿宋"/>
          <w:b/>
          <w:sz w:val="24"/>
          <w:highlight w:val="none"/>
        </w:rPr>
        <w:t>定义</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本合同中的下列词语应按以下内容进行解释：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2.1.1 </w:t>
      </w:r>
      <w:r>
        <w:rPr>
          <w:rFonts w:hint="eastAsia" w:ascii="仿宋" w:hAnsi="仿宋" w:eastAsia="仿宋"/>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 </w:t>
      </w:r>
      <w:r>
        <w:rPr>
          <w:rFonts w:hint="eastAsia" w:ascii="仿宋" w:hAnsi="仿宋" w:eastAsia="仿宋"/>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2.1.3 </w:t>
      </w:r>
      <w:r>
        <w:rPr>
          <w:rFonts w:hint="eastAsia" w:ascii="仿宋" w:hAnsi="仿宋" w:eastAsia="仿宋"/>
          <w:sz w:val="24"/>
          <w:highlight w:val="none"/>
        </w:rPr>
        <w:t>“服务”系指中标供应商根据合同约定应向采购人履行的除货物和工程以外的其他政府采购对象，包括采购人自身需要的服务和向社会公众提供的公共服务。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sz w:val="24"/>
          <w:highlight w:val="none"/>
        </w:rPr>
      </w:pPr>
      <w:bookmarkStart w:id="50" w:name="_Ref467378840"/>
      <w:r>
        <w:rPr>
          <w:rFonts w:ascii="仿宋" w:hAnsi="仿宋" w:eastAsia="仿宋"/>
          <w:sz w:val="24"/>
          <w:highlight w:val="none"/>
        </w:rPr>
        <w:t xml:space="preserve">2.1.4 </w:t>
      </w:r>
      <w:r>
        <w:rPr>
          <w:rFonts w:hint="eastAsia" w:ascii="仿宋" w:hAnsi="仿宋" w:eastAsia="仿宋"/>
          <w:sz w:val="24"/>
          <w:highlight w:val="none"/>
        </w:rPr>
        <w:t>“甲方”系指与中标供应商签署合同的采购人</w:t>
      </w:r>
      <w:bookmarkEnd w:id="50"/>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bookmarkStart w:id="51" w:name="_Ref467379400"/>
      <w:r>
        <w:rPr>
          <w:rFonts w:ascii="仿宋" w:hAnsi="仿宋" w:eastAsia="仿宋"/>
          <w:sz w:val="24"/>
          <w:highlight w:val="none"/>
        </w:rPr>
        <w:t xml:space="preserve">2.1.5 </w:t>
      </w:r>
      <w:r>
        <w:rPr>
          <w:rFonts w:hint="eastAsia" w:ascii="仿宋" w:hAnsi="仿宋" w:eastAsia="仿宋"/>
          <w:sz w:val="24"/>
          <w:highlight w:val="none"/>
        </w:rPr>
        <w:t>“乙方”系指根据合同约定提供服务的中标供应商</w:t>
      </w:r>
      <w:bookmarkEnd w:id="51"/>
      <w:r>
        <w:rPr>
          <w:rFonts w:hint="eastAsia" w:ascii="仿宋" w:hAnsi="仿宋" w:eastAsia="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highlight w:val="none"/>
        </w:rPr>
      </w:pPr>
      <w:bookmarkStart w:id="52" w:name="_Ref467379436"/>
      <w:r>
        <w:rPr>
          <w:rFonts w:ascii="仿宋" w:hAnsi="仿宋" w:eastAsia="仿宋"/>
          <w:sz w:val="24"/>
          <w:highlight w:val="none"/>
        </w:rPr>
        <w:t xml:space="preserve">2.1.6 </w:t>
      </w:r>
      <w:r>
        <w:rPr>
          <w:rFonts w:hint="eastAsia" w:ascii="仿宋" w:hAnsi="仿宋" w:eastAsia="仿宋"/>
          <w:sz w:val="24"/>
          <w:highlight w:val="none"/>
        </w:rPr>
        <w:t>“现场”系指合同约定服务地点。</w:t>
      </w:r>
      <w:bookmarkEnd w:id="52"/>
    </w:p>
    <w:p>
      <w:pPr>
        <w:spacing w:line="560" w:lineRule="exact"/>
        <w:ind w:firstLine="482" w:firstLineChars="200"/>
        <w:outlineLvl w:val="0"/>
        <w:rPr>
          <w:rFonts w:ascii="仿宋" w:hAnsi="仿宋" w:eastAsia="仿宋"/>
          <w:b/>
          <w:sz w:val="24"/>
          <w:highlight w:val="none"/>
        </w:rPr>
      </w:pPr>
      <w:bookmarkStart w:id="53" w:name="_Toc487900350"/>
      <w:bookmarkStart w:id="54" w:name="_Toc259093670"/>
      <w:bookmarkStart w:id="55" w:name="_Toc13336"/>
      <w:bookmarkStart w:id="56" w:name="_Toc27635"/>
      <w:bookmarkStart w:id="57" w:name="_Toc279701241"/>
      <w:bookmarkStart w:id="58" w:name="_Toc32504"/>
      <w:r>
        <w:rPr>
          <w:rFonts w:ascii="仿宋" w:hAnsi="仿宋" w:eastAsia="仿宋"/>
          <w:b/>
          <w:sz w:val="24"/>
          <w:highlight w:val="none"/>
        </w:rPr>
        <w:t xml:space="preserve">2.2 </w:t>
      </w:r>
      <w:r>
        <w:rPr>
          <w:rFonts w:hint="eastAsia" w:ascii="仿宋" w:hAnsi="仿宋" w:eastAsia="仿宋"/>
          <w:b/>
          <w:sz w:val="24"/>
          <w:highlight w:val="none"/>
        </w:rPr>
        <w:t>技术规范</w:t>
      </w:r>
      <w:bookmarkEnd w:id="53"/>
      <w:bookmarkEnd w:id="54"/>
      <w:bookmarkEnd w:id="55"/>
      <w:bookmarkEnd w:id="56"/>
      <w:bookmarkEnd w:id="57"/>
      <w:bookmarkEnd w:id="58"/>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服务所应遵守的技术规范应与采购文件规定的技术规范和技术规范附件</w:t>
      </w:r>
      <w:r>
        <w:rPr>
          <w:rFonts w:ascii="仿宋" w:hAnsi="仿宋" w:eastAsia="仿宋"/>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highlight w:val="none"/>
        </w:rPr>
      </w:pPr>
      <w:bookmarkStart w:id="59" w:name="_Toc27853"/>
      <w:bookmarkStart w:id="60" w:name="_Toc9829"/>
      <w:bookmarkStart w:id="61" w:name="_Toc279701242"/>
      <w:bookmarkStart w:id="62" w:name="_Toc31634"/>
      <w:bookmarkStart w:id="63" w:name="_Toc259093671"/>
      <w:bookmarkStart w:id="64" w:name="_Toc487900351"/>
      <w:r>
        <w:rPr>
          <w:rFonts w:ascii="仿宋" w:hAnsi="仿宋" w:eastAsia="仿宋"/>
          <w:b/>
          <w:sz w:val="24"/>
          <w:highlight w:val="none"/>
        </w:rPr>
        <w:t xml:space="preserve">2.3 </w:t>
      </w:r>
      <w:r>
        <w:rPr>
          <w:rFonts w:hint="eastAsia" w:ascii="仿宋" w:hAnsi="仿宋" w:eastAsia="仿宋"/>
          <w:b/>
          <w:sz w:val="24"/>
          <w:highlight w:val="none"/>
        </w:rPr>
        <w:t>知识产权</w:t>
      </w:r>
      <w:bookmarkEnd w:id="59"/>
      <w:bookmarkEnd w:id="60"/>
      <w:bookmarkEnd w:id="61"/>
      <w:bookmarkEnd w:id="62"/>
      <w:bookmarkEnd w:id="63"/>
      <w:bookmarkEnd w:id="64"/>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2.3.1 </w:t>
      </w:r>
      <w:r>
        <w:rPr>
          <w:rFonts w:hint="eastAsia" w:ascii="仿宋" w:hAnsi="仿宋" w:eastAsia="仿宋"/>
          <w:sz w:val="24"/>
          <w:highlight w:val="none"/>
        </w:rPr>
        <w:t>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2.3.2</w:t>
      </w:r>
      <w:r>
        <w:rPr>
          <w:rFonts w:hint="eastAsia" w:ascii="仿宋" w:hAnsi="仿宋" w:eastAsia="仿宋"/>
          <w:sz w:val="24"/>
          <w:highlight w:val="none"/>
        </w:rPr>
        <w:t>合同涉及技术成果的归属</w:t>
      </w:r>
      <w:r>
        <w:rPr>
          <w:rFonts w:ascii="仿宋" w:hAnsi="仿宋" w:eastAsia="仿宋"/>
          <w:sz w:val="24"/>
          <w:highlight w:val="none"/>
        </w:rPr>
        <w:t>，详见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65" w:name="_Ref467379536"/>
      <w:bookmarkStart w:id="66" w:name="_Toc279701245"/>
      <w:bookmarkStart w:id="67" w:name="_Toc259093674"/>
      <w:bookmarkStart w:id="68" w:name="_Toc487900354"/>
      <w:bookmarkStart w:id="69" w:name="_Ref467379527"/>
      <w:bookmarkStart w:id="70" w:name="_Ref467378541"/>
      <w:bookmarkStart w:id="71" w:name="_Ref467379542"/>
      <w:bookmarkStart w:id="72" w:name="_Ref467378591"/>
      <w:bookmarkStart w:id="73" w:name="_Toc19074"/>
      <w:bookmarkStart w:id="74" w:name="_Toc30272"/>
      <w:bookmarkStart w:id="75" w:name="_Toc26182"/>
      <w:r>
        <w:rPr>
          <w:rFonts w:ascii="仿宋" w:hAnsi="仿宋" w:eastAsia="仿宋"/>
          <w:b/>
          <w:sz w:val="24"/>
          <w:highlight w:val="none"/>
        </w:rPr>
        <w:t>2.</w:t>
      </w:r>
      <w:bookmarkEnd w:id="65"/>
      <w:bookmarkEnd w:id="66"/>
      <w:bookmarkEnd w:id="67"/>
      <w:bookmarkEnd w:id="68"/>
      <w:bookmarkEnd w:id="69"/>
      <w:bookmarkEnd w:id="70"/>
      <w:bookmarkEnd w:id="71"/>
      <w:bookmarkEnd w:id="72"/>
      <w:r>
        <w:rPr>
          <w:rFonts w:hint="eastAsia" w:ascii="仿宋" w:hAnsi="仿宋" w:eastAsia="仿宋"/>
          <w:b/>
          <w:sz w:val="24"/>
          <w:highlight w:val="none"/>
        </w:rPr>
        <w:t>4履约检查和问题反馈</w:t>
      </w:r>
      <w:bookmarkEnd w:id="73"/>
      <w:bookmarkEnd w:id="74"/>
      <w:bookmarkEnd w:id="75"/>
    </w:p>
    <w:p>
      <w:pPr>
        <w:spacing w:line="560" w:lineRule="exact"/>
        <w:ind w:firstLine="480" w:firstLineChars="200"/>
        <w:rPr>
          <w:rFonts w:ascii="仿宋" w:hAnsi="仿宋" w:eastAsia="仿宋"/>
          <w:sz w:val="24"/>
          <w:highlight w:val="none"/>
        </w:rPr>
      </w:pPr>
      <w:bookmarkStart w:id="76" w:name="_Ref467379657"/>
      <w:r>
        <w:rPr>
          <w:rFonts w:ascii="仿宋" w:hAnsi="仿宋" w:eastAsia="仿宋"/>
          <w:sz w:val="24"/>
          <w:highlight w:val="none"/>
        </w:rPr>
        <w:t>2.</w:t>
      </w:r>
      <w:r>
        <w:rPr>
          <w:rFonts w:hint="eastAsia" w:ascii="仿宋" w:hAnsi="仿宋" w:eastAsia="仿宋"/>
          <w:sz w:val="24"/>
          <w:highlight w:val="none"/>
        </w:rPr>
        <w:t>4</w:t>
      </w:r>
      <w:r>
        <w:rPr>
          <w:rFonts w:ascii="仿宋" w:hAnsi="仿宋" w:eastAsia="仿宋"/>
          <w:sz w:val="24"/>
          <w:highlight w:val="none"/>
        </w:rPr>
        <w:t>.1</w:t>
      </w:r>
      <w:bookmarkEnd w:id="76"/>
      <w:bookmarkStart w:id="77" w:name="_Toc186431854"/>
      <w:bookmarkStart w:id="78" w:name="_Ref467379807"/>
      <w:bookmarkStart w:id="79" w:name="_Toc279701247"/>
      <w:bookmarkStart w:id="80" w:name="_Toc487900357"/>
      <w:bookmarkStart w:id="81" w:name="_Ref467379793"/>
      <w:bookmarkStart w:id="82" w:name="_Toc259093676"/>
      <w:r>
        <w:rPr>
          <w:rFonts w:hint="eastAsia" w:ascii="仿宋" w:hAnsi="仿宋" w:eastAsia="仿宋"/>
          <w:sz w:val="24"/>
          <w:highlight w:val="none"/>
        </w:rPr>
        <w:t>甲方有权在其认为必要时，对乙方是否能够按照合同约定提供服务进行履约检查，以确保乙方所提供服务能够依约满足甲方之项目需求，但不得因履约检查妨碍乙方的正常工作，乙方应予积极配合；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4</w:t>
      </w:r>
      <w:r>
        <w:rPr>
          <w:rFonts w:ascii="仿宋" w:hAnsi="仿宋" w:eastAsia="仿宋"/>
          <w:sz w:val="24"/>
          <w:highlight w:val="none"/>
        </w:rPr>
        <w:t xml:space="preserve">.2 </w:t>
      </w:r>
      <w:r>
        <w:rPr>
          <w:rFonts w:hint="eastAsia" w:ascii="仿宋" w:hAnsi="仿宋" w:eastAsia="仿宋"/>
          <w:sz w:val="24"/>
          <w:highlight w:val="none"/>
        </w:rPr>
        <w:t>合同履行期间，甲方有权将履行过程中出现的问题反馈给乙方，双方当事人应以书面形式约定需要完善和改进的内容</w:t>
      </w:r>
      <w:bookmarkEnd w:id="77"/>
      <w:bookmarkStart w:id="83" w:name="_Toc186431855"/>
      <w:r>
        <w:rPr>
          <w:rFonts w:hint="eastAsia" w:ascii="仿宋" w:hAnsi="仿宋" w:eastAsia="仿宋"/>
          <w:sz w:val="24"/>
          <w:highlight w:val="none"/>
        </w:rPr>
        <w:t>。</w:t>
      </w:r>
    </w:p>
    <w:bookmarkEnd w:id="78"/>
    <w:bookmarkEnd w:id="79"/>
    <w:bookmarkEnd w:id="80"/>
    <w:bookmarkEnd w:id="81"/>
    <w:bookmarkEnd w:id="82"/>
    <w:bookmarkEnd w:id="83"/>
    <w:p>
      <w:pPr>
        <w:spacing w:line="560" w:lineRule="exact"/>
        <w:ind w:firstLine="482" w:firstLineChars="200"/>
        <w:outlineLvl w:val="0"/>
        <w:rPr>
          <w:rFonts w:ascii="仿宋" w:hAnsi="仿宋" w:eastAsia="仿宋"/>
          <w:b/>
          <w:sz w:val="24"/>
          <w:highlight w:val="none"/>
        </w:rPr>
      </w:pPr>
      <w:bookmarkStart w:id="84" w:name="_Toc7502"/>
      <w:bookmarkStart w:id="85" w:name="_Toc487900364"/>
      <w:bookmarkStart w:id="86" w:name="_Ref467378121"/>
      <w:bookmarkStart w:id="87" w:name="_Toc259093683"/>
      <w:bookmarkStart w:id="88" w:name="_Toc279701254"/>
      <w:r>
        <w:rPr>
          <w:rFonts w:ascii="仿宋" w:hAnsi="仿宋" w:eastAsia="仿宋"/>
          <w:b/>
          <w:sz w:val="24"/>
          <w:highlight w:val="none"/>
        </w:rPr>
        <w:t>2.</w:t>
      </w:r>
      <w:r>
        <w:rPr>
          <w:rFonts w:hint="eastAsia" w:ascii="仿宋" w:hAnsi="仿宋" w:eastAsia="仿宋"/>
          <w:b/>
          <w:sz w:val="24"/>
          <w:highlight w:val="none"/>
        </w:rPr>
        <w:t>5合同变更</w:t>
      </w:r>
      <w:bookmarkEnd w:id="84"/>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合同继续履行将损害国家利益和社会公共利益的，双方当事人应当以书面形式变更合同。有过错的一方应当承担赔偿责任，双方当事人都有过错的，各自承担相应的责任。</w:t>
      </w:r>
      <w:bookmarkStart w:id="89" w:name="_Toc487900369"/>
      <w:bookmarkStart w:id="90" w:name="_Toc259093688"/>
      <w:bookmarkStart w:id="91" w:name="_Toc279701259"/>
    </w:p>
    <w:p>
      <w:pPr>
        <w:spacing w:line="560" w:lineRule="exact"/>
        <w:ind w:firstLine="482" w:firstLineChars="200"/>
        <w:outlineLvl w:val="0"/>
        <w:rPr>
          <w:rFonts w:ascii="仿宋" w:hAnsi="仿宋" w:eastAsia="仿宋"/>
          <w:b/>
          <w:sz w:val="24"/>
          <w:highlight w:val="none"/>
        </w:rPr>
      </w:pPr>
      <w:bookmarkStart w:id="92" w:name="_Toc10366"/>
      <w:bookmarkStart w:id="93" w:name="_Toc15237"/>
      <w:bookmarkStart w:id="94" w:name="_Toc22955"/>
      <w:r>
        <w:rPr>
          <w:rFonts w:ascii="仿宋" w:hAnsi="仿宋" w:eastAsia="仿宋"/>
          <w:b/>
          <w:sz w:val="24"/>
          <w:highlight w:val="none"/>
        </w:rPr>
        <w:t>2.</w:t>
      </w:r>
      <w:r>
        <w:rPr>
          <w:rFonts w:hint="eastAsia" w:ascii="仿宋" w:hAnsi="仿宋" w:eastAsia="仿宋"/>
          <w:b/>
          <w:sz w:val="24"/>
          <w:highlight w:val="none"/>
        </w:rPr>
        <w:t>6合同转让</w:t>
      </w:r>
      <w:bookmarkEnd w:id="89"/>
      <w:bookmarkEnd w:id="90"/>
      <w:bookmarkEnd w:id="91"/>
      <w:r>
        <w:rPr>
          <w:rFonts w:hint="eastAsia" w:ascii="仿宋" w:hAnsi="仿宋" w:eastAsia="仿宋"/>
          <w:b/>
          <w:sz w:val="24"/>
          <w:highlight w:val="none"/>
        </w:rPr>
        <w:t>和分包</w:t>
      </w:r>
      <w:bookmarkEnd w:id="92"/>
      <w:bookmarkEnd w:id="93"/>
      <w:bookmarkEnd w:id="94"/>
      <w:r>
        <w:rPr>
          <w:rFonts w:hint="eastAsia" w:ascii="仿宋" w:hAnsi="仿宋" w:eastAsia="仿宋"/>
          <w:b/>
          <w:sz w:val="24"/>
          <w:highlight w:val="none"/>
        </w:rPr>
        <w:t>（如有）</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6</w:t>
      </w:r>
      <w:r>
        <w:rPr>
          <w:rFonts w:ascii="仿宋" w:hAnsi="仿宋" w:eastAsia="仿宋"/>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6</w:t>
      </w:r>
      <w:r>
        <w:rPr>
          <w:rFonts w:ascii="仿宋" w:hAnsi="仿宋" w:eastAsia="仿宋"/>
          <w:sz w:val="24"/>
          <w:highlight w:val="none"/>
        </w:rPr>
        <w:t>.2乙方采取分包方式履行合同的，甲方可直接向分包供应商支付款项。</w:t>
      </w:r>
    </w:p>
    <w:p>
      <w:pPr>
        <w:spacing w:line="560" w:lineRule="exact"/>
        <w:ind w:firstLine="482" w:firstLineChars="200"/>
        <w:outlineLvl w:val="0"/>
        <w:rPr>
          <w:rFonts w:ascii="仿宋" w:hAnsi="仿宋" w:eastAsia="仿宋"/>
          <w:b/>
          <w:sz w:val="24"/>
          <w:highlight w:val="none"/>
        </w:rPr>
      </w:pPr>
      <w:bookmarkStart w:id="95" w:name="_Toc16508"/>
      <w:bookmarkStart w:id="96" w:name="_Toc14066"/>
      <w:bookmarkStart w:id="97" w:name="_Toc13566"/>
      <w:r>
        <w:rPr>
          <w:rFonts w:ascii="仿宋" w:hAnsi="仿宋" w:eastAsia="仿宋"/>
          <w:b/>
          <w:sz w:val="24"/>
          <w:highlight w:val="none"/>
        </w:rPr>
        <w:t>2.</w:t>
      </w:r>
      <w:r>
        <w:rPr>
          <w:rFonts w:hint="eastAsia" w:ascii="仿宋" w:hAnsi="仿宋" w:eastAsia="仿宋"/>
          <w:b/>
          <w:sz w:val="24"/>
          <w:highlight w:val="none"/>
        </w:rPr>
        <w:t>7不可抗力</w:t>
      </w:r>
      <w:bookmarkEnd w:id="95"/>
      <w:bookmarkEnd w:id="96"/>
      <w:bookmarkEnd w:id="97"/>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7</w:t>
      </w:r>
      <w:r>
        <w:rPr>
          <w:rFonts w:ascii="仿宋" w:hAnsi="仿宋" w:eastAsia="仿宋"/>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7</w:t>
      </w:r>
      <w:r>
        <w:rPr>
          <w:rFonts w:ascii="仿宋" w:hAnsi="仿宋" w:eastAsia="仿宋"/>
          <w:sz w:val="24"/>
          <w:highlight w:val="none"/>
        </w:rPr>
        <w:t xml:space="preserve">.2 </w:t>
      </w:r>
      <w:r>
        <w:rPr>
          <w:rFonts w:hint="eastAsia" w:ascii="仿宋" w:hAnsi="仿宋" w:eastAsia="仿宋"/>
          <w:sz w:val="24"/>
          <w:highlight w:val="none"/>
        </w:rPr>
        <w:t>因不可抗力致使不能实现合同目的的，当事人可以解除合同；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7</w:t>
      </w:r>
      <w:r>
        <w:rPr>
          <w:rFonts w:ascii="仿宋" w:hAnsi="仿宋" w:eastAsia="仿宋"/>
          <w:sz w:val="24"/>
          <w:highlight w:val="none"/>
        </w:rPr>
        <w:t xml:space="preserve">.3 </w:t>
      </w:r>
      <w:r>
        <w:rPr>
          <w:rFonts w:hint="eastAsia" w:ascii="仿宋" w:hAnsi="仿宋" w:eastAsia="仿宋"/>
          <w:sz w:val="24"/>
          <w:highlight w:val="none"/>
        </w:rPr>
        <w:t>因不可抗力致使合同有变更必要的，双方当事人应在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约定时间内以书面形式变更合同；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7</w:t>
      </w:r>
      <w:r>
        <w:rPr>
          <w:rFonts w:ascii="仿宋" w:hAnsi="仿宋" w:eastAsia="仿宋"/>
          <w:sz w:val="24"/>
          <w:highlight w:val="none"/>
        </w:rPr>
        <w:t>.4受不可抗力影响的一方在不可抗力发生后，应在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约定时间内以书面形式通知对方当事人，并在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约定时间内，将有关部门出具的证明文件送达对方当事人。</w:t>
      </w:r>
    </w:p>
    <w:p>
      <w:pPr>
        <w:spacing w:line="560" w:lineRule="exact"/>
        <w:ind w:firstLine="482" w:firstLineChars="200"/>
        <w:outlineLvl w:val="0"/>
        <w:rPr>
          <w:rFonts w:ascii="仿宋" w:hAnsi="仿宋" w:eastAsia="仿宋"/>
          <w:b/>
          <w:sz w:val="24"/>
          <w:highlight w:val="none"/>
        </w:rPr>
      </w:pPr>
      <w:bookmarkStart w:id="98" w:name="_Toc689"/>
      <w:bookmarkStart w:id="99" w:name="_Toc279701255"/>
      <w:bookmarkStart w:id="100" w:name="_Toc487900365"/>
      <w:bookmarkStart w:id="101" w:name="_Toc259093684"/>
      <w:bookmarkStart w:id="102" w:name="_Toc30676"/>
      <w:bookmarkStart w:id="103" w:name="_Toc6969"/>
      <w:r>
        <w:rPr>
          <w:rFonts w:ascii="仿宋" w:hAnsi="仿宋" w:eastAsia="仿宋"/>
          <w:b/>
          <w:sz w:val="24"/>
          <w:highlight w:val="none"/>
        </w:rPr>
        <w:t>2.</w:t>
      </w:r>
      <w:r>
        <w:rPr>
          <w:rFonts w:hint="eastAsia" w:ascii="仿宋" w:hAnsi="仿宋" w:eastAsia="仿宋"/>
          <w:b/>
          <w:sz w:val="24"/>
          <w:highlight w:val="none"/>
        </w:rPr>
        <w:t>8税费</w:t>
      </w:r>
      <w:bookmarkEnd w:id="98"/>
      <w:bookmarkEnd w:id="99"/>
      <w:bookmarkEnd w:id="100"/>
      <w:bookmarkEnd w:id="101"/>
      <w:bookmarkEnd w:id="102"/>
      <w:bookmarkEnd w:id="103"/>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sz w:val="24"/>
          <w:highlight w:val="none"/>
        </w:rPr>
      </w:pPr>
      <w:bookmarkStart w:id="104" w:name="_Toc7102"/>
      <w:bookmarkStart w:id="105" w:name="_Toc279701258"/>
      <w:bookmarkStart w:id="106" w:name="_Toc16959"/>
      <w:bookmarkStart w:id="107" w:name="_Toc487900368"/>
      <w:bookmarkStart w:id="108" w:name="_Toc8298"/>
      <w:bookmarkStart w:id="109" w:name="_Toc259093687"/>
      <w:r>
        <w:rPr>
          <w:rFonts w:ascii="仿宋" w:hAnsi="仿宋" w:eastAsia="仿宋"/>
          <w:b/>
          <w:sz w:val="24"/>
          <w:highlight w:val="none"/>
        </w:rPr>
        <w:t>2.</w:t>
      </w:r>
      <w:r>
        <w:rPr>
          <w:rFonts w:hint="eastAsia" w:ascii="仿宋" w:hAnsi="仿宋" w:eastAsia="仿宋"/>
          <w:b/>
          <w:sz w:val="24"/>
          <w:highlight w:val="none"/>
        </w:rPr>
        <w:t>9</w:t>
      </w:r>
      <w:r>
        <w:rPr>
          <w:rFonts w:ascii="仿宋" w:hAnsi="仿宋" w:eastAsia="仿宋"/>
          <w:b/>
          <w:sz w:val="24"/>
          <w:highlight w:val="none"/>
        </w:rPr>
        <w:t>乙方破产</w:t>
      </w:r>
      <w:bookmarkEnd w:id="104"/>
      <w:bookmarkEnd w:id="105"/>
      <w:bookmarkEnd w:id="106"/>
      <w:bookmarkEnd w:id="107"/>
      <w:bookmarkEnd w:id="108"/>
      <w:bookmarkEnd w:id="10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highlight w:val="none"/>
        </w:rPr>
      </w:pPr>
      <w:bookmarkStart w:id="110" w:name="_Toc15387"/>
      <w:bookmarkStart w:id="111" w:name="_Toc6134"/>
      <w:bookmarkStart w:id="112" w:name="_Toc29333"/>
      <w:r>
        <w:rPr>
          <w:rFonts w:ascii="仿宋" w:hAnsi="仿宋" w:eastAsia="仿宋"/>
          <w:b/>
          <w:sz w:val="24"/>
          <w:highlight w:val="none"/>
        </w:rPr>
        <w:t>2.1</w:t>
      </w:r>
      <w:r>
        <w:rPr>
          <w:rFonts w:hint="eastAsia" w:ascii="仿宋" w:hAnsi="仿宋" w:eastAsia="仿宋"/>
          <w:b/>
          <w:sz w:val="24"/>
          <w:highlight w:val="none"/>
        </w:rPr>
        <w:t>0合同中止、终止</w:t>
      </w:r>
      <w:bookmarkEnd w:id="110"/>
      <w:bookmarkEnd w:id="111"/>
      <w:bookmarkEnd w:id="112"/>
    </w:p>
    <w:p>
      <w:pPr>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0</w:t>
      </w:r>
      <w:r>
        <w:rPr>
          <w:rFonts w:ascii="仿宋" w:hAnsi="仿宋" w:eastAsia="仿宋"/>
          <w:sz w:val="24"/>
          <w:highlight w:val="none"/>
        </w:rPr>
        <w:t xml:space="preserve">.1 </w:t>
      </w:r>
      <w:r>
        <w:rPr>
          <w:rFonts w:hint="eastAsia" w:ascii="仿宋" w:hAnsi="仿宋" w:eastAsia="仿宋"/>
          <w:sz w:val="24"/>
          <w:highlight w:val="none"/>
        </w:rPr>
        <w:t>双方当事人不得擅自中止或者终止合同；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0</w:t>
      </w:r>
      <w:r>
        <w:rPr>
          <w:rFonts w:ascii="仿宋" w:hAnsi="仿宋" w:eastAsia="仿宋"/>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highlight w:val="none"/>
        </w:rPr>
      </w:pPr>
      <w:bookmarkStart w:id="113" w:name="_Toc14563"/>
      <w:bookmarkStart w:id="114" w:name="_Toc1125"/>
      <w:bookmarkStart w:id="115" w:name="_Toc6596"/>
      <w:r>
        <w:rPr>
          <w:rFonts w:ascii="仿宋" w:hAnsi="仿宋" w:eastAsia="仿宋"/>
          <w:b/>
          <w:sz w:val="24"/>
          <w:highlight w:val="none"/>
        </w:rPr>
        <w:t>2.1</w:t>
      </w:r>
      <w:r>
        <w:rPr>
          <w:rFonts w:hint="eastAsia" w:ascii="仿宋" w:hAnsi="仿宋" w:eastAsia="仿宋"/>
          <w:b/>
          <w:sz w:val="24"/>
          <w:highlight w:val="none"/>
        </w:rPr>
        <w:t>1</w:t>
      </w:r>
      <w:r>
        <w:rPr>
          <w:rFonts w:ascii="仿宋" w:hAnsi="仿宋" w:eastAsia="仿宋"/>
          <w:b/>
          <w:sz w:val="24"/>
          <w:highlight w:val="none"/>
        </w:rPr>
        <w:t>检验和验收</w:t>
      </w:r>
      <w:bookmarkEnd w:id="113"/>
      <w:bookmarkEnd w:id="114"/>
      <w:bookmarkEnd w:id="115"/>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1</w:t>
      </w:r>
      <w:r>
        <w:rPr>
          <w:rFonts w:ascii="仿宋" w:hAnsi="仿宋" w:eastAsia="仿宋"/>
          <w:sz w:val="24"/>
          <w:highlight w:val="none"/>
        </w:rPr>
        <w:t>.1</w:t>
      </w:r>
      <w:r>
        <w:rPr>
          <w:rFonts w:hint="eastAsia" w:ascii="仿宋" w:hAnsi="仿宋" w:eastAsia="仿宋"/>
          <w:sz w:val="24"/>
          <w:highlight w:val="none"/>
        </w:rPr>
        <w:t>服务</w:t>
      </w:r>
      <w:r>
        <w:rPr>
          <w:rFonts w:ascii="仿宋" w:hAnsi="仿宋" w:eastAsia="仿宋"/>
          <w:sz w:val="24"/>
          <w:highlight w:val="none"/>
        </w:rPr>
        <w:t>交付前，乙方应对</w:t>
      </w:r>
      <w:r>
        <w:rPr>
          <w:rFonts w:hint="eastAsia" w:ascii="仿宋" w:hAnsi="仿宋" w:eastAsia="仿宋"/>
          <w:sz w:val="24"/>
          <w:highlight w:val="none"/>
        </w:rPr>
        <w:t>服务内容</w:t>
      </w:r>
      <w:r>
        <w:rPr>
          <w:rFonts w:ascii="仿宋" w:hAnsi="仿宋" w:eastAsia="仿宋"/>
          <w:sz w:val="24"/>
          <w:highlight w:val="none"/>
        </w:rPr>
        <w:t>进行详细、全面的检验，并向甲方出具证明</w:t>
      </w:r>
      <w:r>
        <w:rPr>
          <w:rFonts w:hint="eastAsia" w:ascii="仿宋" w:hAnsi="仿宋" w:eastAsia="仿宋"/>
          <w:sz w:val="24"/>
          <w:highlight w:val="none"/>
        </w:rPr>
        <w:t>服务</w:t>
      </w:r>
      <w:r>
        <w:rPr>
          <w:rFonts w:ascii="仿宋" w:hAnsi="仿宋" w:eastAsia="仿宋"/>
          <w:sz w:val="24"/>
          <w:highlight w:val="none"/>
        </w:rPr>
        <w:t>符合合同约定的文件；</w:t>
      </w:r>
      <w:r>
        <w:rPr>
          <w:rFonts w:hint="eastAsia" w:ascii="仿宋" w:hAnsi="仿宋" w:eastAsia="仿宋"/>
          <w:sz w:val="24"/>
          <w:highlight w:val="none"/>
        </w:rPr>
        <w:t>服务</w:t>
      </w:r>
      <w:r>
        <w:rPr>
          <w:rFonts w:ascii="仿宋" w:hAnsi="仿宋" w:eastAsia="仿宋"/>
          <w:sz w:val="24"/>
          <w:highlight w:val="none"/>
        </w:rPr>
        <w:t>交付时，乙方在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1</w:t>
      </w:r>
      <w:r>
        <w:rPr>
          <w:rFonts w:ascii="仿宋" w:hAnsi="仿宋" w:eastAsia="仿宋"/>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1</w:t>
      </w:r>
      <w:r>
        <w:rPr>
          <w:rFonts w:ascii="仿宋" w:hAnsi="仿宋" w:eastAsia="仿宋"/>
          <w:sz w:val="24"/>
          <w:highlight w:val="none"/>
        </w:rPr>
        <w:t xml:space="preserve">.3 </w:t>
      </w:r>
      <w:r>
        <w:rPr>
          <w:rFonts w:hint="eastAsia" w:ascii="仿宋" w:hAnsi="仿宋" w:eastAsia="仿宋"/>
          <w:sz w:val="24"/>
          <w:highlight w:val="none"/>
        </w:rPr>
        <w:t>检验和验收标准、程序等具体内容以及前述验收书的效力详见</w:t>
      </w:r>
      <w:r>
        <w:rPr>
          <w:rFonts w:hint="eastAsia" w:ascii="仿宋" w:hAnsi="仿宋" w:eastAsia="仿宋"/>
          <w:b/>
          <w:i/>
          <w:sz w:val="24"/>
          <w:highlight w:val="none"/>
          <w:u w:val="single"/>
        </w:rPr>
        <w:t>合同专用条款</w:t>
      </w:r>
      <w:r>
        <w:rPr>
          <w:rFonts w:hint="eastAsia" w:ascii="仿宋" w:hAnsi="仿宋" w:eastAsia="仿宋"/>
          <w:i/>
          <w:sz w:val="24"/>
          <w:highlight w:val="none"/>
        </w:rPr>
        <w:t>。</w:t>
      </w:r>
    </w:p>
    <w:bookmarkEnd w:id="85"/>
    <w:bookmarkEnd w:id="86"/>
    <w:bookmarkEnd w:id="87"/>
    <w:bookmarkEnd w:id="88"/>
    <w:p>
      <w:pPr>
        <w:spacing w:line="560" w:lineRule="exact"/>
        <w:ind w:firstLine="482" w:firstLineChars="200"/>
        <w:outlineLvl w:val="0"/>
        <w:rPr>
          <w:rFonts w:ascii="仿宋" w:hAnsi="仿宋" w:eastAsia="仿宋"/>
          <w:b/>
          <w:sz w:val="24"/>
          <w:highlight w:val="none"/>
        </w:rPr>
      </w:pPr>
      <w:bookmarkStart w:id="116" w:name="_Toc279701261"/>
      <w:bookmarkStart w:id="117" w:name="_Toc259093690"/>
      <w:bookmarkStart w:id="118" w:name="_Toc487900371"/>
      <w:bookmarkStart w:id="119" w:name="_Toc25182"/>
      <w:bookmarkStart w:id="120" w:name="_Toc11284"/>
      <w:bookmarkStart w:id="121" w:name="_Toc19604"/>
      <w:r>
        <w:rPr>
          <w:rFonts w:ascii="仿宋" w:hAnsi="仿宋" w:eastAsia="仿宋"/>
          <w:b/>
          <w:sz w:val="24"/>
          <w:highlight w:val="none"/>
        </w:rPr>
        <w:t>2.1</w:t>
      </w:r>
      <w:r>
        <w:rPr>
          <w:rFonts w:hint="eastAsia" w:ascii="仿宋" w:hAnsi="仿宋" w:eastAsia="仿宋"/>
          <w:b/>
          <w:sz w:val="24"/>
          <w:highlight w:val="none"/>
        </w:rPr>
        <w:t>2通知</w:t>
      </w:r>
      <w:bookmarkEnd w:id="116"/>
      <w:bookmarkEnd w:id="117"/>
      <w:bookmarkEnd w:id="118"/>
      <w:r>
        <w:rPr>
          <w:rFonts w:hint="eastAsia" w:ascii="仿宋" w:hAnsi="仿宋" w:eastAsia="仿宋"/>
          <w:b/>
          <w:sz w:val="24"/>
          <w:highlight w:val="none"/>
        </w:rPr>
        <w:t>和送达</w:t>
      </w:r>
      <w:bookmarkEnd w:id="119"/>
      <w:bookmarkEnd w:id="120"/>
      <w:bookmarkEnd w:id="121"/>
    </w:p>
    <w:p>
      <w:pPr>
        <w:spacing w:line="560" w:lineRule="exact"/>
        <w:ind w:firstLine="480" w:firstLineChars="200"/>
        <w:rPr>
          <w:rFonts w:ascii="仿宋" w:hAnsi="仿宋" w:eastAsia="仿宋"/>
          <w:sz w:val="24"/>
          <w:highlight w:val="none"/>
        </w:rPr>
      </w:pPr>
      <w:bookmarkStart w:id="122" w:name="_Toc3135"/>
      <w:bookmarkStart w:id="123" w:name="_Toc6698"/>
      <w:bookmarkStart w:id="124" w:name="_Toc259093691"/>
      <w:bookmarkStart w:id="125" w:name="_Toc279701262"/>
      <w:bookmarkStart w:id="126" w:name="_Toc487900372"/>
      <w:r>
        <w:rPr>
          <w:rFonts w:ascii="仿宋" w:hAnsi="仿宋" w:eastAsia="仿宋"/>
          <w:sz w:val="24"/>
          <w:highlight w:val="none"/>
        </w:rPr>
        <w:t>2.1</w:t>
      </w:r>
      <w:r>
        <w:rPr>
          <w:rFonts w:hint="eastAsia" w:ascii="仿宋" w:hAnsi="仿宋" w:eastAsia="仿宋"/>
          <w:sz w:val="24"/>
          <w:highlight w:val="none"/>
        </w:rPr>
        <w:t>2</w:t>
      </w:r>
      <w:r>
        <w:rPr>
          <w:rFonts w:ascii="仿宋" w:hAnsi="仿宋" w:eastAsia="仿宋"/>
          <w:sz w:val="24"/>
          <w:highlight w:val="none"/>
        </w:rPr>
        <w:t>.1</w:t>
      </w:r>
      <w:r>
        <w:rPr>
          <w:rFonts w:hint="eastAsia" w:ascii="仿宋" w:hAnsi="仿宋" w:eastAsia="仿宋"/>
          <w:sz w:val="24"/>
          <w:highlight w:val="none"/>
        </w:rPr>
        <w:t>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22"/>
      <w:bookmarkEnd w:id="123"/>
    </w:p>
    <w:p>
      <w:pPr>
        <w:spacing w:line="560" w:lineRule="exact"/>
        <w:ind w:firstLine="480" w:firstLineChars="200"/>
        <w:rPr>
          <w:rFonts w:ascii="仿宋" w:hAnsi="仿宋" w:eastAsia="仿宋"/>
          <w:sz w:val="24"/>
          <w:highlight w:val="none"/>
        </w:rPr>
      </w:pPr>
      <w:bookmarkStart w:id="127" w:name="_Toc23294"/>
      <w:bookmarkStart w:id="128" w:name="_Toc23128"/>
      <w:r>
        <w:rPr>
          <w:rFonts w:ascii="仿宋" w:hAnsi="仿宋" w:eastAsia="仿宋"/>
          <w:sz w:val="24"/>
          <w:highlight w:val="none"/>
        </w:rPr>
        <w:t>2.1</w:t>
      </w:r>
      <w:r>
        <w:rPr>
          <w:rFonts w:hint="eastAsia" w:ascii="仿宋" w:hAnsi="仿宋" w:eastAsia="仿宋"/>
          <w:sz w:val="24"/>
          <w:highlight w:val="none"/>
        </w:rPr>
        <w:t>2</w:t>
      </w:r>
      <w:r>
        <w:rPr>
          <w:rFonts w:ascii="仿宋" w:hAnsi="仿宋" w:eastAsia="仿宋"/>
          <w:sz w:val="24"/>
          <w:highlight w:val="none"/>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highlight w:val="none"/>
        </w:rPr>
        <w:t>的，邮件挂号寄出或者交邮之日之次日视为送达。</w:t>
      </w:r>
      <w:bookmarkEnd w:id="127"/>
      <w:bookmarkEnd w:id="128"/>
    </w:p>
    <w:p>
      <w:pPr>
        <w:spacing w:line="560" w:lineRule="exact"/>
        <w:ind w:firstLine="482" w:firstLineChars="200"/>
        <w:outlineLvl w:val="0"/>
        <w:rPr>
          <w:rFonts w:ascii="仿宋" w:hAnsi="仿宋" w:eastAsia="仿宋"/>
          <w:b/>
          <w:sz w:val="24"/>
          <w:highlight w:val="none"/>
        </w:rPr>
      </w:pPr>
      <w:bookmarkStart w:id="129" w:name="_Toc30599"/>
      <w:bookmarkStart w:id="130" w:name="_Toc18540"/>
      <w:bookmarkStart w:id="131" w:name="_Toc4355"/>
      <w:r>
        <w:rPr>
          <w:rFonts w:ascii="仿宋" w:hAnsi="仿宋" w:eastAsia="仿宋"/>
          <w:b/>
          <w:sz w:val="24"/>
          <w:highlight w:val="none"/>
        </w:rPr>
        <w:t>2.1</w:t>
      </w:r>
      <w:r>
        <w:rPr>
          <w:rFonts w:hint="eastAsia" w:ascii="仿宋" w:hAnsi="仿宋" w:eastAsia="仿宋"/>
          <w:b/>
          <w:sz w:val="24"/>
          <w:highlight w:val="none"/>
        </w:rPr>
        <w:t>3计量单位</w:t>
      </w:r>
      <w:bookmarkEnd w:id="124"/>
      <w:bookmarkEnd w:id="125"/>
      <w:bookmarkEnd w:id="126"/>
      <w:bookmarkEnd w:id="129"/>
      <w:bookmarkEnd w:id="130"/>
      <w:bookmarkEnd w:id="131"/>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除技术规范中另有规定外</w:t>
      </w:r>
      <w:r>
        <w:rPr>
          <w:rFonts w:ascii="仿宋" w:hAnsi="仿宋" w:eastAsia="仿宋"/>
          <w:sz w:val="24"/>
          <w:highlight w:val="none"/>
        </w:rPr>
        <w:t>,合同的计量单位均使用国家法定计量单位。</w:t>
      </w:r>
    </w:p>
    <w:p>
      <w:pPr>
        <w:spacing w:line="560" w:lineRule="exact"/>
        <w:ind w:firstLine="482" w:firstLineChars="200"/>
        <w:outlineLvl w:val="0"/>
        <w:rPr>
          <w:rFonts w:ascii="仿宋" w:hAnsi="仿宋" w:eastAsia="仿宋"/>
          <w:b/>
          <w:sz w:val="24"/>
          <w:highlight w:val="none"/>
        </w:rPr>
      </w:pPr>
      <w:bookmarkStart w:id="132" w:name="_Toc279701263"/>
      <w:bookmarkStart w:id="133" w:name="_Toc259093692"/>
      <w:bookmarkStart w:id="134" w:name="_Toc10330"/>
      <w:bookmarkStart w:id="135" w:name="_Toc18567"/>
      <w:bookmarkStart w:id="136" w:name="_Toc12773"/>
      <w:bookmarkStart w:id="137" w:name="_Toc487900373"/>
      <w:r>
        <w:rPr>
          <w:rFonts w:ascii="仿宋" w:hAnsi="仿宋" w:eastAsia="仿宋"/>
          <w:b/>
          <w:sz w:val="24"/>
          <w:highlight w:val="none"/>
        </w:rPr>
        <w:t>2.1</w:t>
      </w:r>
      <w:r>
        <w:rPr>
          <w:rFonts w:hint="eastAsia" w:ascii="仿宋" w:hAnsi="仿宋" w:eastAsia="仿宋"/>
          <w:b/>
          <w:sz w:val="24"/>
          <w:highlight w:val="none"/>
        </w:rPr>
        <w:t>4合同使用的文字和适用的法律</w:t>
      </w:r>
      <w:bookmarkEnd w:id="132"/>
      <w:bookmarkEnd w:id="133"/>
      <w:bookmarkEnd w:id="134"/>
      <w:bookmarkEnd w:id="135"/>
      <w:bookmarkEnd w:id="136"/>
      <w:bookmarkEnd w:id="137"/>
    </w:p>
    <w:p>
      <w:pPr>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4</w:t>
      </w:r>
      <w:r>
        <w:rPr>
          <w:rFonts w:ascii="仿宋" w:hAnsi="仿宋" w:eastAsia="仿宋"/>
          <w:sz w:val="24"/>
          <w:highlight w:val="none"/>
        </w:rPr>
        <w:t xml:space="preserve">.1 </w:t>
      </w:r>
      <w:r>
        <w:rPr>
          <w:rFonts w:hint="eastAsia" w:ascii="仿宋" w:hAnsi="仿宋" w:eastAsia="仿宋"/>
          <w:sz w:val="24"/>
          <w:highlight w:val="none"/>
        </w:rPr>
        <w:t>合同使用汉语书就、变更和解释；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w:t>
      </w:r>
      <w:r>
        <w:rPr>
          <w:rFonts w:hint="eastAsia" w:ascii="仿宋" w:hAnsi="仿宋" w:eastAsia="仿宋"/>
          <w:sz w:val="24"/>
          <w:highlight w:val="none"/>
        </w:rPr>
        <w:t>4</w:t>
      </w:r>
      <w:r>
        <w:rPr>
          <w:rFonts w:ascii="仿宋" w:hAnsi="仿宋" w:eastAsia="仿宋"/>
          <w:sz w:val="24"/>
          <w:highlight w:val="none"/>
        </w:rPr>
        <w:t xml:space="preserve">.2 </w:t>
      </w:r>
      <w:r>
        <w:rPr>
          <w:rFonts w:hint="eastAsia" w:ascii="仿宋" w:hAnsi="仿宋" w:eastAsia="仿宋"/>
          <w:sz w:val="24"/>
          <w:highlight w:val="none"/>
        </w:rPr>
        <w:t>合同适用中华人民共和国法律。</w:t>
      </w:r>
    </w:p>
    <w:p>
      <w:pPr>
        <w:spacing w:line="560" w:lineRule="exact"/>
        <w:ind w:firstLine="482" w:firstLineChars="200"/>
        <w:outlineLvl w:val="0"/>
        <w:rPr>
          <w:rFonts w:ascii="仿宋" w:hAnsi="仿宋" w:eastAsia="仿宋"/>
          <w:b/>
          <w:sz w:val="24"/>
          <w:highlight w:val="none"/>
        </w:rPr>
      </w:pPr>
      <w:bookmarkStart w:id="138" w:name="_Toc259093693"/>
      <w:bookmarkStart w:id="139" w:name="_Toc3148"/>
      <w:bookmarkStart w:id="140" w:name="_Toc12004"/>
      <w:bookmarkStart w:id="141" w:name="_Toc16673"/>
      <w:bookmarkStart w:id="142" w:name="_Toc279701264"/>
      <w:bookmarkStart w:id="143" w:name="_Toc487900374"/>
      <w:r>
        <w:rPr>
          <w:rFonts w:ascii="仿宋" w:hAnsi="仿宋" w:eastAsia="仿宋"/>
          <w:b/>
          <w:sz w:val="24"/>
          <w:highlight w:val="none"/>
        </w:rPr>
        <w:t>2.</w:t>
      </w:r>
      <w:r>
        <w:rPr>
          <w:rFonts w:hint="eastAsia" w:ascii="仿宋" w:hAnsi="仿宋" w:eastAsia="仿宋"/>
          <w:b/>
          <w:sz w:val="24"/>
          <w:highlight w:val="none"/>
        </w:rPr>
        <w:t>15履约保证金</w:t>
      </w:r>
      <w:bookmarkEnd w:id="138"/>
      <w:bookmarkEnd w:id="139"/>
      <w:bookmarkEnd w:id="140"/>
      <w:bookmarkEnd w:id="141"/>
      <w:bookmarkEnd w:id="142"/>
    </w:p>
    <w:p>
      <w:pPr>
        <w:pStyle w:val="121"/>
        <w:spacing w:before="0" w:beforeAutospacing="0" w:after="0" w:afterAutospacing="0" w:line="360" w:lineRule="auto"/>
        <w:ind w:firstLine="420"/>
        <w:rPr>
          <w:rFonts w:ascii="仿宋" w:hAnsi="仿宋" w:eastAsia="仿宋"/>
          <w:highlight w:val="none"/>
        </w:rPr>
      </w:pPr>
      <w:r>
        <w:rPr>
          <w:rFonts w:ascii="仿宋" w:hAnsi="仿宋" w:eastAsia="仿宋"/>
          <w:highlight w:val="none"/>
        </w:rPr>
        <w:t>2.</w:t>
      </w:r>
      <w:r>
        <w:rPr>
          <w:rFonts w:hint="eastAsia" w:ascii="仿宋" w:hAnsi="仿宋" w:eastAsia="仿宋"/>
          <w:highlight w:val="none"/>
        </w:rPr>
        <w:t>15</w:t>
      </w:r>
      <w:r>
        <w:rPr>
          <w:rFonts w:ascii="仿宋" w:hAnsi="仿宋" w:eastAsia="仿宋"/>
          <w:highlight w:val="none"/>
        </w:rPr>
        <w:t xml:space="preserve">.1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约定的方式，以支票、汇票、本票或者金融机构、担保机构出具的保函等非现金形式，提交不超过合同金额1</w:t>
      </w:r>
      <w:r>
        <w:rPr>
          <w:rFonts w:ascii="仿宋" w:hAnsi="仿宋" w:eastAsia="仿宋"/>
          <w:highlight w:val="none"/>
        </w:rPr>
        <w:t>%的履约保证金；鼓励和支持乙方以银行、保险公司出具的保函形式提供履约保证。</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15</w:t>
      </w:r>
      <w:r>
        <w:rPr>
          <w:rFonts w:ascii="仿宋" w:hAnsi="仿宋" w:eastAsia="仿宋"/>
          <w:sz w:val="24"/>
          <w:highlight w:val="none"/>
        </w:rPr>
        <w:t xml:space="preserve">.2  </w:t>
      </w:r>
      <w:r>
        <w:rPr>
          <w:rFonts w:hint="eastAsia" w:ascii="仿宋" w:hAnsi="仿宋" w:eastAsia="仿宋"/>
          <w:sz w:val="24"/>
          <w:highlight w:val="none"/>
        </w:rPr>
        <w:t>履约保证金在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约定期间内不予退还。乙方在前述约定期间届满前能履行完合同约定义务事项的，甲方在前述约定期间届满之日起30个工作日内，按</w:t>
      </w:r>
      <w:r>
        <w:rPr>
          <w:rFonts w:hint="eastAsia" w:ascii="仿宋" w:hAnsi="仿宋" w:eastAsia="仿宋"/>
          <w:b/>
          <w:i/>
          <w:sz w:val="24"/>
          <w:highlight w:val="none"/>
          <w:u w:val="single"/>
        </w:rPr>
        <w:t>合同专用条款</w:t>
      </w:r>
      <w:r>
        <w:rPr>
          <w:rFonts w:hint="eastAsia" w:ascii="仿宋" w:hAnsi="仿宋" w:eastAsia="仿宋"/>
          <w:sz w:val="24"/>
          <w:highlight w:val="none"/>
        </w:rPr>
        <w:t>约定的方式将履约保证金退还乙方</w:t>
      </w:r>
      <w:r>
        <w:rPr>
          <w:rFonts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15</w:t>
      </w:r>
      <w:r>
        <w:rPr>
          <w:rFonts w:ascii="仿宋" w:hAnsi="仿宋" w:eastAsia="仿宋"/>
          <w:sz w:val="24"/>
          <w:highlight w:val="none"/>
        </w:rPr>
        <w:t xml:space="preserve">.3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highlight w:val="none"/>
        </w:rPr>
      </w:pPr>
      <w:r>
        <w:rPr>
          <w:rFonts w:ascii="仿宋" w:hAnsi="仿宋" w:eastAsia="仿宋"/>
          <w:sz w:val="24"/>
          <w:highlight w:val="none"/>
        </w:rPr>
        <w:t>2.</w:t>
      </w:r>
      <w:r>
        <w:rPr>
          <w:rFonts w:hint="eastAsia" w:ascii="仿宋" w:hAnsi="仿宋" w:eastAsia="仿宋"/>
          <w:sz w:val="24"/>
          <w:highlight w:val="none"/>
        </w:rPr>
        <w:t>15</w:t>
      </w:r>
      <w:r>
        <w:rPr>
          <w:rFonts w:ascii="仿宋" w:hAnsi="仿宋" w:eastAsia="仿宋"/>
          <w:sz w:val="24"/>
          <w:highlight w:val="none"/>
        </w:rPr>
        <w:t>.4</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15</w:t>
      </w:r>
      <w:r>
        <w:rPr>
          <w:rFonts w:ascii="仿宋" w:hAnsi="仿宋" w:eastAsia="仿宋"/>
          <w:sz w:val="24"/>
          <w:highlight w:val="none"/>
        </w:rPr>
        <w:t>对于因甲方原因导致变更、中止或者终止政府采购合同的，甲方应当依照合同约定对供应商受到的损失予以赔偿或者补偿。</w:t>
      </w:r>
    </w:p>
    <w:bookmarkEnd w:id="143"/>
    <w:p>
      <w:pPr>
        <w:spacing w:line="560" w:lineRule="exact"/>
        <w:ind w:firstLine="482" w:firstLineChars="200"/>
        <w:outlineLvl w:val="0"/>
        <w:rPr>
          <w:rFonts w:ascii="仿宋" w:hAnsi="仿宋" w:eastAsia="仿宋"/>
          <w:b/>
          <w:sz w:val="24"/>
          <w:highlight w:val="none"/>
        </w:rPr>
      </w:pPr>
      <w:bookmarkStart w:id="144" w:name="_Toc14001"/>
      <w:bookmarkStart w:id="145" w:name="_Toc6885"/>
      <w:bookmarkStart w:id="146" w:name="_Toc19890"/>
      <w:r>
        <w:rPr>
          <w:rFonts w:ascii="仿宋" w:hAnsi="仿宋" w:eastAsia="仿宋"/>
          <w:b/>
          <w:sz w:val="24"/>
          <w:highlight w:val="none"/>
        </w:rPr>
        <w:t>2.</w:t>
      </w:r>
      <w:r>
        <w:rPr>
          <w:rFonts w:hint="eastAsia" w:ascii="仿宋" w:hAnsi="仿宋" w:eastAsia="仿宋"/>
          <w:b/>
          <w:sz w:val="24"/>
          <w:highlight w:val="none"/>
        </w:rPr>
        <w:t>16合同份数</w:t>
      </w:r>
      <w:bookmarkEnd w:id="144"/>
      <w:bookmarkEnd w:id="145"/>
      <w:bookmarkEnd w:id="146"/>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合同份数按</w:t>
      </w:r>
      <w:r>
        <w:rPr>
          <w:rFonts w:hint="eastAsia" w:ascii="仿宋" w:hAnsi="仿宋" w:eastAsia="仿宋"/>
          <w:b/>
          <w:i/>
          <w:sz w:val="24"/>
          <w:highlight w:val="none"/>
          <w:u w:val="single"/>
        </w:rPr>
        <w:t>合同专用条款</w:t>
      </w:r>
      <w:r>
        <w:rPr>
          <w:rFonts w:hint="eastAsia" w:ascii="仿宋" w:hAnsi="仿宋" w:eastAsia="仿宋"/>
          <w:sz w:val="24"/>
          <w:highlight w:val="none"/>
        </w:rPr>
        <w:t>规定，每份均具有同等法律效力。</w:t>
      </w:r>
    </w:p>
    <w:p>
      <w:pPr>
        <w:pStyle w:val="118"/>
        <w:spacing w:line="560" w:lineRule="exact"/>
        <w:jc w:val="center"/>
        <w:rPr>
          <w:rFonts w:ascii="仿宋" w:hAnsi="仿宋" w:eastAsia="仿宋"/>
          <w:b/>
          <w:szCs w:val="24"/>
          <w:highlight w:val="none"/>
        </w:rPr>
      </w:pPr>
      <w:r>
        <w:rPr>
          <w:rFonts w:ascii="仿宋" w:hAnsi="仿宋" w:eastAsia="仿宋" w:cstheme="minorBidi"/>
          <w:kern w:val="0"/>
          <w:szCs w:val="24"/>
          <w:highlight w:val="none"/>
        </w:rPr>
        <w:br w:type="page"/>
      </w:r>
      <w:bookmarkStart w:id="147" w:name="_Toc331685784"/>
      <w:bookmarkEnd w:id="147"/>
      <w:r>
        <w:rPr>
          <w:rFonts w:hint="eastAsia" w:ascii="仿宋" w:hAnsi="仿宋" w:eastAsia="仿宋"/>
          <w:b/>
          <w:szCs w:val="24"/>
          <w:highlight w:val="none"/>
        </w:rPr>
        <w:t>第三部分合同专用条款</w:t>
      </w:r>
    </w:p>
    <w:p>
      <w:pPr>
        <w:spacing w:line="560" w:lineRule="exact"/>
        <w:ind w:left="-420" w:leftChars="-200" w:right="-420" w:rightChars="-200" w:firstLine="480" w:firstLineChars="200"/>
        <w:rPr>
          <w:rFonts w:ascii="仿宋" w:hAnsi="仿宋" w:eastAsia="仿宋"/>
          <w:highlight w:val="none"/>
        </w:rPr>
      </w:pPr>
      <w:r>
        <w:rPr>
          <w:rFonts w:hint="eastAsia" w:ascii="仿宋" w:hAnsi="仿宋" w:eastAsia="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b/>
                <w:sz w:val="24"/>
                <w:highlight w:val="none"/>
              </w:rPr>
            </w:pPr>
            <w:r>
              <w:rPr>
                <w:rFonts w:hint="eastAsia" w:ascii="仿宋" w:hAnsi="仿宋" w:eastAsia="仿宋"/>
                <w:b/>
                <w:sz w:val="24"/>
                <w:highlight w:val="none"/>
              </w:rPr>
              <w:t>条款号</w:t>
            </w:r>
          </w:p>
        </w:tc>
        <w:tc>
          <w:tcPr>
            <w:tcW w:w="8275" w:type="dxa"/>
            <w:vAlign w:val="center"/>
          </w:tcPr>
          <w:p>
            <w:pPr>
              <w:spacing w:line="360" w:lineRule="auto"/>
              <w:jc w:val="center"/>
              <w:rPr>
                <w:rFonts w:ascii="仿宋" w:hAnsi="仿宋" w:eastAsia="仿宋"/>
                <w:b/>
                <w:sz w:val="24"/>
                <w:highlight w:val="none"/>
              </w:rPr>
            </w:pPr>
            <w:r>
              <w:rPr>
                <w:rFonts w:hint="eastAsia" w:ascii="仿宋" w:hAnsi="仿宋" w:eastAsia="仿宋"/>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1.4</w:t>
            </w:r>
          </w:p>
        </w:tc>
        <w:tc>
          <w:tcPr>
            <w:tcW w:w="8275" w:type="dxa"/>
            <w:vAlign w:val="center"/>
          </w:tcPr>
          <w:p>
            <w:pPr>
              <w:spacing w:line="360" w:lineRule="auto"/>
              <w:rPr>
                <w:rFonts w:ascii="仿宋" w:hAnsi="仿宋" w:eastAsia="仿宋"/>
                <w:sz w:val="24"/>
                <w:highlight w:val="none"/>
              </w:rPr>
            </w:pPr>
            <w:r>
              <w:rPr>
                <w:rFonts w:hint="eastAsia"/>
                <w:highlight w:val="none"/>
              </w:rPr>
              <w:t>按合同约定具体要求执行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1.5.1 </w:t>
            </w:r>
          </w:p>
        </w:tc>
        <w:tc>
          <w:tcPr>
            <w:tcW w:w="8275" w:type="dxa"/>
            <w:vAlign w:val="center"/>
          </w:tcPr>
          <w:p>
            <w:pPr>
              <w:spacing w:line="360" w:lineRule="auto"/>
              <w:rPr>
                <w:rFonts w:ascii="仿宋" w:hAnsi="仿宋" w:eastAsia="仿宋"/>
                <w:sz w:val="24"/>
                <w:highlight w:val="none"/>
              </w:rPr>
            </w:pPr>
            <w:r>
              <w:rPr>
                <w:rFonts w:hint="eastAsia"/>
                <w:highlight w:val="none"/>
              </w:rPr>
              <w:t>按合同约定具体要求执行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1.5.2</w:t>
            </w:r>
          </w:p>
        </w:tc>
        <w:tc>
          <w:tcPr>
            <w:tcW w:w="8275" w:type="dxa"/>
            <w:vAlign w:val="center"/>
          </w:tcPr>
          <w:p>
            <w:pPr>
              <w:spacing w:line="360" w:lineRule="auto"/>
              <w:rPr>
                <w:rFonts w:ascii="仿宋" w:hAnsi="仿宋" w:eastAsia="仿宋"/>
                <w:sz w:val="24"/>
                <w:highlight w:val="none"/>
              </w:rPr>
            </w:pPr>
            <w:r>
              <w:rPr>
                <w:rFonts w:hint="eastAsia"/>
                <w:highlight w:val="none"/>
              </w:rPr>
              <w:t>按合同约定具体要求执行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1.5.3 </w:t>
            </w:r>
          </w:p>
        </w:tc>
        <w:tc>
          <w:tcPr>
            <w:tcW w:w="8275" w:type="dxa"/>
            <w:vAlign w:val="center"/>
          </w:tcPr>
          <w:p>
            <w:pPr>
              <w:spacing w:line="360" w:lineRule="auto"/>
              <w:rPr>
                <w:rFonts w:ascii="仿宋" w:hAnsi="仿宋" w:eastAsia="仿宋"/>
                <w:sz w:val="24"/>
                <w:highlight w:val="none"/>
              </w:rPr>
            </w:pPr>
            <w:r>
              <w:rPr>
                <w:rFonts w:hint="eastAsia"/>
                <w:highlight w:val="none"/>
              </w:rPr>
              <w:t>按合同约定具体要求执行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1.6.7</w:t>
            </w:r>
          </w:p>
        </w:tc>
        <w:tc>
          <w:tcPr>
            <w:tcW w:w="8275" w:type="dxa"/>
            <w:vAlign w:val="center"/>
          </w:tcPr>
          <w:p>
            <w:pPr>
              <w:spacing w:line="360" w:lineRule="auto"/>
              <w:rPr>
                <w:rFonts w:ascii="仿宋" w:hAnsi="仿宋" w:eastAsia="仿宋"/>
                <w:sz w:val="24"/>
                <w:highlight w:val="none"/>
              </w:rPr>
            </w:pPr>
            <w:r>
              <w:rPr>
                <w:rFonts w:hint="eastAsia"/>
                <w:highlight w:val="none"/>
              </w:rPr>
              <w:t>按合同约定具体要求执行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1.7.1</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1.7.2</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2.4.2</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 xml:space="preserve">2.8 </w:t>
            </w:r>
          </w:p>
        </w:tc>
        <w:tc>
          <w:tcPr>
            <w:tcW w:w="8275" w:type="dxa"/>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2.12.3</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2.12.4</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2.16.1</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2.16.3</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2.20.1</w:t>
            </w:r>
          </w:p>
        </w:tc>
        <w:tc>
          <w:tcPr>
            <w:tcW w:w="8275" w:type="dxa"/>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2.20.2 </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2</w:t>
            </w:r>
          </w:p>
        </w:tc>
        <w:tc>
          <w:tcPr>
            <w:tcW w:w="8275" w:type="dxa"/>
            <w:vAlign w:val="center"/>
          </w:tcPr>
          <w:p>
            <w:pPr>
              <w:spacing w:line="360" w:lineRule="auto"/>
              <w:rPr>
                <w:rFonts w:ascii="仿宋" w:hAnsi="仿宋" w:eastAsia="仿宋"/>
                <w:sz w:val="24"/>
                <w:highlight w:val="none"/>
              </w:rPr>
            </w:pPr>
          </w:p>
        </w:tc>
      </w:tr>
    </w:tbl>
    <w:p>
      <w:pPr>
        <w:spacing w:line="360" w:lineRule="auto"/>
        <w:ind w:left="-420" w:leftChars="-200" w:right="-420" w:rightChars="-200" w:firstLine="480" w:firstLineChars="200"/>
        <w:rPr>
          <w:rFonts w:ascii="仿宋" w:hAnsi="仿宋" w:eastAsia="仿宋"/>
          <w:sz w:val="24"/>
          <w:highlight w:val="none"/>
        </w:rPr>
      </w:pPr>
    </w:p>
    <w:p>
      <w:pPr>
        <w:pStyle w:val="118"/>
        <w:spacing w:line="560" w:lineRule="exact"/>
        <w:jc w:val="center"/>
        <w:rPr>
          <w:rFonts w:ascii="仿宋_GB2312" w:hAnsi="宋体" w:eastAsia="仿宋_GB2312"/>
          <w:b/>
          <w:sz w:val="36"/>
          <w:szCs w:val="36"/>
          <w:highlight w:val="none"/>
        </w:rPr>
      </w:pPr>
      <w:r>
        <w:rPr>
          <w:rFonts w:hint="eastAsia" w:ascii="仿宋" w:hAnsi="仿宋" w:eastAsia="仿宋"/>
          <w:highlight w:val="none"/>
        </w:rPr>
        <w:t>（注：在正式签约时，根据上述精神应拟就更为详尽的合同书）</w:t>
      </w:r>
    </w:p>
    <w:p>
      <w:pPr>
        <w:spacing w:line="288" w:lineRule="auto"/>
        <w:outlineLvl w:val="0"/>
        <w:rPr>
          <w:rFonts w:ascii="仿宋" w:hAnsi="仿宋" w:eastAsia="仿宋" w:cs="仿宋"/>
          <w:b/>
          <w:sz w:val="36"/>
          <w:szCs w:val="36"/>
          <w:highlight w:val="none"/>
        </w:rPr>
      </w:pPr>
    </w:p>
    <w:p>
      <w:pPr>
        <w:spacing w:line="288" w:lineRule="auto"/>
        <w:jc w:val="center"/>
        <w:outlineLvl w:val="0"/>
        <w:rPr>
          <w:rFonts w:ascii="仿宋" w:hAnsi="仿宋" w:eastAsia="仿宋" w:cs="仿宋"/>
          <w:b/>
          <w:sz w:val="36"/>
          <w:szCs w:val="36"/>
          <w:highlight w:val="none"/>
        </w:rPr>
      </w:pPr>
      <w:r>
        <w:rPr>
          <w:rFonts w:hint="eastAsia" w:ascii="仿宋" w:hAnsi="仿宋" w:eastAsia="仿宋" w:cs="仿宋"/>
          <w:b/>
          <w:sz w:val="36"/>
          <w:szCs w:val="36"/>
          <w:highlight w:val="none"/>
        </w:rPr>
        <w:t>第五部分 评标办法及评分标准</w:t>
      </w:r>
    </w:p>
    <w:p>
      <w:pPr>
        <w:spacing w:line="288" w:lineRule="auto"/>
        <w:jc w:val="left"/>
        <w:rPr>
          <w:rFonts w:ascii="仿宋" w:hAnsi="仿宋" w:eastAsia="仿宋" w:cs="仿宋"/>
          <w:b/>
          <w:sz w:val="24"/>
          <w:highlight w:val="none"/>
        </w:rPr>
      </w:pPr>
      <w:r>
        <w:rPr>
          <w:rFonts w:hint="eastAsia" w:ascii="仿宋" w:hAnsi="仿宋" w:eastAsia="仿宋" w:cs="仿宋"/>
          <w:b/>
          <w:sz w:val="24"/>
          <w:highlight w:val="none"/>
        </w:rPr>
        <w:t>1.评标方法：</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288" w:lineRule="auto"/>
        <w:ind w:firstLine="472" w:firstLineChars="196"/>
        <w:jc w:val="left"/>
        <w:rPr>
          <w:rFonts w:ascii="仿宋" w:hAnsi="仿宋" w:eastAsia="仿宋" w:cs="仿宋"/>
          <w:b/>
          <w:sz w:val="24"/>
          <w:highlight w:val="none"/>
        </w:rPr>
      </w:pPr>
      <w:r>
        <w:rPr>
          <w:rFonts w:hint="eastAsia" w:ascii="仿宋" w:hAnsi="仿宋" w:eastAsia="仿宋" w:cs="仿宋"/>
          <w:b/>
          <w:sz w:val="24"/>
          <w:highlight w:val="none"/>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288" w:lineRule="auto"/>
        <w:ind w:firstLine="482" w:firstLineChars="200"/>
        <w:jc w:val="left"/>
        <w:rPr>
          <w:rFonts w:ascii="仿宋" w:hAnsi="仿宋" w:eastAsia="仿宋" w:cs="仿宋"/>
          <w:sz w:val="24"/>
          <w:highlight w:val="none"/>
        </w:rPr>
      </w:pPr>
      <w:r>
        <w:rPr>
          <w:rFonts w:hint="eastAsia" w:ascii="仿宋" w:hAnsi="仿宋" w:eastAsia="仿宋" w:cs="仿宋"/>
          <w:b/>
          <w:sz w:val="24"/>
          <w:highlight w:val="none"/>
        </w:rPr>
        <w:t>非单一产品采购项目，采购人应当根据采购项目技术构成、产品价格比重等合理确定核心产品，并在招标文件中载明。多家投标人提供的核心产品品牌相同的，按前款规定处理。</w:t>
      </w:r>
    </w:p>
    <w:p>
      <w:pPr>
        <w:widowControl/>
        <w:snapToGrid w:val="0"/>
        <w:spacing w:line="480" w:lineRule="exact"/>
        <w:rPr>
          <w:rFonts w:ascii="仿宋" w:hAnsi="仿宋" w:eastAsia="仿宋" w:cs="仿宋"/>
          <w:color w:val="000000"/>
          <w:kern w:val="0"/>
          <w:sz w:val="24"/>
          <w:highlight w:val="none"/>
          <w:lang w:bidi="ar"/>
        </w:rPr>
      </w:pPr>
      <w:r>
        <w:rPr>
          <w:rFonts w:hint="eastAsia" w:ascii="仿宋" w:hAnsi="仿宋" w:eastAsia="仿宋" w:cs="仿宋"/>
          <w:b/>
          <w:sz w:val="24"/>
          <w:highlight w:val="none"/>
        </w:rPr>
        <w:t>2.评分标准：</w:t>
      </w:r>
      <w:r>
        <w:rPr>
          <w:rFonts w:hint="eastAsia" w:ascii="仿宋" w:hAnsi="仿宋" w:eastAsia="仿宋" w:cs="仿宋"/>
          <w:color w:val="000000"/>
          <w:kern w:val="0"/>
          <w:sz w:val="24"/>
          <w:highlight w:val="none"/>
          <w:lang w:bidi="ar"/>
        </w:rPr>
        <w:t>共</w:t>
      </w:r>
      <w:bookmarkStart w:id="149" w:name="_GoBack"/>
      <w:bookmarkEnd w:id="149"/>
      <w:r>
        <w:rPr>
          <w:rFonts w:hint="eastAsia" w:ascii="仿宋" w:hAnsi="仿宋" w:eastAsia="仿宋" w:cs="仿宋"/>
          <w:color w:val="000000"/>
          <w:kern w:val="0"/>
          <w:sz w:val="24"/>
          <w:highlight w:val="none"/>
          <w:lang w:bidi="ar"/>
        </w:rPr>
        <w:t>100分，其中技术分70分，商务分30分。评分依下述所列为评标打分依据，分值如下（本次评标评委由5人或5人以上单数组成，评分计算技术分时平均值保留小数2位）。</w:t>
      </w:r>
    </w:p>
    <w:p>
      <w:pPr>
        <w:spacing w:line="288" w:lineRule="auto"/>
        <w:rPr>
          <w:rFonts w:ascii="仿宋" w:hAnsi="仿宋" w:eastAsia="仿宋" w:cs="仿宋"/>
          <w:b/>
          <w:bCs/>
          <w:iCs/>
          <w:sz w:val="24"/>
          <w:highlight w:val="none"/>
        </w:rPr>
      </w:pPr>
      <w:r>
        <w:rPr>
          <w:rFonts w:hint="eastAsia" w:ascii="仿宋" w:hAnsi="仿宋" w:eastAsia="仿宋" w:cs="仿宋"/>
          <w:b/>
          <w:bCs/>
          <w:sz w:val="24"/>
          <w:highlight w:val="none"/>
        </w:rPr>
        <w:t>2.1</w:t>
      </w:r>
      <w:r>
        <w:rPr>
          <w:rFonts w:hint="eastAsia" w:ascii="仿宋" w:hAnsi="仿宋" w:eastAsia="仿宋" w:cs="仿宋"/>
          <w:b/>
          <w:bCs/>
          <w:iCs/>
          <w:sz w:val="24"/>
          <w:highlight w:val="none"/>
        </w:rPr>
        <w:t>技术分</w:t>
      </w:r>
      <w:r>
        <w:rPr>
          <w:rFonts w:hint="eastAsia" w:ascii="仿宋" w:hAnsi="仿宋" w:eastAsia="仿宋" w:cs="仿宋"/>
          <w:b/>
          <w:bCs/>
          <w:sz w:val="24"/>
          <w:highlight w:val="none"/>
        </w:rPr>
        <w:t>（70分）</w:t>
      </w:r>
    </w:p>
    <w:tbl>
      <w:tblPr>
        <w:tblStyle w:val="31"/>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1235"/>
        <w:gridCol w:w="6699"/>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序号</w:t>
            </w:r>
          </w:p>
        </w:tc>
        <w:tc>
          <w:tcPr>
            <w:tcW w:w="123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评分项目</w:t>
            </w:r>
          </w:p>
        </w:tc>
        <w:tc>
          <w:tcPr>
            <w:tcW w:w="669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评审内容</w:t>
            </w:r>
          </w:p>
        </w:tc>
        <w:tc>
          <w:tcPr>
            <w:tcW w:w="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tcBorders>
              <w:top w:val="single" w:color="auto" w:sz="4" w:space="0"/>
              <w:left w:val="single" w:color="auto" w:sz="4" w:space="0"/>
              <w:right w:val="single" w:color="auto" w:sz="4" w:space="0"/>
            </w:tcBorders>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235"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技术指标</w:t>
            </w:r>
          </w:p>
        </w:tc>
        <w:tc>
          <w:tcPr>
            <w:tcW w:w="6699"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 w:hAnsi="仿宋" w:eastAsia="仿宋" w:cs="仿宋"/>
                <w:szCs w:val="21"/>
                <w:highlight w:val="none"/>
              </w:rPr>
              <w:t>完全满足招标文件要求的得</w:t>
            </w:r>
            <w:r>
              <w:rPr>
                <w:rFonts w:hint="eastAsia" w:ascii="仿宋" w:hAnsi="仿宋" w:eastAsia="仿宋" w:cs="仿宋"/>
                <w:szCs w:val="21"/>
                <w:highlight w:val="none"/>
                <w:lang w:val="en-US" w:eastAsia="zh-CN"/>
              </w:rPr>
              <w:t>30</w:t>
            </w:r>
            <w:r>
              <w:rPr>
                <w:rFonts w:hint="eastAsia" w:ascii="仿宋" w:hAnsi="仿宋" w:eastAsia="仿宋" w:cs="仿宋"/>
                <w:szCs w:val="21"/>
                <w:highlight w:val="none"/>
              </w:rPr>
              <w:t>分，</w:t>
            </w:r>
            <w:r>
              <w:rPr>
                <w:rFonts w:hint="eastAsia" w:ascii="仿宋_GB2312" w:hAnsi="宋体" w:eastAsia="仿宋_GB2312"/>
                <w:szCs w:val="21"/>
                <w:highlight w:val="none"/>
              </w:rPr>
              <w:t>打“▲”为主要性能指标，每有一项负偏离扣3分；其他指标，每有一项负偏离扣1分，扣完为止。</w:t>
            </w:r>
            <w:r>
              <w:rPr>
                <w:rFonts w:hint="eastAsia" w:ascii="仿宋" w:hAnsi="仿宋" w:eastAsia="仿宋" w:cs="仿宋"/>
                <w:b/>
                <w:bCs/>
                <w:kern w:val="0"/>
                <w:szCs w:val="21"/>
                <w:highlight w:val="none"/>
              </w:rPr>
              <w:t>如需相关报告、功能承诺函或证书的投标文件提供复印件加盖投标人公章。</w:t>
            </w:r>
          </w:p>
        </w:tc>
        <w:tc>
          <w:tcPr>
            <w:tcW w:w="533" w:type="dxa"/>
            <w:tcBorders>
              <w:top w:val="single" w:color="auto" w:sz="4" w:space="0"/>
              <w:left w:val="single" w:color="auto" w:sz="4" w:space="0"/>
              <w:right w:val="single" w:color="auto" w:sz="4" w:space="0"/>
            </w:tcBorders>
            <w:vAlign w:val="center"/>
          </w:tcPr>
          <w:p>
            <w:pPr>
              <w:jc w:val="center"/>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tcBorders>
              <w:top w:val="single" w:color="auto" w:sz="4" w:space="0"/>
              <w:left w:val="single" w:color="auto" w:sz="4" w:space="0"/>
              <w:right w:val="single" w:color="auto" w:sz="4" w:space="0"/>
            </w:tcBorders>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235"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投标人资质</w:t>
            </w:r>
          </w:p>
        </w:tc>
        <w:tc>
          <w:tcPr>
            <w:tcW w:w="6699"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投标人具有信息安全管理体系认证证书（ISO27001），信息技术服务管理体系证书（ISO20000），环境管理体系认证证书（ISO14001），职业健康安全管理体系认证证书（ISO45001），质量管理体系认证证书（ISO9001）的，每提供一项得1分，最高得5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b/>
                <w:bCs/>
                <w:color w:val="000000" w:themeColor="text1"/>
                <w:szCs w:val="21"/>
                <w:highlight w:val="none"/>
                <w14:textFill>
                  <w14:solidFill>
                    <w14:schemeClr w14:val="tx1"/>
                  </w14:solidFill>
                </w14:textFill>
              </w:rPr>
              <w:t>提供证书复印件并加盖投标人公章。</w:t>
            </w:r>
          </w:p>
        </w:tc>
        <w:tc>
          <w:tcPr>
            <w:tcW w:w="533" w:type="dxa"/>
            <w:tcBorders>
              <w:top w:val="single" w:color="auto" w:sz="4" w:space="0"/>
              <w:left w:val="single" w:color="auto" w:sz="4" w:space="0"/>
              <w:right w:val="single" w:color="auto" w:sz="4" w:space="0"/>
            </w:tcBorders>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项目实施、维护人员能力</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投标人项目团队工程师具有所投品牌交换机设备网络类认证工程师，每有五名认证工程师或每有两名认证高级工程师得1分(人数不足的不得分），每有一名认证IPV6高级工程师得1分，每有一名认证专家级工程师得1分,同一工程师证书不得重复得分，最高得3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投标人项目团队工程师具有所投品牌防火墙设备安全类认证工程师；一名认证高级工程师得2分，或有两名认证高级以下工程师得2分，每少一名认证工程师扣1分，同一工程师证书不重复得分，最高得2分；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3.投标人拟派项目负责人</w:t>
            </w:r>
            <w:r>
              <w:rPr>
                <w:rFonts w:hint="eastAsia" w:ascii="仿宋_GB2312" w:eastAsia="仿宋_GB2312"/>
                <w:color w:val="000000" w:themeColor="text1"/>
                <w:szCs w:val="21"/>
                <w:highlight w:val="none"/>
                <w14:textFill>
                  <w14:solidFill>
                    <w14:schemeClr w14:val="tx1"/>
                  </w14:solidFill>
                </w14:textFill>
              </w:rPr>
              <w:t>具有ITSS项目经理证书和ITIL Foundation Certificate认证的</w:t>
            </w:r>
            <w:r>
              <w:rPr>
                <w:rFonts w:hint="eastAsia" w:ascii="仿宋_GB2312" w:eastAsia="仿宋_GB2312"/>
                <w:color w:val="000000" w:themeColor="text1"/>
                <w:szCs w:val="21"/>
                <w:highlight w:val="none"/>
                <w14:textFill>
                  <w14:solidFill>
                    <w14:schemeClr w14:val="tx1"/>
                  </w14:solidFill>
                </w14:textFill>
              </w:rPr>
              <w:t>，每有一个得0.5分，最高得1分；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4、为保障应急响应服务效果，投标人技术团队成员有华为或H3C认证网络专家证书（HCIE或H3CIE,证书认证方向应为路由交换方向）的，得1分。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b/>
                <w:bCs/>
                <w:color w:val="000000" w:themeColor="text1"/>
                <w:szCs w:val="21"/>
                <w:highlight w:val="none"/>
                <w14:textFill>
                  <w14:solidFill>
                    <w14:schemeClr w14:val="tx1"/>
                  </w14:solidFill>
                </w14:textFill>
              </w:rPr>
              <w:t>注：提供上述相关证书复印件并加盖投标人公章，并提供相关人员本单位社保缴纳证明，未提供</w:t>
            </w:r>
            <w:r>
              <w:rPr>
                <w:rFonts w:hint="eastAsia" w:ascii="仿宋_GB2312" w:hAnsi="仿宋" w:eastAsia="仿宋_GB2312"/>
                <w:b/>
                <w:bCs/>
                <w:snapToGrid w:val="0"/>
                <w:kern w:val="0"/>
                <w:szCs w:val="21"/>
                <w:highlight w:val="none"/>
              </w:rPr>
              <w:t>或提供不全的均</w:t>
            </w:r>
            <w:r>
              <w:rPr>
                <w:rFonts w:hint="eastAsia" w:ascii="仿宋_GB2312" w:eastAsia="仿宋_GB2312"/>
                <w:b/>
                <w:bCs/>
                <w:color w:val="000000" w:themeColor="text1"/>
                <w:szCs w:val="21"/>
                <w:highlight w:val="none"/>
                <w14:textFill>
                  <w14:solidFill>
                    <w14:schemeClr w14:val="tx1"/>
                  </w14:solidFill>
                </w14:textFill>
              </w:rPr>
              <w:t>不得分。</w:t>
            </w:r>
          </w:p>
        </w:tc>
        <w:tc>
          <w:tcPr>
            <w:tcW w:w="53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技术方案</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根据投标人提供对项目背景、项目现状、建设内容及预期目标有深刻理解基础上提出的完整合理的技术解决方案及切实可行的建设意见进行打分，优于或者完全符合招标文件要求的得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6</w:t>
            </w:r>
            <w:r>
              <w:rPr>
                <w:rFonts w:hint="eastAsia"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lang w:val="en-US" w:eastAsia="zh-CN"/>
                <w14:textFill>
                  <w14:solidFill>
                    <w14:schemeClr w14:val="tx1"/>
                  </w14:solidFill>
                </w14:textFill>
              </w:rPr>
              <w:t>4.1</w:t>
            </w:r>
            <w:r>
              <w:rPr>
                <w:rFonts w:hint="eastAsia" w:ascii="仿宋_GB2312" w:eastAsia="仿宋_GB2312"/>
                <w:color w:val="000000" w:themeColor="text1"/>
                <w:szCs w:val="21"/>
                <w:highlight w:val="none"/>
                <w14:textFill>
                  <w14:solidFill>
                    <w14:schemeClr w14:val="tx1"/>
                  </w14:solidFill>
                </w14:textFill>
              </w:rPr>
              <w:t>分，部分符合招标文件要求的得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分，一般的得</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-0.1分，不符合或不提供不得分。</w:t>
            </w:r>
          </w:p>
        </w:tc>
        <w:tc>
          <w:tcPr>
            <w:tcW w:w="533" w:type="dxa"/>
            <w:vAlign w:val="center"/>
          </w:tcPr>
          <w:p>
            <w:pPr>
              <w:jc w:val="center"/>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售后服务保障体系</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1.根据投标人是否具有科学的服务组织、严格的服务流程、丰富的服务方式，优于或完全符合招标文件要求的得3.0-2.1分，部分符合招标文件要求的得2.0-1.1分，一般的得1.0-0.1分，不符合或不提供不得分。</w:t>
            </w:r>
          </w:p>
          <w:p>
            <w:pPr>
              <w:jc w:val="left"/>
              <w:rPr>
                <w:rFonts w:ascii="仿宋_GB2312" w:eastAsia="仿宋_GB2312"/>
                <w:b/>
                <w:bCs/>
                <w:color w:val="FF0000"/>
                <w:szCs w:val="21"/>
                <w:highlight w:val="none"/>
              </w:rPr>
            </w:pPr>
            <w:r>
              <w:rPr>
                <w:rFonts w:hint="eastAsia" w:ascii="仿宋_GB2312" w:eastAsia="仿宋_GB2312"/>
                <w:color w:val="000000" w:themeColor="text1"/>
                <w:szCs w:val="21"/>
                <w:highlight w:val="none"/>
                <w14:textFill>
                  <w14:solidFill>
                    <w14:schemeClr w14:val="tx1"/>
                  </w14:solidFill>
                </w14:textFill>
              </w:rPr>
              <w:t>2.根据投标人能否提供免费安全检测、网络安全巡检、评估等服务进行打分，优得3.0-2.1分，良得2.0-1.1分，一般得1.0-0.1分，不提供不得分。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3.项目质保期内派驻具有网络、安全认证的工程师</w:t>
            </w:r>
            <w:r>
              <w:rPr>
                <w:rFonts w:hint="eastAsia" w:ascii="仿宋_GB2312" w:eastAsia="仿宋_GB2312"/>
                <w:color w:val="000000" w:themeColor="text1"/>
                <w:szCs w:val="21"/>
                <w:highlight w:val="none"/>
                <w:lang w:val="en-US" w:eastAsia="zh-CN"/>
                <w14:textFill>
                  <w14:solidFill>
                    <w14:schemeClr w14:val="tx1"/>
                  </w14:solidFill>
                </w14:textFill>
              </w:rPr>
              <w:t>至少</w:t>
            </w:r>
            <w:r>
              <w:rPr>
                <w:rFonts w:hint="eastAsia" w:ascii="仿宋_GB2312" w:eastAsia="仿宋_GB2312"/>
                <w:color w:val="000000" w:themeColor="text1"/>
                <w:szCs w:val="21"/>
                <w:highlight w:val="none"/>
                <w14:textFill>
                  <w14:solidFill>
                    <w14:schemeClr w14:val="tx1"/>
                  </w14:solidFill>
                </w14:textFill>
              </w:rPr>
              <w:t>1名，满足得2分。</w:t>
            </w:r>
          </w:p>
        </w:tc>
        <w:tc>
          <w:tcPr>
            <w:tcW w:w="533" w:type="dxa"/>
            <w:vAlign w:val="center"/>
          </w:tcPr>
          <w:p>
            <w:pPr>
              <w:jc w:val="center"/>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6</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组织实施方案</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1.根据投标人提供的项目组织实施方案进行打分，方案要求具有科学性、合理性、规范性、安全性和可操作性，优于或完全符合招标文件要求的得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lang w:val="en-US" w:eastAsia="zh-CN"/>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.1分，部分符合招标文件要求的得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.1分，一般的得</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.0-0.1分，不符合或不提供不得分。</w:t>
            </w:r>
          </w:p>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2.在投标人施工组织方案规划中符合逻辑又具备合理性前提下，在项目要求工期内，投标人承诺工期提前</w:t>
            </w:r>
            <w:r>
              <w:rPr>
                <w:rFonts w:ascii="仿宋_GB2312" w:eastAsia="仿宋_GB2312"/>
                <w:color w:val="000000" w:themeColor="text1"/>
                <w:szCs w:val="21"/>
                <w:highlight w:val="none"/>
                <w14:textFill>
                  <w14:solidFill>
                    <w14:schemeClr w14:val="tx1"/>
                  </w14:solidFill>
                </w14:textFill>
              </w:rPr>
              <w:t>10</w:t>
            </w:r>
            <w:r>
              <w:rPr>
                <w:rFonts w:hint="eastAsia" w:ascii="仿宋_GB2312" w:eastAsia="仿宋_GB2312"/>
                <w:color w:val="000000" w:themeColor="text1"/>
                <w:szCs w:val="21"/>
                <w:highlight w:val="none"/>
                <w14:textFill>
                  <w14:solidFill>
                    <w14:schemeClr w14:val="tx1"/>
                  </w14:solidFill>
                </w14:textFill>
              </w:rPr>
              <w:t>天得1分，提前</w:t>
            </w:r>
            <w:r>
              <w:rPr>
                <w:rFonts w:ascii="仿宋_GB2312" w:eastAsia="仿宋_GB2312"/>
                <w:color w:val="000000" w:themeColor="text1"/>
                <w:szCs w:val="21"/>
                <w:highlight w:val="none"/>
                <w14:textFill>
                  <w14:solidFill>
                    <w14:schemeClr w14:val="tx1"/>
                  </w14:solidFill>
                </w14:textFill>
              </w:rPr>
              <w:t>20</w:t>
            </w:r>
            <w:r>
              <w:rPr>
                <w:rFonts w:hint="eastAsia" w:ascii="仿宋_GB2312" w:eastAsia="仿宋_GB2312"/>
                <w:color w:val="000000" w:themeColor="text1"/>
                <w:szCs w:val="21"/>
                <w:highlight w:val="none"/>
                <w14:textFill>
                  <w14:solidFill>
                    <w14:schemeClr w14:val="tx1"/>
                  </w14:solidFill>
                </w14:textFill>
              </w:rPr>
              <w:t>天得</w:t>
            </w:r>
            <w:r>
              <w:rPr>
                <w:rFonts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分，最高得2分。</w:t>
            </w:r>
          </w:p>
        </w:tc>
        <w:tc>
          <w:tcPr>
            <w:tcW w:w="533" w:type="dxa"/>
            <w:vAlign w:val="center"/>
          </w:tcPr>
          <w:p>
            <w:pPr>
              <w:jc w:val="center"/>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7</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培训方案</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根据投标人提供的培训计划、培训方式、培训内容和培训人数确定，培训导师（需提供本单位社保缴纳证明）有相关经验或证书等方面进行打分，优于或完全符合招标文件要求的得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.1分，部分符合招标文件要求的得</w:t>
            </w: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.1分，一般的得</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.0-0.1分，不符合或不提供不得分。</w:t>
            </w:r>
          </w:p>
        </w:tc>
        <w:tc>
          <w:tcPr>
            <w:tcW w:w="533" w:type="dxa"/>
            <w:vAlign w:val="center"/>
          </w:tcPr>
          <w:p>
            <w:pPr>
              <w:jc w:val="center"/>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1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8</w:t>
            </w:r>
          </w:p>
        </w:tc>
        <w:tc>
          <w:tcPr>
            <w:tcW w:w="1235" w:type="dxa"/>
            <w:tcMar>
              <w:top w:w="15" w:type="dxa"/>
              <w:left w:w="15" w:type="dxa"/>
              <w:bottom w:w="0" w:type="dxa"/>
              <w:right w:w="15" w:type="dxa"/>
            </w:tcMar>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业绩</w:t>
            </w:r>
          </w:p>
        </w:tc>
        <w:tc>
          <w:tcPr>
            <w:tcW w:w="6699" w:type="dxa"/>
            <w:vAlign w:val="center"/>
          </w:tcPr>
          <w:p>
            <w:pPr>
              <w:jc w:val="left"/>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2019年1月1日至今投标人具有过同类项目案例，每有一份得1分，最多得3分。</w:t>
            </w:r>
            <w:r>
              <w:rPr>
                <w:rFonts w:hint="eastAsia" w:ascii="仿宋_GB2312" w:eastAsia="仿宋_GB2312"/>
                <w:b/>
                <w:bCs/>
                <w:szCs w:val="21"/>
                <w:highlight w:val="none"/>
              </w:rPr>
              <w:t>需提供合同或中标通知书复印件加盖投标人公章</w:t>
            </w:r>
          </w:p>
        </w:tc>
        <w:tc>
          <w:tcPr>
            <w:tcW w:w="533" w:type="dxa"/>
            <w:vAlign w:val="center"/>
          </w:tcPr>
          <w:p>
            <w:pP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w:t>
            </w:r>
          </w:p>
        </w:tc>
      </w:tr>
    </w:tbl>
    <w:p>
      <w:pPr>
        <w:spacing w:line="440" w:lineRule="exact"/>
        <w:rPr>
          <w:rFonts w:ascii="仿宋_GB2312" w:hAnsi="宋体" w:eastAsia="仿宋_GB2312"/>
          <w:b/>
          <w:bCs/>
          <w:iCs/>
          <w:sz w:val="24"/>
          <w:highlight w:val="none"/>
        </w:rPr>
      </w:pPr>
      <w:r>
        <w:rPr>
          <w:rFonts w:hint="eastAsia" w:ascii="仿宋_GB2312" w:hAnsi="宋体" w:eastAsia="仿宋_GB2312"/>
          <w:b/>
          <w:bCs/>
          <w:iCs/>
          <w:sz w:val="24"/>
          <w:highlight w:val="none"/>
        </w:rPr>
        <w:t>注：对省级以上主管部门认定的首台套产品，自纳入《省推广应用指导目录》起三年内参加政府采购活动，视同已具备相应销售业绩，业绩分为满分。</w:t>
      </w:r>
    </w:p>
    <w:p>
      <w:pPr>
        <w:spacing w:line="440" w:lineRule="exact"/>
        <w:rPr>
          <w:rFonts w:ascii="仿宋_GB2312" w:hAnsi="宋体" w:eastAsia="仿宋_GB2312"/>
          <w:b/>
          <w:bCs/>
          <w:iCs/>
          <w:sz w:val="24"/>
          <w:highlight w:val="none"/>
        </w:rPr>
      </w:pPr>
      <w:r>
        <w:rPr>
          <w:rFonts w:hint="eastAsia" w:ascii="仿宋_GB2312" w:hAnsi="宋体" w:eastAsia="仿宋_GB2312"/>
          <w:b/>
          <w:bCs/>
          <w:iCs/>
          <w:sz w:val="24"/>
          <w:highlight w:val="none"/>
        </w:rPr>
        <w:t>2.2价格分（</w:t>
      </w:r>
      <w:r>
        <w:rPr>
          <w:rFonts w:ascii="仿宋_GB2312" w:hAnsi="宋体" w:eastAsia="仿宋_GB2312"/>
          <w:b/>
          <w:bCs/>
          <w:iCs/>
          <w:sz w:val="24"/>
          <w:highlight w:val="none"/>
        </w:rPr>
        <w:t>3</w:t>
      </w:r>
      <w:r>
        <w:rPr>
          <w:rFonts w:hint="eastAsia" w:ascii="仿宋_GB2312" w:hAnsi="宋体" w:eastAsia="仿宋_GB2312"/>
          <w:b/>
          <w:bCs/>
          <w:iCs/>
          <w:sz w:val="24"/>
          <w:highlight w:val="none"/>
        </w:rPr>
        <w:t>0分）</w:t>
      </w:r>
    </w:p>
    <w:p>
      <w:pPr>
        <w:spacing w:line="440" w:lineRule="exact"/>
        <w:rPr>
          <w:rFonts w:ascii="仿宋_GB2312" w:hAnsi="宋体" w:eastAsia="仿宋_GB2312"/>
          <w:bCs/>
          <w:iCs/>
          <w:sz w:val="24"/>
          <w:highlight w:val="none"/>
        </w:rPr>
      </w:pPr>
      <w:r>
        <w:rPr>
          <w:rFonts w:hint="eastAsia" w:ascii="仿宋_GB2312" w:hAnsi="宋体" w:eastAsia="仿宋_GB2312"/>
          <w:bCs/>
          <w:iCs/>
          <w:sz w:val="24"/>
          <w:highlight w:val="none"/>
        </w:rPr>
        <w:t>2.2.1评标基准价：即满足招标文件要求且投标价格最低的投标报价为评标基准价，其价格分为满分。</w:t>
      </w:r>
    </w:p>
    <w:p>
      <w:pPr>
        <w:spacing w:line="440" w:lineRule="exact"/>
        <w:rPr>
          <w:rFonts w:ascii="仿宋_GB2312" w:hAnsi="宋体" w:eastAsia="仿宋_GB2312"/>
          <w:bCs/>
          <w:iCs/>
          <w:sz w:val="24"/>
          <w:highlight w:val="none"/>
        </w:rPr>
      </w:pPr>
      <w:r>
        <w:rPr>
          <w:rFonts w:hint="eastAsia" w:ascii="仿宋_GB2312" w:hAnsi="宋体" w:eastAsia="仿宋_GB2312"/>
          <w:bCs/>
          <w:iCs/>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highlight w:val="none"/>
        </w:rPr>
      </w:pPr>
      <w:r>
        <w:rPr>
          <w:rFonts w:hint="eastAsia" w:ascii="仿宋_GB2312" w:hAnsi="宋体" w:eastAsia="仿宋_GB2312"/>
          <w:bCs/>
          <w:iCs/>
          <w:sz w:val="24"/>
          <w:highlight w:val="none"/>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highlight w:val="none"/>
        </w:rPr>
      </w:pPr>
      <w:r>
        <w:rPr>
          <w:rFonts w:hint="eastAsia" w:ascii="仿宋_GB2312" w:hAnsi="宋体" w:eastAsia="仿宋_GB2312"/>
          <w:bCs/>
          <w:iCs/>
          <w:sz w:val="24"/>
          <w:highlight w:val="none"/>
        </w:rPr>
        <w:t>即：投标报价得分=(评标基准价／投标报价)×30</w:t>
      </w:r>
    </w:p>
    <w:p>
      <w:pPr>
        <w:spacing w:line="288" w:lineRule="auto"/>
        <w:rPr>
          <w:rFonts w:ascii="仿宋" w:hAnsi="仿宋" w:eastAsia="仿宋" w:cs="仿宋"/>
          <w:iCs/>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仿宋" w:hAnsi="仿宋" w:eastAsia="仿宋" w:cs="仿宋"/>
          <w:b/>
          <w:sz w:val="36"/>
          <w:szCs w:val="20"/>
          <w:highlight w:val="none"/>
        </w:rPr>
      </w:pPr>
      <w:r>
        <w:rPr>
          <w:rFonts w:hint="eastAsia" w:ascii="仿宋" w:hAnsi="仿宋" w:eastAsia="仿宋" w:cs="仿宋"/>
          <w:b/>
          <w:sz w:val="36"/>
          <w:szCs w:val="20"/>
          <w:highlight w:val="none"/>
        </w:rPr>
        <w:br w:type="page"/>
      </w:r>
      <w:bookmarkStart w:id="148" w:name="_Toc465665161"/>
      <w:r>
        <w:rPr>
          <w:rFonts w:hint="eastAsia" w:ascii="仿宋" w:hAnsi="仿宋" w:eastAsia="仿宋" w:cs="仿宋"/>
          <w:b/>
          <w:sz w:val="36"/>
          <w:szCs w:val="20"/>
          <w:highlight w:val="none"/>
        </w:rPr>
        <w:t>第六部分</w:t>
      </w:r>
      <w:r>
        <w:rPr>
          <w:rFonts w:hint="eastAsia" w:ascii="仿宋" w:hAnsi="仿宋" w:eastAsia="仿宋" w:cs="仿宋"/>
          <w:b/>
          <w:sz w:val="36"/>
          <w:szCs w:val="36"/>
          <w:highlight w:val="none"/>
        </w:rPr>
        <w:t>投标文件</w:t>
      </w:r>
      <w:r>
        <w:rPr>
          <w:rFonts w:hint="eastAsia" w:ascii="仿宋" w:hAnsi="仿宋" w:eastAsia="仿宋" w:cs="仿宋"/>
          <w:b/>
          <w:sz w:val="36"/>
          <w:szCs w:val="20"/>
          <w:highlight w:val="none"/>
        </w:rPr>
        <w:t>应提交的有关格式范例</w:t>
      </w:r>
    </w:p>
    <w:p>
      <w:pPr>
        <w:spacing w:line="288"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投标人按照以下格式编制投标文件</w:t>
      </w:r>
      <w:r>
        <w:rPr>
          <w:rFonts w:hint="eastAsia" w:ascii="仿宋_GB2312" w:eastAsia="仿宋_GB2312" w:cs="仿宋_GB2312"/>
          <w:sz w:val="24"/>
          <w:highlight w:val="none"/>
        </w:rPr>
        <w:t>,</w:t>
      </w:r>
      <w:r>
        <w:rPr>
          <w:rFonts w:hint="eastAsia" w:ascii="仿宋_GB2312" w:eastAsia="仿宋_GB2312" w:cs="仿宋_GB2312"/>
          <w:sz w:val="24"/>
          <w:highlight w:val="none"/>
          <w:lang w:val="zh-CN"/>
        </w:rPr>
        <w:t>制作加密电子投标文件时做好关联点设置</w:t>
      </w:r>
      <w:r>
        <w:rPr>
          <w:rFonts w:ascii="仿宋_GB2312" w:eastAsia="仿宋_GB2312" w:cs="仿宋_GB2312"/>
          <w:sz w:val="24"/>
          <w:highlight w:val="none"/>
          <w:lang w:val="zh-CN"/>
        </w:rPr>
        <w:t>。</w:t>
      </w:r>
    </w:p>
    <w:p>
      <w:pPr>
        <w:spacing w:line="288" w:lineRule="auto"/>
        <w:ind w:firstLine="480" w:firstLineChars="200"/>
        <w:outlineLvl w:val="0"/>
        <w:rPr>
          <w:rFonts w:ascii="仿宋" w:hAnsi="仿宋" w:eastAsia="仿宋" w:cs="仿宋"/>
          <w:sz w:val="24"/>
          <w:highlight w:val="none"/>
        </w:rPr>
      </w:pPr>
    </w:p>
    <w:p>
      <w:pPr>
        <w:spacing w:line="288" w:lineRule="auto"/>
        <w:ind w:firstLine="480" w:firstLineChars="200"/>
        <w:outlineLvl w:val="0"/>
        <w:rPr>
          <w:rFonts w:ascii="仿宋" w:hAnsi="仿宋" w:eastAsia="仿宋" w:cs="仿宋"/>
          <w:sz w:val="24"/>
          <w:highlight w:val="none"/>
        </w:rPr>
      </w:pPr>
    </w:p>
    <w:p>
      <w:pPr>
        <w:spacing w:line="288" w:lineRule="auto"/>
        <w:ind w:firstLine="480" w:firstLineChars="200"/>
        <w:outlineLvl w:val="0"/>
        <w:rPr>
          <w:rFonts w:ascii="仿宋" w:hAnsi="仿宋" w:eastAsia="仿宋" w:cs="仿宋"/>
          <w:sz w:val="24"/>
          <w:highlight w:val="none"/>
        </w:rPr>
      </w:pPr>
    </w:p>
    <w:p>
      <w:pPr>
        <w:spacing w:line="288" w:lineRule="auto"/>
        <w:ind w:firstLine="480" w:firstLineChars="200"/>
        <w:outlineLvl w:val="0"/>
        <w:rPr>
          <w:rFonts w:ascii="仿宋" w:hAnsi="仿宋" w:eastAsia="仿宋" w:cs="仿宋"/>
          <w:sz w:val="24"/>
          <w:highlight w:val="none"/>
        </w:rPr>
      </w:pPr>
    </w:p>
    <w:p>
      <w:pPr>
        <w:spacing w:line="288" w:lineRule="auto"/>
        <w:ind w:firstLine="480" w:firstLineChars="200"/>
        <w:outlineLvl w:val="0"/>
        <w:rPr>
          <w:rFonts w:ascii="仿宋" w:hAnsi="仿宋" w:eastAsia="仿宋" w:cs="仿宋"/>
          <w:sz w:val="24"/>
          <w:highlight w:val="none"/>
        </w:rPr>
      </w:pPr>
    </w:p>
    <w:p>
      <w:pPr>
        <w:snapToGrid w:val="0"/>
        <w:spacing w:line="288" w:lineRule="auto"/>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288" w:lineRule="auto"/>
        <w:jc w:val="center"/>
        <w:outlineLvl w:val="0"/>
        <w:rPr>
          <w:rFonts w:ascii="仿宋" w:hAnsi="仿宋" w:eastAsia="仿宋" w:cs="仿宋"/>
          <w:b/>
          <w:kern w:val="0"/>
          <w:sz w:val="24"/>
          <w:highlight w:val="none"/>
        </w:rPr>
      </w:pPr>
    </w:p>
    <w:p>
      <w:pPr>
        <w:spacing w:line="288"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288" w:lineRule="auto"/>
        <w:outlineLvl w:val="0"/>
        <w:rPr>
          <w:rFonts w:ascii="仿宋" w:hAnsi="仿宋" w:eastAsia="仿宋" w:cs="仿宋"/>
          <w:kern w:val="0"/>
          <w:sz w:val="24"/>
          <w:highlight w:val="none"/>
        </w:rPr>
      </w:pPr>
      <w:r>
        <w:rPr>
          <w:rFonts w:hint="eastAsia" w:ascii="仿宋" w:hAnsi="仿宋" w:eastAsia="仿宋" w:cs="仿宋"/>
          <w:kern w:val="0"/>
          <w:sz w:val="24"/>
          <w:highlight w:val="none"/>
        </w:rPr>
        <w:t>（1）投标响应函……………………………………………………（页码）</w:t>
      </w:r>
    </w:p>
    <w:p>
      <w:pPr>
        <w:spacing w:line="288" w:lineRule="auto"/>
        <w:outlineLvl w:val="0"/>
        <w:rPr>
          <w:rFonts w:ascii="仿宋" w:hAnsi="仿宋" w:eastAsia="仿宋" w:cs="仿宋"/>
          <w:kern w:val="0"/>
          <w:sz w:val="24"/>
          <w:highlight w:val="none"/>
        </w:rPr>
      </w:pPr>
      <w:r>
        <w:rPr>
          <w:rFonts w:hint="eastAsia" w:ascii="仿宋" w:hAnsi="仿宋" w:eastAsia="仿宋" w:cs="仿宋"/>
          <w:kern w:val="0"/>
          <w:sz w:val="24"/>
          <w:highlight w:val="none"/>
        </w:rPr>
        <w:t>（2）开标一览表……………………………………………………（页码）</w:t>
      </w:r>
    </w:p>
    <w:p>
      <w:pPr>
        <w:spacing w:line="288" w:lineRule="auto"/>
        <w:outlineLvl w:val="0"/>
        <w:rPr>
          <w:rFonts w:ascii="仿宋" w:hAnsi="仿宋" w:eastAsia="仿宋" w:cs="仿宋"/>
          <w:kern w:val="0"/>
          <w:sz w:val="24"/>
          <w:highlight w:val="none"/>
        </w:rPr>
      </w:pPr>
      <w:r>
        <w:rPr>
          <w:rFonts w:hint="eastAsia" w:ascii="仿宋" w:hAnsi="仿宋" w:eastAsia="仿宋" w:cs="仿宋"/>
          <w:kern w:val="0"/>
          <w:sz w:val="24"/>
          <w:highlight w:val="none"/>
        </w:rPr>
        <w:t>（3）中小企业声明函（二选一）…………………………………（页码）</w:t>
      </w:r>
    </w:p>
    <w:p>
      <w:pPr>
        <w:spacing w:line="288" w:lineRule="auto"/>
        <w:ind w:left="2" w:firstLine="480" w:firstLineChars="200"/>
        <w:rPr>
          <w:rFonts w:ascii="仿宋" w:hAnsi="仿宋" w:eastAsia="仿宋" w:cs="仿宋"/>
          <w:kern w:val="0"/>
          <w:sz w:val="24"/>
          <w:highlight w:val="none"/>
        </w:rPr>
      </w:pPr>
    </w:p>
    <w:p>
      <w:pPr>
        <w:spacing w:line="288" w:lineRule="auto"/>
        <w:ind w:left="2" w:firstLine="480" w:firstLineChars="200"/>
        <w:rPr>
          <w:rFonts w:ascii="仿宋" w:hAnsi="仿宋" w:eastAsia="仿宋" w:cs="仿宋"/>
          <w:kern w:val="0"/>
          <w:sz w:val="24"/>
          <w:highlight w:val="none"/>
        </w:rPr>
      </w:pPr>
    </w:p>
    <w:p>
      <w:pPr>
        <w:spacing w:line="288" w:lineRule="auto"/>
        <w:ind w:left="2" w:firstLine="480" w:firstLineChars="200"/>
        <w:rPr>
          <w:rFonts w:ascii="仿宋" w:hAnsi="仿宋" w:eastAsia="仿宋" w:cs="仿宋"/>
          <w:kern w:val="0"/>
          <w:sz w:val="24"/>
          <w:highlight w:val="none"/>
        </w:rPr>
      </w:pPr>
    </w:p>
    <w:p>
      <w:pPr>
        <w:spacing w:line="288" w:lineRule="auto"/>
        <w:ind w:left="2" w:firstLine="480" w:firstLineChars="200"/>
        <w:rPr>
          <w:rFonts w:ascii="仿宋" w:hAnsi="仿宋" w:eastAsia="仿宋" w:cs="仿宋"/>
          <w:sz w:val="24"/>
          <w:highlight w:val="none"/>
        </w:rPr>
      </w:pPr>
    </w:p>
    <w:p>
      <w:pPr>
        <w:pStyle w:val="14"/>
        <w:spacing w:line="288" w:lineRule="auto"/>
        <w:ind w:left="0" w:leftChars="0"/>
        <w:rPr>
          <w:rFonts w:ascii="仿宋" w:hAnsi="仿宋" w:eastAsia="仿宋" w:cs="仿宋"/>
          <w:b/>
          <w:sz w:val="36"/>
          <w:szCs w:val="36"/>
          <w:highlight w:val="none"/>
        </w:rPr>
      </w:pPr>
    </w:p>
    <w:p>
      <w:pPr>
        <w:pStyle w:val="14"/>
        <w:spacing w:line="288" w:lineRule="auto"/>
        <w:ind w:left="0" w:leftChars="0"/>
        <w:rPr>
          <w:rFonts w:ascii="仿宋" w:hAnsi="仿宋" w:eastAsia="仿宋" w:cs="仿宋"/>
          <w:b/>
          <w:sz w:val="36"/>
          <w:szCs w:val="36"/>
          <w:highlight w:val="none"/>
        </w:rPr>
      </w:pPr>
    </w:p>
    <w:p>
      <w:pPr>
        <w:pStyle w:val="14"/>
        <w:spacing w:line="288" w:lineRule="auto"/>
        <w:ind w:left="0" w:leftChars="0"/>
        <w:rPr>
          <w:rFonts w:ascii="仿宋" w:hAnsi="仿宋" w:eastAsia="仿宋" w:cs="仿宋"/>
          <w:b/>
          <w:sz w:val="36"/>
          <w:szCs w:val="36"/>
          <w:highlight w:val="none"/>
        </w:rPr>
      </w:pPr>
    </w:p>
    <w:p>
      <w:pPr>
        <w:pStyle w:val="14"/>
        <w:spacing w:line="288" w:lineRule="auto"/>
        <w:ind w:left="0" w:leftChars="0"/>
        <w:rPr>
          <w:rFonts w:ascii="仿宋" w:hAnsi="仿宋" w:eastAsia="仿宋" w:cs="仿宋"/>
          <w:b/>
          <w:sz w:val="36"/>
          <w:szCs w:val="36"/>
          <w:highlight w:val="none"/>
        </w:rPr>
      </w:pPr>
    </w:p>
    <w:p>
      <w:pPr>
        <w:spacing w:line="288" w:lineRule="auto"/>
        <w:rPr>
          <w:rFonts w:ascii="仿宋" w:hAnsi="仿宋" w:eastAsia="仿宋" w:cs="仿宋"/>
          <w:b/>
          <w:sz w:val="30"/>
          <w:szCs w:val="30"/>
          <w:highlight w:val="none"/>
        </w:rPr>
      </w:pPr>
    </w:p>
    <w:p>
      <w:pPr>
        <w:pageBreakBefore/>
        <w:spacing w:line="288" w:lineRule="auto"/>
        <w:rPr>
          <w:rFonts w:ascii="仿宋" w:hAnsi="仿宋" w:eastAsia="仿宋" w:cs="仿宋"/>
          <w:highlight w:val="none"/>
        </w:rPr>
      </w:pPr>
      <w:r>
        <w:rPr>
          <w:rFonts w:hint="eastAsia" w:ascii="仿宋" w:hAnsi="仿宋" w:eastAsia="仿宋" w:cs="仿宋"/>
          <w:b/>
          <w:sz w:val="30"/>
          <w:szCs w:val="30"/>
          <w:highlight w:val="none"/>
        </w:rPr>
        <w:t>1、投标响应函（格式）</w:t>
      </w:r>
    </w:p>
    <w:p>
      <w:pPr>
        <w:pStyle w:val="73"/>
        <w:spacing w:afterLines="0" w:line="288" w:lineRule="auto"/>
        <w:ind w:firstLine="0" w:firstLineChars="0"/>
        <w:rPr>
          <w:rFonts w:ascii="仿宋" w:hAnsi="仿宋" w:eastAsia="仿宋" w:cs="仿宋"/>
          <w:szCs w:val="24"/>
          <w:highlight w:val="none"/>
        </w:rPr>
      </w:pPr>
      <w:r>
        <w:rPr>
          <w:rFonts w:hint="eastAsia" w:ascii="仿宋" w:hAnsi="仿宋" w:eastAsia="仿宋" w:cs="仿宋"/>
          <w:szCs w:val="24"/>
          <w:highlight w:val="none"/>
        </w:rPr>
        <w:t>致：</w:t>
      </w:r>
      <w:r>
        <w:rPr>
          <w:rFonts w:hint="eastAsia" w:ascii="仿宋" w:hAnsi="仿宋" w:eastAsia="仿宋" w:cs="仿宋"/>
          <w:szCs w:val="24"/>
          <w:highlight w:val="none"/>
          <w:u w:val="single"/>
        </w:rPr>
        <w:t>绍兴市越城区综合行政执法局、浙江明业项目管理有限公司</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根据贵方招标文件（</w:t>
      </w:r>
      <w:r>
        <w:rPr>
          <w:rFonts w:hint="eastAsia" w:ascii="仿宋" w:hAnsi="仿宋" w:eastAsia="仿宋" w:cs="仿宋"/>
          <w:b/>
          <w:szCs w:val="24"/>
          <w:highlight w:val="none"/>
          <w:u w:val="single"/>
        </w:rPr>
        <w:t>填写招标编号：</w:t>
      </w:r>
      <w:r>
        <w:rPr>
          <w:rFonts w:hint="eastAsia" w:ascii="仿宋" w:hAnsi="仿宋" w:eastAsia="仿宋" w:cs="仿宋"/>
          <w:szCs w:val="24"/>
          <w:highlight w:val="none"/>
        </w:rPr>
        <w:t>）的要求，正式授权</w:t>
      </w:r>
      <w:r>
        <w:rPr>
          <w:rFonts w:hint="eastAsia" w:ascii="仿宋" w:hAnsi="仿宋" w:eastAsia="仿宋" w:cs="仿宋"/>
          <w:b/>
          <w:szCs w:val="24"/>
          <w:highlight w:val="none"/>
          <w:u w:val="single"/>
        </w:rPr>
        <w:t>（全权代表姓名    、单位    、职务   ）</w:t>
      </w:r>
      <w:r>
        <w:rPr>
          <w:rFonts w:hint="eastAsia" w:ascii="仿宋" w:hAnsi="仿宋" w:eastAsia="仿宋" w:cs="仿宋"/>
          <w:szCs w:val="24"/>
          <w:highlight w:val="none"/>
        </w:rPr>
        <w:t>代表投标人</w:t>
      </w:r>
      <w:r>
        <w:rPr>
          <w:rFonts w:hint="eastAsia" w:ascii="仿宋" w:hAnsi="仿宋" w:eastAsia="仿宋" w:cs="仿宋"/>
          <w:szCs w:val="24"/>
          <w:highlight w:val="none"/>
          <w:u w:val="single"/>
        </w:rPr>
        <w:t>（</w:t>
      </w:r>
      <w:r>
        <w:rPr>
          <w:rFonts w:hint="eastAsia" w:ascii="仿宋" w:hAnsi="仿宋" w:eastAsia="仿宋" w:cs="仿宋"/>
          <w:b/>
          <w:szCs w:val="24"/>
          <w:highlight w:val="none"/>
          <w:u w:val="single"/>
        </w:rPr>
        <w:t xml:space="preserve">填写单位    、地址   </w:t>
      </w:r>
      <w:r>
        <w:rPr>
          <w:rFonts w:hint="eastAsia" w:ascii="仿宋" w:hAnsi="仿宋" w:eastAsia="仿宋" w:cs="仿宋"/>
          <w:szCs w:val="24"/>
          <w:highlight w:val="none"/>
          <w:u w:val="single"/>
        </w:rPr>
        <w:t>）</w:t>
      </w:r>
      <w:r>
        <w:rPr>
          <w:rFonts w:hint="eastAsia" w:ascii="仿宋" w:hAnsi="仿宋" w:eastAsia="仿宋" w:cs="仿宋"/>
          <w:szCs w:val="24"/>
          <w:highlight w:val="none"/>
        </w:rPr>
        <w:t>提交投标文件。</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我方已完全明白招标文件的所有条款要求，兹声明同意如下：</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1.我方同意在投标人须知规定的开标日期起遵守本投标文件中的承诺且在投标有效期满之前均具有约束力。</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2.我方承诺已经具备《中华人民共和国政府采购法》中规定的参加政府采购活动的供应商应当具备的条件。</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本公司投标文件中填列的技术参数、配置、服务、数量等相关内容都是真实、准确的。保证在本次项目中所提供的资料全部真实和合法。同意向浙江明业项目管理有限公司提供可能另外要求的与投标有关的任何数据或资料。</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4.我方理解贵方将不受你们所收到的最低报价的约束。</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5.本投标自开标之日（投标截止之日）起90天内有效。</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a)提供虚假材料谋取中标、成交的；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b)采取不正当手段诋毁、排挤其他供应商的；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c)与采购人、其它供应商或者采购代理机构恶意串通的；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d)向采购人、采购代理机构行贿或者提供其他不正当利益的；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e)在招标采购过程中与采购人进行协商谈判的；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f)拒绝有关部门监督检查或提供虚假情况的。</w:t>
      </w:r>
    </w:p>
    <w:p>
      <w:pPr>
        <w:pStyle w:val="9"/>
        <w:numPr>
          <w:ilvl w:val="0"/>
          <w:numId w:val="0"/>
        </w:num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供应商有前款第a)至e)项情形之一的，中标、成交无效。</w:t>
      </w:r>
    </w:p>
    <w:p>
      <w:pPr>
        <w:pStyle w:val="73"/>
        <w:spacing w:afterLines="0" w:line="288" w:lineRule="auto"/>
        <w:ind w:firstLine="480"/>
        <w:rPr>
          <w:rFonts w:ascii="仿宋" w:hAnsi="仿宋" w:eastAsia="仿宋" w:cs="仿宋"/>
          <w:szCs w:val="24"/>
          <w:highlight w:val="none"/>
        </w:rPr>
      </w:pP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地址：　　　　　　　　　　　　　　　邮政编码：</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电话：                              传真：</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开户银行：                          帐号：</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法定代表人或其授权代表(签字或签章)：</w:t>
      </w:r>
    </w:p>
    <w:p>
      <w:pPr>
        <w:pStyle w:val="73"/>
        <w:spacing w:afterLines="0" w:line="288" w:lineRule="auto"/>
        <w:ind w:firstLine="480"/>
        <w:rPr>
          <w:rFonts w:ascii="仿宋" w:hAnsi="仿宋" w:eastAsia="仿宋" w:cs="仿宋"/>
          <w:szCs w:val="24"/>
          <w:highlight w:val="none"/>
        </w:rPr>
      </w:pPr>
      <w:r>
        <w:rPr>
          <w:rFonts w:hint="eastAsia" w:ascii="仿宋" w:hAnsi="仿宋" w:eastAsia="仿宋" w:cs="仿宋"/>
          <w:szCs w:val="24"/>
          <w:highlight w:val="none"/>
        </w:rPr>
        <w:t xml:space="preserve">投标人(电子签章)：　　　　　　　　　日期：     </w:t>
      </w:r>
    </w:p>
    <w:p>
      <w:pPr>
        <w:pStyle w:val="73"/>
        <w:spacing w:afterLines="0" w:line="288" w:lineRule="auto"/>
        <w:ind w:firstLine="480"/>
        <w:rPr>
          <w:rFonts w:ascii="仿宋" w:hAnsi="仿宋" w:eastAsia="仿宋" w:cs="仿宋"/>
          <w:szCs w:val="24"/>
          <w:highlight w:val="none"/>
        </w:rPr>
      </w:pPr>
    </w:p>
    <w:p>
      <w:pPr>
        <w:spacing w:line="288" w:lineRule="auto"/>
        <w:rPr>
          <w:rFonts w:ascii="仿宋" w:hAnsi="仿宋" w:eastAsia="仿宋" w:cs="仿宋"/>
          <w:b/>
          <w:sz w:val="24"/>
          <w:highlight w:val="none"/>
        </w:rPr>
      </w:pPr>
    </w:p>
    <w:p>
      <w:pPr>
        <w:spacing w:line="288" w:lineRule="auto"/>
        <w:rPr>
          <w:rFonts w:ascii="仿宋" w:hAnsi="仿宋" w:eastAsia="仿宋" w:cs="仿宋"/>
          <w:b/>
          <w:sz w:val="24"/>
          <w:highlight w:val="none"/>
        </w:rPr>
      </w:pPr>
    </w:p>
    <w:p>
      <w:pPr>
        <w:spacing w:line="288" w:lineRule="auto"/>
        <w:rPr>
          <w:rFonts w:ascii="仿宋" w:hAnsi="仿宋" w:eastAsia="仿宋" w:cs="仿宋"/>
          <w:b/>
          <w:sz w:val="24"/>
          <w:highlight w:val="none"/>
        </w:rPr>
      </w:pPr>
    </w:p>
    <w:p>
      <w:pPr>
        <w:spacing w:line="288" w:lineRule="auto"/>
        <w:rPr>
          <w:rFonts w:ascii="仿宋" w:hAnsi="仿宋" w:eastAsia="仿宋" w:cs="仿宋"/>
          <w:b/>
          <w:sz w:val="24"/>
          <w:highlight w:val="none"/>
        </w:rPr>
      </w:pPr>
    </w:p>
    <w:p>
      <w:pPr>
        <w:pageBreakBefore/>
        <w:spacing w:line="288" w:lineRule="auto"/>
        <w:rPr>
          <w:rFonts w:ascii="仿宋" w:hAnsi="仿宋" w:eastAsia="仿宋" w:cs="仿宋"/>
          <w:b/>
          <w:sz w:val="30"/>
          <w:szCs w:val="30"/>
          <w:highlight w:val="none"/>
        </w:rPr>
      </w:pPr>
      <w:r>
        <w:rPr>
          <w:rFonts w:hint="eastAsia" w:ascii="仿宋" w:hAnsi="仿宋" w:eastAsia="仿宋" w:cs="仿宋"/>
          <w:b/>
          <w:sz w:val="30"/>
          <w:szCs w:val="30"/>
          <w:highlight w:val="none"/>
        </w:rPr>
        <w:t>2、开标一览表（格式）</w:t>
      </w:r>
    </w:p>
    <w:p>
      <w:pPr>
        <w:spacing w:line="288" w:lineRule="auto"/>
        <w:rPr>
          <w:rFonts w:ascii="仿宋" w:hAnsi="仿宋" w:eastAsia="仿宋" w:cs="仿宋"/>
          <w:sz w:val="24"/>
          <w:highlight w:val="none"/>
        </w:rPr>
      </w:pPr>
    </w:p>
    <w:p>
      <w:pPr>
        <w:spacing w:line="288" w:lineRule="auto"/>
        <w:rPr>
          <w:rFonts w:ascii="仿宋" w:hAnsi="仿宋" w:eastAsia="仿宋" w:cs="仿宋"/>
          <w:sz w:val="24"/>
          <w:highlight w:val="none"/>
        </w:rPr>
      </w:pPr>
      <w:r>
        <w:rPr>
          <w:rFonts w:hint="eastAsia" w:ascii="仿宋" w:hAnsi="仿宋" w:eastAsia="仿宋" w:cs="仿宋"/>
          <w:sz w:val="24"/>
          <w:highlight w:val="none"/>
        </w:rPr>
        <w:t>投标人名称：</w:t>
      </w:r>
      <w:r>
        <w:rPr>
          <w:rFonts w:hint="eastAsia" w:ascii="仿宋" w:hAnsi="仿宋" w:eastAsia="仿宋" w:cs="仿宋"/>
          <w:sz w:val="24"/>
          <w:highlight w:val="none"/>
          <w:u w:val="single"/>
        </w:rPr>
        <w:t xml:space="preserve">                                    </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标    项：</w:t>
      </w:r>
      <w:r>
        <w:rPr>
          <w:rFonts w:hint="eastAsia" w:ascii="仿宋" w:hAnsi="仿宋" w:eastAsia="仿宋" w:cs="仿宋"/>
          <w:sz w:val="24"/>
          <w:highlight w:val="none"/>
          <w:u w:val="single"/>
        </w:rPr>
        <w:t xml:space="preserve">                                      </w:t>
      </w:r>
    </w:p>
    <w:p>
      <w:pPr>
        <w:snapToGrid w:val="0"/>
        <w:spacing w:line="288" w:lineRule="auto"/>
        <w:rPr>
          <w:rFonts w:ascii="仿宋" w:hAnsi="仿宋" w:eastAsia="仿宋" w:cs="仿宋"/>
          <w:sz w:val="24"/>
          <w:highlight w:val="none"/>
          <w:u w:val="single"/>
        </w:rPr>
      </w:pPr>
      <w:r>
        <w:rPr>
          <w:rFonts w:hint="eastAsia" w:ascii="仿宋" w:hAnsi="仿宋" w:eastAsia="仿宋" w:cs="仿宋"/>
          <w:sz w:val="24"/>
          <w:highlight w:val="none"/>
        </w:rPr>
        <w:t>招标编号：</w:t>
      </w:r>
      <w:r>
        <w:rPr>
          <w:rFonts w:hint="eastAsia" w:ascii="仿宋" w:hAnsi="仿宋" w:eastAsia="仿宋" w:cs="仿宋"/>
          <w:sz w:val="24"/>
          <w:highlight w:val="none"/>
          <w:u w:val="single"/>
        </w:rPr>
        <w:t xml:space="preserve">                                      </w:t>
      </w:r>
    </w:p>
    <w:p>
      <w:pPr>
        <w:spacing w:line="288" w:lineRule="auto"/>
        <w:jc w:val="left"/>
        <w:rPr>
          <w:rFonts w:ascii="仿宋" w:hAnsi="仿宋" w:eastAsia="仿宋" w:cs="仿宋"/>
          <w:sz w:val="24"/>
          <w:highlight w:val="none"/>
        </w:rPr>
      </w:pPr>
      <w:r>
        <w:rPr>
          <w:rFonts w:hint="eastAsia" w:ascii="仿宋" w:hAnsi="仿宋" w:eastAsia="仿宋" w:cs="仿宋"/>
          <w:sz w:val="24"/>
          <w:highlight w:val="none"/>
        </w:rPr>
        <w:t xml:space="preserve">                                                            单位：元</w:t>
      </w:r>
    </w:p>
    <w:tbl>
      <w:tblPr>
        <w:tblStyle w:val="31"/>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tabs>
                <w:tab w:val="left" w:pos="540"/>
              </w:tabs>
              <w:snapToGrid w:val="0"/>
              <w:spacing w:line="288"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序号</w:t>
            </w:r>
          </w:p>
        </w:tc>
        <w:tc>
          <w:tcPr>
            <w:tcW w:w="1080" w:type="dxa"/>
            <w:tcBorders>
              <w:right w:val="single" w:color="auto" w:sz="4" w:space="0"/>
            </w:tcBorders>
            <w:vAlign w:val="center"/>
          </w:tcPr>
          <w:p>
            <w:pPr>
              <w:snapToGrid w:val="0"/>
              <w:spacing w:line="288" w:lineRule="auto"/>
              <w:ind w:left="-107" w:leftChars="-51" w:right="-107" w:rightChars="-51" w:firstLine="2"/>
              <w:jc w:val="center"/>
              <w:rPr>
                <w:rFonts w:ascii="仿宋" w:hAnsi="仿宋" w:eastAsia="仿宋" w:cs="仿宋"/>
                <w:spacing w:val="20"/>
                <w:sz w:val="24"/>
                <w:highlight w:val="none"/>
              </w:rPr>
            </w:pPr>
            <w:r>
              <w:rPr>
                <w:rFonts w:hint="eastAsia" w:ascii="仿宋" w:hAnsi="仿宋" w:eastAsia="仿宋" w:cs="仿宋"/>
                <w:spacing w:val="20"/>
                <w:sz w:val="24"/>
                <w:highlight w:val="none"/>
              </w:rPr>
              <w:t>名称</w:t>
            </w:r>
          </w:p>
        </w:tc>
        <w:tc>
          <w:tcPr>
            <w:tcW w:w="1261" w:type="dxa"/>
            <w:tcBorders>
              <w:left w:val="single" w:color="auto" w:sz="4" w:space="0"/>
            </w:tcBorders>
            <w:vAlign w:val="center"/>
          </w:tcPr>
          <w:p>
            <w:pPr>
              <w:snapToGrid w:val="0"/>
              <w:spacing w:line="288" w:lineRule="auto"/>
              <w:ind w:left="-107" w:leftChars="-51" w:right="-107" w:rightChars="-51"/>
              <w:rPr>
                <w:rFonts w:ascii="仿宋" w:hAnsi="仿宋" w:eastAsia="仿宋" w:cs="仿宋"/>
                <w:spacing w:val="20"/>
                <w:sz w:val="24"/>
                <w:highlight w:val="none"/>
              </w:rPr>
            </w:pPr>
            <w:r>
              <w:rPr>
                <w:rFonts w:hint="eastAsia" w:ascii="仿宋" w:hAnsi="仿宋" w:eastAsia="仿宋" w:cs="仿宋"/>
                <w:spacing w:val="20"/>
                <w:sz w:val="24"/>
                <w:highlight w:val="none"/>
              </w:rPr>
              <w:t>货物的制造商或服务的提供商</w:t>
            </w:r>
          </w:p>
        </w:tc>
        <w:tc>
          <w:tcPr>
            <w:tcW w:w="900" w:type="dxa"/>
            <w:vAlign w:val="center"/>
          </w:tcPr>
          <w:p>
            <w:pPr>
              <w:snapToGrid w:val="0"/>
              <w:spacing w:line="288" w:lineRule="auto"/>
              <w:ind w:left="-107" w:leftChars="-51" w:right="-107" w:rightChars="-51" w:firstLine="1"/>
              <w:rPr>
                <w:rFonts w:ascii="仿宋" w:hAnsi="仿宋" w:eastAsia="仿宋" w:cs="仿宋"/>
                <w:spacing w:val="20"/>
                <w:sz w:val="24"/>
                <w:highlight w:val="none"/>
              </w:rPr>
            </w:pPr>
            <w:r>
              <w:rPr>
                <w:rFonts w:hint="eastAsia" w:ascii="仿宋" w:hAnsi="仿宋" w:eastAsia="仿宋" w:cs="仿宋"/>
                <w:spacing w:val="20"/>
                <w:sz w:val="24"/>
                <w:highlight w:val="none"/>
              </w:rPr>
              <w:t>品牌（如有）</w:t>
            </w:r>
          </w:p>
        </w:tc>
        <w:tc>
          <w:tcPr>
            <w:tcW w:w="720" w:type="dxa"/>
            <w:vAlign w:val="center"/>
          </w:tcPr>
          <w:p>
            <w:pPr>
              <w:snapToGrid w:val="0"/>
              <w:spacing w:line="288" w:lineRule="auto"/>
              <w:ind w:left="-107" w:leftChars="-51" w:right="-107" w:rightChars="-51"/>
              <w:jc w:val="center"/>
              <w:rPr>
                <w:rFonts w:ascii="仿宋" w:hAnsi="仿宋" w:eastAsia="仿宋" w:cs="仿宋"/>
                <w:spacing w:val="20"/>
                <w:sz w:val="24"/>
                <w:highlight w:val="none"/>
              </w:rPr>
            </w:pPr>
            <w:r>
              <w:rPr>
                <w:rFonts w:hint="eastAsia" w:ascii="仿宋" w:hAnsi="仿宋" w:eastAsia="仿宋" w:cs="仿宋"/>
                <w:spacing w:val="20"/>
                <w:sz w:val="24"/>
                <w:highlight w:val="none"/>
              </w:rPr>
              <w:t>数量</w:t>
            </w:r>
          </w:p>
        </w:tc>
        <w:tc>
          <w:tcPr>
            <w:tcW w:w="1440" w:type="dxa"/>
            <w:vAlign w:val="center"/>
          </w:tcPr>
          <w:p>
            <w:pPr>
              <w:snapToGrid w:val="0"/>
              <w:spacing w:line="288" w:lineRule="auto"/>
              <w:ind w:left="-107" w:leftChars="-51" w:right="-107" w:rightChars="-51" w:firstLine="1"/>
              <w:jc w:val="center"/>
              <w:rPr>
                <w:rFonts w:ascii="仿宋" w:hAnsi="仿宋" w:eastAsia="仿宋" w:cs="仿宋"/>
                <w:spacing w:val="20"/>
                <w:sz w:val="24"/>
                <w:highlight w:val="none"/>
              </w:rPr>
            </w:pPr>
            <w:r>
              <w:rPr>
                <w:rFonts w:hint="eastAsia" w:ascii="仿宋" w:hAnsi="仿宋" w:eastAsia="仿宋" w:cs="仿宋"/>
                <w:spacing w:val="20"/>
                <w:sz w:val="24"/>
                <w:highlight w:val="none"/>
              </w:rPr>
              <w:t>型号和规格</w:t>
            </w:r>
            <w:r>
              <w:rPr>
                <w:rFonts w:hint="eastAsia" w:ascii="仿宋" w:hAnsi="仿宋" w:eastAsia="仿宋" w:cs="仿宋"/>
                <w:b/>
                <w:sz w:val="24"/>
                <w:highlight w:val="none"/>
              </w:rPr>
              <w:t>（或具体服务）</w:t>
            </w:r>
          </w:p>
        </w:tc>
        <w:tc>
          <w:tcPr>
            <w:tcW w:w="540" w:type="dxa"/>
            <w:tcBorders>
              <w:right w:val="single" w:color="auto" w:sz="4" w:space="0"/>
            </w:tcBorders>
            <w:vAlign w:val="center"/>
          </w:tcPr>
          <w:p>
            <w:pPr>
              <w:snapToGrid w:val="0"/>
              <w:spacing w:line="288" w:lineRule="auto"/>
              <w:ind w:left="-107" w:leftChars="-51" w:right="-107" w:rightChars="-51" w:firstLine="1"/>
              <w:jc w:val="center"/>
              <w:rPr>
                <w:rFonts w:ascii="仿宋" w:hAnsi="仿宋" w:eastAsia="仿宋" w:cs="仿宋"/>
                <w:spacing w:val="20"/>
                <w:sz w:val="24"/>
                <w:highlight w:val="none"/>
              </w:rPr>
            </w:pPr>
            <w:r>
              <w:rPr>
                <w:rFonts w:hint="eastAsia" w:ascii="仿宋" w:hAnsi="仿宋" w:eastAsia="仿宋" w:cs="仿宋"/>
                <w:spacing w:val="20"/>
                <w:sz w:val="24"/>
                <w:highlight w:val="none"/>
              </w:rPr>
              <w:t>单价</w:t>
            </w:r>
          </w:p>
        </w:tc>
        <w:tc>
          <w:tcPr>
            <w:tcW w:w="540" w:type="dxa"/>
            <w:tcBorders>
              <w:left w:val="single" w:color="auto" w:sz="4" w:space="0"/>
            </w:tcBorders>
            <w:vAlign w:val="center"/>
          </w:tcPr>
          <w:p>
            <w:pPr>
              <w:snapToGrid w:val="0"/>
              <w:spacing w:line="288" w:lineRule="auto"/>
              <w:ind w:left="-107" w:leftChars="-51" w:right="-107" w:rightChars="-51" w:firstLine="1"/>
              <w:jc w:val="center"/>
              <w:rPr>
                <w:rFonts w:ascii="仿宋" w:hAnsi="仿宋" w:eastAsia="仿宋" w:cs="仿宋"/>
                <w:spacing w:val="20"/>
                <w:sz w:val="24"/>
                <w:highlight w:val="none"/>
              </w:rPr>
            </w:pPr>
            <w:r>
              <w:rPr>
                <w:rFonts w:hint="eastAsia" w:ascii="仿宋" w:hAnsi="仿宋" w:eastAsia="仿宋" w:cs="仿宋"/>
                <w:spacing w:val="20"/>
                <w:sz w:val="24"/>
                <w:highlight w:val="none"/>
              </w:rPr>
              <w:t>总价</w:t>
            </w:r>
          </w:p>
        </w:tc>
        <w:tc>
          <w:tcPr>
            <w:tcW w:w="720" w:type="dxa"/>
            <w:vAlign w:val="center"/>
          </w:tcPr>
          <w:p>
            <w:pPr>
              <w:snapToGrid w:val="0"/>
              <w:spacing w:line="288" w:lineRule="auto"/>
              <w:ind w:left="30" w:leftChars="-51" w:right="-107" w:rightChars="-51" w:hanging="137" w:hangingChars="49"/>
              <w:jc w:val="center"/>
              <w:rPr>
                <w:rFonts w:ascii="仿宋" w:hAnsi="仿宋" w:eastAsia="仿宋" w:cs="仿宋"/>
                <w:spacing w:val="20"/>
                <w:sz w:val="24"/>
                <w:highlight w:val="none"/>
              </w:rPr>
            </w:pPr>
            <w:r>
              <w:rPr>
                <w:rFonts w:hint="eastAsia" w:ascii="仿宋" w:hAnsi="仿宋" w:eastAsia="仿宋" w:cs="仿宋"/>
                <w:spacing w:val="20"/>
                <w:sz w:val="24"/>
                <w:highlight w:val="none"/>
              </w:rPr>
              <w:t>交货期</w:t>
            </w:r>
          </w:p>
        </w:tc>
        <w:tc>
          <w:tcPr>
            <w:tcW w:w="1078" w:type="dxa"/>
            <w:vAlign w:val="center"/>
          </w:tcPr>
          <w:p>
            <w:pPr>
              <w:tabs>
                <w:tab w:val="left" w:pos="1224"/>
              </w:tabs>
              <w:snapToGrid w:val="0"/>
              <w:spacing w:line="288" w:lineRule="auto"/>
              <w:ind w:right="-107" w:rightChars="-51"/>
              <w:rPr>
                <w:rFonts w:ascii="仿宋" w:hAnsi="仿宋" w:eastAsia="仿宋" w:cs="仿宋"/>
                <w:spacing w:val="20"/>
                <w:sz w:val="24"/>
                <w:highlight w:val="none"/>
              </w:rPr>
            </w:pPr>
            <w:r>
              <w:rPr>
                <w:rFonts w:hint="eastAsia" w:ascii="仿宋" w:hAnsi="仿宋" w:eastAsia="仿宋" w:cs="仿宋"/>
                <w:spacing w:val="20"/>
                <w:sz w:val="24"/>
                <w:highlight w:val="none"/>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snapToGrid w:val="0"/>
              <w:spacing w:line="288" w:lineRule="auto"/>
              <w:ind w:right="-134" w:rightChars="-64"/>
              <w:jc w:val="center"/>
              <w:rPr>
                <w:rFonts w:ascii="仿宋" w:hAnsi="仿宋" w:eastAsia="仿宋" w:cs="仿宋"/>
                <w:spacing w:val="20"/>
                <w:sz w:val="24"/>
                <w:highlight w:val="none"/>
              </w:rPr>
            </w:pPr>
            <w:r>
              <w:rPr>
                <w:rFonts w:hint="eastAsia" w:ascii="仿宋" w:hAnsi="仿宋" w:eastAsia="仿宋" w:cs="仿宋"/>
                <w:spacing w:val="20"/>
                <w:sz w:val="24"/>
                <w:highlight w:val="none"/>
              </w:rPr>
              <w:t>1</w:t>
            </w:r>
          </w:p>
        </w:tc>
        <w:tc>
          <w:tcPr>
            <w:tcW w:w="108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26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90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44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078" w:type="dxa"/>
          </w:tcPr>
          <w:p>
            <w:pPr>
              <w:snapToGrid w:val="0"/>
              <w:spacing w:line="288" w:lineRule="auto"/>
              <w:ind w:right="172" w:rightChars="82" w:firstLine="565" w:firstLineChars="202"/>
              <w:rPr>
                <w:rFonts w:ascii="仿宋" w:hAnsi="仿宋" w:eastAsia="仿宋" w:cs="仿宋"/>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snapToGrid w:val="0"/>
              <w:spacing w:line="288" w:lineRule="auto"/>
              <w:ind w:right="-134" w:rightChars="-64"/>
              <w:jc w:val="center"/>
              <w:rPr>
                <w:rFonts w:ascii="仿宋" w:hAnsi="仿宋" w:eastAsia="仿宋" w:cs="仿宋"/>
                <w:spacing w:val="20"/>
                <w:sz w:val="24"/>
                <w:highlight w:val="none"/>
              </w:rPr>
            </w:pPr>
            <w:r>
              <w:rPr>
                <w:rFonts w:hint="eastAsia" w:ascii="仿宋" w:hAnsi="仿宋" w:eastAsia="仿宋" w:cs="仿宋"/>
                <w:spacing w:val="20"/>
                <w:sz w:val="24"/>
                <w:highlight w:val="none"/>
              </w:rPr>
              <w:t>2</w:t>
            </w:r>
          </w:p>
        </w:tc>
        <w:tc>
          <w:tcPr>
            <w:tcW w:w="108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26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90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4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078" w:type="dxa"/>
          </w:tcPr>
          <w:p>
            <w:pPr>
              <w:snapToGrid w:val="0"/>
              <w:spacing w:line="288" w:lineRule="auto"/>
              <w:ind w:right="172" w:rightChars="82" w:firstLine="565" w:firstLineChars="202"/>
              <w:rPr>
                <w:rFonts w:ascii="仿宋" w:hAnsi="仿宋" w:eastAsia="仿宋" w:cs="仿宋"/>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snapToGrid w:val="0"/>
              <w:spacing w:line="288" w:lineRule="auto"/>
              <w:ind w:right="-134" w:rightChars="-64"/>
              <w:jc w:val="center"/>
              <w:rPr>
                <w:rFonts w:ascii="仿宋" w:hAnsi="仿宋" w:eastAsia="仿宋" w:cs="仿宋"/>
                <w:spacing w:val="20"/>
                <w:sz w:val="24"/>
                <w:highlight w:val="none"/>
              </w:rPr>
            </w:pPr>
            <w:r>
              <w:rPr>
                <w:rFonts w:hint="eastAsia" w:ascii="仿宋" w:hAnsi="仿宋" w:eastAsia="仿宋" w:cs="仿宋"/>
                <w:spacing w:val="20"/>
                <w:sz w:val="24"/>
                <w:highlight w:val="none"/>
              </w:rPr>
              <w:t>3</w:t>
            </w:r>
          </w:p>
        </w:tc>
        <w:tc>
          <w:tcPr>
            <w:tcW w:w="108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26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90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4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078" w:type="dxa"/>
          </w:tcPr>
          <w:p>
            <w:pPr>
              <w:snapToGrid w:val="0"/>
              <w:spacing w:line="288" w:lineRule="auto"/>
              <w:ind w:right="172" w:rightChars="82" w:firstLine="565" w:firstLineChars="202"/>
              <w:rPr>
                <w:rFonts w:ascii="仿宋" w:hAnsi="仿宋" w:eastAsia="仿宋" w:cs="仿宋"/>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snapToGrid w:val="0"/>
              <w:spacing w:line="288" w:lineRule="auto"/>
              <w:ind w:right="-134" w:rightChars="-64"/>
              <w:jc w:val="center"/>
              <w:rPr>
                <w:rFonts w:ascii="仿宋" w:hAnsi="仿宋" w:eastAsia="仿宋" w:cs="仿宋"/>
                <w:spacing w:val="20"/>
                <w:sz w:val="24"/>
                <w:highlight w:val="none"/>
              </w:rPr>
            </w:pPr>
            <w:r>
              <w:rPr>
                <w:rFonts w:hint="eastAsia" w:ascii="仿宋" w:hAnsi="仿宋" w:eastAsia="仿宋" w:cs="仿宋"/>
                <w:spacing w:val="20"/>
                <w:sz w:val="24"/>
                <w:highlight w:val="none"/>
              </w:rPr>
              <w:t>4</w:t>
            </w:r>
          </w:p>
        </w:tc>
        <w:tc>
          <w:tcPr>
            <w:tcW w:w="108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261"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90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4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righ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540" w:type="dxa"/>
            <w:tcBorders>
              <w:left w:val="single" w:color="auto" w:sz="4" w:space="0"/>
            </w:tcBorders>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720" w:type="dxa"/>
            <w:vAlign w:val="center"/>
          </w:tcPr>
          <w:p>
            <w:pPr>
              <w:snapToGrid w:val="0"/>
              <w:spacing w:line="288" w:lineRule="auto"/>
              <w:ind w:right="172" w:rightChars="82" w:firstLine="565" w:firstLineChars="202"/>
              <w:rPr>
                <w:rFonts w:ascii="仿宋" w:hAnsi="仿宋" w:eastAsia="仿宋" w:cs="仿宋"/>
                <w:spacing w:val="20"/>
                <w:sz w:val="24"/>
                <w:highlight w:val="none"/>
              </w:rPr>
            </w:pPr>
          </w:p>
        </w:tc>
        <w:tc>
          <w:tcPr>
            <w:tcW w:w="1078" w:type="dxa"/>
          </w:tcPr>
          <w:p>
            <w:pPr>
              <w:snapToGrid w:val="0"/>
              <w:spacing w:line="288" w:lineRule="auto"/>
              <w:ind w:right="172" w:rightChars="82" w:firstLine="565" w:firstLineChars="202"/>
              <w:rPr>
                <w:rFonts w:ascii="仿宋" w:hAnsi="仿宋" w:eastAsia="仿宋" w:cs="仿宋"/>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926" w:type="dxa"/>
            <w:gridSpan w:val="10"/>
            <w:vAlign w:val="center"/>
          </w:tcPr>
          <w:p>
            <w:pPr>
              <w:snapToGrid w:val="0"/>
              <w:spacing w:line="288" w:lineRule="auto"/>
              <w:ind w:right="172" w:rightChars="82" w:firstLine="487" w:firstLineChars="202"/>
              <w:rPr>
                <w:rFonts w:ascii="仿宋" w:hAnsi="仿宋" w:eastAsia="仿宋" w:cs="仿宋"/>
                <w:spacing w:val="20"/>
                <w:sz w:val="24"/>
                <w:highlight w:val="none"/>
              </w:rPr>
            </w:pPr>
            <w:r>
              <w:rPr>
                <w:rFonts w:hint="eastAsia" w:ascii="仿宋" w:hAnsi="仿宋" w:eastAsia="仿宋" w:cs="仿宋"/>
                <w:b/>
                <w:sz w:val="24"/>
                <w:highlight w:val="none"/>
              </w:rPr>
              <w:t>其中核心产品，由</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（请填写企业名称）制造，该企业</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（请填写属于或不属于）小型、微型企业。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snapToGrid w:val="0"/>
              <w:spacing w:line="288" w:lineRule="auto"/>
              <w:ind w:right="172" w:rightChars="82" w:firstLine="565" w:firstLineChars="202"/>
              <w:jc w:val="center"/>
              <w:rPr>
                <w:rFonts w:ascii="仿宋" w:hAnsi="仿宋" w:eastAsia="仿宋" w:cs="仿宋"/>
                <w:spacing w:val="20"/>
                <w:sz w:val="24"/>
                <w:highlight w:val="none"/>
              </w:rPr>
            </w:pPr>
            <w:r>
              <w:rPr>
                <w:rFonts w:hint="eastAsia" w:ascii="仿宋" w:hAnsi="仿宋" w:eastAsia="仿宋" w:cs="仿宋"/>
                <w:spacing w:val="20"/>
                <w:sz w:val="24"/>
                <w:highlight w:val="none"/>
              </w:rPr>
              <w:t>投标总价</w:t>
            </w:r>
          </w:p>
        </w:tc>
        <w:tc>
          <w:tcPr>
            <w:tcW w:w="7199" w:type="dxa"/>
            <w:gridSpan w:val="8"/>
            <w:tcBorders>
              <w:left w:val="single" w:color="auto" w:sz="4" w:space="0"/>
              <w:bottom w:val="single" w:color="auto" w:sz="4" w:space="0"/>
            </w:tcBorders>
            <w:vAlign w:val="center"/>
          </w:tcPr>
          <w:p>
            <w:pPr>
              <w:snapToGrid w:val="0"/>
              <w:spacing w:line="288" w:lineRule="auto"/>
              <w:ind w:right="172" w:rightChars="82"/>
              <w:rPr>
                <w:rFonts w:ascii="仿宋" w:hAnsi="仿宋" w:eastAsia="仿宋" w:cs="仿宋"/>
                <w:spacing w:val="20"/>
                <w:sz w:val="24"/>
                <w:highlight w:val="none"/>
              </w:rPr>
            </w:pPr>
            <w:r>
              <w:rPr>
                <w:rFonts w:hint="eastAsia" w:ascii="仿宋" w:hAnsi="仿宋" w:eastAsia="仿宋" w:cs="仿宋"/>
                <w:spacing w:val="20"/>
                <w:sz w:val="24"/>
                <w:highlight w:val="none"/>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snapToGrid w:val="0"/>
              <w:spacing w:line="288" w:lineRule="auto"/>
              <w:ind w:right="172" w:rightChars="82" w:firstLine="565" w:firstLineChars="202"/>
              <w:jc w:val="center"/>
              <w:rPr>
                <w:rFonts w:ascii="仿宋" w:hAnsi="仿宋" w:eastAsia="仿宋" w:cs="仿宋"/>
                <w:spacing w:val="20"/>
                <w:sz w:val="24"/>
                <w:highlight w:val="none"/>
              </w:rPr>
            </w:pPr>
          </w:p>
        </w:tc>
        <w:tc>
          <w:tcPr>
            <w:tcW w:w="7199" w:type="dxa"/>
            <w:gridSpan w:val="8"/>
            <w:tcBorders>
              <w:top w:val="single" w:color="auto" w:sz="4" w:space="0"/>
              <w:left w:val="single" w:color="auto" w:sz="4" w:space="0"/>
            </w:tcBorders>
            <w:vAlign w:val="center"/>
          </w:tcPr>
          <w:p>
            <w:pPr>
              <w:snapToGrid w:val="0"/>
              <w:spacing w:line="288" w:lineRule="auto"/>
              <w:ind w:right="172" w:rightChars="82"/>
              <w:rPr>
                <w:rFonts w:ascii="仿宋" w:hAnsi="仿宋" w:eastAsia="仿宋" w:cs="仿宋"/>
                <w:spacing w:val="20"/>
                <w:sz w:val="24"/>
                <w:highlight w:val="none"/>
              </w:rPr>
            </w:pPr>
            <w:r>
              <w:rPr>
                <w:rFonts w:hint="eastAsia" w:ascii="仿宋" w:hAnsi="仿宋" w:eastAsia="仿宋" w:cs="仿宋"/>
                <w:spacing w:val="20"/>
                <w:sz w:val="24"/>
                <w:highlight w:val="none"/>
              </w:rPr>
              <w:t>大写：</w:t>
            </w:r>
          </w:p>
        </w:tc>
      </w:tr>
    </w:tbl>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注: 1.报价一经涂改，应在涂改处加盖单位公章或者由法定代表人或其授权代表签字或盖章，否则其投标作无效投标处理。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2.招标人不接受某一标项中有2个(含)以上的报价或方案，若投标人在此表中有2个（含）以上的报价或方案，其投标作无效投标处理。</w:t>
      </w:r>
    </w:p>
    <w:p>
      <w:pPr>
        <w:spacing w:line="288" w:lineRule="auto"/>
        <w:ind w:left="-2" w:leftChars="-1"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3.投标人需按本表格式填写，如无对应内容，则填写：“无或/”。</w:t>
      </w:r>
    </w:p>
    <w:p>
      <w:pPr>
        <w:snapToGrid w:val="0"/>
        <w:spacing w:line="288" w:lineRule="auto"/>
        <w:ind w:left="48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4.有关本项目实施所涉及的一切费用均计入报价。</w:t>
      </w:r>
    </w:p>
    <w:p>
      <w:pPr>
        <w:snapToGrid w:val="0"/>
        <w:spacing w:line="288" w:lineRule="auto"/>
        <w:ind w:firstLine="480" w:firstLineChars="200"/>
        <w:jc w:val="left"/>
        <w:rPr>
          <w:rFonts w:ascii="仿宋" w:hAnsi="仿宋" w:eastAsia="仿宋" w:cs="仿宋"/>
          <w:b/>
          <w:sz w:val="24"/>
          <w:highlight w:val="none"/>
        </w:rPr>
      </w:pPr>
      <w:r>
        <w:rPr>
          <w:rFonts w:hint="eastAsia" w:ascii="仿宋" w:hAnsi="仿宋" w:eastAsia="仿宋" w:cs="仿宋"/>
          <w:kern w:val="0"/>
          <w:sz w:val="24"/>
          <w:highlight w:val="none"/>
          <w:lang w:val="zh-CN"/>
        </w:rPr>
        <w:t>5.以上表格要求细分项目及报价，</w:t>
      </w:r>
      <w:r>
        <w:rPr>
          <w:rFonts w:hint="eastAsia" w:ascii="仿宋" w:hAnsi="仿宋" w:eastAsia="仿宋" w:cs="仿宋"/>
          <w:b/>
          <w:kern w:val="0"/>
          <w:sz w:val="24"/>
          <w:highlight w:val="none"/>
        </w:rPr>
        <w:t>在“规格型号（或具体服务）”一栏中，货物类项目填写规格型号，服务类项目填写具体服务。</w:t>
      </w:r>
      <w:r>
        <w:rPr>
          <w:rFonts w:hint="eastAsia" w:ascii="仿宋" w:hAnsi="仿宋" w:eastAsia="仿宋" w:cs="仿宋"/>
          <w:b/>
          <w:sz w:val="24"/>
          <w:highlight w:val="none"/>
        </w:rPr>
        <w:t>服务包含但不仅限于：服务方案、次数或人数、服务年限等，产品包含但不仅限于:名称、品牌、型号、生产厂商、数量、质保期等。</w:t>
      </w:r>
    </w:p>
    <w:p>
      <w:pPr>
        <w:spacing w:line="288" w:lineRule="auto"/>
        <w:ind w:firstLine="482" w:firstLineChars="200"/>
        <w:rPr>
          <w:rFonts w:ascii="仿宋" w:hAnsi="仿宋" w:eastAsia="仿宋" w:cs="仿宋"/>
          <w:kern w:val="0"/>
          <w:sz w:val="24"/>
          <w:highlight w:val="none"/>
          <w:lang w:val="zh-CN"/>
        </w:rPr>
      </w:pPr>
      <w:r>
        <w:rPr>
          <w:rFonts w:hint="eastAsia" w:ascii="仿宋" w:hAnsi="仿宋" w:eastAsia="仿宋" w:cs="仿宋"/>
          <w:b/>
          <w:sz w:val="24"/>
          <w:highlight w:val="none"/>
        </w:rPr>
        <w:t>6、</w:t>
      </w:r>
      <w:r>
        <w:rPr>
          <w:rFonts w:hint="eastAsia" w:ascii="仿宋" w:hAnsi="仿宋" w:eastAsia="仿宋" w:cs="仿宋"/>
          <w:kern w:val="0"/>
          <w:sz w:val="24"/>
          <w:highlight w:val="none"/>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Pr>
          <w:rFonts w:hint="eastAsia" w:ascii="仿宋" w:hAnsi="仿宋" w:eastAsia="仿宋" w:cs="仿宋"/>
          <w:b/>
          <w:sz w:val="24"/>
          <w:highlight w:val="none"/>
        </w:rPr>
        <w:t>投标人应如实填写是否可享受价格扣除，否则投标价格不可享受价格扣除。</w:t>
      </w:r>
    </w:p>
    <w:p>
      <w:pPr>
        <w:snapToGrid w:val="0"/>
        <w:spacing w:line="288" w:lineRule="auto"/>
        <w:ind w:firstLine="482" w:firstLineChars="200"/>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7.特别提示：采购代理机构将对</w:t>
      </w:r>
      <w:r>
        <w:rPr>
          <w:rFonts w:hint="eastAsia" w:ascii="仿宋" w:hAnsi="仿宋" w:eastAsia="仿宋" w:cs="仿宋"/>
          <w:b/>
          <w:kern w:val="0"/>
          <w:sz w:val="24"/>
          <w:highlight w:val="none"/>
        </w:rPr>
        <w:t>项目名称和项目编号，中标供应商名称、地址和中标金额，主要中标标的的名称、规格型号、数量、单价、服务要求等</w:t>
      </w:r>
      <w:r>
        <w:rPr>
          <w:rFonts w:hint="eastAsia" w:ascii="仿宋" w:hAnsi="仿宋" w:eastAsia="仿宋" w:cs="仿宋"/>
          <w:b/>
          <w:kern w:val="0"/>
          <w:sz w:val="24"/>
          <w:highlight w:val="none"/>
          <w:lang w:val="zh-CN"/>
        </w:rPr>
        <w:t>予以公示。请把上述涉及的内容完整填写在开标一览表中。</w:t>
      </w:r>
    </w:p>
    <w:p>
      <w:pPr>
        <w:spacing w:line="288" w:lineRule="auto"/>
        <w:ind w:right="-817" w:rightChars="-389"/>
        <w:rPr>
          <w:rFonts w:ascii="仿宋" w:hAnsi="仿宋" w:eastAsia="仿宋" w:cs="仿宋"/>
          <w:sz w:val="24"/>
          <w:highlight w:val="none"/>
        </w:rPr>
      </w:pPr>
    </w:p>
    <w:p>
      <w:pPr>
        <w:spacing w:line="288" w:lineRule="auto"/>
        <w:ind w:right="-817" w:rightChars="-389"/>
        <w:rPr>
          <w:rFonts w:ascii="仿宋" w:hAnsi="仿宋" w:eastAsia="仿宋" w:cs="仿宋"/>
          <w:sz w:val="24"/>
          <w:highlight w:val="none"/>
        </w:rPr>
      </w:pPr>
      <w:r>
        <w:rPr>
          <w:rFonts w:hint="eastAsia" w:ascii="仿宋" w:hAnsi="仿宋" w:eastAsia="仿宋" w:cs="仿宋"/>
          <w:sz w:val="24"/>
          <w:highlight w:val="none"/>
        </w:rPr>
        <w:t>投标人名称(电子签章)：</w:t>
      </w:r>
    </w:p>
    <w:p>
      <w:pPr>
        <w:spacing w:line="288" w:lineRule="auto"/>
        <w:jc w:val="center"/>
        <w:outlineLvl w:val="0"/>
        <w:rPr>
          <w:rFonts w:ascii="仿宋" w:hAnsi="仿宋" w:eastAsia="仿宋" w:cs="仿宋"/>
          <w:sz w:val="24"/>
          <w:highlight w:val="none"/>
        </w:rPr>
      </w:pPr>
    </w:p>
    <w:p>
      <w:pPr>
        <w:spacing w:line="288" w:lineRule="auto"/>
        <w:outlineLvl w:val="0"/>
        <w:rPr>
          <w:rFonts w:ascii="仿宋" w:hAnsi="仿宋" w:eastAsia="仿宋" w:cs="仿宋"/>
          <w:sz w:val="24"/>
          <w:highlight w:val="none"/>
        </w:rPr>
      </w:pPr>
      <w:r>
        <w:rPr>
          <w:rFonts w:hint="eastAsia" w:ascii="仿宋" w:hAnsi="仿宋" w:eastAsia="仿宋" w:cs="仿宋"/>
          <w:sz w:val="24"/>
          <w:highlight w:val="none"/>
        </w:rPr>
        <w:t xml:space="preserve">法定代表人或其授权代表（签字或盖章）：            </w:t>
      </w:r>
    </w:p>
    <w:p>
      <w:pPr>
        <w:spacing w:line="288" w:lineRule="auto"/>
        <w:outlineLvl w:val="0"/>
        <w:rPr>
          <w:rFonts w:ascii="仿宋" w:hAnsi="仿宋" w:eastAsia="仿宋" w:cs="仿宋"/>
          <w:sz w:val="24"/>
          <w:highlight w:val="none"/>
        </w:rPr>
      </w:pPr>
    </w:p>
    <w:p>
      <w:pPr>
        <w:spacing w:line="288" w:lineRule="auto"/>
        <w:ind w:right="420" w:firstLine="5520" w:firstLineChars="2300"/>
        <w:jc w:val="right"/>
        <w:rPr>
          <w:rFonts w:ascii="仿宋" w:hAnsi="仿宋" w:eastAsia="仿宋" w:cs="仿宋"/>
          <w:sz w:val="24"/>
          <w:highlight w:val="none"/>
        </w:rPr>
      </w:pPr>
      <w:r>
        <w:rPr>
          <w:rFonts w:hint="eastAsia" w:ascii="仿宋" w:hAnsi="仿宋" w:eastAsia="仿宋" w:cs="仿宋"/>
          <w:sz w:val="24"/>
          <w:highlight w:val="none"/>
        </w:rPr>
        <w:t>日期： 年  月  日</w:t>
      </w:r>
    </w:p>
    <w:p>
      <w:pPr>
        <w:pageBreakBefore/>
        <w:spacing w:line="288" w:lineRule="auto"/>
        <w:rPr>
          <w:rFonts w:ascii="仿宋" w:hAnsi="仿宋" w:eastAsia="仿宋" w:cs="仿宋"/>
          <w:b/>
          <w:sz w:val="32"/>
          <w:szCs w:val="32"/>
          <w:highlight w:val="none"/>
        </w:rPr>
      </w:pPr>
      <w:r>
        <w:rPr>
          <w:rFonts w:hint="eastAsia" w:ascii="仿宋" w:hAnsi="仿宋" w:eastAsia="仿宋" w:cs="仿宋"/>
          <w:b/>
          <w:sz w:val="32"/>
          <w:szCs w:val="32"/>
          <w:highlight w:val="none"/>
        </w:rPr>
        <w:t>3、中小企业声明函（二选一）</w:t>
      </w:r>
    </w:p>
    <w:p>
      <w:pPr>
        <w:spacing w:line="288" w:lineRule="auto"/>
        <w:jc w:val="center"/>
        <w:rPr>
          <w:rFonts w:ascii="仿宋" w:hAnsi="仿宋" w:eastAsia="仿宋" w:cs="仿宋"/>
          <w:b/>
          <w:sz w:val="32"/>
          <w:highlight w:val="none"/>
        </w:rPr>
      </w:pPr>
      <w:r>
        <w:rPr>
          <w:rFonts w:hint="eastAsia" w:ascii="仿宋" w:hAnsi="仿宋" w:eastAsia="仿宋" w:cs="仿宋"/>
          <w:b/>
          <w:sz w:val="32"/>
          <w:highlight w:val="none"/>
        </w:rPr>
        <w:t>中小企业声明函（货物）</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 （财库﹝2021﹞46 号）的规定，本公司（联合体）参加</w:t>
      </w:r>
      <w:r>
        <w:rPr>
          <w:rFonts w:hint="eastAsia" w:ascii="仿宋" w:hAnsi="仿宋" w:eastAsia="仿宋" w:cs="仿宋"/>
          <w:sz w:val="24"/>
          <w:highlight w:val="none"/>
          <w:u w:val="single"/>
        </w:rPr>
        <w:t xml:space="preserve"> 绍兴市越城区综合行政执法局 </w:t>
      </w:r>
      <w:r>
        <w:rPr>
          <w:rFonts w:hint="eastAsia" w:ascii="仿宋" w:hAnsi="仿宋" w:eastAsia="仿宋" w:cs="仿宋"/>
          <w:sz w:val="24"/>
          <w:highlight w:val="none"/>
        </w:rPr>
        <w:t>的</w:t>
      </w:r>
      <w:r>
        <w:rPr>
          <w:rFonts w:hint="eastAsia" w:ascii="仿宋" w:hAnsi="仿宋" w:eastAsia="仿宋" w:cs="仿宋"/>
          <w:sz w:val="24"/>
          <w:highlight w:val="none"/>
          <w:u w:val="single"/>
          <w:lang w:eastAsia="zh-CN"/>
        </w:rPr>
        <w:t>绍兴市越城区综合行政执法局信息指挥中心项目（第二次）</w:t>
      </w:r>
      <w:r>
        <w:rPr>
          <w:rFonts w:hint="eastAsia" w:ascii="仿宋" w:hAnsi="仿宋" w:eastAsia="仿宋" w:cs="仿宋"/>
          <w:sz w:val="24"/>
          <w:highlight w:val="none"/>
        </w:rPr>
        <w:t>采购活动，提供的货物全部由符合政策要求的中小企业制造。相关企业（含联合体中的中小企业、签订分包意向协议的中小企业）的具体情况如下：</w:t>
      </w:r>
    </w:p>
    <w:p>
      <w:pPr>
        <w:spacing w:line="288" w:lineRule="auto"/>
        <w:jc w:val="left"/>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，属于</w:t>
      </w:r>
      <w:r>
        <w:rPr>
          <w:rFonts w:hint="eastAsia" w:ascii="仿宋" w:hAnsi="仿宋" w:eastAsia="仿宋" w:cs="仿宋"/>
          <w:sz w:val="24"/>
          <w:highlight w:val="none"/>
          <w:u w:val="single"/>
        </w:rPr>
        <w:t xml:space="preserve">                  （采购文件中明确的所属行业）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 </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 ，属于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288" w:lineRule="auto"/>
        <w:jc w:val="left"/>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，属于</w:t>
      </w:r>
      <w:r>
        <w:rPr>
          <w:rFonts w:hint="eastAsia" w:ascii="仿宋" w:hAnsi="仿宋" w:eastAsia="仿宋" w:cs="仿宋"/>
          <w:sz w:val="24"/>
          <w:highlight w:val="none"/>
          <w:u w:val="single"/>
        </w:rPr>
        <w:t xml:space="preserve">                  （采购文件中明确的所属行业）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 </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 ，属于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288" w:lineRule="auto"/>
        <w:ind w:right="420" w:firstLine="5880" w:firstLineChars="2450"/>
        <w:jc w:val="left"/>
        <w:rPr>
          <w:rFonts w:ascii="仿宋" w:hAnsi="仿宋" w:eastAsia="仿宋" w:cs="仿宋"/>
          <w:sz w:val="24"/>
          <w:highlight w:val="none"/>
        </w:rPr>
      </w:pPr>
    </w:p>
    <w:p>
      <w:pPr>
        <w:spacing w:line="288" w:lineRule="auto"/>
        <w:ind w:right="420" w:firstLine="5880" w:firstLineChars="2450"/>
        <w:rPr>
          <w:rFonts w:ascii="仿宋" w:hAnsi="仿宋" w:eastAsia="仿宋" w:cs="仿宋"/>
          <w:sz w:val="24"/>
          <w:highlight w:val="none"/>
        </w:rPr>
      </w:pPr>
      <w:r>
        <w:rPr>
          <w:rFonts w:hint="eastAsia" w:ascii="仿宋" w:hAnsi="仿宋" w:eastAsia="仿宋" w:cs="仿宋"/>
          <w:sz w:val="24"/>
          <w:highlight w:val="none"/>
        </w:rPr>
        <w:t xml:space="preserve">企业名称（盖章）： </w:t>
      </w:r>
    </w:p>
    <w:p>
      <w:pPr>
        <w:spacing w:line="288" w:lineRule="auto"/>
        <w:ind w:right="420" w:firstLine="5520" w:firstLineChars="2300"/>
        <w:rPr>
          <w:rFonts w:ascii="仿宋" w:hAnsi="仿宋" w:eastAsia="仿宋" w:cs="仿宋"/>
          <w:highlight w:val="none"/>
        </w:rPr>
      </w:pPr>
      <w:r>
        <w:rPr>
          <w:rFonts w:hint="eastAsia" w:ascii="仿宋" w:hAnsi="仿宋" w:eastAsia="仿宋" w:cs="仿宋"/>
          <w:sz w:val="24"/>
          <w:highlight w:val="none"/>
        </w:rPr>
        <w:t xml:space="preserve">日期：   年     月 </w:t>
      </w:r>
      <w:r>
        <w:rPr>
          <w:rFonts w:hint="eastAsia" w:ascii="仿宋" w:hAnsi="仿宋" w:eastAsia="仿宋" w:cs="仿宋"/>
          <w:highlight w:val="none"/>
        </w:rPr>
        <w:t xml:space="preserve">    日</w:t>
      </w:r>
    </w:p>
    <w:p>
      <w:pPr>
        <w:spacing w:line="288" w:lineRule="auto"/>
        <w:jc w:val="center"/>
        <w:rPr>
          <w:rFonts w:ascii="仿宋" w:hAnsi="仿宋" w:eastAsia="仿宋" w:cs="仿宋"/>
          <w:b/>
          <w:sz w:val="18"/>
          <w:highlight w:val="none"/>
        </w:rPr>
      </w:pPr>
    </w:p>
    <w:p>
      <w:pPr>
        <w:spacing w:line="288" w:lineRule="auto"/>
        <w:jc w:val="center"/>
        <w:rPr>
          <w:rFonts w:ascii="仿宋" w:hAnsi="仿宋" w:eastAsia="仿宋" w:cs="仿宋"/>
          <w:b/>
          <w:sz w:val="32"/>
          <w:highlight w:val="none"/>
        </w:rPr>
      </w:pPr>
      <w:r>
        <w:rPr>
          <w:rFonts w:hint="eastAsia" w:ascii="仿宋" w:hAnsi="仿宋" w:eastAsia="仿宋" w:cs="仿宋"/>
          <w:b/>
          <w:sz w:val="32"/>
          <w:highlight w:val="none"/>
        </w:rPr>
        <w:t>中小企业声明函（工程、服务）</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 （财库﹝2021﹞46 号）的规定，本公司（联合体）参加</w:t>
      </w:r>
      <w:r>
        <w:rPr>
          <w:rFonts w:hint="eastAsia" w:ascii="仿宋" w:hAnsi="仿宋" w:eastAsia="仿宋" w:cs="仿宋"/>
          <w:sz w:val="24"/>
          <w:highlight w:val="none"/>
          <w:u w:val="single"/>
        </w:rPr>
        <w:t xml:space="preserve"> 绍兴市越城区综合行政执法局 </w:t>
      </w:r>
      <w:r>
        <w:rPr>
          <w:rFonts w:hint="eastAsia" w:ascii="仿宋" w:hAnsi="仿宋" w:eastAsia="仿宋" w:cs="仿宋"/>
          <w:sz w:val="24"/>
          <w:highlight w:val="none"/>
        </w:rPr>
        <w:t>的</w:t>
      </w:r>
      <w:r>
        <w:rPr>
          <w:rFonts w:hint="eastAsia" w:ascii="仿宋" w:hAnsi="仿宋" w:eastAsia="仿宋" w:cs="仿宋"/>
          <w:sz w:val="24"/>
          <w:highlight w:val="none"/>
          <w:u w:val="single"/>
          <w:lang w:eastAsia="zh-CN"/>
        </w:rPr>
        <w:t>绍兴市越城区综合行政执法局信息指挥中心项目（第二次）</w:t>
      </w:r>
      <w:r>
        <w:rPr>
          <w:rFonts w:hint="eastAsia" w:ascii="仿宋" w:hAnsi="仿宋" w:eastAsia="仿宋" w:cs="仿宋"/>
          <w:sz w:val="24"/>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288" w:lineRule="auto"/>
        <w:jc w:val="left"/>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，属于</w:t>
      </w:r>
      <w:r>
        <w:rPr>
          <w:rFonts w:hint="eastAsia" w:ascii="仿宋" w:hAnsi="仿宋" w:eastAsia="仿宋" w:cs="仿宋"/>
          <w:sz w:val="24"/>
          <w:highlight w:val="none"/>
          <w:u w:val="single"/>
        </w:rPr>
        <w:t xml:space="preserve">                  （采购文件中明确的所属行业）</w:t>
      </w:r>
      <w:r>
        <w:rPr>
          <w:rFonts w:hint="eastAsia" w:ascii="仿宋" w:hAnsi="仿宋" w:eastAsia="仿宋" w:cs="仿宋"/>
          <w:sz w:val="24"/>
          <w:highlight w:val="none"/>
        </w:rPr>
        <w:t>；承建（承接）企业为</w:t>
      </w:r>
      <w:r>
        <w:rPr>
          <w:rFonts w:hint="eastAsia" w:ascii="仿宋" w:hAnsi="仿宋" w:eastAsia="仿宋" w:cs="仿宋"/>
          <w:sz w:val="24"/>
          <w:highlight w:val="none"/>
          <w:u w:val="single"/>
        </w:rPr>
        <w:t xml:space="preserve">           （企业名称） </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 ，属于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288" w:lineRule="auto"/>
        <w:jc w:val="left"/>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，属于</w:t>
      </w:r>
      <w:r>
        <w:rPr>
          <w:rFonts w:hint="eastAsia" w:ascii="仿宋" w:hAnsi="仿宋" w:eastAsia="仿宋" w:cs="仿宋"/>
          <w:sz w:val="24"/>
          <w:highlight w:val="none"/>
          <w:u w:val="single"/>
        </w:rPr>
        <w:t xml:space="preserve">                  （采购文件中明确的所属行业）</w:t>
      </w:r>
      <w:r>
        <w:rPr>
          <w:rFonts w:hint="eastAsia" w:ascii="仿宋" w:hAnsi="仿宋" w:eastAsia="仿宋" w:cs="仿宋"/>
          <w:sz w:val="24"/>
          <w:highlight w:val="none"/>
        </w:rPr>
        <w:t>；承建（承接）企业为</w:t>
      </w:r>
      <w:r>
        <w:rPr>
          <w:rFonts w:hint="eastAsia" w:ascii="仿宋" w:hAnsi="仿宋" w:eastAsia="仿宋" w:cs="仿宋"/>
          <w:sz w:val="24"/>
          <w:highlight w:val="none"/>
          <w:u w:val="single"/>
        </w:rPr>
        <w:t xml:space="preserve">           （企业名称） </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 ，属于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288" w:lineRule="auto"/>
        <w:ind w:right="420" w:firstLine="5880" w:firstLineChars="2450"/>
        <w:jc w:val="left"/>
        <w:rPr>
          <w:rFonts w:ascii="仿宋" w:hAnsi="仿宋" w:eastAsia="仿宋" w:cs="仿宋"/>
          <w:sz w:val="24"/>
          <w:highlight w:val="none"/>
        </w:rPr>
      </w:pPr>
    </w:p>
    <w:p>
      <w:pPr>
        <w:spacing w:line="288" w:lineRule="auto"/>
        <w:ind w:right="420" w:firstLine="5880" w:firstLineChars="2450"/>
        <w:rPr>
          <w:rFonts w:ascii="仿宋" w:hAnsi="仿宋" w:eastAsia="仿宋" w:cs="仿宋"/>
          <w:sz w:val="24"/>
          <w:highlight w:val="none"/>
        </w:rPr>
      </w:pPr>
      <w:r>
        <w:rPr>
          <w:rFonts w:hint="eastAsia" w:ascii="仿宋" w:hAnsi="仿宋" w:eastAsia="仿宋" w:cs="仿宋"/>
          <w:sz w:val="24"/>
          <w:highlight w:val="none"/>
        </w:rPr>
        <w:t xml:space="preserve">企业名称（盖章）： </w:t>
      </w:r>
    </w:p>
    <w:p>
      <w:pPr>
        <w:spacing w:line="288" w:lineRule="auto"/>
        <w:ind w:right="420" w:firstLine="5520" w:firstLineChars="2300"/>
        <w:rPr>
          <w:rFonts w:ascii="仿宋" w:hAnsi="仿宋" w:eastAsia="仿宋" w:cs="仿宋"/>
          <w:highlight w:val="none"/>
        </w:rPr>
      </w:pPr>
      <w:r>
        <w:rPr>
          <w:rFonts w:hint="eastAsia" w:ascii="仿宋" w:hAnsi="仿宋" w:eastAsia="仿宋" w:cs="仿宋"/>
          <w:sz w:val="24"/>
          <w:highlight w:val="none"/>
        </w:rPr>
        <w:t xml:space="preserve">日期：   年     月 </w:t>
      </w:r>
      <w:r>
        <w:rPr>
          <w:rFonts w:hint="eastAsia" w:ascii="仿宋" w:hAnsi="仿宋" w:eastAsia="仿宋" w:cs="仿宋"/>
          <w:highlight w:val="none"/>
        </w:rPr>
        <w:t xml:space="preserve">    日</w:t>
      </w:r>
    </w:p>
    <w:p>
      <w:pPr>
        <w:spacing w:line="288" w:lineRule="auto"/>
        <w:rPr>
          <w:rFonts w:ascii="仿宋" w:hAnsi="仿宋" w:eastAsia="仿宋" w:cs="仿宋"/>
          <w:b/>
          <w:bCs/>
          <w:sz w:val="24"/>
          <w:highlight w:val="none"/>
        </w:rPr>
      </w:pPr>
      <w:r>
        <w:rPr>
          <w:rFonts w:hint="eastAsia" w:ascii="仿宋" w:hAnsi="仿宋" w:eastAsia="仿宋" w:cs="仿宋"/>
          <w:b/>
          <w:bCs/>
          <w:sz w:val="24"/>
          <w:highlight w:val="none"/>
        </w:rPr>
        <w:t>注：</w:t>
      </w:r>
    </w:p>
    <w:p>
      <w:pPr>
        <w:spacing w:line="288" w:lineRule="auto"/>
        <w:rPr>
          <w:rFonts w:ascii="仿宋" w:hAnsi="仿宋" w:eastAsia="仿宋" w:cs="仿宋"/>
          <w:b/>
          <w:sz w:val="24"/>
          <w:highlight w:val="none"/>
        </w:rPr>
      </w:pPr>
      <w:r>
        <w:rPr>
          <w:rFonts w:hint="eastAsia" w:ascii="仿宋" w:hAnsi="仿宋" w:eastAsia="仿宋" w:cs="仿宋"/>
          <w:b/>
          <w:sz w:val="24"/>
          <w:highlight w:val="none"/>
        </w:rPr>
        <w:t>1、投标人提供的中小企业声明函与实际情况不符的，视为投标人提供虚假材料投标，投标无效。</w:t>
      </w:r>
    </w:p>
    <w:p>
      <w:pPr>
        <w:spacing w:line="288" w:lineRule="auto"/>
        <w:rPr>
          <w:rFonts w:ascii="仿宋" w:hAnsi="仿宋" w:eastAsia="仿宋" w:cs="仿宋"/>
          <w:sz w:val="24"/>
          <w:highlight w:val="none"/>
        </w:rPr>
      </w:pPr>
      <w:r>
        <w:rPr>
          <w:rFonts w:hint="eastAsia" w:ascii="仿宋" w:hAnsi="仿宋" w:eastAsia="仿宋" w:cs="仿宋"/>
          <w:b/>
          <w:sz w:val="24"/>
          <w:highlight w:val="none"/>
        </w:rPr>
        <w:t>2、根据《政府采购促进中小企业发展管理办法》的通知（财库〔2021〕46号）规定，</w:t>
      </w:r>
      <w:r>
        <w:rPr>
          <w:rFonts w:hint="eastAsia" w:ascii="仿宋" w:hAnsi="仿宋" w:eastAsia="仿宋" w:cs="仿宋"/>
          <w:sz w:val="24"/>
          <w:highlight w:val="none"/>
        </w:rPr>
        <w:t>中标、成交供应商享受中小企业扶持政策的，采购代理机构将随中标、成交结果公开中标、成交供应商的《中小企业声明函》。</w:t>
      </w:r>
    </w:p>
    <w:p>
      <w:pPr>
        <w:spacing w:line="288" w:lineRule="auto"/>
        <w:rPr>
          <w:rFonts w:ascii="仿宋" w:hAnsi="仿宋" w:eastAsia="仿宋" w:cs="仿宋"/>
          <w:sz w:val="24"/>
          <w:highlight w:val="none"/>
        </w:rPr>
      </w:pPr>
      <w:r>
        <w:rPr>
          <w:rFonts w:hint="eastAsia" w:ascii="仿宋" w:hAnsi="仿宋" w:eastAsia="仿宋" w:cs="仿宋"/>
          <w:sz w:val="24"/>
          <w:highlight w:val="none"/>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tabs>
          <w:tab w:val="left" w:pos="4860"/>
        </w:tabs>
        <w:spacing w:line="288" w:lineRule="auto"/>
        <w:ind w:right="1560" w:firstLine="480" w:firstLineChars="200"/>
        <w:jc w:val="center"/>
        <w:rPr>
          <w:rFonts w:ascii="仿宋" w:hAnsi="仿宋" w:eastAsia="仿宋" w:cs="仿宋"/>
          <w:sz w:val="24"/>
          <w:highlight w:val="none"/>
        </w:rPr>
      </w:pPr>
    </w:p>
    <w:p>
      <w:pPr>
        <w:spacing w:line="288" w:lineRule="auto"/>
        <w:ind w:firstLine="480" w:firstLineChars="200"/>
        <w:rPr>
          <w:rFonts w:ascii="仿宋" w:hAnsi="仿宋" w:eastAsia="仿宋" w:cs="仿宋"/>
          <w:sz w:val="24"/>
          <w:highlight w:val="none"/>
        </w:rPr>
      </w:pPr>
    </w:p>
    <w:p>
      <w:pPr>
        <w:spacing w:line="288" w:lineRule="auto"/>
        <w:ind w:firstLine="420" w:firstLineChars="200"/>
        <w:rPr>
          <w:rFonts w:ascii="仿宋" w:hAnsi="仿宋" w:eastAsia="仿宋" w:cs="仿宋"/>
          <w:highlight w:val="none"/>
        </w:rPr>
      </w:pPr>
    </w:p>
    <w:p>
      <w:pPr>
        <w:spacing w:line="288" w:lineRule="auto"/>
        <w:ind w:firstLine="420" w:firstLineChars="200"/>
        <w:rPr>
          <w:rFonts w:ascii="仿宋" w:hAnsi="仿宋" w:eastAsia="仿宋" w:cs="仿宋"/>
          <w:highlight w:val="none"/>
        </w:rPr>
      </w:pPr>
    </w:p>
    <w:p>
      <w:pPr>
        <w:spacing w:line="288" w:lineRule="auto"/>
        <w:ind w:firstLine="420" w:firstLineChars="200"/>
        <w:rPr>
          <w:rFonts w:ascii="仿宋" w:hAnsi="仿宋" w:eastAsia="仿宋" w:cs="仿宋"/>
          <w:highlight w:val="none"/>
        </w:rPr>
      </w:pPr>
    </w:p>
    <w:p>
      <w:pPr>
        <w:spacing w:line="288" w:lineRule="auto"/>
        <w:ind w:firstLine="420" w:firstLineChars="200"/>
        <w:rPr>
          <w:rFonts w:ascii="仿宋" w:hAnsi="仿宋" w:eastAsia="仿宋" w:cs="仿宋"/>
          <w:highlight w:val="none"/>
        </w:rPr>
      </w:pPr>
    </w:p>
    <w:p>
      <w:pPr>
        <w:spacing w:line="288" w:lineRule="auto"/>
        <w:rPr>
          <w:rFonts w:ascii="仿宋" w:hAnsi="仿宋" w:eastAsia="仿宋" w:cs="仿宋"/>
          <w:b/>
          <w:sz w:val="24"/>
          <w:highlight w:val="none"/>
        </w:rPr>
      </w:pPr>
    </w:p>
    <w:p>
      <w:pPr>
        <w:spacing w:line="288" w:lineRule="auto"/>
        <w:rPr>
          <w:rFonts w:ascii="仿宋" w:hAnsi="仿宋" w:eastAsia="仿宋" w:cs="仿宋"/>
          <w:b/>
          <w:sz w:val="24"/>
          <w:highlight w:val="none"/>
        </w:rPr>
      </w:pPr>
    </w:p>
    <w:p>
      <w:pPr>
        <w:pageBreakBefore/>
        <w:spacing w:line="288"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商务技术（资信）文件部分</w:t>
      </w:r>
    </w:p>
    <w:p>
      <w:pPr>
        <w:spacing w:line="288" w:lineRule="auto"/>
        <w:jc w:val="center"/>
        <w:outlineLvl w:val="0"/>
        <w:rPr>
          <w:rFonts w:ascii="仿宋" w:hAnsi="仿宋" w:eastAsia="仿宋" w:cs="仿宋"/>
          <w:b/>
          <w:kern w:val="0"/>
          <w:sz w:val="24"/>
          <w:highlight w:val="none"/>
        </w:rPr>
      </w:pPr>
    </w:p>
    <w:p>
      <w:pPr>
        <w:spacing w:line="288" w:lineRule="auto"/>
        <w:jc w:val="center"/>
        <w:outlineLvl w:val="0"/>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（1）法定代表人授权书 ………………………………………………………………（页码）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（2）授权代表社保证明（复印件）…………………………………………………（页码）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（3）法定代表人及其授权代表的身份证（复印件）………………………………（页码）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（4）法定代表人身份证明书…………………………………………………………（页码）</w:t>
      </w:r>
    </w:p>
    <w:p>
      <w:pPr>
        <w:spacing w:line="288" w:lineRule="auto"/>
        <w:outlineLvl w:val="0"/>
        <w:rPr>
          <w:rFonts w:ascii="仿宋" w:hAnsi="仿宋" w:eastAsia="仿宋" w:cs="仿宋"/>
          <w:sz w:val="24"/>
          <w:highlight w:val="none"/>
        </w:rPr>
      </w:pPr>
      <w:r>
        <w:rPr>
          <w:rFonts w:hint="eastAsia" w:ascii="仿宋" w:hAnsi="仿宋" w:eastAsia="仿宋" w:cs="仿宋"/>
          <w:sz w:val="24"/>
          <w:highlight w:val="none"/>
        </w:rPr>
        <w:t>（5）营业执照(或事业法人登记证或其他登记证明材料)复印件…………………</w:t>
      </w:r>
      <w:r>
        <w:rPr>
          <w:rFonts w:hint="eastAsia" w:ascii="仿宋" w:hAnsi="仿宋" w:eastAsia="仿宋" w:cs="仿宋"/>
          <w:kern w:val="0"/>
          <w:sz w:val="24"/>
          <w:highlight w:val="none"/>
        </w:rPr>
        <w:t>（页码）</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（6）2021年度资产负债表等财务报表资料文件(新成立的公司，提供情况说明)………………………………………………………………………………………</w:t>
      </w:r>
      <w:r>
        <w:rPr>
          <w:rFonts w:hint="eastAsia" w:ascii="仿宋" w:hAnsi="仿宋" w:eastAsia="仿宋" w:cs="仿宋"/>
          <w:highlight w:val="none"/>
        </w:rPr>
        <w:t>（</w:t>
      </w:r>
      <w:r>
        <w:rPr>
          <w:rFonts w:hint="eastAsia" w:ascii="仿宋" w:hAnsi="仿宋" w:eastAsia="仿宋" w:cs="仿宋"/>
          <w:kern w:val="0"/>
          <w:sz w:val="24"/>
          <w:highlight w:val="none"/>
        </w:rPr>
        <w:t>页码）</w:t>
      </w:r>
    </w:p>
    <w:p>
      <w:pPr>
        <w:snapToGrid w:val="0"/>
        <w:spacing w:line="288" w:lineRule="auto"/>
        <w:rPr>
          <w:rFonts w:ascii="仿宋" w:hAnsi="仿宋" w:eastAsia="仿宋" w:cs="仿宋"/>
          <w:kern w:val="0"/>
          <w:sz w:val="24"/>
          <w:highlight w:val="none"/>
        </w:rPr>
      </w:pPr>
      <w:r>
        <w:rPr>
          <w:rFonts w:hint="eastAsia" w:ascii="仿宋" w:hAnsi="仿宋" w:eastAsia="仿宋" w:cs="仿宋"/>
          <w:sz w:val="24"/>
          <w:highlight w:val="none"/>
        </w:rPr>
        <w:t>（7）具有履</w:t>
      </w:r>
      <w:r>
        <w:rPr>
          <w:rFonts w:hint="eastAsia" w:ascii="仿宋" w:hAnsi="仿宋" w:eastAsia="仿宋" w:cs="仿宋"/>
          <w:kern w:val="0"/>
          <w:sz w:val="24"/>
          <w:highlight w:val="none"/>
        </w:rPr>
        <w:t>行合同所必需的设备和专业技术能力的承诺函……</w:t>
      </w:r>
      <w:r>
        <w:rPr>
          <w:rFonts w:hint="eastAsia" w:ascii="仿宋" w:hAnsi="仿宋" w:eastAsia="仿宋" w:cs="仿宋"/>
          <w:sz w:val="24"/>
          <w:highlight w:val="none"/>
        </w:rPr>
        <w:t>…………………</w:t>
      </w:r>
      <w:r>
        <w:rPr>
          <w:rFonts w:hint="eastAsia" w:ascii="仿宋" w:hAnsi="仿宋" w:eastAsia="仿宋" w:cs="仿宋"/>
          <w:kern w:val="0"/>
          <w:sz w:val="24"/>
          <w:highlight w:val="none"/>
        </w:rPr>
        <w:t>（页码）</w:t>
      </w:r>
    </w:p>
    <w:p>
      <w:pPr>
        <w:pStyle w:val="86"/>
        <w:spacing w:line="288" w:lineRule="auto"/>
        <w:ind w:firstLine="0" w:firstLineChars="0"/>
        <w:rPr>
          <w:rFonts w:ascii="仿宋" w:eastAsia="仿宋" w:cs="仿宋"/>
          <w:kern w:val="0"/>
          <w:highlight w:val="none"/>
        </w:rPr>
      </w:pPr>
      <w:r>
        <w:rPr>
          <w:rFonts w:hint="eastAsia" w:ascii="仿宋" w:eastAsia="仿宋" w:cs="仿宋"/>
          <w:highlight w:val="none"/>
        </w:rPr>
        <w:t>（8）重大违法记录的声明</w:t>
      </w:r>
      <w:r>
        <w:rPr>
          <w:rFonts w:hint="eastAsia" w:ascii="仿宋" w:eastAsia="仿宋" w:cs="仿宋"/>
          <w:kern w:val="0"/>
          <w:highlight w:val="none"/>
        </w:rPr>
        <w:t xml:space="preserve"> …</w:t>
      </w:r>
      <w:r>
        <w:rPr>
          <w:rFonts w:hint="eastAsia" w:ascii="仿宋" w:eastAsia="仿宋" w:cs="仿宋"/>
          <w:highlight w:val="none"/>
        </w:rPr>
        <w:t>………………………………………………………</w:t>
      </w:r>
      <w:r>
        <w:rPr>
          <w:rFonts w:hint="eastAsia" w:ascii="仿宋" w:eastAsia="仿宋" w:cs="仿宋"/>
          <w:kern w:val="0"/>
          <w:highlight w:val="none"/>
        </w:rPr>
        <w:t>（页码）</w:t>
      </w:r>
    </w:p>
    <w:p>
      <w:pPr>
        <w:pStyle w:val="86"/>
        <w:spacing w:line="288" w:lineRule="auto"/>
        <w:ind w:firstLine="0" w:firstLineChars="0"/>
        <w:rPr>
          <w:rFonts w:ascii="仿宋" w:eastAsia="仿宋" w:cs="仿宋"/>
          <w:highlight w:val="none"/>
        </w:rPr>
      </w:pPr>
      <w:r>
        <w:rPr>
          <w:rFonts w:hint="eastAsia" w:ascii="仿宋" w:eastAsia="仿宋" w:cs="仿宋"/>
          <w:highlight w:val="none"/>
        </w:rPr>
        <w:t>（9）符合特定资格条件（如果项目要求）的有关证明材料（复印件）…………（页码）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（10）</w:t>
      </w:r>
      <w:r>
        <w:rPr>
          <w:rFonts w:hint="eastAsia" w:ascii="仿宋" w:eastAsia="仿宋" w:cs="仿宋"/>
          <w:snapToGrid w:val="0"/>
          <w:highlight w:val="none"/>
        </w:rPr>
        <w:t>非本地投标人售后服务机构证明材料</w:t>
      </w:r>
      <w:r>
        <w:rPr>
          <w:rFonts w:hint="eastAsia" w:ascii="仿宋" w:eastAsia="仿宋" w:cs="仿宋"/>
          <w:highlight w:val="none"/>
        </w:rPr>
        <w:t>………………………………………（页码）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（11）所有与符合性审查有关的资信文件（复印件） ……………………………（页码）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（12）</w:t>
      </w:r>
      <w:r>
        <w:rPr>
          <w:rFonts w:hint="eastAsia" w:ascii="仿宋" w:eastAsia="仿宋" w:cs="仿宋"/>
          <w:highlight w:val="none"/>
          <w:lang w:val="zh-CN"/>
        </w:rPr>
        <w:t>主要业绩证明………………………………………………</w:t>
      </w:r>
      <w:r>
        <w:rPr>
          <w:rFonts w:hint="eastAsia" w:ascii="仿宋" w:eastAsia="仿宋" w:cs="仿宋"/>
          <w:highlight w:val="none"/>
        </w:rPr>
        <w:t>…………………</w:t>
      </w:r>
      <w:r>
        <w:rPr>
          <w:rFonts w:hint="eastAsia" w:ascii="仿宋" w:eastAsia="仿宋" w:cs="仿宋"/>
          <w:highlight w:val="none"/>
          <w:lang w:val="zh-CN"/>
        </w:rPr>
        <w:t>…</w:t>
      </w:r>
      <w:r>
        <w:rPr>
          <w:rFonts w:hint="eastAsia" w:ascii="仿宋" w:eastAsia="仿宋" w:cs="仿宋"/>
          <w:highlight w:val="none"/>
        </w:rPr>
        <w:t>（页码）</w:t>
      </w:r>
    </w:p>
    <w:p>
      <w:pPr>
        <w:pStyle w:val="86"/>
        <w:spacing w:line="288" w:lineRule="auto"/>
        <w:ind w:left="0" w:firstLine="0" w:firstLineChars="0"/>
        <w:rPr>
          <w:rFonts w:ascii="仿宋" w:eastAsia="仿宋" w:cs="仿宋"/>
          <w:highlight w:val="none"/>
        </w:rPr>
      </w:pPr>
      <w:r>
        <w:rPr>
          <w:rFonts w:hint="eastAsia" w:ascii="仿宋" w:eastAsia="仿宋" w:cs="仿宋"/>
          <w:highlight w:val="none"/>
        </w:rPr>
        <w:t>（13）廉政承诺书 ……………………………………………………………………（页码）</w:t>
      </w:r>
    </w:p>
    <w:p>
      <w:pPr>
        <w:spacing w:line="288" w:lineRule="auto"/>
        <w:outlineLvl w:val="0"/>
        <w:rPr>
          <w:rFonts w:ascii="仿宋" w:hAnsi="仿宋" w:eastAsia="仿宋" w:cs="仿宋"/>
          <w:kern w:val="0"/>
          <w:sz w:val="24"/>
          <w:highlight w:val="none"/>
        </w:rPr>
      </w:pPr>
      <w:r>
        <w:rPr>
          <w:rFonts w:hint="eastAsia" w:ascii="仿宋" w:hAnsi="仿宋" w:eastAsia="仿宋" w:cs="仿宋"/>
          <w:kern w:val="0"/>
          <w:sz w:val="24"/>
          <w:highlight w:val="none"/>
        </w:rPr>
        <w:t>（14）技术解决方案……………………………………</w:t>
      </w:r>
      <w:r>
        <w:rPr>
          <w:rFonts w:hint="eastAsia" w:ascii="仿宋" w:hAnsi="仿宋" w:eastAsia="仿宋" w:cs="仿宋"/>
          <w:sz w:val="24"/>
          <w:highlight w:val="none"/>
        </w:rPr>
        <w:t>………………………………</w:t>
      </w:r>
      <w:r>
        <w:rPr>
          <w:rFonts w:hint="eastAsia" w:ascii="仿宋" w:hAnsi="仿宋" w:eastAsia="仿宋" w:cs="仿宋"/>
          <w:kern w:val="0"/>
          <w:sz w:val="24"/>
          <w:highlight w:val="none"/>
        </w:rPr>
        <w:t>（页码）</w:t>
      </w:r>
    </w:p>
    <w:p>
      <w:pPr>
        <w:spacing w:line="288" w:lineRule="auto"/>
        <w:outlineLvl w:val="0"/>
        <w:rPr>
          <w:rFonts w:ascii="仿宋" w:hAnsi="仿宋" w:eastAsia="仿宋" w:cs="仿宋"/>
          <w:kern w:val="0"/>
          <w:sz w:val="24"/>
          <w:highlight w:val="none"/>
        </w:rPr>
      </w:pPr>
      <w:r>
        <w:rPr>
          <w:rFonts w:hint="eastAsia" w:ascii="仿宋" w:hAnsi="仿宋" w:eastAsia="仿宋" w:cs="仿宋"/>
          <w:kern w:val="0"/>
          <w:sz w:val="24"/>
          <w:highlight w:val="none"/>
        </w:rPr>
        <w:t>（15）技术偏离说明表………………………………………</w:t>
      </w:r>
      <w:r>
        <w:rPr>
          <w:rFonts w:hint="eastAsia" w:ascii="仿宋" w:hAnsi="仿宋" w:eastAsia="仿宋" w:cs="仿宋"/>
          <w:sz w:val="24"/>
          <w:highlight w:val="none"/>
        </w:rPr>
        <w:t>…………………………</w:t>
      </w:r>
      <w:r>
        <w:rPr>
          <w:rFonts w:hint="eastAsia" w:ascii="仿宋" w:hAnsi="仿宋" w:eastAsia="仿宋" w:cs="仿宋"/>
          <w:kern w:val="0"/>
          <w:sz w:val="24"/>
          <w:highlight w:val="none"/>
        </w:rPr>
        <w:t>（页码）</w:t>
      </w:r>
    </w:p>
    <w:p>
      <w:pPr>
        <w:spacing w:line="288" w:lineRule="auto"/>
        <w:rPr>
          <w:rFonts w:ascii="仿宋" w:hAnsi="仿宋" w:eastAsia="仿宋" w:cs="仿宋"/>
          <w:b/>
          <w:bCs/>
          <w:sz w:val="24"/>
          <w:highlight w:val="none"/>
        </w:rPr>
      </w:pPr>
      <w:r>
        <w:rPr>
          <w:rFonts w:hint="eastAsia" w:ascii="仿宋" w:hAnsi="仿宋" w:eastAsia="仿宋" w:cs="仿宋"/>
          <w:kern w:val="0"/>
          <w:sz w:val="24"/>
          <w:highlight w:val="none"/>
        </w:rPr>
        <w:t>（16）</w:t>
      </w:r>
      <w:r>
        <w:rPr>
          <w:rFonts w:hint="eastAsia" w:ascii="仿宋" w:hAnsi="仿宋" w:eastAsia="仿宋" w:cs="仿宋"/>
          <w:kern w:val="0"/>
          <w:sz w:val="24"/>
          <w:highlight w:val="none"/>
          <w:lang w:val="zh-CN"/>
        </w:rPr>
        <w:t>认为需要的其他商务技术（资信）文件或说明…………</w:t>
      </w:r>
      <w:r>
        <w:rPr>
          <w:rFonts w:hint="eastAsia" w:ascii="仿宋" w:hAnsi="仿宋" w:eastAsia="仿宋" w:cs="仿宋"/>
          <w:sz w:val="24"/>
          <w:highlight w:val="none"/>
          <w:lang w:val="zh-CN"/>
        </w:rPr>
        <w:t>………</w:t>
      </w:r>
      <w:r>
        <w:rPr>
          <w:rFonts w:hint="eastAsia" w:ascii="仿宋" w:hAnsi="仿宋" w:eastAsia="仿宋" w:cs="仿宋"/>
          <w:sz w:val="24"/>
          <w:highlight w:val="none"/>
        </w:rPr>
        <w:t>…………</w:t>
      </w:r>
      <w:r>
        <w:rPr>
          <w:rFonts w:hint="eastAsia" w:ascii="仿宋" w:hAnsi="仿宋" w:eastAsia="仿宋" w:cs="仿宋"/>
          <w:sz w:val="24"/>
          <w:highlight w:val="none"/>
          <w:lang w:val="zh-CN"/>
        </w:rPr>
        <w:t>…</w:t>
      </w:r>
      <w:r>
        <w:rPr>
          <w:rFonts w:hint="eastAsia" w:ascii="仿宋" w:hAnsi="仿宋" w:eastAsia="仿宋" w:cs="仿宋"/>
          <w:kern w:val="0"/>
          <w:sz w:val="24"/>
          <w:highlight w:val="none"/>
        </w:rPr>
        <w:t>（页码）</w:t>
      </w:r>
    </w:p>
    <w:p>
      <w:pPr>
        <w:spacing w:line="288" w:lineRule="auto"/>
        <w:rPr>
          <w:rFonts w:ascii="仿宋" w:hAnsi="仿宋" w:eastAsia="仿宋" w:cs="仿宋"/>
          <w:b/>
          <w:bCs/>
          <w:sz w:val="24"/>
          <w:highlight w:val="none"/>
        </w:rPr>
      </w:pPr>
      <w:r>
        <w:rPr>
          <w:rFonts w:hint="eastAsia" w:ascii="仿宋" w:hAnsi="仿宋" w:eastAsia="仿宋" w:cs="仿宋"/>
          <w:b/>
          <w:bCs/>
          <w:sz w:val="24"/>
          <w:highlight w:val="none"/>
        </w:rPr>
        <w:t>注：以上目录是基本格式要求，各投标人可根据自身情况进一步细化。</w:t>
      </w:r>
    </w:p>
    <w:p>
      <w:pPr>
        <w:pageBreakBefore/>
        <w:spacing w:line="800" w:lineRule="exact"/>
        <w:rPr>
          <w:rFonts w:ascii="仿宋" w:hAnsi="仿宋" w:eastAsia="仿宋" w:cs="仿宋"/>
          <w:b/>
          <w:sz w:val="30"/>
          <w:szCs w:val="30"/>
          <w:highlight w:val="none"/>
        </w:rPr>
      </w:pPr>
      <w:r>
        <w:rPr>
          <w:rFonts w:hint="eastAsia" w:ascii="仿宋" w:hAnsi="仿宋" w:eastAsia="仿宋" w:cs="仿宋"/>
          <w:b/>
          <w:sz w:val="30"/>
          <w:szCs w:val="30"/>
          <w:highlight w:val="none"/>
        </w:rPr>
        <w:t xml:space="preserve">1、法定代表人授权委托书（格式） (个体工商户不需要提供，投标文件中提供情况说明) </w:t>
      </w:r>
    </w:p>
    <w:p>
      <w:pPr>
        <w:jc w:val="center"/>
        <w:rPr>
          <w:rFonts w:ascii="仿宋" w:hAnsi="仿宋" w:eastAsia="仿宋" w:cs="仿宋"/>
          <w:b/>
          <w:sz w:val="24"/>
          <w:highlight w:val="none"/>
        </w:rPr>
      </w:pPr>
    </w:p>
    <w:p>
      <w:pPr>
        <w:snapToGrid w:val="0"/>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本授权委托书声明：我</w:t>
      </w:r>
      <w:r>
        <w:rPr>
          <w:rFonts w:hint="eastAsia" w:ascii="仿宋" w:hAnsi="仿宋" w:eastAsia="仿宋" w:cs="仿宋"/>
          <w:sz w:val="24"/>
          <w:highlight w:val="none"/>
          <w:u w:val="single"/>
        </w:rPr>
        <w:t xml:space="preserve">         (填写姓名)</w:t>
      </w:r>
      <w:r>
        <w:rPr>
          <w:rFonts w:hint="eastAsia" w:ascii="仿宋" w:hAnsi="仿宋" w:eastAsia="仿宋" w:cs="仿宋"/>
          <w:sz w:val="24"/>
          <w:highlight w:val="none"/>
        </w:rPr>
        <w:t>系</w:t>
      </w:r>
      <w:r>
        <w:rPr>
          <w:rFonts w:hint="eastAsia" w:ascii="仿宋" w:hAnsi="仿宋" w:eastAsia="仿宋" w:cs="仿宋"/>
          <w:sz w:val="24"/>
          <w:highlight w:val="none"/>
          <w:u w:val="single"/>
        </w:rPr>
        <w:t xml:space="preserve">                   （填写投标人单位全称）</w:t>
      </w:r>
      <w:r>
        <w:rPr>
          <w:rFonts w:hint="eastAsia" w:ascii="仿宋" w:hAnsi="仿宋" w:eastAsia="仿宋" w:cs="仿宋"/>
          <w:sz w:val="24"/>
          <w:highlight w:val="none"/>
        </w:rPr>
        <w:t>的法定代表人，现授权委托</w:t>
      </w:r>
      <w:r>
        <w:rPr>
          <w:rFonts w:hint="eastAsia" w:ascii="仿宋" w:hAnsi="仿宋" w:eastAsia="仿宋" w:cs="仿宋"/>
          <w:sz w:val="24"/>
          <w:highlight w:val="none"/>
          <w:u w:val="single"/>
        </w:rPr>
        <w:t xml:space="preserve">                  （填写单位全称）</w:t>
      </w:r>
      <w:r>
        <w:rPr>
          <w:rFonts w:hint="eastAsia" w:ascii="仿宋" w:hAnsi="仿宋" w:eastAsia="仿宋" w:cs="仿宋"/>
          <w:sz w:val="24"/>
          <w:highlight w:val="none"/>
        </w:rPr>
        <w:t>的（填写姓名）为我公司授权代表，</w:t>
      </w:r>
      <w:r>
        <w:rPr>
          <w:rFonts w:hint="eastAsia" w:ascii="仿宋" w:hAnsi="仿宋" w:eastAsia="仿宋" w:cs="仿宋"/>
          <w:sz w:val="24"/>
          <w:highlight w:val="none"/>
          <w:u w:val="single"/>
        </w:rPr>
        <w:t>（填写身份证号码：                       ）</w:t>
      </w:r>
      <w:r>
        <w:rPr>
          <w:rFonts w:hint="eastAsia" w:ascii="仿宋" w:hAnsi="仿宋" w:eastAsia="仿宋" w:cs="仿宋"/>
          <w:sz w:val="24"/>
          <w:highlight w:val="none"/>
        </w:rPr>
        <w:t>。以本公司的名义参加</w:t>
      </w:r>
      <w:r>
        <w:rPr>
          <w:rFonts w:hint="eastAsia" w:ascii="仿宋" w:hAnsi="仿宋" w:eastAsia="仿宋" w:cs="仿宋"/>
          <w:sz w:val="24"/>
          <w:highlight w:val="none"/>
          <w:u w:val="single"/>
        </w:rPr>
        <w:t>绍兴市越城区综合行政执法局、浙江明业项目管理有限公司</w:t>
      </w:r>
      <w:r>
        <w:rPr>
          <w:rFonts w:hint="eastAsia" w:ascii="仿宋" w:hAnsi="仿宋" w:eastAsia="仿宋" w:cs="仿宋"/>
          <w:sz w:val="24"/>
          <w:highlight w:val="none"/>
        </w:rPr>
        <w:t>组织的</w:t>
      </w:r>
      <w:r>
        <w:rPr>
          <w:rFonts w:hint="eastAsia" w:ascii="仿宋" w:hAnsi="仿宋" w:eastAsia="仿宋" w:cs="仿宋"/>
          <w:sz w:val="24"/>
          <w:highlight w:val="none"/>
          <w:u w:val="single"/>
          <w:lang w:eastAsia="zh-CN"/>
        </w:rPr>
        <w:t>绍兴市越城区综合行政执法局信息指挥中心项目（第二次）</w:t>
      </w:r>
      <w:r>
        <w:rPr>
          <w:rFonts w:hint="eastAsia" w:ascii="仿宋" w:hAnsi="仿宋" w:eastAsia="仿宋" w:cs="仿宋"/>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sz w:val="24"/>
          <w:highlight w:val="none"/>
        </w:rPr>
      </w:pPr>
      <w:r>
        <w:rPr>
          <w:rFonts w:hint="eastAsia" w:ascii="仿宋" w:hAnsi="仿宋" w:eastAsia="仿宋" w:cs="仿宋"/>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授权代表无转委托权。特此委托。</w:t>
      </w:r>
    </w:p>
    <w:p>
      <w:pPr>
        <w:snapToGrid w:val="0"/>
        <w:spacing w:line="600" w:lineRule="exact"/>
        <w:jc w:val="left"/>
        <w:rPr>
          <w:rFonts w:ascii="仿宋" w:hAnsi="仿宋" w:eastAsia="仿宋" w:cs="仿宋"/>
          <w:sz w:val="24"/>
          <w:highlight w:val="none"/>
        </w:rPr>
      </w:pPr>
    </w:p>
    <w:p>
      <w:pPr>
        <w:spacing w:line="360" w:lineRule="exact"/>
        <w:rPr>
          <w:rFonts w:ascii="仿宋" w:hAnsi="仿宋" w:eastAsia="仿宋" w:cs="仿宋"/>
          <w:sz w:val="24"/>
          <w:highlight w:val="none"/>
        </w:rPr>
      </w:pPr>
      <w:r>
        <w:rPr>
          <w:rFonts w:hint="eastAsia" w:ascii="仿宋" w:hAnsi="仿宋" w:eastAsia="仿宋" w:cs="仿宋"/>
          <w:sz w:val="24"/>
          <w:highlight w:val="none"/>
        </w:rPr>
        <w:t>授权代表姓名：              性别：               年龄：</w:t>
      </w: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r>
        <w:rPr>
          <w:rFonts w:hint="eastAsia" w:ascii="仿宋" w:hAnsi="仿宋" w:eastAsia="仿宋" w:cs="仿宋"/>
          <w:sz w:val="24"/>
          <w:highlight w:val="none"/>
        </w:rPr>
        <w:t>单位：                      部门：               职务：</w:t>
      </w:r>
    </w:p>
    <w:p>
      <w:pPr>
        <w:spacing w:line="360" w:lineRule="exact"/>
        <w:rPr>
          <w:rFonts w:ascii="仿宋" w:hAnsi="仿宋" w:eastAsia="仿宋" w:cs="仿宋"/>
          <w:sz w:val="24"/>
          <w:highlight w:val="none"/>
        </w:rPr>
      </w:pPr>
    </w:p>
    <w:p>
      <w:pPr>
        <w:widowControl/>
        <w:snapToGrid w:val="0"/>
        <w:spacing w:line="440" w:lineRule="exact"/>
        <w:rPr>
          <w:rFonts w:ascii="仿宋" w:hAnsi="仿宋" w:eastAsia="仿宋" w:cs="仿宋"/>
          <w:sz w:val="24"/>
          <w:highlight w:val="none"/>
        </w:rPr>
      </w:pPr>
      <w:r>
        <w:rPr>
          <w:rFonts w:hint="eastAsia" w:ascii="仿宋" w:hAnsi="仿宋" w:eastAsia="仿宋" w:cs="仿宋"/>
          <w:kern w:val="0"/>
          <w:sz w:val="24"/>
          <w:highlight w:val="none"/>
        </w:rPr>
        <w:t>办公地址：                  联系电话：           传真：</w:t>
      </w: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r>
        <w:rPr>
          <w:rFonts w:hint="eastAsia" w:ascii="仿宋" w:hAnsi="仿宋" w:eastAsia="仿宋" w:cs="仿宋"/>
          <w:sz w:val="24"/>
          <w:highlight w:val="none"/>
        </w:rPr>
        <w:t>投标人名称(电子签章)：</w:t>
      </w: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r>
        <w:rPr>
          <w:rFonts w:hint="eastAsia" w:ascii="仿宋" w:hAnsi="仿宋" w:eastAsia="仿宋" w:cs="仿宋"/>
          <w:sz w:val="24"/>
          <w:highlight w:val="none"/>
        </w:rPr>
        <w:t>法定代表人（签字或盖章）：</w:t>
      </w:r>
    </w:p>
    <w:p>
      <w:pPr>
        <w:spacing w:line="360" w:lineRule="exact"/>
        <w:rPr>
          <w:rFonts w:ascii="仿宋" w:hAnsi="仿宋" w:eastAsia="仿宋" w:cs="仿宋"/>
          <w:sz w:val="24"/>
          <w:highlight w:val="none"/>
        </w:rPr>
      </w:pPr>
    </w:p>
    <w:p>
      <w:pPr>
        <w:spacing w:line="360" w:lineRule="exact"/>
        <w:rPr>
          <w:rFonts w:ascii="仿宋" w:hAnsi="仿宋" w:eastAsia="仿宋" w:cs="仿宋"/>
          <w:sz w:val="24"/>
          <w:highlight w:val="none"/>
        </w:rPr>
      </w:pPr>
    </w:p>
    <w:p>
      <w:pPr>
        <w:ind w:firstLine="5280" w:firstLineChars="2200"/>
        <w:jc w:val="right"/>
        <w:rPr>
          <w:rFonts w:ascii="仿宋" w:hAnsi="仿宋" w:eastAsia="仿宋" w:cs="仿宋"/>
          <w:sz w:val="24"/>
          <w:highlight w:val="none"/>
        </w:rPr>
      </w:pPr>
      <w:r>
        <w:rPr>
          <w:rFonts w:hint="eastAsia" w:ascii="仿宋" w:hAnsi="仿宋" w:eastAsia="仿宋" w:cs="仿宋"/>
          <w:sz w:val="24"/>
          <w:highlight w:val="none"/>
        </w:rPr>
        <w:t>日期： 年 月 日</w:t>
      </w:r>
    </w:p>
    <w:p>
      <w:pPr>
        <w:ind w:firstLine="4920" w:firstLineChars="2050"/>
        <w:jc w:val="left"/>
        <w:rPr>
          <w:rFonts w:ascii="仿宋" w:hAnsi="仿宋" w:eastAsia="仿宋" w:cs="仿宋"/>
          <w:sz w:val="24"/>
          <w:highlight w:val="none"/>
        </w:rPr>
      </w:pPr>
    </w:p>
    <w:p>
      <w:pPr>
        <w:pageBreakBefore/>
        <w:spacing w:line="800" w:lineRule="exact"/>
        <w:rPr>
          <w:rFonts w:ascii="仿宋" w:hAnsi="仿宋" w:eastAsia="仿宋" w:cs="仿宋"/>
          <w:b/>
          <w:sz w:val="30"/>
          <w:szCs w:val="30"/>
          <w:highlight w:val="none"/>
        </w:rPr>
      </w:pPr>
      <w:r>
        <w:rPr>
          <w:rFonts w:hint="eastAsia" w:ascii="仿宋" w:hAnsi="仿宋" w:eastAsia="仿宋" w:cs="仿宋"/>
          <w:b/>
          <w:sz w:val="30"/>
          <w:szCs w:val="30"/>
          <w:highlight w:val="none"/>
        </w:rPr>
        <w:t>2、授权代表社保证明（复印件）(个体工商户不需要提供，投标文件中提供情况说明)</w:t>
      </w:r>
    </w:p>
    <w:p>
      <w:pPr>
        <w:spacing w:line="800" w:lineRule="exact"/>
        <w:ind w:firstLine="480" w:firstLineChars="200"/>
        <w:rPr>
          <w:rFonts w:ascii="仿宋" w:hAnsi="仿宋" w:eastAsia="仿宋" w:cs="仿宋"/>
          <w:sz w:val="24"/>
          <w:highlight w:val="none"/>
          <w:u w:val="wave"/>
        </w:rPr>
      </w:pPr>
      <w:r>
        <w:rPr>
          <w:rFonts w:hint="eastAsia" w:ascii="仿宋" w:hAnsi="仿宋" w:eastAsia="仿宋" w:cs="仿宋"/>
          <w:sz w:val="24"/>
          <w:highlight w:val="none"/>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w:t>
      </w:r>
      <w:r>
        <w:rPr>
          <w:rFonts w:hint="eastAsia" w:ascii="仿宋" w:hAnsi="仿宋" w:eastAsia="仿宋" w:cs="仿宋"/>
          <w:b/>
          <w:sz w:val="24"/>
          <w:highlight w:val="none"/>
        </w:rPr>
        <w:t>未提供上述证明的投标做无效投标处理。</w:t>
      </w:r>
    </w:p>
    <w:p>
      <w:pPr>
        <w:spacing w:line="800" w:lineRule="exact"/>
        <w:rPr>
          <w:rFonts w:ascii="仿宋" w:hAnsi="仿宋" w:eastAsia="仿宋" w:cs="仿宋"/>
          <w:b/>
          <w:sz w:val="24"/>
          <w:highlight w:val="none"/>
        </w:rPr>
      </w:pPr>
    </w:p>
    <w:p>
      <w:pPr>
        <w:spacing w:line="800" w:lineRule="exact"/>
        <w:rPr>
          <w:rFonts w:ascii="仿宋" w:hAnsi="仿宋" w:eastAsia="仿宋" w:cs="仿宋"/>
          <w:b/>
          <w:sz w:val="30"/>
          <w:szCs w:val="30"/>
          <w:highlight w:val="none"/>
        </w:rPr>
      </w:pPr>
      <w:r>
        <w:rPr>
          <w:rFonts w:hint="eastAsia" w:ascii="仿宋" w:hAnsi="仿宋" w:eastAsia="仿宋" w:cs="仿宋"/>
          <w:b/>
          <w:sz w:val="30"/>
          <w:szCs w:val="30"/>
          <w:highlight w:val="none"/>
        </w:rPr>
        <w:t>3、法定代表人及其授权代表身份证复印件（正反面）（个体工商户提供经营者本人身份证）</w:t>
      </w:r>
    </w:p>
    <w:p>
      <w:pPr>
        <w:spacing w:line="800" w:lineRule="exact"/>
        <w:rPr>
          <w:rFonts w:ascii="仿宋" w:hAnsi="仿宋" w:eastAsia="仿宋" w:cs="仿宋"/>
          <w:b/>
          <w:sz w:val="30"/>
          <w:szCs w:val="30"/>
          <w:highlight w:val="none"/>
        </w:rPr>
      </w:pPr>
    </w:p>
    <w:p>
      <w:pPr>
        <w:spacing w:line="800" w:lineRule="exact"/>
        <w:rPr>
          <w:rFonts w:ascii="仿宋" w:hAnsi="仿宋" w:eastAsia="仿宋" w:cs="仿宋"/>
          <w:b/>
          <w:sz w:val="30"/>
          <w:szCs w:val="30"/>
          <w:highlight w:val="none"/>
        </w:rPr>
      </w:pPr>
      <w:r>
        <w:rPr>
          <w:rFonts w:hint="eastAsia" w:ascii="仿宋" w:hAnsi="仿宋" w:eastAsia="仿宋" w:cs="仿宋"/>
          <w:b/>
          <w:sz w:val="30"/>
          <w:szCs w:val="30"/>
          <w:highlight w:val="none"/>
        </w:rPr>
        <w:t>4、法定代表人身份证明书(格式)</w:t>
      </w:r>
    </w:p>
    <w:p>
      <w:pPr>
        <w:spacing w:line="440" w:lineRule="exact"/>
        <w:rPr>
          <w:rFonts w:ascii="仿宋" w:hAnsi="仿宋" w:eastAsia="仿宋" w:cs="仿宋"/>
          <w:sz w:val="24"/>
          <w:highlight w:val="none"/>
        </w:rPr>
      </w:pPr>
      <w:r>
        <w:rPr>
          <w:rFonts w:hint="eastAsia" w:ascii="仿宋" w:hAnsi="仿宋" w:eastAsia="仿宋" w:cs="仿宋"/>
          <w:sz w:val="24"/>
          <w:highlight w:val="none"/>
        </w:rPr>
        <w:t>投 标 人：</w:t>
      </w:r>
    </w:p>
    <w:p>
      <w:pPr>
        <w:spacing w:line="440" w:lineRule="exact"/>
        <w:rPr>
          <w:rFonts w:ascii="仿宋" w:hAnsi="仿宋" w:eastAsia="仿宋" w:cs="仿宋"/>
          <w:sz w:val="24"/>
          <w:highlight w:val="none"/>
        </w:rPr>
      </w:pPr>
      <w:r>
        <w:rPr>
          <w:rFonts w:hint="eastAsia" w:ascii="仿宋" w:hAnsi="仿宋" w:eastAsia="仿宋" w:cs="仿宋"/>
          <w:sz w:val="24"/>
          <w:highlight w:val="none"/>
        </w:rPr>
        <w:t>地    址：</w:t>
      </w:r>
    </w:p>
    <w:p>
      <w:pPr>
        <w:spacing w:line="440" w:lineRule="exact"/>
        <w:ind w:right="281" w:rightChars="134"/>
        <w:rPr>
          <w:rFonts w:ascii="仿宋" w:hAnsi="仿宋" w:eastAsia="仿宋" w:cs="仿宋"/>
          <w:sz w:val="24"/>
          <w:highlight w:val="none"/>
          <w:u w:val="single"/>
        </w:rPr>
      </w:pPr>
      <w:r>
        <w:rPr>
          <w:rFonts w:hint="eastAsia" w:ascii="仿宋" w:hAnsi="仿宋" w:eastAsia="仿宋" w:cs="仿宋"/>
          <w:sz w:val="24"/>
          <w:highlight w:val="none"/>
        </w:rPr>
        <w:t>姓    名：</w:t>
      </w:r>
    </w:p>
    <w:p>
      <w:pPr>
        <w:spacing w:line="440" w:lineRule="exact"/>
        <w:ind w:right="281" w:rightChars="134"/>
        <w:rPr>
          <w:rFonts w:ascii="仿宋" w:hAnsi="仿宋" w:eastAsia="仿宋" w:cs="仿宋"/>
          <w:sz w:val="24"/>
          <w:highlight w:val="none"/>
          <w:u w:val="single"/>
        </w:rPr>
      </w:pPr>
      <w:r>
        <w:rPr>
          <w:rFonts w:hint="eastAsia" w:ascii="仿宋" w:hAnsi="仿宋" w:eastAsia="仿宋" w:cs="仿宋"/>
          <w:sz w:val="24"/>
          <w:highlight w:val="none"/>
        </w:rPr>
        <w:t>身份证号码：</w:t>
      </w:r>
    </w:p>
    <w:p>
      <w:pPr>
        <w:spacing w:line="440" w:lineRule="exact"/>
        <w:ind w:right="281" w:rightChars="134"/>
        <w:rPr>
          <w:rFonts w:ascii="仿宋" w:hAnsi="仿宋" w:eastAsia="仿宋" w:cs="仿宋"/>
          <w:sz w:val="24"/>
          <w:highlight w:val="none"/>
        </w:rPr>
      </w:pPr>
      <w:r>
        <w:rPr>
          <w:rFonts w:hint="eastAsia" w:ascii="仿宋" w:hAnsi="仿宋" w:eastAsia="仿宋" w:cs="仿宋"/>
          <w:sz w:val="24"/>
          <w:highlight w:val="none"/>
        </w:rPr>
        <w:t>职   务：</w:t>
      </w:r>
    </w:p>
    <w:p>
      <w:pPr>
        <w:spacing w:line="440" w:lineRule="exact"/>
        <w:rPr>
          <w:rFonts w:ascii="仿宋" w:hAnsi="仿宋" w:eastAsia="仿宋" w:cs="仿宋"/>
          <w:sz w:val="24"/>
          <w:highlight w:val="none"/>
        </w:rPr>
      </w:pPr>
      <w:r>
        <w:rPr>
          <w:rFonts w:hint="eastAsia" w:ascii="仿宋" w:hAnsi="仿宋" w:eastAsia="仿宋" w:cs="仿宋"/>
          <w:sz w:val="24"/>
          <w:highlight w:val="none"/>
        </w:rPr>
        <w:t>系</w:t>
      </w:r>
      <w:r>
        <w:rPr>
          <w:rFonts w:hint="eastAsia" w:ascii="仿宋" w:hAnsi="仿宋" w:eastAsia="仿宋" w:cs="仿宋"/>
          <w:sz w:val="24"/>
          <w:highlight w:val="none"/>
          <w:u w:val="single"/>
        </w:rPr>
        <w:t xml:space="preserve">                           （填写投标人名称）</w:t>
      </w:r>
      <w:r>
        <w:rPr>
          <w:rFonts w:hint="eastAsia" w:ascii="仿宋" w:hAnsi="仿宋" w:eastAsia="仿宋" w:cs="仿宋"/>
          <w:sz w:val="24"/>
          <w:highlight w:val="none"/>
        </w:rPr>
        <w:t>的法定代表人。</w:t>
      </w:r>
    </w:p>
    <w:p>
      <w:pPr>
        <w:spacing w:line="440" w:lineRule="exact"/>
        <w:rPr>
          <w:rFonts w:ascii="仿宋" w:hAnsi="仿宋" w:eastAsia="仿宋" w:cs="仿宋"/>
          <w:sz w:val="24"/>
          <w:highlight w:val="none"/>
        </w:rPr>
      </w:pPr>
      <w:r>
        <w:rPr>
          <w:rFonts w:hint="eastAsia" w:ascii="仿宋" w:hAnsi="仿宋" w:eastAsia="仿宋" w:cs="仿宋"/>
          <w:sz w:val="24"/>
          <w:highlight w:val="none"/>
        </w:rPr>
        <w:t>特此证明。</w:t>
      </w:r>
    </w:p>
    <w:p>
      <w:pPr>
        <w:spacing w:line="440" w:lineRule="exact"/>
        <w:rPr>
          <w:rFonts w:ascii="仿宋" w:hAnsi="仿宋" w:eastAsia="仿宋" w:cs="仿宋"/>
          <w:sz w:val="24"/>
          <w:highlight w:val="none"/>
        </w:rPr>
      </w:pPr>
    </w:p>
    <w:p>
      <w:pPr>
        <w:spacing w:line="440" w:lineRule="exact"/>
        <w:rPr>
          <w:rFonts w:ascii="仿宋" w:hAnsi="仿宋" w:eastAsia="仿宋" w:cs="仿宋"/>
          <w:sz w:val="24"/>
          <w:highlight w:val="none"/>
        </w:rPr>
      </w:pPr>
      <w:r>
        <w:rPr>
          <w:rFonts w:hint="eastAsia" w:ascii="仿宋" w:hAnsi="仿宋" w:eastAsia="仿宋" w:cs="仿宋"/>
          <w:sz w:val="24"/>
          <w:highlight w:val="none"/>
        </w:rPr>
        <w:t>投标人：                             (电子签章)</w:t>
      </w:r>
    </w:p>
    <w:p>
      <w:pPr>
        <w:spacing w:line="440" w:lineRule="exact"/>
        <w:ind w:right="480"/>
        <w:rPr>
          <w:rFonts w:ascii="仿宋" w:hAnsi="仿宋" w:eastAsia="仿宋" w:cs="仿宋"/>
          <w:sz w:val="24"/>
          <w:highlight w:val="none"/>
        </w:rPr>
      </w:pPr>
    </w:p>
    <w:p>
      <w:pPr>
        <w:spacing w:line="360" w:lineRule="auto"/>
        <w:jc w:val="right"/>
        <w:rPr>
          <w:rFonts w:ascii="仿宋" w:hAnsi="仿宋" w:eastAsia="仿宋" w:cs="仿宋"/>
          <w:b/>
          <w:sz w:val="30"/>
          <w:szCs w:val="30"/>
          <w:highlight w:val="none"/>
        </w:rPr>
      </w:pPr>
      <w:r>
        <w:rPr>
          <w:rFonts w:hint="eastAsia" w:ascii="仿宋" w:hAnsi="仿宋" w:eastAsia="仿宋" w:cs="仿宋"/>
          <w:sz w:val="24"/>
          <w:highlight w:val="none"/>
        </w:rPr>
        <w:t>日期： 年 月 日</w:t>
      </w:r>
    </w:p>
    <w:p>
      <w:pPr>
        <w:pageBreakBefore/>
        <w:spacing w:line="360" w:lineRule="auto"/>
        <w:rPr>
          <w:rFonts w:ascii="仿宋" w:hAnsi="仿宋" w:eastAsia="仿宋" w:cs="仿宋"/>
          <w:b/>
          <w:sz w:val="30"/>
          <w:szCs w:val="30"/>
          <w:highlight w:val="none"/>
        </w:rPr>
      </w:pPr>
      <w:r>
        <w:rPr>
          <w:rFonts w:hint="eastAsia" w:ascii="仿宋" w:hAnsi="仿宋" w:eastAsia="仿宋" w:cs="仿宋"/>
          <w:b/>
          <w:sz w:val="30"/>
          <w:szCs w:val="30"/>
          <w:highlight w:val="none"/>
        </w:rPr>
        <w:t>5</w:t>
      </w:r>
      <w:r>
        <w:rPr>
          <w:rFonts w:hint="eastAsia" w:ascii="仿宋" w:hAnsi="仿宋" w:eastAsia="仿宋" w:cs="仿宋"/>
          <w:b/>
          <w:kern w:val="0"/>
          <w:sz w:val="30"/>
          <w:szCs w:val="30"/>
          <w:highlight w:val="none"/>
          <w:lang w:val="zh-CN"/>
        </w:rPr>
        <w:t>、</w:t>
      </w:r>
      <w:r>
        <w:rPr>
          <w:rFonts w:hint="eastAsia" w:ascii="仿宋" w:hAnsi="仿宋" w:eastAsia="仿宋" w:cs="仿宋"/>
          <w:b/>
          <w:sz w:val="30"/>
          <w:szCs w:val="30"/>
          <w:highlight w:val="none"/>
        </w:rPr>
        <w:t>营业执照（复印件）</w:t>
      </w: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rPr>
          <w:rFonts w:ascii="仿宋" w:hAnsi="仿宋" w:eastAsia="仿宋" w:cs="仿宋"/>
          <w:b/>
          <w:sz w:val="30"/>
          <w:szCs w:val="30"/>
          <w:highlight w:val="none"/>
        </w:rPr>
      </w:pPr>
      <w:r>
        <w:rPr>
          <w:rFonts w:hint="eastAsia" w:ascii="仿宋" w:hAnsi="仿宋" w:eastAsia="仿宋" w:cs="仿宋"/>
          <w:b/>
          <w:sz w:val="30"/>
          <w:szCs w:val="30"/>
          <w:highlight w:val="none"/>
        </w:rPr>
        <w:t>6、财务报表资料文件（2021年度资产负债表等财务报表资料文件(新成立的公司及个体工商户不需要提供，投标文件中提供情况说明，格式自拟）</w:t>
      </w:r>
    </w:p>
    <w:p>
      <w:pPr>
        <w:snapToGrid w:val="0"/>
        <w:spacing w:line="360" w:lineRule="auto"/>
        <w:ind w:right="480"/>
        <w:jc w:val="center"/>
        <w:rPr>
          <w:rFonts w:ascii="仿宋" w:hAnsi="仿宋" w:eastAsia="仿宋" w:cs="仿宋"/>
          <w:b/>
          <w:kern w:val="0"/>
          <w:sz w:val="32"/>
          <w:szCs w:val="32"/>
          <w:highlight w:val="none"/>
          <w:lang w:val="zh-CN"/>
        </w:rPr>
      </w:pPr>
    </w:p>
    <w:p>
      <w:pPr>
        <w:snapToGrid w:val="0"/>
        <w:spacing w:line="360" w:lineRule="auto"/>
        <w:ind w:right="480"/>
        <w:jc w:val="center"/>
        <w:rPr>
          <w:rFonts w:ascii="仿宋" w:hAnsi="仿宋" w:eastAsia="仿宋" w:cs="仿宋"/>
          <w:b/>
          <w:kern w:val="0"/>
          <w:sz w:val="32"/>
          <w:szCs w:val="32"/>
          <w:highlight w:val="none"/>
          <w:lang w:val="zh-CN"/>
        </w:rPr>
      </w:pPr>
    </w:p>
    <w:p>
      <w:pPr>
        <w:snapToGrid w:val="0"/>
        <w:spacing w:line="360" w:lineRule="auto"/>
        <w:ind w:right="480"/>
        <w:jc w:val="center"/>
        <w:rPr>
          <w:rFonts w:ascii="仿宋" w:hAnsi="仿宋" w:eastAsia="仿宋" w:cs="仿宋"/>
          <w:b/>
          <w:kern w:val="0"/>
          <w:sz w:val="32"/>
          <w:szCs w:val="32"/>
          <w:highlight w:val="none"/>
          <w:lang w:val="zh-CN"/>
        </w:rPr>
      </w:pPr>
    </w:p>
    <w:p>
      <w:pPr>
        <w:snapToGrid w:val="0"/>
        <w:spacing w:line="360" w:lineRule="auto"/>
        <w:ind w:right="480"/>
        <w:jc w:val="center"/>
        <w:rPr>
          <w:rFonts w:ascii="仿宋" w:hAnsi="仿宋" w:eastAsia="仿宋" w:cs="仿宋"/>
          <w:b/>
          <w:kern w:val="0"/>
          <w:sz w:val="32"/>
          <w:szCs w:val="32"/>
          <w:highlight w:val="none"/>
          <w:lang w:val="zh-CN"/>
        </w:rPr>
      </w:pPr>
    </w:p>
    <w:p>
      <w:pPr>
        <w:snapToGrid w:val="0"/>
        <w:spacing w:line="360" w:lineRule="auto"/>
        <w:ind w:right="48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7、具有履行合同所必需的设备和专业技术能力的承诺函</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绍兴市越城区综合行政执法局、浙江明业项目管理有限公司</w:t>
      </w:r>
      <w:r>
        <w:rPr>
          <w:rFonts w:hint="eastAsia" w:ascii="仿宋" w:hAnsi="仿宋" w:eastAsia="仿宋" w:cs="仿宋"/>
          <w:kern w:val="0"/>
          <w:sz w:val="24"/>
          <w:highlight w:val="none"/>
          <w:lang w:val="zh-CN"/>
        </w:rPr>
        <w:t>：</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我方郑重承诺，我方具有履行</w:t>
      </w:r>
      <w:r>
        <w:rPr>
          <w:rFonts w:hint="eastAsia" w:ascii="仿宋" w:hAnsi="仿宋" w:eastAsia="仿宋" w:cs="仿宋"/>
          <w:sz w:val="24"/>
          <w:highlight w:val="none"/>
          <w:lang w:eastAsia="zh-CN"/>
        </w:rPr>
        <w:t>绍兴市越城区综合行政执法局信息指挥中心项目（第二次）</w:t>
      </w:r>
      <w:r>
        <w:rPr>
          <w:rFonts w:hint="eastAsia" w:ascii="仿宋" w:hAnsi="仿宋" w:eastAsia="仿宋" w:cs="仿宋"/>
          <w:sz w:val="24"/>
          <w:highlight w:val="none"/>
        </w:rPr>
        <w:t>（招标编号:        ）合同所必需的设备和专业技术能力。如中标，我方将保证合同顺利履行。</w:t>
      </w:r>
    </w:p>
    <w:p>
      <w:pPr>
        <w:snapToGrid w:val="0"/>
        <w:spacing w:line="360" w:lineRule="auto"/>
        <w:rPr>
          <w:rFonts w:ascii="仿宋" w:hAnsi="仿宋" w:eastAsia="仿宋" w:cs="仿宋"/>
          <w:kern w:val="0"/>
          <w:sz w:val="24"/>
          <w:highlight w:val="none"/>
          <w:lang w:val="zh-CN"/>
        </w:rPr>
      </w:pP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lang w:val="zh-CN"/>
        </w:rPr>
        <w:t>：</w:t>
      </w:r>
    </w:p>
    <w:p>
      <w:pPr>
        <w:snapToGrid w:val="0"/>
        <w:spacing w:line="360" w:lineRule="auto"/>
        <w:jc w:val="right"/>
        <w:rPr>
          <w:rFonts w:ascii="仿宋" w:hAnsi="仿宋" w:eastAsia="仿宋" w:cs="仿宋"/>
          <w:kern w:val="0"/>
          <w:sz w:val="24"/>
          <w:highlight w:val="none"/>
          <w:lang w:val="zh-CN"/>
        </w:rPr>
      </w:pPr>
      <w:r>
        <w:rPr>
          <w:rFonts w:hint="eastAsia" w:ascii="仿宋" w:hAnsi="仿宋" w:eastAsia="仿宋" w:cs="仿宋"/>
          <w:sz w:val="24"/>
          <w:highlight w:val="none"/>
        </w:rPr>
        <w:t>日期： 年 月 日</w:t>
      </w:r>
    </w:p>
    <w:p>
      <w:pPr>
        <w:spacing w:line="360" w:lineRule="auto"/>
        <w:jc w:val="center"/>
        <w:rPr>
          <w:rFonts w:ascii="仿宋" w:hAnsi="仿宋" w:eastAsia="仿宋" w:cs="仿宋"/>
          <w:b/>
          <w:kern w:val="0"/>
          <w:sz w:val="32"/>
          <w:szCs w:val="32"/>
          <w:highlight w:val="none"/>
        </w:rPr>
      </w:pPr>
    </w:p>
    <w:p>
      <w:pPr>
        <w:pageBreakBefore/>
        <w:spacing w:line="360" w:lineRule="auto"/>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8、重大违法记录的声明</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绍兴市越城区综合行政执法局、浙江明业项目管理有限公司</w:t>
      </w:r>
      <w:r>
        <w:rPr>
          <w:rFonts w:hint="eastAsia" w:ascii="仿宋" w:hAnsi="仿宋" w:eastAsia="仿宋" w:cs="仿宋"/>
          <w:kern w:val="0"/>
          <w:sz w:val="24"/>
          <w:highlight w:val="none"/>
          <w:lang w:val="zh-CN"/>
        </w:rPr>
        <w:t>：</w:t>
      </w:r>
    </w:p>
    <w:p>
      <w:pPr>
        <w:spacing w:line="360" w:lineRule="auto"/>
        <w:ind w:firstLine="480" w:firstLineChars="200"/>
        <w:rPr>
          <w:rFonts w:ascii="仿宋" w:hAnsi="仿宋" w:eastAsia="仿宋" w:cs="仿宋"/>
          <w:sz w:val="24"/>
          <w:szCs w:val="20"/>
          <w:highlight w:val="none"/>
        </w:rPr>
      </w:pPr>
      <w:r>
        <w:rPr>
          <w:rFonts w:hint="eastAsia" w:ascii="仿宋" w:hAnsi="仿宋" w:eastAsia="仿宋" w:cs="仿宋"/>
          <w:kern w:val="0"/>
          <w:sz w:val="24"/>
          <w:highlight w:val="none"/>
          <w:lang w:val="zh-CN"/>
        </w:rPr>
        <w:t>我公司</w:t>
      </w:r>
      <w:r>
        <w:rPr>
          <w:rFonts w:hint="eastAsia" w:ascii="仿宋" w:hAnsi="仿宋" w:eastAsia="仿宋" w:cs="仿宋"/>
          <w:sz w:val="24"/>
          <w:highlight w:val="none"/>
        </w:rPr>
        <w:t>声明参加本次政府采购活动前三年内，在</w:t>
      </w:r>
      <w:r>
        <w:rPr>
          <w:rFonts w:hint="eastAsia" w:ascii="仿宋" w:hAnsi="仿宋" w:eastAsia="仿宋" w:cs="仿宋"/>
          <w:kern w:val="0"/>
          <w:sz w:val="24"/>
          <w:highlight w:val="none"/>
        </w:rPr>
        <w:t>经营活动中</w:t>
      </w:r>
      <w:r>
        <w:rPr>
          <w:rFonts w:hint="eastAsia" w:ascii="仿宋" w:hAnsi="仿宋" w:eastAsia="仿宋" w:cs="仿宋"/>
          <w:sz w:val="24"/>
          <w:highlight w:val="none"/>
        </w:rPr>
        <w:t>没有重大违法记录；也</w:t>
      </w:r>
      <w:r>
        <w:rPr>
          <w:rFonts w:hint="eastAsia" w:ascii="仿宋" w:hAnsi="仿宋" w:eastAsia="仿宋" w:cs="仿宋"/>
          <w:sz w:val="24"/>
          <w:szCs w:val="20"/>
          <w:highlight w:val="none"/>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rPr>
          <w:rFonts w:ascii="仿宋" w:hAnsi="仿宋" w:eastAsia="仿宋" w:cs="仿宋"/>
          <w:kern w:val="0"/>
          <w:sz w:val="24"/>
          <w:highlight w:val="none"/>
          <w:lang w:val="zh-CN"/>
        </w:rPr>
      </w:pP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lang w:val="zh-CN"/>
        </w:rPr>
        <w:t>)：</w:t>
      </w:r>
    </w:p>
    <w:p>
      <w:pPr>
        <w:snapToGrid w:val="0"/>
        <w:spacing w:line="360" w:lineRule="auto"/>
        <w:ind w:firstLine="5160" w:firstLineChars="2150"/>
        <w:jc w:val="right"/>
        <w:rPr>
          <w:rFonts w:ascii="仿宋" w:hAnsi="仿宋" w:eastAsia="仿宋" w:cs="仿宋"/>
          <w:kern w:val="0"/>
          <w:sz w:val="24"/>
          <w:highlight w:val="none"/>
          <w:lang w:val="zh-CN"/>
        </w:rPr>
      </w:pPr>
      <w:r>
        <w:rPr>
          <w:rFonts w:hint="eastAsia" w:ascii="仿宋" w:hAnsi="仿宋" w:eastAsia="仿宋" w:cs="仿宋"/>
          <w:sz w:val="24"/>
          <w:highlight w:val="none"/>
        </w:rPr>
        <w:t>日期： 年 月 日</w:t>
      </w: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jc w:val="center"/>
        <w:rPr>
          <w:rFonts w:ascii="仿宋" w:hAnsi="仿宋" w:eastAsia="仿宋" w:cs="仿宋"/>
          <w:b/>
          <w:sz w:val="30"/>
          <w:szCs w:val="30"/>
          <w:highlight w:val="none"/>
        </w:rPr>
      </w:pPr>
    </w:p>
    <w:p>
      <w:pPr>
        <w:spacing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9、特定资格条件要求的资质文件（复印件）</w:t>
      </w:r>
    </w:p>
    <w:p>
      <w:pPr>
        <w:widowControl/>
        <w:spacing w:line="360" w:lineRule="auto"/>
        <w:ind w:firstLine="480" w:firstLineChars="200"/>
        <w:jc w:val="left"/>
        <w:rPr>
          <w:rFonts w:ascii="仿宋" w:hAnsi="仿宋" w:eastAsia="仿宋" w:cs="仿宋"/>
          <w:b/>
          <w:bCs/>
          <w:sz w:val="32"/>
          <w:szCs w:val="32"/>
          <w:highlight w:val="none"/>
        </w:rPr>
      </w:pPr>
      <w:r>
        <w:rPr>
          <w:rFonts w:hint="eastAsia" w:ascii="仿宋" w:hAnsi="仿宋" w:eastAsia="仿宋" w:cs="仿宋"/>
          <w:sz w:val="24"/>
          <w:highlight w:val="none"/>
        </w:rPr>
        <w:t>（由投标人根据招标公告合格的投标人应具备的特定资格要求编制）</w:t>
      </w:r>
    </w:p>
    <w:p>
      <w:pPr>
        <w:spacing w:line="360" w:lineRule="auto"/>
        <w:rPr>
          <w:rFonts w:ascii="仿宋" w:hAnsi="仿宋" w:eastAsia="仿宋" w:cs="仿宋"/>
          <w:b/>
          <w:sz w:val="30"/>
          <w:szCs w:val="30"/>
          <w:highlight w:val="none"/>
        </w:rPr>
      </w:pPr>
    </w:p>
    <w:p>
      <w:pPr>
        <w:spacing w:line="360" w:lineRule="auto"/>
        <w:rPr>
          <w:rFonts w:ascii="仿宋" w:hAnsi="仿宋" w:eastAsia="仿宋" w:cs="仿宋"/>
          <w:b/>
          <w:sz w:val="30"/>
          <w:szCs w:val="30"/>
          <w:highlight w:val="none"/>
        </w:rPr>
      </w:pPr>
    </w:p>
    <w:p>
      <w:pPr>
        <w:spacing w:line="360" w:lineRule="auto"/>
        <w:rPr>
          <w:rFonts w:ascii="仿宋" w:hAnsi="仿宋" w:eastAsia="仿宋" w:cs="仿宋"/>
          <w:b/>
          <w:sz w:val="30"/>
          <w:szCs w:val="30"/>
          <w:highlight w:val="none"/>
        </w:rPr>
      </w:pPr>
    </w:p>
    <w:p>
      <w:pPr>
        <w:spacing w:line="360" w:lineRule="auto"/>
        <w:rPr>
          <w:rFonts w:ascii="仿宋" w:hAnsi="仿宋" w:eastAsia="仿宋" w:cs="仿宋"/>
          <w:b/>
          <w:sz w:val="30"/>
          <w:szCs w:val="30"/>
          <w:highlight w:val="none"/>
        </w:rPr>
      </w:pPr>
      <w:r>
        <w:rPr>
          <w:rFonts w:hint="eastAsia" w:ascii="仿宋" w:hAnsi="仿宋" w:eastAsia="仿宋" w:cs="仿宋"/>
          <w:b/>
          <w:sz w:val="30"/>
          <w:szCs w:val="30"/>
          <w:highlight w:val="none"/>
        </w:rPr>
        <w:t>10、非本地投标人售后服务机构证明材料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（由非本地投标人根据采购需求及招标文件要求编制）</w:t>
      </w: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pageBreakBefore/>
        <w:spacing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11、所有与符合性审查有关的资信文件（复印件）(个体工商户不需要提供，投标文件中提供情况说明，格式自拟）</w:t>
      </w:r>
    </w:p>
    <w:p>
      <w:pPr>
        <w:spacing w:line="360" w:lineRule="auto"/>
        <w:rPr>
          <w:rFonts w:ascii="仿宋" w:hAnsi="仿宋" w:eastAsia="仿宋" w:cs="仿宋"/>
          <w:b/>
          <w:bCs/>
          <w:sz w:val="32"/>
          <w:szCs w:val="32"/>
          <w:highlight w:val="none"/>
        </w:rPr>
      </w:pPr>
      <w:r>
        <w:rPr>
          <w:rFonts w:hint="eastAsia" w:ascii="仿宋" w:hAnsi="仿宋" w:eastAsia="仿宋" w:cs="仿宋"/>
          <w:b/>
          <w:sz w:val="24"/>
          <w:highlight w:val="none"/>
        </w:rPr>
        <w:t>（1. 提供依法缴纳税收和社会保障资金的良好记录证明，税收和社保证明打印时间不得早于投标截止时间前1个月；2.</w:t>
      </w:r>
      <w:r>
        <w:rPr>
          <w:rFonts w:hint="eastAsia" w:ascii="仿宋" w:hAnsi="仿宋" w:eastAsia="仿宋" w:cs="仿宋"/>
          <w:sz w:val="24"/>
          <w:highlight w:val="none"/>
        </w:rPr>
        <w:t>其他资料由投标人根据采购需求及招标文件要求编制。</w:t>
      </w:r>
      <w:r>
        <w:rPr>
          <w:rFonts w:hint="eastAsia" w:ascii="仿宋" w:hAnsi="仿宋" w:eastAsia="仿宋" w:cs="仿宋"/>
          <w:b/>
          <w:sz w:val="24"/>
          <w:highlight w:val="none"/>
        </w:rPr>
        <w:t>）</w:t>
      </w:r>
    </w:p>
    <w:p>
      <w:pPr>
        <w:spacing w:line="360" w:lineRule="auto"/>
        <w:rPr>
          <w:rFonts w:ascii="仿宋" w:hAnsi="仿宋" w:eastAsia="仿宋" w:cs="仿宋"/>
          <w:b/>
          <w:bCs/>
          <w:sz w:val="32"/>
          <w:szCs w:val="32"/>
          <w:highlight w:val="none"/>
        </w:rPr>
      </w:pPr>
    </w:p>
    <w:p>
      <w:pPr>
        <w:spacing w:line="360" w:lineRule="auto"/>
        <w:rPr>
          <w:rFonts w:ascii="仿宋" w:hAnsi="仿宋" w:eastAsia="仿宋" w:cs="仿宋"/>
          <w:b/>
          <w:bCs/>
          <w:sz w:val="32"/>
          <w:szCs w:val="32"/>
          <w:highlight w:val="none"/>
        </w:rPr>
      </w:pPr>
    </w:p>
    <w:p>
      <w:pPr>
        <w:spacing w:line="360" w:lineRule="auto"/>
        <w:rPr>
          <w:rFonts w:ascii="仿宋" w:hAnsi="仿宋" w:eastAsia="仿宋" w:cs="仿宋"/>
          <w:b/>
          <w:bCs/>
          <w:sz w:val="32"/>
          <w:szCs w:val="32"/>
          <w:highlight w:val="none"/>
        </w:rPr>
      </w:pPr>
    </w:p>
    <w:p>
      <w:pPr>
        <w:spacing w:line="360" w:lineRule="auto"/>
        <w:rPr>
          <w:rFonts w:ascii="仿宋" w:hAnsi="仿宋" w:eastAsia="仿宋" w:cs="仿宋"/>
          <w:b/>
          <w:bCs/>
          <w:sz w:val="32"/>
          <w:szCs w:val="32"/>
          <w:highlight w:val="none"/>
        </w:rPr>
      </w:pPr>
      <w:r>
        <w:rPr>
          <w:rFonts w:hint="eastAsia" w:ascii="仿宋" w:hAnsi="仿宋" w:eastAsia="仿宋" w:cs="仿宋"/>
          <w:b/>
          <w:bCs/>
          <w:sz w:val="32"/>
          <w:szCs w:val="32"/>
          <w:highlight w:val="none"/>
        </w:rPr>
        <w:t>12、</w:t>
      </w:r>
      <w:r>
        <w:rPr>
          <w:rFonts w:hint="eastAsia" w:ascii="仿宋" w:hAnsi="仿宋" w:eastAsia="仿宋" w:cs="仿宋"/>
          <w:b/>
          <w:kern w:val="0"/>
          <w:sz w:val="32"/>
          <w:szCs w:val="32"/>
          <w:highlight w:val="none"/>
          <w:lang w:val="zh-CN"/>
        </w:rPr>
        <w:t>主要业绩证明</w:t>
      </w:r>
    </w:p>
    <w:p>
      <w:pPr>
        <w:autoSpaceDE w:val="0"/>
        <w:autoSpaceDN w:val="0"/>
        <w:spacing w:line="360" w:lineRule="auto"/>
        <w:ind w:firstLine="120"/>
        <w:rPr>
          <w:rFonts w:ascii="仿宋" w:hAnsi="仿宋" w:eastAsia="仿宋" w:cs="仿宋"/>
          <w:b/>
          <w:sz w:val="24"/>
          <w:highlight w:val="none"/>
        </w:rPr>
      </w:pPr>
      <w:r>
        <w:rPr>
          <w:rFonts w:hint="eastAsia" w:ascii="仿宋" w:hAnsi="仿宋" w:eastAsia="仿宋" w:cs="仿宋"/>
          <w:b/>
          <w:sz w:val="24"/>
          <w:highlight w:val="none"/>
        </w:rPr>
        <w:t>附表 :相关项目建设业绩一览表</w:t>
      </w:r>
    </w:p>
    <w:tbl>
      <w:tblPr>
        <w:tblStyle w:val="3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w:t>
            </w:r>
          </w:p>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w:t>
            </w:r>
          </w:p>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金额</w:t>
            </w:r>
          </w:p>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highlight w:val="none"/>
              </w:rPr>
            </w:pPr>
          </w:p>
        </w:tc>
      </w:tr>
    </w:tbl>
    <w:p>
      <w:pPr>
        <w:autoSpaceDE w:val="0"/>
        <w:autoSpaceDN w:val="0"/>
        <w:spacing w:line="360" w:lineRule="auto"/>
        <w:rPr>
          <w:rFonts w:ascii="仿宋" w:hAnsi="仿宋" w:eastAsia="仿宋" w:cs="仿宋"/>
          <w:sz w:val="24"/>
          <w:highlight w:val="none"/>
        </w:rPr>
      </w:pPr>
      <w:r>
        <w:rPr>
          <w:rFonts w:hint="eastAsia" w:ascii="仿宋" w:hAnsi="仿宋" w:eastAsia="仿宋" w:cs="仿宋"/>
          <w:b/>
          <w:sz w:val="24"/>
          <w:highlight w:val="none"/>
        </w:rPr>
        <w:t>注：投标人可按上述的格式自行编制，须随表提交相应的合同复印件和中标通知书复印件加盖单位公章，并注明页码。</w:t>
      </w:r>
    </w:p>
    <w:p>
      <w:pPr>
        <w:autoSpaceDE w:val="0"/>
        <w:autoSpaceDN w:val="0"/>
        <w:spacing w:line="360" w:lineRule="auto"/>
        <w:ind w:firstLine="4560" w:firstLineChars="1900"/>
        <w:rPr>
          <w:rFonts w:ascii="仿宋" w:hAnsi="仿宋" w:eastAsia="仿宋" w:cs="仿宋"/>
          <w:kern w:val="0"/>
          <w:sz w:val="24"/>
          <w:highlight w:val="none"/>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rPr>
        <w:t xml:space="preserve">：                       </w:t>
      </w:r>
    </w:p>
    <w:p>
      <w:pPr>
        <w:autoSpaceDE w:val="0"/>
        <w:autoSpaceDN w:val="0"/>
        <w:spacing w:line="360" w:lineRule="auto"/>
        <w:rPr>
          <w:rFonts w:ascii="仿宋" w:hAnsi="仿宋" w:eastAsia="仿宋" w:cs="仿宋"/>
          <w:kern w:val="0"/>
          <w:sz w:val="24"/>
          <w:highlight w:val="none"/>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rPr>
        <w:t xml:space="preserve">）：                   </w:t>
      </w:r>
    </w:p>
    <w:p>
      <w:pPr>
        <w:snapToGrid w:val="0"/>
        <w:spacing w:line="360" w:lineRule="auto"/>
        <w:ind w:firstLine="5160" w:firstLineChars="2150"/>
        <w:jc w:val="right"/>
        <w:rPr>
          <w:rFonts w:ascii="仿宋" w:hAnsi="仿宋" w:eastAsia="仿宋" w:cs="仿宋"/>
          <w:kern w:val="0"/>
          <w:sz w:val="24"/>
          <w:highlight w:val="none"/>
          <w:lang w:val="zh-CN"/>
        </w:rPr>
      </w:pPr>
      <w:r>
        <w:rPr>
          <w:rFonts w:hint="eastAsia" w:ascii="仿宋" w:hAnsi="仿宋" w:eastAsia="仿宋" w:cs="仿宋"/>
          <w:sz w:val="24"/>
          <w:highlight w:val="none"/>
        </w:rPr>
        <w:t>日期： 年 月 日</w:t>
      </w:r>
    </w:p>
    <w:p>
      <w:pPr>
        <w:spacing w:line="360" w:lineRule="auto"/>
        <w:rPr>
          <w:rFonts w:ascii="仿宋" w:hAnsi="仿宋" w:eastAsia="仿宋" w:cs="仿宋"/>
          <w:kern w:val="0"/>
          <w:sz w:val="24"/>
          <w:highlight w:val="none"/>
        </w:rPr>
      </w:pPr>
    </w:p>
    <w:p>
      <w:pPr>
        <w:pStyle w:val="87"/>
        <w:ind w:firstLine="0"/>
        <w:jc w:val="both"/>
        <w:rPr>
          <w:rFonts w:ascii="仿宋" w:eastAsia="仿宋" w:cs="仿宋"/>
          <w:highlight w:val="none"/>
        </w:rPr>
      </w:pPr>
    </w:p>
    <w:p>
      <w:pPr>
        <w:pStyle w:val="87"/>
        <w:pageBreakBefore/>
        <w:ind w:firstLine="0"/>
        <w:jc w:val="both"/>
        <w:rPr>
          <w:rFonts w:ascii="仿宋" w:eastAsia="仿宋" w:cs="仿宋"/>
          <w:highlight w:val="none"/>
        </w:rPr>
      </w:pPr>
      <w:r>
        <w:rPr>
          <w:rFonts w:hint="eastAsia" w:ascii="仿宋" w:eastAsia="仿宋" w:cs="仿宋"/>
          <w:highlight w:val="none"/>
        </w:rPr>
        <w:t>13、廉政承诺书</w:t>
      </w:r>
    </w:p>
    <w:p>
      <w:pPr>
        <w:autoSpaceDE w:val="0"/>
        <w:autoSpaceDN w:val="0"/>
        <w:spacing w:line="360" w:lineRule="auto"/>
        <w:ind w:left="2"/>
        <w:jc w:val="left"/>
        <w:rPr>
          <w:rFonts w:ascii="仿宋" w:hAnsi="仿宋" w:eastAsia="仿宋" w:cs="仿宋"/>
          <w:kern w:val="0"/>
          <w:sz w:val="24"/>
          <w:highlight w:val="none"/>
          <w:lang w:val="zh-CN"/>
        </w:rPr>
      </w:pPr>
      <w:r>
        <w:rPr>
          <w:rFonts w:hint="eastAsia" w:ascii="仿宋" w:hAnsi="仿宋" w:eastAsia="仿宋" w:cs="仿宋"/>
          <w:sz w:val="24"/>
          <w:highlight w:val="none"/>
        </w:rPr>
        <w:t>绍兴市越城区综合行政执法局</w:t>
      </w:r>
      <w:r>
        <w:rPr>
          <w:rFonts w:hint="eastAsia" w:ascii="仿宋" w:hAnsi="仿宋" w:eastAsia="仿宋" w:cs="仿宋"/>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四、不为项目有关人员及部门出国（境）、旅游等提供方便；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六、严格遵守政府采购法等法律，诚实守信，合法经营，坚决抵制各种违法违纪行为。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right="112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lang w:val="zh-CN"/>
        </w:rPr>
        <w:t xml:space="preserve">：                </w:t>
      </w:r>
    </w:p>
    <w:p>
      <w:pPr>
        <w:spacing w:line="360" w:lineRule="auto"/>
        <w:ind w:left="5040" w:hanging="5040" w:hangingChars="2100"/>
        <w:jc w:val="left"/>
        <w:rPr>
          <w:rFonts w:ascii="仿宋" w:hAnsi="仿宋" w:eastAsia="仿宋" w:cs="仿宋"/>
          <w:kern w:val="0"/>
          <w:sz w:val="24"/>
          <w:highlight w:val="none"/>
          <w:lang w:val="zh-CN"/>
        </w:rPr>
      </w:pPr>
    </w:p>
    <w:p>
      <w:pPr>
        <w:spacing w:line="360" w:lineRule="auto"/>
        <w:ind w:left="5040" w:hanging="5040" w:hangingChars="21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lang w:val="zh-CN"/>
        </w:rPr>
        <w:t>）：</w:t>
      </w:r>
    </w:p>
    <w:p>
      <w:pPr>
        <w:spacing w:line="360" w:lineRule="auto"/>
        <w:ind w:left="5040" w:hanging="5040" w:hangingChars="2100"/>
        <w:jc w:val="right"/>
        <w:rPr>
          <w:rFonts w:ascii="仿宋" w:hAnsi="仿宋" w:eastAsia="仿宋" w:cs="仿宋"/>
          <w:kern w:val="0"/>
          <w:sz w:val="24"/>
          <w:highlight w:val="none"/>
          <w:lang w:val="zh-CN"/>
        </w:rPr>
      </w:pPr>
      <w:r>
        <w:rPr>
          <w:rFonts w:hint="eastAsia" w:ascii="仿宋" w:hAnsi="仿宋" w:eastAsia="仿宋" w:cs="仿宋"/>
          <w:sz w:val="24"/>
          <w:highlight w:val="none"/>
        </w:rPr>
        <w:t>日期： 年 月 日</w:t>
      </w:r>
    </w:p>
    <w:p>
      <w:pPr>
        <w:spacing w:line="360" w:lineRule="auto"/>
        <w:jc w:val="center"/>
        <w:rPr>
          <w:rFonts w:ascii="仿宋" w:hAnsi="仿宋" w:eastAsia="仿宋" w:cs="仿宋"/>
          <w:b/>
          <w:bCs/>
          <w:sz w:val="32"/>
          <w:szCs w:val="32"/>
          <w:highlight w:val="none"/>
        </w:rPr>
      </w:pPr>
    </w:p>
    <w:p>
      <w:pPr>
        <w:spacing w:line="360" w:lineRule="auto"/>
        <w:jc w:val="center"/>
        <w:rPr>
          <w:rFonts w:ascii="仿宋" w:hAnsi="仿宋" w:eastAsia="仿宋" w:cs="仿宋"/>
          <w:b/>
          <w:bCs/>
          <w:sz w:val="32"/>
          <w:szCs w:val="32"/>
          <w:highlight w:val="none"/>
        </w:rPr>
      </w:pPr>
    </w:p>
    <w:p>
      <w:pPr>
        <w:spacing w:line="360" w:lineRule="auto"/>
        <w:jc w:val="center"/>
        <w:rPr>
          <w:rFonts w:ascii="仿宋" w:hAnsi="仿宋" w:eastAsia="仿宋" w:cs="仿宋"/>
          <w:b/>
          <w:bCs/>
          <w:sz w:val="32"/>
          <w:szCs w:val="32"/>
          <w:highlight w:val="none"/>
        </w:rPr>
      </w:pPr>
    </w:p>
    <w:p>
      <w:pPr>
        <w:pageBreakBefore/>
        <w:spacing w:line="360" w:lineRule="auto"/>
        <w:rPr>
          <w:rFonts w:ascii="仿宋" w:hAnsi="仿宋" w:eastAsia="仿宋" w:cs="仿宋"/>
          <w:b/>
          <w:bCs/>
          <w:sz w:val="32"/>
          <w:szCs w:val="32"/>
          <w:highlight w:val="none"/>
        </w:rPr>
      </w:pPr>
      <w:r>
        <w:rPr>
          <w:rFonts w:hint="eastAsia" w:ascii="仿宋" w:hAnsi="仿宋" w:eastAsia="仿宋" w:cs="仿宋"/>
          <w:b/>
          <w:bCs/>
          <w:sz w:val="32"/>
          <w:szCs w:val="32"/>
          <w:highlight w:val="none"/>
        </w:rPr>
        <w:t>14、技术解决方案</w:t>
      </w:r>
    </w:p>
    <w:p>
      <w:pPr>
        <w:spacing w:line="360" w:lineRule="auto"/>
        <w:rPr>
          <w:rFonts w:ascii="仿宋" w:hAnsi="仿宋" w:eastAsia="仿宋" w:cs="仿宋"/>
          <w:sz w:val="24"/>
          <w:highlight w:val="none"/>
        </w:rPr>
      </w:pPr>
      <w:r>
        <w:rPr>
          <w:rFonts w:hint="eastAsia" w:ascii="仿宋" w:hAnsi="仿宋" w:eastAsia="仿宋" w:cs="仿宋"/>
          <w:sz w:val="24"/>
          <w:highlight w:val="none"/>
        </w:rPr>
        <w:t>（由投标人根据采购需求及招标文件要求编制）</w:t>
      </w:r>
    </w:p>
    <w:p>
      <w:pPr>
        <w:spacing w:line="360" w:lineRule="auto"/>
        <w:jc w:val="center"/>
        <w:rPr>
          <w:rFonts w:ascii="仿宋" w:hAnsi="仿宋" w:eastAsia="仿宋" w:cs="仿宋"/>
          <w:sz w:val="24"/>
          <w:highlight w:val="none"/>
        </w:rPr>
      </w:pPr>
    </w:p>
    <w:p>
      <w:pPr>
        <w:autoSpaceDE w:val="0"/>
        <w:autoSpaceDN w:val="0"/>
        <w:spacing w:line="360" w:lineRule="auto"/>
        <w:jc w:val="left"/>
        <w:rPr>
          <w:rFonts w:ascii="仿宋" w:hAnsi="仿宋" w:eastAsia="仿宋" w:cs="仿宋"/>
          <w:b/>
          <w:kern w:val="0"/>
          <w:sz w:val="28"/>
          <w:szCs w:val="28"/>
          <w:highlight w:val="none"/>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rPr>
        <w:t>：</w:t>
      </w:r>
    </w:p>
    <w:p>
      <w:pPr>
        <w:autoSpaceDE w:val="0"/>
        <w:autoSpaceDN w:val="0"/>
        <w:spacing w:line="360" w:lineRule="auto"/>
        <w:rPr>
          <w:rFonts w:ascii="仿宋" w:hAnsi="仿宋" w:eastAsia="仿宋" w:cs="仿宋"/>
          <w:kern w:val="0"/>
          <w:sz w:val="24"/>
          <w:highlight w:val="none"/>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rPr>
        <w:t>）：</w:t>
      </w:r>
    </w:p>
    <w:p>
      <w:pPr>
        <w:spacing w:line="360" w:lineRule="auto"/>
        <w:jc w:val="right"/>
        <w:rPr>
          <w:rFonts w:ascii="仿宋" w:hAnsi="仿宋" w:eastAsia="仿宋" w:cs="仿宋"/>
          <w:b/>
          <w:bCs/>
          <w:kern w:val="0"/>
          <w:sz w:val="24"/>
          <w:highlight w:val="none"/>
          <w:lang w:val="zh-CN"/>
        </w:rPr>
      </w:pPr>
      <w:r>
        <w:rPr>
          <w:rFonts w:hint="eastAsia" w:ascii="仿宋" w:hAnsi="仿宋" w:eastAsia="仿宋" w:cs="仿宋"/>
          <w:sz w:val="24"/>
          <w:highlight w:val="none"/>
        </w:rPr>
        <w:t>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ab/>
      </w:r>
      <w:r>
        <w:rPr>
          <w:rFonts w:hint="eastAsia" w:ascii="仿宋" w:hAnsi="仿宋" w:eastAsia="仿宋" w:cs="仿宋"/>
          <w:b/>
          <w:bCs/>
          <w:kern w:val="0"/>
          <w:sz w:val="24"/>
          <w:highlight w:val="none"/>
          <w:lang w:val="zh-CN"/>
        </w:rPr>
        <w:tab/>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kern w:val="0"/>
          <w:sz w:val="24"/>
          <w:highlight w:val="none"/>
          <w:lang w:val="zh-CN"/>
        </w:rPr>
      </w:pPr>
    </w:p>
    <w:p>
      <w:pPr>
        <w:pageBreakBefore/>
        <w:spacing w:line="360" w:lineRule="auto"/>
        <w:rPr>
          <w:rFonts w:ascii="仿宋" w:hAnsi="仿宋" w:eastAsia="仿宋" w:cs="仿宋"/>
          <w:b/>
          <w:bCs/>
          <w:sz w:val="32"/>
          <w:szCs w:val="32"/>
          <w:highlight w:val="none"/>
        </w:rPr>
      </w:pPr>
      <w:r>
        <w:rPr>
          <w:rFonts w:hint="eastAsia" w:ascii="仿宋" w:hAnsi="仿宋" w:eastAsia="仿宋" w:cs="仿宋"/>
          <w:b/>
          <w:bCs/>
          <w:sz w:val="32"/>
          <w:szCs w:val="32"/>
          <w:highlight w:val="none"/>
        </w:rPr>
        <w:t>15、技术偏离说明表</w:t>
      </w:r>
    </w:p>
    <w:p>
      <w:pPr>
        <w:spacing w:line="360" w:lineRule="auto"/>
        <w:rPr>
          <w:rFonts w:ascii="仿宋" w:hAnsi="仿宋" w:eastAsia="仿宋" w:cs="仿宋"/>
          <w:b/>
          <w:bCs/>
          <w:sz w:val="32"/>
          <w:szCs w:val="32"/>
          <w:highlight w:val="none"/>
        </w:rPr>
      </w:pPr>
      <w:r>
        <w:rPr>
          <w:rFonts w:hint="eastAsia" w:ascii="仿宋" w:hAnsi="仿宋" w:eastAsia="仿宋" w:cs="仿宋"/>
          <w:sz w:val="24"/>
          <w:highlight w:val="none"/>
        </w:rPr>
        <w:t>（由投标人根据采购需求及招标文件要求编制）</w:t>
      </w:r>
    </w:p>
    <w:tbl>
      <w:tblPr>
        <w:tblStyle w:val="31"/>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招标文件技术要求</w:t>
            </w:r>
          </w:p>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请填写投标产品或服务技术指标对应详细描述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r>
              <w:rPr>
                <w:rFonts w:hint="eastAsia" w:ascii="仿宋" w:hAnsi="仿宋" w:eastAsia="仿宋" w:cs="仿宋"/>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r>
              <w:rPr>
                <w:rFonts w:hint="eastAsia" w:ascii="仿宋" w:hAnsi="仿宋" w:eastAsia="仿宋" w:cs="仿宋"/>
                <w:sz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r>
              <w:rPr>
                <w:rFonts w:hint="eastAsia" w:ascii="仿宋" w:hAnsi="仿宋" w:eastAsia="仿宋" w:cs="仿宋"/>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sz w:val="24"/>
                <w:highlight w:val="none"/>
              </w:rPr>
            </w:pPr>
          </w:p>
        </w:tc>
      </w:tr>
    </w:tbl>
    <w:p>
      <w:pPr>
        <w:tabs>
          <w:tab w:val="left" w:pos="570"/>
        </w:tabs>
        <w:spacing w:line="440" w:lineRule="exact"/>
        <w:jc w:val="left"/>
        <w:rPr>
          <w:rFonts w:ascii="仿宋" w:hAnsi="仿宋" w:eastAsia="仿宋" w:cs="仿宋"/>
          <w:sz w:val="24"/>
          <w:highlight w:val="none"/>
        </w:rPr>
      </w:pPr>
      <w:r>
        <w:rPr>
          <w:rFonts w:hint="eastAsia" w:ascii="仿宋" w:hAnsi="仿宋" w:eastAsia="仿宋" w:cs="仿宋"/>
          <w:sz w:val="24"/>
          <w:highlight w:val="none"/>
        </w:rPr>
        <w:t>注：1、此表须与</w:t>
      </w:r>
      <w:r>
        <w:rPr>
          <w:rFonts w:hint="eastAsia" w:ascii="仿宋" w:hAnsi="仿宋" w:eastAsia="仿宋" w:cs="仿宋"/>
          <w:kern w:val="0"/>
          <w:sz w:val="24"/>
          <w:highlight w:val="none"/>
        </w:rPr>
        <w:t>招标文件“</w:t>
      </w:r>
      <w:r>
        <w:rPr>
          <w:rFonts w:hint="eastAsia" w:ascii="仿宋" w:hAnsi="仿宋" w:eastAsia="仿宋" w:cs="仿宋"/>
          <w:sz w:val="24"/>
          <w:highlight w:val="none"/>
        </w:rPr>
        <w:t>招标项目说明及要求</w:t>
      </w:r>
      <w:r>
        <w:rPr>
          <w:rFonts w:hint="eastAsia" w:ascii="仿宋" w:hAnsi="仿宋" w:eastAsia="仿宋" w:cs="仿宋"/>
          <w:kern w:val="0"/>
          <w:sz w:val="24"/>
          <w:highlight w:val="none"/>
        </w:rPr>
        <w:t>”</w:t>
      </w:r>
      <w:r>
        <w:rPr>
          <w:rFonts w:hint="eastAsia" w:ascii="仿宋" w:hAnsi="仿宋" w:eastAsia="仿宋" w:cs="仿宋"/>
          <w:sz w:val="24"/>
          <w:highlight w:val="none"/>
        </w:rPr>
        <w:t>相应标项内的所有技术规格相比较且一一对应真实逐条填列。</w:t>
      </w:r>
    </w:p>
    <w:p>
      <w:pPr>
        <w:tabs>
          <w:tab w:val="left" w:pos="570"/>
        </w:tabs>
        <w:spacing w:line="440" w:lineRule="exact"/>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2、投标人递交的技术规格书中必须真实逐条列明，否则由投标人自行承担相关风险。</w:t>
      </w:r>
    </w:p>
    <w:p>
      <w:pPr>
        <w:autoSpaceDE w:val="0"/>
        <w:autoSpaceDN w:val="0"/>
        <w:spacing w:line="360" w:lineRule="auto"/>
        <w:ind w:firstLine="5040" w:firstLineChars="2100"/>
        <w:rPr>
          <w:rFonts w:ascii="仿宋" w:hAnsi="仿宋" w:eastAsia="仿宋" w:cs="仿宋"/>
          <w:kern w:val="0"/>
          <w:sz w:val="24"/>
          <w:highlight w:val="none"/>
          <w:lang w:val="zh-CN"/>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lang w:val="zh-CN"/>
        </w:rPr>
        <w:t xml:space="preserve">：      </w:t>
      </w:r>
    </w:p>
    <w:p>
      <w:pPr>
        <w:autoSpaceDE w:val="0"/>
        <w:autoSpaceDN w:val="0"/>
        <w:spacing w:line="360" w:lineRule="auto"/>
        <w:rPr>
          <w:rFonts w:ascii="仿宋" w:hAnsi="仿宋" w:eastAsia="仿宋" w:cs="仿宋"/>
          <w:kern w:val="0"/>
          <w:sz w:val="24"/>
          <w:highlight w:val="none"/>
          <w:lang w:val="zh-CN"/>
        </w:rPr>
      </w:pPr>
    </w:p>
    <w:p>
      <w:pPr>
        <w:autoSpaceDE w:val="0"/>
        <w:autoSpaceDN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lang w:val="zh-CN"/>
        </w:rPr>
        <w:t xml:space="preserve">）： </w:t>
      </w:r>
    </w:p>
    <w:p>
      <w:pPr>
        <w:spacing w:line="360" w:lineRule="auto"/>
        <w:jc w:val="right"/>
        <w:rPr>
          <w:rFonts w:ascii="仿宋" w:hAnsi="仿宋" w:eastAsia="仿宋" w:cs="仿宋"/>
          <w:b/>
          <w:sz w:val="24"/>
          <w:highlight w:val="none"/>
        </w:rPr>
      </w:pPr>
      <w:r>
        <w:rPr>
          <w:rFonts w:hint="eastAsia" w:ascii="仿宋" w:hAnsi="仿宋" w:eastAsia="仿宋" w:cs="仿宋"/>
          <w:sz w:val="24"/>
          <w:highlight w:val="none"/>
        </w:rPr>
        <w:t>日期： 年 月 日</w:t>
      </w: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kern w:val="0"/>
          <w:sz w:val="36"/>
          <w:szCs w:val="36"/>
          <w:highlight w:val="none"/>
          <w:lang w:val="zh-CN"/>
        </w:rPr>
      </w:pPr>
    </w:p>
    <w:p>
      <w:pPr>
        <w:pageBreakBefore/>
        <w:spacing w:line="360" w:lineRule="auto"/>
        <w:rPr>
          <w:rFonts w:ascii="仿宋" w:hAnsi="仿宋" w:eastAsia="仿宋" w:cs="仿宋"/>
          <w:b/>
          <w:kern w:val="0"/>
          <w:sz w:val="32"/>
          <w:szCs w:val="32"/>
          <w:highlight w:val="none"/>
          <w:lang w:val="zh-CN"/>
        </w:rPr>
      </w:pPr>
      <w:r>
        <w:rPr>
          <w:rFonts w:hint="eastAsia" w:ascii="仿宋" w:hAnsi="仿宋" w:eastAsia="仿宋" w:cs="仿宋"/>
          <w:b/>
          <w:bCs/>
          <w:sz w:val="32"/>
          <w:szCs w:val="32"/>
          <w:highlight w:val="none"/>
        </w:rPr>
        <w:t>16、认为需要的</w:t>
      </w:r>
      <w:r>
        <w:rPr>
          <w:rFonts w:hint="eastAsia" w:ascii="仿宋" w:hAnsi="仿宋" w:eastAsia="仿宋" w:cs="仿宋"/>
          <w:b/>
          <w:kern w:val="0"/>
          <w:sz w:val="32"/>
          <w:szCs w:val="32"/>
          <w:highlight w:val="none"/>
          <w:lang w:val="zh-CN"/>
        </w:rPr>
        <w:t>其他商务技术（资信）文件或说明</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（由投标人根据采购需求自行编制）</w:t>
      </w:r>
    </w:p>
    <w:p>
      <w:pPr>
        <w:spacing w:line="360" w:lineRule="auto"/>
        <w:rPr>
          <w:rFonts w:ascii="仿宋" w:hAnsi="仿宋" w:eastAsia="仿宋" w:cs="仿宋"/>
          <w:sz w:val="24"/>
          <w:highlight w:val="none"/>
        </w:rPr>
      </w:pPr>
    </w:p>
    <w:p>
      <w:pPr>
        <w:autoSpaceDE w:val="0"/>
        <w:autoSpaceDN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(电子签章)</w:t>
      </w:r>
      <w:r>
        <w:rPr>
          <w:rFonts w:hint="eastAsia" w:ascii="仿宋" w:hAnsi="仿宋" w:eastAsia="仿宋" w:cs="仿宋"/>
          <w:kern w:val="0"/>
          <w:sz w:val="24"/>
          <w:highlight w:val="none"/>
          <w:lang w:val="zh-CN"/>
        </w:rPr>
        <w:t xml:space="preserve">：      </w:t>
      </w:r>
    </w:p>
    <w:p>
      <w:pPr>
        <w:autoSpaceDE w:val="0"/>
        <w:autoSpaceDN w:val="0"/>
        <w:spacing w:line="360" w:lineRule="auto"/>
        <w:rPr>
          <w:rFonts w:ascii="仿宋" w:hAnsi="仿宋" w:eastAsia="仿宋" w:cs="仿宋"/>
          <w:kern w:val="0"/>
          <w:sz w:val="24"/>
          <w:highlight w:val="none"/>
          <w:lang w:val="zh-CN"/>
        </w:rPr>
      </w:pPr>
    </w:p>
    <w:p>
      <w:pPr>
        <w:autoSpaceDE w:val="0"/>
        <w:autoSpaceDN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法定代表人或其授权代表（</w:t>
      </w:r>
      <w:r>
        <w:rPr>
          <w:rFonts w:hint="eastAsia" w:ascii="仿宋" w:hAnsi="仿宋" w:eastAsia="仿宋" w:cs="仿宋"/>
          <w:sz w:val="24"/>
          <w:highlight w:val="none"/>
        </w:rPr>
        <w:t>签字或盖章</w:t>
      </w:r>
      <w:r>
        <w:rPr>
          <w:rFonts w:hint="eastAsia" w:ascii="仿宋" w:hAnsi="仿宋" w:eastAsia="仿宋" w:cs="仿宋"/>
          <w:kern w:val="0"/>
          <w:sz w:val="24"/>
          <w:highlight w:val="none"/>
          <w:lang w:val="zh-CN"/>
        </w:rPr>
        <w:t xml:space="preserve">）： </w:t>
      </w:r>
    </w:p>
    <w:p>
      <w:pPr>
        <w:spacing w:line="360" w:lineRule="auto"/>
        <w:jc w:val="right"/>
        <w:rPr>
          <w:rFonts w:ascii="仿宋" w:hAnsi="仿宋" w:eastAsia="仿宋" w:cs="仿宋"/>
          <w:kern w:val="0"/>
          <w:sz w:val="24"/>
          <w:highlight w:val="none"/>
          <w:lang w:val="zh-CN"/>
        </w:rPr>
      </w:pPr>
      <w:r>
        <w:rPr>
          <w:rFonts w:hint="eastAsia" w:ascii="仿宋" w:hAnsi="仿宋" w:eastAsia="仿宋" w:cs="仿宋"/>
          <w:sz w:val="24"/>
          <w:highlight w:val="none"/>
        </w:rPr>
        <w:t>日期： 年 月 日</w:t>
      </w:r>
    </w:p>
    <w:p>
      <w:pPr>
        <w:jc w:val="center"/>
        <w:rPr>
          <w:rFonts w:ascii="仿宋" w:hAnsi="仿宋" w:eastAsia="仿宋" w:cs="仿宋"/>
          <w:b/>
          <w:sz w:val="48"/>
          <w:szCs w:val="48"/>
          <w:highlight w:val="none"/>
        </w:rPr>
      </w:pPr>
    </w:p>
    <w:p>
      <w:pPr>
        <w:jc w:val="center"/>
        <w:rPr>
          <w:rFonts w:ascii="仿宋" w:hAnsi="仿宋" w:eastAsia="仿宋" w:cs="仿宋"/>
          <w:b/>
          <w:sz w:val="48"/>
          <w:szCs w:val="48"/>
          <w:highlight w:val="none"/>
        </w:rPr>
      </w:pPr>
    </w:p>
    <w:p>
      <w:pPr>
        <w:jc w:val="center"/>
        <w:rPr>
          <w:rFonts w:ascii="仿宋" w:hAnsi="仿宋" w:eastAsia="仿宋" w:cs="仿宋"/>
          <w:b/>
          <w:sz w:val="48"/>
          <w:szCs w:val="48"/>
          <w:highlight w:val="none"/>
        </w:rPr>
      </w:pPr>
    </w:p>
    <w:p>
      <w:pPr>
        <w:jc w:val="center"/>
        <w:rPr>
          <w:rFonts w:ascii="仿宋" w:hAnsi="仿宋" w:eastAsia="仿宋" w:cs="仿宋"/>
          <w:b/>
          <w:sz w:val="48"/>
          <w:szCs w:val="48"/>
          <w:highlight w:val="none"/>
        </w:rPr>
      </w:pPr>
    </w:p>
    <w:p>
      <w:pPr>
        <w:jc w:val="center"/>
        <w:rPr>
          <w:rFonts w:ascii="仿宋" w:hAnsi="仿宋" w:eastAsia="仿宋" w:cs="仿宋"/>
          <w:b/>
          <w:sz w:val="48"/>
          <w:szCs w:val="48"/>
          <w:highlight w:val="none"/>
        </w:rPr>
      </w:pPr>
    </w:p>
    <w:p>
      <w:pPr>
        <w:jc w:val="center"/>
        <w:rPr>
          <w:rFonts w:ascii="仿宋" w:hAnsi="仿宋" w:eastAsia="仿宋" w:cs="仿宋"/>
          <w:b/>
          <w:sz w:val="48"/>
          <w:szCs w:val="48"/>
          <w:highlight w:val="none"/>
        </w:rPr>
      </w:pPr>
    </w:p>
    <w:bookmarkEnd w:id="148"/>
    <w:p>
      <w:pPr>
        <w:pStyle w:val="44"/>
        <w:ind w:firstLine="0" w:firstLineChars="0"/>
        <w:rPr>
          <w:rFonts w:ascii="仿宋" w:hAnsi="仿宋" w:eastAsia="仿宋" w:cs="仿宋"/>
          <w:b/>
          <w:highlight w:val="none"/>
        </w:rPr>
      </w:pPr>
    </w:p>
    <w:sectPr>
      <w:headerReference r:id="rId7" w:type="first"/>
      <w:footerReference r:id="rId10" w:type="first"/>
      <w:headerReference r:id="rId6" w:type="default"/>
      <w:footerReference r:id="rId8" w:type="default"/>
      <w:footerReference r:id="rId9" w:type="even"/>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T Xihei">
    <w:altName w:val="宋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jc w:val="cente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38</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50</w:t>
                          </w:r>
                          <w:r>
                            <w:rPr>
                              <w:rFonts w:hint="eastAsia" w:ascii="仿宋_GB2312" w:eastAsia="仿宋_GB2312"/>
                            </w:rPr>
                            <w:fldChar w:fldCharType="end"/>
                          </w:r>
                          <w:r>
                            <w:rPr>
                              <w:rFonts w:hint="eastAsia" w:ascii="仿宋_GB2312" w:eastAsia="仿宋_GB2312"/>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1"/>
                      <w:jc w:val="cente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38</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50</w:t>
                    </w:r>
                    <w:r>
                      <w:rPr>
                        <w:rFonts w:hint="eastAsia" w:ascii="仿宋_GB2312" w:eastAsia="仿宋_GB2312"/>
                      </w:rPr>
                      <w:fldChar w:fldCharType="end"/>
                    </w:r>
                    <w:r>
                      <w:rPr>
                        <w:rFonts w:hint="eastAsia" w:ascii="仿宋_GB2312" w:eastAsia="仿宋_GB2312"/>
                      </w:rPr>
                      <w:t xml:space="preserve"> 页</w:t>
                    </w:r>
                  </w:p>
                </w:txbxContent>
              </v:textbox>
            </v:shape>
          </w:pict>
        </mc:Fallback>
      </mc:AlternateContent>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_GB2312" w:eastAsia="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Q6jy0QAAAAMBAAAPAAAAAAAAAAEAIAAAACIAAABkcnMvZG93bnJldi54&#10;bWxQSwECFAAUAAAACACHTuJA6SOADAECAAASBAAADgAAAAAAAAABACAAAAAgAQAAZHJzL2Uyb0Rv&#10;Yy54bWxQSwUGAAAAAAYABgBZAQAAkwUAAAAA&#10;">
              <v:fill on="f" focussize="0,0"/>
              <v:stroke on="f"/>
              <v:imagedata o:title=""/>
              <o:lock v:ext="edit" aspectratio="f"/>
              <v:textbox inset="0mm,0mm,0mm,0mm" style="mso-fit-shape-to-text:t;">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5"/>
        <w:rFonts w:cs="Arial"/>
        <w:sz w:val="18"/>
        <w:szCs w:val="21"/>
      </w:rPr>
    </w:pPr>
    <w:r>
      <w:rPr>
        <w:rStyle w:val="35"/>
        <w:rFonts w:cs="Arial"/>
        <w:sz w:val="18"/>
        <w:szCs w:val="21"/>
      </w:rPr>
      <w:fldChar w:fldCharType="begin"/>
    </w:r>
    <w:r>
      <w:rPr>
        <w:rStyle w:val="35"/>
        <w:rFonts w:cs="Arial"/>
        <w:sz w:val="18"/>
        <w:szCs w:val="21"/>
      </w:rPr>
      <w:instrText xml:space="preserve">PAGE  </w:instrText>
    </w:r>
    <w:r>
      <w:rPr>
        <w:rStyle w:val="35"/>
        <w:rFonts w:cs="Arial"/>
        <w:sz w:val="18"/>
        <w:szCs w:val="21"/>
      </w:rPr>
      <w:fldChar w:fldCharType="end"/>
    </w:r>
  </w:p>
  <w:p>
    <w:pPr>
      <w:pStyle w:val="2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_GB2312" w:eastAsia="Times New Roman"/>
      </w:rPr>
    </w:pPr>
    <w:r>
      <w:rPr>
        <w:rFonts w:ascii="??_GB2312" w:eastAsia="Times New Roman"/>
      </w:rPr>
      <w:t>第</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页共</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hint="eastAsia" w:eastAsia="宋体"/>
        <w:lang w:eastAsia="zh-CN"/>
      </w:rPr>
    </w:pPr>
    <w:r>
      <w:rPr>
        <w:rFonts w:hint="eastAsia"/>
      </w:rPr>
      <w:t xml:space="preserve">浙江明业项目管理有限公司招标文件                        </w:t>
    </w:r>
    <w:r>
      <w:t xml:space="preserve">      </w:t>
    </w:r>
    <w:r>
      <w:rPr>
        <w:rFonts w:hint="eastAsia"/>
      </w:rPr>
      <w:t xml:space="preserve">   招标编号:</w:t>
    </w:r>
    <w:r>
      <w:t xml:space="preserve"> </w:t>
    </w:r>
    <w:r>
      <w:rPr>
        <w:rFonts w:hint="eastAsia"/>
        <w:lang w:eastAsia="zh-CN"/>
      </w:rPr>
      <w:t>ZJMY2022-10-26-1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80" w:firstLineChars="100"/>
      <w:jc w:val="both"/>
      <w:rPr>
        <w:rFonts w:ascii="??_GB2312" w:eastAsia="Times New Roman"/>
        <w:b w:val="0"/>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99"/>
      <w:lvlText w:val="%1."/>
      <w:lvlJc w:val="left"/>
      <w:pPr>
        <w:tabs>
          <w:tab w:val="left" w:pos="1200"/>
        </w:tabs>
        <w:ind w:left="1200" w:leftChars="400" w:hanging="360" w:hangingChars="200"/>
      </w:pPr>
    </w:lvl>
  </w:abstractNum>
  <w:abstractNum w:abstractNumId="1">
    <w:nsid w:val="5A02C129"/>
    <w:multiLevelType w:val="singleLevel"/>
    <w:tmpl w:val="5A02C129"/>
    <w:lvl w:ilvl="0" w:tentative="0">
      <w:start w:val="1"/>
      <w:numFmt w:val="decimal"/>
      <w:pStyle w:val="9"/>
      <w:lvlText w:val="%1."/>
      <w:lvlJc w:val="left"/>
      <w:pPr>
        <w:tabs>
          <w:tab w:val="left" w:pos="780"/>
        </w:tabs>
        <w:ind w:left="780" w:hanging="360"/>
      </w:pPr>
      <w:rPr>
        <w:rFonts w:cs="Times New Roman"/>
      </w:rPr>
    </w:lvl>
  </w:abstractNum>
  <w:abstractNum w:abstractNumId="2">
    <w:nsid w:val="5A02C13F"/>
    <w:multiLevelType w:val="singleLevel"/>
    <w:tmpl w:val="5A02C13F"/>
    <w:lvl w:ilvl="0" w:tentative="0">
      <w:start w:val="1"/>
      <w:numFmt w:val="decimal"/>
      <w:pStyle w:val="11"/>
      <w:lvlText w:val="%1."/>
      <w:lvlJc w:val="left"/>
      <w:pPr>
        <w:tabs>
          <w:tab w:val="left" w:pos="360"/>
        </w:tabs>
        <w:ind w:left="360" w:hanging="360"/>
      </w:pPr>
      <w:rPr>
        <w:rFonts w:cs="Times New Roman"/>
      </w:rPr>
    </w:lvl>
  </w:abstractNum>
  <w:abstractNum w:abstractNumId="3">
    <w:nsid w:val="5A02C160"/>
    <w:multiLevelType w:val="singleLevel"/>
    <w:tmpl w:val="5A02C160"/>
    <w:lvl w:ilvl="0" w:tentative="0">
      <w:start w:val="1"/>
      <w:numFmt w:val="decimal"/>
      <w:pStyle w:val="15"/>
      <w:lvlText w:val="%1."/>
      <w:lvlJc w:val="left"/>
      <w:pPr>
        <w:tabs>
          <w:tab w:val="left" w:pos="1200"/>
        </w:tabs>
        <w:ind w:left="1200" w:hanging="360"/>
      </w:pPr>
      <w:rPr>
        <w:rFonts w:cs="Times New Roman"/>
      </w:rPr>
    </w:lvl>
  </w:abstractNum>
  <w:abstractNum w:abstractNumId="4">
    <w:nsid w:val="5CB017FC"/>
    <w:multiLevelType w:val="multilevel"/>
    <w:tmpl w:val="5CB017FC"/>
    <w:lvl w:ilvl="0" w:tentative="0">
      <w:start w:val="1"/>
      <w:numFmt w:val="decimal"/>
      <w:pStyle w:val="3"/>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7C650B4C"/>
    <w:multiLevelType w:val="multilevel"/>
    <w:tmpl w:val="7C650B4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ZjIyOWU1MjA2MDk4ZGRmNDRlYzc0Y2U3MTZjMjQifQ=="/>
  </w:docVars>
  <w:rsids>
    <w:rsidRoot w:val="00AD18FF"/>
    <w:rsid w:val="000040C1"/>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469C3"/>
    <w:rsid w:val="001559EF"/>
    <w:rsid w:val="001660FF"/>
    <w:rsid w:val="00171C91"/>
    <w:rsid w:val="0017463C"/>
    <w:rsid w:val="001814F1"/>
    <w:rsid w:val="0018495F"/>
    <w:rsid w:val="001971B7"/>
    <w:rsid w:val="001A09BD"/>
    <w:rsid w:val="001A1325"/>
    <w:rsid w:val="001A687C"/>
    <w:rsid w:val="001B3B8E"/>
    <w:rsid w:val="001C010F"/>
    <w:rsid w:val="001D1DA3"/>
    <w:rsid w:val="001E5FDC"/>
    <w:rsid w:val="001E78A2"/>
    <w:rsid w:val="001F02A1"/>
    <w:rsid w:val="001F7AD4"/>
    <w:rsid w:val="00217753"/>
    <w:rsid w:val="00220DF0"/>
    <w:rsid w:val="002216E8"/>
    <w:rsid w:val="00230A81"/>
    <w:rsid w:val="002322BF"/>
    <w:rsid w:val="0023264D"/>
    <w:rsid w:val="00235128"/>
    <w:rsid w:val="002476B8"/>
    <w:rsid w:val="00254D2E"/>
    <w:rsid w:val="00262448"/>
    <w:rsid w:val="002663EE"/>
    <w:rsid w:val="00273B10"/>
    <w:rsid w:val="00274496"/>
    <w:rsid w:val="00275656"/>
    <w:rsid w:val="00280DD1"/>
    <w:rsid w:val="00284A80"/>
    <w:rsid w:val="00294D3C"/>
    <w:rsid w:val="002A2838"/>
    <w:rsid w:val="002A2E37"/>
    <w:rsid w:val="002B54E5"/>
    <w:rsid w:val="002B67ED"/>
    <w:rsid w:val="002B6E84"/>
    <w:rsid w:val="002B77DD"/>
    <w:rsid w:val="002C0AB1"/>
    <w:rsid w:val="002D4700"/>
    <w:rsid w:val="002E1F80"/>
    <w:rsid w:val="002F25A8"/>
    <w:rsid w:val="00306956"/>
    <w:rsid w:val="0031163B"/>
    <w:rsid w:val="00330C22"/>
    <w:rsid w:val="00336E1D"/>
    <w:rsid w:val="003403EB"/>
    <w:rsid w:val="003411E7"/>
    <w:rsid w:val="00345DE3"/>
    <w:rsid w:val="00346F1E"/>
    <w:rsid w:val="00347BCB"/>
    <w:rsid w:val="00351C5C"/>
    <w:rsid w:val="00387522"/>
    <w:rsid w:val="00387B1C"/>
    <w:rsid w:val="003A2463"/>
    <w:rsid w:val="003A2766"/>
    <w:rsid w:val="003A362D"/>
    <w:rsid w:val="003A5C0F"/>
    <w:rsid w:val="003B2510"/>
    <w:rsid w:val="003B25FB"/>
    <w:rsid w:val="003B5CB4"/>
    <w:rsid w:val="003D237E"/>
    <w:rsid w:val="003D2443"/>
    <w:rsid w:val="003F0223"/>
    <w:rsid w:val="003F0B46"/>
    <w:rsid w:val="003F5CF0"/>
    <w:rsid w:val="00412A3B"/>
    <w:rsid w:val="004272FF"/>
    <w:rsid w:val="0043244B"/>
    <w:rsid w:val="00440162"/>
    <w:rsid w:val="00455DAB"/>
    <w:rsid w:val="00465752"/>
    <w:rsid w:val="00467496"/>
    <w:rsid w:val="00467DC5"/>
    <w:rsid w:val="004706A2"/>
    <w:rsid w:val="00481099"/>
    <w:rsid w:val="0048467F"/>
    <w:rsid w:val="004A066B"/>
    <w:rsid w:val="004A0E48"/>
    <w:rsid w:val="004A6517"/>
    <w:rsid w:val="004B065D"/>
    <w:rsid w:val="004C0A50"/>
    <w:rsid w:val="004C27D1"/>
    <w:rsid w:val="004C5FD8"/>
    <w:rsid w:val="004D6606"/>
    <w:rsid w:val="004E208F"/>
    <w:rsid w:val="004E47C3"/>
    <w:rsid w:val="004E4E9C"/>
    <w:rsid w:val="004E713C"/>
    <w:rsid w:val="004F2C71"/>
    <w:rsid w:val="004F5416"/>
    <w:rsid w:val="0050684D"/>
    <w:rsid w:val="005117F3"/>
    <w:rsid w:val="005213B8"/>
    <w:rsid w:val="0052572A"/>
    <w:rsid w:val="00526111"/>
    <w:rsid w:val="00533E94"/>
    <w:rsid w:val="00545306"/>
    <w:rsid w:val="00547532"/>
    <w:rsid w:val="00566429"/>
    <w:rsid w:val="00575993"/>
    <w:rsid w:val="00583589"/>
    <w:rsid w:val="00590683"/>
    <w:rsid w:val="00590F78"/>
    <w:rsid w:val="005A4AFA"/>
    <w:rsid w:val="005A64B3"/>
    <w:rsid w:val="005B45D8"/>
    <w:rsid w:val="005C0BB4"/>
    <w:rsid w:val="005C44F5"/>
    <w:rsid w:val="005D78E5"/>
    <w:rsid w:val="005E47A6"/>
    <w:rsid w:val="00602260"/>
    <w:rsid w:val="0060387A"/>
    <w:rsid w:val="006313C5"/>
    <w:rsid w:val="00636FED"/>
    <w:rsid w:val="00637621"/>
    <w:rsid w:val="006418DD"/>
    <w:rsid w:val="006451AB"/>
    <w:rsid w:val="006543AB"/>
    <w:rsid w:val="00663D9D"/>
    <w:rsid w:val="00665BAD"/>
    <w:rsid w:val="006843A0"/>
    <w:rsid w:val="006940CC"/>
    <w:rsid w:val="006A225F"/>
    <w:rsid w:val="006A4D37"/>
    <w:rsid w:val="006B047E"/>
    <w:rsid w:val="006D2193"/>
    <w:rsid w:val="006E080D"/>
    <w:rsid w:val="006F5A9E"/>
    <w:rsid w:val="007007DA"/>
    <w:rsid w:val="007030D1"/>
    <w:rsid w:val="00706826"/>
    <w:rsid w:val="0071566D"/>
    <w:rsid w:val="007232EF"/>
    <w:rsid w:val="00723CE8"/>
    <w:rsid w:val="007347CA"/>
    <w:rsid w:val="00741A2B"/>
    <w:rsid w:val="00744C06"/>
    <w:rsid w:val="00746C0D"/>
    <w:rsid w:val="00755712"/>
    <w:rsid w:val="00762D7F"/>
    <w:rsid w:val="00766BFA"/>
    <w:rsid w:val="0078125A"/>
    <w:rsid w:val="007A150E"/>
    <w:rsid w:val="007A22A3"/>
    <w:rsid w:val="007B3644"/>
    <w:rsid w:val="007C3048"/>
    <w:rsid w:val="007C311E"/>
    <w:rsid w:val="007C79E3"/>
    <w:rsid w:val="007C7CA3"/>
    <w:rsid w:val="007D3ADA"/>
    <w:rsid w:val="007E2EF7"/>
    <w:rsid w:val="007E3668"/>
    <w:rsid w:val="007E571E"/>
    <w:rsid w:val="007F3B1E"/>
    <w:rsid w:val="007F676E"/>
    <w:rsid w:val="00800880"/>
    <w:rsid w:val="00801A53"/>
    <w:rsid w:val="008158DD"/>
    <w:rsid w:val="00815F70"/>
    <w:rsid w:val="00816730"/>
    <w:rsid w:val="0082182E"/>
    <w:rsid w:val="00851A0E"/>
    <w:rsid w:val="00851D0E"/>
    <w:rsid w:val="00851E94"/>
    <w:rsid w:val="00862C60"/>
    <w:rsid w:val="008702F4"/>
    <w:rsid w:val="00872AA9"/>
    <w:rsid w:val="00884208"/>
    <w:rsid w:val="0089216A"/>
    <w:rsid w:val="00892C6B"/>
    <w:rsid w:val="008A197E"/>
    <w:rsid w:val="008A4976"/>
    <w:rsid w:val="008A7E46"/>
    <w:rsid w:val="008B11E8"/>
    <w:rsid w:val="008B3A13"/>
    <w:rsid w:val="008D0B60"/>
    <w:rsid w:val="008D1D22"/>
    <w:rsid w:val="008D38D9"/>
    <w:rsid w:val="008F4A32"/>
    <w:rsid w:val="00923FCF"/>
    <w:rsid w:val="00937337"/>
    <w:rsid w:val="00945D15"/>
    <w:rsid w:val="00950791"/>
    <w:rsid w:val="00955273"/>
    <w:rsid w:val="00960C8B"/>
    <w:rsid w:val="00962E86"/>
    <w:rsid w:val="009660EE"/>
    <w:rsid w:val="00975ECC"/>
    <w:rsid w:val="009A4CEF"/>
    <w:rsid w:val="009C76A2"/>
    <w:rsid w:val="009D2FED"/>
    <w:rsid w:val="009D6E2E"/>
    <w:rsid w:val="009E0533"/>
    <w:rsid w:val="009F0781"/>
    <w:rsid w:val="009F4AB2"/>
    <w:rsid w:val="00A1598B"/>
    <w:rsid w:val="00A16944"/>
    <w:rsid w:val="00A274A0"/>
    <w:rsid w:val="00A27EBF"/>
    <w:rsid w:val="00A30EAA"/>
    <w:rsid w:val="00A41BE4"/>
    <w:rsid w:val="00A468BA"/>
    <w:rsid w:val="00A56A1E"/>
    <w:rsid w:val="00A63825"/>
    <w:rsid w:val="00A63FBA"/>
    <w:rsid w:val="00A67091"/>
    <w:rsid w:val="00A76112"/>
    <w:rsid w:val="00A831F9"/>
    <w:rsid w:val="00A86515"/>
    <w:rsid w:val="00A92E6E"/>
    <w:rsid w:val="00A95926"/>
    <w:rsid w:val="00A97711"/>
    <w:rsid w:val="00AA527A"/>
    <w:rsid w:val="00AC0222"/>
    <w:rsid w:val="00AD02E7"/>
    <w:rsid w:val="00AD0587"/>
    <w:rsid w:val="00AD18FF"/>
    <w:rsid w:val="00AD270F"/>
    <w:rsid w:val="00AE1493"/>
    <w:rsid w:val="00B01CF7"/>
    <w:rsid w:val="00B04E97"/>
    <w:rsid w:val="00B05F75"/>
    <w:rsid w:val="00B1333D"/>
    <w:rsid w:val="00B22626"/>
    <w:rsid w:val="00B251FC"/>
    <w:rsid w:val="00B63DE9"/>
    <w:rsid w:val="00B71876"/>
    <w:rsid w:val="00B76EC0"/>
    <w:rsid w:val="00BA30DB"/>
    <w:rsid w:val="00C207BF"/>
    <w:rsid w:val="00C249E6"/>
    <w:rsid w:val="00C30368"/>
    <w:rsid w:val="00C60D63"/>
    <w:rsid w:val="00C7051D"/>
    <w:rsid w:val="00C750A5"/>
    <w:rsid w:val="00C85041"/>
    <w:rsid w:val="00C90C86"/>
    <w:rsid w:val="00C94F88"/>
    <w:rsid w:val="00CA375D"/>
    <w:rsid w:val="00CA541E"/>
    <w:rsid w:val="00CB14BF"/>
    <w:rsid w:val="00CB3AAD"/>
    <w:rsid w:val="00CB4467"/>
    <w:rsid w:val="00CB5752"/>
    <w:rsid w:val="00CB62BE"/>
    <w:rsid w:val="00CC505C"/>
    <w:rsid w:val="00CC5263"/>
    <w:rsid w:val="00D036B1"/>
    <w:rsid w:val="00D116A2"/>
    <w:rsid w:val="00D12640"/>
    <w:rsid w:val="00D162DD"/>
    <w:rsid w:val="00D30BE3"/>
    <w:rsid w:val="00D75FC8"/>
    <w:rsid w:val="00D77BD1"/>
    <w:rsid w:val="00D95393"/>
    <w:rsid w:val="00D9689D"/>
    <w:rsid w:val="00DA2B91"/>
    <w:rsid w:val="00DA5951"/>
    <w:rsid w:val="00DA73D0"/>
    <w:rsid w:val="00DB5DBA"/>
    <w:rsid w:val="00DD1F2E"/>
    <w:rsid w:val="00DE6CF8"/>
    <w:rsid w:val="00DF447A"/>
    <w:rsid w:val="00E00F73"/>
    <w:rsid w:val="00E02CE4"/>
    <w:rsid w:val="00E05B74"/>
    <w:rsid w:val="00E13813"/>
    <w:rsid w:val="00E4050A"/>
    <w:rsid w:val="00E416F2"/>
    <w:rsid w:val="00E60A3E"/>
    <w:rsid w:val="00E62AFA"/>
    <w:rsid w:val="00E710CD"/>
    <w:rsid w:val="00E76BEC"/>
    <w:rsid w:val="00E81842"/>
    <w:rsid w:val="00E824AD"/>
    <w:rsid w:val="00EA43CE"/>
    <w:rsid w:val="00EB2D90"/>
    <w:rsid w:val="00EC3085"/>
    <w:rsid w:val="00EC3857"/>
    <w:rsid w:val="00ED3842"/>
    <w:rsid w:val="00EE7013"/>
    <w:rsid w:val="00EF043D"/>
    <w:rsid w:val="00F04A73"/>
    <w:rsid w:val="00F11929"/>
    <w:rsid w:val="00F2325C"/>
    <w:rsid w:val="00F26D1D"/>
    <w:rsid w:val="00F52326"/>
    <w:rsid w:val="00F56126"/>
    <w:rsid w:val="00F62476"/>
    <w:rsid w:val="00F63769"/>
    <w:rsid w:val="00F64381"/>
    <w:rsid w:val="00F854BD"/>
    <w:rsid w:val="00F8625A"/>
    <w:rsid w:val="00F962A2"/>
    <w:rsid w:val="00FA3C13"/>
    <w:rsid w:val="00FA6E82"/>
    <w:rsid w:val="00FB06C5"/>
    <w:rsid w:val="00FB2890"/>
    <w:rsid w:val="00FB28A6"/>
    <w:rsid w:val="00FB512C"/>
    <w:rsid w:val="00FB744B"/>
    <w:rsid w:val="00FC0CF4"/>
    <w:rsid w:val="00FC138E"/>
    <w:rsid w:val="00FC1A98"/>
    <w:rsid w:val="00FC3D34"/>
    <w:rsid w:val="00FC6422"/>
    <w:rsid w:val="00FD25D7"/>
    <w:rsid w:val="00FE7019"/>
    <w:rsid w:val="00FF0DDB"/>
    <w:rsid w:val="00FF20E1"/>
    <w:rsid w:val="00FF29D0"/>
    <w:rsid w:val="01073442"/>
    <w:rsid w:val="01192C1F"/>
    <w:rsid w:val="0135256E"/>
    <w:rsid w:val="017F0419"/>
    <w:rsid w:val="0187402D"/>
    <w:rsid w:val="018C33F1"/>
    <w:rsid w:val="018D0B5D"/>
    <w:rsid w:val="01BD7A4F"/>
    <w:rsid w:val="01C963F3"/>
    <w:rsid w:val="01DC33B3"/>
    <w:rsid w:val="01E049C4"/>
    <w:rsid w:val="01FC0AD3"/>
    <w:rsid w:val="0202557A"/>
    <w:rsid w:val="021138F7"/>
    <w:rsid w:val="021943BC"/>
    <w:rsid w:val="022E28D7"/>
    <w:rsid w:val="023C4E17"/>
    <w:rsid w:val="02455361"/>
    <w:rsid w:val="026B7D9D"/>
    <w:rsid w:val="028A53A4"/>
    <w:rsid w:val="028E4F47"/>
    <w:rsid w:val="029E162E"/>
    <w:rsid w:val="02A91A3A"/>
    <w:rsid w:val="02B739F9"/>
    <w:rsid w:val="02DD15A4"/>
    <w:rsid w:val="02E01C47"/>
    <w:rsid w:val="02E03D80"/>
    <w:rsid w:val="02FF6323"/>
    <w:rsid w:val="0305345B"/>
    <w:rsid w:val="03166C95"/>
    <w:rsid w:val="033742BA"/>
    <w:rsid w:val="0352039E"/>
    <w:rsid w:val="0362199D"/>
    <w:rsid w:val="03692DE6"/>
    <w:rsid w:val="03726617"/>
    <w:rsid w:val="039769D6"/>
    <w:rsid w:val="03B95FF4"/>
    <w:rsid w:val="03CA1FAF"/>
    <w:rsid w:val="03D92764"/>
    <w:rsid w:val="03E07A24"/>
    <w:rsid w:val="03EA172E"/>
    <w:rsid w:val="04020E77"/>
    <w:rsid w:val="040A2CF3"/>
    <w:rsid w:val="0432047D"/>
    <w:rsid w:val="04417611"/>
    <w:rsid w:val="044736CF"/>
    <w:rsid w:val="04705F12"/>
    <w:rsid w:val="04AB653B"/>
    <w:rsid w:val="04CE269C"/>
    <w:rsid w:val="04EE0F52"/>
    <w:rsid w:val="04F856C0"/>
    <w:rsid w:val="050F05C1"/>
    <w:rsid w:val="051B6B97"/>
    <w:rsid w:val="052D2EBC"/>
    <w:rsid w:val="05304626"/>
    <w:rsid w:val="054E09BE"/>
    <w:rsid w:val="05583FD1"/>
    <w:rsid w:val="055C757F"/>
    <w:rsid w:val="0563727B"/>
    <w:rsid w:val="057D1290"/>
    <w:rsid w:val="0586414C"/>
    <w:rsid w:val="05891BAA"/>
    <w:rsid w:val="059960DD"/>
    <w:rsid w:val="05B75E5D"/>
    <w:rsid w:val="05D76A8A"/>
    <w:rsid w:val="05D90BCF"/>
    <w:rsid w:val="05F069B7"/>
    <w:rsid w:val="06042386"/>
    <w:rsid w:val="060870C2"/>
    <w:rsid w:val="060F6A23"/>
    <w:rsid w:val="06255BC2"/>
    <w:rsid w:val="06293905"/>
    <w:rsid w:val="064C26CA"/>
    <w:rsid w:val="066B5CCB"/>
    <w:rsid w:val="066F5090"/>
    <w:rsid w:val="06824DC3"/>
    <w:rsid w:val="068376C5"/>
    <w:rsid w:val="06B83EA4"/>
    <w:rsid w:val="06C673A5"/>
    <w:rsid w:val="06E4135A"/>
    <w:rsid w:val="073127D1"/>
    <w:rsid w:val="07320597"/>
    <w:rsid w:val="07396CB5"/>
    <w:rsid w:val="073D73C4"/>
    <w:rsid w:val="0750339E"/>
    <w:rsid w:val="07530FA6"/>
    <w:rsid w:val="075A3282"/>
    <w:rsid w:val="076241C2"/>
    <w:rsid w:val="07726BE5"/>
    <w:rsid w:val="07745622"/>
    <w:rsid w:val="077B3204"/>
    <w:rsid w:val="079254DA"/>
    <w:rsid w:val="0796626B"/>
    <w:rsid w:val="07C03DF5"/>
    <w:rsid w:val="07CA4C73"/>
    <w:rsid w:val="07DA186C"/>
    <w:rsid w:val="08012289"/>
    <w:rsid w:val="08032104"/>
    <w:rsid w:val="085207C5"/>
    <w:rsid w:val="08C922E5"/>
    <w:rsid w:val="08CB6C77"/>
    <w:rsid w:val="08CF6A3E"/>
    <w:rsid w:val="08DC6D2E"/>
    <w:rsid w:val="08DD2784"/>
    <w:rsid w:val="08E27460"/>
    <w:rsid w:val="08FA3C1C"/>
    <w:rsid w:val="09045F63"/>
    <w:rsid w:val="091361A6"/>
    <w:rsid w:val="092D2631"/>
    <w:rsid w:val="096E267D"/>
    <w:rsid w:val="097950BE"/>
    <w:rsid w:val="097A3B63"/>
    <w:rsid w:val="09811362"/>
    <w:rsid w:val="09970B85"/>
    <w:rsid w:val="09A92667"/>
    <w:rsid w:val="09BB0D18"/>
    <w:rsid w:val="0A0A25D7"/>
    <w:rsid w:val="0A135CC5"/>
    <w:rsid w:val="0ACF434F"/>
    <w:rsid w:val="0AF22580"/>
    <w:rsid w:val="0B362E90"/>
    <w:rsid w:val="0B3869A1"/>
    <w:rsid w:val="0B473C8E"/>
    <w:rsid w:val="0B637A3A"/>
    <w:rsid w:val="0B9713AA"/>
    <w:rsid w:val="0BA119E9"/>
    <w:rsid w:val="0BA667DA"/>
    <w:rsid w:val="0BCD35D4"/>
    <w:rsid w:val="0BDE5417"/>
    <w:rsid w:val="0BE025B8"/>
    <w:rsid w:val="0BED0F30"/>
    <w:rsid w:val="0BF273FD"/>
    <w:rsid w:val="0BF4331C"/>
    <w:rsid w:val="0C5D7BA8"/>
    <w:rsid w:val="0C721436"/>
    <w:rsid w:val="0C8D16BA"/>
    <w:rsid w:val="0C9870EE"/>
    <w:rsid w:val="0C9E4AB7"/>
    <w:rsid w:val="0CE02843"/>
    <w:rsid w:val="0CE154FC"/>
    <w:rsid w:val="0CEA2051"/>
    <w:rsid w:val="0D2875AD"/>
    <w:rsid w:val="0D38442D"/>
    <w:rsid w:val="0D507BEF"/>
    <w:rsid w:val="0D532E09"/>
    <w:rsid w:val="0D662D48"/>
    <w:rsid w:val="0D6B6E48"/>
    <w:rsid w:val="0D7336B7"/>
    <w:rsid w:val="0D785F46"/>
    <w:rsid w:val="0D892EDB"/>
    <w:rsid w:val="0DC13115"/>
    <w:rsid w:val="0DCE6B40"/>
    <w:rsid w:val="0DCF438E"/>
    <w:rsid w:val="0DD1638B"/>
    <w:rsid w:val="0DDD51F1"/>
    <w:rsid w:val="0E016F15"/>
    <w:rsid w:val="0E1E3623"/>
    <w:rsid w:val="0E8567D9"/>
    <w:rsid w:val="0E8F231E"/>
    <w:rsid w:val="0E9C67E4"/>
    <w:rsid w:val="0EA7608A"/>
    <w:rsid w:val="0EB119B8"/>
    <w:rsid w:val="0EB13CB5"/>
    <w:rsid w:val="0ECA674F"/>
    <w:rsid w:val="0ED21131"/>
    <w:rsid w:val="0ED91C40"/>
    <w:rsid w:val="0EE1261E"/>
    <w:rsid w:val="0F0776FB"/>
    <w:rsid w:val="0F1F3AF7"/>
    <w:rsid w:val="0F213556"/>
    <w:rsid w:val="0F24110D"/>
    <w:rsid w:val="0F620EEF"/>
    <w:rsid w:val="0F661726"/>
    <w:rsid w:val="0F67724C"/>
    <w:rsid w:val="0F87169C"/>
    <w:rsid w:val="0F904FEF"/>
    <w:rsid w:val="0F9E3EA7"/>
    <w:rsid w:val="101649EC"/>
    <w:rsid w:val="101B0CA3"/>
    <w:rsid w:val="101B5235"/>
    <w:rsid w:val="10266267"/>
    <w:rsid w:val="104D6387"/>
    <w:rsid w:val="105134CB"/>
    <w:rsid w:val="10525110"/>
    <w:rsid w:val="10525806"/>
    <w:rsid w:val="10656A17"/>
    <w:rsid w:val="10702356"/>
    <w:rsid w:val="10C92ED0"/>
    <w:rsid w:val="10CA2F7E"/>
    <w:rsid w:val="10CC55B8"/>
    <w:rsid w:val="10D26947"/>
    <w:rsid w:val="10D52407"/>
    <w:rsid w:val="10F1052E"/>
    <w:rsid w:val="10F654D7"/>
    <w:rsid w:val="111B02EE"/>
    <w:rsid w:val="111E2E2E"/>
    <w:rsid w:val="112E1DCF"/>
    <w:rsid w:val="1132577D"/>
    <w:rsid w:val="113B44EC"/>
    <w:rsid w:val="1153135B"/>
    <w:rsid w:val="11564EC4"/>
    <w:rsid w:val="118D2A42"/>
    <w:rsid w:val="119C551F"/>
    <w:rsid w:val="11B07BD6"/>
    <w:rsid w:val="11CF1099"/>
    <w:rsid w:val="11D664F4"/>
    <w:rsid w:val="11D81F9E"/>
    <w:rsid w:val="11D91565"/>
    <w:rsid w:val="11FC397F"/>
    <w:rsid w:val="12254611"/>
    <w:rsid w:val="125750F6"/>
    <w:rsid w:val="125C6E10"/>
    <w:rsid w:val="126439D3"/>
    <w:rsid w:val="126C24BB"/>
    <w:rsid w:val="126F4682"/>
    <w:rsid w:val="127542AA"/>
    <w:rsid w:val="1287634B"/>
    <w:rsid w:val="12A306C5"/>
    <w:rsid w:val="12C50F49"/>
    <w:rsid w:val="12CC5D44"/>
    <w:rsid w:val="12F15FC0"/>
    <w:rsid w:val="12F26E2C"/>
    <w:rsid w:val="12F661B1"/>
    <w:rsid w:val="12FD2214"/>
    <w:rsid w:val="132A0434"/>
    <w:rsid w:val="135950FD"/>
    <w:rsid w:val="136A7FCD"/>
    <w:rsid w:val="13901E1C"/>
    <w:rsid w:val="13AD3C35"/>
    <w:rsid w:val="13ED053D"/>
    <w:rsid w:val="13FD57F8"/>
    <w:rsid w:val="14172FEE"/>
    <w:rsid w:val="1424668D"/>
    <w:rsid w:val="1437484A"/>
    <w:rsid w:val="143F6845"/>
    <w:rsid w:val="14685E9F"/>
    <w:rsid w:val="147773FD"/>
    <w:rsid w:val="14904B4F"/>
    <w:rsid w:val="149C53ED"/>
    <w:rsid w:val="14A17E3B"/>
    <w:rsid w:val="14AB3737"/>
    <w:rsid w:val="14AD2769"/>
    <w:rsid w:val="14B70AFF"/>
    <w:rsid w:val="14CA2070"/>
    <w:rsid w:val="14E530ED"/>
    <w:rsid w:val="14E76E65"/>
    <w:rsid w:val="15005974"/>
    <w:rsid w:val="150115A9"/>
    <w:rsid w:val="150317C5"/>
    <w:rsid w:val="15290C02"/>
    <w:rsid w:val="155344FA"/>
    <w:rsid w:val="1557079B"/>
    <w:rsid w:val="15610299"/>
    <w:rsid w:val="15661BF2"/>
    <w:rsid w:val="1571672E"/>
    <w:rsid w:val="157B70B7"/>
    <w:rsid w:val="1580214A"/>
    <w:rsid w:val="158D16D2"/>
    <w:rsid w:val="15DD50F6"/>
    <w:rsid w:val="15FD1BB2"/>
    <w:rsid w:val="15FF01DE"/>
    <w:rsid w:val="1606156C"/>
    <w:rsid w:val="16082FDE"/>
    <w:rsid w:val="161C0D90"/>
    <w:rsid w:val="166E0EC0"/>
    <w:rsid w:val="16893F4C"/>
    <w:rsid w:val="16897AA8"/>
    <w:rsid w:val="169F1555"/>
    <w:rsid w:val="16C339B4"/>
    <w:rsid w:val="16D056D6"/>
    <w:rsid w:val="16D2144F"/>
    <w:rsid w:val="16EF0253"/>
    <w:rsid w:val="170034B7"/>
    <w:rsid w:val="1752549D"/>
    <w:rsid w:val="17605E18"/>
    <w:rsid w:val="176C6F4D"/>
    <w:rsid w:val="176D1177"/>
    <w:rsid w:val="17780248"/>
    <w:rsid w:val="178C784F"/>
    <w:rsid w:val="17A2652C"/>
    <w:rsid w:val="17A80401"/>
    <w:rsid w:val="17B84AE8"/>
    <w:rsid w:val="17BB6387"/>
    <w:rsid w:val="17C92852"/>
    <w:rsid w:val="17CC40F0"/>
    <w:rsid w:val="17E0367B"/>
    <w:rsid w:val="181C3543"/>
    <w:rsid w:val="182C4B8E"/>
    <w:rsid w:val="183550AA"/>
    <w:rsid w:val="18362093"/>
    <w:rsid w:val="1838742C"/>
    <w:rsid w:val="184B4592"/>
    <w:rsid w:val="187622AE"/>
    <w:rsid w:val="1887170A"/>
    <w:rsid w:val="18A13FD2"/>
    <w:rsid w:val="18BE625E"/>
    <w:rsid w:val="18C060A1"/>
    <w:rsid w:val="18C1177B"/>
    <w:rsid w:val="18D25736"/>
    <w:rsid w:val="18F6064F"/>
    <w:rsid w:val="18F64FE1"/>
    <w:rsid w:val="190413E1"/>
    <w:rsid w:val="19140E06"/>
    <w:rsid w:val="19235F91"/>
    <w:rsid w:val="193E2714"/>
    <w:rsid w:val="196F26CB"/>
    <w:rsid w:val="196F7429"/>
    <w:rsid w:val="197D38E8"/>
    <w:rsid w:val="198960E3"/>
    <w:rsid w:val="19896AEA"/>
    <w:rsid w:val="199F0C8D"/>
    <w:rsid w:val="19A857C8"/>
    <w:rsid w:val="19AB23D3"/>
    <w:rsid w:val="19AC4E80"/>
    <w:rsid w:val="19AF7825"/>
    <w:rsid w:val="19CE48C9"/>
    <w:rsid w:val="19D9355D"/>
    <w:rsid w:val="19EE7B83"/>
    <w:rsid w:val="19F73BFF"/>
    <w:rsid w:val="1A0561E6"/>
    <w:rsid w:val="1A0933D9"/>
    <w:rsid w:val="1A0C3B58"/>
    <w:rsid w:val="1A0E79E1"/>
    <w:rsid w:val="1A0F29BA"/>
    <w:rsid w:val="1A593520"/>
    <w:rsid w:val="1A5959E3"/>
    <w:rsid w:val="1A5F244A"/>
    <w:rsid w:val="1A77085A"/>
    <w:rsid w:val="1A8B44E3"/>
    <w:rsid w:val="1A9430A6"/>
    <w:rsid w:val="1ABF1CEA"/>
    <w:rsid w:val="1ACE2576"/>
    <w:rsid w:val="1B12463B"/>
    <w:rsid w:val="1B13105B"/>
    <w:rsid w:val="1B1C0F2A"/>
    <w:rsid w:val="1B1F3315"/>
    <w:rsid w:val="1B5003E0"/>
    <w:rsid w:val="1B632526"/>
    <w:rsid w:val="1B742AD4"/>
    <w:rsid w:val="1B765B82"/>
    <w:rsid w:val="1B8229A5"/>
    <w:rsid w:val="1B965EA6"/>
    <w:rsid w:val="1B994C87"/>
    <w:rsid w:val="1B9F3A88"/>
    <w:rsid w:val="1BE32A1B"/>
    <w:rsid w:val="1BE62BE0"/>
    <w:rsid w:val="1BEB0A52"/>
    <w:rsid w:val="1BFC2ACA"/>
    <w:rsid w:val="1BFF6E14"/>
    <w:rsid w:val="1C165178"/>
    <w:rsid w:val="1C2F0AD9"/>
    <w:rsid w:val="1C3B1844"/>
    <w:rsid w:val="1C47468D"/>
    <w:rsid w:val="1C5841A4"/>
    <w:rsid w:val="1C5E7FF7"/>
    <w:rsid w:val="1C646FED"/>
    <w:rsid w:val="1CD83537"/>
    <w:rsid w:val="1D100DDF"/>
    <w:rsid w:val="1D155786"/>
    <w:rsid w:val="1D157A55"/>
    <w:rsid w:val="1D37200B"/>
    <w:rsid w:val="1D586930"/>
    <w:rsid w:val="1D5D2AA4"/>
    <w:rsid w:val="1D7A639C"/>
    <w:rsid w:val="1DD45AFC"/>
    <w:rsid w:val="1DD51824"/>
    <w:rsid w:val="1DDC590A"/>
    <w:rsid w:val="1DEA2B61"/>
    <w:rsid w:val="1E335181"/>
    <w:rsid w:val="1E3F599E"/>
    <w:rsid w:val="1E432C32"/>
    <w:rsid w:val="1E4744D0"/>
    <w:rsid w:val="1E6A3839"/>
    <w:rsid w:val="1E6F1C79"/>
    <w:rsid w:val="1E764DB5"/>
    <w:rsid w:val="1EA06AE2"/>
    <w:rsid w:val="1EAC426A"/>
    <w:rsid w:val="1EBA0810"/>
    <w:rsid w:val="1ECE55CB"/>
    <w:rsid w:val="1EE4458C"/>
    <w:rsid w:val="1F1B1640"/>
    <w:rsid w:val="1F2673ED"/>
    <w:rsid w:val="1F351B34"/>
    <w:rsid w:val="1F3A2255"/>
    <w:rsid w:val="1F533349"/>
    <w:rsid w:val="1F5A0233"/>
    <w:rsid w:val="1F6410B2"/>
    <w:rsid w:val="1F666CD8"/>
    <w:rsid w:val="1F7362DF"/>
    <w:rsid w:val="1F821340"/>
    <w:rsid w:val="1FB74E43"/>
    <w:rsid w:val="1FC70F79"/>
    <w:rsid w:val="1FD44083"/>
    <w:rsid w:val="1FD75D28"/>
    <w:rsid w:val="1FDB4036"/>
    <w:rsid w:val="1FE42B54"/>
    <w:rsid w:val="20014B53"/>
    <w:rsid w:val="203C7FF5"/>
    <w:rsid w:val="20436CA6"/>
    <w:rsid w:val="20787CA3"/>
    <w:rsid w:val="207A2538"/>
    <w:rsid w:val="209A7B6A"/>
    <w:rsid w:val="20A03BEC"/>
    <w:rsid w:val="20A9561D"/>
    <w:rsid w:val="20AE4D12"/>
    <w:rsid w:val="20B91875"/>
    <w:rsid w:val="20BE6021"/>
    <w:rsid w:val="21211AA5"/>
    <w:rsid w:val="21697BCF"/>
    <w:rsid w:val="216D4A99"/>
    <w:rsid w:val="216E32C3"/>
    <w:rsid w:val="2185267F"/>
    <w:rsid w:val="218642C5"/>
    <w:rsid w:val="218B3DFB"/>
    <w:rsid w:val="218B4CE9"/>
    <w:rsid w:val="219D5386"/>
    <w:rsid w:val="21DE514B"/>
    <w:rsid w:val="21E71EFC"/>
    <w:rsid w:val="21EA6B62"/>
    <w:rsid w:val="21EE56B5"/>
    <w:rsid w:val="221072CF"/>
    <w:rsid w:val="22270151"/>
    <w:rsid w:val="22592A24"/>
    <w:rsid w:val="225B412F"/>
    <w:rsid w:val="22727487"/>
    <w:rsid w:val="22751FC1"/>
    <w:rsid w:val="22A9157E"/>
    <w:rsid w:val="22C65437"/>
    <w:rsid w:val="22DD2843"/>
    <w:rsid w:val="2304797C"/>
    <w:rsid w:val="231352C9"/>
    <w:rsid w:val="231942C4"/>
    <w:rsid w:val="23270D74"/>
    <w:rsid w:val="232E3EB1"/>
    <w:rsid w:val="2366189C"/>
    <w:rsid w:val="237A0EA4"/>
    <w:rsid w:val="23BE0F28"/>
    <w:rsid w:val="23C43645"/>
    <w:rsid w:val="23CA4237"/>
    <w:rsid w:val="23CB6CF7"/>
    <w:rsid w:val="23CD595C"/>
    <w:rsid w:val="23CE36BC"/>
    <w:rsid w:val="23D22EE5"/>
    <w:rsid w:val="23DD33BF"/>
    <w:rsid w:val="23E17F6F"/>
    <w:rsid w:val="23E629DD"/>
    <w:rsid w:val="24092228"/>
    <w:rsid w:val="24097FEF"/>
    <w:rsid w:val="242215E3"/>
    <w:rsid w:val="242D23BA"/>
    <w:rsid w:val="242F6C37"/>
    <w:rsid w:val="24552894"/>
    <w:rsid w:val="247E59F0"/>
    <w:rsid w:val="248843EC"/>
    <w:rsid w:val="24CA6AC2"/>
    <w:rsid w:val="24CE2E34"/>
    <w:rsid w:val="24D6680A"/>
    <w:rsid w:val="24D972C4"/>
    <w:rsid w:val="24E92B02"/>
    <w:rsid w:val="24EA4CEA"/>
    <w:rsid w:val="24EB2B99"/>
    <w:rsid w:val="252565D6"/>
    <w:rsid w:val="25260F9D"/>
    <w:rsid w:val="253216FD"/>
    <w:rsid w:val="256D4AB4"/>
    <w:rsid w:val="25887444"/>
    <w:rsid w:val="25A13331"/>
    <w:rsid w:val="25A57D1C"/>
    <w:rsid w:val="25BC34B0"/>
    <w:rsid w:val="25D96272"/>
    <w:rsid w:val="25E84219"/>
    <w:rsid w:val="25F87073"/>
    <w:rsid w:val="26294A1D"/>
    <w:rsid w:val="264E5E3A"/>
    <w:rsid w:val="26526108"/>
    <w:rsid w:val="265A5E99"/>
    <w:rsid w:val="267B227F"/>
    <w:rsid w:val="26881F5A"/>
    <w:rsid w:val="26CC410D"/>
    <w:rsid w:val="26CF4850"/>
    <w:rsid w:val="26E060BA"/>
    <w:rsid w:val="26FC7E22"/>
    <w:rsid w:val="27030D60"/>
    <w:rsid w:val="27133AE9"/>
    <w:rsid w:val="27903546"/>
    <w:rsid w:val="27CF5F19"/>
    <w:rsid w:val="27D112AE"/>
    <w:rsid w:val="27D23E1A"/>
    <w:rsid w:val="280B58EA"/>
    <w:rsid w:val="28123463"/>
    <w:rsid w:val="28245882"/>
    <w:rsid w:val="282B1B2B"/>
    <w:rsid w:val="284D434A"/>
    <w:rsid w:val="28632193"/>
    <w:rsid w:val="28727528"/>
    <w:rsid w:val="2874680A"/>
    <w:rsid w:val="289202B5"/>
    <w:rsid w:val="28AC1ADC"/>
    <w:rsid w:val="28C00F0F"/>
    <w:rsid w:val="28CA01D8"/>
    <w:rsid w:val="28FB3ED4"/>
    <w:rsid w:val="291E1DAE"/>
    <w:rsid w:val="293B2E83"/>
    <w:rsid w:val="29986528"/>
    <w:rsid w:val="29995B44"/>
    <w:rsid w:val="29D67980"/>
    <w:rsid w:val="29DA29ED"/>
    <w:rsid w:val="29F84491"/>
    <w:rsid w:val="29FD161F"/>
    <w:rsid w:val="29FD5BD6"/>
    <w:rsid w:val="2A124A5C"/>
    <w:rsid w:val="2A187669"/>
    <w:rsid w:val="2A1F4553"/>
    <w:rsid w:val="2A523300"/>
    <w:rsid w:val="2A64652E"/>
    <w:rsid w:val="2A872765"/>
    <w:rsid w:val="2AAB03E2"/>
    <w:rsid w:val="2ABC3423"/>
    <w:rsid w:val="2AFA300F"/>
    <w:rsid w:val="2B0F45C8"/>
    <w:rsid w:val="2B261911"/>
    <w:rsid w:val="2B413C2B"/>
    <w:rsid w:val="2B4806AB"/>
    <w:rsid w:val="2B5B770D"/>
    <w:rsid w:val="2B625BC4"/>
    <w:rsid w:val="2B986184"/>
    <w:rsid w:val="2BB712A2"/>
    <w:rsid w:val="2BD668A3"/>
    <w:rsid w:val="2BDD5FC5"/>
    <w:rsid w:val="2BF33EE9"/>
    <w:rsid w:val="2C446861"/>
    <w:rsid w:val="2C5107AD"/>
    <w:rsid w:val="2C8E776E"/>
    <w:rsid w:val="2CC44EEE"/>
    <w:rsid w:val="2CD53511"/>
    <w:rsid w:val="2CEF728C"/>
    <w:rsid w:val="2CF021D7"/>
    <w:rsid w:val="2D0068BE"/>
    <w:rsid w:val="2D2A61CE"/>
    <w:rsid w:val="2D360531"/>
    <w:rsid w:val="2D80707D"/>
    <w:rsid w:val="2D853E99"/>
    <w:rsid w:val="2D9C44B3"/>
    <w:rsid w:val="2DA16E42"/>
    <w:rsid w:val="2DB53E94"/>
    <w:rsid w:val="2DCE2518"/>
    <w:rsid w:val="2DE2488D"/>
    <w:rsid w:val="2E083145"/>
    <w:rsid w:val="2E120695"/>
    <w:rsid w:val="2E2D6EED"/>
    <w:rsid w:val="2E595C66"/>
    <w:rsid w:val="2E61692F"/>
    <w:rsid w:val="2E813A2E"/>
    <w:rsid w:val="2E823302"/>
    <w:rsid w:val="2E9111F5"/>
    <w:rsid w:val="2EB8678E"/>
    <w:rsid w:val="2EBD258D"/>
    <w:rsid w:val="2ECD27D0"/>
    <w:rsid w:val="2ED5521A"/>
    <w:rsid w:val="2ED619F5"/>
    <w:rsid w:val="2ED978BD"/>
    <w:rsid w:val="2F2A129D"/>
    <w:rsid w:val="2F394DAF"/>
    <w:rsid w:val="2F53794D"/>
    <w:rsid w:val="2F9105F4"/>
    <w:rsid w:val="2F9F3A1B"/>
    <w:rsid w:val="2FA2045D"/>
    <w:rsid w:val="2FEB1712"/>
    <w:rsid w:val="30134B5A"/>
    <w:rsid w:val="302A5A00"/>
    <w:rsid w:val="302C6F86"/>
    <w:rsid w:val="30317F30"/>
    <w:rsid w:val="303B0264"/>
    <w:rsid w:val="304B5E64"/>
    <w:rsid w:val="305D472F"/>
    <w:rsid w:val="306F4229"/>
    <w:rsid w:val="30730BA2"/>
    <w:rsid w:val="30782F4C"/>
    <w:rsid w:val="308A2322"/>
    <w:rsid w:val="3091213D"/>
    <w:rsid w:val="30C9139F"/>
    <w:rsid w:val="30DD5608"/>
    <w:rsid w:val="30EE1CBE"/>
    <w:rsid w:val="310F789B"/>
    <w:rsid w:val="31203BB5"/>
    <w:rsid w:val="3126296E"/>
    <w:rsid w:val="312B6BA8"/>
    <w:rsid w:val="31376626"/>
    <w:rsid w:val="314335A8"/>
    <w:rsid w:val="316F4012"/>
    <w:rsid w:val="31780362"/>
    <w:rsid w:val="317C04DD"/>
    <w:rsid w:val="31A44863"/>
    <w:rsid w:val="31AF70A8"/>
    <w:rsid w:val="31BD087C"/>
    <w:rsid w:val="31C6513D"/>
    <w:rsid w:val="31D245A1"/>
    <w:rsid w:val="31D40319"/>
    <w:rsid w:val="31D91EB7"/>
    <w:rsid w:val="31F32464"/>
    <w:rsid w:val="320B19B5"/>
    <w:rsid w:val="321C75CA"/>
    <w:rsid w:val="32221E3A"/>
    <w:rsid w:val="323B3EF4"/>
    <w:rsid w:val="327613D0"/>
    <w:rsid w:val="32891103"/>
    <w:rsid w:val="328F5FEE"/>
    <w:rsid w:val="32B05C3D"/>
    <w:rsid w:val="32B65903"/>
    <w:rsid w:val="32C97243"/>
    <w:rsid w:val="32D3412D"/>
    <w:rsid w:val="32D54349"/>
    <w:rsid w:val="32D758ED"/>
    <w:rsid w:val="32E427DE"/>
    <w:rsid w:val="32E75E2A"/>
    <w:rsid w:val="32E957B3"/>
    <w:rsid w:val="32F25814"/>
    <w:rsid w:val="33012007"/>
    <w:rsid w:val="331704BD"/>
    <w:rsid w:val="331C1F78"/>
    <w:rsid w:val="331F0FFF"/>
    <w:rsid w:val="33752011"/>
    <w:rsid w:val="3379681B"/>
    <w:rsid w:val="33913C27"/>
    <w:rsid w:val="339F3066"/>
    <w:rsid w:val="33A81761"/>
    <w:rsid w:val="33AB32FB"/>
    <w:rsid w:val="33AD15F4"/>
    <w:rsid w:val="33D44600"/>
    <w:rsid w:val="33F65183"/>
    <w:rsid w:val="34184647"/>
    <w:rsid w:val="34205944"/>
    <w:rsid w:val="34293838"/>
    <w:rsid w:val="345D63A4"/>
    <w:rsid w:val="346A0AC1"/>
    <w:rsid w:val="34842703"/>
    <w:rsid w:val="34A065F2"/>
    <w:rsid w:val="34AE6BFF"/>
    <w:rsid w:val="34B338ED"/>
    <w:rsid w:val="34D10B40"/>
    <w:rsid w:val="34F7680B"/>
    <w:rsid w:val="3522282F"/>
    <w:rsid w:val="35380BBF"/>
    <w:rsid w:val="354151A8"/>
    <w:rsid w:val="35481B32"/>
    <w:rsid w:val="35487054"/>
    <w:rsid w:val="35640B8C"/>
    <w:rsid w:val="356B5C27"/>
    <w:rsid w:val="359C1A91"/>
    <w:rsid w:val="359D25C8"/>
    <w:rsid w:val="35A5769F"/>
    <w:rsid w:val="35B34A01"/>
    <w:rsid w:val="35DE326E"/>
    <w:rsid w:val="360F1920"/>
    <w:rsid w:val="362A675A"/>
    <w:rsid w:val="36323860"/>
    <w:rsid w:val="366C0B20"/>
    <w:rsid w:val="368D0806"/>
    <w:rsid w:val="369113A0"/>
    <w:rsid w:val="36AC3612"/>
    <w:rsid w:val="36B129D7"/>
    <w:rsid w:val="36E22344"/>
    <w:rsid w:val="37184804"/>
    <w:rsid w:val="37186BCB"/>
    <w:rsid w:val="371D62BE"/>
    <w:rsid w:val="372E4027"/>
    <w:rsid w:val="374908EB"/>
    <w:rsid w:val="37604E39"/>
    <w:rsid w:val="37886D0E"/>
    <w:rsid w:val="37892729"/>
    <w:rsid w:val="378D5403"/>
    <w:rsid w:val="37A91900"/>
    <w:rsid w:val="37B9146D"/>
    <w:rsid w:val="37C02DA1"/>
    <w:rsid w:val="37D43997"/>
    <w:rsid w:val="37DD1707"/>
    <w:rsid w:val="37EC034F"/>
    <w:rsid w:val="38030B47"/>
    <w:rsid w:val="38042CE6"/>
    <w:rsid w:val="3805122C"/>
    <w:rsid w:val="38080D1C"/>
    <w:rsid w:val="38130448"/>
    <w:rsid w:val="38285B2C"/>
    <w:rsid w:val="38387BC2"/>
    <w:rsid w:val="387463B2"/>
    <w:rsid w:val="388B3307"/>
    <w:rsid w:val="38A11738"/>
    <w:rsid w:val="38B60778"/>
    <w:rsid w:val="38BA4386"/>
    <w:rsid w:val="38CF13F6"/>
    <w:rsid w:val="38CF2698"/>
    <w:rsid w:val="38D12613"/>
    <w:rsid w:val="38D4603A"/>
    <w:rsid w:val="38E5586A"/>
    <w:rsid w:val="38F76EE1"/>
    <w:rsid w:val="39003169"/>
    <w:rsid w:val="390A56A6"/>
    <w:rsid w:val="392E3D2B"/>
    <w:rsid w:val="392E6561"/>
    <w:rsid w:val="396E6807"/>
    <w:rsid w:val="39752BBC"/>
    <w:rsid w:val="39916AF0"/>
    <w:rsid w:val="39B263C8"/>
    <w:rsid w:val="39E65592"/>
    <w:rsid w:val="39E9692C"/>
    <w:rsid w:val="3A4719E4"/>
    <w:rsid w:val="3A4F795A"/>
    <w:rsid w:val="3A5F0E06"/>
    <w:rsid w:val="3A731440"/>
    <w:rsid w:val="3A9A7883"/>
    <w:rsid w:val="3AA27206"/>
    <w:rsid w:val="3AB76923"/>
    <w:rsid w:val="3ADB0022"/>
    <w:rsid w:val="3AFC061C"/>
    <w:rsid w:val="3B0B2D7A"/>
    <w:rsid w:val="3B0E4862"/>
    <w:rsid w:val="3B6C15C2"/>
    <w:rsid w:val="3B9B5F5C"/>
    <w:rsid w:val="3B9F7E10"/>
    <w:rsid w:val="3BA40ED7"/>
    <w:rsid w:val="3BC13140"/>
    <w:rsid w:val="3BD8423F"/>
    <w:rsid w:val="3BE67851"/>
    <w:rsid w:val="3C025073"/>
    <w:rsid w:val="3C0D4D62"/>
    <w:rsid w:val="3C1F4BBA"/>
    <w:rsid w:val="3C243C4B"/>
    <w:rsid w:val="3C383A60"/>
    <w:rsid w:val="3C494C91"/>
    <w:rsid w:val="3C65556D"/>
    <w:rsid w:val="3C9366F9"/>
    <w:rsid w:val="3CBD73C4"/>
    <w:rsid w:val="3D0E3394"/>
    <w:rsid w:val="3D264F8E"/>
    <w:rsid w:val="3D267967"/>
    <w:rsid w:val="3D2B00E3"/>
    <w:rsid w:val="3D3B749E"/>
    <w:rsid w:val="3D4067AC"/>
    <w:rsid w:val="3D500FAB"/>
    <w:rsid w:val="3D506799"/>
    <w:rsid w:val="3D6374D1"/>
    <w:rsid w:val="3D672041"/>
    <w:rsid w:val="3D7D7AB7"/>
    <w:rsid w:val="3DAC5AD9"/>
    <w:rsid w:val="3DD00D25"/>
    <w:rsid w:val="3E253FC4"/>
    <w:rsid w:val="3E28202B"/>
    <w:rsid w:val="3E3839DE"/>
    <w:rsid w:val="3E3F4D6C"/>
    <w:rsid w:val="3E6048F2"/>
    <w:rsid w:val="3E66686E"/>
    <w:rsid w:val="3E774FA4"/>
    <w:rsid w:val="3E781CBE"/>
    <w:rsid w:val="3EAE3EEB"/>
    <w:rsid w:val="3EB47508"/>
    <w:rsid w:val="3ED120A0"/>
    <w:rsid w:val="3EF13B78"/>
    <w:rsid w:val="3EF9561C"/>
    <w:rsid w:val="3EF956AE"/>
    <w:rsid w:val="3F0F39CE"/>
    <w:rsid w:val="3F184BE9"/>
    <w:rsid w:val="3F895173"/>
    <w:rsid w:val="3F96657B"/>
    <w:rsid w:val="3F9A55C1"/>
    <w:rsid w:val="3FDE5A59"/>
    <w:rsid w:val="3FE0432D"/>
    <w:rsid w:val="40091F50"/>
    <w:rsid w:val="402B55A8"/>
    <w:rsid w:val="40712EC2"/>
    <w:rsid w:val="408B2A3C"/>
    <w:rsid w:val="40953369"/>
    <w:rsid w:val="40997D14"/>
    <w:rsid w:val="409A44DC"/>
    <w:rsid w:val="409C2167"/>
    <w:rsid w:val="40A47108"/>
    <w:rsid w:val="40BD7AB8"/>
    <w:rsid w:val="40BF3F42"/>
    <w:rsid w:val="40D9690C"/>
    <w:rsid w:val="40DA5F94"/>
    <w:rsid w:val="40DC0D5F"/>
    <w:rsid w:val="411C4127"/>
    <w:rsid w:val="41591676"/>
    <w:rsid w:val="4175100A"/>
    <w:rsid w:val="417D0085"/>
    <w:rsid w:val="417E7792"/>
    <w:rsid w:val="41A3573D"/>
    <w:rsid w:val="41B4707C"/>
    <w:rsid w:val="41F123EE"/>
    <w:rsid w:val="41F83BB0"/>
    <w:rsid w:val="420609A4"/>
    <w:rsid w:val="421D34EF"/>
    <w:rsid w:val="422A0C37"/>
    <w:rsid w:val="42325B18"/>
    <w:rsid w:val="424F1061"/>
    <w:rsid w:val="425B70E5"/>
    <w:rsid w:val="427D6886"/>
    <w:rsid w:val="42C47C92"/>
    <w:rsid w:val="43881B76"/>
    <w:rsid w:val="438F571B"/>
    <w:rsid w:val="43B855F6"/>
    <w:rsid w:val="43DD0189"/>
    <w:rsid w:val="43E828F9"/>
    <w:rsid w:val="440A3726"/>
    <w:rsid w:val="441E753B"/>
    <w:rsid w:val="444B4EB0"/>
    <w:rsid w:val="44580936"/>
    <w:rsid w:val="447D365A"/>
    <w:rsid w:val="44945699"/>
    <w:rsid w:val="44A620DD"/>
    <w:rsid w:val="44AB18FE"/>
    <w:rsid w:val="44E1092B"/>
    <w:rsid w:val="44E52F1C"/>
    <w:rsid w:val="44E81CBA"/>
    <w:rsid w:val="450D20F5"/>
    <w:rsid w:val="451F4108"/>
    <w:rsid w:val="45233FB1"/>
    <w:rsid w:val="452E1696"/>
    <w:rsid w:val="454753F6"/>
    <w:rsid w:val="4554273F"/>
    <w:rsid w:val="455B5A30"/>
    <w:rsid w:val="4573028B"/>
    <w:rsid w:val="45741578"/>
    <w:rsid w:val="458B246E"/>
    <w:rsid w:val="45A339CF"/>
    <w:rsid w:val="45BB538B"/>
    <w:rsid w:val="45C06242"/>
    <w:rsid w:val="45D415CE"/>
    <w:rsid w:val="45DC10F2"/>
    <w:rsid w:val="46050649"/>
    <w:rsid w:val="4616050C"/>
    <w:rsid w:val="4624734D"/>
    <w:rsid w:val="46375D40"/>
    <w:rsid w:val="4640649D"/>
    <w:rsid w:val="46514099"/>
    <w:rsid w:val="465B2048"/>
    <w:rsid w:val="46832A19"/>
    <w:rsid w:val="46A55988"/>
    <w:rsid w:val="46C422B2"/>
    <w:rsid w:val="46E96292"/>
    <w:rsid w:val="46FD7572"/>
    <w:rsid w:val="4711124F"/>
    <w:rsid w:val="47525B10"/>
    <w:rsid w:val="47621C63"/>
    <w:rsid w:val="47663221"/>
    <w:rsid w:val="47747657"/>
    <w:rsid w:val="47773F9A"/>
    <w:rsid w:val="47946129"/>
    <w:rsid w:val="47B432D0"/>
    <w:rsid w:val="47D816EC"/>
    <w:rsid w:val="47EA559E"/>
    <w:rsid w:val="47FB1D04"/>
    <w:rsid w:val="48263387"/>
    <w:rsid w:val="485325D9"/>
    <w:rsid w:val="48897310"/>
    <w:rsid w:val="48B16866"/>
    <w:rsid w:val="48BF50A6"/>
    <w:rsid w:val="48C46876"/>
    <w:rsid w:val="48C974BD"/>
    <w:rsid w:val="48E66DBF"/>
    <w:rsid w:val="48F549A5"/>
    <w:rsid w:val="49246CEA"/>
    <w:rsid w:val="4964544D"/>
    <w:rsid w:val="49753A47"/>
    <w:rsid w:val="498A0BC3"/>
    <w:rsid w:val="498C4458"/>
    <w:rsid w:val="49C70F72"/>
    <w:rsid w:val="49CF3448"/>
    <w:rsid w:val="49D714F4"/>
    <w:rsid w:val="49E360AC"/>
    <w:rsid w:val="49FC7FB5"/>
    <w:rsid w:val="4A04095E"/>
    <w:rsid w:val="4A205A52"/>
    <w:rsid w:val="4A2E44F7"/>
    <w:rsid w:val="4A3258F2"/>
    <w:rsid w:val="4A373AFF"/>
    <w:rsid w:val="4A3C6604"/>
    <w:rsid w:val="4A3E171E"/>
    <w:rsid w:val="4A431740"/>
    <w:rsid w:val="4A7E749E"/>
    <w:rsid w:val="4ABB5DDB"/>
    <w:rsid w:val="4ADD7DE7"/>
    <w:rsid w:val="4AF0380B"/>
    <w:rsid w:val="4B3C70F3"/>
    <w:rsid w:val="4B572C7B"/>
    <w:rsid w:val="4B772AC1"/>
    <w:rsid w:val="4BF23C29"/>
    <w:rsid w:val="4C211DF2"/>
    <w:rsid w:val="4C2B16B2"/>
    <w:rsid w:val="4C2F4672"/>
    <w:rsid w:val="4C341C88"/>
    <w:rsid w:val="4C6C2FFF"/>
    <w:rsid w:val="4C7026A1"/>
    <w:rsid w:val="4C9149E5"/>
    <w:rsid w:val="4CF5766A"/>
    <w:rsid w:val="4D000BB8"/>
    <w:rsid w:val="4D1675E0"/>
    <w:rsid w:val="4D210B99"/>
    <w:rsid w:val="4D2764E4"/>
    <w:rsid w:val="4D287307"/>
    <w:rsid w:val="4D297313"/>
    <w:rsid w:val="4D4F306D"/>
    <w:rsid w:val="4D534855"/>
    <w:rsid w:val="4D553076"/>
    <w:rsid w:val="4D570913"/>
    <w:rsid w:val="4D731846"/>
    <w:rsid w:val="4D7A5FBF"/>
    <w:rsid w:val="4D8E32B7"/>
    <w:rsid w:val="4DC16712"/>
    <w:rsid w:val="4DF3347D"/>
    <w:rsid w:val="4E083898"/>
    <w:rsid w:val="4E1E7207"/>
    <w:rsid w:val="4E26397C"/>
    <w:rsid w:val="4E363927"/>
    <w:rsid w:val="4E45017D"/>
    <w:rsid w:val="4E48631D"/>
    <w:rsid w:val="4E574EE2"/>
    <w:rsid w:val="4E593C28"/>
    <w:rsid w:val="4E8F1028"/>
    <w:rsid w:val="4E9672AF"/>
    <w:rsid w:val="4EA639CF"/>
    <w:rsid w:val="4EA90E17"/>
    <w:rsid w:val="4EB20962"/>
    <w:rsid w:val="4F18763F"/>
    <w:rsid w:val="4F1A7ED6"/>
    <w:rsid w:val="4F1B24A1"/>
    <w:rsid w:val="4F2459B6"/>
    <w:rsid w:val="4F247D92"/>
    <w:rsid w:val="4F2E5DD1"/>
    <w:rsid w:val="4F3855EC"/>
    <w:rsid w:val="4F4421E2"/>
    <w:rsid w:val="4F54340A"/>
    <w:rsid w:val="4F616EB4"/>
    <w:rsid w:val="4F78239E"/>
    <w:rsid w:val="4F9153B3"/>
    <w:rsid w:val="4F9842DC"/>
    <w:rsid w:val="4FA038E8"/>
    <w:rsid w:val="4FA07362"/>
    <w:rsid w:val="4FA71BBE"/>
    <w:rsid w:val="4FEC5379"/>
    <w:rsid w:val="4FEE76D9"/>
    <w:rsid w:val="4FFB180F"/>
    <w:rsid w:val="502E06F0"/>
    <w:rsid w:val="503404A9"/>
    <w:rsid w:val="50583025"/>
    <w:rsid w:val="506B30D2"/>
    <w:rsid w:val="5085479A"/>
    <w:rsid w:val="5099161E"/>
    <w:rsid w:val="50A00F45"/>
    <w:rsid w:val="50BD4117"/>
    <w:rsid w:val="50CA2BBB"/>
    <w:rsid w:val="50E0418D"/>
    <w:rsid w:val="51A927D1"/>
    <w:rsid w:val="51E732F9"/>
    <w:rsid w:val="51F86E77"/>
    <w:rsid w:val="5205170E"/>
    <w:rsid w:val="52206C33"/>
    <w:rsid w:val="522602C5"/>
    <w:rsid w:val="52274009"/>
    <w:rsid w:val="5237566A"/>
    <w:rsid w:val="52521883"/>
    <w:rsid w:val="52635075"/>
    <w:rsid w:val="526867B6"/>
    <w:rsid w:val="52C0259A"/>
    <w:rsid w:val="52DB2161"/>
    <w:rsid w:val="52F20B65"/>
    <w:rsid w:val="52F910AD"/>
    <w:rsid w:val="52FE221E"/>
    <w:rsid w:val="53057EDB"/>
    <w:rsid w:val="53100AD5"/>
    <w:rsid w:val="53795458"/>
    <w:rsid w:val="53826AE9"/>
    <w:rsid w:val="53A5346C"/>
    <w:rsid w:val="53AC2E5F"/>
    <w:rsid w:val="53B0018E"/>
    <w:rsid w:val="53D041D1"/>
    <w:rsid w:val="53D22A81"/>
    <w:rsid w:val="53E95C54"/>
    <w:rsid w:val="53ED7088"/>
    <w:rsid w:val="541D2A3E"/>
    <w:rsid w:val="543A4CE8"/>
    <w:rsid w:val="543F0E99"/>
    <w:rsid w:val="545033D7"/>
    <w:rsid w:val="54555807"/>
    <w:rsid w:val="546C31DD"/>
    <w:rsid w:val="54E66898"/>
    <w:rsid w:val="551A70BA"/>
    <w:rsid w:val="5527434A"/>
    <w:rsid w:val="552C7B8F"/>
    <w:rsid w:val="55664241"/>
    <w:rsid w:val="55684751"/>
    <w:rsid w:val="55902CE3"/>
    <w:rsid w:val="55A42927"/>
    <w:rsid w:val="55B02F17"/>
    <w:rsid w:val="55B23F2B"/>
    <w:rsid w:val="55DD6EED"/>
    <w:rsid w:val="55E573DE"/>
    <w:rsid w:val="55E658E6"/>
    <w:rsid w:val="55EC35D4"/>
    <w:rsid w:val="55F27D2E"/>
    <w:rsid w:val="561E5AD1"/>
    <w:rsid w:val="5629776B"/>
    <w:rsid w:val="562C39D0"/>
    <w:rsid w:val="56311879"/>
    <w:rsid w:val="56901457"/>
    <w:rsid w:val="56925F29"/>
    <w:rsid w:val="56955EA9"/>
    <w:rsid w:val="56B87238"/>
    <w:rsid w:val="56D36DDF"/>
    <w:rsid w:val="56F1746B"/>
    <w:rsid w:val="56F92A6C"/>
    <w:rsid w:val="56FF063F"/>
    <w:rsid w:val="570B7796"/>
    <w:rsid w:val="57120E18"/>
    <w:rsid w:val="571E2C5F"/>
    <w:rsid w:val="572A2C9C"/>
    <w:rsid w:val="57351512"/>
    <w:rsid w:val="57540703"/>
    <w:rsid w:val="57576DEC"/>
    <w:rsid w:val="578576CC"/>
    <w:rsid w:val="579A5ACB"/>
    <w:rsid w:val="57A66209"/>
    <w:rsid w:val="57F303AA"/>
    <w:rsid w:val="57F57B80"/>
    <w:rsid w:val="583E49C8"/>
    <w:rsid w:val="58564D34"/>
    <w:rsid w:val="58623891"/>
    <w:rsid w:val="5863246B"/>
    <w:rsid w:val="586424CE"/>
    <w:rsid w:val="586F477E"/>
    <w:rsid w:val="587540BD"/>
    <w:rsid w:val="58787371"/>
    <w:rsid w:val="5885799A"/>
    <w:rsid w:val="588A53A7"/>
    <w:rsid w:val="58A26F75"/>
    <w:rsid w:val="58A718A8"/>
    <w:rsid w:val="58BA7326"/>
    <w:rsid w:val="58D94CB4"/>
    <w:rsid w:val="58F131BB"/>
    <w:rsid w:val="59194A2D"/>
    <w:rsid w:val="593121AC"/>
    <w:rsid w:val="59480B21"/>
    <w:rsid w:val="595C082B"/>
    <w:rsid w:val="596E3097"/>
    <w:rsid w:val="5972640B"/>
    <w:rsid w:val="597A19CC"/>
    <w:rsid w:val="59A541C5"/>
    <w:rsid w:val="59BC7869"/>
    <w:rsid w:val="59BE5B13"/>
    <w:rsid w:val="59E57ED3"/>
    <w:rsid w:val="59F02EB9"/>
    <w:rsid w:val="59F56D5F"/>
    <w:rsid w:val="59FE758C"/>
    <w:rsid w:val="5A5359CF"/>
    <w:rsid w:val="5A5B790B"/>
    <w:rsid w:val="5A941F46"/>
    <w:rsid w:val="5AB75226"/>
    <w:rsid w:val="5AC24903"/>
    <w:rsid w:val="5ADA39FB"/>
    <w:rsid w:val="5AEC5091"/>
    <w:rsid w:val="5AFF7905"/>
    <w:rsid w:val="5B14063F"/>
    <w:rsid w:val="5B301B1F"/>
    <w:rsid w:val="5B4640C2"/>
    <w:rsid w:val="5B68446A"/>
    <w:rsid w:val="5B832505"/>
    <w:rsid w:val="5B87742A"/>
    <w:rsid w:val="5B892B0A"/>
    <w:rsid w:val="5BB0583A"/>
    <w:rsid w:val="5BC63127"/>
    <w:rsid w:val="5BCD355F"/>
    <w:rsid w:val="5BFA1F2B"/>
    <w:rsid w:val="5C1C11DE"/>
    <w:rsid w:val="5C2B09CF"/>
    <w:rsid w:val="5C341424"/>
    <w:rsid w:val="5C7928FF"/>
    <w:rsid w:val="5C86208C"/>
    <w:rsid w:val="5CAB1AF3"/>
    <w:rsid w:val="5CE3308A"/>
    <w:rsid w:val="5CE874B2"/>
    <w:rsid w:val="5CEC747F"/>
    <w:rsid w:val="5D052FE7"/>
    <w:rsid w:val="5D0D6309"/>
    <w:rsid w:val="5D355342"/>
    <w:rsid w:val="5D5477F4"/>
    <w:rsid w:val="5D704AEA"/>
    <w:rsid w:val="5D9A2ED9"/>
    <w:rsid w:val="5DB8698F"/>
    <w:rsid w:val="5DC236EC"/>
    <w:rsid w:val="5DD00E42"/>
    <w:rsid w:val="5E1C1D1C"/>
    <w:rsid w:val="5E217518"/>
    <w:rsid w:val="5E226D5B"/>
    <w:rsid w:val="5E3641C2"/>
    <w:rsid w:val="5E4765B4"/>
    <w:rsid w:val="5E4F64AE"/>
    <w:rsid w:val="5E5121FC"/>
    <w:rsid w:val="5E5D7EA5"/>
    <w:rsid w:val="5E781106"/>
    <w:rsid w:val="5E99764F"/>
    <w:rsid w:val="5EA2001B"/>
    <w:rsid w:val="5EB61920"/>
    <w:rsid w:val="5EC335B0"/>
    <w:rsid w:val="5ED55DD2"/>
    <w:rsid w:val="5EFF7ED4"/>
    <w:rsid w:val="5F0266A3"/>
    <w:rsid w:val="5F04373C"/>
    <w:rsid w:val="5F105C3D"/>
    <w:rsid w:val="5F115EF5"/>
    <w:rsid w:val="5F1836D7"/>
    <w:rsid w:val="5F2146DE"/>
    <w:rsid w:val="5F232D5B"/>
    <w:rsid w:val="5F3E2AA3"/>
    <w:rsid w:val="5F531FCE"/>
    <w:rsid w:val="5F6469C8"/>
    <w:rsid w:val="5F6D4B74"/>
    <w:rsid w:val="5F6E322B"/>
    <w:rsid w:val="5F744292"/>
    <w:rsid w:val="5F7F1015"/>
    <w:rsid w:val="5F952C60"/>
    <w:rsid w:val="5FAB3BB8"/>
    <w:rsid w:val="5FC1162D"/>
    <w:rsid w:val="5FCD1D80"/>
    <w:rsid w:val="5FD51C0C"/>
    <w:rsid w:val="5FDE7435"/>
    <w:rsid w:val="606129E7"/>
    <w:rsid w:val="60662262"/>
    <w:rsid w:val="606A3A73"/>
    <w:rsid w:val="606F6BAA"/>
    <w:rsid w:val="609304B4"/>
    <w:rsid w:val="6099410B"/>
    <w:rsid w:val="609D5BF6"/>
    <w:rsid w:val="60B719D0"/>
    <w:rsid w:val="60DE55CA"/>
    <w:rsid w:val="60E8509B"/>
    <w:rsid w:val="61077631"/>
    <w:rsid w:val="610B35BB"/>
    <w:rsid w:val="614F51D8"/>
    <w:rsid w:val="618F4FA5"/>
    <w:rsid w:val="619305CB"/>
    <w:rsid w:val="61C40F61"/>
    <w:rsid w:val="61CD1945"/>
    <w:rsid w:val="61F730E4"/>
    <w:rsid w:val="61FC06FB"/>
    <w:rsid w:val="620E2B02"/>
    <w:rsid w:val="62117C02"/>
    <w:rsid w:val="621C6FEF"/>
    <w:rsid w:val="622135D0"/>
    <w:rsid w:val="622574EE"/>
    <w:rsid w:val="623361F6"/>
    <w:rsid w:val="624A22BB"/>
    <w:rsid w:val="627E0634"/>
    <w:rsid w:val="62B65C75"/>
    <w:rsid w:val="62C90F25"/>
    <w:rsid w:val="62EE48F7"/>
    <w:rsid w:val="62FE6C2E"/>
    <w:rsid w:val="633D3608"/>
    <w:rsid w:val="63487EAC"/>
    <w:rsid w:val="63575F25"/>
    <w:rsid w:val="636A327D"/>
    <w:rsid w:val="63723CCE"/>
    <w:rsid w:val="637F68CB"/>
    <w:rsid w:val="63991A5B"/>
    <w:rsid w:val="63AA328D"/>
    <w:rsid w:val="63C87805"/>
    <w:rsid w:val="63D77417"/>
    <w:rsid w:val="63D93873"/>
    <w:rsid w:val="63E451FC"/>
    <w:rsid w:val="63F27828"/>
    <w:rsid w:val="64013D86"/>
    <w:rsid w:val="64031C4A"/>
    <w:rsid w:val="64063B8B"/>
    <w:rsid w:val="640D599E"/>
    <w:rsid w:val="643A6EA0"/>
    <w:rsid w:val="6463157A"/>
    <w:rsid w:val="646D246D"/>
    <w:rsid w:val="64760C38"/>
    <w:rsid w:val="64781C37"/>
    <w:rsid w:val="647F69FC"/>
    <w:rsid w:val="64806C3F"/>
    <w:rsid w:val="64A17E2B"/>
    <w:rsid w:val="64A849CD"/>
    <w:rsid w:val="64AB7B86"/>
    <w:rsid w:val="64AF7CA6"/>
    <w:rsid w:val="64CF1F8E"/>
    <w:rsid w:val="64EA6F30"/>
    <w:rsid w:val="64EC5A6B"/>
    <w:rsid w:val="64FE03D4"/>
    <w:rsid w:val="650D77AD"/>
    <w:rsid w:val="65123C8E"/>
    <w:rsid w:val="652A1846"/>
    <w:rsid w:val="653463FD"/>
    <w:rsid w:val="653666D1"/>
    <w:rsid w:val="655A6C10"/>
    <w:rsid w:val="655F08FD"/>
    <w:rsid w:val="656C72D4"/>
    <w:rsid w:val="65757142"/>
    <w:rsid w:val="6597576B"/>
    <w:rsid w:val="65994426"/>
    <w:rsid w:val="659F339F"/>
    <w:rsid w:val="65AE61B0"/>
    <w:rsid w:val="65D8322D"/>
    <w:rsid w:val="66090E80"/>
    <w:rsid w:val="6611701E"/>
    <w:rsid w:val="6612673F"/>
    <w:rsid w:val="662E109F"/>
    <w:rsid w:val="66527EDB"/>
    <w:rsid w:val="669D5D0D"/>
    <w:rsid w:val="66BB341A"/>
    <w:rsid w:val="66CA0DC7"/>
    <w:rsid w:val="66E82209"/>
    <w:rsid w:val="66FA4111"/>
    <w:rsid w:val="67361805"/>
    <w:rsid w:val="676007DA"/>
    <w:rsid w:val="676447AF"/>
    <w:rsid w:val="678B7F35"/>
    <w:rsid w:val="678E0047"/>
    <w:rsid w:val="67B30311"/>
    <w:rsid w:val="67C5505B"/>
    <w:rsid w:val="67CA4DF7"/>
    <w:rsid w:val="67EB36EB"/>
    <w:rsid w:val="67FD2A7B"/>
    <w:rsid w:val="67FE14C1"/>
    <w:rsid w:val="680705F0"/>
    <w:rsid w:val="68210070"/>
    <w:rsid w:val="683164CC"/>
    <w:rsid w:val="683D381B"/>
    <w:rsid w:val="687E455F"/>
    <w:rsid w:val="68BB3495"/>
    <w:rsid w:val="68C654A3"/>
    <w:rsid w:val="68CD4B9F"/>
    <w:rsid w:val="68DB190B"/>
    <w:rsid w:val="68DB550E"/>
    <w:rsid w:val="68F93BE6"/>
    <w:rsid w:val="69151D3F"/>
    <w:rsid w:val="69302453"/>
    <w:rsid w:val="6932084A"/>
    <w:rsid w:val="696279DD"/>
    <w:rsid w:val="69634496"/>
    <w:rsid w:val="697422E7"/>
    <w:rsid w:val="69826C78"/>
    <w:rsid w:val="698618DB"/>
    <w:rsid w:val="69AB7AC2"/>
    <w:rsid w:val="69B53FDD"/>
    <w:rsid w:val="69C82ECD"/>
    <w:rsid w:val="69E02F27"/>
    <w:rsid w:val="69EB5F64"/>
    <w:rsid w:val="6A0740E0"/>
    <w:rsid w:val="6A315029"/>
    <w:rsid w:val="6A767A3B"/>
    <w:rsid w:val="6AA638F9"/>
    <w:rsid w:val="6AB1009A"/>
    <w:rsid w:val="6AB37DC4"/>
    <w:rsid w:val="6AB762A1"/>
    <w:rsid w:val="6AE306AA"/>
    <w:rsid w:val="6AEA2E42"/>
    <w:rsid w:val="6B157332"/>
    <w:rsid w:val="6B35089D"/>
    <w:rsid w:val="6B3B0B6A"/>
    <w:rsid w:val="6B6358E5"/>
    <w:rsid w:val="6B80158D"/>
    <w:rsid w:val="6B810D12"/>
    <w:rsid w:val="6B8860DC"/>
    <w:rsid w:val="6B8D3CBB"/>
    <w:rsid w:val="6B95409A"/>
    <w:rsid w:val="6BA21702"/>
    <w:rsid w:val="6BAE7000"/>
    <w:rsid w:val="6BB05959"/>
    <w:rsid w:val="6BD67C2C"/>
    <w:rsid w:val="6BD75E5E"/>
    <w:rsid w:val="6C03325C"/>
    <w:rsid w:val="6C0703C8"/>
    <w:rsid w:val="6C111246"/>
    <w:rsid w:val="6C431E4A"/>
    <w:rsid w:val="6C5C04D5"/>
    <w:rsid w:val="6C7D068A"/>
    <w:rsid w:val="6C853AC0"/>
    <w:rsid w:val="6CAF5F85"/>
    <w:rsid w:val="6CB13F20"/>
    <w:rsid w:val="6CCA6527"/>
    <w:rsid w:val="6D0C2248"/>
    <w:rsid w:val="6D185B38"/>
    <w:rsid w:val="6D196A71"/>
    <w:rsid w:val="6D1E181B"/>
    <w:rsid w:val="6D576C06"/>
    <w:rsid w:val="6D8E04C3"/>
    <w:rsid w:val="6D91263F"/>
    <w:rsid w:val="6D9B2320"/>
    <w:rsid w:val="6DCF51C3"/>
    <w:rsid w:val="6DEE1649"/>
    <w:rsid w:val="6DF80F06"/>
    <w:rsid w:val="6E427A2B"/>
    <w:rsid w:val="6E522E34"/>
    <w:rsid w:val="6E753D0F"/>
    <w:rsid w:val="6EA942E9"/>
    <w:rsid w:val="6EEF0AFB"/>
    <w:rsid w:val="6F0532E4"/>
    <w:rsid w:val="6F226848"/>
    <w:rsid w:val="6F3941EE"/>
    <w:rsid w:val="6F394D3C"/>
    <w:rsid w:val="6F572D08"/>
    <w:rsid w:val="6F6A2900"/>
    <w:rsid w:val="6FAC15EA"/>
    <w:rsid w:val="6FB6638D"/>
    <w:rsid w:val="6FB83CDB"/>
    <w:rsid w:val="6FD5142D"/>
    <w:rsid w:val="6FD83309"/>
    <w:rsid w:val="6FE729EA"/>
    <w:rsid w:val="70226BBE"/>
    <w:rsid w:val="70227308"/>
    <w:rsid w:val="70433983"/>
    <w:rsid w:val="70524061"/>
    <w:rsid w:val="7062434D"/>
    <w:rsid w:val="70853498"/>
    <w:rsid w:val="70974410"/>
    <w:rsid w:val="70CE3BAA"/>
    <w:rsid w:val="70F21646"/>
    <w:rsid w:val="70F27FBE"/>
    <w:rsid w:val="70FC7A0D"/>
    <w:rsid w:val="71092E34"/>
    <w:rsid w:val="712F4D7E"/>
    <w:rsid w:val="7148395C"/>
    <w:rsid w:val="71586B6E"/>
    <w:rsid w:val="715916C6"/>
    <w:rsid w:val="71685DAD"/>
    <w:rsid w:val="71C3072F"/>
    <w:rsid w:val="71C4522A"/>
    <w:rsid w:val="71F0219F"/>
    <w:rsid w:val="720400C9"/>
    <w:rsid w:val="72074872"/>
    <w:rsid w:val="722928F0"/>
    <w:rsid w:val="72326057"/>
    <w:rsid w:val="726C5429"/>
    <w:rsid w:val="7289422C"/>
    <w:rsid w:val="72BB4D4E"/>
    <w:rsid w:val="72BE4B83"/>
    <w:rsid w:val="72CE60E3"/>
    <w:rsid w:val="72FA2A34"/>
    <w:rsid w:val="73094A27"/>
    <w:rsid w:val="7313268A"/>
    <w:rsid w:val="731C3A74"/>
    <w:rsid w:val="73200F6B"/>
    <w:rsid w:val="732301DD"/>
    <w:rsid w:val="73412411"/>
    <w:rsid w:val="735838F4"/>
    <w:rsid w:val="73A731A8"/>
    <w:rsid w:val="73F41B79"/>
    <w:rsid w:val="746A71CC"/>
    <w:rsid w:val="74715CA6"/>
    <w:rsid w:val="747D3BF4"/>
    <w:rsid w:val="748B7807"/>
    <w:rsid w:val="749142BC"/>
    <w:rsid w:val="74924123"/>
    <w:rsid w:val="74982505"/>
    <w:rsid w:val="74BB1904"/>
    <w:rsid w:val="74C652C4"/>
    <w:rsid w:val="74D07EF1"/>
    <w:rsid w:val="74D249BF"/>
    <w:rsid w:val="74D30CEA"/>
    <w:rsid w:val="74FA060F"/>
    <w:rsid w:val="74FF07D6"/>
    <w:rsid w:val="751122B7"/>
    <w:rsid w:val="754358D4"/>
    <w:rsid w:val="754E52B9"/>
    <w:rsid w:val="75691267"/>
    <w:rsid w:val="756D208F"/>
    <w:rsid w:val="75794EF1"/>
    <w:rsid w:val="75954C96"/>
    <w:rsid w:val="75EC2630"/>
    <w:rsid w:val="75F945AA"/>
    <w:rsid w:val="75FF0A2F"/>
    <w:rsid w:val="76114DF8"/>
    <w:rsid w:val="762113D6"/>
    <w:rsid w:val="7621477C"/>
    <w:rsid w:val="76237A02"/>
    <w:rsid w:val="766C025E"/>
    <w:rsid w:val="767F7FDC"/>
    <w:rsid w:val="76944A1D"/>
    <w:rsid w:val="76A553AD"/>
    <w:rsid w:val="76CF1D66"/>
    <w:rsid w:val="76DC57A8"/>
    <w:rsid w:val="76F459ED"/>
    <w:rsid w:val="76F66D3B"/>
    <w:rsid w:val="770563B7"/>
    <w:rsid w:val="77253DF8"/>
    <w:rsid w:val="77447586"/>
    <w:rsid w:val="77492B49"/>
    <w:rsid w:val="77581849"/>
    <w:rsid w:val="778F27E0"/>
    <w:rsid w:val="77A17922"/>
    <w:rsid w:val="77A86F03"/>
    <w:rsid w:val="77C27899"/>
    <w:rsid w:val="77CC4FE8"/>
    <w:rsid w:val="77D00955"/>
    <w:rsid w:val="77DE40CB"/>
    <w:rsid w:val="77ED2B68"/>
    <w:rsid w:val="77F23F79"/>
    <w:rsid w:val="781135E0"/>
    <w:rsid w:val="78134ED6"/>
    <w:rsid w:val="781A3C0D"/>
    <w:rsid w:val="781E71C5"/>
    <w:rsid w:val="78305FF2"/>
    <w:rsid w:val="7831514A"/>
    <w:rsid w:val="7862576A"/>
    <w:rsid w:val="78694157"/>
    <w:rsid w:val="78767001"/>
    <w:rsid w:val="78802C29"/>
    <w:rsid w:val="78882890"/>
    <w:rsid w:val="788C05D2"/>
    <w:rsid w:val="78A37D6E"/>
    <w:rsid w:val="78C733B9"/>
    <w:rsid w:val="78CB7C22"/>
    <w:rsid w:val="78D8683C"/>
    <w:rsid w:val="792E66F3"/>
    <w:rsid w:val="79587DE7"/>
    <w:rsid w:val="796203CB"/>
    <w:rsid w:val="79721454"/>
    <w:rsid w:val="79B44386"/>
    <w:rsid w:val="79D044EF"/>
    <w:rsid w:val="79D91CF2"/>
    <w:rsid w:val="79EE6A68"/>
    <w:rsid w:val="7A0A5C53"/>
    <w:rsid w:val="7A3E7618"/>
    <w:rsid w:val="7A666C01"/>
    <w:rsid w:val="7AA254E9"/>
    <w:rsid w:val="7AB94F83"/>
    <w:rsid w:val="7ACC4526"/>
    <w:rsid w:val="7AD335FD"/>
    <w:rsid w:val="7AE5282F"/>
    <w:rsid w:val="7AEA5A84"/>
    <w:rsid w:val="7AF956FC"/>
    <w:rsid w:val="7AFA0342"/>
    <w:rsid w:val="7B0A3E0A"/>
    <w:rsid w:val="7B537186"/>
    <w:rsid w:val="7B7325B5"/>
    <w:rsid w:val="7B7419DE"/>
    <w:rsid w:val="7B962059"/>
    <w:rsid w:val="7B9D6653"/>
    <w:rsid w:val="7BB35E76"/>
    <w:rsid w:val="7BB5399C"/>
    <w:rsid w:val="7BD8404F"/>
    <w:rsid w:val="7BEA32F2"/>
    <w:rsid w:val="7C003A54"/>
    <w:rsid w:val="7C0C4D38"/>
    <w:rsid w:val="7C224440"/>
    <w:rsid w:val="7C373DB7"/>
    <w:rsid w:val="7C4228B4"/>
    <w:rsid w:val="7C593FC6"/>
    <w:rsid w:val="7C5D47C4"/>
    <w:rsid w:val="7C635AEE"/>
    <w:rsid w:val="7C6B5BDD"/>
    <w:rsid w:val="7C75312C"/>
    <w:rsid w:val="7CB14587"/>
    <w:rsid w:val="7CC25723"/>
    <w:rsid w:val="7CDC64E9"/>
    <w:rsid w:val="7CF851FF"/>
    <w:rsid w:val="7CF91FAF"/>
    <w:rsid w:val="7D0A41BC"/>
    <w:rsid w:val="7D0A71D3"/>
    <w:rsid w:val="7D657A65"/>
    <w:rsid w:val="7D835243"/>
    <w:rsid w:val="7D842440"/>
    <w:rsid w:val="7DA94ABE"/>
    <w:rsid w:val="7DB26730"/>
    <w:rsid w:val="7DDA3F31"/>
    <w:rsid w:val="7DEC38C1"/>
    <w:rsid w:val="7E073573"/>
    <w:rsid w:val="7E2D0162"/>
    <w:rsid w:val="7E3B60DE"/>
    <w:rsid w:val="7E3E3355"/>
    <w:rsid w:val="7E4F53E9"/>
    <w:rsid w:val="7E5B02D6"/>
    <w:rsid w:val="7E8835EA"/>
    <w:rsid w:val="7EC30AC6"/>
    <w:rsid w:val="7EC76825"/>
    <w:rsid w:val="7ECB15DA"/>
    <w:rsid w:val="7EDC6139"/>
    <w:rsid w:val="7EEE135D"/>
    <w:rsid w:val="7EF5338B"/>
    <w:rsid w:val="7F062761"/>
    <w:rsid w:val="7F0655E7"/>
    <w:rsid w:val="7F0F6A6B"/>
    <w:rsid w:val="7F163DBA"/>
    <w:rsid w:val="7F290C8A"/>
    <w:rsid w:val="7F2F7F0A"/>
    <w:rsid w:val="7F3C32C9"/>
    <w:rsid w:val="7F4219EB"/>
    <w:rsid w:val="7F572FBC"/>
    <w:rsid w:val="7F57487B"/>
    <w:rsid w:val="7F606B63"/>
    <w:rsid w:val="7F89586C"/>
    <w:rsid w:val="7F913CFA"/>
    <w:rsid w:val="7F914DD0"/>
    <w:rsid w:val="7FA239C6"/>
    <w:rsid w:val="7FB7288D"/>
    <w:rsid w:val="7FB73A06"/>
    <w:rsid w:val="7FC02E5E"/>
    <w:rsid w:val="7FC24B9F"/>
    <w:rsid w:val="7FC71EF0"/>
    <w:rsid w:val="7FDA4D25"/>
    <w:rsid w:val="7FFB07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nhideWhenUsed="0" w:uiPriority="0"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qFormat="1" w:uiPriority="0" w:semiHidden="0"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4">
    <w:name w:val="heading 2"/>
    <w:basedOn w:val="1"/>
    <w:next w:val="1"/>
    <w:link w:val="46"/>
    <w:qFormat/>
    <w:uiPriority w:val="99"/>
    <w:pPr>
      <w:keepNext/>
      <w:keepLines/>
      <w:spacing w:before="260" w:after="260" w:line="416" w:lineRule="auto"/>
      <w:outlineLvl w:val="1"/>
    </w:pPr>
    <w:rPr>
      <w:rFonts w:ascii="Calibri Light" w:hAnsi="Calibri Light"/>
      <w:b/>
      <w:bCs/>
      <w:kern w:val="0"/>
      <w:sz w:val="32"/>
      <w:szCs w:val="32"/>
    </w:rPr>
  </w:style>
  <w:style w:type="paragraph" w:styleId="5">
    <w:name w:val="heading 3"/>
    <w:basedOn w:val="1"/>
    <w:next w:val="6"/>
    <w:link w:val="47"/>
    <w:qFormat/>
    <w:uiPriority w:val="99"/>
    <w:pPr>
      <w:keepNext/>
      <w:keepLines/>
      <w:spacing w:before="260" w:after="260" w:line="416" w:lineRule="auto"/>
      <w:outlineLvl w:val="2"/>
    </w:pPr>
    <w:rPr>
      <w:b/>
      <w:bCs/>
      <w:kern w:val="0"/>
      <w:sz w:val="32"/>
      <w:szCs w:val="32"/>
    </w:rPr>
  </w:style>
  <w:style w:type="paragraph" w:styleId="7">
    <w:name w:val="heading 4"/>
    <w:basedOn w:val="1"/>
    <w:next w:val="1"/>
    <w:link w:val="48"/>
    <w:qFormat/>
    <w:uiPriority w:val="99"/>
    <w:pPr>
      <w:keepNext/>
      <w:keepLines/>
      <w:spacing w:before="280" w:after="290" w:line="376" w:lineRule="auto"/>
      <w:outlineLvl w:val="3"/>
    </w:pPr>
    <w:rPr>
      <w:rFonts w:ascii="Calibri Light" w:hAnsi="Calibri Light"/>
      <w:b/>
      <w:bCs/>
      <w:kern w:val="0"/>
      <w:sz w:val="28"/>
      <w:szCs w:val="28"/>
    </w:rPr>
  </w:style>
  <w:style w:type="paragraph" w:styleId="8">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List 2"/>
    <w:basedOn w:val="1"/>
    <w:unhideWhenUsed/>
    <w:qFormat/>
    <w:locked/>
    <w:uiPriority w:val="0"/>
    <w:pPr>
      <w:ind w:left="100" w:leftChars="200" w:hanging="200" w:hangingChars="200"/>
      <w:contextualSpacing/>
    </w:pPr>
  </w:style>
  <w:style w:type="paragraph" w:styleId="6">
    <w:name w:val="Normal Indent"/>
    <w:basedOn w:val="1"/>
    <w:next w:val="1"/>
    <w:link w:val="62"/>
    <w:qFormat/>
    <w:uiPriority w:val="99"/>
    <w:pPr>
      <w:widowControl/>
      <w:snapToGrid w:val="0"/>
      <w:spacing w:line="480" w:lineRule="exact"/>
      <w:ind w:firstLine="567"/>
    </w:pPr>
    <w:rPr>
      <w:rFonts w:ascii="宋体"/>
      <w:snapToGrid w:val="0"/>
      <w:color w:val="000000"/>
      <w:kern w:val="28"/>
      <w:sz w:val="28"/>
      <w:szCs w:val="20"/>
    </w:rPr>
  </w:style>
  <w:style w:type="paragraph" w:styleId="9">
    <w:name w:val="List Number 2"/>
    <w:basedOn w:val="1"/>
    <w:next w:val="10"/>
    <w:qFormat/>
    <w:uiPriority w:val="99"/>
    <w:pPr>
      <w:numPr>
        <w:ilvl w:val="0"/>
        <w:numId w:val="2"/>
      </w:numPr>
    </w:pPr>
  </w:style>
  <w:style w:type="paragraph" w:styleId="10">
    <w:name w:val="Body Text"/>
    <w:basedOn w:val="1"/>
    <w:link w:val="51"/>
    <w:qFormat/>
    <w:locked/>
    <w:uiPriority w:val="99"/>
    <w:pPr>
      <w:spacing w:line="360" w:lineRule="auto"/>
    </w:pPr>
    <w:rPr>
      <w:rFonts w:eastAsia="仿宋_GB2312"/>
      <w:sz w:val="28"/>
    </w:rPr>
  </w:style>
  <w:style w:type="paragraph" w:styleId="11">
    <w:name w:val="List Number"/>
    <w:basedOn w:val="1"/>
    <w:qFormat/>
    <w:uiPriority w:val="99"/>
    <w:pPr>
      <w:numPr>
        <w:ilvl w:val="0"/>
        <w:numId w:val="3"/>
      </w:numPr>
    </w:pPr>
  </w:style>
  <w:style w:type="paragraph" w:styleId="12">
    <w:name w:val="Document Map"/>
    <w:basedOn w:val="1"/>
    <w:link w:val="49"/>
    <w:semiHidden/>
    <w:qFormat/>
    <w:locked/>
    <w:uiPriority w:val="99"/>
    <w:pPr>
      <w:shd w:val="clear" w:color="auto" w:fill="000080"/>
      <w:adjustRightInd/>
    </w:pPr>
    <w:rPr>
      <w:rFonts w:ascii="宋体"/>
      <w:sz w:val="18"/>
      <w:szCs w:val="18"/>
    </w:rPr>
  </w:style>
  <w:style w:type="paragraph" w:styleId="13">
    <w:name w:val="annotation text"/>
    <w:basedOn w:val="1"/>
    <w:link w:val="50"/>
    <w:qFormat/>
    <w:uiPriority w:val="99"/>
    <w:pPr>
      <w:adjustRightInd/>
      <w:jc w:val="left"/>
    </w:pPr>
    <w:rPr>
      <w:kern w:val="0"/>
      <w:sz w:val="24"/>
      <w:lang w:val="zh-CN"/>
    </w:rPr>
  </w:style>
  <w:style w:type="paragraph" w:styleId="14">
    <w:name w:val="Body Text Indent"/>
    <w:basedOn w:val="1"/>
    <w:link w:val="52"/>
    <w:qFormat/>
    <w:uiPriority w:val="99"/>
    <w:pPr>
      <w:spacing w:after="120"/>
      <w:ind w:left="420" w:leftChars="200"/>
    </w:pPr>
    <w:rPr>
      <w:kern w:val="0"/>
      <w:sz w:val="24"/>
    </w:rPr>
  </w:style>
  <w:style w:type="paragraph" w:styleId="15">
    <w:name w:val="List Number 3"/>
    <w:basedOn w:val="1"/>
    <w:qFormat/>
    <w:uiPriority w:val="99"/>
    <w:pPr>
      <w:numPr>
        <w:ilvl w:val="0"/>
        <w:numId w:val="4"/>
      </w:numPr>
    </w:pPr>
  </w:style>
  <w:style w:type="paragraph" w:styleId="16">
    <w:name w:val="Block Text"/>
    <w:basedOn w:val="1"/>
    <w:unhideWhenUsed/>
    <w:qFormat/>
    <w:locked/>
    <w:uiPriority w:val="99"/>
    <w:pPr>
      <w:spacing w:after="120"/>
      <w:ind w:left="1440" w:leftChars="700" w:right="1440" w:rightChars="700"/>
    </w:pPr>
  </w:style>
  <w:style w:type="paragraph" w:styleId="17">
    <w:name w:val="Plain Text"/>
    <w:basedOn w:val="1"/>
    <w:next w:val="6"/>
    <w:link w:val="53"/>
    <w:qFormat/>
    <w:uiPriority w:val="99"/>
    <w:rPr>
      <w:rFonts w:ascii="宋体" w:hAnsi="Courier New"/>
      <w:kern w:val="0"/>
      <w:szCs w:val="20"/>
    </w:rPr>
  </w:style>
  <w:style w:type="paragraph" w:styleId="18">
    <w:name w:val="Date"/>
    <w:basedOn w:val="1"/>
    <w:next w:val="1"/>
    <w:link w:val="54"/>
    <w:qFormat/>
    <w:uiPriority w:val="99"/>
    <w:pPr>
      <w:ind w:left="100" w:leftChars="2500"/>
    </w:pPr>
    <w:rPr>
      <w:rFonts w:ascii="宋体"/>
      <w:kern w:val="0"/>
      <w:szCs w:val="20"/>
      <w:lang w:val="zh-CN"/>
    </w:rPr>
  </w:style>
  <w:style w:type="paragraph" w:styleId="19">
    <w:name w:val="Body Text Indent 2"/>
    <w:basedOn w:val="1"/>
    <w:link w:val="55"/>
    <w:semiHidden/>
    <w:qFormat/>
    <w:locked/>
    <w:uiPriority w:val="99"/>
    <w:pPr>
      <w:spacing w:after="120" w:line="480" w:lineRule="auto"/>
      <w:ind w:left="420" w:leftChars="200"/>
    </w:pPr>
  </w:style>
  <w:style w:type="paragraph" w:styleId="20">
    <w:name w:val="Balloon Text"/>
    <w:basedOn w:val="1"/>
    <w:link w:val="89"/>
    <w:semiHidden/>
    <w:qFormat/>
    <w:locked/>
    <w:uiPriority w:val="99"/>
    <w:rPr>
      <w:sz w:val="18"/>
      <w:szCs w:val="18"/>
    </w:rPr>
  </w:style>
  <w:style w:type="paragraph" w:styleId="21">
    <w:name w:val="footer"/>
    <w:basedOn w:val="1"/>
    <w:link w:val="56"/>
    <w:qFormat/>
    <w:uiPriority w:val="99"/>
    <w:pPr>
      <w:tabs>
        <w:tab w:val="center" w:pos="4153"/>
        <w:tab w:val="right" w:pos="8306"/>
      </w:tabs>
      <w:snapToGrid w:val="0"/>
      <w:jc w:val="left"/>
    </w:pPr>
    <w:rPr>
      <w:kern w:val="0"/>
      <w:sz w:val="18"/>
      <w:szCs w:val="18"/>
    </w:rPr>
  </w:style>
  <w:style w:type="paragraph" w:styleId="22">
    <w:name w:val="header"/>
    <w:basedOn w:val="1"/>
    <w:link w:val="61"/>
    <w:qFormat/>
    <w:uiPriority w:val="99"/>
    <w:pPr>
      <w:pBdr>
        <w:bottom w:val="single" w:color="auto" w:sz="6" w:space="1"/>
      </w:pBdr>
      <w:tabs>
        <w:tab w:val="center" w:pos="4153"/>
        <w:tab w:val="right" w:pos="8306"/>
      </w:tabs>
      <w:snapToGrid w:val="0"/>
      <w:jc w:val="center"/>
    </w:pPr>
    <w:rPr>
      <w:kern w:val="0"/>
      <w:sz w:val="18"/>
      <w:szCs w:val="20"/>
    </w:rPr>
  </w:style>
  <w:style w:type="paragraph" w:styleId="23">
    <w:name w:val="footnote text"/>
    <w:basedOn w:val="1"/>
    <w:qFormat/>
    <w:locked/>
    <w:uiPriority w:val="0"/>
    <w:pPr>
      <w:snapToGrid w:val="0"/>
      <w:jc w:val="left"/>
    </w:pPr>
    <w:rPr>
      <w:sz w:val="18"/>
    </w:rPr>
  </w:style>
  <w:style w:type="paragraph" w:styleId="24">
    <w:name w:val="Body Text 2"/>
    <w:basedOn w:val="1"/>
    <w:link w:val="58"/>
    <w:qFormat/>
    <w:uiPriority w:val="99"/>
    <w:pPr>
      <w:widowControl/>
      <w:spacing w:afterLines="50" w:line="216" w:lineRule="auto"/>
      <w:jc w:val="center"/>
    </w:pPr>
    <w:rPr>
      <w:kern w:val="0"/>
      <w:sz w:val="24"/>
    </w:rPr>
  </w:style>
  <w:style w:type="paragraph" w:styleId="25">
    <w:name w:val="HTML Preformatted"/>
    <w:basedOn w:val="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6">
    <w:name w:val="Normal (Web)"/>
    <w:basedOn w:val="1"/>
    <w:qFormat/>
    <w:locked/>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link w:val="59"/>
    <w:qFormat/>
    <w:uiPriority w:val="99"/>
    <w:pPr>
      <w:spacing w:before="240" w:after="60"/>
      <w:jc w:val="center"/>
      <w:outlineLvl w:val="0"/>
    </w:pPr>
    <w:rPr>
      <w:rFonts w:ascii="Calibri Light" w:hAnsi="Calibri Light"/>
      <w:b/>
      <w:bCs/>
      <w:kern w:val="0"/>
      <w:sz w:val="32"/>
      <w:szCs w:val="32"/>
    </w:rPr>
  </w:style>
  <w:style w:type="paragraph" w:styleId="28">
    <w:name w:val="annotation subject"/>
    <w:basedOn w:val="13"/>
    <w:next w:val="13"/>
    <w:link w:val="60"/>
    <w:qFormat/>
    <w:uiPriority w:val="99"/>
    <w:pPr>
      <w:widowControl/>
      <w:spacing w:afterLines="50"/>
    </w:pPr>
    <w:rPr>
      <w:b/>
      <w:bCs/>
    </w:rPr>
  </w:style>
  <w:style w:type="paragraph" w:styleId="29">
    <w:name w:val="Body Text First Indent"/>
    <w:basedOn w:val="10"/>
    <w:qFormat/>
    <w:locked/>
    <w:uiPriority w:val="0"/>
    <w:pPr>
      <w:adjustRightInd/>
      <w:spacing w:after="120" w:line="240" w:lineRule="auto"/>
      <w:ind w:firstLine="420" w:firstLineChars="100"/>
    </w:pPr>
    <w:rPr>
      <w:sz w:val="21"/>
    </w:rPr>
  </w:style>
  <w:style w:type="paragraph" w:styleId="30">
    <w:name w:val="Body Text First Indent 2"/>
    <w:basedOn w:val="14"/>
    <w:qFormat/>
    <w:locked/>
    <w:uiPriority w:val="99"/>
    <w:pPr>
      <w:ind w:firstLine="420" w:firstLineChars="200"/>
    </w:pPr>
    <w:rPr>
      <w:sz w:val="21"/>
    </w:rPr>
  </w:style>
  <w:style w:type="table" w:styleId="32">
    <w:name w:val="Table Grid"/>
    <w:basedOn w:val="3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page number"/>
    <w:basedOn w:val="33"/>
    <w:qFormat/>
    <w:uiPriority w:val="99"/>
    <w:rPr>
      <w:rFonts w:ascii="Arial" w:hAnsi="Arial" w:eastAsia="黑体" w:cs="Times New Roman"/>
      <w:snapToGrid w:val="0"/>
      <w:kern w:val="0"/>
      <w:sz w:val="21"/>
    </w:rPr>
  </w:style>
  <w:style w:type="character" w:styleId="36">
    <w:name w:val="FollowedHyperlink"/>
    <w:basedOn w:val="33"/>
    <w:qFormat/>
    <w:locked/>
    <w:uiPriority w:val="99"/>
    <w:rPr>
      <w:rFonts w:cs="Times New Roman"/>
      <w:color w:val="800080"/>
      <w:u w:val="none"/>
    </w:rPr>
  </w:style>
  <w:style w:type="character" w:styleId="37">
    <w:name w:val="Emphasis"/>
    <w:basedOn w:val="33"/>
    <w:qFormat/>
    <w:uiPriority w:val="0"/>
    <w:rPr>
      <w:i/>
    </w:rPr>
  </w:style>
  <w:style w:type="character" w:styleId="38">
    <w:name w:val="Hyperlink"/>
    <w:basedOn w:val="33"/>
    <w:qFormat/>
    <w:uiPriority w:val="99"/>
    <w:rPr>
      <w:rFonts w:cs="Times New Roman"/>
      <w:color w:val="0000FF"/>
      <w:u w:val="single"/>
    </w:rPr>
  </w:style>
  <w:style w:type="character" w:styleId="39">
    <w:name w:val="annotation reference"/>
    <w:basedOn w:val="33"/>
    <w:semiHidden/>
    <w:qFormat/>
    <w:locked/>
    <w:uiPriority w:val="99"/>
    <w:rPr>
      <w:rFonts w:cs="Times New Roman"/>
      <w:sz w:val="21"/>
      <w:szCs w:val="21"/>
    </w:rPr>
  </w:style>
  <w:style w:type="paragraph" w:customStyle="1" w:styleId="40">
    <w:name w:val="表格文字"/>
    <w:basedOn w:val="1"/>
    <w:next w:val="10"/>
    <w:qFormat/>
    <w:uiPriority w:val="99"/>
    <w:pPr>
      <w:jc w:val="left"/>
    </w:pPr>
    <w:rPr>
      <w:szCs w:val="21"/>
    </w:rPr>
  </w:style>
  <w:style w:type="paragraph" w:customStyle="1" w:styleId="41">
    <w:name w:val="Body Text First Indent 21"/>
    <w:basedOn w:val="42"/>
    <w:qFormat/>
    <w:uiPriority w:val="0"/>
    <w:pPr>
      <w:ind w:firstLine="420"/>
    </w:pPr>
    <w:rPr>
      <w:rFonts w:cs="宋体"/>
    </w:rPr>
  </w:style>
  <w:style w:type="paragraph" w:customStyle="1" w:styleId="42">
    <w:name w:val="Body Text Indent1"/>
    <w:basedOn w:val="1"/>
    <w:next w:val="1"/>
    <w:qFormat/>
    <w:uiPriority w:val="0"/>
    <w:pPr>
      <w:spacing w:after="120"/>
      <w:ind w:left="420" w:leftChars="200"/>
    </w:pPr>
    <w:rPr>
      <w:color w:val="000000"/>
      <w:szCs w:val="21"/>
    </w:rPr>
  </w:style>
  <w:style w:type="paragraph" w:customStyle="1" w:styleId="43">
    <w:name w:val="[Normal]"/>
    <w:qFormat/>
    <w:uiPriority w:val="0"/>
    <w:rPr>
      <w:rFonts w:ascii="宋体" w:hAnsi="宋体" w:eastAsia="宋体" w:cs="Times New Roman"/>
      <w:sz w:val="24"/>
      <w:szCs w:val="22"/>
      <w:lang w:val="zh-CN" w:eastAsia="zh-CN" w:bidi="ar-SA"/>
    </w:rPr>
  </w:style>
  <w:style w:type="paragraph" w:customStyle="1" w:styleId="44">
    <w:name w:val="首行缩进"/>
    <w:basedOn w:val="1"/>
    <w:next w:val="10"/>
    <w:qFormat/>
    <w:uiPriority w:val="99"/>
    <w:pPr>
      <w:spacing w:line="360" w:lineRule="auto"/>
      <w:ind w:firstLine="480" w:firstLineChars="200"/>
    </w:pPr>
    <w:rPr>
      <w:sz w:val="24"/>
      <w:szCs w:val="22"/>
      <w:lang w:val="zh-CN"/>
    </w:rPr>
  </w:style>
  <w:style w:type="character" w:customStyle="1" w:styleId="45">
    <w:name w:val="标题 1 字符"/>
    <w:basedOn w:val="33"/>
    <w:link w:val="3"/>
    <w:qFormat/>
    <w:locked/>
    <w:uiPriority w:val="99"/>
    <w:rPr>
      <w:rFonts w:eastAsia="仿宋_GB2312"/>
      <w:b/>
      <w:kern w:val="44"/>
      <w:sz w:val="44"/>
      <w:szCs w:val="20"/>
    </w:rPr>
  </w:style>
  <w:style w:type="character" w:customStyle="1" w:styleId="46">
    <w:name w:val="标题 2 字符"/>
    <w:basedOn w:val="33"/>
    <w:link w:val="4"/>
    <w:semiHidden/>
    <w:qFormat/>
    <w:locked/>
    <w:uiPriority w:val="99"/>
    <w:rPr>
      <w:rFonts w:ascii="Calibri Light" w:hAnsi="Calibri Light" w:eastAsia="宋体" w:cs="Times New Roman"/>
      <w:b/>
      <w:sz w:val="32"/>
    </w:rPr>
  </w:style>
  <w:style w:type="character" w:customStyle="1" w:styleId="47">
    <w:name w:val="标题 3 字符"/>
    <w:basedOn w:val="33"/>
    <w:link w:val="5"/>
    <w:semiHidden/>
    <w:qFormat/>
    <w:locked/>
    <w:uiPriority w:val="99"/>
    <w:rPr>
      <w:rFonts w:ascii="Times New Roman" w:hAnsi="Times New Roman" w:eastAsia="宋体" w:cs="Times New Roman"/>
      <w:b/>
      <w:sz w:val="32"/>
    </w:rPr>
  </w:style>
  <w:style w:type="character" w:customStyle="1" w:styleId="48">
    <w:name w:val="标题 4 字符"/>
    <w:basedOn w:val="33"/>
    <w:link w:val="7"/>
    <w:semiHidden/>
    <w:qFormat/>
    <w:locked/>
    <w:uiPriority w:val="99"/>
    <w:rPr>
      <w:rFonts w:ascii="Calibri Light" w:hAnsi="Calibri Light" w:eastAsia="宋体" w:cs="Times New Roman"/>
      <w:b/>
      <w:sz w:val="28"/>
    </w:rPr>
  </w:style>
  <w:style w:type="character" w:customStyle="1" w:styleId="49">
    <w:name w:val="文档结构图 字符"/>
    <w:basedOn w:val="33"/>
    <w:link w:val="12"/>
    <w:semiHidden/>
    <w:qFormat/>
    <w:locked/>
    <w:uiPriority w:val="99"/>
    <w:rPr>
      <w:rFonts w:ascii="宋体" w:hAnsi="Times New Roman" w:cs="Times New Roman"/>
      <w:kern w:val="2"/>
      <w:sz w:val="18"/>
    </w:rPr>
  </w:style>
  <w:style w:type="character" w:customStyle="1" w:styleId="50">
    <w:name w:val="批注文字 字符"/>
    <w:basedOn w:val="33"/>
    <w:link w:val="13"/>
    <w:qFormat/>
    <w:locked/>
    <w:uiPriority w:val="99"/>
    <w:rPr>
      <w:rFonts w:ascii="Times New Roman" w:hAnsi="Times New Roman" w:eastAsia="宋体" w:cs="Times New Roman"/>
      <w:kern w:val="0"/>
      <w:sz w:val="24"/>
      <w:lang w:val="zh-CN" w:eastAsia="zh-CN"/>
    </w:rPr>
  </w:style>
  <w:style w:type="character" w:customStyle="1" w:styleId="51">
    <w:name w:val="正文文本 字符"/>
    <w:basedOn w:val="33"/>
    <w:link w:val="10"/>
    <w:semiHidden/>
    <w:qFormat/>
    <w:locked/>
    <w:uiPriority w:val="99"/>
    <w:rPr>
      <w:rFonts w:cs="Times New Roman"/>
      <w:sz w:val="24"/>
      <w:szCs w:val="24"/>
    </w:rPr>
  </w:style>
  <w:style w:type="character" w:customStyle="1" w:styleId="52">
    <w:name w:val="正文文本缩进 字符"/>
    <w:basedOn w:val="33"/>
    <w:link w:val="14"/>
    <w:semiHidden/>
    <w:qFormat/>
    <w:locked/>
    <w:uiPriority w:val="99"/>
    <w:rPr>
      <w:rFonts w:ascii="Times New Roman" w:hAnsi="Times New Roman" w:cs="Times New Roman"/>
      <w:sz w:val="24"/>
    </w:rPr>
  </w:style>
  <w:style w:type="character" w:customStyle="1" w:styleId="53">
    <w:name w:val="纯文本 字符"/>
    <w:basedOn w:val="33"/>
    <w:link w:val="17"/>
    <w:qFormat/>
    <w:locked/>
    <w:uiPriority w:val="99"/>
    <w:rPr>
      <w:rFonts w:ascii="宋体" w:hAnsi="Courier New" w:eastAsia="宋体" w:cs="Times New Roman"/>
      <w:snapToGrid w:val="0"/>
      <w:sz w:val="21"/>
    </w:rPr>
  </w:style>
  <w:style w:type="character" w:customStyle="1" w:styleId="54">
    <w:name w:val="日期 字符"/>
    <w:basedOn w:val="33"/>
    <w:link w:val="18"/>
    <w:qFormat/>
    <w:locked/>
    <w:uiPriority w:val="99"/>
    <w:rPr>
      <w:rFonts w:ascii="宋体" w:cs="Times New Roman"/>
      <w:sz w:val="21"/>
      <w:lang w:val="zh-CN"/>
    </w:rPr>
  </w:style>
  <w:style w:type="character" w:customStyle="1" w:styleId="55">
    <w:name w:val="正文文本缩进 2 字符"/>
    <w:basedOn w:val="33"/>
    <w:link w:val="19"/>
    <w:semiHidden/>
    <w:qFormat/>
    <w:locked/>
    <w:uiPriority w:val="99"/>
    <w:rPr>
      <w:rFonts w:cs="Times New Roman"/>
      <w:sz w:val="24"/>
      <w:szCs w:val="24"/>
    </w:rPr>
  </w:style>
  <w:style w:type="character" w:customStyle="1" w:styleId="56">
    <w:name w:val="页脚 字符"/>
    <w:basedOn w:val="33"/>
    <w:link w:val="21"/>
    <w:qFormat/>
    <w:locked/>
    <w:uiPriority w:val="99"/>
    <w:rPr>
      <w:rFonts w:ascii="Times New Roman" w:hAnsi="Times New Roman" w:eastAsia="宋体" w:cs="Times New Roman"/>
      <w:sz w:val="18"/>
    </w:rPr>
  </w:style>
  <w:style w:type="character" w:customStyle="1" w:styleId="57">
    <w:name w:val="Header Char"/>
    <w:basedOn w:val="33"/>
    <w:qFormat/>
    <w:locked/>
    <w:uiPriority w:val="99"/>
    <w:rPr>
      <w:rFonts w:ascii="Times New Roman" w:hAnsi="Times New Roman" w:eastAsia="宋体" w:cs="Times New Roman"/>
      <w:sz w:val="18"/>
    </w:rPr>
  </w:style>
  <w:style w:type="character" w:customStyle="1" w:styleId="58">
    <w:name w:val="正文文本 2 字符"/>
    <w:basedOn w:val="33"/>
    <w:link w:val="24"/>
    <w:semiHidden/>
    <w:qFormat/>
    <w:locked/>
    <w:uiPriority w:val="99"/>
    <w:rPr>
      <w:rFonts w:ascii="Times New Roman" w:hAnsi="Times New Roman" w:cs="Times New Roman"/>
      <w:sz w:val="24"/>
    </w:rPr>
  </w:style>
  <w:style w:type="character" w:customStyle="1" w:styleId="59">
    <w:name w:val="标题 字符"/>
    <w:basedOn w:val="33"/>
    <w:link w:val="27"/>
    <w:qFormat/>
    <w:locked/>
    <w:uiPriority w:val="99"/>
    <w:rPr>
      <w:rFonts w:ascii="Calibri Light" w:hAnsi="Calibri Light" w:eastAsia="宋体" w:cs="Times New Roman"/>
      <w:b/>
      <w:sz w:val="32"/>
    </w:rPr>
  </w:style>
  <w:style w:type="character" w:customStyle="1" w:styleId="60">
    <w:name w:val="批注主题 字符"/>
    <w:basedOn w:val="50"/>
    <w:link w:val="28"/>
    <w:semiHidden/>
    <w:qFormat/>
    <w:locked/>
    <w:uiPriority w:val="99"/>
    <w:rPr>
      <w:rFonts w:ascii="Times New Roman" w:hAnsi="Times New Roman" w:eastAsia="宋体" w:cs="Times New Roman"/>
      <w:b/>
      <w:kern w:val="0"/>
      <w:sz w:val="24"/>
      <w:lang w:val="zh-CN" w:eastAsia="zh-CN"/>
    </w:rPr>
  </w:style>
  <w:style w:type="character" w:customStyle="1" w:styleId="61">
    <w:name w:val="页眉 字符"/>
    <w:link w:val="22"/>
    <w:qFormat/>
    <w:locked/>
    <w:uiPriority w:val="99"/>
    <w:rPr>
      <w:rFonts w:ascii="Times New Roman" w:hAnsi="Times New Roman" w:eastAsia="宋体"/>
      <w:sz w:val="18"/>
    </w:rPr>
  </w:style>
  <w:style w:type="character" w:customStyle="1" w:styleId="62">
    <w:name w:val="正文缩进 字符"/>
    <w:link w:val="6"/>
    <w:qFormat/>
    <w:locked/>
    <w:uiPriority w:val="99"/>
    <w:rPr>
      <w:rFonts w:ascii="宋体" w:eastAsia="宋体"/>
      <w:snapToGrid w:val="0"/>
      <w:color w:val="000000"/>
      <w:kern w:val="28"/>
      <w:sz w:val="28"/>
    </w:rPr>
  </w:style>
  <w:style w:type="character" w:customStyle="1" w:styleId="63">
    <w:name w:val="日期 Char1"/>
    <w:semiHidden/>
    <w:qFormat/>
    <w:uiPriority w:val="99"/>
    <w:rPr>
      <w:rFonts w:ascii="Times New Roman" w:hAnsi="Times New Roman" w:eastAsia="宋体"/>
      <w:sz w:val="24"/>
    </w:rPr>
  </w:style>
  <w:style w:type="character" w:customStyle="1" w:styleId="64">
    <w:name w:val="纯文本 Char1"/>
    <w:semiHidden/>
    <w:qFormat/>
    <w:uiPriority w:val="99"/>
    <w:rPr>
      <w:rFonts w:ascii="宋体" w:hAnsi="Courier New" w:eastAsia="宋体"/>
      <w:sz w:val="21"/>
    </w:rPr>
  </w:style>
  <w:style w:type="paragraph" w:customStyle="1" w:styleId="65">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6">
    <w:name w:val="列出段落1"/>
    <w:basedOn w:val="1"/>
    <w:qFormat/>
    <w:uiPriority w:val="99"/>
    <w:pPr>
      <w:spacing w:line="360" w:lineRule="auto"/>
      <w:ind w:firstLine="200" w:firstLineChars="200"/>
    </w:pPr>
    <w:rPr>
      <w:rFonts w:eastAsia="楷体_GB2312" w:cs="Lucida Sans"/>
      <w:sz w:val="24"/>
    </w:rPr>
  </w:style>
  <w:style w:type="paragraph" w:customStyle="1" w:styleId="67">
    <w:name w:val="标题2def"/>
    <w:basedOn w:val="27"/>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68">
    <w:name w:val="标题3def"/>
    <w:basedOn w:val="5"/>
    <w:next w:val="1"/>
    <w:qFormat/>
    <w:uiPriority w:val="99"/>
    <w:pPr>
      <w:snapToGrid w:val="0"/>
      <w:spacing w:before="80" w:after="160" w:line="400" w:lineRule="exact"/>
    </w:pPr>
    <w:rPr>
      <w:rFonts w:ascii="??_GB2312" w:hAnsi="宋体" w:eastAsia="Times New Roman"/>
      <w:bCs w:val="0"/>
      <w:sz w:val="24"/>
      <w:szCs w:val="20"/>
    </w:rPr>
  </w:style>
  <w:style w:type="paragraph" w:customStyle="1" w:styleId="6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70">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71">
    <w:name w:val="Char Char Char Char1"/>
    <w:basedOn w:val="1"/>
    <w:qFormat/>
    <w:uiPriority w:val="99"/>
    <w:pPr>
      <w:adjustRightInd/>
    </w:pPr>
    <w:rPr>
      <w:rFonts w:ascii="Tahoma" w:hAnsi="Tahoma"/>
      <w:sz w:val="24"/>
      <w:szCs w:val="20"/>
    </w:rPr>
  </w:style>
  <w:style w:type="paragraph" w:customStyle="1" w:styleId="72">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73">
    <w:name w:val="正文段"/>
    <w:basedOn w:val="1"/>
    <w:link w:val="79"/>
    <w:qFormat/>
    <w:uiPriority w:val="99"/>
    <w:pPr>
      <w:widowControl/>
      <w:snapToGrid w:val="0"/>
      <w:spacing w:afterLines="50"/>
      <w:ind w:firstLine="200" w:firstLineChars="200"/>
    </w:pPr>
    <w:rPr>
      <w:kern w:val="0"/>
      <w:sz w:val="24"/>
      <w:szCs w:val="20"/>
    </w:rPr>
  </w:style>
  <w:style w:type="paragraph" w:customStyle="1" w:styleId="74">
    <w:name w:val="正文2"/>
    <w:basedOn w:val="1"/>
    <w:link w:val="78"/>
    <w:qFormat/>
    <w:uiPriority w:val="99"/>
    <w:pPr>
      <w:spacing w:before="156" w:line="360" w:lineRule="auto"/>
      <w:ind w:firstLine="510" w:firstLineChars="200"/>
    </w:pPr>
    <w:rPr>
      <w:sz w:val="24"/>
      <w:szCs w:val="20"/>
    </w:rPr>
  </w:style>
  <w:style w:type="paragraph" w:customStyle="1" w:styleId="75">
    <w:name w:val="表正文"/>
    <w:basedOn w:val="1"/>
    <w:next w:val="17"/>
    <w:qFormat/>
    <w:uiPriority w:val="99"/>
    <w:rPr>
      <w:rFonts w:ascii="宋体" w:hAnsi="Courier New"/>
      <w:szCs w:val="20"/>
    </w:rPr>
  </w:style>
  <w:style w:type="character" w:customStyle="1" w:styleId="76">
    <w:name w:val="文档结构图 Char"/>
    <w:semiHidden/>
    <w:qFormat/>
    <w:uiPriority w:val="99"/>
    <w:rPr>
      <w:kern w:val="2"/>
      <w:sz w:val="24"/>
      <w:shd w:val="clear" w:color="auto" w:fill="000080"/>
    </w:rPr>
  </w:style>
  <w:style w:type="character" w:customStyle="1" w:styleId="77">
    <w:name w:val="日期 Char2"/>
    <w:qFormat/>
    <w:uiPriority w:val="99"/>
    <w:rPr>
      <w:rFonts w:ascii="楷体_GB2312" w:eastAsia="楷体_GB2312"/>
      <w:b/>
      <w:kern w:val="2"/>
      <w:sz w:val="28"/>
      <w:lang w:val="en-US" w:eastAsia="zh-CN"/>
    </w:rPr>
  </w:style>
  <w:style w:type="character" w:customStyle="1" w:styleId="78">
    <w:name w:val="正文2 Char"/>
    <w:link w:val="74"/>
    <w:qFormat/>
    <w:locked/>
    <w:uiPriority w:val="99"/>
    <w:rPr>
      <w:rFonts w:ascii="Times New Roman" w:hAnsi="Times New Roman"/>
      <w:kern w:val="2"/>
      <w:sz w:val="24"/>
    </w:rPr>
  </w:style>
  <w:style w:type="character" w:customStyle="1" w:styleId="79">
    <w:name w:val="正文段 Char"/>
    <w:link w:val="73"/>
    <w:qFormat/>
    <w:locked/>
    <w:uiPriority w:val="99"/>
    <w:rPr>
      <w:rFonts w:ascii="Times New Roman" w:hAnsi="Times New Roman"/>
      <w:sz w:val="24"/>
    </w:rPr>
  </w:style>
  <w:style w:type="paragraph" w:customStyle="1" w:styleId="80">
    <w:name w:val="列出段落2"/>
    <w:basedOn w:val="1"/>
    <w:next w:val="10"/>
    <w:qFormat/>
    <w:uiPriority w:val="99"/>
    <w:pPr>
      <w:ind w:left="720"/>
      <w:contextualSpacing/>
    </w:pPr>
  </w:style>
  <w:style w:type="paragraph" w:customStyle="1" w:styleId="81">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82">
    <w:name w:val="px_10"/>
    <w:qFormat/>
    <w:uiPriority w:val="99"/>
    <w:rPr>
      <w:lang w:val="zh-TW" w:eastAsia="zh-TW"/>
    </w:rPr>
  </w:style>
  <w:style w:type="paragraph" w:customStyle="1" w:styleId="8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84">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85">
    <w:name w:val="列出段落11"/>
    <w:basedOn w:val="1"/>
    <w:qFormat/>
    <w:uiPriority w:val="99"/>
    <w:pPr>
      <w:spacing w:line="360" w:lineRule="auto"/>
      <w:ind w:firstLine="200" w:firstLineChars="200"/>
    </w:pPr>
    <w:rPr>
      <w:rFonts w:eastAsia="楷体_GB2312" w:cs="Lucida Sans"/>
      <w:sz w:val="24"/>
    </w:rPr>
  </w:style>
  <w:style w:type="paragraph" w:customStyle="1" w:styleId="8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87">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88">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89">
    <w:name w:val="批注框文本 字符"/>
    <w:basedOn w:val="33"/>
    <w:link w:val="20"/>
    <w:semiHidden/>
    <w:qFormat/>
    <w:locked/>
    <w:uiPriority w:val="99"/>
    <w:rPr>
      <w:rFonts w:cs="Times New Roman"/>
      <w:sz w:val="2"/>
    </w:rPr>
  </w:style>
  <w:style w:type="paragraph" w:customStyle="1" w:styleId="90">
    <w:name w:val="列出段落5"/>
    <w:basedOn w:val="1"/>
    <w:qFormat/>
    <w:uiPriority w:val="34"/>
    <w:pPr>
      <w:ind w:firstLine="420" w:firstLineChars="200"/>
    </w:pPr>
    <w:rPr>
      <w:rFonts w:ascii="Calibri" w:hAnsi="Calibri"/>
      <w:sz w:val="24"/>
    </w:rPr>
  </w:style>
  <w:style w:type="paragraph" w:customStyle="1" w:styleId="91">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92">
    <w:name w:val="unnamed11"/>
    <w:basedOn w:val="33"/>
    <w:qFormat/>
    <w:uiPriority w:val="0"/>
    <w:rPr>
      <w:rFonts w:hint="eastAsia" w:ascii="宋体" w:hAnsi="宋体" w:eastAsia="宋体"/>
      <w:sz w:val="21"/>
      <w:szCs w:val="21"/>
    </w:rPr>
  </w:style>
  <w:style w:type="paragraph" w:customStyle="1" w:styleId="93">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94">
    <w:name w:val="font11"/>
    <w:basedOn w:val="33"/>
    <w:qFormat/>
    <w:uiPriority w:val="0"/>
    <w:rPr>
      <w:rFonts w:hint="default" w:ascii="微软雅黑" w:hAnsi="微软雅黑" w:eastAsia="微软雅黑" w:cs="微软雅黑"/>
      <w:color w:val="000000"/>
      <w:sz w:val="20"/>
      <w:szCs w:val="20"/>
      <w:u w:val="none"/>
    </w:rPr>
  </w:style>
  <w:style w:type="paragraph" w:customStyle="1" w:styleId="95">
    <w:name w:val="样式 首行缩进:  0.74 厘米"/>
    <w:basedOn w:val="1"/>
    <w:qFormat/>
    <w:uiPriority w:val="0"/>
    <w:pPr>
      <w:ind w:firstLine="420"/>
    </w:pPr>
    <w:rPr>
      <w:rFonts w:ascii="Arial" w:hAnsi="Arial" w:eastAsia="仿宋_GB2312" w:cs="Arial"/>
      <w:bCs/>
      <w:sz w:val="28"/>
      <w:szCs w:val="28"/>
    </w:rPr>
  </w:style>
  <w:style w:type="paragraph" w:customStyle="1" w:styleId="96">
    <w:name w:val="正文格式（小四）"/>
    <w:basedOn w:val="1"/>
    <w:qFormat/>
    <w:uiPriority w:val="0"/>
    <w:pPr>
      <w:widowControl/>
      <w:snapToGrid w:val="0"/>
      <w:spacing w:line="360" w:lineRule="auto"/>
      <w:ind w:firstLine="482"/>
      <w:jc w:val="left"/>
      <w:textAlignment w:val="baseline"/>
    </w:pPr>
    <w:rPr>
      <w:kern w:val="24"/>
      <w:sz w:val="24"/>
    </w:rPr>
  </w:style>
  <w:style w:type="paragraph" w:customStyle="1" w:styleId="97">
    <w:name w:val="_Style 1"/>
    <w:basedOn w:val="1"/>
    <w:qFormat/>
    <w:uiPriority w:val="99"/>
    <w:pPr>
      <w:ind w:firstLine="420" w:firstLineChars="200"/>
    </w:pPr>
  </w:style>
  <w:style w:type="paragraph" w:customStyle="1" w:styleId="98">
    <w:name w:val="_Style 2"/>
    <w:basedOn w:val="1"/>
    <w:qFormat/>
    <w:uiPriority w:val="99"/>
    <w:pPr>
      <w:ind w:firstLine="420" w:firstLineChars="200"/>
    </w:pPr>
  </w:style>
  <w:style w:type="paragraph" w:customStyle="1" w:styleId="99">
    <w:name w:val="（1）"/>
    <w:basedOn w:val="1"/>
    <w:qFormat/>
    <w:uiPriority w:val="0"/>
    <w:pPr>
      <w:numPr>
        <w:ilvl w:val="0"/>
        <w:numId w:val="5"/>
      </w:numPr>
      <w:tabs>
        <w:tab w:val="left" w:pos="961"/>
      </w:tabs>
      <w:spacing w:line="360" w:lineRule="auto"/>
    </w:pPr>
    <w:rPr>
      <w:sz w:val="24"/>
    </w:rPr>
  </w:style>
  <w:style w:type="paragraph" w:customStyle="1" w:styleId="10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1">
    <w:name w:val="CM18"/>
    <w:basedOn w:val="100"/>
    <w:next w:val="100"/>
    <w:qFormat/>
    <w:uiPriority w:val="99"/>
    <w:rPr>
      <w:rFonts w:ascii="ST Xihei" w:hAnsi="Calibri" w:eastAsia="ST Xihei"/>
      <w:color w:val="auto"/>
    </w:rPr>
  </w:style>
  <w:style w:type="character" w:customStyle="1" w:styleId="102">
    <w:name w:val="qxdate"/>
    <w:basedOn w:val="33"/>
    <w:qFormat/>
    <w:uiPriority w:val="0"/>
    <w:rPr>
      <w:color w:val="333333"/>
      <w:sz w:val="18"/>
      <w:szCs w:val="18"/>
    </w:rPr>
  </w:style>
  <w:style w:type="character" w:customStyle="1" w:styleId="103">
    <w:name w:val="cfdate"/>
    <w:basedOn w:val="33"/>
    <w:qFormat/>
    <w:uiPriority w:val="0"/>
    <w:rPr>
      <w:color w:val="333333"/>
      <w:sz w:val="18"/>
      <w:szCs w:val="18"/>
    </w:rPr>
  </w:style>
  <w:style w:type="character" w:customStyle="1" w:styleId="104">
    <w:name w:val="redfilefwwh"/>
    <w:basedOn w:val="33"/>
    <w:qFormat/>
    <w:uiPriority w:val="0"/>
    <w:rPr>
      <w:color w:val="BA2636"/>
      <w:sz w:val="18"/>
      <w:szCs w:val="18"/>
    </w:rPr>
  </w:style>
  <w:style w:type="character" w:customStyle="1" w:styleId="105">
    <w:name w:val="displayarti"/>
    <w:basedOn w:val="33"/>
    <w:qFormat/>
    <w:uiPriority w:val="0"/>
    <w:rPr>
      <w:color w:val="FFFFFF"/>
      <w:shd w:val="clear" w:color="auto" w:fill="A00000"/>
    </w:rPr>
  </w:style>
  <w:style w:type="character" w:customStyle="1" w:styleId="106">
    <w:name w:val="gjfg"/>
    <w:basedOn w:val="33"/>
    <w:qFormat/>
    <w:uiPriority w:val="0"/>
  </w:style>
  <w:style w:type="character" w:customStyle="1" w:styleId="107">
    <w:name w:val="redfilenumber"/>
    <w:basedOn w:val="33"/>
    <w:qFormat/>
    <w:uiPriority w:val="0"/>
    <w:rPr>
      <w:color w:val="BA2636"/>
      <w:sz w:val="18"/>
      <w:szCs w:val="18"/>
    </w:rPr>
  </w:style>
  <w:style w:type="character" w:customStyle="1" w:styleId="108">
    <w:name w:val="15"/>
    <w:qFormat/>
    <w:uiPriority w:val="0"/>
    <w:rPr>
      <w:rFonts w:hint="eastAsia" w:ascii="宋体" w:hAnsi="宋体" w:eastAsia="宋体" w:cs="宋体"/>
      <w:color w:val="000000"/>
      <w:sz w:val="24"/>
      <w:szCs w:val="24"/>
    </w:rPr>
  </w:style>
  <w:style w:type="paragraph" w:customStyle="1" w:styleId="10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列出段落3"/>
    <w:basedOn w:val="1"/>
    <w:unhideWhenUsed/>
    <w:qFormat/>
    <w:uiPriority w:val="99"/>
    <w:pPr>
      <w:ind w:firstLine="420" w:firstLineChars="200"/>
    </w:pPr>
  </w:style>
  <w:style w:type="paragraph" w:customStyle="1" w:styleId="111">
    <w:name w:val="正文缩进2"/>
    <w:basedOn w:val="1"/>
    <w:qFormat/>
    <w:uiPriority w:val="0"/>
    <w:pPr>
      <w:spacing w:line="360" w:lineRule="auto"/>
      <w:ind w:firstLine="200" w:firstLineChars="200"/>
    </w:pPr>
    <w:rPr>
      <w:rFonts w:ascii="Calibri" w:hAnsi="Calibri" w:eastAsia="仿宋"/>
      <w:sz w:val="28"/>
      <w:szCs w:val="22"/>
    </w:rPr>
  </w:style>
  <w:style w:type="table" w:customStyle="1" w:styleId="112">
    <w:name w:val="网格型1"/>
    <w:basedOn w:val="31"/>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3">
    <w:name w:val="正文sl"/>
    <w:basedOn w:val="1"/>
    <w:qFormat/>
    <w:uiPriority w:val="0"/>
    <w:pPr>
      <w:spacing w:line="360" w:lineRule="auto"/>
      <w:ind w:firstLine="600" w:firstLineChars="200"/>
    </w:pPr>
    <w:rPr>
      <w:rFonts w:ascii="仿宋_GB2312" w:eastAsia="仿宋_GB2312" w:cs="宋体"/>
      <w:sz w:val="30"/>
      <w:szCs w:val="20"/>
    </w:rPr>
  </w:style>
  <w:style w:type="paragraph" w:customStyle="1" w:styleId="11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No Spacing1"/>
    <w:qFormat/>
    <w:uiPriority w:val="99"/>
    <w:pPr>
      <w:widowControl w:val="0"/>
      <w:adjustRightInd w:val="0"/>
      <w:snapToGrid w:val="0"/>
      <w:ind w:firstLine="200"/>
      <w:jc w:val="both"/>
    </w:pPr>
    <w:rPr>
      <w:rFonts w:ascii="Calibri" w:hAnsi="Calibri" w:eastAsia="宋体" w:cs="Times New Roman"/>
      <w:kern w:val="2"/>
      <w:sz w:val="24"/>
      <w:szCs w:val="24"/>
      <w:lang w:val="en-US" w:eastAsia="zh-CN" w:bidi="ar-SA"/>
    </w:rPr>
  </w:style>
  <w:style w:type="paragraph" w:customStyle="1" w:styleId="116">
    <w:name w:val="asdf"/>
    <w:basedOn w:val="1"/>
    <w:qFormat/>
    <w:uiPriority w:val="99"/>
    <w:pPr>
      <w:snapToGrid w:val="0"/>
      <w:spacing w:line="360" w:lineRule="auto"/>
      <w:ind w:firstLine="480" w:firstLineChars="200"/>
    </w:pPr>
    <w:rPr>
      <w:rFonts w:ascii="宋体"/>
      <w:kern w:val="0"/>
      <w:sz w:val="24"/>
      <w:szCs w:val="20"/>
    </w:rPr>
  </w:style>
  <w:style w:type="paragraph" w:customStyle="1" w:styleId="117">
    <w:name w:val="Body Text First Indent 22"/>
    <w:basedOn w:val="1"/>
    <w:qFormat/>
    <w:uiPriority w:val="0"/>
    <w:pPr>
      <w:autoSpaceDE w:val="0"/>
      <w:autoSpaceDN w:val="0"/>
      <w:spacing w:line="500" w:lineRule="exact"/>
      <w:ind w:firstLine="420" w:firstLineChars="200"/>
    </w:pPr>
    <w:rPr>
      <w:color w:val="000000"/>
      <w:kern w:val="0"/>
      <w:szCs w:val="21"/>
    </w:rPr>
  </w:style>
  <w:style w:type="paragraph" w:customStyle="1" w:styleId="118">
    <w:name w:val="正文缩进1"/>
    <w:basedOn w:val="1"/>
    <w:next w:val="1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19">
    <w:name w:val="索引 11"/>
    <w:basedOn w:val="1"/>
    <w:next w:val="1"/>
    <w:qFormat/>
    <w:uiPriority w:val="99"/>
    <w:pPr>
      <w:spacing w:line="360" w:lineRule="auto"/>
    </w:pPr>
    <w:rPr>
      <w:rFonts w:ascii="仿宋_GB2312" w:eastAsia="仿宋_GB2312"/>
      <w:sz w:val="24"/>
      <w:szCs w:val="20"/>
    </w:rPr>
  </w:style>
  <w:style w:type="paragraph" w:customStyle="1" w:styleId="120">
    <w:name w:val="纯文本1"/>
    <w:basedOn w:val="1"/>
    <w:qFormat/>
    <w:uiPriority w:val="0"/>
    <w:rPr>
      <w:rFonts w:ascii="宋体" w:hAnsi="Courier New" w:cs="Courier New"/>
      <w:kern w:val="0"/>
      <w:szCs w:val="21"/>
    </w:rPr>
  </w:style>
  <w:style w:type="paragraph" w:customStyle="1" w:styleId="121">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12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3">
    <w:name w:val="font5"/>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24">
    <w:name w:val="font6"/>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125">
    <w:name w:val="font7"/>
    <w:basedOn w:val="1"/>
    <w:qFormat/>
    <w:uiPriority w:val="0"/>
    <w:pPr>
      <w:widowControl/>
      <w:adjustRightInd/>
      <w:spacing w:before="100" w:beforeAutospacing="1" w:after="100" w:afterAutospacing="1"/>
      <w:jc w:val="left"/>
    </w:pPr>
    <w:rPr>
      <w:rFonts w:ascii="Symbol" w:hAnsi="Symbol" w:cs="宋体"/>
      <w:kern w:val="0"/>
      <w:sz w:val="20"/>
      <w:szCs w:val="20"/>
    </w:rPr>
  </w:style>
  <w:style w:type="paragraph" w:customStyle="1" w:styleId="126">
    <w:name w:val="font8"/>
    <w:basedOn w:val="1"/>
    <w:qFormat/>
    <w:uiPriority w:val="0"/>
    <w:pPr>
      <w:widowControl/>
      <w:adjustRightInd/>
      <w:spacing w:before="100" w:beforeAutospacing="1" w:after="100" w:afterAutospacing="1"/>
      <w:jc w:val="left"/>
    </w:pPr>
    <w:rPr>
      <w:rFonts w:ascii="Microsoft YaHei UI" w:hAnsi="Microsoft YaHei UI" w:eastAsia="Microsoft YaHei UI" w:cs="宋体"/>
      <w:kern w:val="0"/>
      <w:sz w:val="20"/>
      <w:szCs w:val="20"/>
    </w:rPr>
  </w:style>
  <w:style w:type="paragraph" w:customStyle="1" w:styleId="127">
    <w:name w:val="font9"/>
    <w:basedOn w:val="1"/>
    <w:qFormat/>
    <w:uiPriority w:val="0"/>
    <w:pPr>
      <w:widowControl/>
      <w:adjustRightInd/>
      <w:spacing w:before="100" w:beforeAutospacing="1" w:after="100" w:afterAutospacing="1"/>
      <w:jc w:val="left"/>
    </w:pPr>
    <w:rPr>
      <w:rFonts w:ascii="Calibri" w:hAnsi="Calibri" w:cs="Calibri"/>
      <w:kern w:val="0"/>
      <w:sz w:val="20"/>
      <w:szCs w:val="20"/>
    </w:rPr>
  </w:style>
  <w:style w:type="paragraph" w:customStyle="1" w:styleId="128">
    <w:name w:val="font10"/>
    <w:basedOn w:val="1"/>
    <w:qFormat/>
    <w:uiPriority w:val="0"/>
    <w:pPr>
      <w:widowControl/>
      <w:adjustRightInd/>
      <w:spacing w:before="100" w:beforeAutospacing="1" w:after="100" w:afterAutospacing="1"/>
      <w:jc w:val="left"/>
    </w:pPr>
    <w:rPr>
      <w:rFonts w:ascii="Calibri" w:hAnsi="Calibri" w:cs="Calibri"/>
      <w:kern w:val="0"/>
      <w:sz w:val="18"/>
      <w:szCs w:val="18"/>
    </w:rPr>
  </w:style>
  <w:style w:type="paragraph" w:customStyle="1" w:styleId="12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130">
    <w:name w:val="font13"/>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31">
    <w:name w:val="font14"/>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32">
    <w:name w:val="font15"/>
    <w:basedOn w:val="1"/>
    <w:qFormat/>
    <w:uiPriority w:val="0"/>
    <w:pPr>
      <w:widowControl/>
      <w:adjustRightInd/>
      <w:spacing w:before="100" w:beforeAutospacing="1" w:after="100" w:afterAutospacing="1"/>
      <w:jc w:val="left"/>
    </w:pPr>
    <w:rPr>
      <w:rFonts w:ascii="Arial Unicode MS" w:hAnsi="Arial Unicode MS" w:cs="宋体"/>
      <w:kern w:val="0"/>
      <w:sz w:val="20"/>
      <w:szCs w:val="20"/>
    </w:rPr>
  </w:style>
  <w:style w:type="paragraph" w:customStyle="1" w:styleId="133">
    <w:name w:val="xl80"/>
    <w:basedOn w:val="1"/>
    <w:qFormat/>
    <w:uiPriority w:val="0"/>
    <w:pPr>
      <w:widowControl/>
      <w:shd w:val="clear" w:color="000000" w:fill="FFFF00"/>
      <w:adjustRightInd/>
      <w:spacing w:before="100" w:beforeAutospacing="1" w:after="100" w:afterAutospacing="1"/>
      <w:jc w:val="left"/>
    </w:pPr>
    <w:rPr>
      <w:rFonts w:ascii="宋体" w:hAnsi="宋体" w:cs="宋体"/>
      <w:kern w:val="0"/>
      <w:sz w:val="20"/>
      <w:szCs w:val="20"/>
    </w:rPr>
  </w:style>
  <w:style w:type="paragraph" w:customStyle="1" w:styleId="134">
    <w:name w:val="xl81"/>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35">
    <w:name w:val="xl82"/>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36">
    <w:name w:val="xl8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38">
    <w:name w:val="xl8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0"/>
      <w:szCs w:val="20"/>
    </w:rPr>
  </w:style>
  <w:style w:type="paragraph" w:customStyle="1" w:styleId="1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40">
    <w:name w:val="xl8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4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18"/>
      <w:szCs w:val="18"/>
    </w:rPr>
  </w:style>
  <w:style w:type="paragraph" w:customStyle="1" w:styleId="1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rFonts w:ascii="宋体" w:hAnsi="宋体" w:cs="宋体"/>
      <w:kern w:val="0"/>
      <w:sz w:val="20"/>
      <w:szCs w:val="20"/>
    </w:rPr>
  </w:style>
  <w:style w:type="paragraph" w:customStyle="1" w:styleId="144">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rFonts w:ascii="宋体" w:hAnsi="宋体" w:cs="宋体"/>
      <w:kern w:val="0"/>
      <w:sz w:val="20"/>
      <w:szCs w:val="20"/>
    </w:rPr>
  </w:style>
  <w:style w:type="paragraph" w:customStyle="1" w:styleId="14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宋体" w:hAnsi="宋体" w:cs="宋体"/>
      <w:kern w:val="0"/>
      <w:sz w:val="18"/>
      <w:szCs w:val="18"/>
    </w:rPr>
  </w:style>
  <w:style w:type="paragraph" w:customStyle="1" w:styleId="14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宋体" w:hAnsi="宋体" w:cs="宋体"/>
      <w:kern w:val="0"/>
      <w:sz w:val="20"/>
      <w:szCs w:val="20"/>
    </w:rPr>
  </w:style>
  <w:style w:type="paragraph" w:customStyle="1" w:styleId="147">
    <w:name w:val="xl9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4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rFonts w:ascii="宋体" w:hAnsi="宋体" w:cs="宋体"/>
      <w:kern w:val="0"/>
      <w:sz w:val="20"/>
      <w:szCs w:val="20"/>
    </w:rPr>
  </w:style>
  <w:style w:type="paragraph" w:customStyle="1" w:styleId="15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宋体" w:hAnsi="宋体" w:cs="宋体"/>
      <w:kern w:val="0"/>
      <w:sz w:val="20"/>
      <w:szCs w:val="20"/>
    </w:rPr>
  </w:style>
  <w:style w:type="paragraph" w:customStyle="1" w:styleId="151">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rFonts w:ascii="宋体" w:hAnsi="宋体" w:cs="宋体"/>
      <w:kern w:val="0"/>
      <w:sz w:val="20"/>
      <w:szCs w:val="20"/>
    </w:rPr>
  </w:style>
  <w:style w:type="paragraph" w:customStyle="1" w:styleId="152">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0"/>
      <w:szCs w:val="20"/>
    </w:rPr>
  </w:style>
  <w:style w:type="paragraph" w:customStyle="1" w:styleId="153">
    <w:name w:val="xl10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54">
    <w:name w:val="xl10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rFonts w:ascii="宋体" w:hAnsi="宋体" w:cs="宋体"/>
      <w:kern w:val="0"/>
      <w:sz w:val="20"/>
      <w:szCs w:val="20"/>
    </w:rPr>
  </w:style>
  <w:style w:type="paragraph" w:customStyle="1" w:styleId="155">
    <w:name w:val="xl10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56">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15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158">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rFonts w:ascii="宋体" w:hAnsi="宋体" w:cs="宋体"/>
      <w:kern w:val="0"/>
      <w:sz w:val="20"/>
      <w:szCs w:val="20"/>
    </w:rPr>
  </w:style>
  <w:style w:type="paragraph" w:customStyle="1" w:styleId="159">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60">
    <w:name w:val="xl1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bottom"/>
    </w:pPr>
    <w:rPr>
      <w:rFonts w:ascii="宋体" w:hAnsi="宋体" w:cs="宋体"/>
      <w:kern w:val="0"/>
      <w:sz w:val="20"/>
      <w:szCs w:val="20"/>
    </w:rPr>
  </w:style>
  <w:style w:type="paragraph" w:customStyle="1" w:styleId="161">
    <w:name w:val="xl1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62">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宋体" w:hAnsi="宋体" w:cs="宋体"/>
      <w:kern w:val="0"/>
      <w:sz w:val="20"/>
      <w:szCs w:val="20"/>
    </w:rPr>
  </w:style>
  <w:style w:type="paragraph" w:customStyle="1" w:styleId="163">
    <w:name w:val="xl1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0"/>
      <w:szCs w:val="20"/>
    </w:rPr>
  </w:style>
  <w:style w:type="paragraph" w:customStyle="1" w:styleId="164">
    <w:name w:val="xl111"/>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宋体" w:hAnsi="宋体" w:cs="宋体"/>
      <w:b/>
      <w:bCs/>
      <w:kern w:val="0"/>
      <w:sz w:val="20"/>
      <w:szCs w:val="20"/>
    </w:rPr>
  </w:style>
  <w:style w:type="paragraph" w:customStyle="1" w:styleId="165">
    <w:name w:val="xl112"/>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0"/>
      <w:szCs w:val="20"/>
    </w:rPr>
  </w:style>
  <w:style w:type="character" w:customStyle="1" w:styleId="166">
    <w:name w:val="font21"/>
    <w:basedOn w:val="33"/>
    <w:qFormat/>
    <w:uiPriority w:val="0"/>
    <w:rPr>
      <w:rFonts w:hint="eastAsia" w:ascii="宋体" w:hAnsi="宋体" w:eastAsia="宋体" w:cs="宋体"/>
      <w:color w:val="000000"/>
      <w:sz w:val="20"/>
      <w:szCs w:val="20"/>
      <w:u w:val="none"/>
      <w:vertAlign w:val="superscript"/>
    </w:rPr>
  </w:style>
  <w:style w:type="character" w:customStyle="1" w:styleId="167">
    <w:name w:val="font31"/>
    <w:basedOn w:val="33"/>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4B9E4-C48F-4909-9708-53EB9B1176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42521</Words>
  <Characters>47357</Characters>
  <Lines>363</Lines>
  <Paragraphs>102</Paragraphs>
  <TotalTime>12</TotalTime>
  <ScaleCrop>false</ScaleCrop>
  <LinksUpToDate>false</LinksUpToDate>
  <CharactersWithSpaces>49188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2022-11-02T06:15:00Z</dcterms:created>
  <dc:creator>Ting</dc:creator>
  <cp:lastModifiedBy>Z</cp:lastModifiedBy>
  <cp:lastPrinted>2020-01-14T04:42:00Z</cp:lastPrinted>
  <dcterms:modified xsi:type="dcterms:W3CDTF">2022-12-02T07:14:06Z</dcterms:modified>
  <dc:title>绍兴市公安局交通警察支队交警互联网支付及罚缴平台二期项目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77F12D259E9F44489936EE7BEECC29ED</vt:lpwstr>
  </property>
  <property fmtid="{D5CDD505-2E9C-101B-9397-08002B2CF9AE}" pid="4" name="GSEDS_HWMT_d46a6755">
    <vt:lpwstr>f24565aa_mFV3wD84Kik0OspOmXv8p9kC38M=_8QYrr1ZfPzUyOd9GjHH8xWwyFp0U8bd7NYivpFuWeL9CX2yh4WrlArPG8lEM5uSfIs/92SNthdOsUg13jtrDW5y+1NOIri5GqLQutmy+4mEtVQ==_85a0ec8a</vt:lpwstr>
  </property>
</Properties>
</file>