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outlineLvl w:val="0"/>
        <w:rPr>
          <w:rFonts w:ascii="仿宋" w:hAnsi="仿宋" w:eastAsia="仿宋" w:cs="仿宋"/>
          <w:b/>
          <w:color w:val="auto"/>
          <w:spacing w:val="-12"/>
          <w:sz w:val="52"/>
          <w:szCs w:val="52"/>
          <w:highlight w:val="none"/>
        </w:rPr>
      </w:pPr>
      <w:r>
        <w:rPr>
          <w:rFonts w:hint="eastAsia" w:ascii="仿宋" w:hAnsi="仿宋" w:eastAsia="仿宋" w:cs="仿宋"/>
          <w:b/>
          <w:color w:val="auto"/>
          <w:spacing w:val="-12"/>
          <w:sz w:val="52"/>
          <w:szCs w:val="52"/>
          <w:highlight w:val="none"/>
        </w:rPr>
        <w:t>早期人防工程设备设施维护项目</w:t>
      </w:r>
    </w:p>
    <w:p>
      <w:pPr>
        <w:pStyle w:val="56"/>
        <w:rPr>
          <w:color w:val="auto"/>
          <w:highlight w:val="none"/>
          <w:lang w:val="en-US"/>
        </w:rPr>
      </w:pPr>
    </w:p>
    <w:p>
      <w:pPr>
        <w:pStyle w:val="56"/>
        <w:rPr>
          <w:color w:val="auto"/>
          <w:highlight w:val="none"/>
          <w:lang w:val="en-US"/>
        </w:rPr>
      </w:pPr>
    </w:p>
    <w:p>
      <w:pPr>
        <w:pStyle w:val="56"/>
        <w:rPr>
          <w:color w:val="auto"/>
          <w:highlight w:val="none"/>
          <w:lang w:val="en-US"/>
        </w:rPr>
      </w:pPr>
    </w:p>
    <w:p>
      <w:pPr>
        <w:pStyle w:val="56"/>
        <w:rPr>
          <w:color w:val="auto"/>
          <w:highlight w:val="none"/>
          <w:lang w:val="en-US"/>
        </w:rPr>
      </w:pPr>
    </w:p>
    <w:p>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pPr>
        <w:jc w:val="center"/>
        <w:outlineLvl w:val="0"/>
        <w:rPr>
          <w:rFonts w:ascii="仿宋" w:hAnsi="仿宋" w:eastAsia="仿宋" w:cs="仿宋"/>
          <w:color w:val="auto"/>
          <w:sz w:val="44"/>
          <w:highlight w:val="none"/>
        </w:rPr>
      </w:pPr>
      <w:r>
        <w:rPr>
          <w:rFonts w:hint="eastAsia" w:ascii="仿宋" w:hAnsi="仿宋" w:eastAsia="仿宋" w:cs="仿宋"/>
          <w:b/>
          <w:color w:val="auto"/>
          <w:sz w:val="72"/>
          <w:szCs w:val="72"/>
          <w:highlight w:val="none"/>
        </w:rPr>
        <w:t>件</w:t>
      </w:r>
    </w:p>
    <w:p>
      <w:pPr>
        <w:jc w:val="center"/>
        <w:outlineLvl w:val="0"/>
        <w:rPr>
          <w:rFonts w:ascii="隶书" w:eastAsia="隶书"/>
          <w:color w:val="auto"/>
          <w:sz w:val="36"/>
          <w:szCs w:val="21"/>
          <w:highlight w:val="none"/>
        </w:rPr>
      </w:pPr>
    </w:p>
    <w:p>
      <w:pPr>
        <w:outlineLvl w:val="0"/>
        <w:rPr>
          <w:rFonts w:ascii="隶书" w:eastAsia="隶书"/>
          <w:color w:val="auto"/>
          <w:sz w:val="22"/>
          <w:szCs w:val="15"/>
          <w:highlight w:val="none"/>
        </w:rPr>
      </w:pPr>
    </w:p>
    <w:p>
      <w:pPr>
        <w:jc w:val="center"/>
        <w:outlineLvl w:val="0"/>
        <w:rPr>
          <w:rFonts w:ascii="隶书" w:eastAsia="隶书"/>
          <w:color w:val="auto"/>
          <w:sz w:val="32"/>
          <w:szCs w:val="20"/>
          <w:highlight w:val="none"/>
        </w:rPr>
      </w:pP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招标编号:ZJXSC-2023-031   </w:t>
      </w:r>
    </w:p>
    <w:tbl>
      <w:tblPr>
        <w:tblStyle w:val="46"/>
        <w:tblpPr w:leftFromText="180" w:rightFromText="180" w:vertAnchor="text" w:tblpXSpec="center" w:tblpY="1"/>
        <w:tblOverlap w:val="never"/>
        <w:tblW w:w="0" w:type="auto"/>
        <w:jc w:val="center"/>
        <w:tblLayout w:type="autofit"/>
        <w:tblCellMar>
          <w:top w:w="0" w:type="dxa"/>
          <w:left w:w="108" w:type="dxa"/>
          <w:bottom w:w="0" w:type="dxa"/>
          <w:right w:w="108" w:type="dxa"/>
        </w:tblCellMar>
      </w:tblPr>
      <w:tblGrid>
        <w:gridCol w:w="2945"/>
        <w:gridCol w:w="4846"/>
      </w:tblGrid>
      <w:tr>
        <w:tblPrEx>
          <w:tblCellMar>
            <w:top w:w="0" w:type="dxa"/>
            <w:left w:w="108" w:type="dxa"/>
            <w:bottom w:w="0" w:type="dxa"/>
            <w:right w:w="108" w:type="dxa"/>
          </w:tblCellMar>
        </w:tblPrEx>
        <w:trPr>
          <w:trHeight w:val="609" w:hRule="atLeast"/>
          <w:jc w:val="center"/>
        </w:trPr>
        <w:tc>
          <w:tcPr>
            <w:tcW w:w="2945" w:type="dxa"/>
          </w:tcPr>
          <w:p>
            <w:pPr>
              <w:spacing w:after="100" w:afterAutospacing="1" w:line="440" w:lineRule="exact"/>
              <w:jc w:val="center"/>
              <w:rPr>
                <w:rFonts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4846" w:type="dxa"/>
          </w:tcPr>
          <w:p>
            <w:pPr>
              <w:outlineLvl w:val="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绍兴市国防动员办公室</w:t>
            </w:r>
          </w:p>
        </w:tc>
      </w:tr>
      <w:tr>
        <w:tblPrEx>
          <w:tblCellMar>
            <w:top w:w="0" w:type="dxa"/>
            <w:left w:w="108" w:type="dxa"/>
            <w:bottom w:w="0" w:type="dxa"/>
            <w:right w:w="108" w:type="dxa"/>
          </w:tblCellMar>
        </w:tblPrEx>
        <w:trPr>
          <w:trHeight w:val="569" w:hRule="atLeast"/>
          <w:jc w:val="center"/>
        </w:trPr>
        <w:tc>
          <w:tcPr>
            <w:tcW w:w="2945" w:type="dxa"/>
            <w:vAlign w:val="center"/>
          </w:tcPr>
          <w:p>
            <w:pPr>
              <w:spacing w:after="100" w:afterAutospacing="1" w:line="440" w:lineRule="exact"/>
              <w:jc w:val="center"/>
              <w:rPr>
                <w:rFonts w:ascii="仿宋" w:hAnsi="仿宋" w:eastAsia="仿宋" w:cs="仿宋"/>
                <w:color w:val="auto"/>
                <w:sz w:val="28"/>
                <w:szCs w:val="28"/>
                <w:highlight w:val="none"/>
              </w:rPr>
            </w:pPr>
            <w:r>
              <w:rPr>
                <w:rFonts w:hint="eastAsia" w:ascii="仿宋" w:hAnsi="仿宋" w:eastAsia="仿宋" w:cs="仿宋"/>
                <w:color w:val="auto"/>
                <w:spacing w:val="0"/>
                <w:kern w:val="0"/>
                <w:sz w:val="28"/>
                <w:szCs w:val="28"/>
                <w:highlight w:val="none"/>
                <w:fitText w:val="1680" w:id="921047650"/>
              </w:rPr>
              <w:t>招标代理单位</w:t>
            </w:r>
            <w:r>
              <w:rPr>
                <w:rFonts w:hint="eastAsia" w:ascii="仿宋" w:hAnsi="仿宋" w:eastAsia="仿宋" w:cs="仿宋"/>
                <w:color w:val="auto"/>
                <w:sz w:val="28"/>
                <w:szCs w:val="28"/>
                <w:highlight w:val="none"/>
              </w:rPr>
              <w:t>：</w:t>
            </w:r>
          </w:p>
        </w:tc>
        <w:tc>
          <w:tcPr>
            <w:tcW w:w="4846" w:type="dxa"/>
          </w:tcPr>
          <w:p>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浙江翔实建设项目管理有限公司</w:t>
            </w:r>
          </w:p>
        </w:tc>
      </w:tr>
      <w:tr>
        <w:tblPrEx>
          <w:tblCellMar>
            <w:top w:w="0" w:type="dxa"/>
            <w:left w:w="108" w:type="dxa"/>
            <w:bottom w:w="0" w:type="dxa"/>
            <w:right w:w="108" w:type="dxa"/>
          </w:tblCellMar>
        </w:tblPrEx>
        <w:trPr>
          <w:trHeight w:val="580" w:hRule="atLeast"/>
          <w:jc w:val="center"/>
        </w:trPr>
        <w:tc>
          <w:tcPr>
            <w:tcW w:w="2945" w:type="dxa"/>
            <w:vAlign w:val="center"/>
          </w:tcPr>
          <w:p>
            <w:pPr>
              <w:spacing w:after="100" w:afterAutospacing="1" w:line="440" w:lineRule="exact"/>
              <w:ind w:firstLine="466" w:firstLineChars="100"/>
              <w:rPr>
                <w:rFonts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fitText w:val="1680" w:id="1"/>
              </w:rPr>
              <w:t>监督单</w:t>
            </w:r>
            <w:r>
              <w:rPr>
                <w:rFonts w:hint="eastAsia" w:ascii="仿宋" w:hAnsi="仿宋" w:eastAsia="仿宋" w:cs="仿宋"/>
                <w:color w:val="auto"/>
                <w:spacing w:val="1"/>
                <w:kern w:val="0"/>
                <w:sz w:val="28"/>
                <w:szCs w:val="28"/>
                <w:highlight w:val="none"/>
                <w:fitText w:val="1680" w:id="1"/>
              </w:rPr>
              <w:t>位</w:t>
            </w:r>
            <w:r>
              <w:rPr>
                <w:rFonts w:hint="eastAsia" w:ascii="仿宋" w:hAnsi="仿宋" w:eastAsia="仿宋" w:cs="仿宋"/>
                <w:color w:val="auto"/>
                <w:sz w:val="28"/>
                <w:szCs w:val="28"/>
                <w:highlight w:val="none"/>
              </w:rPr>
              <w:t>：</w:t>
            </w:r>
          </w:p>
        </w:tc>
        <w:tc>
          <w:tcPr>
            <w:tcW w:w="4846" w:type="dxa"/>
          </w:tcPr>
          <w:p>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绍兴市财政局</w:t>
            </w:r>
          </w:p>
        </w:tc>
      </w:tr>
      <w:tr>
        <w:tblPrEx>
          <w:tblCellMar>
            <w:top w:w="0" w:type="dxa"/>
            <w:left w:w="108" w:type="dxa"/>
            <w:bottom w:w="0" w:type="dxa"/>
            <w:right w:w="108" w:type="dxa"/>
          </w:tblCellMar>
        </w:tblPrEx>
        <w:trPr>
          <w:trHeight w:val="515" w:hRule="atLeast"/>
          <w:jc w:val="center"/>
        </w:trPr>
        <w:tc>
          <w:tcPr>
            <w:tcW w:w="7791" w:type="dxa"/>
            <w:gridSpan w:val="2"/>
          </w:tcPr>
          <w:p>
            <w:pPr>
              <w:spacing w:after="100" w:afterAutospacing="1"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二○二三年三月</w:t>
            </w:r>
          </w:p>
        </w:tc>
      </w:tr>
    </w:tbl>
    <w:p>
      <w:pPr>
        <w:jc w:val="center"/>
        <w:rPr>
          <w:rFonts w:ascii="隶书" w:eastAsia="隶书"/>
          <w:b/>
          <w:color w:val="auto"/>
          <w:sz w:val="44"/>
          <w:szCs w:val="44"/>
          <w:highlight w:val="none"/>
        </w:rPr>
      </w:pPr>
    </w:p>
    <w:p>
      <w:pPr>
        <w:pageBreakBefore/>
        <w:jc w:val="center"/>
        <w:rPr>
          <w:rFonts w:ascii="隶书" w:eastAsia="隶书"/>
          <w:b/>
          <w:color w:val="auto"/>
          <w:sz w:val="44"/>
          <w:szCs w:val="44"/>
          <w:highlight w:val="none"/>
        </w:rPr>
        <w:sectPr>
          <w:headerReference r:id="rId4" w:type="first"/>
          <w:footerReference r:id="rId7" w:type="first"/>
          <w:headerReference r:id="rId3" w:type="default"/>
          <w:footerReference r:id="rId5" w:type="default"/>
          <w:footerReference r:id="rId6" w:type="even"/>
          <w:pgSz w:w="11906" w:h="16838"/>
          <w:pgMar w:top="1361" w:right="1361" w:bottom="1361" w:left="1361" w:header="765" w:footer="822" w:gutter="0"/>
          <w:pgNumType w:start="0"/>
          <w:cols w:space="425" w:num="1"/>
          <w:titlePg/>
          <w:docGrid w:type="lines" w:linePitch="312" w:charSpace="0"/>
        </w:sectPr>
      </w:pPr>
    </w:p>
    <w:p>
      <w:pPr>
        <w:pStyle w:val="2"/>
        <w:ind w:firstLine="210"/>
        <w:rPr>
          <w:color w:val="auto"/>
          <w:highlight w:val="none"/>
        </w:rPr>
      </w:pPr>
    </w:p>
    <w:p>
      <w:pPr>
        <w:jc w:val="center"/>
        <w:rPr>
          <w:rFonts w:ascii="隶书" w:eastAsia="隶书"/>
          <w:b/>
          <w:color w:val="auto"/>
          <w:sz w:val="36"/>
          <w:szCs w:val="36"/>
          <w:highlight w:val="none"/>
        </w:rPr>
      </w:pPr>
    </w:p>
    <w:p>
      <w:pPr>
        <w:jc w:val="center"/>
        <w:rPr>
          <w:rFonts w:ascii="仿宋" w:hAnsi="仿宋" w:eastAsia="仿宋"/>
          <w:b/>
          <w:color w:val="auto"/>
          <w:sz w:val="56"/>
          <w:szCs w:val="56"/>
          <w:highlight w:val="none"/>
        </w:rPr>
      </w:pPr>
      <w:r>
        <w:rPr>
          <w:rFonts w:hint="eastAsia" w:ascii="仿宋" w:hAnsi="仿宋" w:eastAsia="仿宋"/>
          <w:b/>
          <w:color w:val="auto"/>
          <w:sz w:val="56"/>
          <w:szCs w:val="56"/>
          <w:highlight w:val="none"/>
        </w:rPr>
        <w:t xml:space="preserve">目 </w:t>
      </w:r>
      <w:r>
        <w:rPr>
          <w:rFonts w:hint="eastAsia" w:ascii="仿宋" w:hAnsi="仿宋" w:eastAsia="仿宋" w:cs="宋体"/>
          <w:b/>
          <w:color w:val="auto"/>
          <w:sz w:val="56"/>
          <w:szCs w:val="56"/>
          <w:highlight w:val="none"/>
        </w:rPr>
        <w:t>录</w:t>
      </w:r>
    </w:p>
    <w:p>
      <w:pPr>
        <w:jc w:val="center"/>
        <w:rPr>
          <w:rFonts w:ascii="仿宋" w:hAnsi="仿宋" w:eastAsia="仿宋"/>
          <w:b/>
          <w:color w:val="auto"/>
          <w:sz w:val="44"/>
          <w:szCs w:val="44"/>
          <w:highlight w:val="none"/>
        </w:rPr>
      </w:pPr>
    </w:p>
    <w:p>
      <w:pPr>
        <w:jc w:val="center"/>
        <w:rPr>
          <w:rFonts w:ascii="仿宋" w:hAnsi="仿宋" w:eastAsia="仿宋"/>
          <w:color w:val="auto"/>
          <w:highlight w:val="none"/>
        </w:rPr>
      </w:pPr>
    </w:p>
    <w:p>
      <w:pPr>
        <w:snapToGrid w:val="0"/>
        <w:spacing w:line="48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第一部分    招</w:t>
      </w:r>
      <w:r>
        <w:rPr>
          <w:rFonts w:hint="eastAsia" w:ascii="仿宋" w:hAnsi="仿宋" w:eastAsia="仿宋" w:cs="宋体"/>
          <w:b/>
          <w:color w:val="auto"/>
          <w:sz w:val="36"/>
          <w:szCs w:val="36"/>
          <w:highlight w:val="none"/>
        </w:rPr>
        <w:t>标</w:t>
      </w:r>
      <w:r>
        <w:rPr>
          <w:rFonts w:hint="eastAsia" w:ascii="仿宋" w:hAnsi="仿宋" w:eastAsia="仿宋" w:cs="MS Gothic"/>
          <w:b/>
          <w:color w:val="auto"/>
          <w:sz w:val="36"/>
          <w:szCs w:val="36"/>
          <w:highlight w:val="none"/>
        </w:rPr>
        <w:t>公告</w:t>
      </w:r>
    </w:p>
    <w:p>
      <w:pPr>
        <w:snapToGrid w:val="0"/>
        <w:spacing w:line="48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第二部分    投</w:t>
      </w:r>
      <w:r>
        <w:rPr>
          <w:rFonts w:hint="eastAsia" w:ascii="仿宋" w:hAnsi="仿宋" w:eastAsia="仿宋" w:cs="宋体"/>
          <w:b/>
          <w:color w:val="auto"/>
          <w:sz w:val="36"/>
          <w:szCs w:val="36"/>
          <w:highlight w:val="none"/>
        </w:rPr>
        <w:t>标须</w:t>
      </w:r>
      <w:r>
        <w:rPr>
          <w:rFonts w:hint="eastAsia" w:ascii="仿宋" w:hAnsi="仿宋" w:eastAsia="仿宋" w:cs="MS Gothic"/>
          <w:b/>
          <w:color w:val="auto"/>
          <w:sz w:val="36"/>
          <w:szCs w:val="36"/>
          <w:highlight w:val="none"/>
        </w:rPr>
        <w:t>知</w:t>
      </w:r>
    </w:p>
    <w:p>
      <w:pPr>
        <w:snapToGrid w:val="0"/>
        <w:spacing w:line="48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第三部分    招</w:t>
      </w:r>
      <w:r>
        <w:rPr>
          <w:rFonts w:hint="eastAsia" w:ascii="仿宋" w:hAnsi="仿宋" w:eastAsia="仿宋" w:cs="宋体"/>
          <w:b/>
          <w:color w:val="auto"/>
          <w:sz w:val="36"/>
          <w:szCs w:val="36"/>
          <w:highlight w:val="none"/>
        </w:rPr>
        <w:t>标项</w:t>
      </w:r>
      <w:r>
        <w:rPr>
          <w:rFonts w:hint="eastAsia" w:ascii="仿宋" w:hAnsi="仿宋" w:eastAsia="仿宋" w:cs="MS Gothic"/>
          <w:b/>
          <w:color w:val="auto"/>
          <w:sz w:val="36"/>
          <w:szCs w:val="36"/>
          <w:highlight w:val="none"/>
        </w:rPr>
        <w:t>目范</w:t>
      </w:r>
      <w:r>
        <w:rPr>
          <w:rFonts w:hint="eastAsia" w:ascii="仿宋" w:hAnsi="仿宋" w:eastAsia="仿宋" w:cs="宋体"/>
          <w:b/>
          <w:color w:val="auto"/>
          <w:sz w:val="36"/>
          <w:szCs w:val="36"/>
          <w:highlight w:val="none"/>
        </w:rPr>
        <w:t>围</w:t>
      </w:r>
      <w:r>
        <w:rPr>
          <w:rFonts w:hint="eastAsia" w:ascii="仿宋" w:hAnsi="仿宋" w:eastAsia="仿宋" w:cs="MS Gothic"/>
          <w:b/>
          <w:color w:val="auto"/>
          <w:sz w:val="36"/>
          <w:szCs w:val="36"/>
          <w:highlight w:val="none"/>
        </w:rPr>
        <w:t>及要求</w:t>
      </w:r>
    </w:p>
    <w:p>
      <w:pPr>
        <w:snapToGrid w:val="0"/>
        <w:spacing w:line="48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第四部分    合同的主要条款</w:t>
      </w:r>
    </w:p>
    <w:p>
      <w:pPr>
        <w:snapToGrid w:val="0"/>
        <w:spacing w:line="48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 xml:space="preserve">第五部分    </w:t>
      </w:r>
      <w:r>
        <w:rPr>
          <w:rFonts w:hint="eastAsia" w:ascii="仿宋" w:hAnsi="仿宋" w:eastAsia="仿宋" w:cs="宋体"/>
          <w:b/>
          <w:color w:val="auto"/>
          <w:sz w:val="36"/>
          <w:szCs w:val="36"/>
          <w:highlight w:val="none"/>
        </w:rPr>
        <w:t>评标</w:t>
      </w:r>
      <w:r>
        <w:rPr>
          <w:rFonts w:hint="eastAsia" w:ascii="仿宋" w:hAnsi="仿宋" w:eastAsia="仿宋" w:cs="MS Gothic"/>
          <w:b/>
          <w:color w:val="auto"/>
          <w:sz w:val="36"/>
          <w:szCs w:val="36"/>
          <w:highlight w:val="none"/>
        </w:rPr>
        <w:t>方法及</w:t>
      </w:r>
      <w:r>
        <w:rPr>
          <w:rFonts w:hint="eastAsia" w:ascii="仿宋" w:hAnsi="仿宋" w:eastAsia="仿宋" w:cs="宋体"/>
          <w:b/>
          <w:color w:val="auto"/>
          <w:sz w:val="36"/>
          <w:szCs w:val="36"/>
          <w:highlight w:val="none"/>
        </w:rPr>
        <w:t>标</w:t>
      </w:r>
      <w:r>
        <w:rPr>
          <w:rFonts w:hint="eastAsia" w:ascii="仿宋" w:hAnsi="仿宋" w:eastAsia="仿宋" w:cs="MS Gothic"/>
          <w:b/>
          <w:color w:val="auto"/>
          <w:sz w:val="36"/>
          <w:szCs w:val="36"/>
          <w:highlight w:val="none"/>
        </w:rPr>
        <w:t>准</w:t>
      </w:r>
    </w:p>
    <w:p>
      <w:pPr>
        <w:snapToGrid w:val="0"/>
        <w:spacing w:line="48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第六部分    投</w:t>
      </w:r>
      <w:r>
        <w:rPr>
          <w:rFonts w:hint="eastAsia" w:ascii="仿宋" w:hAnsi="仿宋" w:eastAsia="仿宋" w:cs="宋体"/>
          <w:b/>
          <w:color w:val="auto"/>
          <w:sz w:val="36"/>
          <w:szCs w:val="36"/>
          <w:highlight w:val="none"/>
        </w:rPr>
        <w:t>标</w:t>
      </w:r>
      <w:r>
        <w:rPr>
          <w:rFonts w:hint="eastAsia" w:ascii="仿宋" w:hAnsi="仿宋" w:eastAsia="仿宋" w:cs="MS Gothic"/>
          <w:b/>
          <w:color w:val="auto"/>
          <w:sz w:val="36"/>
          <w:szCs w:val="36"/>
          <w:highlight w:val="none"/>
        </w:rPr>
        <w:t>文件及其附件格式</w:t>
      </w:r>
    </w:p>
    <w:p>
      <w:pPr>
        <w:snapToGrid w:val="0"/>
        <w:spacing w:line="480" w:lineRule="auto"/>
        <w:jc w:val="left"/>
        <w:rPr>
          <w:rFonts w:ascii="仿宋" w:hAnsi="仿宋" w:eastAsia="仿宋"/>
          <w:color w:val="auto"/>
          <w:sz w:val="36"/>
          <w:szCs w:val="36"/>
          <w:highlight w:val="none"/>
        </w:rPr>
      </w:pPr>
    </w:p>
    <w:p>
      <w:pPr>
        <w:pStyle w:val="5"/>
        <w:numPr>
          <w:ilvl w:val="0"/>
          <w:numId w:val="0"/>
        </w:numPr>
        <w:rPr>
          <w:rFonts w:ascii="仿宋" w:hAnsi="仿宋" w:eastAsia="仿宋"/>
          <w:color w:val="auto"/>
          <w:sz w:val="36"/>
          <w:szCs w:val="36"/>
          <w:highlight w:val="none"/>
        </w:rPr>
      </w:pPr>
    </w:p>
    <w:p>
      <w:pPr>
        <w:rPr>
          <w:rFonts w:ascii="仿宋" w:hAnsi="仿宋" w:eastAsia="仿宋"/>
          <w:color w:val="auto"/>
          <w:sz w:val="36"/>
          <w:szCs w:val="36"/>
          <w:highlight w:val="none"/>
        </w:rPr>
      </w:pPr>
    </w:p>
    <w:p>
      <w:pPr>
        <w:rPr>
          <w:color w:val="auto"/>
          <w:highlight w:val="none"/>
        </w:rPr>
      </w:pPr>
    </w:p>
    <w:p>
      <w:pPr>
        <w:pStyle w:val="5"/>
        <w:numPr>
          <w:ilvl w:val="0"/>
          <w:numId w:val="0"/>
        </w:numPr>
        <w:rPr>
          <w:color w:val="auto"/>
          <w:highlight w:val="none"/>
        </w:rPr>
      </w:pPr>
    </w:p>
    <w:p>
      <w:pPr>
        <w:rPr>
          <w:color w:val="auto"/>
          <w:highlight w:val="none"/>
        </w:rPr>
      </w:pPr>
      <w:r>
        <w:rPr>
          <w:color w:val="auto"/>
          <w:highlight w:val="none"/>
        </w:rPr>
        <w:br w:type="page"/>
      </w:r>
    </w:p>
    <w:p>
      <w:pPr>
        <w:pStyle w:val="2"/>
        <w:ind w:firstLine="210"/>
        <w:rPr>
          <w:color w:val="auto"/>
          <w:highlight w:val="none"/>
        </w:rPr>
      </w:pPr>
    </w:p>
    <w:p>
      <w:pPr>
        <w:numPr>
          <w:ilvl w:val="0"/>
          <w:numId w:val="5"/>
        </w:num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招标公告</w:t>
      </w:r>
    </w:p>
    <w:tbl>
      <w:tblPr>
        <w:tblStyle w:val="46"/>
        <w:tblpPr w:leftFromText="180" w:rightFromText="180" w:vertAnchor="text" w:horzAnchor="margin" w:tblpXSpec="right" w:tblpY="115"/>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noWrap/>
          </w:tcPr>
          <w:p>
            <w:pPr>
              <w:pStyle w:val="74"/>
              <w:spacing w:afterLines="0" w:line="360"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项目概况： </w:t>
            </w:r>
          </w:p>
          <w:p>
            <w:pPr>
              <w:pStyle w:val="74"/>
              <w:spacing w:afterLines="0" w:line="360" w:lineRule="auto"/>
              <w:ind w:firstLine="480"/>
              <w:rPr>
                <w:rFonts w:ascii="仿宋" w:hAnsi="仿宋" w:eastAsia="仿宋" w:cs="仿宋"/>
                <w:color w:val="auto"/>
                <w:szCs w:val="24"/>
                <w:highlight w:val="none"/>
              </w:rPr>
            </w:pPr>
            <w:r>
              <w:rPr>
                <w:rFonts w:hint="eastAsia" w:ascii="仿宋" w:hAnsi="仿宋" w:eastAsia="仿宋"/>
                <w:color w:val="auto"/>
                <w:highlight w:val="none"/>
              </w:rPr>
              <w:t>早期人防工程设备设施维护项目的潜在投标人应在网上报名获取（下载）招标文件，并于2023年</w:t>
            </w:r>
            <w:r>
              <w:rPr>
                <w:rFonts w:hint="eastAsia" w:ascii="仿宋" w:hAnsi="仿宋" w:eastAsia="仿宋"/>
                <w:color w:val="auto"/>
                <w:highlight w:val="none"/>
                <w:lang w:val="en-US" w:eastAsia="zh-CN"/>
              </w:rPr>
              <w:t>4</w:t>
            </w:r>
            <w:r>
              <w:rPr>
                <w:rFonts w:hint="eastAsia" w:ascii="仿宋" w:hAnsi="仿宋" w:eastAsia="仿宋"/>
                <w:color w:val="auto"/>
                <w:highlight w:val="none"/>
              </w:rPr>
              <w:t>月</w:t>
            </w:r>
            <w:r>
              <w:rPr>
                <w:rFonts w:hint="eastAsia" w:ascii="仿宋" w:hAnsi="仿宋" w:eastAsia="仿宋"/>
                <w:color w:val="auto"/>
                <w:highlight w:val="none"/>
                <w:lang w:val="en-US" w:eastAsia="zh-CN"/>
              </w:rPr>
              <w:t>24</w:t>
            </w:r>
            <w:r>
              <w:rPr>
                <w:rFonts w:hint="eastAsia" w:ascii="仿宋" w:hAnsi="仿宋" w:eastAsia="仿宋"/>
                <w:color w:val="auto"/>
                <w:highlight w:val="none"/>
              </w:rPr>
              <w:t>日 9:00（北京时间）前递交（上传）投标文件。</w:t>
            </w:r>
          </w:p>
        </w:tc>
      </w:tr>
    </w:tbl>
    <w:p>
      <w:pPr>
        <w:pStyle w:val="74"/>
        <w:spacing w:afterLines="0" w:line="312" w:lineRule="auto"/>
        <w:ind w:firstLine="0" w:firstLineChars="0"/>
        <w:rPr>
          <w:rFonts w:ascii="仿宋" w:hAnsi="仿宋" w:eastAsia="仿宋" w:cs="仿宋"/>
          <w:color w:val="auto"/>
          <w:szCs w:val="24"/>
          <w:highlight w:val="none"/>
        </w:rPr>
      </w:pP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一、项目基本情况 </w:t>
      </w:r>
    </w:p>
    <w:p>
      <w:pPr>
        <w:pStyle w:val="74"/>
        <w:spacing w:afterLines="0" w:line="312" w:lineRule="auto"/>
        <w:ind w:firstLine="480"/>
        <w:rPr>
          <w:rFonts w:ascii="仿宋" w:hAnsi="仿宋" w:eastAsia="仿宋"/>
          <w:color w:val="auto"/>
          <w:highlight w:val="none"/>
          <w:lang w:val="zh-CN"/>
        </w:rPr>
      </w:pPr>
      <w:r>
        <w:rPr>
          <w:rFonts w:hint="eastAsia" w:ascii="仿宋" w:hAnsi="仿宋" w:eastAsia="仿宋" w:cs="仿宋"/>
          <w:color w:val="auto"/>
          <w:szCs w:val="24"/>
          <w:highlight w:val="none"/>
        </w:rPr>
        <w:t>项目编号：ZJXSC-2023-031项目名称：</w:t>
      </w:r>
      <w:r>
        <w:rPr>
          <w:rFonts w:hint="eastAsia" w:ascii="仿宋" w:hAnsi="仿宋" w:eastAsia="仿宋"/>
          <w:color w:val="auto"/>
          <w:highlight w:val="none"/>
        </w:rPr>
        <w:t>早期人防工程设备设施维护项目</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预算金额（元）： 300000.00</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最高限价（元）： 300000.00</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采购需求： </w:t>
      </w:r>
    </w:p>
    <w:p>
      <w:pPr>
        <w:pStyle w:val="74"/>
        <w:spacing w:afterLines="0" w:line="312" w:lineRule="auto"/>
        <w:ind w:left="479" w:leftChars="228"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标项一:</w:t>
      </w:r>
    </w:p>
    <w:p>
      <w:pPr>
        <w:pStyle w:val="74"/>
        <w:spacing w:afterLines="0" w:line="312" w:lineRule="auto"/>
        <w:ind w:left="479" w:leftChars="228" w:firstLine="0" w:firstLineChars="0"/>
        <w:rPr>
          <w:rFonts w:ascii="仿宋" w:hAnsi="仿宋" w:eastAsia="仿宋"/>
          <w:color w:val="auto"/>
          <w:highlight w:val="none"/>
        </w:rPr>
      </w:pPr>
      <w:r>
        <w:rPr>
          <w:rFonts w:hint="eastAsia" w:ascii="仿宋" w:hAnsi="仿宋" w:eastAsia="仿宋" w:cs="仿宋"/>
          <w:color w:val="auto"/>
          <w:szCs w:val="24"/>
          <w:highlight w:val="none"/>
        </w:rPr>
        <w:t>标项名称:</w:t>
      </w:r>
      <w:r>
        <w:rPr>
          <w:rFonts w:hint="eastAsia" w:ascii="仿宋" w:hAnsi="仿宋" w:eastAsia="仿宋"/>
          <w:color w:val="auto"/>
          <w:highlight w:val="none"/>
        </w:rPr>
        <w:t>早期人防工程设备设施维护项目</w:t>
      </w:r>
    </w:p>
    <w:p>
      <w:pPr>
        <w:pStyle w:val="74"/>
        <w:spacing w:afterLines="0" w:line="312" w:lineRule="auto"/>
        <w:ind w:left="479" w:leftChars="228"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数量:1</w:t>
      </w: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预算金额（元）:300000.00</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简要规格描述或项目基本概况介绍、用途：详见招标文件。</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备注：无。</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合同履约期限：至2023年12月31日止。</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本项目（否）接受联合体投标。</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二、申请人的资格要求：</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1.满足《中华人民共和国政府采购法》第二十二条规定; 未被“信用中国”（www.creditchina.gov.cn)、中国政府采购网（www.ccgp.gov.cn）列入失信被执行人、重大税收违法案件当事人名单、政府采购严重违法失信行为记录名单。</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2.落实政府采购政策需满足的资格要求：</w:t>
      </w:r>
    </w:p>
    <w:p>
      <w:pPr>
        <w:pStyle w:val="74"/>
        <w:spacing w:afterLines="0" w:line="440" w:lineRule="exact"/>
        <w:ind w:firstLine="480"/>
        <w:rPr>
          <w:rFonts w:ascii="仿宋_GB2312" w:hAnsi="新宋体" w:eastAsia="仿宋_GB2312"/>
          <w:color w:val="auto"/>
          <w:szCs w:val="24"/>
          <w:highlight w:val="none"/>
        </w:rPr>
      </w:pPr>
      <w:sdt>
        <w:sdtPr>
          <w:rPr>
            <w:rFonts w:hint="eastAsia" w:ascii="仿宋_GB2312" w:hAnsi="仿宋" w:eastAsia="仿宋_GB2312" w:cs="Arial"/>
            <w:color w:val="auto"/>
            <w:highlight w:val="none"/>
          </w:rPr>
          <w:id w:val="725337177"/>
        </w:sdtPr>
        <w:sdtEndPr>
          <w:rPr>
            <w:rFonts w:hint="eastAsia" w:ascii="仿宋_GB2312" w:hAnsi="仿宋" w:eastAsia="仿宋_GB2312" w:cs="Arial"/>
            <w:color w:val="auto"/>
            <w:highlight w:val="none"/>
          </w:rPr>
        </w:sdtEndPr>
        <w:sdtContent>
          <w:r>
            <w:rPr>
              <w:rFonts w:hint="eastAsia" w:ascii="仿宋_GB2312" w:hAnsi="MS Gothic" w:eastAsia="仿宋_GB2312" w:cs="Arial"/>
              <w:color w:val="auto"/>
              <w:highlight w:val="none"/>
            </w:rPr>
            <w:sym w:font="Wingdings" w:char="00A8"/>
          </w:r>
        </w:sdtContent>
      </w:sdt>
      <w:r>
        <w:rPr>
          <w:rFonts w:hint="eastAsia" w:ascii="仿宋_GB2312" w:hAnsi="仿宋" w:eastAsia="仿宋_GB2312"/>
          <w:color w:val="auto"/>
          <w:highlight w:val="none"/>
        </w:rPr>
        <w:t>无；</w:t>
      </w:r>
    </w:p>
    <w:p>
      <w:pPr>
        <w:spacing w:line="360" w:lineRule="auto"/>
        <w:ind w:firstLine="420" w:firstLineChars="200"/>
        <w:rPr>
          <w:rFonts w:ascii="仿宋_GB2312" w:hAnsi="仿宋" w:eastAsia="仿宋_GB2312"/>
          <w:color w:val="auto"/>
          <w:sz w:val="24"/>
          <w:highlight w:val="none"/>
        </w:rPr>
      </w:pPr>
      <w:sdt>
        <w:sdtPr>
          <w:rPr>
            <w:rFonts w:hint="eastAsia" w:ascii="仿宋_GB2312" w:hAnsi="仿宋" w:eastAsia="仿宋_GB2312" w:cs="Arial"/>
            <w:color w:val="auto"/>
            <w:highlight w:val="none"/>
          </w:rPr>
          <w:id w:val="-763454678"/>
        </w:sdtPr>
        <w:sdtEndPr>
          <w:rPr>
            <w:rFonts w:hint="eastAsia" w:ascii="仿宋_GB2312" w:hAnsi="仿宋" w:eastAsia="仿宋_GB2312" w:cs="Arial"/>
            <w:color w:val="auto"/>
            <w:highlight w:val="none"/>
          </w:rPr>
        </w:sdtEndPr>
        <w:sdtContent>
          <w:r>
            <w:rPr>
              <w:rFonts w:hint="eastAsia" w:ascii="仿宋_GB2312" w:hAnsi="仿宋" w:eastAsia="仿宋_GB2312" w:cs="Arial"/>
              <w:color w:val="auto"/>
              <w:highlight w:val="none"/>
            </w:rPr>
            <w:t xml:space="preserve"> </w:t>
          </w:r>
          <w:r>
            <w:rPr>
              <w:rFonts w:hint="eastAsia" w:ascii="仿宋_GB2312" w:hAnsi="MS Gothic" w:eastAsia="仿宋_GB2312" w:cs="Arial"/>
              <w:color w:val="auto"/>
              <w:highlight w:val="none"/>
            </w:rPr>
            <w:sym w:font="Wingdings" w:char="00FE"/>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rPr>
      </w:pP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2365989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79565509"/>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0690290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7956551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highlight w:val="none"/>
                  </w:rPr>
                  <w:id w:val="231666899"/>
                </w:sdtPr>
                <w:sdtEndPr>
                  <w:rPr>
                    <w:rFonts w:hint="eastAsia" w:ascii="仿宋_GB2312" w:hAnsi="仿宋" w:eastAsia="仿宋_GB2312" w:cs="Arial"/>
                    <w:color w:val="auto"/>
                    <w:highlight w:val="none"/>
                  </w:rPr>
                </w:sdtEndPr>
                <w:sdtContent>
                  <w:r>
                    <w:rPr>
                      <w:rFonts w:hint="eastAsia" w:ascii="仿宋_GB2312" w:hAnsi="MS Gothic" w:eastAsia="仿宋_GB2312" w:cs="Arial"/>
                      <w:color w:val="auto"/>
                      <w:highlight w:val="none"/>
                    </w:rPr>
                    <w:sym w:font="Wingdings" w:char="00FE"/>
                  </w:r>
                </w:sdtContent>
              </w:sdt>
            </w:sdtContent>
          </w:sdt>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6959412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79565513"/>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0369722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7956551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%，小微企业合同金额应当达到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_GB2312" w:hAnsi="仿宋" w:eastAsia="仿宋_GB2312"/>
          <w:color w:val="auto"/>
          <w:sz w:val="24"/>
          <w:highlight w:val="none"/>
        </w:rPr>
        <w:t>；</w:t>
      </w:r>
    </w:p>
    <w:p>
      <w:pPr>
        <w:spacing w:line="360" w:lineRule="auto"/>
        <w:ind w:firstLine="480" w:firstLineChars="200"/>
        <w:rPr>
          <w:rFonts w:ascii="仿宋" w:hAnsi="仿宋" w:eastAsia="仿宋" w:cs="仿宋"/>
          <w:color w:val="auto"/>
          <w:highlight w:val="none"/>
        </w:rPr>
      </w:pPr>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79565517"/>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sdtContent>
      </w:sdt>
      <w:r>
        <w:rPr>
          <w:rFonts w:hint="eastAsia" w:ascii="仿宋_GB2312" w:hAnsi="仿宋" w:eastAsia="仿宋_GB2312"/>
          <w:color w:val="auto"/>
          <w:sz w:val="24"/>
          <w:highlight w:val="none"/>
        </w:rPr>
        <w:t>要求合同分包，提供分包意向协议和中小企业声明函，分包意向协议中中小企业合同金额应当达到达到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，小微企业合同金额应当达到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w:t>
      </w:r>
      <w:r>
        <w:rPr>
          <w:rFonts w:hint="eastAsia" w:ascii="仿宋_GB2312" w:hAnsi="仿宋" w:eastAsia="仿宋_GB2312"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_GB2312" w:hAnsi="仿宋" w:eastAsia="仿宋_GB2312"/>
          <w:color w:val="auto"/>
          <w:sz w:val="24"/>
          <w:highlight w:val="none"/>
        </w:rPr>
        <w:t>；</w:t>
      </w:r>
    </w:p>
    <w:p>
      <w:pPr>
        <w:pStyle w:val="74"/>
        <w:spacing w:afterLines="0" w:line="312" w:lineRule="auto"/>
        <w:ind w:firstLine="480"/>
        <w:rPr>
          <w:rFonts w:ascii="仿宋" w:hAnsi="仿宋" w:eastAsia="仿宋"/>
          <w:color w:val="auto"/>
          <w:szCs w:val="24"/>
          <w:highlight w:val="none"/>
        </w:rPr>
      </w:pPr>
      <w:r>
        <w:rPr>
          <w:rFonts w:hint="eastAsia" w:ascii="仿宋" w:hAnsi="仿宋" w:eastAsia="仿宋" w:cs="仿宋"/>
          <w:bCs/>
          <w:color w:val="auto"/>
          <w:szCs w:val="24"/>
          <w:highlight w:val="none"/>
        </w:rPr>
        <w:t>3.本项目的特定资格要求：</w:t>
      </w:r>
      <w:r>
        <w:rPr>
          <w:rFonts w:hint="eastAsia" w:ascii="仿宋" w:hAnsi="仿宋" w:eastAsia="仿宋" w:cs="仿宋"/>
          <w:color w:val="auto"/>
          <w:szCs w:val="24"/>
          <w:highlight w:val="none"/>
        </w:rPr>
        <w:t>投标人为入围2022-2023年度绍兴市行政事业单位网上服务市场物业管理服务（定点采购）供应商（绍市财采监字〔2021〕15号）。</w:t>
      </w:r>
    </w:p>
    <w:p>
      <w:pPr>
        <w:pStyle w:val="74"/>
        <w:spacing w:afterLines="0" w:line="312" w:lineRule="auto"/>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74"/>
        <w:spacing w:afterLines="0" w:line="312" w:lineRule="auto"/>
        <w:ind w:firstLine="480"/>
        <w:rPr>
          <w:rFonts w:ascii="仿宋" w:hAnsi="仿宋" w:eastAsia="仿宋"/>
          <w:color w:val="auto"/>
          <w:szCs w:val="24"/>
          <w:highlight w:val="none"/>
        </w:rPr>
      </w:pPr>
      <w:r>
        <w:rPr>
          <w:rFonts w:hint="eastAsia" w:ascii="仿宋" w:hAnsi="仿宋" w:eastAsia="仿宋"/>
          <w:color w:val="auto"/>
          <w:szCs w:val="24"/>
          <w:highlight w:val="none"/>
        </w:rPr>
        <w:t xml:space="preserve">三、获取招标文件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olor w:val="auto"/>
          <w:szCs w:val="24"/>
          <w:highlight w:val="none"/>
        </w:rPr>
        <w:t>时间：/至2023</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24</w:t>
      </w:r>
      <w:r>
        <w:rPr>
          <w:rFonts w:hint="eastAsia" w:ascii="仿宋" w:hAnsi="仿宋" w:eastAsia="仿宋" w:cs="仿宋"/>
          <w:color w:val="auto"/>
          <w:szCs w:val="24"/>
          <w:highlight w:val="none"/>
        </w:rPr>
        <w:t>日，每天上午</w:t>
      </w:r>
      <w:r>
        <w:rPr>
          <w:rFonts w:hint="eastAsia" w:asciiTheme="minorEastAsia" w:hAnsiTheme="minorEastAsia" w:eastAsiaTheme="minorEastAsia"/>
          <w:color w:val="auto"/>
          <w:szCs w:val="24"/>
          <w:highlight w:val="none"/>
        </w:rPr>
        <w:t>00:00至12:00，下午12:00至23:59</w:t>
      </w:r>
      <w:r>
        <w:rPr>
          <w:rFonts w:hint="eastAsia" w:ascii="仿宋" w:hAnsi="仿宋" w:eastAsia="仿宋" w:cs="仿宋"/>
          <w:color w:val="auto"/>
          <w:szCs w:val="24"/>
          <w:highlight w:val="none"/>
        </w:rPr>
        <w:t>（北京时间，线上获取法定节假日均可，线下获取文件法定节假日除外）</w:t>
      </w:r>
    </w:p>
    <w:p>
      <w:pPr>
        <w:pStyle w:val="74"/>
        <w:spacing w:afterLines="0" w:line="44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地点（网址）：http://www.zcygov.cn/ </w:t>
      </w:r>
    </w:p>
    <w:p>
      <w:pPr>
        <w:pStyle w:val="74"/>
        <w:spacing w:afterLines="0" w:line="44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方式：供应商登陆政采云平台http://www.zcygov.cn/，在线申请获取采购文件（进入“项目采购”应用，在获取采购文件菜单中选择项目，申请获取采购文件）。</w:t>
      </w:r>
    </w:p>
    <w:p>
      <w:pPr>
        <w:pStyle w:val="74"/>
        <w:spacing w:afterLines="0" w:line="44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售价（元）：0</w:t>
      </w:r>
    </w:p>
    <w:p>
      <w:pPr>
        <w:pStyle w:val="74"/>
        <w:spacing w:afterLines="0" w:line="44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四、提交投标文件截止时间、开标时间和地点</w:t>
      </w:r>
    </w:p>
    <w:p>
      <w:pPr>
        <w:pStyle w:val="74"/>
        <w:spacing w:afterLines="0" w:line="44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提交投标文件截止时间：2023年</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xml:space="preserve"> 月</w:t>
      </w:r>
      <w:r>
        <w:rPr>
          <w:rFonts w:hint="eastAsia" w:ascii="仿宋" w:hAnsi="仿宋" w:eastAsia="仿宋" w:cs="仿宋"/>
          <w:color w:val="auto"/>
          <w:szCs w:val="24"/>
          <w:highlight w:val="none"/>
          <w:lang w:val="en-US" w:eastAsia="zh-CN"/>
        </w:rPr>
        <w:t>24</w:t>
      </w:r>
      <w:r>
        <w:rPr>
          <w:rFonts w:hint="eastAsia" w:ascii="仿宋" w:hAnsi="仿宋" w:eastAsia="仿宋" w:cs="仿宋"/>
          <w:color w:val="auto"/>
          <w:szCs w:val="24"/>
          <w:highlight w:val="none"/>
        </w:rPr>
        <w:t>日9:00（北京时间，下同）</w:t>
      </w:r>
    </w:p>
    <w:p>
      <w:pPr>
        <w:pStyle w:val="74"/>
        <w:spacing w:afterLines="0" w:line="44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投标地点（网址）：</w:t>
      </w:r>
      <w:r>
        <w:rPr>
          <w:rFonts w:hint="eastAsia" w:ascii="仿宋" w:hAnsi="仿宋" w:eastAsia="仿宋" w:cs="仿宋"/>
          <w:color w:val="auto"/>
          <w:szCs w:val="24"/>
          <w:highlight w:val="none"/>
          <w:u w:val="single"/>
        </w:rPr>
        <w:t>http://www.zcygov.cn/</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开标时间：2023年</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xml:space="preserve"> 月</w:t>
      </w:r>
      <w:r>
        <w:rPr>
          <w:rFonts w:hint="eastAsia" w:ascii="仿宋" w:hAnsi="仿宋" w:eastAsia="仿宋" w:cs="仿宋"/>
          <w:color w:val="auto"/>
          <w:szCs w:val="24"/>
          <w:highlight w:val="none"/>
          <w:lang w:val="en-US" w:eastAsia="zh-CN"/>
        </w:rPr>
        <w:t>24</w:t>
      </w:r>
      <w:r>
        <w:rPr>
          <w:rFonts w:hint="eastAsia" w:ascii="仿宋" w:hAnsi="仿宋" w:eastAsia="仿宋" w:cs="仿宋"/>
          <w:color w:val="auto"/>
          <w:szCs w:val="24"/>
          <w:highlight w:val="none"/>
        </w:rPr>
        <w:t>日9:00</w:t>
      </w:r>
      <w:bookmarkStart w:id="167" w:name="_GoBack"/>
      <w:bookmarkEnd w:id="167"/>
      <w:r>
        <w:rPr>
          <w:rFonts w:ascii="仿宋" w:hAnsi="新宋体" w:eastAsia="仿宋"/>
          <w:color w:val="auto"/>
          <w:highlight w:val="none"/>
        </w:rPr>
        <w:t> </w:t>
      </w:r>
    </w:p>
    <w:p>
      <w:pPr>
        <w:pStyle w:val="74"/>
        <w:spacing w:afterLines="0" w:line="44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开标地点：绍兴市越城区阳明北路692号浙江翔实建设项目管理有限公司一楼开标室</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五、公告期限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自本公告发布之日起5个工作日。</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六、其他补充事宜</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2.其他事项：</w:t>
      </w:r>
      <w:r>
        <w:rPr>
          <w:rFonts w:hint="eastAsia" w:ascii="仿宋_GB2312" w:hAnsi="新宋体" w:eastAsia="仿宋_GB2312"/>
          <w:color w:val="auto"/>
          <w:szCs w:val="24"/>
          <w:highlight w:val="none"/>
        </w:rPr>
        <w:t>（1）需要落实的政府采购政策：包括节约资源、保护环境、支持创新、促进中小企业发展等。详见招标文件的第二部分总则。（2）</w:t>
      </w:r>
      <w:r>
        <w:rPr>
          <w:rFonts w:ascii="仿宋_GB2312" w:hAnsi="仿宋" w:eastAsia="仿宋_GB2312"/>
          <w:color w:val="auto"/>
          <w:highlight w:val="none"/>
        </w:rPr>
        <w:t>电子招投标的说明：</w:t>
      </w:r>
      <w:r>
        <w:rPr>
          <w:rFonts w:hint="eastAsia" w:ascii="仿宋_GB2312" w:hAnsi="仿宋" w:eastAsia="仿宋_GB2312" w:cs="仿宋_GB2312"/>
          <w:color w:val="auto"/>
          <w:highlight w:val="none"/>
        </w:rPr>
        <w:t>①</w:t>
      </w:r>
      <w:r>
        <w:rPr>
          <w:rFonts w:ascii="仿宋_GB2312" w:hAnsi="仿宋" w:eastAsia="仿宋_GB2312" w:cs="仿宋_GB2312"/>
          <w:color w:val="auto"/>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highlight w:val="none"/>
        </w:rPr>
        <w:t>；②</w:t>
      </w:r>
      <w:r>
        <w:rPr>
          <w:rFonts w:ascii="仿宋_GB2312" w:hAnsi="仿宋" w:eastAsia="仿宋_GB2312" w:cs="仿宋_GB2312"/>
          <w:color w:val="auto"/>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highlight w:val="none"/>
        </w:rPr>
        <w:t>采云电子交易客户端”</w:t>
      </w:r>
      <w:r>
        <w:rPr>
          <w:rFonts w:ascii="仿宋_GB2312" w:hAnsi="仿宋" w:eastAsia="仿宋_GB2312" w:cs="仿宋_GB2312"/>
          <w:color w:val="auto"/>
          <w:highlight w:val="none"/>
        </w:rPr>
        <w:t>----前往“浙江政府采购网-下载专区-电子交易客户端”进行下载并安装</w:t>
      </w:r>
      <w:r>
        <w:rPr>
          <w:rFonts w:hint="eastAsia" w:ascii="仿宋_GB2312" w:hAnsi="仿宋" w:eastAsia="仿宋_GB2312" w:cs="仿宋_GB2312"/>
          <w:color w:val="auto"/>
          <w:highlight w:val="none"/>
        </w:rPr>
        <w:t>；③</w:t>
      </w:r>
      <w:r>
        <w:rPr>
          <w:rFonts w:ascii="仿宋_GB2312" w:hAnsi="仿宋" w:eastAsia="仿宋_GB2312" w:cs="仿宋_GB2312"/>
          <w:color w:val="auto"/>
          <w:highlight w:val="none"/>
        </w:rPr>
        <w:t>招标文件的获取：使用账号登录或者使用CA登录政</w:t>
      </w:r>
      <w:r>
        <w:rPr>
          <w:rFonts w:hint="eastAsia" w:ascii="仿宋_GB2312" w:hAnsi="仿宋" w:eastAsia="仿宋_GB2312" w:cs="仿宋_GB2312"/>
          <w:color w:val="auto"/>
          <w:highlight w:val="none"/>
        </w:rPr>
        <w:t>采云平台；进入“项目采购”应用，在获取采购文件菜单中选择项目，获取招标文件；④</w:t>
      </w:r>
      <w:r>
        <w:rPr>
          <w:rFonts w:ascii="仿宋_GB2312" w:hAnsi="仿宋" w:eastAsia="仿宋_GB2312" w:cs="仿宋_GB2312"/>
          <w:color w:val="auto"/>
          <w:highlight w:val="none"/>
        </w:rPr>
        <w:t>投标文件的制作：在“政</w:t>
      </w:r>
      <w:r>
        <w:rPr>
          <w:rFonts w:hint="eastAsia" w:ascii="仿宋_GB2312" w:hAnsi="仿宋" w:eastAsia="仿宋_GB2312" w:cs="仿宋_GB2312"/>
          <w:color w:val="auto"/>
          <w:highlight w:val="none"/>
        </w:rPr>
        <w:t>采云电子交易客户端”中完成“填写基本信息”、“导入投标文件”、“标书关联”、“标书检查”、“电子签名”、“生成电子标书”等操作；</w:t>
      </w:r>
      <w:r>
        <w:rPr>
          <w:rFonts w:hint="eastAsia" w:ascii="仿宋_GB2312" w:hAnsi="仿宋" w:eastAsia="仿宋_GB2312"/>
          <w:color w:val="auto"/>
          <w:highlight w:val="none"/>
        </w:rPr>
        <w:t>⑤</w:t>
      </w:r>
      <w:r>
        <w:rPr>
          <w:rFonts w:ascii="仿宋_GB2312" w:hAnsi="仿宋" w:eastAsia="仿宋_GB2312"/>
          <w:color w:val="auto"/>
          <w:highlight w:val="none"/>
        </w:rPr>
        <w:t>采购人、采购机构将依托政</w:t>
      </w:r>
      <w:r>
        <w:rPr>
          <w:rFonts w:hint="eastAsia" w:ascii="仿宋_GB2312" w:hAnsi="仿宋" w:eastAsia="仿宋_GB2312"/>
          <w:color w:val="auto"/>
          <w:highlight w:val="none"/>
        </w:rPr>
        <w:t>采云平台完成本项目的电子交易活动，平台不接受未按上述方式获取招标文件的供应商进行投标活动；</w:t>
      </w:r>
      <w:r>
        <w:rPr>
          <w:rFonts w:ascii="仿宋_GB2312" w:hAnsi="仿宋" w:eastAsia="仿宋_GB2312"/>
          <w:color w:val="auto"/>
          <w:highlight w:val="none"/>
        </w:rPr>
        <w:t xml:space="preserve"> </w:t>
      </w:r>
      <w:r>
        <w:rPr>
          <w:rFonts w:hint="eastAsia" w:ascii="仿宋_GB2312" w:hAnsi="仿宋" w:eastAsia="仿宋_GB2312"/>
          <w:color w:val="auto"/>
          <w:highlight w:val="none"/>
        </w:rPr>
        <w:t>⑥</w:t>
      </w:r>
      <w:r>
        <w:rPr>
          <w:rFonts w:ascii="仿宋_GB2312" w:hAnsi="仿宋" w:eastAsia="仿宋_GB2312"/>
          <w:color w:val="auto"/>
          <w:highlight w:val="none"/>
        </w:rPr>
        <w:t>对未按上述方式获取招标文件的供应商对该文件提出的质疑，采购人或采购代理机构将</w:t>
      </w:r>
      <w:r>
        <w:rPr>
          <w:rFonts w:hint="eastAsia" w:ascii="仿宋_GB2312" w:hAnsi="仿宋" w:eastAsia="仿宋_GB2312"/>
          <w:color w:val="auto"/>
          <w:highlight w:val="none"/>
        </w:rPr>
        <w:t>不予处理；⑦</w:t>
      </w:r>
      <w:r>
        <w:rPr>
          <w:rFonts w:ascii="仿宋_GB2312" w:hAnsi="仿宋" w:eastAsia="仿宋_GB2312"/>
          <w:color w:val="auto"/>
          <w:highlight w:val="none"/>
        </w:rPr>
        <w:t>不提供招标文件纸质版</w:t>
      </w:r>
      <w:r>
        <w:rPr>
          <w:rFonts w:hint="eastAsia" w:ascii="仿宋_GB2312" w:hAnsi="仿宋" w:eastAsia="仿宋_GB2312"/>
          <w:color w:val="auto"/>
          <w:highlight w:val="none"/>
        </w:rPr>
        <w:t>；</w:t>
      </w:r>
      <w:r>
        <w:rPr>
          <w:rFonts w:hint="eastAsia" w:ascii="仿宋_GB2312" w:hAnsi="仿宋" w:eastAsia="仿宋_GB2312" w:cs="仿宋_GB2312"/>
          <w:color w:val="auto"/>
          <w:highlight w:val="none"/>
        </w:rPr>
        <w:t>⑧</w:t>
      </w:r>
      <w:r>
        <w:rPr>
          <w:rFonts w:ascii="仿宋_GB2312" w:hAnsi="仿宋" w:eastAsia="仿宋_GB2312" w:cs="仿宋_GB2312"/>
          <w:color w:val="auto"/>
          <w:highlight w:val="none"/>
        </w:rPr>
        <w:t>投标文件的传输递交：投标人在投标截止时间前将加密的投标文件上传至政府采购云平台</w:t>
      </w:r>
      <w:r>
        <w:rPr>
          <w:rFonts w:hint="eastAsia" w:ascii="仿宋_GB2312" w:hAnsi="仿宋" w:eastAsia="仿宋_GB2312" w:cs="仿宋_GB2312"/>
          <w:color w:val="auto"/>
          <w:highlight w:val="none"/>
        </w:rPr>
        <w:t>；</w:t>
      </w:r>
      <w:r>
        <w:rPr>
          <w:rFonts w:hint="eastAsia" w:ascii="仿宋_GB2312" w:hAnsi="仿宋" w:eastAsia="仿宋_GB2312"/>
          <w:color w:val="auto"/>
          <w:highlight w:val="none"/>
        </w:rPr>
        <w:t>⑨</w:t>
      </w:r>
      <w:r>
        <w:rPr>
          <w:rFonts w:hint="eastAsia" w:ascii="仿宋_GB2312" w:hAnsi="仿宋" w:eastAsia="仿宋_GB2312" w:cs="仿宋_GB2312"/>
          <w:color w:val="auto"/>
          <w:highlight w:val="none"/>
        </w:rPr>
        <w:t>投标文件的解密：投标人按照平台提示和招标文件的规定在半小时内完成在线解密。通过“政府采购云平台”上传递交的投标文件无法按时解密</w:t>
      </w:r>
      <w:r>
        <w:rPr>
          <w:rFonts w:hint="eastAsia" w:ascii="仿宋_GB2312" w:hAnsi="仿宋" w:eastAsia="仿宋_GB2312" w:cs="仿宋_GB2312"/>
          <w:b/>
          <w:color w:val="auto"/>
          <w:highlight w:val="none"/>
        </w:rPr>
        <w:t>（投标人应特别注意CA锁有效性，CA锁延期、补办后，虽硬件介质不变，但锁的证书Key号发生改变，视为不同锁，会导致开标时无法解密投标文件）</w:t>
      </w:r>
      <w:r>
        <w:rPr>
          <w:rFonts w:hint="eastAsia" w:ascii="仿宋_GB2312" w:hAnsi="仿宋" w:eastAsia="仿宋_GB2312" w:cs="仿宋_GB2312"/>
          <w:color w:val="auto"/>
          <w:highlight w:val="none"/>
        </w:rPr>
        <w:t>，视为投标文件撤回；⑩</w:t>
      </w:r>
      <w:r>
        <w:rPr>
          <w:rFonts w:ascii="仿宋_GB2312" w:hAnsi="仿宋" w:eastAsia="仿宋_GB2312" w:cs="仿宋_GB2312"/>
          <w:color w:val="auto"/>
          <w:highlight w:val="none"/>
        </w:rPr>
        <w:t>具体操作指南：详见政</w:t>
      </w:r>
      <w:r>
        <w:rPr>
          <w:rFonts w:hint="eastAsia" w:ascii="仿宋_GB2312" w:hAnsi="仿宋" w:eastAsia="仿宋_GB2312" w:cs="仿宋_GB2312"/>
          <w:color w:val="auto"/>
          <w:highlight w:val="none"/>
        </w:rPr>
        <w:t>采云平台“服务中心</w:t>
      </w:r>
      <w:r>
        <w:rPr>
          <w:rFonts w:ascii="仿宋_GB2312" w:hAnsi="仿宋" w:eastAsia="仿宋_GB2312" w:cs="仿宋_GB2312"/>
          <w:color w:val="auto"/>
          <w:highlight w:val="none"/>
        </w:rPr>
        <w:t>-帮助文档-项目采购-操作流程-电子招投标-政府采购项目电子交易管理操作指南-供应商”</w:t>
      </w:r>
      <w:r>
        <w:rPr>
          <w:rFonts w:hint="eastAsia" w:ascii="仿宋" w:hAnsi="仿宋" w:eastAsia="仿宋" w:cs="仿宋"/>
          <w:color w:val="auto"/>
          <w:szCs w:val="24"/>
          <w:highlight w:val="none"/>
        </w:rPr>
        <w:t> 。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七、对本次招标提出询问、质疑、投诉，请按以下方式联系</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1.采购人信息</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名称：</w:t>
      </w:r>
      <w:r>
        <w:rPr>
          <w:rFonts w:hint="eastAsia" w:ascii="仿宋" w:hAnsi="仿宋" w:eastAsia="仿宋"/>
          <w:color w:val="auto"/>
          <w:highlight w:val="none"/>
        </w:rPr>
        <w:t>绍兴市国防动员办公室</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地址：绍兴市石家池沿129号</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传真：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项目联系人（询问）：金涛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项目联系方式（询问）：0575-85125893</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质疑联系人：刘笑</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质疑联系方式：0575-85176221</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2.招标代理机构信息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名称：</w:t>
      </w:r>
      <w:r>
        <w:rPr>
          <w:rFonts w:hint="eastAsia" w:ascii="仿宋" w:hAnsi="仿宋" w:eastAsia="仿宋" w:cs="仿宋"/>
          <w:color w:val="auto"/>
          <w:szCs w:val="21"/>
          <w:highlight w:val="none"/>
        </w:rPr>
        <w:t>浙江翔实建设项目管理有限公司</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地址：绍兴市越城区阳明北路692号</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传真：/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项目联系人（询问）：</w:t>
      </w:r>
      <w:r>
        <w:rPr>
          <w:rFonts w:hint="eastAsia" w:ascii="仿宋" w:hAnsi="仿宋" w:eastAsia="仿宋" w:cs="仿宋"/>
          <w:color w:val="auto"/>
          <w:szCs w:val="21"/>
          <w:highlight w:val="none"/>
        </w:rPr>
        <w:t>金琴子</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项目联系方式（询问）：</w:t>
      </w:r>
      <w:r>
        <w:rPr>
          <w:rFonts w:hint="eastAsia" w:ascii="仿宋" w:hAnsi="仿宋" w:eastAsia="仿宋" w:cs="仿宋"/>
          <w:color w:val="auto"/>
          <w:szCs w:val="21"/>
          <w:highlight w:val="none"/>
        </w:rPr>
        <w:t>0575-88682895/18969515361</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质疑联系人：</w:t>
      </w:r>
      <w:r>
        <w:rPr>
          <w:rFonts w:hint="eastAsia" w:ascii="仿宋" w:hAnsi="仿宋" w:eastAsia="仿宋" w:cs="仿宋"/>
          <w:color w:val="auto"/>
          <w:szCs w:val="21"/>
          <w:highlight w:val="none"/>
        </w:rPr>
        <w:t>蒋红</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质疑联系方式：</w:t>
      </w:r>
      <w:r>
        <w:rPr>
          <w:rFonts w:hint="eastAsia" w:ascii="仿宋" w:hAnsi="仿宋" w:eastAsia="仿宋" w:cs="仿宋"/>
          <w:color w:val="auto"/>
          <w:szCs w:val="21"/>
          <w:highlight w:val="none"/>
        </w:rPr>
        <w:t>0575-88976639</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3.同级政府采购监督管理部门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名称：绍兴市财政局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地址：绍兴市越城区凤林西路151号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传真：0575-85209697       </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联系人 ：吴滟</w:t>
      </w:r>
    </w:p>
    <w:p>
      <w:pPr>
        <w:pStyle w:val="74"/>
        <w:spacing w:afterLines="0" w:line="312"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监督投诉电话：0575-85209697       </w:t>
      </w:r>
    </w:p>
    <w:p>
      <w:pPr>
        <w:widowControl/>
        <w:snapToGrid w:val="0"/>
        <w:spacing w:line="44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若对项目采购电子交易系统操作有疑问，可登录政采云（https://www.zcygov.cn/），点击右侧咨询小采，获取采小蜜智能服务管家帮助，或拨打政采云服务热线400-881-7190获取热线服务帮助。</w:t>
      </w:r>
    </w:p>
    <w:p>
      <w:pPr>
        <w:widowControl/>
        <w:snapToGrid w:val="0"/>
        <w:spacing w:line="44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CA问题联系电话（人工）：汇信CA 400-888-4636；天谷CA 400-087-8198。</w:t>
      </w:r>
    </w:p>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pPr>
        <w:widowControl/>
        <w:snapToGrid w:val="0"/>
        <w:spacing w:line="440" w:lineRule="exact"/>
        <w:ind w:firstLine="723" w:firstLineChars="2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第二部分 投标须知</w:t>
      </w:r>
    </w:p>
    <w:p>
      <w:pPr>
        <w:ind w:left="238"/>
        <w:jc w:val="center"/>
        <w:rPr>
          <w:rFonts w:ascii="仿宋" w:hAnsi="仿宋" w:eastAsia="仿宋"/>
          <w:b/>
          <w:color w:val="auto"/>
          <w:sz w:val="30"/>
          <w:szCs w:val="36"/>
          <w:highlight w:val="none"/>
        </w:rPr>
      </w:pPr>
      <w:r>
        <w:rPr>
          <w:rFonts w:hint="eastAsia" w:ascii="仿宋" w:hAnsi="仿宋" w:eastAsia="仿宋"/>
          <w:b/>
          <w:color w:val="auto"/>
          <w:sz w:val="30"/>
          <w:szCs w:val="36"/>
          <w:highlight w:val="none"/>
        </w:rPr>
        <w:t>前附表</w:t>
      </w:r>
    </w:p>
    <w:tbl>
      <w:tblPr>
        <w:tblStyle w:val="46"/>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55"/>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8534" w:type="dxa"/>
            <w:gridSpan w:val="2"/>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8534" w:type="dxa"/>
            <w:gridSpan w:val="2"/>
            <w:vAlign w:val="center"/>
          </w:tcPr>
          <w:p>
            <w:pPr>
              <w:snapToGrid w:val="0"/>
              <w:spacing w:line="420" w:lineRule="exact"/>
              <w:rPr>
                <w:rFonts w:ascii="仿宋" w:hAnsi="仿宋" w:eastAsia="仿宋" w:cs="仿宋_GB2312"/>
                <w:color w:val="auto"/>
                <w:sz w:val="24"/>
                <w:highlight w:val="none"/>
                <w:u w:val="single"/>
              </w:rPr>
            </w:pPr>
            <w:r>
              <w:rPr>
                <w:rFonts w:hint="eastAsia" w:ascii="仿宋" w:hAnsi="仿宋" w:eastAsia="仿宋" w:cs="仿宋_GB2312"/>
                <w:b/>
                <w:color w:val="auto"/>
                <w:sz w:val="24"/>
                <w:highlight w:val="none"/>
              </w:rPr>
              <w:t>投标人应当提交的特许资质格、资信证明文件（如果有）：</w:t>
            </w:r>
          </w:p>
          <w:p>
            <w:pPr>
              <w:spacing w:line="420" w:lineRule="exact"/>
              <w:ind w:firstLine="480" w:firstLineChars="200"/>
              <w:rPr>
                <w:rFonts w:ascii="仿宋" w:hAnsi="仿宋" w:eastAsia="仿宋"/>
                <w:b/>
                <w:color w:val="auto"/>
                <w:sz w:val="24"/>
                <w:highlight w:val="none"/>
              </w:rPr>
            </w:pPr>
            <w:r>
              <w:rPr>
                <w:rFonts w:hint="eastAsia" w:ascii="仿宋" w:hAnsi="仿宋" w:eastAsia="仿宋" w:cs="仿宋_GB2312"/>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8534" w:type="dxa"/>
            <w:gridSpan w:val="2"/>
            <w:vAlign w:val="center"/>
          </w:tcPr>
          <w:p>
            <w:pPr>
              <w:snapToGrid w:val="0"/>
              <w:spacing w:line="44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资格审查方式：</w:t>
            </w:r>
          </w:p>
          <w:p>
            <w:pPr>
              <w:snapToGrid w:val="0"/>
              <w:spacing w:line="44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1.资格后审。</w:t>
            </w:r>
          </w:p>
          <w:p>
            <w:pPr>
              <w:snapToGrid w:val="0"/>
              <w:spacing w:line="440" w:lineRule="exact"/>
              <w:rPr>
                <w:rFonts w:ascii="仿宋" w:hAnsi="仿宋" w:eastAsia="仿宋" w:cs="仿宋_GB2312"/>
                <w:color w:val="auto"/>
                <w:sz w:val="24"/>
                <w:highlight w:val="none"/>
              </w:rPr>
            </w:pPr>
            <w:r>
              <w:rPr>
                <w:rFonts w:hint="eastAsia" w:ascii="仿宋" w:hAnsi="仿宋" w:eastAsia="仿宋" w:cs="仿宋_GB2312"/>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8534" w:type="dxa"/>
            <w:gridSpan w:val="2"/>
            <w:vAlign w:val="center"/>
          </w:tcPr>
          <w:p>
            <w:pPr>
              <w:autoSpaceDE w:val="0"/>
              <w:autoSpaceDN w:val="0"/>
              <w:spacing w:line="420" w:lineRule="exact"/>
              <w:textAlignment w:val="bottom"/>
              <w:rPr>
                <w:rFonts w:ascii="仿宋" w:hAnsi="仿宋" w:eastAsia="仿宋"/>
                <w:color w:val="auto"/>
                <w:sz w:val="24"/>
                <w:highlight w:val="none"/>
              </w:rPr>
            </w:pPr>
            <w:r>
              <w:rPr>
                <w:rFonts w:hint="eastAsia" w:ascii="仿宋" w:hAnsi="仿宋" w:eastAsia="仿宋"/>
                <w:b/>
                <w:color w:val="auto"/>
                <w:sz w:val="24"/>
                <w:highlight w:val="none"/>
              </w:rPr>
              <w:t>投标有效期：</w:t>
            </w:r>
            <w:r>
              <w:rPr>
                <w:rFonts w:hint="eastAsia" w:ascii="仿宋" w:hAnsi="仿宋" w:eastAsia="仿宋" w:cs="仿宋_GB2312"/>
                <w:color w:val="auto"/>
                <w:sz w:val="24"/>
                <w:highlight w:val="none"/>
              </w:rPr>
              <w:t>投标有效期为从提交投标文件的截止之日起90天。</w:t>
            </w:r>
            <w:r>
              <w:rPr>
                <w:rFonts w:hint="eastAsia" w:ascii="仿宋" w:hAnsi="仿宋" w:eastAsia="仿宋" w:cs="仿宋_GB2312"/>
                <w:b/>
                <w:color w:val="auto"/>
                <w:sz w:val="24"/>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_GB2312" w:hAnsi="宋体" w:eastAsia="仿宋_GB2312"/>
                <w:color w:val="auto"/>
                <w:sz w:val="24"/>
                <w:highlight w:val="none"/>
              </w:rPr>
              <w:t>4</w:t>
            </w:r>
          </w:p>
        </w:tc>
        <w:tc>
          <w:tcPr>
            <w:tcW w:w="8534" w:type="dxa"/>
            <w:gridSpan w:val="2"/>
            <w:vAlign w:val="center"/>
          </w:tcPr>
          <w:p>
            <w:pPr>
              <w:spacing w:line="440" w:lineRule="exact"/>
              <w:rPr>
                <w:rFonts w:ascii="仿宋" w:hAnsi="仿宋" w:eastAsia="仿宋"/>
                <w:color w:val="auto"/>
                <w:sz w:val="24"/>
                <w:highlight w:val="none"/>
              </w:rPr>
            </w:pPr>
            <w:r>
              <w:rPr>
                <w:rFonts w:hint="eastAsia" w:ascii="仿宋_GB2312" w:hAnsi="仿宋" w:eastAsia="仿宋_GB2312" w:cs="仿宋_GB2312"/>
                <w:b/>
                <w:color w:val="auto"/>
                <w:sz w:val="24"/>
                <w:highlight w:val="none"/>
              </w:rPr>
              <w:t>转包：</w:t>
            </w:r>
            <w:r>
              <w:rPr>
                <w:rFonts w:hint="eastAsia" w:ascii="仿宋_GB2312" w:hAnsi="仿宋" w:eastAsia="仿宋_GB2312" w:cs="仿宋_GB2312"/>
                <w:color w:val="auto"/>
                <w:sz w:val="24"/>
                <w:highlight w:val="none"/>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_GB2312" w:hAnsi="宋体" w:eastAsia="仿宋_GB2312"/>
                <w:color w:val="auto"/>
                <w:sz w:val="24"/>
                <w:highlight w:val="none"/>
              </w:rPr>
              <w:t>5</w:t>
            </w:r>
          </w:p>
        </w:tc>
        <w:tc>
          <w:tcPr>
            <w:tcW w:w="8534" w:type="dxa"/>
            <w:gridSpan w:val="2"/>
            <w:vAlign w:val="center"/>
          </w:tcPr>
          <w:p>
            <w:pPr>
              <w:spacing w:line="440" w:lineRule="exact"/>
              <w:rPr>
                <w:rFonts w:ascii="仿宋_GB2312" w:hAnsi="仿宋" w:eastAsia="仿宋_GB2312"/>
                <w:color w:val="auto"/>
                <w:sz w:val="24"/>
                <w:highlight w:val="none"/>
              </w:rPr>
            </w:pPr>
            <w:r>
              <w:rPr>
                <w:rFonts w:hint="eastAsia" w:ascii="仿宋_GB2312" w:hAnsi="仿宋" w:eastAsia="仿宋_GB2312" w:cs="仿宋_GB2312"/>
                <w:b/>
                <w:color w:val="auto"/>
                <w:sz w:val="24"/>
                <w:highlight w:val="none"/>
              </w:rPr>
              <w:t>分包：</w:t>
            </w: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spacing w:line="440" w:lineRule="exact"/>
              <w:ind w:firstLine="720" w:firstLineChars="300"/>
              <w:rPr>
                <w:rFonts w:ascii="仿宋" w:hAnsi="仿宋" w:eastAsia="仿宋" w:cs="仿宋_GB2312"/>
                <w:b/>
                <w:color w:val="auto"/>
                <w:sz w:val="24"/>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8534" w:type="dxa"/>
            <w:gridSpan w:val="2"/>
            <w:vAlign w:val="center"/>
          </w:tcPr>
          <w:p>
            <w:pPr>
              <w:spacing w:line="420" w:lineRule="exact"/>
              <w:rPr>
                <w:rFonts w:ascii="仿宋" w:hAnsi="仿宋" w:eastAsia="仿宋"/>
                <w:color w:val="auto"/>
                <w:sz w:val="24"/>
                <w:highlight w:val="none"/>
              </w:rPr>
            </w:pPr>
            <w:r>
              <w:rPr>
                <w:rFonts w:hint="eastAsia" w:ascii="仿宋" w:hAnsi="仿宋" w:eastAsia="仿宋"/>
                <w:b/>
                <w:color w:val="auto"/>
                <w:sz w:val="24"/>
                <w:highlight w:val="none"/>
              </w:rPr>
              <w:t>投标文件份数：</w:t>
            </w:r>
            <w:r>
              <w:rPr>
                <w:rFonts w:hint="eastAsia" w:ascii="仿宋" w:hAnsi="仿宋" w:eastAsia="仿宋"/>
                <w:color w:val="auto"/>
                <w:sz w:val="24"/>
                <w:highlight w:val="none"/>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8534" w:type="dxa"/>
            <w:gridSpan w:val="2"/>
            <w:vAlign w:val="center"/>
          </w:tcPr>
          <w:p>
            <w:p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开标前现场考察：</w:t>
            </w:r>
          </w:p>
          <w:p>
            <w:pPr>
              <w:spacing w:line="400" w:lineRule="exact"/>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63220618"/>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不组织。</w:t>
            </w:r>
          </w:p>
          <w:p>
            <w:pPr>
              <w:spacing w:line="420" w:lineRule="exact"/>
              <w:rPr>
                <w:rFonts w:ascii="仿宋" w:hAnsi="仿宋"/>
                <w:b/>
                <w:color w:val="auto"/>
                <w:sz w:val="24"/>
                <w:highlight w:val="none"/>
              </w:rPr>
            </w:pPr>
            <w:sdt>
              <w:sdtPr>
                <w:rPr>
                  <w:rFonts w:hint="eastAsia" w:ascii="仿宋_GB2312" w:hAnsi="仿宋" w:eastAsia="仿宋_GB2312" w:cs="Arial"/>
                  <w:color w:val="auto"/>
                  <w:kern w:val="0"/>
                  <w:sz w:val="24"/>
                  <w:highlight w:val="none"/>
                </w:rPr>
                <w:id w:val="-940066905"/>
              </w:sdtPr>
              <w:sdtEndPr>
                <w:rPr>
                  <w:rFonts w:hint="eastAsia" w:ascii="仿宋_GB2312" w:hAnsi="仿宋" w:eastAsia="仿宋_GB2312" w:cs="Arial"/>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,地点：</w:t>
            </w:r>
            <w:r>
              <w:rPr>
                <w:rFonts w:hint="eastAsia" w:ascii="仿宋_GB2312" w:hAnsi="宋体" w:eastAsia="仿宋_GB2312"/>
                <w:bCs/>
                <w:color w:val="auto"/>
                <w:sz w:val="24"/>
                <w:highlight w:val="none"/>
                <w:u w:val="single"/>
              </w:rPr>
              <w:t xml:space="preserve"> </w:t>
            </w:r>
            <w:r>
              <w:rPr>
                <w:rFonts w:hint="eastAsia" w:ascii="仿宋_GB2312" w:hAnsi="仿宋" w:eastAsia="仿宋_GB2312"/>
                <w:color w:val="auto"/>
                <w:sz w:val="24"/>
                <w:highlight w:val="none"/>
              </w:rPr>
              <w:t>，联系人：</w:t>
            </w:r>
            <w:r>
              <w:rPr>
                <w:rFonts w:hint="eastAsia" w:ascii="仿宋_GB2312" w:hAnsi="宋体" w:eastAsia="仿宋_GB2312"/>
                <w:bCs/>
                <w:color w:val="auto"/>
                <w:sz w:val="24"/>
                <w:highlight w:val="none"/>
                <w:u w:val="single"/>
              </w:rPr>
              <w:t xml:space="preserve">  </w:t>
            </w:r>
            <w:r>
              <w:rPr>
                <w:rFonts w:hint="eastAsia" w:ascii="仿宋_GB2312" w:hAnsi="仿宋" w:eastAsia="仿宋_GB2312"/>
                <w:color w:val="auto"/>
                <w:sz w:val="24"/>
                <w:highlight w:val="none"/>
              </w:rPr>
              <w:t>，联系方式：</w:t>
            </w:r>
            <w:r>
              <w:rPr>
                <w:rFonts w:hint="eastAsia" w:ascii="仿宋_GB2312" w:hAnsi="宋体" w:eastAsia="仿宋_GB2312"/>
                <w:bCs/>
                <w:color w:val="auto"/>
                <w:sz w:val="24"/>
                <w:highlight w:val="none"/>
                <w:u w:val="single"/>
              </w:rPr>
              <w:t xml:space="preserve">  </w:t>
            </w:r>
            <w:r>
              <w:rPr>
                <w:rFonts w:hint="eastAsia" w:ascii="仿宋_GB2312" w:hAnsi="仿宋" w:eastAsia="仿宋_GB2312"/>
                <w:color w:val="auto"/>
                <w:sz w:val="24"/>
                <w:szCs w:val="20"/>
                <w:highlight w:val="none"/>
              </w:rPr>
              <w:t>。（该日后获取招标文件的投标人如需现场考察的，请在开标前采购人的工作时间进行联系）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8534" w:type="dxa"/>
            <w:gridSpan w:val="2"/>
            <w:vAlign w:val="center"/>
          </w:tcPr>
          <w:p>
            <w:pPr>
              <w:autoSpaceDE w:val="0"/>
              <w:autoSpaceDN w:val="0"/>
              <w:adjustRightInd w:val="0"/>
              <w:spacing w:line="420" w:lineRule="exact"/>
              <w:jc w:val="left"/>
              <w:rPr>
                <w:rFonts w:ascii="仿宋" w:hAnsi="仿宋" w:eastAsia="仿宋"/>
                <w:b/>
                <w:color w:val="auto"/>
                <w:sz w:val="24"/>
                <w:highlight w:val="none"/>
              </w:rPr>
            </w:pPr>
            <w:r>
              <w:rPr>
                <w:rFonts w:hint="eastAsia" w:ascii="仿宋" w:hAnsi="仿宋" w:eastAsia="仿宋"/>
                <w:b/>
                <w:color w:val="auto"/>
                <w:sz w:val="24"/>
                <w:highlight w:val="none"/>
              </w:rPr>
              <w:t>样品提供：</w:t>
            </w:r>
            <w:r>
              <w:rPr>
                <w:rFonts w:hint="eastAsia" w:ascii="仿宋" w:hAnsi="仿宋" w:eastAsia="仿宋"/>
                <w:bCs/>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8534" w:type="dxa"/>
            <w:gridSpan w:val="2"/>
            <w:vAlign w:val="center"/>
          </w:tcPr>
          <w:p>
            <w:pPr>
              <w:spacing w:line="440" w:lineRule="exact"/>
              <w:rPr>
                <w:rFonts w:ascii="仿宋" w:hAnsi="仿宋" w:eastAsia="仿宋"/>
                <w:color w:val="auto"/>
                <w:sz w:val="24"/>
                <w:highlight w:val="none"/>
              </w:rPr>
            </w:pPr>
            <w:r>
              <w:rPr>
                <w:rFonts w:hint="eastAsia" w:ascii="仿宋" w:hAnsi="仿宋" w:eastAsia="仿宋"/>
                <w:b/>
                <w:color w:val="auto"/>
                <w:sz w:val="24"/>
                <w:highlight w:val="none"/>
              </w:rPr>
              <w:t>现场演示(讲解)：</w:t>
            </w:r>
            <w:r>
              <w:rPr>
                <w:rFonts w:hint="eastAsia" w:ascii="仿宋" w:hAnsi="仿宋" w:eastAsia="仿宋" w:cs="仿宋"/>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855" w:type="dxa"/>
            <w:vAlign w:val="center"/>
          </w:tcPr>
          <w:p>
            <w:pPr>
              <w:snapToGrid w:val="0"/>
              <w:spacing w:line="42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进口产品</w:t>
            </w:r>
          </w:p>
        </w:tc>
        <w:tc>
          <w:tcPr>
            <w:tcW w:w="7679" w:type="dxa"/>
            <w:vAlign w:val="center"/>
          </w:tcPr>
          <w:p>
            <w:pPr>
              <w:snapToGrid w:val="0"/>
              <w:spacing w:line="420" w:lineRule="exact"/>
              <w:rPr>
                <w:rFonts w:ascii="仿宋" w:hAnsi="仿宋" w:eastAsia="仿宋" w:cs="仿宋_GB2312"/>
                <w:b/>
                <w:color w:val="auto"/>
                <w:sz w:val="24"/>
                <w:highlight w:val="none"/>
              </w:rPr>
            </w:pPr>
            <w:r>
              <w:rPr>
                <w:rFonts w:hint="eastAsia" w:ascii="仿宋" w:hAnsi="仿宋" w:eastAsia="仿宋" w:cs="仿宋_GB2312"/>
                <w:color w:val="auto"/>
                <w:sz w:val="24"/>
                <w:highlight w:val="none"/>
              </w:rPr>
              <w:t>本项目不允许采购进口产品，供应商所提供的货物和服务须在我国境内合法生产、销售。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_GB2312" w:hAnsi="宋体" w:eastAsia="仿宋_GB2312"/>
                <w:color w:val="auto"/>
                <w:sz w:val="24"/>
                <w:highlight w:val="none"/>
              </w:rPr>
              <w:t>11</w:t>
            </w:r>
          </w:p>
        </w:tc>
        <w:tc>
          <w:tcPr>
            <w:tcW w:w="855" w:type="dxa"/>
            <w:vAlign w:val="center"/>
          </w:tcPr>
          <w:p>
            <w:pPr>
              <w:snapToGrid w:val="0"/>
              <w:ind w:left="-3" w:leftChars="-8" w:right="-50" w:rightChars="-24" w:hanging="14" w:hangingChars="7"/>
              <w:rPr>
                <w:rFonts w:ascii="仿宋" w:hAnsi="仿宋" w:eastAsia="仿宋" w:cs="仿宋_GB2312"/>
                <w:b/>
                <w:color w:val="auto"/>
                <w:sz w:val="24"/>
                <w:highlight w:val="none"/>
              </w:rPr>
            </w:pPr>
            <w:r>
              <w:rPr>
                <w:rFonts w:hint="eastAsia" w:ascii="仿宋_GB2312" w:hAnsi="仿宋_GB2312" w:eastAsia="仿宋_GB2312" w:cs="仿宋_GB2312"/>
                <w:b/>
                <w:color w:val="auto"/>
                <w:spacing w:val="-20"/>
                <w:sz w:val="24"/>
                <w:highlight w:val="none"/>
              </w:rPr>
              <w:t>项目属性与核心产品</w:t>
            </w:r>
          </w:p>
        </w:tc>
        <w:tc>
          <w:tcPr>
            <w:tcW w:w="7679" w:type="dxa"/>
            <w:vAlign w:val="center"/>
          </w:tcPr>
          <w:p>
            <w:pPr>
              <w:spacing w:line="360" w:lineRule="auto"/>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napToGrid w:val="0"/>
              <w:spacing w:line="440" w:lineRule="exact"/>
              <w:rPr>
                <w:rFonts w:ascii="仿宋" w:hAnsi="仿宋" w:eastAsia="仿宋" w:cs="仿宋_GB2312"/>
                <w:color w:val="auto"/>
                <w:sz w:val="24"/>
                <w:highlight w:val="none"/>
              </w:rPr>
            </w:pPr>
            <w:sdt>
              <w:sdtPr>
                <w:rPr>
                  <w:rFonts w:hint="eastAsia" w:ascii="仿宋_GB2312" w:hAnsi="仿宋" w:eastAsia="仿宋_GB2312" w:cs="Arial"/>
                  <w:color w:val="auto"/>
                  <w:kern w:val="0"/>
                  <w:sz w:val="24"/>
                  <w:highlight w:val="none"/>
                </w:rPr>
                <w:id w:val="47488555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834717923"/>
                      </w:sdtPr>
                      <w:sdtEndPr>
                        <w:rPr>
                          <w:rFonts w:hint="eastAsia" w:ascii="仿宋_GB2312" w:hAnsi="仿宋" w:eastAsia="仿宋_GB2312" w:cs="Arial"/>
                          <w:color w:val="auto"/>
                          <w:kern w:val="0"/>
                          <w:sz w:val="24"/>
                          <w:highlight w:val="none"/>
                        </w:rPr>
                      </w:sdtEndPr>
                      <w:sdtContent>
                        <w:r>
                          <w:rPr>
                            <w:rFonts w:hint="eastAsia" w:ascii="仿宋_GB2312" w:hAnsi="MS Gothic" w:eastAsia="仿宋_GB2312" w:cs="Arial"/>
                            <w:color w:val="auto"/>
                            <w:kern w:val="0"/>
                            <w:sz w:val="24"/>
                            <w:highlight w:val="none"/>
                          </w:rPr>
                          <w:sym w:font="Wingdings" w:char="00FE"/>
                        </w:r>
                      </w:sdtContent>
                    </w:sdt>
                  </w:sdtContent>
                </w:sdt>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12</w:t>
            </w:r>
          </w:p>
        </w:tc>
        <w:tc>
          <w:tcPr>
            <w:tcW w:w="855" w:type="dxa"/>
            <w:vAlign w:val="center"/>
          </w:tcPr>
          <w:p>
            <w:pPr>
              <w:snapToGrid w:val="0"/>
              <w:ind w:left="-18" w:leftChars="-9" w:right="-50" w:rightChars="-24" w:hanging="1"/>
              <w:jc w:val="center"/>
              <w:rPr>
                <w:rFonts w:ascii="仿宋_GB2312" w:hAnsi="仿宋_GB2312" w:eastAsia="仿宋_GB2312" w:cs="仿宋_GB2312"/>
                <w:b/>
                <w:color w:val="auto"/>
                <w:spacing w:val="-20"/>
                <w:sz w:val="24"/>
                <w:highlight w:val="none"/>
              </w:rPr>
            </w:pPr>
            <w:r>
              <w:rPr>
                <w:rFonts w:hint="eastAsia" w:ascii="仿宋_GB2312" w:hAnsi="仿宋" w:eastAsia="仿宋_GB2312" w:cs="仿宋_GB2312"/>
                <w:b/>
                <w:color w:val="auto"/>
                <w:spacing w:val="-20"/>
                <w:sz w:val="24"/>
                <w:highlight w:val="none"/>
              </w:rPr>
              <w:t>采购标的对应的中小企业划分标准所属行业</w:t>
            </w:r>
          </w:p>
        </w:tc>
        <w:tc>
          <w:tcPr>
            <w:tcW w:w="7679" w:type="dxa"/>
            <w:vAlign w:val="center"/>
          </w:tcPr>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rPr>
              <w:t xml:space="preserve">  01标  </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w:t>
            </w:r>
            <w:r>
              <w:rPr>
                <w:rFonts w:hint="eastAsia" w:ascii="仿宋" w:hAnsi="仿宋" w:eastAsia="仿宋" w:cs="仿宋"/>
                <w:color w:val="auto"/>
                <w:kern w:val="0"/>
                <w:sz w:val="24"/>
                <w:highlight w:val="none"/>
                <w:u w:val="single"/>
              </w:rPr>
              <w:t xml:space="preserve"> 物业管理 </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行业；</w:t>
            </w:r>
          </w:p>
          <w:p>
            <w:pPr>
              <w:snapToGrid w:val="0"/>
              <w:spacing w:line="360" w:lineRule="auto"/>
              <w:rPr>
                <w:rFonts w:ascii="仿宋_GB2312" w:hAnsi="仿宋" w:eastAsia="仿宋_GB2312" w:cs="Arial"/>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restart"/>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13</w:t>
            </w:r>
          </w:p>
        </w:tc>
        <w:tc>
          <w:tcPr>
            <w:tcW w:w="855" w:type="dxa"/>
            <w:vMerge w:val="restart"/>
            <w:vAlign w:val="center"/>
          </w:tcPr>
          <w:p>
            <w:pPr>
              <w:snapToGrid w:val="0"/>
              <w:spacing w:line="420" w:lineRule="exact"/>
              <w:rPr>
                <w:rFonts w:ascii="仿宋" w:hAnsi="仿宋" w:eastAsia="仿宋" w:cs="仿宋_GB2312"/>
                <w:b/>
                <w:color w:val="auto"/>
                <w:sz w:val="24"/>
                <w:highlight w:val="none"/>
              </w:rPr>
            </w:pPr>
            <w:r>
              <w:rPr>
                <w:rFonts w:hint="eastAsia" w:ascii="仿宋" w:hAnsi="仿宋" w:eastAsia="仿宋"/>
                <w:b/>
                <w:color w:val="auto"/>
                <w:sz w:val="24"/>
                <w:highlight w:val="none"/>
              </w:rPr>
              <w:t>投标人信用信息事项</w:t>
            </w:r>
          </w:p>
        </w:tc>
        <w:tc>
          <w:tcPr>
            <w:tcW w:w="7679" w:type="dxa"/>
            <w:vAlign w:val="center"/>
          </w:tcPr>
          <w:p>
            <w:pPr>
              <w:snapToGrid w:val="0"/>
              <w:spacing w:line="420" w:lineRule="exact"/>
              <w:rPr>
                <w:rFonts w:ascii="仿宋" w:hAnsi="仿宋" w:eastAsia="仿宋" w:cs="仿宋_GB2312"/>
                <w:b/>
                <w:color w:val="auto"/>
                <w:sz w:val="24"/>
                <w:highlight w:val="none"/>
              </w:rPr>
            </w:pPr>
            <w:r>
              <w:rPr>
                <w:rFonts w:hint="eastAsia" w:ascii="仿宋" w:hAnsi="仿宋" w:eastAsia="仿宋"/>
                <w:b/>
                <w:color w:val="auto"/>
                <w:sz w:val="24"/>
                <w:highlight w:val="none"/>
              </w:rPr>
              <w:t>信用信息查询渠道及截止时间：</w:t>
            </w:r>
            <w:r>
              <w:rPr>
                <w:rFonts w:hint="eastAsia" w:ascii="仿宋" w:hAnsi="仿宋" w:eastAsia="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_GB2312"/>
                <w:b/>
                <w:color w:val="auto"/>
                <w:sz w:val="24"/>
                <w:highlight w:val="none"/>
              </w:rPr>
              <w:t>开标当天</w:t>
            </w:r>
            <w:r>
              <w:rPr>
                <w:rFonts w:hint="eastAsia" w:ascii="仿宋" w:hAnsi="仿宋" w:eastAsia="仿宋"/>
                <w:color w:val="auto"/>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ascii="仿宋" w:hAnsi="仿宋" w:eastAsia="仿宋"/>
                <w:color w:val="auto"/>
                <w:sz w:val="24"/>
                <w:highlight w:val="none"/>
              </w:rPr>
            </w:pPr>
          </w:p>
        </w:tc>
        <w:tc>
          <w:tcPr>
            <w:tcW w:w="855" w:type="dxa"/>
            <w:vMerge w:val="continue"/>
            <w:vAlign w:val="center"/>
          </w:tcPr>
          <w:p>
            <w:pPr>
              <w:snapToGrid w:val="0"/>
              <w:spacing w:line="420" w:lineRule="exact"/>
              <w:rPr>
                <w:rFonts w:ascii="仿宋" w:hAnsi="仿宋" w:eastAsia="仿宋" w:cs="仿宋_GB2312"/>
                <w:b/>
                <w:color w:val="auto"/>
                <w:sz w:val="24"/>
                <w:highlight w:val="none"/>
              </w:rPr>
            </w:pPr>
          </w:p>
        </w:tc>
        <w:tc>
          <w:tcPr>
            <w:tcW w:w="7679" w:type="dxa"/>
            <w:vAlign w:val="center"/>
          </w:tcPr>
          <w:p>
            <w:pPr>
              <w:snapToGrid w:val="0"/>
              <w:spacing w:line="420" w:lineRule="exact"/>
              <w:rPr>
                <w:rFonts w:ascii="仿宋" w:hAnsi="仿宋" w:eastAsia="仿宋" w:cs="仿宋_GB2312"/>
                <w:b/>
                <w:color w:val="auto"/>
                <w:sz w:val="24"/>
                <w:highlight w:val="none"/>
              </w:rPr>
            </w:pPr>
            <w:r>
              <w:rPr>
                <w:rFonts w:hint="eastAsia" w:ascii="仿宋" w:hAnsi="仿宋" w:eastAsia="仿宋"/>
                <w:b/>
                <w:color w:val="auto"/>
                <w:sz w:val="24"/>
                <w:highlight w:val="none"/>
              </w:rPr>
              <w:t>信用信息查询记录和证据留存的具体方式：</w:t>
            </w:r>
            <w:r>
              <w:rPr>
                <w:rFonts w:hint="eastAsia" w:ascii="仿宋" w:hAnsi="仿宋" w:eastAsia="仿宋"/>
                <w:color w:val="auto"/>
                <w:sz w:val="24"/>
                <w:highlight w:val="none"/>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ascii="仿宋" w:hAnsi="仿宋" w:eastAsia="仿宋"/>
                <w:color w:val="auto"/>
                <w:sz w:val="24"/>
                <w:highlight w:val="none"/>
              </w:rPr>
            </w:pPr>
          </w:p>
        </w:tc>
        <w:tc>
          <w:tcPr>
            <w:tcW w:w="855" w:type="dxa"/>
            <w:vMerge w:val="continue"/>
            <w:vAlign w:val="center"/>
          </w:tcPr>
          <w:p>
            <w:pPr>
              <w:snapToGrid w:val="0"/>
              <w:spacing w:line="420" w:lineRule="exact"/>
              <w:rPr>
                <w:rFonts w:ascii="仿宋" w:hAnsi="仿宋" w:eastAsia="仿宋" w:cs="仿宋_GB2312"/>
                <w:b/>
                <w:color w:val="auto"/>
                <w:sz w:val="24"/>
                <w:highlight w:val="none"/>
              </w:rPr>
            </w:pPr>
          </w:p>
        </w:tc>
        <w:tc>
          <w:tcPr>
            <w:tcW w:w="7679" w:type="dxa"/>
            <w:vAlign w:val="center"/>
          </w:tcPr>
          <w:p>
            <w:pPr>
              <w:snapToGrid w:val="0"/>
              <w:spacing w:line="420" w:lineRule="exact"/>
              <w:rPr>
                <w:color w:val="auto"/>
                <w:highlight w:val="none"/>
              </w:rPr>
            </w:pPr>
            <w:r>
              <w:rPr>
                <w:rFonts w:hint="eastAsia" w:ascii="仿宋" w:hAnsi="仿宋" w:eastAsia="仿宋"/>
                <w:b/>
                <w:bCs/>
                <w:color w:val="auto"/>
                <w:sz w:val="24"/>
                <w:highlight w:val="none"/>
              </w:rPr>
              <w:t>信用信息的使用规则：</w:t>
            </w:r>
            <w:r>
              <w:rPr>
                <w:rFonts w:hint="eastAsia" w:ascii="仿宋" w:hAnsi="仿宋" w:eastAsia="仿宋"/>
                <w:color w:val="auto"/>
                <w:sz w:val="24"/>
                <w:highlight w:val="none"/>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14</w:t>
            </w:r>
          </w:p>
        </w:tc>
        <w:tc>
          <w:tcPr>
            <w:tcW w:w="8534" w:type="dxa"/>
            <w:gridSpan w:val="2"/>
            <w:vAlign w:val="center"/>
          </w:tcPr>
          <w:p>
            <w:pPr>
              <w:snapToGrid w:val="0"/>
              <w:spacing w:line="44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扰乱公共资源交易市场秩序行为：</w:t>
            </w:r>
          </w:p>
          <w:p>
            <w:pPr>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15</w:t>
            </w:r>
          </w:p>
        </w:tc>
        <w:tc>
          <w:tcPr>
            <w:tcW w:w="8534" w:type="dxa"/>
            <w:gridSpan w:val="2"/>
            <w:vAlign w:val="center"/>
          </w:tcPr>
          <w:p>
            <w:pPr>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16</w:t>
            </w:r>
          </w:p>
        </w:tc>
        <w:tc>
          <w:tcPr>
            <w:tcW w:w="8534" w:type="dxa"/>
            <w:gridSpan w:val="2"/>
            <w:vAlign w:val="center"/>
          </w:tcPr>
          <w:p>
            <w:pPr>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17</w:t>
            </w:r>
          </w:p>
        </w:tc>
        <w:tc>
          <w:tcPr>
            <w:tcW w:w="8534" w:type="dxa"/>
            <w:gridSpan w:val="2"/>
            <w:vAlign w:val="center"/>
          </w:tcPr>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投标与开标注意事项：</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1.本项目实行网上投标，采用电子投标文件。若供应商参与投标，自行承担投标一切费用。</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注：</w:t>
            </w:r>
            <w:r>
              <w:rPr>
                <w:rFonts w:hint="eastAsia" w:ascii="仿宋_GB2312" w:hAnsi="仿宋" w:eastAsia="仿宋_GB2312"/>
                <w:color w:val="auto"/>
                <w:sz w:val="24"/>
                <w:highlight w:val="none"/>
              </w:rPr>
              <w:t>供应商CA相关操作可参考政采云平台</w:t>
            </w:r>
            <w:r>
              <w:rPr>
                <w:rFonts w:hint="eastAsia" w:ascii="仿宋_GB2312" w:hAnsi="新宋体" w:eastAsia="仿宋_GB2312"/>
                <w:color w:val="auto"/>
                <w:highlight w:val="none"/>
              </w:rPr>
              <w:t>https://www.zcygov.cn/</w:t>
            </w:r>
            <w:r>
              <w:rPr>
                <w:rFonts w:hint="eastAsia" w:ascii="仿宋_GB2312" w:hAnsi="仿宋" w:eastAsia="仿宋_GB2312"/>
                <w:color w:val="auto"/>
                <w:sz w:val="24"/>
                <w:highlight w:val="none"/>
              </w:rPr>
              <w:t>《CA申领操作指南》和《CA管理操作指南》。</w:t>
            </w:r>
            <w:r>
              <w:rPr>
                <w:rFonts w:hint="eastAsia" w:ascii="仿宋" w:hAnsi="仿宋" w:eastAsia="仿宋"/>
                <w:color w:val="auto"/>
                <w:sz w:val="24"/>
                <w:highlight w:val="none"/>
              </w:rPr>
              <w:t>完成CA数字证书办理在资料齐全的情况下预计7个工作日左右，建议供应商获取招标文件后立即办理。</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3.投标文件制作、递交、解密：</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3.2投标人通过“政采云”平台制作电子投标文件，投标文件制作详见“供应商-政府采购项目电子交易操作指南：</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ascii="仿宋" w:hAnsi="仿宋" w:eastAsia="仿宋"/>
                <w:color w:val="auto"/>
                <w:sz w:val="24"/>
                <w:highlight w:val="none"/>
              </w:rPr>
              <w:t>https://help.zcygov.cn/web/site_2/2018/12-28/2573.html</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3.3开标时间后30分钟内供应商可以登录“政采云”平台，用“项目采购-开标评标”功能进行解密投标文件。若供应商</w:t>
            </w:r>
            <w:r>
              <w:rPr>
                <w:rFonts w:hint="eastAsia" w:ascii="仿宋" w:hAnsi="仿宋" w:eastAsia="仿宋"/>
                <w:b/>
                <w:bCs/>
                <w:color w:val="auto"/>
                <w:sz w:val="24"/>
                <w:highlight w:val="none"/>
                <w:u w:val="single"/>
              </w:rPr>
              <w:t>未按时解密的</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rPr>
              <w:t>视为投标文件撤回</w:t>
            </w:r>
            <w:r>
              <w:rPr>
                <w:rFonts w:hint="eastAsia" w:ascii="仿宋" w:hAnsi="仿宋" w:eastAsia="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18</w:t>
            </w:r>
          </w:p>
        </w:tc>
        <w:tc>
          <w:tcPr>
            <w:tcW w:w="8534" w:type="dxa"/>
            <w:gridSpan w:val="2"/>
            <w:vAlign w:val="center"/>
          </w:tcPr>
          <w:p>
            <w:pPr>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参与绍兴市政府采购活动的供应商按照《浙江省政府采购供应商注册和诚信管理暂行办法》要求执行。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19</w:t>
            </w:r>
          </w:p>
        </w:tc>
        <w:tc>
          <w:tcPr>
            <w:tcW w:w="8534" w:type="dxa"/>
            <w:gridSpan w:val="2"/>
            <w:vAlign w:val="center"/>
          </w:tcPr>
          <w:p>
            <w:pPr>
              <w:spacing w:line="340" w:lineRule="exact"/>
              <w:rPr>
                <w:rFonts w:ascii="仿宋" w:hAnsi="仿宋" w:eastAsia="仿宋"/>
                <w:color w:val="auto"/>
                <w:sz w:val="24"/>
                <w:highlight w:val="none"/>
              </w:rPr>
            </w:pPr>
            <w:r>
              <w:rPr>
                <w:rFonts w:hint="eastAsia" w:ascii="仿宋" w:hAnsi="仿宋" w:eastAsia="仿宋"/>
                <w:b/>
                <w:bCs/>
                <w:color w:val="auto"/>
                <w:sz w:val="24"/>
                <w:highlight w:val="none"/>
              </w:rPr>
              <w:t>采购代理服务费：</w:t>
            </w:r>
          </w:p>
          <w:p>
            <w:pPr>
              <w:spacing w:line="340" w:lineRule="exact"/>
              <w:rPr>
                <w:rFonts w:ascii="仿宋" w:hAnsi="仿宋" w:eastAsia="仿宋"/>
                <w:color w:val="auto"/>
                <w:sz w:val="24"/>
                <w:highlight w:val="none"/>
              </w:rPr>
            </w:pPr>
            <w:r>
              <w:rPr>
                <w:rFonts w:hint="eastAsia" w:ascii="仿宋" w:hAnsi="仿宋" w:eastAsia="仿宋"/>
                <w:color w:val="auto"/>
                <w:sz w:val="24"/>
                <w:highlight w:val="none"/>
              </w:rPr>
              <w:t>中标人须向采购代理机构按如下标准和规定交纳代理服务费，并在投标报价中自行考虑：</w:t>
            </w:r>
          </w:p>
          <w:p>
            <w:pPr>
              <w:autoSpaceDE w:val="0"/>
              <w:autoSpaceDN w:val="0"/>
              <w:spacing w:line="34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1）以中标通知中确定的中标总金额作为服务费的计算基数，具体比例按《国家计委关于印发&lt;招标代理服务费管理暂行办法&gt;的通知》（计价格[2002]1980号）执行收费标准：中标金额在100万以下部分为1.5%。不足5000元按5000元计费。</w:t>
            </w:r>
          </w:p>
          <w:p>
            <w:pPr>
              <w:spacing w:line="340" w:lineRule="exact"/>
              <w:rPr>
                <w:rFonts w:ascii="仿宋" w:hAnsi="仿宋" w:eastAsia="仿宋"/>
                <w:color w:val="auto"/>
                <w:sz w:val="24"/>
                <w:highlight w:val="none"/>
              </w:rPr>
            </w:pPr>
            <w:r>
              <w:rPr>
                <w:rFonts w:hint="eastAsia" w:ascii="仿宋" w:hAnsi="仿宋" w:eastAsia="仿宋"/>
                <w:color w:val="auto"/>
                <w:sz w:val="24"/>
                <w:highlight w:val="none"/>
              </w:rPr>
              <w:t>（2）招标代理服务费的交纳方式：</w:t>
            </w:r>
          </w:p>
          <w:p>
            <w:pPr>
              <w:spacing w:line="340" w:lineRule="exact"/>
              <w:rPr>
                <w:rFonts w:ascii="仿宋" w:hAnsi="仿宋" w:eastAsia="仿宋"/>
                <w:color w:val="auto"/>
                <w:sz w:val="24"/>
                <w:highlight w:val="none"/>
              </w:rPr>
            </w:pPr>
            <w:r>
              <w:rPr>
                <w:rFonts w:hint="eastAsia" w:ascii="仿宋" w:hAnsi="仿宋" w:eastAsia="仿宋"/>
                <w:color w:val="auto"/>
                <w:sz w:val="24"/>
                <w:highlight w:val="none"/>
              </w:rPr>
              <w:t>用银行支票、汇票、电汇、现金等付款方式直接交纳招标代理服务费。</w:t>
            </w:r>
          </w:p>
          <w:p>
            <w:pPr>
              <w:spacing w:line="340" w:lineRule="exact"/>
              <w:rPr>
                <w:rFonts w:ascii="仿宋" w:hAnsi="仿宋" w:eastAsia="仿宋"/>
                <w:color w:val="auto"/>
                <w:sz w:val="24"/>
                <w:highlight w:val="none"/>
              </w:rPr>
            </w:pPr>
            <w:r>
              <w:rPr>
                <w:rFonts w:hint="eastAsia" w:ascii="仿宋" w:hAnsi="仿宋" w:eastAsia="仿宋"/>
                <w:color w:val="auto"/>
                <w:sz w:val="24"/>
                <w:highlight w:val="none"/>
              </w:rPr>
              <w:t>公司名称：浙江翔实建设项目管理有限公司</w:t>
            </w:r>
          </w:p>
          <w:p>
            <w:pPr>
              <w:spacing w:line="340" w:lineRule="exact"/>
              <w:rPr>
                <w:rFonts w:ascii="仿宋" w:hAnsi="仿宋" w:eastAsia="仿宋"/>
                <w:color w:val="auto"/>
                <w:sz w:val="24"/>
                <w:highlight w:val="none"/>
              </w:rPr>
            </w:pPr>
            <w:r>
              <w:rPr>
                <w:rFonts w:hint="eastAsia" w:ascii="仿宋" w:hAnsi="仿宋" w:eastAsia="仿宋"/>
                <w:color w:val="auto"/>
                <w:sz w:val="24"/>
                <w:highlight w:val="none"/>
              </w:rPr>
              <w:t xml:space="preserve">开户行：建行绍兴越城支行 </w:t>
            </w:r>
          </w:p>
          <w:p>
            <w:pPr>
              <w:spacing w:line="340" w:lineRule="exact"/>
              <w:rPr>
                <w:rFonts w:ascii="仿宋" w:hAnsi="仿宋" w:eastAsia="仿宋"/>
                <w:color w:val="auto"/>
                <w:sz w:val="24"/>
                <w:highlight w:val="none"/>
              </w:rPr>
            </w:pPr>
            <w:r>
              <w:rPr>
                <w:rFonts w:hint="eastAsia" w:ascii="仿宋" w:hAnsi="仿宋" w:eastAsia="仿宋"/>
                <w:color w:val="auto"/>
                <w:sz w:val="24"/>
                <w:highlight w:val="none"/>
              </w:rPr>
              <w:t>账  号：33001653549053003519</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403" w:type="dxa"/>
            <w:gridSpan w:val="3"/>
            <w:vAlign w:val="center"/>
          </w:tcPr>
          <w:p>
            <w:pPr>
              <w:spacing w:line="420" w:lineRule="exact"/>
              <w:rPr>
                <w:rFonts w:ascii="仿宋" w:hAnsi="仿宋" w:eastAsia="仿宋"/>
                <w:color w:val="auto"/>
                <w:sz w:val="24"/>
                <w:highlight w:val="none"/>
              </w:rPr>
            </w:pPr>
            <w:r>
              <w:rPr>
                <w:rFonts w:hint="eastAsia" w:ascii="仿宋" w:hAnsi="仿宋" w:eastAsia="仿宋"/>
                <w:color w:val="auto"/>
                <w:sz w:val="24"/>
                <w:highlight w:val="none"/>
              </w:rPr>
              <w:t>解释：凡涉及本招标文件的解释权属于采购人和</w:t>
            </w:r>
            <w:r>
              <w:rPr>
                <w:rFonts w:hint="eastAsia" w:ascii="仿宋" w:hAnsi="仿宋" w:eastAsia="仿宋" w:cs="仿宋"/>
                <w:color w:val="auto"/>
                <w:sz w:val="24"/>
                <w:highlight w:val="none"/>
              </w:rPr>
              <w:t>采购代理机构</w:t>
            </w:r>
            <w:r>
              <w:rPr>
                <w:rFonts w:hint="eastAsia" w:ascii="仿宋" w:hAnsi="仿宋" w:eastAsia="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403" w:type="dxa"/>
            <w:gridSpan w:val="3"/>
            <w:vAlign w:val="center"/>
          </w:tcPr>
          <w:p>
            <w:pPr>
              <w:spacing w:line="420" w:lineRule="exact"/>
              <w:rPr>
                <w:rFonts w:ascii="仿宋" w:hAnsi="仿宋" w:eastAsia="仿宋"/>
                <w:b/>
                <w:color w:val="auto"/>
                <w:sz w:val="24"/>
                <w:highlight w:val="none"/>
              </w:rPr>
            </w:pPr>
            <w:r>
              <w:rPr>
                <w:rFonts w:hint="eastAsia" w:ascii="仿宋" w:hAnsi="仿宋" w:eastAsia="仿宋"/>
                <w:b/>
                <w:color w:val="auto"/>
                <w:sz w:val="24"/>
                <w:highlight w:val="none"/>
              </w:rPr>
              <w:t>注：中标人放弃中标资格或因质疑、投诉被取消中标资格或不能履行合同的，本项目重新组织采购。</w:t>
            </w:r>
          </w:p>
        </w:tc>
      </w:tr>
    </w:tbl>
    <w:p>
      <w:pPr>
        <w:pageBreakBefore/>
        <w:snapToGrid w:val="0"/>
        <w:spacing w:line="30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一、总则</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1.项目说明</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1.1本招标文件适用于该项目的招标、投标、开标、资格审查及信用信息查询、评标、定标、合同、验收等行为（法律、法规另有规定的，从其规定）。</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1.2投标人一旦参与本次招标活动，即被视为接受了本招标文件的所有内容，如有任何异议，均应在法定时间内提出。</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1.4本招标文件所称公章是指单位法定名称章或者冠以法定名称的投标业务专用章</w:t>
      </w:r>
      <w:r>
        <w:rPr>
          <w:rFonts w:hint="eastAsia" w:ascii="仿宋_GB2312" w:hAnsi="宋体" w:eastAsia="仿宋_GB2312"/>
          <w:color w:val="auto"/>
          <w:sz w:val="24"/>
          <w:highlight w:val="none"/>
        </w:rPr>
        <w:t>或单位法定名称电子公章</w:t>
      </w:r>
      <w:r>
        <w:rPr>
          <w:rFonts w:hint="eastAsia" w:ascii="仿宋" w:hAnsi="仿宋" w:eastAsia="仿宋"/>
          <w:color w:val="auto"/>
          <w:sz w:val="24"/>
          <w:highlight w:val="none"/>
        </w:rPr>
        <w:t>。</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2.定义</w:t>
      </w:r>
    </w:p>
    <w:p>
      <w:pPr>
        <w:snapToGrid w:val="0"/>
        <w:spacing w:line="312" w:lineRule="auto"/>
        <w:jc w:val="left"/>
        <w:rPr>
          <w:rFonts w:ascii="仿宋" w:hAnsi="仿宋" w:eastAsia="仿宋"/>
          <w:color w:val="auto"/>
          <w:sz w:val="24"/>
          <w:highlight w:val="none"/>
        </w:rPr>
      </w:pPr>
      <w:r>
        <w:rPr>
          <w:rFonts w:hint="eastAsia" w:ascii="仿宋" w:hAnsi="仿宋" w:eastAsia="仿宋" w:cs="仿宋_GB2312"/>
          <w:color w:val="auto"/>
          <w:sz w:val="24"/>
          <w:highlight w:val="none"/>
        </w:rPr>
        <w:t>2.1政府采购当事人及监管部门：</w:t>
      </w:r>
      <w:r>
        <w:rPr>
          <w:rFonts w:hint="eastAsia" w:ascii="仿宋" w:hAnsi="仿宋" w:eastAsia="仿宋" w:cs="仿宋_GB2312"/>
          <w:b/>
          <w:bCs/>
          <w:color w:val="auto"/>
          <w:sz w:val="24"/>
          <w:highlight w:val="none"/>
        </w:rPr>
        <w:t>绍兴市国防动员办公室</w:t>
      </w:r>
      <w:r>
        <w:rPr>
          <w:rFonts w:hint="eastAsia" w:ascii="仿宋" w:hAnsi="仿宋" w:eastAsia="仿宋" w:cs="仿宋_GB2312"/>
          <w:color w:val="auto"/>
          <w:sz w:val="24"/>
          <w:highlight w:val="none"/>
        </w:rPr>
        <w:t>为本项目的采购人（合同中的甲方），</w:t>
      </w:r>
      <w:r>
        <w:rPr>
          <w:rFonts w:hint="eastAsia" w:ascii="仿宋" w:hAnsi="仿宋" w:eastAsia="仿宋" w:cs="仿宋_GB2312"/>
          <w:b/>
          <w:bCs/>
          <w:color w:val="auto"/>
          <w:sz w:val="24"/>
          <w:highlight w:val="none"/>
        </w:rPr>
        <w:t>浙江翔实建设项目管理有限公司</w:t>
      </w:r>
      <w:r>
        <w:rPr>
          <w:rFonts w:hint="eastAsia" w:ascii="仿宋" w:hAnsi="仿宋" w:eastAsia="仿宋" w:cs="仿宋_GB2312"/>
          <w:color w:val="auto"/>
          <w:sz w:val="24"/>
          <w:highlight w:val="none"/>
        </w:rPr>
        <w:t>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2.2“产品”系指供方按招标文件规定，经合法途径取得的，须向采购人提供的一切产品、保险、税金、安装、施工、调试、备品备件、工具、手册及其它有关技术资料和材料。</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2.3“服务”系指招标文件规定投标人须承担的安装、调试、技术协助、校准、培训、技术指导以及其他类似的义务。</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2.4“项目”系指投标人按招标文件规定向采购人提供的产品和服务。</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2.5“授权代表”系指法定代表人的被授权委托人。</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 xml:space="preserve">2.6 </w:t>
      </w:r>
      <w:r>
        <w:rPr>
          <w:rFonts w:hint="eastAsia" w:ascii="仿宋_GB2312" w:hAnsi="宋体" w:eastAsia="仿宋_GB2312"/>
          <w:color w:val="auto"/>
          <w:sz w:val="24"/>
          <w:highlight w:val="none"/>
        </w:rPr>
        <w:t>“电子交易平台”是指本项目政府采购活动所依托的政府采购云平台（https://www.zcygov.cn/）。</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2.7“★”系指实质性指标要求条款，“▲”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_GB2312" w:hAnsi="仿宋" w:eastAsia="仿宋_GB2312"/>
          <w:color w:val="auto"/>
          <w:sz w:val="24"/>
          <w:highlight w:val="none"/>
        </w:rPr>
        <w:t>“</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12"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2.8因特殊原因需要使用冠以法定名称的业务专用章的，投标时须提供《业务专用章使用说明函》(详见附件)。</w:t>
      </w:r>
    </w:p>
    <w:p>
      <w:pPr>
        <w:spacing w:line="312" w:lineRule="auto"/>
        <w:rPr>
          <w:rFonts w:ascii="仿宋" w:hAnsi="仿宋" w:eastAsia="仿宋"/>
          <w:b/>
          <w:color w:val="auto"/>
          <w:sz w:val="24"/>
          <w:highlight w:val="none"/>
        </w:rPr>
      </w:pPr>
      <w:r>
        <w:rPr>
          <w:rFonts w:hint="eastAsia" w:ascii="仿宋" w:hAnsi="仿宋" w:eastAsia="仿宋"/>
          <w:b/>
          <w:color w:val="auto"/>
          <w:sz w:val="24"/>
          <w:highlight w:val="none"/>
        </w:rPr>
        <w:t>3.采购项目需要落实的政府采购政策</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12"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12"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12"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312" w:lineRule="auto"/>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3</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12" w:lineRule="auto"/>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3.3</w:t>
      </w:r>
      <w:r>
        <w:rPr>
          <w:rFonts w:hint="eastAsia" w:ascii="仿宋" w:hAnsi="仿宋" w:eastAsia="仿宋"/>
          <w:bCs/>
          <w:color w:val="auto"/>
          <w:sz w:val="24"/>
          <w:highlight w:val="none"/>
        </w:rPr>
        <w:t>小微</w:t>
      </w:r>
      <w:r>
        <w:rPr>
          <w:rFonts w:hint="eastAsia" w:ascii="仿宋" w:hAnsi="仿宋" w:eastAsia="仿宋"/>
          <w:color w:val="auto"/>
          <w:sz w:val="24"/>
          <w:highlight w:val="none"/>
        </w:rPr>
        <w:t>企业价格扣除。</w:t>
      </w:r>
    </w:p>
    <w:p>
      <w:pPr>
        <w:spacing w:line="312" w:lineRule="auto"/>
        <w:rPr>
          <w:rFonts w:ascii="仿宋" w:hAnsi="仿宋" w:eastAsia="仿宋"/>
          <w:bCs/>
          <w:color w:val="auto"/>
          <w:sz w:val="24"/>
          <w:highlight w:val="none"/>
        </w:rPr>
      </w:pPr>
      <w:r>
        <w:rPr>
          <w:rFonts w:hint="eastAsia" w:ascii="仿宋" w:hAnsi="仿宋" w:eastAsia="仿宋"/>
          <w:color w:val="auto"/>
          <w:sz w:val="24"/>
          <w:highlight w:val="none"/>
        </w:rPr>
        <w:t>3.3.1小微企业是指</w:t>
      </w:r>
      <w:r>
        <w:rPr>
          <w:rFonts w:hint="eastAsia" w:ascii="仿宋" w:hAnsi="仿宋" w:eastAsia="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pPr>
        <w:spacing w:line="312"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符合中小企业划分标准的个体工商户，在政府采购活动中视同中小企业。</w:t>
      </w:r>
    </w:p>
    <w:p>
      <w:pPr>
        <w:spacing w:line="312" w:lineRule="auto"/>
        <w:rPr>
          <w:rFonts w:ascii="仿宋" w:hAnsi="仿宋" w:eastAsia="仿宋"/>
          <w:bCs/>
          <w:color w:val="auto"/>
          <w:sz w:val="24"/>
          <w:highlight w:val="none"/>
        </w:rPr>
      </w:pPr>
      <w:r>
        <w:rPr>
          <w:rFonts w:hint="eastAsia" w:ascii="仿宋" w:hAnsi="仿宋" w:eastAsia="仿宋"/>
          <w:bCs/>
          <w:color w:val="auto"/>
          <w:sz w:val="24"/>
          <w:highlight w:val="none"/>
        </w:rPr>
        <w:t>3.3.2在货物采购项目中，货物由小微企业制造，即货物由小微企业生产且使用该小微企业商号或者注册商标。</w:t>
      </w:r>
      <w:r>
        <w:rPr>
          <w:rFonts w:hint="eastAsia" w:ascii="仿宋" w:hAnsi="仿宋" w:eastAsia="仿宋"/>
          <w:b/>
          <w:bCs/>
          <w:color w:val="auto"/>
          <w:sz w:val="24"/>
          <w:highlight w:val="none"/>
        </w:rPr>
        <w:t>供应商提供的货物既有中小企业制造货物，也有大型企业制造货物的，不享受中小企业扶持政策。</w:t>
      </w:r>
    </w:p>
    <w:p>
      <w:pPr>
        <w:spacing w:line="312" w:lineRule="auto"/>
        <w:rPr>
          <w:rFonts w:ascii="仿宋" w:hAnsi="仿宋" w:eastAsia="仿宋"/>
          <w:bCs/>
          <w:color w:val="auto"/>
          <w:sz w:val="24"/>
          <w:highlight w:val="none"/>
        </w:rPr>
      </w:pPr>
      <w:r>
        <w:rPr>
          <w:rFonts w:hint="eastAsia" w:ascii="仿宋" w:hAnsi="仿宋" w:eastAsia="仿宋"/>
          <w:bCs/>
          <w:color w:val="auto"/>
          <w:sz w:val="24"/>
          <w:highlight w:val="none"/>
        </w:rPr>
        <w:t>3.3.3在服务采购项目中，服务由小微企业承接，即提供服务的人员为小微企业依照《中华人民共和国劳动合同法》订立劳动合同的从业人员。</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3.3.4小微企业应按照招标文件格式要求提供《中小企业声明函》。</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3.3.7符合《关于促进残疾人就业政府采购政策的通知》（财库〔2017〕141号）规定的条件并提供《残疾人福利性单位声明函》（附件1）的残疾人福利性单位视同小微企业；</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 w:hAnsi="仿宋" w:eastAsia="仿宋" w:cs="仿宋"/>
          <w:color w:val="auto"/>
          <w:sz w:val="24"/>
          <w:highlight w:val="none"/>
        </w:rPr>
      </w:pPr>
      <w:r>
        <w:rPr>
          <w:rFonts w:ascii="仿宋_GB2312" w:hAnsi="仿宋" w:eastAsia="仿宋_GB2312"/>
          <w:color w:val="auto"/>
          <w:sz w:val="24"/>
          <w:highlight w:val="none"/>
        </w:rPr>
        <w:t>3.4</w:t>
      </w:r>
      <w:r>
        <w:rPr>
          <w:rFonts w:hint="eastAsia" w:ascii="仿宋" w:hAnsi="仿宋" w:eastAsia="仿宋" w:cs="仿宋"/>
          <w:bCs/>
          <w:color w:val="auto"/>
          <w:sz w:val="24"/>
          <w:highlight w:val="none"/>
        </w:rPr>
        <w:t>支持科技创新发展</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对省级以上主管部门认定的首台套产品，自纳入《省推广应用指导目录》起三年内参加政府采购活动，视同已具备相应销售业绩，业绩分为满分。</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★4.特别说明：</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4.1供应商投标所使用的资格、信誉、荣誉、业绩与企业认证必须为投标单位所拥有。供应商投标所使用的采购项目实施人员必须为投标单位正式员工。</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4.2供应商应仔细阅读招标文件的所有内容，按照招标文件的要求提交投标文件，并对所提供的全部资料的真实性承担法律责任。</w:t>
      </w:r>
    </w:p>
    <w:p>
      <w:pPr>
        <w:spacing w:line="312" w:lineRule="auto"/>
        <w:rPr>
          <w:rFonts w:ascii="仿宋" w:hAnsi="仿宋" w:eastAsia="仿宋"/>
          <w:color w:val="auto"/>
          <w:sz w:val="24"/>
          <w:highlight w:val="none"/>
        </w:rPr>
      </w:pPr>
      <w:r>
        <w:rPr>
          <w:rFonts w:hint="eastAsia" w:ascii="仿宋" w:hAnsi="仿宋" w:eastAsia="仿宋"/>
          <w:color w:val="auto"/>
          <w:sz w:val="24"/>
          <w:highlight w:val="none"/>
        </w:rPr>
        <w:t>4.3供应商在投标活动中提供任何虚假材料,其投标无效，并报监管部门查处；中标后发现的,中标人须依照《中华人民共和国消费者权益保护法》</w:t>
      </w:r>
      <w:r>
        <w:rPr>
          <w:rFonts w:hint="eastAsia" w:ascii="仿宋_GB2312" w:hAnsi="仿宋" w:eastAsia="仿宋_GB2312"/>
          <w:color w:val="auto"/>
          <w:sz w:val="24"/>
          <w:highlight w:val="none"/>
        </w:rPr>
        <w:t>规定赔偿采购人，且民事赔偿并不免除违法供应商的行政或与刑事责任</w:t>
      </w:r>
      <w:r>
        <w:rPr>
          <w:rFonts w:hint="eastAsia" w:ascii="仿宋" w:hAnsi="仿宋" w:eastAsia="仿宋"/>
          <w:color w:val="auto"/>
          <w:sz w:val="24"/>
          <w:highlight w:val="none"/>
        </w:rPr>
        <w:t>。</w:t>
      </w:r>
    </w:p>
    <w:p>
      <w:pPr>
        <w:snapToGrid w:val="0"/>
        <w:spacing w:before="120" w:beforeLines="50" w:after="120" w:afterLines="50" w:line="312" w:lineRule="auto"/>
        <w:jc w:val="center"/>
        <w:rPr>
          <w:rFonts w:ascii="仿宋" w:hAnsi="仿宋" w:eastAsia="仿宋"/>
          <w:color w:val="auto"/>
          <w:sz w:val="24"/>
          <w:highlight w:val="none"/>
        </w:rPr>
      </w:pPr>
      <w:r>
        <w:rPr>
          <w:rFonts w:hint="eastAsia" w:ascii="仿宋" w:hAnsi="仿宋" w:eastAsia="仿宋"/>
          <w:b/>
          <w:color w:val="auto"/>
          <w:sz w:val="36"/>
          <w:szCs w:val="36"/>
          <w:highlight w:val="none"/>
        </w:rPr>
        <w:t>二、招标文件</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1．招标方式</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1.1 本次招标采用</w:t>
      </w:r>
      <w:r>
        <w:rPr>
          <w:rFonts w:hint="eastAsia" w:ascii="仿宋" w:hAnsi="仿宋" w:eastAsia="仿宋"/>
          <w:b/>
          <w:color w:val="auto"/>
          <w:kern w:val="0"/>
          <w:sz w:val="24"/>
          <w:highlight w:val="none"/>
        </w:rPr>
        <w:t>公开招标</w:t>
      </w:r>
      <w:r>
        <w:rPr>
          <w:rFonts w:hint="eastAsia" w:ascii="仿宋" w:hAnsi="仿宋" w:eastAsia="仿宋"/>
          <w:color w:val="auto"/>
          <w:sz w:val="24"/>
          <w:highlight w:val="none"/>
        </w:rPr>
        <w:t>方式进行。</w:t>
      </w:r>
    </w:p>
    <w:p>
      <w:pPr>
        <w:snapToGrid w:val="0"/>
        <w:spacing w:line="312" w:lineRule="auto"/>
        <w:jc w:val="left"/>
        <w:rPr>
          <w:rFonts w:ascii="仿宋" w:hAnsi="仿宋" w:eastAsia="仿宋"/>
          <w:b/>
          <w:color w:val="auto"/>
          <w:sz w:val="24"/>
          <w:highlight w:val="none"/>
        </w:rPr>
      </w:pPr>
      <w:r>
        <w:rPr>
          <w:rFonts w:hint="eastAsia" w:ascii="仿宋" w:hAnsi="仿宋" w:eastAsia="仿宋"/>
          <w:color w:val="auto"/>
          <w:sz w:val="24"/>
          <w:highlight w:val="none"/>
        </w:rPr>
        <w:t>1.2 如某一标项投标人或实质性响应招标文件的投标人不足三家时，由采购人重新组织招标或按有关规定实施。</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1.3 本次招标设定限价，即招标公告中公布的各标项预算金额或最高限价（各标项之间的预算金额不能互相调整）。</w:t>
      </w:r>
    </w:p>
    <w:p>
      <w:pPr>
        <w:pStyle w:val="21"/>
        <w:snapToGrid w:val="0"/>
        <w:spacing w:after="0" w:line="312" w:lineRule="auto"/>
        <w:ind w:left="0" w:leftChars="0"/>
        <w:jc w:val="left"/>
        <w:rPr>
          <w:rFonts w:ascii="仿宋" w:hAnsi="仿宋" w:eastAsia="仿宋"/>
          <w:b/>
          <w:color w:val="auto"/>
          <w:sz w:val="24"/>
          <w:highlight w:val="none"/>
        </w:rPr>
      </w:pPr>
      <w:r>
        <w:rPr>
          <w:rFonts w:hint="eastAsia" w:ascii="仿宋" w:hAnsi="仿宋" w:eastAsia="仿宋"/>
          <w:b/>
          <w:color w:val="auto"/>
          <w:sz w:val="24"/>
          <w:highlight w:val="none"/>
        </w:rPr>
        <w:t>2.授权委托</w:t>
      </w:r>
    </w:p>
    <w:p>
      <w:pPr>
        <w:pStyle w:val="16"/>
        <w:tabs>
          <w:tab w:val="clear" w:pos="454"/>
        </w:tabs>
        <w:spacing w:afterLines="0" w:line="312" w:lineRule="auto"/>
        <w:ind w:left="0" w:firstLine="480" w:firstLineChars="200"/>
        <w:rPr>
          <w:rFonts w:ascii="仿宋" w:hAnsi="仿宋" w:eastAsia="仿宋"/>
          <w:color w:val="auto"/>
          <w:highlight w:val="none"/>
        </w:rPr>
      </w:pPr>
      <w:r>
        <w:rPr>
          <w:rFonts w:hint="eastAsia" w:ascii="仿宋" w:hAnsi="仿宋" w:eastAsia="仿宋"/>
          <w:color w:val="auto"/>
          <w:highlight w:val="none"/>
        </w:rPr>
        <w:t>本项目为电子投标项目，投标人的法定代表人或其授权代表或个体工商户不需要参加现场投标和开标。</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3. 投标费用</w:t>
      </w:r>
    </w:p>
    <w:p>
      <w:pPr>
        <w:pStyle w:val="16"/>
        <w:tabs>
          <w:tab w:val="clear" w:pos="454"/>
        </w:tabs>
        <w:spacing w:afterLines="0" w:line="312" w:lineRule="auto"/>
        <w:ind w:left="0" w:firstLine="480" w:firstLineChars="200"/>
        <w:rPr>
          <w:rFonts w:ascii="仿宋" w:hAnsi="仿宋" w:eastAsia="仿宋"/>
          <w:color w:val="auto"/>
          <w:highlight w:val="none"/>
        </w:rPr>
      </w:pPr>
      <w:r>
        <w:rPr>
          <w:rFonts w:hint="eastAsia" w:ascii="仿宋" w:hAnsi="仿宋" w:eastAsia="仿宋"/>
          <w:color w:val="auto"/>
          <w:highlight w:val="none"/>
        </w:rPr>
        <w:t>投标人应自行承担编制投标文件及参加本次投标所涉及的一切费用。不管投标结果如何，招标人对上述费用不负任何责任。</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4. 招标文件的修改</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 xml:space="preserve">4.1 </w:t>
      </w:r>
      <w:r>
        <w:rPr>
          <w:rFonts w:hint="eastAsia" w:ascii="仿宋" w:hAnsi="仿宋" w:eastAsia="仿宋"/>
          <w:bCs/>
          <w:color w:val="auto"/>
          <w:sz w:val="24"/>
          <w:highlight w:val="none"/>
        </w:rPr>
        <w:t>招标文件包括本招标文件及所有的招标答疑记录（澄清、修改）和发出的补充通知</w:t>
      </w:r>
      <w:r>
        <w:rPr>
          <w:rFonts w:hint="eastAsia" w:ascii="仿宋" w:hAnsi="仿宋" w:eastAsia="仿宋"/>
          <w:color w:val="auto"/>
          <w:sz w:val="24"/>
          <w:highlight w:val="none"/>
        </w:rPr>
        <w:t>。</w:t>
      </w:r>
    </w:p>
    <w:p>
      <w:pPr>
        <w:pStyle w:val="16"/>
        <w:widowControl w:val="0"/>
        <w:tabs>
          <w:tab w:val="clear" w:pos="454"/>
        </w:tabs>
        <w:spacing w:afterLines="0" w:line="312" w:lineRule="auto"/>
        <w:ind w:left="0" w:firstLine="0"/>
        <w:rPr>
          <w:rFonts w:ascii="仿宋" w:hAnsi="仿宋" w:eastAsia="仿宋"/>
          <w:color w:val="auto"/>
          <w:highlight w:val="none"/>
        </w:rPr>
      </w:pPr>
      <w:r>
        <w:rPr>
          <w:rFonts w:hint="eastAsia" w:ascii="仿宋" w:hAnsi="仿宋" w:eastAsia="仿宋"/>
          <w:color w:val="auto"/>
          <w:highlight w:val="none"/>
        </w:rPr>
        <w:t xml:space="preserve">4.2招标文件的澄清 </w:t>
      </w:r>
    </w:p>
    <w:p>
      <w:pPr>
        <w:pStyle w:val="16"/>
        <w:widowControl w:val="0"/>
        <w:tabs>
          <w:tab w:val="clear" w:pos="454"/>
        </w:tabs>
        <w:spacing w:afterLines="0" w:line="312" w:lineRule="auto"/>
        <w:ind w:left="0" w:firstLine="480" w:firstLineChars="200"/>
        <w:rPr>
          <w:rFonts w:ascii="仿宋" w:hAnsi="仿宋" w:eastAsia="仿宋"/>
          <w:color w:val="auto"/>
          <w:highlight w:val="none"/>
        </w:rPr>
      </w:pPr>
      <w:r>
        <w:rPr>
          <w:rFonts w:hint="eastAsia" w:ascii="仿宋" w:hAnsi="仿宋" w:eastAsia="仿宋"/>
          <w:color w:val="auto"/>
          <w:highlight w:val="none"/>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6"/>
        <w:tabs>
          <w:tab w:val="clear" w:pos="454"/>
        </w:tabs>
        <w:spacing w:afterLines="0" w:line="312" w:lineRule="auto"/>
        <w:ind w:left="0" w:firstLine="0"/>
        <w:rPr>
          <w:rFonts w:ascii="仿宋" w:hAnsi="仿宋" w:eastAsia="仿宋"/>
          <w:color w:val="auto"/>
          <w:highlight w:val="none"/>
        </w:rPr>
      </w:pPr>
      <w:r>
        <w:rPr>
          <w:rFonts w:hint="eastAsia" w:ascii="仿宋" w:hAnsi="仿宋" w:eastAsia="仿宋"/>
          <w:color w:val="auto"/>
          <w:highlight w:val="none"/>
        </w:rPr>
        <w:t>4.3招标文件的修改</w:t>
      </w:r>
    </w:p>
    <w:p>
      <w:pPr>
        <w:pStyle w:val="16"/>
        <w:tabs>
          <w:tab w:val="clear" w:pos="454"/>
        </w:tabs>
        <w:spacing w:afterLines="0" w:line="312" w:lineRule="auto"/>
        <w:ind w:left="0" w:firstLine="0"/>
        <w:rPr>
          <w:rFonts w:ascii="仿宋" w:hAnsi="仿宋" w:eastAsia="仿宋"/>
          <w:color w:val="auto"/>
          <w:highlight w:val="none"/>
        </w:rPr>
      </w:pPr>
      <w:r>
        <w:rPr>
          <w:rFonts w:hint="eastAsia" w:ascii="仿宋" w:hAnsi="仿宋" w:eastAsia="仿宋"/>
          <w:color w:val="auto"/>
          <w:highlight w:val="none"/>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5.参考品牌</w:t>
      </w:r>
    </w:p>
    <w:p>
      <w:pPr>
        <w:snapToGrid w:val="0"/>
        <w:spacing w:line="312"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312"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三、投标文件</w:t>
      </w:r>
    </w:p>
    <w:p>
      <w:pPr>
        <w:numPr>
          <w:ilvl w:val="0"/>
          <w:numId w:val="6"/>
        </w:num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投标文件的语言、计量单位、形式及效力</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1.1投标人应仔细阅读招标文件中的所有内容，按照招标文件要求，详细编制投标文件，并保证投标文件的正确性和真实性。</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1.2 投标文件以及投标方与招标方就有关投标事宜的所有来往函电，均应以中文书写（技术术语除外）。</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1.3 投标计量单位，除招标文件中有特殊要求外，应采用中华人民共和国法定计量单位，货币单位：人民币元。</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1.4不按招标文件的要求提供的投标文件可能导致被拒绝。</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1.5投标文件的形式和效力</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1.5.1投标文件为电子投标文件，电子投标文件按“政采云供应商项目采购-电子招投标操作指南”及本招标文件要求制作、加密传输。</w:t>
      </w:r>
    </w:p>
    <w:p>
      <w:pPr>
        <w:snapToGrid w:val="0"/>
        <w:spacing w:line="312" w:lineRule="auto"/>
        <w:jc w:val="left"/>
        <w:rPr>
          <w:rFonts w:ascii="仿宋" w:hAnsi="仿宋" w:eastAsia="仿宋"/>
          <w:b/>
          <w:color w:val="auto"/>
          <w:sz w:val="24"/>
          <w:highlight w:val="none"/>
          <w:u w:val="single"/>
        </w:rPr>
      </w:pPr>
      <w:r>
        <w:rPr>
          <w:rFonts w:hint="eastAsia" w:ascii="仿宋" w:hAnsi="仿宋" w:eastAsia="仿宋"/>
          <w:b/>
          <w:color w:val="auto"/>
          <w:sz w:val="24"/>
          <w:highlight w:val="none"/>
          <w:u w:val="single"/>
        </w:rPr>
        <w:t>1.5.2投标文件的效力：</w:t>
      </w:r>
    </w:p>
    <w:p>
      <w:pPr>
        <w:snapToGrid w:val="0"/>
        <w:spacing w:line="312" w:lineRule="auto"/>
        <w:ind w:firstLine="472" w:firstLineChars="196"/>
        <w:jc w:val="left"/>
        <w:rPr>
          <w:rFonts w:ascii="仿宋" w:hAnsi="仿宋" w:eastAsia="仿宋"/>
          <w:b/>
          <w:color w:val="auto"/>
          <w:sz w:val="24"/>
          <w:highlight w:val="none"/>
          <w:u w:val="single"/>
        </w:rPr>
      </w:pPr>
      <w:r>
        <w:rPr>
          <w:rFonts w:hint="eastAsia" w:ascii="仿宋" w:hAnsi="仿宋" w:eastAsia="仿宋"/>
          <w:b/>
          <w:color w:val="auto"/>
          <w:sz w:val="24"/>
          <w:highlight w:val="none"/>
          <w:u w:val="single"/>
        </w:rPr>
        <w:t>投标文件未在投标截止时间前完成传输的，视为投标文件撤回；投标文件未按时解密，亦视为投标文件撤回。</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2. 投标文件的组成</w:t>
      </w:r>
    </w:p>
    <w:p>
      <w:pPr>
        <w:snapToGrid w:val="0"/>
        <w:spacing w:line="312" w:lineRule="auto"/>
        <w:ind w:firstLine="480" w:firstLineChars="200"/>
        <w:jc w:val="left"/>
        <w:rPr>
          <w:rFonts w:ascii="仿宋" w:hAnsi="仿宋" w:eastAsia="仿宋"/>
          <w:b/>
          <w:color w:val="auto"/>
          <w:sz w:val="24"/>
          <w:highlight w:val="none"/>
        </w:rPr>
      </w:pPr>
      <w:r>
        <w:rPr>
          <w:rFonts w:hint="eastAsia" w:ascii="仿宋" w:hAnsi="仿宋" w:eastAsia="仿宋"/>
          <w:color w:val="auto"/>
          <w:sz w:val="24"/>
          <w:highlight w:val="none"/>
        </w:rPr>
        <w:t>投标文件由“报价文件资料”、“商务技术（资信）文件资料”两部分组成，其中</w:t>
      </w:r>
      <w:r>
        <w:rPr>
          <w:rFonts w:hint="eastAsia" w:ascii="仿宋" w:hAnsi="仿宋" w:eastAsia="仿宋"/>
          <w:b/>
          <w:color w:val="auto"/>
          <w:sz w:val="24"/>
          <w:highlight w:val="none"/>
        </w:rPr>
        <w:t>电子投标文件中所须加盖公章部分均应采用电子签章。</w:t>
      </w:r>
    </w:p>
    <w:p>
      <w:pPr>
        <w:spacing w:line="312"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2.1 “报价文件资料”应包含以下内容：</w:t>
      </w:r>
    </w:p>
    <w:p>
      <w:pPr>
        <w:tabs>
          <w:tab w:val="left" w:pos="3870"/>
          <w:tab w:val="left" w:pos="4085"/>
        </w:tabs>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 xml:space="preserve">2.1.1投标响应函（格式见第六部分附件）； </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2.1.2开标一览表（格式见第六部分附件）；</w:t>
      </w:r>
    </w:p>
    <w:p>
      <w:pPr>
        <w:pStyle w:val="28"/>
        <w:spacing w:line="312" w:lineRule="auto"/>
        <w:rPr>
          <w:rFonts w:ascii="仿宋" w:hAnsi="仿宋" w:eastAsia="仿宋"/>
          <w:b w:val="0"/>
          <w:color w:val="auto"/>
          <w:sz w:val="24"/>
          <w:highlight w:val="none"/>
        </w:rPr>
      </w:pPr>
      <w:r>
        <w:rPr>
          <w:rFonts w:hint="eastAsia" w:ascii="仿宋" w:hAnsi="仿宋" w:eastAsia="仿宋"/>
          <w:b w:val="0"/>
          <w:color w:val="auto"/>
          <w:sz w:val="24"/>
          <w:highlight w:val="none"/>
        </w:rPr>
        <w:t>2.1.3中小企业声明函（如有，格式见第六部分附件）；</w:t>
      </w:r>
    </w:p>
    <w:p>
      <w:pPr>
        <w:pStyle w:val="28"/>
        <w:spacing w:line="312" w:lineRule="auto"/>
        <w:rPr>
          <w:rFonts w:ascii="仿宋" w:hAnsi="仿宋" w:eastAsia="仿宋"/>
          <w:b w:val="0"/>
          <w:color w:val="auto"/>
          <w:sz w:val="24"/>
          <w:highlight w:val="none"/>
        </w:rPr>
      </w:pPr>
      <w:r>
        <w:rPr>
          <w:rFonts w:hint="eastAsia" w:ascii="仿宋" w:hAnsi="仿宋" w:eastAsia="仿宋"/>
          <w:b w:val="0"/>
          <w:color w:val="auto"/>
          <w:sz w:val="24"/>
          <w:highlight w:val="none"/>
        </w:rPr>
        <w:t>2.1.4残疾人福利性单位声明函（如有，格式见第六部分附件）。</w:t>
      </w:r>
    </w:p>
    <w:p>
      <w:pPr>
        <w:tabs>
          <w:tab w:val="left" w:pos="3870"/>
          <w:tab w:val="left" w:pos="4085"/>
        </w:tabs>
        <w:snapToGrid w:val="0"/>
        <w:spacing w:line="312"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以上文件组成“报价文件资料”。投标人在“报价文件资料”中应对招标文件作实质性响应，该项内容将作为评标重要指标。</w:t>
      </w:r>
    </w:p>
    <w:p>
      <w:pPr>
        <w:tabs>
          <w:tab w:val="left" w:pos="3870"/>
          <w:tab w:val="left" w:pos="4085"/>
        </w:tabs>
        <w:snapToGrid w:val="0"/>
        <w:spacing w:line="312"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2.2 “商务技术（资信）文件资料”应包括以下内容：</w:t>
      </w:r>
    </w:p>
    <w:p>
      <w:pPr>
        <w:snapToGrid w:val="0"/>
        <w:spacing w:line="312" w:lineRule="auto"/>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2.2.1法定代表人授权委托书(个体工商户不需要提供，格式见第六部分附件)；</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2.2.2授权代表社保证明（格式见第六部分附件）；</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2.2.3法定代表人身份证明书（格式见第六部分附件）；</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2.2.4</w:t>
      </w:r>
      <w:r>
        <w:rPr>
          <w:rFonts w:hint="eastAsia" w:ascii="仿宋_GB2312" w:hAnsi="Arial" w:eastAsia="仿宋_GB2312" w:cs="Arial"/>
          <w:color w:val="auto"/>
          <w:kern w:val="0"/>
          <w:sz w:val="24"/>
          <w:highlight w:val="none"/>
        </w:rPr>
        <w:t>供应商基本资格条件</w:t>
      </w:r>
      <w:r>
        <w:rPr>
          <w:rFonts w:hint="eastAsia" w:ascii="仿宋_GB2312" w:hAnsi="仿宋_GB2312" w:eastAsia="仿宋_GB2312" w:cs="仿宋_GB2312"/>
          <w:color w:val="auto"/>
          <w:sz w:val="24"/>
          <w:highlight w:val="none"/>
        </w:rPr>
        <w:t>书面承诺函（</w:t>
      </w:r>
      <w:r>
        <w:rPr>
          <w:rFonts w:hint="eastAsia" w:ascii="仿宋_GB2312" w:hAnsi="宋体" w:eastAsia="仿宋_GB2312"/>
          <w:color w:val="auto"/>
          <w:sz w:val="24"/>
          <w:highlight w:val="none"/>
        </w:rPr>
        <w:t>格式见第六部分附件</w:t>
      </w:r>
      <w:r>
        <w:rPr>
          <w:rFonts w:hint="eastAsia" w:ascii="仿宋_GB2312" w:hAnsi="仿宋_GB2312" w:eastAsia="仿宋_GB2312" w:cs="仿宋_GB2312"/>
          <w:color w:val="auto"/>
          <w:sz w:val="24"/>
          <w:highlight w:val="none"/>
        </w:rPr>
        <w:t>）</w:t>
      </w:r>
      <w:r>
        <w:rPr>
          <w:rFonts w:hint="eastAsia" w:ascii="仿宋" w:hAnsi="仿宋" w:eastAsia="仿宋"/>
          <w:color w:val="auto"/>
          <w:sz w:val="24"/>
          <w:highlight w:val="none"/>
        </w:rPr>
        <w:t>；</w:t>
      </w:r>
    </w:p>
    <w:p>
      <w:pPr>
        <w:snapToGrid w:val="0"/>
        <w:spacing w:line="312" w:lineRule="auto"/>
        <w:jc w:val="left"/>
        <w:rPr>
          <w:rFonts w:ascii="仿宋" w:hAnsi="仿宋" w:eastAsia="仿宋" w:cs="Arial"/>
          <w:color w:val="auto"/>
          <w:kern w:val="0"/>
          <w:sz w:val="24"/>
          <w:highlight w:val="none"/>
        </w:rPr>
      </w:pPr>
      <w:r>
        <w:rPr>
          <w:rFonts w:hint="eastAsia" w:ascii="仿宋" w:hAnsi="仿宋" w:eastAsia="仿宋"/>
          <w:color w:val="auto"/>
          <w:sz w:val="24"/>
          <w:highlight w:val="none"/>
        </w:rPr>
        <w:t>2.2.5</w:t>
      </w:r>
      <w:r>
        <w:rPr>
          <w:rFonts w:hint="eastAsia" w:ascii="仿宋_GB2312" w:hAnsi="Arial" w:eastAsia="仿宋_GB2312" w:cs="Arial"/>
          <w:color w:val="auto"/>
          <w:kern w:val="0"/>
          <w:sz w:val="24"/>
          <w:highlight w:val="none"/>
        </w:rPr>
        <w:t>供应商</w:t>
      </w:r>
      <w:r>
        <w:rPr>
          <w:rFonts w:hint="eastAsia" w:ascii="仿宋_GB2312" w:hAnsi="仿宋_GB2312" w:eastAsia="仿宋_GB2312" w:cs="仿宋_GB2312"/>
          <w:color w:val="auto"/>
          <w:sz w:val="24"/>
          <w:highlight w:val="none"/>
        </w:rPr>
        <w:t>特定资格条件（如项目要求）的有关证明材料（复印件）</w:t>
      </w:r>
      <w:r>
        <w:rPr>
          <w:rFonts w:hint="eastAsia" w:ascii="仿宋" w:hAnsi="仿宋" w:eastAsia="仿宋"/>
          <w:color w:val="auto"/>
          <w:sz w:val="24"/>
          <w:highlight w:val="none"/>
        </w:rPr>
        <w:t>：</w:t>
      </w:r>
    </w:p>
    <w:p>
      <w:pPr>
        <w:tabs>
          <w:tab w:val="left" w:pos="3870"/>
          <w:tab w:val="left" w:pos="4085"/>
        </w:tabs>
        <w:snapToGrid w:val="0"/>
        <w:spacing w:line="312" w:lineRule="auto"/>
        <w:jc w:val="left"/>
        <w:rPr>
          <w:rFonts w:ascii="仿宋" w:hAnsi="仿宋" w:eastAsia="仿宋"/>
          <w:color w:val="auto"/>
          <w:sz w:val="24"/>
          <w:highlight w:val="none"/>
        </w:rPr>
      </w:pPr>
      <w:bookmarkStart w:id="0" w:name="_Hlt68403820"/>
      <w:bookmarkEnd w:id="0"/>
      <w:bookmarkStart w:id="1" w:name="_Hlt68072998"/>
      <w:bookmarkEnd w:id="1"/>
      <w:bookmarkStart w:id="2" w:name="_Hlt68073093"/>
      <w:bookmarkEnd w:id="2"/>
      <w:r>
        <w:rPr>
          <w:rFonts w:hint="eastAsia" w:ascii="仿宋" w:hAnsi="仿宋" w:eastAsia="仿宋"/>
          <w:color w:val="auto"/>
          <w:sz w:val="24"/>
          <w:highlight w:val="none"/>
        </w:rPr>
        <w:t>2.2.6 类似业绩证明</w:t>
      </w:r>
      <w:r>
        <w:rPr>
          <w:rFonts w:hint="eastAsia" w:ascii="仿宋" w:hAnsi="仿宋" w:eastAsia="仿宋" w:cs="仿宋"/>
          <w:bCs/>
          <w:color w:val="auto"/>
          <w:sz w:val="24"/>
          <w:highlight w:val="none"/>
        </w:rPr>
        <w:t>（格式见第六部分附件）</w:t>
      </w:r>
      <w:r>
        <w:rPr>
          <w:rFonts w:hint="eastAsia" w:ascii="仿宋" w:hAnsi="仿宋" w:eastAsia="仿宋"/>
          <w:color w:val="auto"/>
          <w:sz w:val="24"/>
          <w:highlight w:val="none"/>
        </w:rPr>
        <w:t>；</w:t>
      </w:r>
    </w:p>
    <w:p>
      <w:pPr>
        <w:snapToGrid w:val="0"/>
        <w:spacing w:line="312"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2.2.7 </w:t>
      </w:r>
      <w:r>
        <w:rPr>
          <w:rFonts w:hint="eastAsia" w:ascii="仿宋" w:hAnsi="仿宋" w:eastAsia="仿宋" w:cs="仿宋"/>
          <w:bCs/>
          <w:color w:val="auto"/>
          <w:sz w:val="24"/>
          <w:highlight w:val="none"/>
        </w:rPr>
        <w:t>廉政承诺书（格式见第六部分附件）；</w:t>
      </w:r>
    </w:p>
    <w:p>
      <w:pPr>
        <w:snapToGrid w:val="0"/>
        <w:spacing w:line="312"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2.2.8 </w:t>
      </w:r>
      <w:r>
        <w:rPr>
          <w:rFonts w:hint="eastAsia" w:ascii="仿宋_GB2312" w:hAnsi="仿宋_GB2312" w:eastAsia="仿宋_GB2312" w:cs="仿宋_GB2312"/>
          <w:color w:val="auto"/>
          <w:kern w:val="0"/>
          <w:sz w:val="24"/>
          <w:highlight w:val="none"/>
        </w:rPr>
        <w:t>技术偏离说明表</w:t>
      </w:r>
      <w:r>
        <w:rPr>
          <w:rFonts w:hint="eastAsia" w:ascii="仿宋" w:hAnsi="仿宋" w:eastAsia="仿宋" w:cs="仿宋"/>
          <w:bCs/>
          <w:color w:val="auto"/>
          <w:sz w:val="24"/>
          <w:highlight w:val="none"/>
        </w:rPr>
        <w:t>（格式见第六部分附件）；</w:t>
      </w:r>
    </w:p>
    <w:p>
      <w:pPr>
        <w:snapToGrid w:val="0"/>
        <w:spacing w:line="312"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2.2.9 技术方案；</w:t>
      </w:r>
    </w:p>
    <w:p>
      <w:pPr>
        <w:snapToGrid w:val="0"/>
        <w:spacing w:line="312"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2.2.10 售后服务方案：包含但不限于服务响应时间、故障解决方案；离采购人最近售后服务机构情况提供证明资料；售后服务机构技术服务人员情况，提供姓名、工作经验、资质证书情况等。</w:t>
      </w:r>
    </w:p>
    <w:p>
      <w:pPr>
        <w:tabs>
          <w:tab w:val="left" w:pos="3870"/>
          <w:tab w:val="left" w:pos="4085"/>
        </w:tabs>
        <w:snapToGrid w:val="0"/>
        <w:spacing w:line="312" w:lineRule="auto"/>
        <w:jc w:val="left"/>
        <w:rPr>
          <w:rFonts w:ascii="仿宋" w:hAnsi="仿宋" w:eastAsia="仿宋_GB2312"/>
          <w:color w:val="auto"/>
          <w:sz w:val="24"/>
          <w:highlight w:val="none"/>
        </w:rPr>
      </w:pPr>
      <w:r>
        <w:rPr>
          <w:rFonts w:hint="eastAsia" w:ascii="仿宋_GB2312" w:hAnsi="仿宋_GB2312" w:eastAsia="仿宋_GB2312" w:cs="仿宋_GB2312"/>
          <w:color w:val="auto"/>
          <w:kern w:val="0"/>
          <w:sz w:val="24"/>
          <w:highlight w:val="none"/>
        </w:rPr>
        <w:t>2.2.11投标人拟委派项目组成员情况；</w:t>
      </w:r>
    </w:p>
    <w:p>
      <w:pPr>
        <w:tabs>
          <w:tab w:val="left" w:pos="3870"/>
          <w:tab w:val="left" w:pos="4085"/>
        </w:tabs>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2.2.12优惠条件：投标人承诺给予招标人的各种优惠条件，包括设备价格、运输、保险、安装调试、付款条件、技术服务、售后服务等方面的优惠；当优惠条件涉及“报价单”中的各项费用时，必须与投标价格相统一；（如有）</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2.2.13</w:t>
      </w:r>
      <w:r>
        <w:rPr>
          <w:rFonts w:hint="eastAsia" w:ascii="仿宋" w:hAnsi="仿宋" w:eastAsia="仿宋"/>
          <w:color w:val="auto"/>
          <w:sz w:val="24"/>
          <w:highlight w:val="none"/>
          <w:u w:val="wave"/>
        </w:rPr>
        <w:t>未尽事宜请各投标单位按评分细则和相对应标项相关要求制作(重要)</w:t>
      </w:r>
      <w:r>
        <w:rPr>
          <w:rFonts w:hint="eastAsia" w:ascii="仿宋" w:hAnsi="仿宋" w:eastAsia="仿宋"/>
          <w:color w:val="auto"/>
          <w:sz w:val="24"/>
          <w:highlight w:val="none"/>
        </w:rPr>
        <w:t>；</w:t>
      </w:r>
    </w:p>
    <w:p>
      <w:pPr>
        <w:pStyle w:val="22"/>
        <w:tabs>
          <w:tab w:val="left" w:pos="1854"/>
          <w:tab w:val="clear" w:pos="482"/>
        </w:tabs>
        <w:spacing w:afterLines="0" w:line="312" w:lineRule="auto"/>
        <w:ind w:left="0" w:firstLine="0"/>
        <w:rPr>
          <w:rFonts w:ascii="仿宋" w:hAnsi="仿宋" w:eastAsia="仿宋"/>
          <w:color w:val="auto"/>
          <w:highlight w:val="none"/>
        </w:rPr>
      </w:pPr>
      <w:r>
        <w:rPr>
          <w:rFonts w:hint="eastAsia" w:ascii="仿宋" w:hAnsi="仿宋" w:eastAsia="仿宋"/>
          <w:color w:val="auto"/>
          <w:highlight w:val="none"/>
        </w:rPr>
        <w:t>2.2.14投标人需要说明的其他文件和说明（格式自拟）。</w:t>
      </w:r>
    </w:p>
    <w:p>
      <w:pPr>
        <w:tabs>
          <w:tab w:val="left" w:pos="3870"/>
          <w:tab w:val="left" w:pos="4085"/>
        </w:tabs>
        <w:snapToGrid w:val="0"/>
        <w:spacing w:line="312"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以上文件组成“商务技术（资信）文件资料”。投标人在“商务技术（资信）文件资料”中应对招标文件作实质性响应，该项内容将作为评标重要指标。</w:t>
      </w:r>
    </w:p>
    <w:p>
      <w:pPr>
        <w:pStyle w:val="22"/>
        <w:tabs>
          <w:tab w:val="left" w:pos="1854"/>
          <w:tab w:val="clear" w:pos="482"/>
        </w:tabs>
        <w:spacing w:afterLines="0" w:line="312" w:lineRule="auto"/>
        <w:ind w:left="0" w:right="-78" w:rightChars="-37" w:firstLine="480" w:firstLineChars="200"/>
        <w:rPr>
          <w:rFonts w:ascii="仿宋" w:hAnsi="仿宋" w:eastAsia="仿宋"/>
          <w:b/>
          <w:color w:val="auto"/>
          <w:highlight w:val="none"/>
        </w:rPr>
      </w:pPr>
      <w:r>
        <w:rPr>
          <w:rFonts w:hint="eastAsia" w:ascii="仿宋" w:hAnsi="仿宋" w:eastAsia="仿宋"/>
          <w:color w:val="auto"/>
          <w:highlight w:val="none"/>
        </w:rPr>
        <w:t>投标人不按招标文件的要求提供的投标文件，可能会被评标委员会视为未实质性响应，其风险应由投标人自行承担。</w:t>
      </w:r>
    </w:p>
    <w:p>
      <w:pPr>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3.投标报价</w:t>
      </w:r>
    </w:p>
    <w:p>
      <w:pPr>
        <w:pStyle w:val="27"/>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3.1投标人应按招标文件中《开标一览表》等附表要求填写。</w:t>
      </w:r>
    </w:p>
    <w:p>
      <w:pPr>
        <w:pStyle w:val="27"/>
        <w:spacing w:line="312" w:lineRule="auto"/>
        <w:jc w:val="left"/>
        <w:rPr>
          <w:rFonts w:ascii="仿宋" w:hAnsi="仿宋" w:eastAsia="仿宋" w:cs="仿宋"/>
          <w:color w:val="auto"/>
          <w:kern w:val="0"/>
          <w:sz w:val="24"/>
          <w:highlight w:val="none"/>
          <w:lang w:val="zh-CN"/>
        </w:rPr>
      </w:pPr>
      <w:r>
        <w:rPr>
          <w:rFonts w:hint="eastAsia" w:ascii="仿宋" w:hAnsi="仿宋" w:eastAsia="仿宋"/>
          <w:color w:val="auto"/>
          <w:sz w:val="24"/>
          <w:szCs w:val="24"/>
          <w:highlight w:val="none"/>
        </w:rPr>
        <w:t>3.2</w:t>
      </w:r>
      <w:r>
        <w:rPr>
          <w:rFonts w:hint="eastAsia" w:ascii="仿宋" w:hAnsi="仿宋" w:eastAsia="仿宋"/>
          <w:color w:val="auto"/>
          <w:sz w:val="24"/>
          <w:highlight w:val="none"/>
          <w:lang w:val="zh-CN"/>
        </w:rPr>
        <w:t>投标报价采用总价承包方式进行报价，即一经中标，所有费用总价包干。总报价应包括完成</w:t>
      </w:r>
      <w:r>
        <w:rPr>
          <w:rFonts w:hint="eastAsia" w:ascii="仿宋" w:hAnsi="仿宋" w:eastAsia="仿宋"/>
          <w:color w:val="auto"/>
          <w:sz w:val="24"/>
          <w:highlight w:val="none"/>
        </w:rPr>
        <w:t>本项目的所有费用，包括但不限于人员工资</w:t>
      </w:r>
      <w:r>
        <w:rPr>
          <w:rFonts w:hint="eastAsia" w:ascii="仿宋" w:hAnsi="仿宋" w:eastAsia="仿宋"/>
          <w:color w:val="auto"/>
          <w:sz w:val="24"/>
          <w:highlight w:val="none"/>
          <w:lang w:val="zh-CN"/>
        </w:rPr>
        <w:t>（包括人员工资、预计加班费用、社会保障费用、高温费等）</w:t>
      </w:r>
      <w:r>
        <w:rPr>
          <w:rFonts w:hint="eastAsia" w:ascii="仿宋" w:hAnsi="仿宋" w:eastAsia="仿宋"/>
          <w:color w:val="auto"/>
          <w:sz w:val="24"/>
          <w:highlight w:val="none"/>
        </w:rPr>
        <w:t>、交通、通讯、设备（仪器）、劳力、</w:t>
      </w:r>
      <w:r>
        <w:rPr>
          <w:rStyle w:val="280"/>
          <w:rFonts w:hint="eastAsia" w:ascii="仿宋" w:hAnsi="仿宋" w:eastAsia="仿宋" w:cs="仿宋"/>
          <w:color w:val="auto"/>
          <w:sz w:val="24"/>
          <w:highlight w:val="none"/>
          <w:lang w:val="zh-CN"/>
        </w:rPr>
        <w:t>办公及工作耗材、</w:t>
      </w:r>
      <w:r>
        <w:rPr>
          <w:rFonts w:hint="eastAsia" w:ascii="仿宋" w:hAnsi="仿宋" w:eastAsia="仿宋"/>
          <w:color w:val="auto"/>
          <w:sz w:val="24"/>
          <w:highlight w:val="none"/>
        </w:rPr>
        <w:t>成果资料费、利润、</w:t>
      </w:r>
      <w:r>
        <w:rPr>
          <w:rFonts w:hint="eastAsia" w:ascii="仿宋" w:hAnsi="仿宋" w:eastAsia="仿宋"/>
          <w:color w:val="auto"/>
          <w:sz w:val="24"/>
          <w:highlight w:val="none"/>
          <w:lang w:val="zh-CN"/>
        </w:rPr>
        <w:t>农民工工伤保险、综合管理费和税金、其他项目费等供应商认为完成本项目所需的一切费用。政策性文件规定及合同包含的所有风险、责任等各项应有费用均应考虑在内。</w:t>
      </w:r>
      <w:r>
        <w:rPr>
          <w:rFonts w:hint="eastAsia" w:ascii="仿宋" w:hAnsi="仿宋" w:eastAsia="仿宋" w:cs="仿宋"/>
          <w:color w:val="auto"/>
          <w:kern w:val="0"/>
          <w:sz w:val="24"/>
          <w:highlight w:val="none"/>
          <w:lang w:val="zh-CN"/>
        </w:rPr>
        <w:t>不管投标结果如何，采购人对上述费用不负任何责任。</w:t>
      </w:r>
    </w:p>
    <w:p>
      <w:pPr>
        <w:snapToGrid w:val="0"/>
        <w:spacing w:line="440" w:lineRule="exact"/>
        <w:jc w:val="left"/>
        <w:rPr>
          <w:rFonts w:ascii="仿宋" w:hAnsi="仿宋" w:eastAsia="仿宋"/>
          <w:color w:val="auto"/>
          <w:sz w:val="24"/>
          <w:szCs w:val="20"/>
          <w:highlight w:val="none"/>
        </w:rPr>
      </w:pPr>
      <w:r>
        <w:rPr>
          <w:rFonts w:hint="eastAsia" w:ascii="仿宋" w:hAnsi="仿宋" w:eastAsia="仿宋"/>
          <w:color w:val="auto"/>
          <w:sz w:val="24"/>
          <w:szCs w:val="20"/>
          <w:highlight w:val="none"/>
        </w:rPr>
        <w:t>3.3供应商按采购文件规定的质量要求，结合作业地段实际和企业自身实力自主报价并将涉及到的费用按单项列出清单。</w:t>
      </w:r>
    </w:p>
    <w:p>
      <w:pPr>
        <w:snapToGrid w:val="0"/>
        <w:spacing w:line="440" w:lineRule="exact"/>
        <w:jc w:val="left"/>
        <w:rPr>
          <w:rFonts w:ascii="仿宋" w:hAnsi="仿宋" w:eastAsia="仿宋"/>
          <w:color w:val="auto"/>
          <w:sz w:val="24"/>
          <w:szCs w:val="20"/>
          <w:highlight w:val="none"/>
        </w:rPr>
      </w:pPr>
      <w:r>
        <w:rPr>
          <w:rFonts w:hint="eastAsia" w:ascii="仿宋" w:hAnsi="仿宋" w:eastAsia="仿宋"/>
          <w:color w:val="auto"/>
          <w:sz w:val="24"/>
          <w:szCs w:val="20"/>
          <w:highlight w:val="none"/>
        </w:rPr>
        <w:t>3.4本项目采购代理服务费由中标人向采购代理机构支付，相关成本支出详见前附表第19条款，供应商报价时考虑该因素。</w:t>
      </w:r>
    </w:p>
    <w:p>
      <w:pPr>
        <w:snapToGrid w:val="0"/>
        <w:spacing w:line="440" w:lineRule="exact"/>
        <w:jc w:val="left"/>
        <w:rPr>
          <w:rFonts w:ascii="仿宋" w:hAnsi="仿宋" w:eastAsia="仿宋"/>
          <w:color w:val="auto"/>
          <w:sz w:val="24"/>
          <w:szCs w:val="20"/>
          <w:highlight w:val="none"/>
        </w:rPr>
      </w:pPr>
      <w:r>
        <w:rPr>
          <w:rFonts w:hint="eastAsia" w:ascii="仿宋" w:hAnsi="仿宋" w:eastAsia="仿宋"/>
          <w:color w:val="auto"/>
          <w:sz w:val="24"/>
          <w:szCs w:val="20"/>
          <w:highlight w:val="none"/>
        </w:rPr>
        <w:t>3.5其它需在报价中考虑的因素：</w:t>
      </w:r>
    </w:p>
    <w:p>
      <w:pPr>
        <w:snapToGrid w:val="0"/>
        <w:spacing w:line="440" w:lineRule="exact"/>
        <w:ind w:firstLine="480" w:firstLineChars="200"/>
        <w:jc w:val="left"/>
        <w:rPr>
          <w:rFonts w:ascii="仿宋" w:hAnsi="仿宋" w:eastAsia="仿宋"/>
          <w:color w:val="auto"/>
          <w:sz w:val="24"/>
          <w:szCs w:val="20"/>
          <w:highlight w:val="none"/>
        </w:rPr>
      </w:pPr>
      <w:r>
        <w:rPr>
          <w:rFonts w:hint="eastAsia" w:ascii="仿宋" w:hAnsi="仿宋" w:eastAsia="仿宋"/>
          <w:color w:val="auto"/>
          <w:sz w:val="24"/>
          <w:szCs w:val="20"/>
          <w:highlight w:val="none"/>
        </w:rPr>
        <w:t>3.5.1采购需求中明确的需供应商承担的费用均应含在投标总价中；</w:t>
      </w:r>
    </w:p>
    <w:p>
      <w:pPr>
        <w:snapToGrid w:val="0"/>
        <w:spacing w:line="440" w:lineRule="exact"/>
        <w:ind w:firstLine="480" w:firstLineChars="200"/>
        <w:jc w:val="left"/>
        <w:rPr>
          <w:rFonts w:ascii="仿宋" w:hAnsi="仿宋" w:eastAsia="仿宋"/>
          <w:color w:val="auto"/>
          <w:sz w:val="24"/>
          <w:szCs w:val="20"/>
          <w:highlight w:val="none"/>
        </w:rPr>
      </w:pPr>
      <w:r>
        <w:rPr>
          <w:rFonts w:hint="eastAsia" w:ascii="仿宋" w:hAnsi="仿宋" w:eastAsia="仿宋"/>
          <w:color w:val="auto"/>
          <w:sz w:val="24"/>
          <w:szCs w:val="20"/>
          <w:highlight w:val="none"/>
        </w:rPr>
        <w:t>3.5.2采购文件未明示但供应商认为可能产生的潜在费用支出均需自行考虑并计入投标总价中；</w:t>
      </w:r>
    </w:p>
    <w:p>
      <w:pPr>
        <w:snapToGrid w:val="0"/>
        <w:spacing w:line="440" w:lineRule="exact"/>
        <w:ind w:firstLine="480" w:firstLineChars="200"/>
        <w:jc w:val="left"/>
        <w:rPr>
          <w:rFonts w:ascii="仿宋" w:hAnsi="仿宋" w:eastAsia="仿宋"/>
          <w:color w:val="auto"/>
          <w:sz w:val="24"/>
          <w:szCs w:val="20"/>
          <w:highlight w:val="none"/>
        </w:rPr>
      </w:pPr>
      <w:r>
        <w:rPr>
          <w:rFonts w:hint="eastAsia" w:ascii="仿宋" w:hAnsi="仿宋" w:eastAsia="仿宋"/>
          <w:color w:val="auto"/>
          <w:sz w:val="24"/>
          <w:szCs w:val="20"/>
          <w:highlight w:val="none"/>
        </w:rPr>
        <w:t>3.5.3对于没有填报的项目，采购人将不再支付，并均认为已包含在报价内。</w:t>
      </w:r>
    </w:p>
    <w:p>
      <w:pPr>
        <w:tabs>
          <w:tab w:val="left" w:pos="525"/>
        </w:tabs>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3.6</w:t>
      </w:r>
      <w:r>
        <w:rPr>
          <w:rFonts w:hint="eastAsia" w:ascii="仿宋" w:hAnsi="仿宋" w:eastAsia="仿宋"/>
          <w:b/>
          <w:i/>
          <w:color w:val="auto"/>
          <w:sz w:val="24"/>
          <w:highlight w:val="none"/>
        </w:rPr>
        <w:t>投标报价只允许有一个报价，有选择的报价将不予接受（除指定外）。</w:t>
      </w:r>
    </w:p>
    <w:p>
      <w:pPr>
        <w:pStyle w:val="16"/>
        <w:tabs>
          <w:tab w:val="clear" w:pos="454"/>
        </w:tabs>
        <w:spacing w:afterLines="0" w:line="312" w:lineRule="auto"/>
        <w:ind w:left="0" w:firstLine="0"/>
        <w:rPr>
          <w:rFonts w:ascii="仿宋" w:hAnsi="仿宋" w:eastAsia="仿宋"/>
          <w:b/>
          <w:color w:val="auto"/>
          <w:szCs w:val="24"/>
          <w:highlight w:val="none"/>
        </w:rPr>
      </w:pPr>
      <w:r>
        <w:rPr>
          <w:rFonts w:hint="eastAsia" w:ascii="仿宋" w:hAnsi="仿宋" w:eastAsia="仿宋"/>
          <w:b/>
          <w:color w:val="auto"/>
          <w:szCs w:val="24"/>
          <w:highlight w:val="none"/>
        </w:rPr>
        <w:t>4.投标文件的有效期</w:t>
      </w:r>
    </w:p>
    <w:p>
      <w:pPr>
        <w:pStyle w:val="16"/>
        <w:tabs>
          <w:tab w:val="clear" w:pos="454"/>
        </w:tabs>
        <w:spacing w:afterLines="0" w:line="312" w:lineRule="auto"/>
        <w:ind w:left="0" w:firstLine="0"/>
        <w:rPr>
          <w:rFonts w:ascii="仿宋" w:hAnsi="仿宋" w:eastAsia="仿宋"/>
          <w:color w:val="auto"/>
          <w:szCs w:val="24"/>
          <w:highlight w:val="none"/>
        </w:rPr>
      </w:pPr>
      <w:r>
        <w:rPr>
          <w:rFonts w:hint="eastAsia" w:ascii="仿宋" w:hAnsi="仿宋" w:eastAsia="仿宋"/>
          <w:color w:val="auto"/>
          <w:szCs w:val="24"/>
          <w:highlight w:val="none"/>
        </w:rPr>
        <w:t>4.1</w:t>
      </w:r>
      <w:r>
        <w:rPr>
          <w:rFonts w:hint="eastAsia" w:ascii="仿宋" w:hAnsi="仿宋" w:eastAsia="仿宋" w:cs="仿宋_GB2312"/>
          <w:color w:val="auto"/>
          <w:highlight w:val="none"/>
        </w:rPr>
        <w:t>投标有效期为从提交投标文件的截止之日起90天。</w:t>
      </w:r>
      <w:r>
        <w:rPr>
          <w:rFonts w:hint="eastAsia" w:ascii="仿宋" w:hAnsi="仿宋" w:eastAsia="仿宋" w:cs="仿宋_GB2312"/>
          <w:b/>
          <w:color w:val="auto"/>
          <w:highlight w:val="none"/>
        </w:rPr>
        <w:t>投标人的投标文件中承</w:t>
      </w:r>
      <w:r>
        <w:rPr>
          <w:rFonts w:hint="eastAsia" w:ascii="仿宋" w:hAnsi="仿宋" w:eastAsia="仿宋" w:cs="仿宋_GB2312"/>
          <w:b/>
          <w:color w:val="auto"/>
          <w:szCs w:val="21"/>
          <w:highlight w:val="none"/>
        </w:rPr>
        <w:t>诺的投标有效期少于招标文件中载明的投标有效期的，投标无效。</w:t>
      </w:r>
    </w:p>
    <w:p>
      <w:pPr>
        <w:pStyle w:val="16"/>
        <w:tabs>
          <w:tab w:val="clear" w:pos="454"/>
        </w:tabs>
        <w:spacing w:afterLines="0" w:line="312" w:lineRule="auto"/>
        <w:ind w:left="0" w:firstLine="0"/>
        <w:rPr>
          <w:rFonts w:ascii="仿宋" w:hAnsi="仿宋" w:eastAsia="仿宋"/>
          <w:color w:val="auto"/>
          <w:szCs w:val="24"/>
          <w:highlight w:val="none"/>
        </w:rPr>
      </w:pPr>
      <w:r>
        <w:rPr>
          <w:rFonts w:hint="eastAsia" w:ascii="仿宋" w:hAnsi="仿宋" w:eastAsia="仿宋"/>
          <w:color w:val="auto"/>
          <w:szCs w:val="24"/>
          <w:highlight w:val="none"/>
        </w:rPr>
        <w:t>4.2在特殊情况下，招标人可与投标人协商延长投标书的有效期，这种要求和答复均以书面形式进行。</w:t>
      </w:r>
    </w:p>
    <w:p>
      <w:pPr>
        <w:pStyle w:val="16"/>
        <w:tabs>
          <w:tab w:val="clear" w:pos="454"/>
        </w:tabs>
        <w:spacing w:afterLines="0" w:line="312" w:lineRule="auto"/>
        <w:ind w:left="0" w:firstLine="0"/>
        <w:rPr>
          <w:rFonts w:ascii="仿宋" w:hAnsi="仿宋" w:eastAsia="仿宋"/>
          <w:color w:val="auto"/>
          <w:szCs w:val="24"/>
          <w:highlight w:val="none"/>
        </w:rPr>
      </w:pPr>
      <w:r>
        <w:rPr>
          <w:rFonts w:hint="eastAsia" w:ascii="仿宋" w:hAnsi="仿宋" w:eastAsia="仿宋"/>
          <w:color w:val="auto"/>
          <w:szCs w:val="24"/>
          <w:highlight w:val="none"/>
        </w:rPr>
        <w:t>4.3投标人可拒绝接受延期要求而不会导致投标保证金被没收。同意延长有效期的投标人不能修改投标文件。</w:t>
      </w:r>
    </w:p>
    <w:p>
      <w:pPr>
        <w:snapToGrid w:val="0"/>
        <w:spacing w:line="312" w:lineRule="auto"/>
        <w:jc w:val="left"/>
        <w:rPr>
          <w:rFonts w:ascii="仿宋" w:hAnsi="仿宋" w:eastAsia="仿宋"/>
          <w:b/>
          <w:color w:val="auto"/>
          <w:sz w:val="24"/>
          <w:highlight w:val="none"/>
          <w:u w:val="single"/>
        </w:rPr>
      </w:pPr>
      <w:r>
        <w:rPr>
          <w:rFonts w:hint="eastAsia" w:ascii="仿宋" w:hAnsi="仿宋" w:eastAsia="仿宋"/>
          <w:b/>
          <w:color w:val="auto"/>
          <w:sz w:val="24"/>
          <w:highlight w:val="none"/>
          <w:u w:val="single"/>
        </w:rPr>
        <w:t>5.投标文件的规定</w:t>
      </w:r>
    </w:p>
    <w:p>
      <w:pPr>
        <w:pStyle w:val="27"/>
        <w:spacing w:line="312"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5.1投标文件由“商务技术（资信）文件资料”、“报价文件资料”两部分文件组成，应按统一格式填写。</w:t>
      </w:r>
    </w:p>
    <w:p>
      <w:pPr>
        <w:pStyle w:val="27"/>
        <w:spacing w:line="312"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5.2投标文件须按附件格式要求进行签章，投标人应写全称。</w:t>
      </w:r>
    </w:p>
    <w:p>
      <w:pPr>
        <w:pStyle w:val="27"/>
        <w:spacing w:line="312"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5.3投标文件不得涂改，若有修改错漏处，须加盖单位公章或者法定代表人或其授权代表签字或盖章。</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5.4投标文件因字迹潦草或表达不清所引起的后果由投标人负责。</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5.5投标人应认真阅读招标文件中所有的内容。如果投标人编制的投标文件实质上不响应招标文件的要求，其投标文件将被招标人拒绝。</w:t>
      </w:r>
    </w:p>
    <w:p>
      <w:pPr>
        <w:spacing w:line="312"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5.6电子投标文件部分：投标人应根据“政采云供应商项目采购-电子招投标操作指南”及本招标文件规定的格式和顺序编制电子投标文件并进行关联定位。</w:t>
      </w:r>
    </w:p>
    <w:p>
      <w:pPr>
        <w:snapToGrid w:val="0"/>
        <w:spacing w:line="312" w:lineRule="auto"/>
        <w:jc w:val="left"/>
        <w:rPr>
          <w:rFonts w:ascii="仿宋" w:hAnsi="仿宋" w:eastAsia="仿宋" w:cs="仿宋_GB2312"/>
          <w:b/>
          <w:color w:val="auto"/>
          <w:sz w:val="24"/>
          <w:highlight w:val="none"/>
        </w:rPr>
      </w:pPr>
      <w:r>
        <w:rPr>
          <w:rFonts w:hint="eastAsia" w:ascii="仿宋" w:hAnsi="仿宋" w:eastAsia="仿宋"/>
          <w:b/>
          <w:color w:val="auto"/>
          <w:sz w:val="24"/>
          <w:highlight w:val="none"/>
        </w:rPr>
        <w:t>6</w:t>
      </w:r>
      <w:r>
        <w:rPr>
          <w:rFonts w:hint="eastAsia" w:ascii="仿宋" w:hAnsi="仿宋" w:eastAsia="仿宋" w:cs="仿宋_GB2312"/>
          <w:b/>
          <w:color w:val="auto"/>
          <w:sz w:val="24"/>
          <w:highlight w:val="none"/>
        </w:rPr>
        <w:t>.投标文件的提交</w:t>
      </w:r>
    </w:p>
    <w:p>
      <w:pPr>
        <w:snapToGrid w:val="0"/>
        <w:spacing w:line="312"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投标人应按“招标公告”规定的时间、方式将投标文件提交给采购机构，</w:t>
      </w:r>
      <w:r>
        <w:rPr>
          <w:rFonts w:hint="eastAsia" w:ascii="仿宋" w:hAnsi="仿宋" w:eastAsia="仿宋"/>
          <w:b/>
          <w:color w:val="auto"/>
          <w:sz w:val="24"/>
          <w:highlight w:val="none"/>
        </w:rPr>
        <w:t>采购机构将拒绝接受逾期提交的投标文件。</w:t>
      </w:r>
    </w:p>
    <w:p>
      <w:pPr>
        <w:widowControl/>
        <w:snapToGrid w:val="0"/>
        <w:spacing w:line="312" w:lineRule="auto"/>
        <w:rPr>
          <w:rFonts w:ascii="仿宋" w:hAnsi="仿宋" w:eastAsia="仿宋"/>
          <w:b/>
          <w:color w:val="auto"/>
          <w:kern w:val="0"/>
          <w:sz w:val="24"/>
          <w:highlight w:val="none"/>
        </w:rPr>
      </w:pPr>
      <w:r>
        <w:rPr>
          <w:rFonts w:hint="eastAsia" w:ascii="仿宋" w:hAnsi="仿宋" w:eastAsia="仿宋"/>
          <w:b/>
          <w:color w:val="auto"/>
          <w:sz w:val="24"/>
          <w:highlight w:val="none"/>
        </w:rPr>
        <w:t>7．</w:t>
      </w:r>
      <w:r>
        <w:rPr>
          <w:rFonts w:hint="eastAsia" w:ascii="仿宋" w:hAnsi="仿宋" w:eastAsia="仿宋"/>
          <w:b/>
          <w:color w:val="auto"/>
          <w:kern w:val="0"/>
          <w:sz w:val="24"/>
          <w:highlight w:val="none"/>
        </w:rPr>
        <w:t>投标文件的补充和修改</w:t>
      </w:r>
    </w:p>
    <w:p>
      <w:pPr>
        <w:spacing w:line="440" w:lineRule="exact"/>
        <w:ind w:firstLine="480" w:firstLineChars="200"/>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312"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四、开标和评标</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1.电子招投标开标及评审程序</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1.1投标截止时间后，主持人宣布开标会开始。</w:t>
      </w:r>
    </w:p>
    <w:p>
      <w:pPr>
        <w:snapToGrid w:val="0"/>
        <w:spacing w:line="480" w:lineRule="exact"/>
        <w:jc w:val="left"/>
        <w:rPr>
          <w:rFonts w:ascii="仿宋" w:hAnsi="仿宋" w:eastAsia="仿宋_GB2312"/>
          <w:color w:val="auto"/>
          <w:sz w:val="24"/>
          <w:highlight w:val="none"/>
        </w:rPr>
      </w:pPr>
      <w:r>
        <w:rPr>
          <w:rFonts w:hint="eastAsia" w:ascii="仿宋" w:hAnsi="仿宋" w:eastAsia="仿宋"/>
          <w:color w:val="auto"/>
          <w:sz w:val="24"/>
          <w:highlight w:val="none"/>
        </w:rPr>
        <w:t>1.2投标人登录政采云平台，用“项目采购-开标评标”功能对电子投标文件进行在线解密。在线解密电子投标文件时间为开标时间起30分内。</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1.3</w:t>
      </w:r>
      <w:r>
        <w:rPr>
          <w:rFonts w:hint="eastAsia" w:ascii="仿宋_GB2312" w:hAnsi="宋体" w:eastAsia="仿宋_GB2312"/>
          <w:color w:val="auto"/>
          <w:sz w:val="24"/>
          <w:highlight w:val="none"/>
        </w:rPr>
        <w:t>评标委员会对商务技术响应文件进行评审</w:t>
      </w:r>
      <w:r>
        <w:rPr>
          <w:rFonts w:hint="eastAsia" w:ascii="仿宋" w:hAnsi="仿宋" w:eastAsia="仿宋"/>
          <w:color w:val="auto"/>
          <w:sz w:val="24"/>
          <w:highlight w:val="none"/>
        </w:rPr>
        <w:t>。</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1.4主持人宣布商务技术得分及无效（废）投标情形（如有），</w:t>
      </w:r>
      <w:r>
        <w:rPr>
          <w:rFonts w:hint="eastAsia" w:ascii="仿宋" w:hAnsi="仿宋" w:eastAsia="仿宋" w:cs="Arial"/>
          <w:color w:val="auto"/>
          <w:sz w:val="24"/>
          <w:highlight w:val="none"/>
        </w:rPr>
        <w:t>公布经商务技术（资信）评审符合招标文件要求的投标人名单及其商务技术得分。</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1.5启封</w:t>
      </w:r>
      <w:r>
        <w:rPr>
          <w:rFonts w:hint="eastAsia" w:ascii="仿宋" w:hAnsi="仿宋" w:eastAsia="仿宋" w:cs="Arial"/>
          <w:color w:val="auto"/>
          <w:sz w:val="24"/>
          <w:highlight w:val="none"/>
        </w:rPr>
        <w:t>报价文件资料</w:t>
      </w:r>
      <w:r>
        <w:rPr>
          <w:rFonts w:hint="eastAsia" w:ascii="仿宋" w:hAnsi="仿宋" w:eastAsia="仿宋"/>
          <w:color w:val="auto"/>
          <w:sz w:val="24"/>
          <w:highlight w:val="none"/>
        </w:rPr>
        <w:t>，主持人宣读投标人名称、投标价格和投标文件的其他内容。未宣读的投标报价和招标文件未允许提供的备选投标方案等实质性内容，评标时不予承认。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1.6评标委员会对投标文件</w:t>
      </w:r>
      <w:r>
        <w:rPr>
          <w:rFonts w:hint="eastAsia" w:ascii="仿宋" w:hAnsi="仿宋" w:eastAsia="仿宋" w:cs="Arial"/>
          <w:color w:val="auto"/>
          <w:sz w:val="24"/>
          <w:highlight w:val="none"/>
        </w:rPr>
        <w:t>报价文件资料</w:t>
      </w:r>
      <w:r>
        <w:rPr>
          <w:rFonts w:hint="eastAsia" w:ascii="仿宋" w:hAnsi="仿宋" w:eastAsia="仿宋"/>
          <w:color w:val="auto"/>
          <w:sz w:val="24"/>
          <w:highlight w:val="none"/>
        </w:rPr>
        <w:t>进行评审，核准投标报价及计算价格分，汇总商务技术分、价格分，根据得分排序确定中标候选人。</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1.7主持人公布评标结果。</w:t>
      </w:r>
    </w:p>
    <w:p>
      <w:pPr>
        <w:snapToGrid w:val="0"/>
        <w:spacing w:line="480" w:lineRule="exact"/>
        <w:jc w:val="left"/>
        <w:rPr>
          <w:rFonts w:ascii="仿宋" w:hAnsi="仿宋" w:eastAsia="仿宋"/>
          <w:b/>
          <w:color w:val="auto"/>
          <w:sz w:val="24"/>
          <w:highlight w:val="none"/>
        </w:rPr>
      </w:pPr>
      <w:r>
        <w:rPr>
          <w:rFonts w:hint="eastAsia" w:ascii="仿宋" w:hAnsi="仿宋" w:eastAsia="仿宋"/>
          <w:b/>
          <w:color w:val="auto"/>
          <w:sz w:val="24"/>
          <w:highlight w:val="none"/>
        </w:rPr>
        <w:t>特别说明：政采云公司如对电子化开标及评审程序有调整的，按调整后的程序操作。</w:t>
      </w:r>
    </w:p>
    <w:p>
      <w:pPr>
        <w:snapToGrid w:val="0"/>
        <w:spacing w:line="480" w:lineRule="exact"/>
        <w:jc w:val="left"/>
        <w:rPr>
          <w:rFonts w:ascii="仿宋" w:hAnsi="仿宋" w:eastAsia="仿宋"/>
          <w:b/>
          <w:color w:val="auto"/>
          <w:sz w:val="24"/>
          <w:highlight w:val="none"/>
        </w:rPr>
      </w:pPr>
      <w:r>
        <w:rPr>
          <w:rFonts w:hint="eastAsia" w:ascii="仿宋" w:hAnsi="仿宋" w:eastAsia="仿宋"/>
          <w:b/>
          <w:color w:val="auto"/>
          <w:sz w:val="24"/>
          <w:highlight w:val="none"/>
        </w:rPr>
        <w:t>2.采购过程中出现以下情形，导致电子交易平台无法正常运行，或者无法保证电子交易的公平、公正和安全时，采购组织机构可中止电子交易活动：</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 xml:space="preserve">2.1电子交易平台发生故障而无法登录访问的； </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2.2电子交易平台应用或数据库出现错误，不能进行正常操作的；</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2.3电子交易平台发现严重安全漏洞，有潜在泄密危险的；</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 xml:space="preserve">2.4病毒发作导致不能进行正常操作的； </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2.5其他无法保证电子交易的公平、公正和安全的情况。</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3.评标</w:t>
      </w:r>
    </w:p>
    <w:p>
      <w:pPr>
        <w:spacing w:line="312" w:lineRule="auto"/>
        <w:jc w:val="left"/>
        <w:rPr>
          <w:rFonts w:ascii="仿宋" w:hAnsi="仿宋" w:eastAsia="仿宋" w:cs="宋体"/>
          <w:color w:val="auto"/>
          <w:sz w:val="24"/>
          <w:highlight w:val="none"/>
        </w:rPr>
      </w:pPr>
      <w:r>
        <w:rPr>
          <w:rFonts w:hint="eastAsia" w:ascii="仿宋" w:hAnsi="仿宋" w:eastAsia="仿宋"/>
          <w:color w:val="auto"/>
          <w:sz w:val="24"/>
          <w:highlight w:val="none"/>
        </w:rPr>
        <w:t>3.1</w:t>
      </w:r>
      <w:r>
        <w:rPr>
          <w:rFonts w:hint="eastAsia" w:ascii="仿宋" w:hAnsi="仿宋" w:eastAsia="仿宋" w:cs="宋体"/>
          <w:color w:val="auto"/>
          <w:sz w:val="24"/>
          <w:highlight w:val="none"/>
        </w:rPr>
        <w:t>评标委员会由招标采购单位依法组建，负责评标活动。评标委员会遵循公开、公平、公正、科学合理、竞争择优的原则。</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3.2评标委员会由采购人代表和有关方面的专家组成，</w:t>
      </w:r>
      <w:r>
        <w:rPr>
          <w:rFonts w:hint="eastAsia" w:ascii="仿宋_GB2312" w:hAnsi="宋体" w:eastAsia="仿宋_GB2312" w:cs="宋体"/>
          <w:color w:val="auto"/>
          <w:sz w:val="24"/>
          <w:highlight w:val="none"/>
        </w:rPr>
        <w:t>成员人数为五人以上单数</w:t>
      </w:r>
      <w:r>
        <w:rPr>
          <w:rFonts w:hint="eastAsia" w:ascii="仿宋" w:hAnsi="仿宋" w:eastAsia="仿宋" w:cs="宋体"/>
          <w:color w:val="auto"/>
          <w:sz w:val="24"/>
          <w:highlight w:val="none"/>
        </w:rPr>
        <w:t>。</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3.3</w:t>
      </w:r>
      <w:r>
        <w:rPr>
          <w:rFonts w:hint="eastAsia" w:ascii="仿宋_GB2312" w:hAnsi="宋体" w:eastAsia="仿宋_GB2312" w:cs="宋体"/>
          <w:color w:val="auto"/>
          <w:sz w:val="24"/>
          <w:highlight w:val="none"/>
        </w:rPr>
        <w:t>评标委员会负责对投标人资格的最终审定。</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3.4评标委员会可以要求投标人对其投标文件中含义不明确的内容作必要的澄清或者说明，但澄清或者说明不得超过投标文件的范围或者改变投标文件的实质性内容。</w:t>
      </w:r>
    </w:p>
    <w:p>
      <w:pPr>
        <w:spacing w:line="312"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312" w:lineRule="auto"/>
        <w:ind w:firstLine="480" w:firstLineChars="200"/>
        <w:jc w:val="left"/>
        <w:rPr>
          <w:color w:val="auto"/>
          <w:highlight w:val="none"/>
        </w:rPr>
      </w:pPr>
      <w:r>
        <w:rPr>
          <w:rFonts w:hint="eastAsia" w:ascii="仿宋_GB2312" w:hAnsi="宋体" w:eastAsia="仿宋_GB2312"/>
          <w:color w:val="auto"/>
          <w:sz w:val="24"/>
          <w:highlight w:val="none"/>
        </w:rPr>
        <w:t>供应商通过政采云平台交换的数据电文必须进行电子签章。</w:t>
      </w:r>
    </w:p>
    <w:p>
      <w:pPr>
        <w:widowControl/>
        <w:snapToGrid w:val="0"/>
        <w:spacing w:line="312" w:lineRule="auto"/>
        <w:rPr>
          <w:rFonts w:ascii="仿宋" w:hAnsi="仿宋" w:eastAsia="仿宋"/>
          <w:color w:val="auto"/>
          <w:kern w:val="0"/>
          <w:sz w:val="24"/>
          <w:highlight w:val="none"/>
        </w:rPr>
      </w:pPr>
      <w:r>
        <w:rPr>
          <w:rFonts w:hint="eastAsia" w:ascii="仿宋" w:hAnsi="仿宋" w:eastAsia="仿宋"/>
          <w:color w:val="auto"/>
          <w:kern w:val="0"/>
          <w:sz w:val="24"/>
          <w:highlight w:val="none"/>
        </w:rPr>
        <w:t>3.5</w:t>
      </w:r>
      <w:r>
        <w:rPr>
          <w:rFonts w:hint="eastAsia" w:ascii="仿宋_GB2312" w:hAnsi="宋体" w:eastAsia="仿宋_GB2312"/>
          <w:color w:val="auto"/>
          <w:sz w:val="24"/>
          <w:highlight w:val="none"/>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312" w:lineRule="auto"/>
        <w:rPr>
          <w:rFonts w:ascii="仿宋" w:hAnsi="仿宋" w:eastAsia="仿宋"/>
          <w:color w:val="auto"/>
          <w:kern w:val="0"/>
          <w:sz w:val="24"/>
          <w:highlight w:val="none"/>
        </w:rPr>
      </w:pPr>
      <w:r>
        <w:rPr>
          <w:rFonts w:hint="eastAsia" w:ascii="仿宋" w:hAnsi="仿宋" w:eastAsia="仿宋"/>
          <w:color w:val="auto"/>
          <w:sz w:val="24"/>
          <w:highlight w:val="none"/>
        </w:rPr>
        <w:t>3.6评标委员会</w:t>
      </w:r>
      <w:r>
        <w:rPr>
          <w:rFonts w:hint="eastAsia" w:ascii="仿宋" w:hAnsi="仿宋" w:eastAsia="仿宋"/>
          <w:color w:val="auto"/>
          <w:kern w:val="0"/>
          <w:sz w:val="24"/>
          <w:highlight w:val="none"/>
        </w:rPr>
        <w:t>对投标文件的判定，只依据投标文件和招标文件内容本身，不依据任何外来证明。</w:t>
      </w:r>
    </w:p>
    <w:p>
      <w:pPr>
        <w:widowControl/>
        <w:snapToGrid w:val="0"/>
        <w:spacing w:line="312" w:lineRule="auto"/>
        <w:rPr>
          <w:rFonts w:ascii="仿宋" w:hAnsi="仿宋" w:eastAsia="仿宋"/>
          <w:color w:val="auto"/>
          <w:kern w:val="0"/>
          <w:sz w:val="24"/>
          <w:highlight w:val="none"/>
        </w:rPr>
      </w:pPr>
      <w:r>
        <w:rPr>
          <w:rFonts w:hint="eastAsia" w:ascii="仿宋" w:hAnsi="仿宋" w:eastAsia="仿宋" w:cs="宋体"/>
          <w:color w:val="auto"/>
          <w:sz w:val="24"/>
          <w:highlight w:val="none"/>
        </w:rPr>
        <w:t>3.7评标委员会不向落标方解释落标的原因。</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4.投标文件的初审鉴定</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4.1资格性审查</w:t>
      </w:r>
    </w:p>
    <w:p>
      <w:pPr>
        <w:snapToGrid w:val="0"/>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4.1.1依据法律、法规和招标文件规定，</w:t>
      </w:r>
      <w:r>
        <w:rPr>
          <w:rFonts w:hint="eastAsia" w:ascii="仿宋_GB2312" w:hAnsi="宋体" w:eastAsia="仿宋_GB2312"/>
          <w:color w:val="auto"/>
          <w:sz w:val="24"/>
          <w:highlight w:val="none"/>
        </w:rPr>
        <w:t>采购人或采购人代表对投标人进行资格审查</w:t>
      </w:r>
      <w:r>
        <w:rPr>
          <w:rFonts w:hint="eastAsia" w:ascii="仿宋" w:hAnsi="仿宋" w:eastAsia="仿宋"/>
          <w:color w:val="auto"/>
          <w:sz w:val="24"/>
          <w:highlight w:val="none"/>
        </w:rPr>
        <w:t>，以确定投标人是否具备投标资格。</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4.2符合性审查</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 w:hAnsi="仿宋" w:eastAsia="仿宋" w:cs="仿宋_GB2312"/>
          <w:color w:val="auto"/>
          <w:sz w:val="24"/>
          <w:highlight w:val="none"/>
        </w:rPr>
        <w:t>评标委员会决定投标文件的响应性只根据投标文件本身的内容，而不寻求外部证据。</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pPr>
        <w:spacing w:line="312" w:lineRule="auto"/>
        <w:jc w:val="left"/>
        <w:rPr>
          <w:rFonts w:ascii="仿宋" w:hAnsi="仿宋" w:eastAsia="仿宋" w:cs="宋体"/>
          <w:b/>
          <w:color w:val="auto"/>
          <w:sz w:val="24"/>
          <w:highlight w:val="none"/>
        </w:rPr>
      </w:pPr>
      <w:r>
        <w:rPr>
          <w:rFonts w:hint="eastAsia" w:ascii="仿宋" w:hAnsi="仿宋" w:eastAsia="仿宋"/>
          <w:b/>
          <w:color w:val="auto"/>
          <w:kern w:val="0"/>
          <w:sz w:val="24"/>
          <w:highlight w:val="none"/>
        </w:rPr>
        <w:t>5.</w:t>
      </w:r>
      <w:r>
        <w:rPr>
          <w:rFonts w:hint="eastAsia" w:ascii="仿宋" w:hAnsi="仿宋" w:eastAsia="仿宋" w:cs="宋体"/>
          <w:b/>
          <w:color w:val="auto"/>
          <w:sz w:val="24"/>
          <w:highlight w:val="none"/>
        </w:rPr>
        <w:t>投标文件报价出现前后不一致的，按照下列规定修正：</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5.1投标文件中开标一览表（报价表）内容与投标文件中相应内容不一致的，以开标一览表（报价表）为准；</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5.2大写金额和小写金额不一致的，以大写金额为准；</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5.3单价金额小数点或者百分比有明显错位的，以开标一览表的总价为准，并修改单价；</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5.4总价金额与按单价汇总金额不一致的，以单价金额计算结果为准。</w:t>
      </w:r>
    </w:p>
    <w:p>
      <w:pPr>
        <w:spacing w:line="312"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同时出现两种以上不一致的，按照前款规定的顺序修正。</w:t>
      </w:r>
      <w:r>
        <w:rPr>
          <w:rFonts w:hint="eastAsia" w:ascii="仿宋" w:hAnsi="仿宋" w:eastAsia="仿宋" w:cs="仿宋_GB2312"/>
          <w:bCs/>
          <w:color w:val="auto"/>
          <w:sz w:val="24"/>
          <w:highlight w:val="none"/>
        </w:rPr>
        <w:t>修正后的报价按照财政部公布第87号令 《政府采购货物和服务招标投标管理办法》</w:t>
      </w:r>
      <w:r>
        <w:rPr>
          <w:rFonts w:hint="eastAsia" w:ascii="仿宋" w:hAnsi="仿宋" w:eastAsia="仿宋" w:cs="宋体"/>
          <w:color w:val="auto"/>
          <w:sz w:val="24"/>
          <w:highlight w:val="none"/>
        </w:rPr>
        <w:t>第五十一条第二款的规定经投标人确认后产生约束力，投标人不确认的，其投标无效。</w:t>
      </w:r>
    </w:p>
    <w:p>
      <w:pPr>
        <w:spacing w:line="312"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6.投标文件的评审、比较和否决</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6.1评标委员会将对在实质上响应招标文件要求的投标文件进行评估和比较。</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6.2在评审过程中，评标委员会可以书面形式要求投标人就投标文件含义不明确的内容可对其通过政采云平台进行书面说明并提供相关材料，但</w:t>
      </w:r>
      <w:r>
        <w:rPr>
          <w:rFonts w:hint="eastAsia" w:ascii="仿宋" w:hAnsi="仿宋" w:eastAsia="仿宋"/>
          <w:color w:val="auto"/>
          <w:sz w:val="24"/>
          <w:highlight w:val="none"/>
        </w:rPr>
        <w:t>不得超过投标文件的范围或者改变投标文件的实质性内容。</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6.3在评标过程中，如发现与招标文件要求相偏离的，评标委员会可对其偏离情形进行必要的核实。</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6.4在评审过程中，如属于实质性偏离或符合无效响应条件的，应当询问相关投标人，并可对其通过政采云平台进行线上确认，但不允许对偏离条款进行补充、修正或撤回。</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6.5</w:t>
      </w:r>
      <w:r>
        <w:rPr>
          <w:rFonts w:ascii="仿宋" w:hAnsi="仿宋" w:eastAsia="仿宋" w:cs="宋体"/>
          <w:color w:val="auto"/>
          <w:sz w:val="24"/>
          <w:highlight w:val="none"/>
        </w:rPr>
        <w:t>比较与评价</w:t>
      </w:r>
      <w:r>
        <w:rPr>
          <w:rFonts w:hint="eastAsia" w:ascii="仿宋" w:hAnsi="仿宋" w:eastAsia="仿宋" w:cs="宋体"/>
          <w:color w:val="auto"/>
          <w:sz w:val="24"/>
          <w:highlight w:val="none"/>
        </w:rPr>
        <w:t>。评</w:t>
      </w:r>
      <w:r>
        <w:rPr>
          <w:rFonts w:ascii="仿宋" w:hAnsi="仿宋" w:eastAsia="仿宋" w:cs="宋体"/>
          <w:color w:val="auto"/>
          <w:sz w:val="24"/>
          <w:highlight w:val="none"/>
        </w:rPr>
        <w:t>标委员会应当按照评标标准，对符合性审查合格的投标文件进行商务和技术评估，综合比较与评价。</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6.6</w:t>
      </w:r>
      <w:r>
        <w:rPr>
          <w:rFonts w:ascii="仿宋" w:hAnsi="仿宋" w:eastAsia="仿宋" w:cs="宋体"/>
          <w:color w:val="auto"/>
          <w:sz w:val="24"/>
          <w:highlight w:val="none"/>
        </w:rPr>
        <w:t>汇总</w:t>
      </w:r>
      <w:r>
        <w:rPr>
          <w:rFonts w:hint="eastAsia" w:ascii="仿宋" w:hAnsi="仿宋" w:eastAsia="仿宋" w:cs="宋体"/>
          <w:color w:val="auto"/>
          <w:sz w:val="24"/>
          <w:highlight w:val="none"/>
        </w:rPr>
        <w:t>（商务技术得分情况）。</w:t>
      </w:r>
      <w:r>
        <w:rPr>
          <w:rFonts w:ascii="仿宋" w:hAnsi="仿宋" w:eastAsia="仿宋" w:cs="宋体"/>
          <w:color w:val="auto"/>
          <w:sz w:val="24"/>
          <w:highlight w:val="none"/>
        </w:rPr>
        <w:t>评标委员会各成员应当独立对每个投标人的</w:t>
      </w:r>
      <w:r>
        <w:rPr>
          <w:rFonts w:hint="eastAsia" w:ascii="仿宋" w:hAnsi="仿宋" w:eastAsia="仿宋" w:cs="宋体"/>
          <w:color w:val="auto"/>
          <w:sz w:val="24"/>
          <w:highlight w:val="none"/>
        </w:rPr>
        <w:t>商务技术（资信）文件</w:t>
      </w:r>
      <w:r>
        <w:rPr>
          <w:rFonts w:ascii="仿宋" w:hAnsi="仿宋" w:eastAsia="仿宋" w:cs="宋体"/>
          <w:color w:val="auto"/>
          <w:sz w:val="24"/>
          <w:highlight w:val="none"/>
        </w:rPr>
        <w:t>进行评价，并汇总</w:t>
      </w:r>
      <w:r>
        <w:rPr>
          <w:rFonts w:hint="eastAsia" w:ascii="仿宋" w:hAnsi="仿宋" w:eastAsia="仿宋" w:cs="宋体"/>
          <w:color w:val="auto"/>
          <w:sz w:val="24"/>
          <w:highlight w:val="none"/>
        </w:rPr>
        <w:t>商务技术得分情况</w:t>
      </w:r>
      <w:r>
        <w:rPr>
          <w:rFonts w:ascii="仿宋" w:hAnsi="仿宋" w:eastAsia="仿宋" w:cs="宋体"/>
          <w:color w:val="auto"/>
          <w:sz w:val="24"/>
          <w:highlight w:val="none"/>
        </w:rPr>
        <w:t>。</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6.7 报价审核。对符合采购需求且通过商务技术（资信）评审的投标人的报价的合理性、准确性等进行审查核实。</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6.7.2根据财政部发布的《政府采购促进中小企业发展暂行办法》规定，对于非专门面向中小企业的项目，对小型和微型企业产品的价格给予一定的扣除，用扣除后的价格参与评审。</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6.7.3如需投标价格修正，按财政部87号令第五十九条的规定对投标价格进行修正。</w:t>
      </w:r>
    </w:p>
    <w:p>
      <w:pPr>
        <w:spacing w:line="312"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6.8评标委员会依据招标文件规定的评标标准和方法，对投标文件进行评审和比较后，向采购代理机构提供书面评标报告，并按得分高低排序推荐中标候选供应商。</w:t>
      </w:r>
    </w:p>
    <w:p>
      <w:pPr>
        <w:pStyle w:val="16"/>
        <w:widowControl w:val="0"/>
        <w:tabs>
          <w:tab w:val="clear" w:pos="454"/>
        </w:tabs>
        <w:spacing w:afterLines="0" w:line="312" w:lineRule="auto"/>
        <w:ind w:left="0" w:firstLine="0"/>
        <w:rPr>
          <w:rFonts w:ascii="仿宋" w:hAnsi="仿宋" w:eastAsia="仿宋"/>
          <w:b/>
          <w:color w:val="auto"/>
          <w:highlight w:val="none"/>
        </w:rPr>
      </w:pPr>
      <w:r>
        <w:rPr>
          <w:rFonts w:hint="eastAsia" w:ascii="仿宋" w:hAnsi="仿宋" w:eastAsia="仿宋"/>
          <w:b/>
          <w:color w:val="auto"/>
          <w:highlight w:val="none"/>
        </w:rPr>
        <w:t>7.投标文件的澄清</w:t>
      </w:r>
    </w:p>
    <w:p>
      <w:pPr>
        <w:pStyle w:val="16"/>
        <w:widowControl w:val="0"/>
        <w:tabs>
          <w:tab w:val="clear" w:pos="454"/>
        </w:tabs>
        <w:spacing w:afterLines="0" w:line="312" w:lineRule="auto"/>
        <w:ind w:left="0" w:firstLine="480" w:firstLineChars="200"/>
        <w:rPr>
          <w:rFonts w:ascii="仿宋" w:hAnsi="仿宋" w:eastAsia="仿宋"/>
          <w:color w:val="auto"/>
          <w:highlight w:val="none"/>
        </w:rPr>
      </w:pPr>
      <w:r>
        <w:rPr>
          <w:rFonts w:hint="eastAsia" w:ascii="仿宋" w:hAnsi="仿宋" w:eastAsia="仿宋" w:cs="仿宋_GB2312"/>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7"/>
        <w:snapToGrid w:val="0"/>
        <w:spacing w:line="312"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8.无效投标的情形</w:t>
      </w:r>
    </w:p>
    <w:p>
      <w:pPr>
        <w:tabs>
          <w:tab w:val="left" w:pos="4085"/>
        </w:tabs>
        <w:snapToGrid w:val="0"/>
        <w:spacing w:line="312"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投标文件有下列情形之一的作无效投标处理：</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8.1未按照招标文件规定要求签署、盖章的；</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8.2单位负责人为同一人或者存在直接控股、管理关系的不同供应商参加同一合同项下的政府采购活动的（均无效）；</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 xml:space="preserve">8.3为采购项目提供整体设计、规范编制或者项目管理、监理、检测等服务的供应商参加该采购项目的其他采购活动的； </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8.4</w:t>
      </w:r>
      <w:r>
        <w:rPr>
          <w:rFonts w:hint="eastAsia" w:ascii="仿宋_GB2312" w:hAnsi="宋体" w:eastAsia="仿宋_GB2312"/>
          <w:b/>
          <w:color w:val="auto"/>
          <w:sz w:val="24"/>
          <w:highlight w:val="none"/>
        </w:rPr>
        <w:t>投标人未提供招标文件中规定的基本资格条件书面承诺函的，或投标人未提供有效的特定资格证明文件的，视为投标人不具备招标文件中规定的资格要求</w:t>
      </w:r>
      <w:r>
        <w:rPr>
          <w:rFonts w:hint="eastAsia" w:ascii="仿宋" w:hAnsi="仿宋" w:eastAsia="仿宋"/>
          <w:b/>
          <w:color w:val="auto"/>
          <w:sz w:val="24"/>
          <w:highlight w:val="none"/>
        </w:rPr>
        <w:t>；</w:t>
      </w:r>
    </w:p>
    <w:p>
      <w:pPr>
        <w:snapToGrid w:val="0"/>
        <w:spacing w:line="312" w:lineRule="auto"/>
        <w:jc w:val="left"/>
        <w:rPr>
          <w:rFonts w:ascii="仿宋" w:hAnsi="仿宋" w:eastAsia="仿宋"/>
          <w:b/>
          <w:color w:val="auto"/>
          <w:sz w:val="24"/>
          <w:highlight w:val="none"/>
        </w:rPr>
      </w:pPr>
      <w:r>
        <w:rPr>
          <w:rFonts w:hint="eastAsia" w:ascii="仿宋" w:hAnsi="仿宋" w:eastAsia="仿宋"/>
          <w:b/>
          <w:color w:val="auto"/>
          <w:kern w:val="0"/>
          <w:sz w:val="24"/>
          <w:highlight w:val="none"/>
        </w:rPr>
        <w:t>8.5《法定代表人身份证明书》与提供的身份证复印件信息不符的；《法定代表人授权委托书》与提供的身份证复印件信息不符的；</w:t>
      </w:r>
    </w:p>
    <w:p>
      <w:pPr>
        <w:snapToGrid w:val="0"/>
        <w:spacing w:line="312" w:lineRule="auto"/>
        <w:jc w:val="left"/>
        <w:rPr>
          <w:rFonts w:ascii="仿宋" w:hAnsi="仿宋" w:eastAsia="仿宋"/>
          <w:b/>
          <w:color w:val="auto"/>
          <w:kern w:val="0"/>
          <w:sz w:val="24"/>
          <w:highlight w:val="none"/>
        </w:rPr>
      </w:pPr>
      <w:r>
        <w:rPr>
          <w:rFonts w:hint="eastAsia" w:ascii="仿宋" w:hAnsi="仿宋" w:eastAsia="仿宋"/>
          <w:b/>
          <w:color w:val="auto"/>
          <w:kern w:val="0"/>
          <w:sz w:val="24"/>
          <w:highlight w:val="none"/>
        </w:rPr>
        <w:t>8.6《法定代表人授权委托书》或《法定代表人身份证明书》填写不全、错误、未加盖公章(《法定代表人授权委托书》要求“盖章”和“签字或盖章”缺一不可）的；</w:t>
      </w:r>
    </w:p>
    <w:p>
      <w:pPr>
        <w:snapToGrid w:val="0"/>
        <w:spacing w:line="312" w:lineRule="auto"/>
        <w:jc w:val="left"/>
        <w:rPr>
          <w:rFonts w:ascii="仿宋" w:hAnsi="仿宋" w:eastAsia="仿宋"/>
          <w:b/>
          <w:color w:val="auto"/>
          <w:kern w:val="0"/>
          <w:sz w:val="24"/>
          <w:highlight w:val="none"/>
        </w:rPr>
      </w:pPr>
      <w:r>
        <w:rPr>
          <w:rFonts w:hint="eastAsia" w:ascii="仿宋" w:hAnsi="仿宋" w:eastAsia="仿宋"/>
          <w:b/>
          <w:color w:val="auto"/>
          <w:kern w:val="0"/>
          <w:sz w:val="24"/>
          <w:highlight w:val="none"/>
        </w:rPr>
        <w:t>8.7授权代表非投标单位正式职工的（以</w:t>
      </w:r>
      <w:r>
        <w:rPr>
          <w:rFonts w:ascii="仿宋" w:hAnsi="仿宋" w:eastAsia="仿宋"/>
          <w:b/>
          <w:color w:val="auto"/>
          <w:kern w:val="0"/>
          <w:sz w:val="24"/>
          <w:highlight w:val="none"/>
        </w:rPr>
        <w:t>社保证明</w:t>
      </w:r>
      <w:r>
        <w:rPr>
          <w:rFonts w:hint="eastAsia" w:ascii="仿宋" w:hAnsi="仿宋" w:eastAsia="仿宋"/>
          <w:b/>
          <w:color w:val="auto"/>
          <w:kern w:val="0"/>
          <w:sz w:val="24"/>
          <w:highlight w:val="none"/>
        </w:rPr>
        <w:t>为准，如授权代表为</w:t>
      </w:r>
      <w:r>
        <w:rPr>
          <w:rFonts w:ascii="仿宋" w:hAnsi="仿宋" w:eastAsia="仿宋"/>
          <w:b/>
          <w:color w:val="auto"/>
          <w:kern w:val="0"/>
          <w:sz w:val="24"/>
          <w:highlight w:val="none"/>
        </w:rPr>
        <w:t>离退休返聘人员的，</w:t>
      </w:r>
      <w:r>
        <w:rPr>
          <w:rFonts w:hint="eastAsia" w:ascii="仿宋" w:hAnsi="仿宋" w:eastAsia="仿宋"/>
          <w:b/>
          <w:color w:val="auto"/>
          <w:kern w:val="0"/>
          <w:sz w:val="24"/>
          <w:highlight w:val="none"/>
        </w:rPr>
        <w:t>需提供</w:t>
      </w:r>
      <w:r>
        <w:rPr>
          <w:rFonts w:ascii="仿宋" w:hAnsi="仿宋" w:eastAsia="仿宋"/>
          <w:b/>
          <w:color w:val="auto"/>
          <w:kern w:val="0"/>
          <w:sz w:val="24"/>
          <w:highlight w:val="none"/>
        </w:rPr>
        <w:t>退休证明及单位聘用证明</w:t>
      </w:r>
      <w:r>
        <w:rPr>
          <w:rFonts w:hint="eastAsia" w:ascii="仿宋" w:hAnsi="仿宋" w:eastAsia="仿宋"/>
          <w:b/>
          <w:color w:val="auto"/>
          <w:kern w:val="0"/>
          <w:sz w:val="24"/>
          <w:highlight w:val="none"/>
        </w:rPr>
        <w:t>）</w:t>
      </w:r>
      <w:r>
        <w:rPr>
          <w:rFonts w:hint="eastAsia" w:ascii="仿宋_GB2312" w:hAnsi="宋体" w:eastAsia="仿宋_GB2312"/>
          <w:b/>
          <w:color w:val="auto"/>
          <w:kern w:val="0"/>
          <w:sz w:val="24"/>
          <w:highlight w:val="none"/>
        </w:rPr>
        <w:t>，法定代表人及个体工商户除外</w:t>
      </w:r>
      <w:r>
        <w:rPr>
          <w:rFonts w:hint="eastAsia" w:ascii="仿宋" w:hAnsi="仿宋" w:eastAsia="仿宋"/>
          <w:b/>
          <w:color w:val="auto"/>
          <w:kern w:val="0"/>
          <w:sz w:val="24"/>
          <w:highlight w:val="none"/>
        </w:rPr>
        <w:t>；</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8.8投标文件中的投标函</w:t>
      </w:r>
      <w:r>
        <w:rPr>
          <w:rFonts w:hint="eastAsia" w:ascii="仿宋_GB2312" w:hAnsi="宋体" w:eastAsia="仿宋_GB2312"/>
          <w:b/>
          <w:color w:val="auto"/>
          <w:sz w:val="24"/>
          <w:highlight w:val="none"/>
        </w:rPr>
        <w:t>无投标人的电子签章或填写不全的</w:t>
      </w:r>
      <w:r>
        <w:rPr>
          <w:rFonts w:hint="eastAsia" w:ascii="仿宋" w:hAnsi="仿宋" w:eastAsia="仿宋"/>
          <w:b/>
          <w:color w:val="auto"/>
          <w:sz w:val="24"/>
          <w:highlight w:val="none"/>
        </w:rPr>
        <w:t>；</w:t>
      </w:r>
    </w:p>
    <w:p>
      <w:pPr>
        <w:tabs>
          <w:tab w:val="left" w:pos="3870"/>
          <w:tab w:val="left" w:pos="4085"/>
        </w:tabs>
        <w:snapToGrid w:val="0"/>
        <w:spacing w:line="312" w:lineRule="auto"/>
        <w:jc w:val="left"/>
        <w:rPr>
          <w:rFonts w:ascii="仿宋" w:hAnsi="仿宋" w:eastAsia="仿宋"/>
          <w:b/>
          <w:color w:val="auto"/>
          <w:kern w:val="0"/>
          <w:sz w:val="24"/>
          <w:highlight w:val="none"/>
        </w:rPr>
      </w:pPr>
      <w:r>
        <w:rPr>
          <w:rFonts w:hint="eastAsia" w:ascii="仿宋" w:hAnsi="仿宋" w:eastAsia="仿宋"/>
          <w:b/>
          <w:color w:val="auto"/>
          <w:kern w:val="0"/>
          <w:sz w:val="24"/>
          <w:highlight w:val="none"/>
        </w:rPr>
        <w:t>8.9报</w:t>
      </w:r>
      <w:r>
        <w:rPr>
          <w:rFonts w:hint="eastAsia" w:ascii="仿宋" w:hAnsi="仿宋" w:eastAsia="仿宋"/>
          <w:b/>
          <w:color w:val="auto"/>
          <w:sz w:val="24"/>
          <w:highlight w:val="none"/>
        </w:rPr>
        <w:t>价一经涂改，未在涂改处加盖投标单位公章或者未经法定代表人或其授权代表签字或盖章的；</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b/>
          <w:color w:val="auto"/>
          <w:kern w:val="0"/>
          <w:sz w:val="24"/>
          <w:highlight w:val="none"/>
        </w:rPr>
        <w:t>8.10</w:t>
      </w:r>
      <w:r>
        <w:rPr>
          <w:rFonts w:hint="eastAsia" w:ascii="仿宋" w:hAnsi="仿宋" w:eastAsia="仿宋"/>
          <w:b/>
          <w:color w:val="auto"/>
          <w:sz w:val="24"/>
          <w:highlight w:val="none"/>
        </w:rPr>
        <w:t>未按招标文件规定的格式填写，或</w:t>
      </w:r>
      <w:r>
        <w:rPr>
          <w:rFonts w:hint="eastAsia" w:ascii="仿宋" w:hAnsi="仿宋" w:eastAsia="仿宋"/>
          <w:b/>
          <w:color w:val="auto"/>
          <w:sz w:val="24"/>
          <w:szCs w:val="20"/>
          <w:highlight w:val="none"/>
        </w:rPr>
        <w:t>对招标</w:t>
      </w:r>
      <w:r>
        <w:rPr>
          <w:rFonts w:hint="eastAsia" w:ascii="仿宋" w:hAnsi="仿宋" w:eastAsia="仿宋"/>
          <w:b/>
          <w:color w:val="auto"/>
          <w:sz w:val="24"/>
          <w:highlight w:val="none"/>
        </w:rPr>
        <w:t>服务或技术或产品等要求</w:t>
      </w:r>
      <w:r>
        <w:rPr>
          <w:rFonts w:hint="eastAsia" w:ascii="仿宋" w:hAnsi="仿宋" w:eastAsia="仿宋"/>
          <w:b/>
          <w:color w:val="auto"/>
          <w:sz w:val="24"/>
          <w:szCs w:val="20"/>
          <w:highlight w:val="none"/>
        </w:rPr>
        <w:t>未详细应答或应答</w:t>
      </w:r>
      <w:r>
        <w:rPr>
          <w:rFonts w:hint="eastAsia" w:ascii="仿宋" w:hAnsi="仿宋" w:eastAsia="仿宋"/>
          <w:b/>
          <w:color w:val="auto"/>
          <w:sz w:val="24"/>
          <w:highlight w:val="none"/>
        </w:rPr>
        <w:t>内容不全、有缺失的,经评标委员会认定为无法评审的；</w:t>
      </w:r>
    </w:p>
    <w:p>
      <w:pPr>
        <w:pStyle w:val="27"/>
        <w:snapToGrid w:val="0"/>
        <w:spacing w:line="312"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8.11出现同一标的物或本次招标产品(服务)内的主要产品(重要组成部分)出现</w:t>
      </w:r>
      <w:r>
        <w:rPr>
          <w:rFonts w:hint="eastAsia" w:ascii="仿宋" w:hAnsi="仿宋" w:eastAsia="仿宋"/>
          <w:b/>
          <w:color w:val="auto"/>
          <w:sz w:val="24"/>
          <w:highlight w:val="none"/>
        </w:rPr>
        <w:t>商务技术（资信）文件资料</w:t>
      </w:r>
      <w:r>
        <w:rPr>
          <w:rFonts w:hint="eastAsia" w:ascii="仿宋" w:hAnsi="仿宋" w:eastAsia="仿宋"/>
          <w:b/>
          <w:color w:val="auto"/>
          <w:sz w:val="24"/>
          <w:szCs w:val="24"/>
          <w:highlight w:val="none"/>
        </w:rPr>
        <w:t>、</w:t>
      </w:r>
      <w:r>
        <w:rPr>
          <w:rFonts w:hint="eastAsia" w:ascii="仿宋" w:hAnsi="仿宋" w:eastAsia="仿宋"/>
          <w:b/>
          <w:color w:val="auto"/>
          <w:sz w:val="24"/>
          <w:highlight w:val="none"/>
        </w:rPr>
        <w:t>报价文件资料</w:t>
      </w:r>
      <w:r>
        <w:rPr>
          <w:rFonts w:hint="eastAsia" w:ascii="仿宋" w:hAnsi="仿宋" w:eastAsia="仿宋"/>
          <w:b/>
          <w:color w:val="auto"/>
          <w:sz w:val="24"/>
          <w:szCs w:val="24"/>
          <w:highlight w:val="none"/>
        </w:rPr>
        <w:t>描述不一致或前后描述不一致，经评标委员会认定后为无法评审的；</w:t>
      </w:r>
    </w:p>
    <w:p>
      <w:pPr>
        <w:pStyle w:val="27"/>
        <w:snapToGrid w:val="0"/>
        <w:spacing w:line="312"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8.12《技</w:t>
      </w:r>
      <w:r>
        <w:rPr>
          <w:rFonts w:hint="eastAsia" w:ascii="仿宋" w:hAnsi="仿宋" w:eastAsia="仿宋"/>
          <w:b/>
          <w:color w:val="auto"/>
          <w:sz w:val="24"/>
          <w:highlight w:val="none"/>
        </w:rPr>
        <w:t>术偏离说明表</w:t>
      </w:r>
      <w:r>
        <w:rPr>
          <w:rFonts w:hint="eastAsia" w:ascii="仿宋" w:hAnsi="仿宋" w:eastAsia="仿宋"/>
          <w:b/>
          <w:color w:val="auto"/>
          <w:sz w:val="24"/>
          <w:szCs w:val="24"/>
          <w:highlight w:val="none"/>
        </w:rPr>
        <w:t>》</w:t>
      </w:r>
      <w:r>
        <w:rPr>
          <w:rFonts w:hint="eastAsia" w:ascii="仿宋" w:hAnsi="仿宋" w:eastAsia="仿宋"/>
          <w:b/>
          <w:color w:val="auto"/>
          <w:sz w:val="24"/>
          <w:highlight w:val="none"/>
        </w:rPr>
        <w:t>不真实填写或弄虚作假的；</w:t>
      </w:r>
    </w:p>
    <w:p>
      <w:pPr>
        <w:tabs>
          <w:tab w:val="left" w:pos="3870"/>
          <w:tab w:val="left" w:pos="4085"/>
        </w:tabs>
        <w:snapToGrid w:val="0"/>
        <w:spacing w:line="312" w:lineRule="auto"/>
        <w:jc w:val="left"/>
        <w:rPr>
          <w:rFonts w:ascii="仿宋" w:hAnsi="仿宋" w:eastAsia="仿宋"/>
          <w:b/>
          <w:color w:val="auto"/>
          <w:kern w:val="0"/>
          <w:sz w:val="24"/>
          <w:highlight w:val="none"/>
        </w:rPr>
      </w:pPr>
      <w:r>
        <w:rPr>
          <w:rFonts w:hint="eastAsia" w:ascii="仿宋" w:hAnsi="仿宋" w:eastAsia="仿宋"/>
          <w:b/>
          <w:color w:val="auto"/>
          <w:sz w:val="24"/>
          <w:highlight w:val="none"/>
        </w:rPr>
        <w:t>8.13投</w:t>
      </w:r>
      <w:r>
        <w:rPr>
          <w:rFonts w:hint="eastAsia" w:ascii="仿宋" w:hAnsi="仿宋" w:eastAsia="仿宋"/>
          <w:b/>
          <w:color w:val="auto"/>
          <w:kern w:val="0"/>
          <w:sz w:val="24"/>
          <w:highlight w:val="none"/>
        </w:rPr>
        <w:t>标文件含有采购人不能接受的附加条件；</w:t>
      </w:r>
    </w:p>
    <w:p>
      <w:pPr>
        <w:tabs>
          <w:tab w:val="left" w:pos="3870"/>
          <w:tab w:val="left" w:pos="4085"/>
        </w:tabs>
        <w:snapToGrid w:val="0"/>
        <w:spacing w:line="312" w:lineRule="auto"/>
        <w:jc w:val="left"/>
        <w:rPr>
          <w:rFonts w:ascii="仿宋" w:hAnsi="仿宋" w:eastAsia="仿宋"/>
          <w:b/>
          <w:color w:val="auto"/>
          <w:kern w:val="0"/>
          <w:sz w:val="24"/>
          <w:highlight w:val="none"/>
        </w:rPr>
      </w:pPr>
      <w:r>
        <w:rPr>
          <w:rFonts w:hint="eastAsia" w:ascii="仿宋" w:hAnsi="仿宋" w:eastAsia="仿宋"/>
          <w:b/>
          <w:color w:val="auto"/>
          <w:kern w:val="0"/>
          <w:sz w:val="24"/>
          <w:highlight w:val="none"/>
        </w:rPr>
        <w:t>8.14评</w:t>
      </w:r>
      <w:r>
        <w:rPr>
          <w:rFonts w:hint="eastAsia" w:ascii="仿宋" w:hAnsi="仿宋" w:eastAsia="仿宋"/>
          <w:b/>
          <w:color w:val="auto"/>
          <w:sz w:val="24"/>
          <w:highlight w:val="none"/>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8.15报价超过招标文件中规定的预算金额或最高限价的；</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8.16投标文件“商务技术（资信）文件资料”部分中出现《开标一览表》相关内容的；</w:t>
      </w:r>
    </w:p>
    <w:p>
      <w:pPr>
        <w:tabs>
          <w:tab w:val="left" w:pos="3870"/>
          <w:tab w:val="left" w:pos="4085"/>
        </w:tabs>
        <w:snapToGrid w:val="0"/>
        <w:spacing w:line="312" w:lineRule="auto"/>
        <w:jc w:val="left"/>
        <w:rPr>
          <w:rFonts w:ascii="仿宋" w:hAnsi="仿宋" w:eastAsia="仿宋" w:cs="仿宋_GB2312"/>
          <w:b/>
          <w:color w:val="auto"/>
          <w:sz w:val="24"/>
          <w:szCs w:val="21"/>
          <w:highlight w:val="none"/>
        </w:rPr>
      </w:pPr>
      <w:r>
        <w:rPr>
          <w:rFonts w:hint="eastAsia" w:ascii="仿宋" w:hAnsi="仿宋" w:eastAsia="仿宋" w:cs="仿宋_GB2312"/>
          <w:b/>
          <w:color w:val="auto"/>
          <w:sz w:val="24"/>
          <w:szCs w:val="21"/>
          <w:highlight w:val="none"/>
        </w:rPr>
        <w:t>8.17采</w:t>
      </w:r>
      <w:r>
        <w:rPr>
          <w:rFonts w:ascii="仿宋" w:hAnsi="仿宋" w:eastAsia="仿宋" w:cs="仿宋_GB2312"/>
          <w:b/>
          <w:color w:val="auto"/>
          <w:sz w:val="24"/>
          <w:szCs w:val="21"/>
          <w:highlight w:val="none"/>
        </w:rPr>
        <w:t>购人拟采购的产品属于</w:t>
      </w:r>
      <w:r>
        <w:rPr>
          <w:rFonts w:hint="eastAsia" w:ascii="仿宋" w:hAnsi="仿宋" w:eastAsia="仿宋" w:cs="仿宋_GB2312"/>
          <w:b/>
          <w:color w:val="auto"/>
          <w:sz w:val="24"/>
          <w:szCs w:val="21"/>
          <w:highlight w:val="none"/>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8.18《开标一览表》填写不完整或字迹不能辨认或有漏项的，经评标委员会认定属于重大偏差的；</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8.19投标人对根据修正原则修正后的报价不确认的；</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8.20投标人提供虚假材料投标的（包括但不限于以下情节）；</w:t>
      </w:r>
    </w:p>
    <w:p>
      <w:pPr>
        <w:tabs>
          <w:tab w:val="left" w:pos="3870"/>
          <w:tab w:val="left" w:pos="4085"/>
        </w:tabs>
        <w:snapToGrid w:val="0"/>
        <w:spacing w:line="312"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8.20.1使用伪造、变造的许可证件；</w:t>
      </w:r>
    </w:p>
    <w:p>
      <w:pPr>
        <w:tabs>
          <w:tab w:val="left" w:pos="3870"/>
          <w:tab w:val="left" w:pos="4085"/>
        </w:tabs>
        <w:snapToGrid w:val="0"/>
        <w:spacing w:line="312"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8.20.2提供虚假的财务状况或者业绩；</w:t>
      </w:r>
    </w:p>
    <w:p>
      <w:pPr>
        <w:tabs>
          <w:tab w:val="left" w:pos="3870"/>
          <w:tab w:val="left" w:pos="4085"/>
        </w:tabs>
        <w:snapToGrid w:val="0"/>
        <w:spacing w:line="312"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8.20.3提供虚假的项目负责人或者主要技术人员简历、劳动关系证明；</w:t>
      </w:r>
    </w:p>
    <w:p>
      <w:pPr>
        <w:tabs>
          <w:tab w:val="left" w:pos="3870"/>
          <w:tab w:val="left" w:pos="4085"/>
        </w:tabs>
        <w:snapToGrid w:val="0"/>
        <w:spacing w:line="312"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8.20.4提供虚假的信用状况；</w:t>
      </w:r>
    </w:p>
    <w:p>
      <w:pPr>
        <w:tabs>
          <w:tab w:val="left" w:pos="3870"/>
          <w:tab w:val="left" w:pos="4085"/>
        </w:tabs>
        <w:snapToGrid w:val="0"/>
        <w:spacing w:line="312"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8.20.5其他弄虚作假的行为。</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8.21下列情形之一的，视为投标人串通投标，其投标无效：</w:t>
      </w:r>
    </w:p>
    <w:p>
      <w:pPr>
        <w:tabs>
          <w:tab w:val="left" w:pos="3870"/>
          <w:tab w:val="left" w:pos="4085"/>
        </w:tabs>
        <w:snapToGrid w:val="0"/>
        <w:spacing w:line="312" w:lineRule="auto"/>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8.21.1不同投标人的投标文件由同一单位或者个人编制；</w:t>
      </w:r>
    </w:p>
    <w:p>
      <w:pPr>
        <w:tabs>
          <w:tab w:val="left" w:pos="3870"/>
          <w:tab w:val="left" w:pos="4085"/>
        </w:tabs>
        <w:snapToGrid w:val="0"/>
        <w:spacing w:line="312" w:lineRule="auto"/>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8.21.2不同投标人委托同一单位或者个人办理投标事宜；</w:t>
      </w:r>
    </w:p>
    <w:p>
      <w:pPr>
        <w:tabs>
          <w:tab w:val="left" w:pos="3870"/>
          <w:tab w:val="left" w:pos="4085"/>
        </w:tabs>
        <w:snapToGrid w:val="0"/>
        <w:spacing w:line="312" w:lineRule="auto"/>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8.21.3不同投标人的投标文件载明的项目管理成员或者联系人员为同一人；</w:t>
      </w:r>
    </w:p>
    <w:p>
      <w:pPr>
        <w:tabs>
          <w:tab w:val="left" w:pos="3870"/>
          <w:tab w:val="left" w:pos="4085"/>
        </w:tabs>
        <w:snapToGrid w:val="0"/>
        <w:spacing w:line="312" w:lineRule="auto"/>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8.21.4不同投标人的投标文件异常一致或者投标报价呈规律性差异；</w:t>
      </w:r>
    </w:p>
    <w:p>
      <w:pPr>
        <w:tabs>
          <w:tab w:val="left" w:pos="3870"/>
          <w:tab w:val="left" w:pos="4085"/>
        </w:tabs>
        <w:snapToGrid w:val="0"/>
        <w:spacing w:line="312" w:lineRule="auto"/>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8.21.5不同投标人的投标文件相互混装；</w:t>
      </w:r>
    </w:p>
    <w:p>
      <w:pPr>
        <w:tabs>
          <w:tab w:val="left" w:pos="3870"/>
          <w:tab w:val="left" w:pos="4085"/>
        </w:tabs>
        <w:snapToGrid w:val="0"/>
        <w:spacing w:line="312" w:lineRule="auto"/>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8.21.6</w:t>
      </w:r>
      <w:r>
        <w:rPr>
          <w:rFonts w:hint="eastAsia" w:ascii="仿宋_GB2312" w:hAnsi="宋体" w:eastAsia="仿宋_GB2312"/>
          <w:color w:val="auto"/>
          <w:sz w:val="24"/>
          <w:highlight w:val="none"/>
        </w:rPr>
        <w:t>有二份及二份以上投标文件的相互之间有特别相同或相似之处，且经询标澄清投标人无令人信服的理由和可靠证据证明其合理性的，经评标委员会半数以上成员确认有串通投标嫌疑的</w:t>
      </w:r>
      <w:r>
        <w:rPr>
          <w:rFonts w:hint="eastAsia" w:ascii="仿宋" w:hAnsi="仿宋" w:eastAsia="仿宋"/>
          <w:color w:val="auto"/>
          <w:sz w:val="24"/>
          <w:highlight w:val="none"/>
        </w:rPr>
        <w:t>；</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8.22有下列情形之一的，属于恶意串通，其投标无效：</w:t>
      </w:r>
    </w:p>
    <w:p>
      <w:pPr>
        <w:spacing w:line="312"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8.22.1</w:t>
      </w:r>
      <w:r>
        <w:rPr>
          <w:rFonts w:hint="eastAsia" w:ascii="仿宋" w:hAnsi="仿宋" w:eastAsia="仿宋" w:cs="仿宋_GB2312"/>
          <w:color w:val="auto"/>
          <w:sz w:val="24"/>
          <w:highlight w:val="none"/>
        </w:rPr>
        <w:t>供应商直接或者间接从采购人或者采购机构处获得其他供应商的相关情况并修改其投标文件或者响应文件；</w:t>
      </w:r>
    </w:p>
    <w:p>
      <w:pPr>
        <w:spacing w:line="312"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8.22.2供应商按照采购人或者采购机构的授意撤换、修改投标文件或者响应文件；</w:t>
      </w:r>
    </w:p>
    <w:p>
      <w:pPr>
        <w:spacing w:line="312"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8.22.3供应商之间协商报价、技术方案等投标文件或者响应文件的实质性内容；</w:t>
      </w:r>
    </w:p>
    <w:p>
      <w:pPr>
        <w:spacing w:line="312"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8.22.4属于同一集团、协会、商会等组织成员的供应商按照该组织要求协同参加政府采购活动；</w:t>
      </w:r>
    </w:p>
    <w:p>
      <w:pPr>
        <w:spacing w:line="312"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8.22.5供应商之间事先约定由某一特定供应商中标、成交；</w:t>
      </w:r>
    </w:p>
    <w:p>
      <w:pPr>
        <w:spacing w:line="312"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8.22.6供应商之间商定部分供应商放弃参加政府采购活动或者放弃中标、成交；</w:t>
      </w:r>
    </w:p>
    <w:p>
      <w:pPr>
        <w:tabs>
          <w:tab w:val="left" w:pos="3870"/>
          <w:tab w:val="left" w:pos="4085"/>
        </w:tabs>
        <w:snapToGrid w:val="0"/>
        <w:spacing w:line="312" w:lineRule="auto"/>
        <w:ind w:firstLine="480" w:firstLineChars="200"/>
        <w:jc w:val="left"/>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8.22.7供应商与采购人或者采购机构之间、供应商相互之间，为谋求特定供应商中标、成交或者排斥其他供应商的其他串通行为。</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cs="仿宋_GB2312"/>
          <w:b/>
          <w:color w:val="auto"/>
          <w:sz w:val="24"/>
          <w:szCs w:val="21"/>
          <w:highlight w:val="none"/>
        </w:rPr>
        <w:t>8.23</w:t>
      </w:r>
      <w:r>
        <w:rPr>
          <w:rFonts w:hint="eastAsia" w:ascii="仿宋" w:hAnsi="仿宋" w:eastAsia="仿宋"/>
          <w:b/>
          <w:color w:val="auto"/>
          <w:sz w:val="24"/>
          <w:highlight w:val="none"/>
        </w:rPr>
        <w:t>评标委员会认定有重大偏差或实质性不响应招标文件要求的；</w:t>
      </w:r>
    </w:p>
    <w:p>
      <w:pPr>
        <w:tabs>
          <w:tab w:val="left" w:pos="3870"/>
          <w:tab w:val="left" w:pos="4085"/>
        </w:tabs>
        <w:snapToGrid w:val="0"/>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8.24报价文件中出现</w:t>
      </w:r>
      <w:r>
        <w:rPr>
          <w:rFonts w:hint="eastAsia" w:ascii="仿宋_GB2312" w:hAnsi="宋体" w:eastAsia="仿宋_GB2312"/>
          <w:b/>
          <w:color w:val="auto"/>
          <w:sz w:val="24"/>
          <w:highlight w:val="none"/>
        </w:rPr>
        <w:t>不是唯一的、有选择性投标报价的</w:t>
      </w:r>
      <w:r>
        <w:rPr>
          <w:rFonts w:hint="eastAsia" w:ascii="仿宋" w:hAnsi="仿宋" w:eastAsia="仿宋"/>
          <w:b/>
          <w:color w:val="auto"/>
          <w:sz w:val="24"/>
          <w:highlight w:val="none"/>
        </w:rPr>
        <w:t>；</w:t>
      </w:r>
    </w:p>
    <w:p>
      <w:pPr>
        <w:spacing w:line="312" w:lineRule="auto"/>
        <w:rPr>
          <w:rFonts w:ascii="仿宋" w:hAnsi="仿宋" w:eastAsia="仿宋"/>
          <w:color w:val="auto"/>
          <w:highlight w:val="none"/>
        </w:rPr>
      </w:pPr>
      <w:r>
        <w:rPr>
          <w:rFonts w:hint="eastAsia" w:ascii="仿宋" w:hAnsi="仿宋" w:eastAsia="仿宋"/>
          <w:b/>
          <w:color w:val="auto"/>
          <w:sz w:val="24"/>
          <w:highlight w:val="none"/>
        </w:rPr>
        <w:t>8.25其他违反法律、法规的情形。</w:t>
      </w:r>
    </w:p>
    <w:p>
      <w:pPr>
        <w:snapToGrid w:val="0"/>
        <w:spacing w:line="312"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9.评标过程保密</w:t>
      </w:r>
    </w:p>
    <w:p>
      <w:pPr>
        <w:snapToGrid w:val="0"/>
        <w:spacing w:line="312" w:lineRule="auto"/>
        <w:rPr>
          <w:rFonts w:ascii="仿宋" w:hAnsi="仿宋" w:eastAsia="仿宋"/>
          <w:color w:val="auto"/>
          <w:kern w:val="0"/>
          <w:sz w:val="24"/>
          <w:highlight w:val="none"/>
        </w:rPr>
      </w:pPr>
      <w:r>
        <w:rPr>
          <w:rFonts w:hint="eastAsia" w:ascii="仿宋" w:hAnsi="仿宋" w:eastAsia="仿宋"/>
          <w:color w:val="auto"/>
          <w:kern w:val="0"/>
          <w:sz w:val="24"/>
          <w:highlight w:val="none"/>
        </w:rPr>
        <w:t>9.1</w:t>
      </w:r>
      <w:r>
        <w:rPr>
          <w:rFonts w:hint="eastAsia" w:ascii="仿宋" w:hAnsi="仿宋" w:eastAsia="仿宋" w:cs="仿宋_GB2312"/>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312" w:lineRule="auto"/>
        <w:rPr>
          <w:rFonts w:ascii="仿宋" w:hAnsi="仿宋" w:eastAsia="仿宋"/>
          <w:color w:val="auto"/>
          <w:kern w:val="0"/>
          <w:sz w:val="24"/>
          <w:highlight w:val="none"/>
        </w:rPr>
      </w:pPr>
      <w:r>
        <w:rPr>
          <w:rFonts w:hint="eastAsia" w:ascii="仿宋" w:hAnsi="仿宋" w:eastAsia="仿宋"/>
          <w:color w:val="auto"/>
          <w:kern w:val="0"/>
          <w:sz w:val="24"/>
          <w:highlight w:val="none"/>
        </w:rPr>
        <w:t>9.2 在评标期间，投标人企图影响招标人或</w:t>
      </w:r>
      <w:r>
        <w:rPr>
          <w:rFonts w:hint="eastAsia" w:ascii="仿宋" w:hAnsi="仿宋" w:eastAsia="仿宋"/>
          <w:color w:val="auto"/>
          <w:sz w:val="24"/>
          <w:highlight w:val="none"/>
        </w:rPr>
        <w:t>评标委员会</w:t>
      </w:r>
      <w:r>
        <w:rPr>
          <w:rFonts w:hint="eastAsia" w:ascii="仿宋" w:hAnsi="仿宋" w:eastAsia="仿宋"/>
          <w:color w:val="auto"/>
          <w:kern w:val="0"/>
          <w:sz w:val="24"/>
          <w:highlight w:val="none"/>
        </w:rPr>
        <w:t>的任何活动，都将导致投标被拒绝，并由其承担相应的法律责任。</w:t>
      </w:r>
    </w:p>
    <w:p>
      <w:pPr>
        <w:pStyle w:val="27"/>
        <w:spacing w:line="800" w:lineRule="exact"/>
        <w:ind w:firstLine="726"/>
        <w:jc w:val="center"/>
        <w:rPr>
          <w:rFonts w:ascii="仿宋" w:hAnsi="仿宋" w:eastAsia="仿宋"/>
          <w:b/>
          <w:color w:val="auto"/>
          <w:sz w:val="36"/>
          <w:szCs w:val="36"/>
          <w:highlight w:val="none"/>
        </w:rPr>
      </w:pPr>
      <w:bookmarkStart w:id="3" w:name="_Toc84325929"/>
      <w:bookmarkStart w:id="4" w:name="_Toc81372953"/>
      <w:bookmarkStart w:id="5" w:name="_Toc81372776"/>
      <w:r>
        <w:rPr>
          <w:rFonts w:hint="eastAsia" w:ascii="仿宋" w:hAnsi="仿宋" w:eastAsia="仿宋"/>
          <w:b/>
          <w:color w:val="auto"/>
          <w:sz w:val="36"/>
          <w:szCs w:val="36"/>
          <w:highlight w:val="none"/>
        </w:rPr>
        <w:t>五、授予合同</w:t>
      </w:r>
    </w:p>
    <w:p>
      <w:pPr>
        <w:pStyle w:val="16"/>
        <w:tabs>
          <w:tab w:val="clear" w:pos="454"/>
        </w:tabs>
        <w:spacing w:afterLines="0" w:line="312" w:lineRule="auto"/>
        <w:ind w:left="0" w:firstLine="0"/>
        <w:rPr>
          <w:rFonts w:ascii="仿宋" w:hAnsi="仿宋" w:eastAsia="仿宋"/>
          <w:b/>
          <w:color w:val="auto"/>
          <w:szCs w:val="24"/>
          <w:highlight w:val="none"/>
        </w:rPr>
      </w:pPr>
      <w:r>
        <w:rPr>
          <w:rFonts w:hint="eastAsia" w:ascii="仿宋" w:hAnsi="仿宋" w:eastAsia="仿宋"/>
          <w:b/>
          <w:color w:val="auto"/>
          <w:szCs w:val="24"/>
          <w:highlight w:val="none"/>
        </w:rPr>
        <w:t>1.中标条件</w:t>
      </w:r>
    </w:p>
    <w:p>
      <w:pPr>
        <w:pStyle w:val="16"/>
        <w:tabs>
          <w:tab w:val="clear" w:pos="454"/>
        </w:tabs>
        <w:spacing w:afterLines="0" w:line="312" w:lineRule="auto"/>
        <w:ind w:left="0" w:firstLine="0"/>
        <w:rPr>
          <w:rFonts w:ascii="仿宋" w:hAnsi="仿宋" w:eastAsia="仿宋"/>
          <w:color w:val="auto"/>
          <w:szCs w:val="24"/>
          <w:highlight w:val="none"/>
        </w:rPr>
      </w:pPr>
      <w:r>
        <w:rPr>
          <w:rFonts w:hint="eastAsia" w:ascii="仿宋" w:hAnsi="仿宋" w:eastAsia="仿宋"/>
          <w:color w:val="auto"/>
          <w:szCs w:val="24"/>
          <w:highlight w:val="none"/>
        </w:rPr>
        <w:t>1.1投标文件基本符合招标文件要求；</w:t>
      </w:r>
    </w:p>
    <w:p>
      <w:pPr>
        <w:pStyle w:val="16"/>
        <w:tabs>
          <w:tab w:val="clear" w:pos="454"/>
        </w:tabs>
        <w:spacing w:afterLines="0" w:line="312" w:lineRule="auto"/>
        <w:ind w:left="0" w:firstLine="0"/>
        <w:rPr>
          <w:rFonts w:ascii="仿宋" w:hAnsi="仿宋" w:eastAsia="仿宋"/>
          <w:color w:val="auto"/>
          <w:szCs w:val="24"/>
          <w:highlight w:val="none"/>
        </w:rPr>
      </w:pPr>
      <w:r>
        <w:rPr>
          <w:rFonts w:hint="eastAsia" w:ascii="仿宋" w:hAnsi="仿宋" w:eastAsia="仿宋"/>
          <w:color w:val="auto"/>
          <w:szCs w:val="24"/>
          <w:highlight w:val="none"/>
        </w:rPr>
        <w:t>1.2投标人有履行合同的能力；</w:t>
      </w:r>
    </w:p>
    <w:p>
      <w:pPr>
        <w:pStyle w:val="16"/>
        <w:tabs>
          <w:tab w:val="clear" w:pos="454"/>
        </w:tabs>
        <w:spacing w:afterLines="0" w:line="312" w:lineRule="auto"/>
        <w:ind w:left="0" w:firstLine="0"/>
        <w:rPr>
          <w:rFonts w:ascii="仿宋" w:hAnsi="仿宋" w:eastAsia="仿宋"/>
          <w:color w:val="auto"/>
          <w:szCs w:val="24"/>
          <w:highlight w:val="none"/>
        </w:rPr>
      </w:pPr>
      <w:r>
        <w:rPr>
          <w:rFonts w:hint="eastAsia" w:ascii="仿宋" w:hAnsi="仿宋" w:eastAsia="仿宋"/>
          <w:color w:val="auto"/>
          <w:szCs w:val="24"/>
          <w:highlight w:val="none"/>
        </w:rPr>
        <w:t>1.3实施方案最合理并对招标人最为有利，最大限度满足招标文件的要求；</w:t>
      </w:r>
    </w:p>
    <w:p>
      <w:pPr>
        <w:pStyle w:val="16"/>
        <w:tabs>
          <w:tab w:val="clear" w:pos="454"/>
        </w:tabs>
        <w:spacing w:afterLines="0" w:line="312" w:lineRule="auto"/>
        <w:ind w:left="0" w:firstLine="0"/>
        <w:rPr>
          <w:rFonts w:ascii="仿宋" w:hAnsi="仿宋" w:eastAsia="仿宋"/>
          <w:color w:val="auto"/>
          <w:szCs w:val="24"/>
          <w:highlight w:val="none"/>
        </w:rPr>
      </w:pPr>
      <w:r>
        <w:rPr>
          <w:rFonts w:hint="eastAsia" w:ascii="仿宋" w:hAnsi="仿宋" w:eastAsia="仿宋"/>
          <w:color w:val="auto"/>
          <w:szCs w:val="24"/>
          <w:highlight w:val="none"/>
        </w:rPr>
        <w:t>1.4投标人能够提供质量技术、商务经济占综合优势的系统及服务。</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1.5招标人将把中标通知书授予最佳投标者，但最低价不是中标的绝对保证。</w:t>
      </w:r>
    </w:p>
    <w:bookmarkEnd w:id="3"/>
    <w:bookmarkEnd w:id="4"/>
    <w:bookmarkEnd w:id="5"/>
    <w:p>
      <w:pPr>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2.中标确认</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2.1采购人应当自收到评标报告之日起５个工作日内，在评标报告确定的中标候选人名单中按顺序确定中标人。</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2.2采购人在收到评标报告5个工作日内未按评标报告推荐的中标候选人顺序确定中标人，视同按评标报告推荐的顺序确定的中标候选人为中标人。</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2.3采购人应在确认中标人前再次对资格条件和相关证件材料进一步查验核实。</w:t>
      </w:r>
    </w:p>
    <w:p>
      <w:pPr>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3.中标通知</w:t>
      </w:r>
    </w:p>
    <w:p>
      <w:pPr>
        <w:pStyle w:val="158"/>
        <w:tabs>
          <w:tab w:val="left" w:pos="0"/>
        </w:tabs>
        <w:spacing w:before="0" w:line="312" w:lineRule="auto"/>
        <w:ind w:firstLine="0" w:firstLineChars="0"/>
        <w:rPr>
          <w:rFonts w:ascii="仿宋" w:hAnsi="仿宋" w:eastAsia="仿宋"/>
          <w:color w:val="auto"/>
          <w:szCs w:val="24"/>
          <w:highlight w:val="none"/>
        </w:rPr>
      </w:pPr>
      <w:r>
        <w:rPr>
          <w:rFonts w:hint="eastAsia" w:ascii="仿宋" w:hAnsi="仿宋" w:eastAsia="仿宋"/>
          <w:color w:val="auto"/>
          <w:szCs w:val="24"/>
          <w:highlight w:val="none"/>
        </w:rPr>
        <w:t>3.1</w:t>
      </w:r>
      <w:r>
        <w:rPr>
          <w:rFonts w:hint="eastAsia" w:ascii="仿宋" w:hAnsi="仿宋" w:eastAsia="仿宋" w:cs="Helvetica"/>
          <w:color w:val="auto"/>
          <w:kern w:val="0"/>
          <w:highlight w:val="none"/>
        </w:rPr>
        <w:t>采购代理机构</w:t>
      </w:r>
      <w:r>
        <w:rPr>
          <w:rFonts w:hint="eastAsia" w:ascii="仿宋" w:hAnsi="仿宋" w:eastAsia="仿宋"/>
          <w:color w:val="auto"/>
          <w:highlight w:val="none"/>
        </w:rPr>
        <w:t>对中标结果在指定媒体</w:t>
      </w:r>
      <w:r>
        <w:rPr>
          <w:rFonts w:hint="eastAsia" w:ascii="仿宋" w:hAnsi="仿宋" w:eastAsia="仿宋" w:cs="Helvetica"/>
          <w:color w:val="auto"/>
          <w:kern w:val="0"/>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53"/>
          <w:rFonts w:hint="eastAsia" w:ascii="仿宋" w:hAnsi="仿宋" w:eastAsia="仿宋" w:cs="Helvetica"/>
          <w:color w:val="auto"/>
          <w:kern w:val="0"/>
          <w:highlight w:val="none"/>
        </w:rPr>
        <w:t>http://zfcg.czt.zj.gov.cn/</w:t>
      </w:r>
      <w:r>
        <w:rPr>
          <w:rStyle w:val="53"/>
          <w:rFonts w:hint="eastAsia" w:ascii="仿宋" w:hAnsi="仿宋" w:eastAsia="仿宋" w:cs="Helvetica"/>
          <w:color w:val="auto"/>
          <w:kern w:val="0"/>
          <w:highlight w:val="none"/>
        </w:rPr>
        <w:fldChar w:fldCharType="end"/>
      </w:r>
      <w:r>
        <w:rPr>
          <w:rFonts w:hint="eastAsia" w:ascii="仿宋" w:hAnsi="仿宋" w:eastAsia="仿宋" w:cs="Helvetica"/>
          <w:color w:val="auto"/>
          <w:kern w:val="0"/>
          <w:highlight w:val="none"/>
        </w:rPr>
        <w:t>、绍兴公共资源交易网</w:t>
      </w:r>
      <w:r>
        <w:rPr>
          <w:color w:val="auto"/>
          <w:highlight w:val="none"/>
        </w:rPr>
        <w:fldChar w:fldCharType="begin"/>
      </w:r>
      <w:r>
        <w:rPr>
          <w:color w:val="auto"/>
          <w:highlight w:val="none"/>
        </w:rPr>
        <w:instrText xml:space="preserve"> HYPERLINK "http://ggb.sx.gov.cn" </w:instrText>
      </w:r>
      <w:r>
        <w:rPr>
          <w:color w:val="auto"/>
          <w:highlight w:val="none"/>
        </w:rPr>
        <w:fldChar w:fldCharType="separate"/>
      </w:r>
      <w:r>
        <w:rPr>
          <w:rStyle w:val="53"/>
          <w:rFonts w:hint="eastAsia" w:ascii="仿宋" w:hAnsi="仿宋" w:eastAsia="仿宋"/>
          <w:color w:val="auto"/>
          <w:highlight w:val="none"/>
        </w:rPr>
        <w:t>http://ggb.sx.gov.cn</w:t>
      </w:r>
      <w:r>
        <w:rPr>
          <w:rStyle w:val="53"/>
          <w:rFonts w:hint="eastAsia" w:ascii="仿宋" w:hAnsi="仿宋" w:eastAsia="仿宋"/>
          <w:color w:val="auto"/>
          <w:highlight w:val="none"/>
        </w:rPr>
        <w:fldChar w:fldCharType="end"/>
      </w:r>
      <w:r>
        <w:rPr>
          <w:rFonts w:hint="eastAsia" w:ascii="仿宋" w:hAnsi="仿宋" w:eastAsia="仿宋" w:cs="Helvetica"/>
          <w:color w:val="auto"/>
          <w:kern w:val="0"/>
          <w:highlight w:val="none"/>
        </w:rPr>
        <w:t>）发布中标公告，中标公告期限为1个工作日。</w:t>
      </w:r>
    </w:p>
    <w:p>
      <w:pPr>
        <w:tabs>
          <w:tab w:val="left" w:pos="0"/>
        </w:tabs>
        <w:spacing w:line="312" w:lineRule="auto"/>
        <w:rPr>
          <w:rFonts w:ascii="仿宋" w:hAnsi="仿宋" w:eastAsia="仿宋" w:cs="仿宋_GB2312"/>
          <w:color w:val="auto"/>
          <w:kern w:val="0"/>
          <w:sz w:val="24"/>
          <w:highlight w:val="none"/>
          <w:lang w:val="zh-CN"/>
        </w:rPr>
      </w:pPr>
      <w:r>
        <w:rPr>
          <w:rFonts w:hint="eastAsia" w:ascii="仿宋" w:hAnsi="仿宋" w:eastAsia="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_GB2312"/>
          <w:color w:val="auto"/>
          <w:kern w:val="0"/>
          <w:sz w:val="24"/>
          <w:highlight w:val="none"/>
          <w:lang w:val="zh-CN"/>
        </w:rPr>
        <w:t>。</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3.3采购代理机构对中标结果不作任何说明和解释，也不回答任何提问。</w:t>
      </w:r>
    </w:p>
    <w:p>
      <w:pPr>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4.履约保证金</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4.1采购人在签订合同时，按合同法规定可向中标人收取不高于中标额的1.0％作为履约保证金，采购人不得以供应商事先提交履约保证金作为签订合同的条件。鼓励采购人根据项目特点、供应商诚信等情况免收履约保证金或降低缴纳比例。</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4.2供应商在履行完合同约定事项后，采购人应及时退还履约保证金。</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4.3供应商以银行、保险公司出具保函形式提交履约保证金的，采购人不得拒收。</w:t>
      </w:r>
    </w:p>
    <w:p>
      <w:pPr>
        <w:spacing w:line="312" w:lineRule="auto"/>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4.4政府采购货物和服务项目不得收取质量保证金。</w:t>
      </w:r>
    </w:p>
    <w:p>
      <w:pPr>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5.合同备案</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5.1中标人应当在中标通知书发出之日起30天内与采购人签订合同，自采购合同签订之日起</w:t>
      </w:r>
      <w:r>
        <w:rPr>
          <w:rFonts w:hint="eastAsia" w:ascii="仿宋" w:hAnsi="仿宋" w:eastAsia="仿宋"/>
          <w:b/>
          <w:color w:val="auto"/>
          <w:sz w:val="24"/>
          <w:highlight w:val="none"/>
        </w:rPr>
        <w:t>3个工作日内</w:t>
      </w:r>
      <w:r>
        <w:rPr>
          <w:rFonts w:hint="eastAsia" w:ascii="仿宋" w:hAnsi="仿宋" w:eastAsia="仿宋"/>
          <w:color w:val="auto"/>
          <w:sz w:val="24"/>
          <w:highlight w:val="none"/>
        </w:rPr>
        <w:t>，</w:t>
      </w:r>
      <w:r>
        <w:rPr>
          <w:rFonts w:hint="eastAsia" w:ascii="仿宋_GB2312" w:hAnsi="宋体" w:eastAsia="仿宋_GB2312"/>
          <w:color w:val="auto"/>
          <w:sz w:val="24"/>
          <w:highlight w:val="none"/>
        </w:rPr>
        <w:t>通过电子交易平台进行备案。</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5.2未领取中标通知书，采购双方自行签订的合同不予备案。</w:t>
      </w:r>
    </w:p>
    <w:p>
      <w:pPr>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6.验收</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6.2采购人可以邀请参加本项目的其他投标人或者第三方机构参与验收。参与验收的投标人或者第三方机构的意见作为验收书的参考资料一并存档。</w:t>
      </w:r>
    </w:p>
    <w:p>
      <w:pPr>
        <w:spacing w:line="312" w:lineRule="auto"/>
        <w:jc w:val="left"/>
        <w:rPr>
          <w:rFonts w:ascii="仿宋" w:hAnsi="仿宋" w:eastAsia="仿宋"/>
          <w:color w:val="auto"/>
          <w:sz w:val="24"/>
          <w:highlight w:val="none"/>
        </w:rPr>
      </w:pPr>
      <w:r>
        <w:rPr>
          <w:rFonts w:hint="eastAsia" w:ascii="仿宋" w:hAnsi="仿宋" w:eastAsia="仿宋"/>
          <w:color w:val="auto"/>
          <w:sz w:val="24"/>
          <w:highlight w:val="none"/>
        </w:rPr>
        <w:t>6.3 采购人负责加强对中标人的履约管理，并按照采购合同约定，及时向中标人支付采购资金。对于中标人违反采购合同约定的行为，采购人应当及时处理，依法追究其违约责任。</w:t>
      </w:r>
    </w:p>
    <w:p>
      <w:pPr>
        <w:spacing w:line="312" w:lineRule="auto"/>
        <w:jc w:val="left"/>
        <w:rPr>
          <w:rFonts w:ascii="仿宋" w:hAnsi="仿宋" w:eastAsia="仿宋"/>
          <w:b/>
          <w:color w:val="auto"/>
          <w:sz w:val="24"/>
          <w:highlight w:val="none"/>
        </w:rPr>
      </w:pPr>
      <w:r>
        <w:rPr>
          <w:rFonts w:hint="eastAsia" w:ascii="仿宋" w:hAnsi="仿宋" w:eastAsia="仿宋"/>
          <w:b/>
          <w:color w:val="auto"/>
          <w:sz w:val="24"/>
          <w:highlight w:val="none"/>
        </w:rPr>
        <w:t>7.售后服务考核</w:t>
      </w:r>
    </w:p>
    <w:p>
      <w:pPr>
        <w:spacing w:line="312"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312"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六、质疑与投诉</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12" w:lineRule="auto"/>
        <w:ind w:firstLine="472" w:firstLineChars="196"/>
        <w:jc w:val="left"/>
        <w:rPr>
          <w:rFonts w:ascii="仿宋" w:hAnsi="仿宋" w:eastAsia="仿宋" w:cs="微软雅黑"/>
          <w:b/>
          <w:color w:val="auto"/>
          <w:kern w:val="0"/>
          <w:sz w:val="24"/>
          <w:highlight w:val="none"/>
          <w:lang w:val="zh-CN"/>
        </w:rPr>
      </w:pPr>
      <w:r>
        <w:rPr>
          <w:rFonts w:hint="eastAsia" w:ascii="仿宋" w:hAnsi="仿宋" w:eastAsia="仿宋" w:cs="微软雅黑"/>
          <w:b/>
          <w:color w:val="auto"/>
          <w:kern w:val="0"/>
          <w:sz w:val="24"/>
          <w:highlight w:val="none"/>
          <w:lang w:val="zh-CN"/>
        </w:rPr>
        <w:t>1.供应商询问</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供应商对政府采购活动事项有疑问的，可以向采购机构提出询问，采购机构将对供应商依法提出的询问作出答复，但答复的内容不得涉及商业秘密。</w:t>
      </w:r>
    </w:p>
    <w:p>
      <w:pPr>
        <w:autoSpaceDE w:val="0"/>
        <w:autoSpaceDN w:val="0"/>
        <w:spacing w:line="312" w:lineRule="auto"/>
        <w:ind w:firstLine="472" w:firstLineChars="196"/>
        <w:jc w:val="left"/>
        <w:rPr>
          <w:rFonts w:ascii="仿宋" w:hAnsi="仿宋" w:eastAsia="仿宋" w:cs="微软雅黑"/>
          <w:b/>
          <w:color w:val="auto"/>
          <w:kern w:val="0"/>
          <w:sz w:val="24"/>
          <w:highlight w:val="none"/>
          <w:lang w:val="zh-CN"/>
        </w:rPr>
      </w:pPr>
      <w:r>
        <w:rPr>
          <w:rFonts w:hint="eastAsia" w:ascii="仿宋" w:hAnsi="仿宋" w:eastAsia="仿宋" w:cs="微软雅黑"/>
          <w:b/>
          <w:color w:val="auto"/>
          <w:kern w:val="0"/>
          <w:sz w:val="24"/>
          <w:highlight w:val="none"/>
          <w:lang w:val="zh-CN"/>
        </w:rPr>
        <w:t>2.供应商质疑</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（2）对采购过程提出质疑的，质疑期限为各采购程序环节结束之日起计算。</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（3）对采购结果提出质疑的，质疑期限自采购结果公告（包括公示、预公告、结果变更公告等）期限届满之日起计算。</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（4）供应商应在法定质疑期内一次性提出针对同一采购程序环节的质疑。</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3.供应商提出质疑应当提交质疑书和必要的证明材料，质疑书需一式三份，质疑书至少应包括下列主要内容：</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（1）质疑人的名称、地址、邮政编码、联系人、联系电话，以及被质疑人名称及联系方式；</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（2）被质疑采购项目名称、编号及采购内容；</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（3）具体、明确的质疑事项和与质疑事项相关的请求</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（4）事实依据；</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（5）必要的法律依据；</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（6）认为自己合法权益受到损害或可能受到损害的相关证据材料；</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（7）提出质疑的日期。</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（8）质疑书应当署名。质疑人为自然人的，应当由本人签字并附有效身份证明；质疑人为法人或其他组织的，应当由法定代表人或主要负责人签字（或盖章）并加盖单位公章。</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（9）质疑人因故不能自行办理质疑事项的，可以委托代理人办理质疑事宜，但应当向被质疑人提交授权委托书，并载明委托代理的具体权限和事项。</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（10）质疑人提供的相关材料中有外文资料的，应当将与质疑相关的外文资料完整、客观、真实地翻译为中文，并注明翻译人员姓名、工作单位、联系方式等信息。</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4.采购机构应当在收到供应商的书面质疑后七个工作日内作出答复，并以书面形式通知质疑供应商和其他与质疑处理结果有利害关系的政府采购当事人，但答复的内容不得涉及商业秘密。</w:t>
      </w:r>
    </w:p>
    <w:p>
      <w:pPr>
        <w:pStyle w:val="27"/>
        <w:spacing w:line="312"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5.询问或者质疑事项可能影响采购结果的，采购人应当暂停签订合同，已经签订合同的，应当中止履行合同。</w:t>
      </w:r>
    </w:p>
    <w:p>
      <w:pPr>
        <w:pStyle w:val="27"/>
        <w:spacing w:line="360" w:lineRule="auto"/>
        <w:ind w:firstLine="480" w:firstLineChars="200"/>
        <w:rPr>
          <w:rFonts w:ascii="仿宋_GB2312" w:hAnsi="仿宋" w:eastAsia="仿宋_GB2312"/>
          <w:color w:val="auto"/>
          <w:sz w:val="24"/>
          <w:highlight w:val="none"/>
        </w:rPr>
      </w:pPr>
      <w:r>
        <w:rPr>
          <w:rFonts w:hint="eastAsia" w:ascii="仿宋" w:hAnsi="仿宋" w:eastAsia="仿宋"/>
          <w:color w:val="auto"/>
          <w:sz w:val="24"/>
          <w:highlight w:val="none"/>
        </w:rPr>
        <w:t>6.</w:t>
      </w:r>
      <w:r>
        <w:rPr>
          <w:rFonts w:hint="eastAsia" w:ascii="仿宋_GB2312" w:hAnsi="宋体" w:eastAsia="仿宋_GB2312" w:cs="宋体"/>
          <w:color w:val="auto"/>
          <w:kern w:val="0"/>
          <w:sz w:val="24"/>
          <w:highlight w:val="none"/>
        </w:rPr>
        <w:t>质疑函范本、投诉书范本请到浙江政府采购网下载专区下载。</w:t>
      </w:r>
    </w:p>
    <w:p>
      <w:pPr>
        <w:pStyle w:val="27"/>
        <w:spacing w:line="312" w:lineRule="auto"/>
        <w:ind w:firstLine="480" w:firstLineChars="200"/>
        <w:rPr>
          <w:rFonts w:ascii="仿宋" w:hAnsi="仿宋" w:eastAsia="仿宋"/>
          <w:color w:val="auto"/>
          <w:sz w:val="24"/>
          <w:highlight w:val="none"/>
        </w:rPr>
      </w:pPr>
    </w:p>
    <w:p>
      <w:pPr>
        <w:pageBreakBefore/>
        <w:snapToGrid w:val="0"/>
        <w:spacing w:line="800" w:lineRule="exact"/>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第三部分 招标项目范围及要求</w:t>
      </w:r>
    </w:p>
    <w:p>
      <w:pPr>
        <w:spacing w:line="420" w:lineRule="exact"/>
        <w:rPr>
          <w:rFonts w:ascii="仿宋" w:hAnsi="仿宋" w:eastAsia="仿宋" w:cs="仿宋"/>
          <w:b/>
          <w:bCs/>
          <w:color w:val="auto"/>
          <w:sz w:val="24"/>
          <w:highlight w:val="none"/>
        </w:rPr>
      </w:pPr>
    </w:p>
    <w:p>
      <w:pPr>
        <w:spacing w:line="312" w:lineRule="auto"/>
        <w:ind w:firstLine="480" w:firstLineChars="200"/>
        <w:rPr>
          <w:rFonts w:ascii="仿宋" w:hAnsi="仿宋" w:eastAsia="仿宋" w:cs="仿宋"/>
          <w:color w:val="auto"/>
          <w:sz w:val="24"/>
          <w:highlight w:val="none"/>
        </w:rPr>
      </w:pPr>
      <w:bookmarkStart w:id="6" w:name="_Toc81372964"/>
      <w:bookmarkStart w:id="7" w:name="_Toc81372787"/>
      <w:bookmarkStart w:id="8" w:name="_Toc80157775"/>
      <w:bookmarkStart w:id="9" w:name="_Toc84325981"/>
      <w:r>
        <w:rPr>
          <w:rFonts w:hint="eastAsia" w:ascii="仿宋" w:hAnsi="仿宋" w:eastAsia="仿宋" w:cs="仿宋"/>
          <w:color w:val="auto"/>
          <w:sz w:val="24"/>
          <w:highlight w:val="none"/>
        </w:rPr>
        <w:t>绍兴市国防动员办公室早期人防工程设备设施维护项目，主要包括坑、地道人防工程及配套口部房的电气、给排水、通风、除湿、消防等以及工程内的门、窗等设备设施维护。</w:t>
      </w:r>
    </w:p>
    <w:p>
      <w:pPr>
        <w:spacing w:line="312" w:lineRule="auto"/>
        <w:ind w:firstLine="482" w:firstLineChars="200"/>
        <w:rPr>
          <w:rFonts w:ascii="仿宋_GB2312" w:hAnsi="仿宋_GB2312" w:eastAsia="仿宋_GB2312" w:cs="仿宋_GB2312"/>
          <w:b/>
          <w:bCs/>
          <w:color w:val="auto"/>
          <w:kern w:val="0"/>
          <w:sz w:val="24"/>
          <w:highlight w:val="none"/>
          <w:shd w:val="clear" w:color="auto" w:fill="FFFFFF"/>
        </w:rPr>
      </w:pPr>
      <w:r>
        <w:rPr>
          <w:rFonts w:hint="eastAsia" w:ascii="仿宋" w:hAnsi="仿宋" w:eastAsia="仿宋" w:cs="仿宋"/>
          <w:b/>
          <w:bCs/>
          <w:color w:val="auto"/>
          <w:sz w:val="24"/>
          <w:highlight w:val="none"/>
        </w:rPr>
        <w:t>一、</w:t>
      </w:r>
      <w:r>
        <w:rPr>
          <w:rFonts w:hint="eastAsia" w:ascii="仿宋_GB2312" w:hAnsi="仿宋_GB2312" w:eastAsia="仿宋_GB2312" w:cs="仿宋_GB2312"/>
          <w:b/>
          <w:bCs/>
          <w:color w:val="auto"/>
          <w:kern w:val="0"/>
          <w:sz w:val="24"/>
          <w:highlight w:val="none"/>
          <w:shd w:val="clear" w:color="auto" w:fill="FFFFFF"/>
        </w:rPr>
        <w:t>维护内容：</w:t>
      </w:r>
    </w:p>
    <w:p>
      <w:pPr>
        <w:widowControl/>
        <w:spacing w:line="312" w:lineRule="auto"/>
        <w:ind w:firstLine="482" w:firstLineChars="200"/>
        <w:jc w:val="left"/>
        <w:rPr>
          <w:rFonts w:ascii="仿宋_GB2312" w:hAnsi="仿宋_GB2312" w:eastAsia="仿宋_GB2312" w:cs="仿宋_GB2312"/>
          <w:b/>
          <w:bCs/>
          <w:color w:val="auto"/>
          <w:kern w:val="0"/>
          <w:sz w:val="24"/>
          <w:highlight w:val="none"/>
          <w:shd w:val="clear" w:color="auto" w:fill="FFFFFF"/>
        </w:rPr>
      </w:pPr>
      <w:r>
        <w:rPr>
          <w:rFonts w:hint="eastAsia" w:ascii="仿宋_GB2312" w:hAnsi="仿宋_GB2312" w:eastAsia="仿宋_GB2312" w:cs="仿宋_GB2312"/>
          <w:b/>
          <w:bCs/>
          <w:color w:val="auto"/>
          <w:kern w:val="0"/>
          <w:sz w:val="24"/>
          <w:highlight w:val="none"/>
          <w:shd w:val="clear" w:color="auto" w:fill="FFFFFF"/>
        </w:rPr>
        <w:t>负责早期坑、地道人防工程（总长度约24km，总建筑面积约6.4万</w:t>
      </w:r>
      <w:r>
        <w:rPr>
          <w:rFonts w:hint="eastAsia" w:ascii="方正仿宋_GBK" w:hAnsi="方正仿宋_GBK" w:eastAsia="方正仿宋_GBK" w:cs="方正仿宋_GBK"/>
          <w:b/>
          <w:bCs/>
          <w:color w:val="auto"/>
          <w:kern w:val="0"/>
          <w:sz w:val="24"/>
          <w:highlight w:val="none"/>
          <w:shd w:val="clear" w:color="auto" w:fill="FFFFFF"/>
        </w:rPr>
        <w:t>㎡</w:t>
      </w:r>
      <w:r>
        <w:rPr>
          <w:rFonts w:hint="eastAsia" w:ascii="仿宋_GB2312" w:hAnsi="仿宋_GB2312" w:eastAsia="仿宋_GB2312" w:cs="仿宋_GB2312"/>
          <w:b/>
          <w:bCs/>
          <w:color w:val="auto"/>
          <w:kern w:val="0"/>
          <w:sz w:val="24"/>
          <w:highlight w:val="none"/>
          <w:shd w:val="clear" w:color="auto" w:fill="FFFFFF"/>
        </w:rPr>
        <w:t>）及配套口部房（共30处房产，总建筑面积约0.9万㎡）的电气、给排水、通风、除湿、消防等以及工程内的门、窗等设备设施维护，确保项目始终处于良好状态。</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（一）电气设备设施。对项目各类电气设备进行有效的维护与保养，确保使用正常，制订日常维护与保养计划与方案，并落实和记录，及时排查安全隐患。</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（二）给排水设备设施。对项目各类给排水设备设施进行有效维护与保养，确保使用正常，制订日常维护与保养计划与方案，并落实和记录，及时排查安全隐患。</w:t>
      </w:r>
    </w:p>
    <w:p>
      <w:pPr>
        <w:spacing w:line="312" w:lineRule="auto"/>
        <w:ind w:firstLine="480" w:firstLineChars="200"/>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（三）通风设备设施。对项目各类通风设备设施进行有效的维护与保养，确保使用正常，制订日常维护与保养计划与方案，并落实和记录，及时排查安全隐患。</w:t>
      </w:r>
    </w:p>
    <w:p>
      <w:pPr>
        <w:spacing w:line="312" w:lineRule="auto"/>
        <w:ind w:firstLine="480" w:firstLineChars="200"/>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（四）除湿设备设施。对项目各类除湿设备设施进行有效的维护与保养，确保使用正常，制订日常维护与保养计划与方案，并落实和记录，及时排查安全隐患。</w:t>
      </w:r>
    </w:p>
    <w:p>
      <w:pPr>
        <w:widowControl/>
        <w:spacing w:line="312" w:lineRule="auto"/>
        <w:ind w:firstLine="480" w:firstLineChars="200"/>
        <w:jc w:val="left"/>
        <w:rPr>
          <w:color w:val="auto"/>
          <w:highlight w:val="none"/>
        </w:rPr>
      </w:pPr>
      <w:r>
        <w:rPr>
          <w:rFonts w:hint="eastAsia" w:ascii="仿宋_GB2312" w:hAnsi="仿宋_GB2312" w:eastAsia="仿宋_GB2312" w:cs="仿宋_GB2312"/>
          <w:color w:val="auto"/>
          <w:kern w:val="0"/>
          <w:sz w:val="24"/>
          <w:highlight w:val="none"/>
          <w:shd w:val="clear" w:color="auto" w:fill="FFFFFF"/>
        </w:rPr>
        <w:t>（五）消防设备设施。对项目各类消防设备设施进行有效的维护与保养，确保使用正常，制订日常维护与保养计划与方案，并落实和记录，及时排查安全隐患。</w:t>
      </w:r>
    </w:p>
    <w:p>
      <w:pPr>
        <w:widowControl/>
        <w:spacing w:line="312" w:lineRule="auto"/>
        <w:ind w:firstLine="480" w:firstLineChars="200"/>
        <w:jc w:val="left"/>
        <w:rPr>
          <w:color w:val="auto"/>
          <w:highlight w:val="none"/>
        </w:rPr>
      </w:pPr>
      <w:r>
        <w:rPr>
          <w:rFonts w:hint="eastAsia" w:ascii="仿宋_GB2312" w:hAnsi="仿宋_GB2312" w:eastAsia="仿宋_GB2312" w:cs="仿宋_GB2312"/>
          <w:color w:val="auto"/>
          <w:kern w:val="0"/>
          <w:sz w:val="24"/>
          <w:highlight w:val="none"/>
          <w:shd w:val="clear" w:color="auto" w:fill="FFFFFF"/>
        </w:rPr>
        <w:t>（六）卫生保洁。对项目进行有效的卫生保洁，确保处于良好的使用状态。制订日常维护与保养计划与方案，并落实和记录，及时排查安全隐患。</w:t>
      </w:r>
    </w:p>
    <w:p>
      <w:pPr>
        <w:spacing w:line="312" w:lineRule="auto"/>
        <w:ind w:firstLine="480" w:firstLineChars="200"/>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（七）值班值守。对项目建立节假日值班值守制度，并落实和记录。</w:t>
      </w:r>
    </w:p>
    <w:p>
      <w:pPr>
        <w:spacing w:line="312" w:lineRule="auto"/>
        <w:ind w:firstLine="480" w:firstLineChars="200"/>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（八）物资储备。对项目配备必要的物资及工具，除主要设备由采购人负责外，其他辅助类的物资及工具由中标人负责。</w:t>
      </w:r>
    </w:p>
    <w:p>
      <w:pPr>
        <w:spacing w:line="312" w:lineRule="auto"/>
        <w:ind w:firstLine="480" w:firstLineChars="200"/>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（九）应急处置。对项目可能产生的安全隐患和安全事故建立应急处置方案，并落实和记录。</w:t>
      </w:r>
    </w:p>
    <w:p>
      <w:pPr>
        <w:spacing w:line="312" w:lineRule="auto"/>
        <w:ind w:firstLine="480" w:firstLineChars="200"/>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（十）其他。完成采购人交办的其他维护事项。</w:t>
      </w:r>
    </w:p>
    <w:p>
      <w:pPr>
        <w:spacing w:line="312" w:lineRule="auto"/>
        <w:ind w:firstLine="482" w:firstLineChars="200"/>
        <w:rPr>
          <w:rFonts w:ascii="仿宋_GB2312" w:hAnsi="仿宋_GB2312" w:eastAsia="仿宋_GB2312" w:cs="仿宋_GB2312"/>
          <w:b/>
          <w:bCs/>
          <w:color w:val="auto"/>
          <w:kern w:val="0"/>
          <w:sz w:val="24"/>
          <w:highlight w:val="none"/>
          <w:shd w:val="clear" w:color="auto" w:fill="FFFFFF"/>
        </w:rPr>
      </w:pPr>
      <w:r>
        <w:rPr>
          <w:rFonts w:hint="eastAsia" w:ascii="仿宋_GB2312" w:hAnsi="仿宋_GB2312" w:eastAsia="仿宋_GB2312" w:cs="仿宋_GB2312"/>
          <w:b/>
          <w:bCs/>
          <w:color w:val="auto"/>
          <w:kern w:val="0"/>
          <w:sz w:val="24"/>
          <w:highlight w:val="none"/>
          <w:shd w:val="clear" w:color="auto" w:fill="FFFFFF"/>
        </w:rPr>
        <w:t>二、突发事件处置要求：</w:t>
      </w:r>
    </w:p>
    <w:p>
      <w:pPr>
        <w:widowControl/>
        <w:spacing w:line="312" w:lineRule="auto"/>
        <w:ind w:firstLine="480" w:firstLineChars="200"/>
        <w:jc w:val="left"/>
        <w:rPr>
          <w:rFonts w:ascii="仿宋_GB2312" w:hAnsi="仿宋_GB2312" w:eastAsia="仿宋_GB2312" w:cs="仿宋_GB2312"/>
          <w:b/>
          <w:bCs/>
          <w:color w:val="auto"/>
          <w:kern w:val="0"/>
          <w:sz w:val="32"/>
          <w:szCs w:val="32"/>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中标人应制订项目突发事件应急处置预案，建立应急队伍，人员配置合理，其中负责人1人，抢险队员不少于4人（含水电工1人）。突发事件应急处置预案包括但不限于常用应急物资清单、人员配置表、应急事件值班值守制度、配合处置方案等内容。并报采购人备案。</w:t>
      </w:r>
    </w:p>
    <w:p>
      <w:pPr>
        <w:spacing w:line="312" w:lineRule="auto"/>
        <w:ind w:firstLine="482" w:firstLineChars="200"/>
        <w:rPr>
          <w:rFonts w:ascii="仿宋_GB2312" w:hAnsi="仿宋_GB2312" w:eastAsia="仿宋_GB2312" w:cs="仿宋_GB2312"/>
          <w:b/>
          <w:bCs/>
          <w:color w:val="auto"/>
          <w:kern w:val="0"/>
          <w:sz w:val="24"/>
          <w:highlight w:val="none"/>
          <w:shd w:val="clear" w:color="auto" w:fill="FFFFFF"/>
        </w:rPr>
      </w:pPr>
      <w:r>
        <w:rPr>
          <w:rFonts w:hint="eastAsia" w:ascii="仿宋_GB2312" w:hAnsi="仿宋_GB2312" w:eastAsia="仿宋_GB2312" w:cs="仿宋_GB2312"/>
          <w:b/>
          <w:bCs/>
          <w:color w:val="auto"/>
          <w:kern w:val="0"/>
          <w:sz w:val="24"/>
          <w:highlight w:val="none"/>
          <w:shd w:val="clear" w:color="auto" w:fill="FFFFFF"/>
        </w:rPr>
        <w:t>三、项目团队配置要求：</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中标人应事先对本项目进行充分了解，合理配置项目团队人员，总人数不少于5人。</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项目负责人（1人）：负责项目日常维护管理工作，履行维管职责，制订维管工作计划，落实工作任务，坚持重大事项报告制度，及时总结工作经验，完成采购人交办的工作任务，确保项目始终处于良好的运行状态。</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巡检组（2人）：负责项目相关设备设施巡检工作，充分了解项目设备设施的分布情况和使用情况，制订巡检计划，完成巡检任务，做好巡检记录，发现问题及时报告项目负责人。</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维护组（2人）：负责项目相关设备设施故障处理工作，充分了解项目设备设施的分布情况和使用情况，制订维护方案及操作规程，完成故障处理，做好维护记录，发现问题及时报告项目负责人。</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保洁组（2人）：负责项目卫生保洁工作，做到地面无大面积积水、无明显灰尘、无杂物堆放、墙面和顶部无大面积蛛网、卫生间无异味、保洁工具摆放整齐等，并做好记录，发现问题及时报告项目负责人。</w:t>
      </w:r>
    </w:p>
    <w:p>
      <w:pPr>
        <w:spacing w:line="312" w:lineRule="auto"/>
        <w:ind w:firstLine="482" w:firstLineChars="200"/>
        <w:rPr>
          <w:rFonts w:ascii="仿宋_GB2312" w:hAnsi="仿宋_GB2312" w:eastAsia="仿宋_GB2312" w:cs="仿宋_GB2312"/>
          <w:b/>
          <w:bCs/>
          <w:color w:val="auto"/>
          <w:kern w:val="0"/>
          <w:sz w:val="24"/>
          <w:highlight w:val="none"/>
          <w:shd w:val="clear" w:color="auto" w:fill="FFFFFF"/>
        </w:rPr>
      </w:pPr>
      <w:r>
        <w:rPr>
          <w:rFonts w:hint="eastAsia" w:ascii="仿宋_GB2312" w:hAnsi="仿宋_GB2312" w:eastAsia="仿宋_GB2312" w:cs="仿宋_GB2312"/>
          <w:b/>
          <w:bCs/>
          <w:color w:val="auto"/>
          <w:kern w:val="0"/>
          <w:sz w:val="24"/>
          <w:highlight w:val="none"/>
          <w:shd w:val="clear" w:color="auto" w:fill="FFFFFF"/>
        </w:rPr>
        <w:t>四、服务期限：</w:t>
      </w:r>
    </w:p>
    <w:p>
      <w:pPr>
        <w:widowControl/>
        <w:spacing w:line="312" w:lineRule="auto"/>
        <w:ind w:firstLine="600" w:firstLineChars="25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lang w:val="en-US" w:eastAsia="zh-CN"/>
        </w:rPr>
        <w:t>2023</w:t>
      </w:r>
      <w:r>
        <w:rPr>
          <w:rFonts w:hint="eastAsia" w:ascii="仿宋_GB2312" w:hAnsi="仿宋_GB2312" w:eastAsia="仿宋_GB2312" w:cs="仿宋_GB2312"/>
          <w:color w:val="auto"/>
          <w:kern w:val="0"/>
          <w:sz w:val="24"/>
          <w:highlight w:val="none"/>
          <w:shd w:val="clear" w:color="auto" w:fill="FFFFFF"/>
        </w:rPr>
        <w:t>年</w:t>
      </w:r>
      <w:r>
        <w:rPr>
          <w:rFonts w:ascii="仿宋_GB2312" w:hAnsi="仿宋_GB2312" w:eastAsia="仿宋_GB2312" w:cs="仿宋_GB2312"/>
          <w:color w:val="auto"/>
          <w:kern w:val="0"/>
          <w:sz w:val="24"/>
          <w:highlight w:val="none"/>
          <w:shd w:val="clear" w:color="auto" w:fill="FFFFFF"/>
        </w:rPr>
        <w:t xml:space="preserve"> </w:t>
      </w:r>
      <w:r>
        <w:rPr>
          <w:rFonts w:hint="eastAsia" w:ascii="仿宋_GB2312" w:hAnsi="仿宋_GB2312" w:eastAsia="仿宋_GB2312" w:cs="仿宋_GB2312"/>
          <w:color w:val="auto"/>
          <w:kern w:val="0"/>
          <w:sz w:val="24"/>
          <w:highlight w:val="none"/>
          <w:shd w:val="clear" w:color="auto" w:fill="FFFFFF"/>
          <w:lang w:val="en-US" w:eastAsia="zh-CN"/>
        </w:rPr>
        <w:t>1</w:t>
      </w:r>
      <w:r>
        <w:rPr>
          <w:rFonts w:hint="eastAsia" w:ascii="仿宋_GB2312" w:hAnsi="仿宋_GB2312" w:eastAsia="仿宋_GB2312" w:cs="仿宋_GB2312"/>
          <w:color w:val="auto"/>
          <w:kern w:val="0"/>
          <w:sz w:val="24"/>
          <w:highlight w:val="none"/>
          <w:shd w:val="clear" w:color="auto" w:fill="FFFFFF"/>
        </w:rPr>
        <w:t>月</w:t>
      </w:r>
      <w:r>
        <w:rPr>
          <w:rFonts w:ascii="仿宋_GB2312" w:hAnsi="仿宋_GB2312" w:eastAsia="仿宋_GB2312" w:cs="仿宋_GB2312"/>
          <w:color w:val="auto"/>
          <w:kern w:val="0"/>
          <w:sz w:val="24"/>
          <w:highlight w:val="none"/>
          <w:shd w:val="clear" w:color="auto" w:fill="FFFFFF"/>
        </w:rPr>
        <w:t xml:space="preserve"> </w:t>
      </w:r>
      <w:r>
        <w:rPr>
          <w:rFonts w:hint="eastAsia" w:ascii="仿宋_GB2312" w:hAnsi="仿宋_GB2312" w:eastAsia="仿宋_GB2312" w:cs="仿宋_GB2312"/>
          <w:color w:val="auto"/>
          <w:kern w:val="0"/>
          <w:sz w:val="24"/>
          <w:highlight w:val="none"/>
          <w:shd w:val="clear" w:color="auto" w:fill="FFFFFF"/>
          <w:lang w:val="en-US" w:eastAsia="zh-CN"/>
        </w:rPr>
        <w:t>1</w:t>
      </w:r>
      <w:r>
        <w:rPr>
          <w:rFonts w:hint="eastAsia" w:ascii="仿宋_GB2312" w:hAnsi="仿宋_GB2312" w:eastAsia="仿宋_GB2312" w:cs="仿宋_GB2312"/>
          <w:color w:val="auto"/>
          <w:kern w:val="0"/>
          <w:sz w:val="24"/>
          <w:highlight w:val="none"/>
          <w:shd w:val="clear" w:color="auto" w:fill="FFFFFF"/>
        </w:rPr>
        <w:t>日至</w:t>
      </w:r>
      <w:r>
        <w:rPr>
          <w:rFonts w:ascii="仿宋_GB2312" w:hAnsi="仿宋_GB2312" w:eastAsia="仿宋_GB2312" w:cs="仿宋_GB2312"/>
          <w:color w:val="auto"/>
          <w:kern w:val="0"/>
          <w:sz w:val="24"/>
          <w:highlight w:val="none"/>
          <w:shd w:val="clear" w:color="auto" w:fill="FFFFFF"/>
        </w:rPr>
        <w:t xml:space="preserve"> </w:t>
      </w:r>
      <w:r>
        <w:rPr>
          <w:rFonts w:hint="eastAsia" w:ascii="仿宋_GB2312" w:hAnsi="仿宋_GB2312" w:eastAsia="仿宋_GB2312" w:cs="仿宋_GB2312"/>
          <w:color w:val="auto"/>
          <w:kern w:val="0"/>
          <w:sz w:val="24"/>
          <w:highlight w:val="none"/>
          <w:shd w:val="clear" w:color="auto" w:fill="FFFFFF"/>
          <w:lang w:val="en-US" w:eastAsia="zh-CN"/>
        </w:rPr>
        <w:t>2023</w:t>
      </w:r>
      <w:r>
        <w:rPr>
          <w:rFonts w:hint="eastAsia" w:ascii="仿宋_GB2312" w:hAnsi="仿宋_GB2312" w:eastAsia="仿宋_GB2312" w:cs="仿宋_GB2312"/>
          <w:color w:val="auto"/>
          <w:kern w:val="0"/>
          <w:sz w:val="24"/>
          <w:highlight w:val="none"/>
          <w:shd w:val="clear" w:color="auto" w:fill="FFFFFF"/>
        </w:rPr>
        <w:t>年</w:t>
      </w:r>
      <w:r>
        <w:rPr>
          <w:rFonts w:ascii="仿宋_GB2312" w:hAnsi="仿宋_GB2312" w:eastAsia="仿宋_GB2312" w:cs="仿宋_GB2312"/>
          <w:color w:val="auto"/>
          <w:kern w:val="0"/>
          <w:sz w:val="24"/>
          <w:highlight w:val="none"/>
          <w:shd w:val="clear" w:color="auto" w:fill="FFFFFF"/>
        </w:rPr>
        <w:t xml:space="preserve"> </w:t>
      </w:r>
      <w:r>
        <w:rPr>
          <w:rFonts w:hint="eastAsia" w:ascii="仿宋_GB2312" w:hAnsi="仿宋_GB2312" w:eastAsia="仿宋_GB2312" w:cs="仿宋_GB2312"/>
          <w:color w:val="auto"/>
          <w:kern w:val="0"/>
          <w:sz w:val="24"/>
          <w:highlight w:val="none"/>
          <w:shd w:val="clear" w:color="auto" w:fill="FFFFFF"/>
          <w:lang w:val="en-US" w:eastAsia="zh-CN"/>
        </w:rPr>
        <w:t>12</w:t>
      </w:r>
      <w:r>
        <w:rPr>
          <w:rFonts w:ascii="仿宋_GB2312" w:hAnsi="仿宋_GB2312" w:eastAsia="仿宋_GB2312" w:cs="仿宋_GB2312"/>
          <w:color w:val="auto"/>
          <w:kern w:val="0"/>
          <w:sz w:val="24"/>
          <w:highlight w:val="none"/>
          <w:shd w:val="clear" w:color="auto" w:fill="FFFFFF"/>
        </w:rPr>
        <w:t xml:space="preserve"> </w:t>
      </w:r>
      <w:r>
        <w:rPr>
          <w:rFonts w:hint="eastAsia" w:ascii="仿宋_GB2312" w:hAnsi="仿宋_GB2312" w:eastAsia="仿宋_GB2312" w:cs="仿宋_GB2312"/>
          <w:color w:val="auto"/>
          <w:kern w:val="0"/>
          <w:sz w:val="24"/>
          <w:highlight w:val="none"/>
          <w:shd w:val="clear" w:color="auto" w:fill="FFFFFF"/>
        </w:rPr>
        <w:t>月</w:t>
      </w:r>
      <w:r>
        <w:rPr>
          <w:rFonts w:hint="eastAsia" w:ascii="仿宋_GB2312" w:hAnsi="仿宋_GB2312" w:eastAsia="仿宋_GB2312" w:cs="仿宋_GB2312"/>
          <w:color w:val="auto"/>
          <w:kern w:val="0"/>
          <w:sz w:val="24"/>
          <w:highlight w:val="none"/>
          <w:shd w:val="clear" w:color="auto" w:fill="FFFFFF"/>
          <w:lang w:val="en-US" w:eastAsia="zh-CN"/>
        </w:rPr>
        <w:t>31</w:t>
      </w:r>
      <w:r>
        <w:rPr>
          <w:rFonts w:hint="eastAsia" w:ascii="仿宋_GB2312" w:hAnsi="仿宋_GB2312" w:eastAsia="仿宋_GB2312" w:cs="仿宋_GB2312"/>
          <w:color w:val="auto"/>
          <w:kern w:val="0"/>
          <w:sz w:val="24"/>
          <w:highlight w:val="none"/>
          <w:shd w:val="clear" w:color="auto" w:fill="FFFFFF"/>
        </w:rPr>
        <w:t>日止。</w:t>
      </w:r>
    </w:p>
    <w:p>
      <w:pPr>
        <w:spacing w:line="312"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五、付款方式</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1、付款方式：</w:t>
      </w:r>
    </w:p>
    <w:p>
      <w:pPr>
        <w:tabs>
          <w:tab w:val="left" w:pos="3870"/>
          <w:tab w:val="left" w:pos="4085"/>
        </w:tabs>
        <w:autoSpaceDE w:val="0"/>
        <w:autoSpaceDN w:val="0"/>
        <w:adjustRightInd w:val="0"/>
        <w:spacing w:line="312"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项目合同签订后，中标方须在15日内向采购人指定账户打入合同金额的</w:t>
      </w:r>
      <w:r>
        <w:rPr>
          <w:rStyle w:val="280"/>
          <w:rFonts w:hint="eastAsia" w:ascii="仿宋" w:hAnsi="仿宋" w:eastAsia="仿宋" w:cs="仿宋"/>
          <w:color w:val="auto"/>
          <w:sz w:val="24"/>
          <w:highlight w:val="none"/>
        </w:rPr>
        <w:t>1.0%的履约保证金(</w:t>
      </w:r>
      <w:r>
        <w:rPr>
          <w:rFonts w:hint="eastAsia" w:ascii="仿宋_GB2312" w:hAnsi="宋体" w:eastAsia="仿宋_GB2312"/>
          <w:color w:val="auto"/>
          <w:sz w:val="24"/>
          <w:highlight w:val="none"/>
        </w:rPr>
        <w:t>或以银行保函形式或保险公司保函形式</w:t>
      </w:r>
      <w:r>
        <w:rPr>
          <w:rStyle w:val="280"/>
          <w:rFonts w:hint="eastAsia" w:ascii="仿宋" w:hAnsi="仿宋" w:eastAsia="仿宋" w:cs="仿宋"/>
          <w:color w:val="auto"/>
          <w:sz w:val="24"/>
          <w:highlight w:val="none"/>
        </w:rPr>
        <w:t>)</w:t>
      </w:r>
      <w:r>
        <w:rPr>
          <w:rFonts w:hint="eastAsia" w:ascii="仿宋_GB2312" w:hAnsi="宋体" w:eastAsia="仿宋_GB2312"/>
          <w:color w:val="auto"/>
          <w:sz w:val="24"/>
          <w:highlight w:val="none"/>
        </w:rPr>
        <w:t>，项目验收结束后退还履约保证金（不计息）。</w:t>
      </w:r>
    </w:p>
    <w:p>
      <w:pPr>
        <w:spacing w:line="312"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付款方式按浙财采监〔2020〕3号和浙财采监〔2022〕3号文件要求执行：</w:t>
      </w:r>
    </w:p>
    <w:p>
      <w:pPr>
        <w:tabs>
          <w:tab w:val="left" w:pos="3870"/>
          <w:tab w:val="left" w:pos="4085"/>
        </w:tabs>
        <w:autoSpaceDE w:val="0"/>
        <w:autoSpaceDN w:val="0"/>
        <w:adjustRightInd w:val="0"/>
        <w:spacing w:line="312"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（1）合同签订后15个工作日内支付签订合同总价的40%及延缓服务费；</w:t>
      </w:r>
    </w:p>
    <w:p>
      <w:pPr>
        <w:tabs>
          <w:tab w:val="left" w:pos="3870"/>
          <w:tab w:val="left" w:pos="4085"/>
        </w:tabs>
        <w:autoSpaceDE w:val="0"/>
        <w:autoSpaceDN w:val="0"/>
        <w:adjustRightInd w:val="0"/>
        <w:spacing w:line="312"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（2）余款按年度考核结果支付。</w:t>
      </w:r>
    </w:p>
    <w:p>
      <w:pPr>
        <w:numPr>
          <w:ilvl w:val="0"/>
          <w:numId w:val="7"/>
        </w:num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付款条件:采购人凭中标人开具的增值税普通发票和采购人认可的各项记录复印件向中标供应商支付服务费。由于中标供应商上报或者开票不及时引起的延迟支付，责任由中标供应商自负。</w:t>
      </w:r>
    </w:p>
    <w:p>
      <w:pPr>
        <w:numPr>
          <w:ilvl w:val="0"/>
          <w:numId w:val="7"/>
        </w:numPr>
        <w:snapToGrid w:val="0"/>
        <w:spacing w:line="312"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原合同于</w:t>
      </w:r>
      <w:r>
        <w:rPr>
          <w:rFonts w:hint="eastAsia" w:ascii="仿宋_GB2312" w:hAnsi="仿宋_GB2312" w:eastAsia="仿宋_GB2312" w:cs="仿宋_GB2312"/>
          <w:color w:val="auto"/>
          <w:kern w:val="0"/>
          <w:sz w:val="24"/>
          <w:highlight w:val="none"/>
        </w:rPr>
        <w:t>2022年12月31日截止，到期后目前由原中标单位继续提供延缓服务，本项目中标人产生并提供正常服务前，原中标单位提供延缓服务期间所产生的费用由本项目中标人按中标价平均每月产生费用进行支付。计算公式为：延缓服务费=中标价/12*延缓服务实际月份数。</w:t>
      </w:r>
    </w:p>
    <w:p>
      <w:pPr>
        <w:widowControl/>
        <w:spacing w:line="312" w:lineRule="auto"/>
        <w:ind w:firstLine="482" w:firstLineChars="200"/>
        <w:jc w:val="left"/>
        <w:rPr>
          <w:rFonts w:ascii="仿宋_GB2312" w:hAnsi="仿宋_GB2312" w:eastAsia="仿宋_GB2312" w:cs="仿宋_GB2312"/>
          <w:b/>
          <w:bCs/>
          <w:color w:val="auto"/>
          <w:kern w:val="0"/>
          <w:sz w:val="24"/>
          <w:highlight w:val="none"/>
          <w:shd w:val="clear" w:color="auto" w:fill="FFFFFF"/>
        </w:rPr>
      </w:pPr>
      <w:r>
        <w:rPr>
          <w:rFonts w:hint="eastAsia" w:ascii="仿宋_GB2312" w:hAnsi="仿宋_GB2312" w:eastAsia="仿宋_GB2312" w:cs="仿宋_GB2312"/>
          <w:b/>
          <w:bCs/>
          <w:color w:val="auto"/>
          <w:kern w:val="0"/>
          <w:sz w:val="24"/>
          <w:highlight w:val="none"/>
          <w:shd w:val="clear" w:color="auto" w:fill="FFFFFF"/>
        </w:rPr>
        <w:t>六、考核办法</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采购人按年度对中标实施考评，具体考核细则如下：（满分100分，考评分数90分及以上为考核达标，否则为不达标）</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1、90≤考评分数≤100分（达标），采购人</w:t>
      </w:r>
      <w:r>
        <w:rPr>
          <w:rFonts w:hint="eastAsia" w:ascii="仿宋_GB2312" w:hAnsi="宋体" w:eastAsia="仿宋_GB2312"/>
          <w:color w:val="auto"/>
          <w:sz w:val="24"/>
          <w:highlight w:val="none"/>
        </w:rPr>
        <w:t>支付至合同总价100%</w:t>
      </w:r>
      <w:r>
        <w:rPr>
          <w:rFonts w:hint="eastAsia" w:ascii="仿宋_GB2312" w:hAnsi="仿宋_GB2312" w:eastAsia="仿宋_GB2312" w:cs="仿宋_GB2312"/>
          <w:color w:val="auto"/>
          <w:kern w:val="0"/>
          <w:sz w:val="24"/>
          <w:highlight w:val="none"/>
          <w:shd w:val="clear" w:color="auto" w:fill="FFFFFF"/>
        </w:rPr>
        <w:t>。</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2、80≤考评分数＜90分（不达标），采购人</w:t>
      </w:r>
      <w:r>
        <w:rPr>
          <w:rFonts w:hint="eastAsia" w:ascii="仿宋_GB2312" w:hAnsi="宋体" w:eastAsia="仿宋_GB2312"/>
          <w:color w:val="auto"/>
          <w:sz w:val="24"/>
          <w:highlight w:val="none"/>
        </w:rPr>
        <w:t>支付至合同总价80%</w:t>
      </w:r>
      <w:r>
        <w:rPr>
          <w:rFonts w:hint="eastAsia" w:ascii="仿宋_GB2312" w:hAnsi="仿宋_GB2312" w:eastAsia="仿宋_GB2312" w:cs="仿宋_GB2312"/>
          <w:color w:val="auto"/>
          <w:kern w:val="0"/>
          <w:sz w:val="24"/>
          <w:highlight w:val="none"/>
          <w:shd w:val="clear" w:color="auto" w:fill="FFFFFF"/>
        </w:rPr>
        <w:t>，并要求中标人进行整改。如中标人整改不到位，整改产生的费用由中标人承担。采购人有权扣除中标人剩余20%的合同总价。</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 xml:space="preserve">3、如果考核低于80分的，则视为违约，采购人有权单方面解除合同，并中标人应当返还已收取的合同款项，造成采购人经济损失的，中标人需给予经济赔偿，并承担法律责任。 </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4、中标人出现重大失误或者严重违约，或者在服务期限内有效投诉达9次及以上的，采购人有权单方面解除合同。</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rPr>
      </w:pPr>
      <w:r>
        <w:rPr>
          <w:rFonts w:hint="eastAsia" w:ascii="仿宋_GB2312" w:hAnsi="仿宋_GB2312" w:eastAsia="仿宋_GB2312" w:cs="仿宋_GB2312"/>
          <w:color w:val="auto"/>
          <w:kern w:val="0"/>
          <w:sz w:val="24"/>
          <w:highlight w:val="none"/>
          <w:shd w:val="clear" w:color="auto" w:fill="FFFFFF"/>
        </w:rPr>
        <w:t>5、如采购人财产、工作人员和外来办事人员人身伤亡和财产损失经查明是由于中标人相关工作人员失职、渎职、监管不力造成的，由中标人承担相应责任并负责赔偿。</w:t>
      </w: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lang w:bidi="ar"/>
        </w:rPr>
      </w:pPr>
    </w:p>
    <w:p>
      <w:pPr>
        <w:widowControl/>
        <w:spacing w:line="500" w:lineRule="exact"/>
        <w:jc w:val="center"/>
        <w:rPr>
          <w:rFonts w:ascii="仿宋_GB2312" w:hAnsi="仿宋_GB2312" w:eastAsia="仿宋_GB2312" w:cs="仿宋_GB2312"/>
          <w:b/>
          <w:bCs/>
          <w:color w:val="auto"/>
          <w:kern w:val="0"/>
          <w:sz w:val="32"/>
          <w:szCs w:val="32"/>
          <w:highlight w:val="none"/>
          <w:shd w:val="clear" w:color="auto" w:fill="FFFFFF"/>
          <w:lang w:bidi="ar"/>
        </w:rPr>
      </w:pPr>
    </w:p>
    <w:p>
      <w:pPr>
        <w:rPr>
          <w:rFonts w:ascii="仿宋_GB2312" w:hAnsi="仿宋_GB2312" w:eastAsia="仿宋_GB2312" w:cs="仿宋_GB2312"/>
          <w:b/>
          <w:bCs/>
          <w:color w:val="auto"/>
          <w:kern w:val="0"/>
          <w:sz w:val="32"/>
          <w:szCs w:val="32"/>
          <w:highlight w:val="none"/>
          <w:shd w:val="clear" w:color="auto" w:fill="FFFFFF"/>
          <w:lang w:bidi="ar"/>
        </w:rPr>
      </w:pPr>
      <w:r>
        <w:rPr>
          <w:rFonts w:hint="eastAsia" w:ascii="仿宋_GB2312" w:hAnsi="仿宋_GB2312" w:eastAsia="仿宋_GB2312" w:cs="仿宋_GB2312"/>
          <w:b/>
          <w:bCs/>
          <w:color w:val="auto"/>
          <w:kern w:val="0"/>
          <w:sz w:val="32"/>
          <w:szCs w:val="32"/>
          <w:highlight w:val="none"/>
          <w:shd w:val="clear" w:color="auto" w:fill="FFFFFF"/>
          <w:lang w:bidi="ar"/>
        </w:rPr>
        <w:br w:type="page"/>
      </w:r>
    </w:p>
    <w:p>
      <w:pPr>
        <w:widowControl/>
        <w:spacing w:line="360" w:lineRule="exact"/>
        <w:ind w:firstLine="0" w:firstLineChars="0"/>
        <w:jc w:val="center"/>
        <w:rPr>
          <w:rFonts w:ascii="仿宋_GB2312" w:hAnsi="仿宋_GB2312" w:eastAsia="仿宋_GB2312" w:cs="仿宋_GB2312"/>
          <w:b/>
          <w:bCs/>
          <w:color w:val="auto"/>
          <w:kern w:val="0"/>
          <w:sz w:val="32"/>
          <w:szCs w:val="32"/>
          <w:highlight w:val="none"/>
          <w:shd w:val="clear" w:color="auto" w:fill="FFFFFF"/>
          <w:lang w:bidi="ar"/>
        </w:rPr>
      </w:pPr>
      <w:r>
        <w:rPr>
          <w:rFonts w:hint="eastAsia" w:ascii="仿宋_GB2312" w:hAnsi="仿宋_GB2312" w:eastAsia="仿宋_GB2312" w:cs="仿宋_GB2312"/>
          <w:b/>
          <w:bCs/>
          <w:color w:val="auto"/>
          <w:kern w:val="0"/>
          <w:sz w:val="32"/>
          <w:szCs w:val="32"/>
          <w:highlight w:val="none"/>
          <w:shd w:val="clear" w:color="auto" w:fill="FFFFFF"/>
          <w:lang w:bidi="ar"/>
        </w:rPr>
        <w:t>早期人防工程设备设施维护管理项目考核标准</w:t>
      </w:r>
    </w:p>
    <w:tbl>
      <w:tblPr>
        <w:tblStyle w:val="46"/>
        <w:tblpPr w:leftFromText="180" w:rightFromText="180" w:vertAnchor="text" w:horzAnchor="page" w:tblpX="1981" w:tblpY="665"/>
        <w:tblOverlap w:val="never"/>
        <w:tblW w:w="5000" w:type="pct"/>
        <w:jc w:val="center"/>
        <w:tblLayout w:type="autofit"/>
        <w:tblCellMar>
          <w:top w:w="0" w:type="dxa"/>
          <w:left w:w="108" w:type="dxa"/>
          <w:bottom w:w="0" w:type="dxa"/>
          <w:right w:w="108" w:type="dxa"/>
        </w:tblCellMar>
      </w:tblPr>
      <w:tblGrid>
        <w:gridCol w:w="881"/>
        <w:gridCol w:w="612"/>
        <w:gridCol w:w="3936"/>
        <w:gridCol w:w="3066"/>
      </w:tblGrid>
      <w:tr>
        <w:tblPrEx>
          <w:tblCellMar>
            <w:top w:w="0" w:type="dxa"/>
            <w:left w:w="108" w:type="dxa"/>
            <w:bottom w:w="0" w:type="dxa"/>
            <w:right w:w="108" w:type="dxa"/>
          </w:tblCellMar>
        </w:tblPrEx>
        <w:trPr>
          <w:trHeight w:val="24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pStyle w:val="284"/>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360" w:type="pct"/>
            <w:tcBorders>
              <w:top w:val="single" w:color="auto" w:sz="4" w:space="0"/>
              <w:left w:val="nil"/>
              <w:bottom w:val="single" w:color="auto" w:sz="4" w:space="0"/>
              <w:right w:val="single" w:color="auto" w:sz="4" w:space="0"/>
            </w:tcBorders>
            <w:vAlign w:val="center"/>
          </w:tcPr>
          <w:p>
            <w:pPr>
              <w:pStyle w:val="284"/>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316" w:type="pct"/>
            <w:tcBorders>
              <w:top w:val="single" w:color="auto" w:sz="4" w:space="0"/>
              <w:left w:val="nil"/>
              <w:bottom w:val="single" w:color="auto" w:sz="4" w:space="0"/>
              <w:right w:val="single" w:color="auto" w:sz="4" w:space="0"/>
            </w:tcBorders>
            <w:vAlign w:val="center"/>
          </w:tcPr>
          <w:p>
            <w:pPr>
              <w:pStyle w:val="284"/>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考核内容</w:t>
            </w:r>
          </w:p>
        </w:tc>
        <w:tc>
          <w:tcPr>
            <w:tcW w:w="1804" w:type="pct"/>
            <w:tcBorders>
              <w:top w:val="single" w:color="auto" w:sz="4" w:space="0"/>
              <w:left w:val="nil"/>
              <w:bottom w:val="single" w:color="auto" w:sz="4" w:space="0"/>
              <w:right w:val="single" w:color="auto" w:sz="4" w:space="0"/>
            </w:tcBorders>
            <w:vAlign w:val="center"/>
          </w:tcPr>
          <w:p>
            <w:pPr>
              <w:pStyle w:val="284"/>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考核标准</w:t>
            </w:r>
          </w:p>
        </w:tc>
      </w:tr>
      <w:tr>
        <w:tblPrEx>
          <w:tblCellMar>
            <w:top w:w="0" w:type="dxa"/>
            <w:left w:w="108" w:type="dxa"/>
            <w:bottom w:w="0" w:type="dxa"/>
            <w:right w:w="108" w:type="dxa"/>
          </w:tblCellMar>
        </w:tblPrEx>
        <w:trPr>
          <w:trHeight w:val="680" w:hRule="atLeast"/>
          <w:jc w:val="center"/>
        </w:trPr>
        <w:tc>
          <w:tcPr>
            <w:tcW w:w="519" w:type="pct"/>
            <w:vMerge w:val="restart"/>
            <w:tcBorders>
              <w:top w:val="single" w:color="auto" w:sz="4" w:space="0"/>
              <w:left w:val="single" w:color="auto" w:sz="4" w:space="0"/>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举止、出勤</w:t>
            </w:r>
          </w:p>
        </w:tc>
        <w:tc>
          <w:tcPr>
            <w:tcW w:w="360" w:type="pct"/>
            <w:tcBorders>
              <w:top w:val="single" w:color="auto" w:sz="4" w:space="0"/>
              <w:left w:val="single" w:color="auto" w:sz="4" w:space="0"/>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16" w:type="pct"/>
            <w:tcBorders>
              <w:top w:val="single" w:color="auto" w:sz="4" w:space="0"/>
              <w:left w:val="single" w:color="auto" w:sz="4" w:space="0"/>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着装不规范、举止不文明</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每次扣5分，扣完为止。</w:t>
            </w:r>
          </w:p>
        </w:tc>
      </w:tr>
      <w:tr>
        <w:tblPrEx>
          <w:tblCellMar>
            <w:top w:w="0" w:type="dxa"/>
            <w:left w:w="108" w:type="dxa"/>
            <w:bottom w:w="0" w:type="dxa"/>
            <w:right w:w="108" w:type="dxa"/>
          </w:tblCellMar>
        </w:tblPrEx>
        <w:trPr>
          <w:trHeight w:val="680" w:hRule="atLeast"/>
          <w:jc w:val="center"/>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16" w:type="pct"/>
            <w:tcBorders>
              <w:top w:val="single" w:color="auto" w:sz="4" w:space="0"/>
              <w:left w:val="single" w:color="auto" w:sz="4" w:space="0"/>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迟到、早退、无故旷工</w:t>
            </w:r>
          </w:p>
        </w:tc>
        <w:tc>
          <w:tcPr>
            <w:tcW w:w="1804" w:type="pct"/>
            <w:tcBorders>
              <w:top w:val="nil"/>
              <w:left w:val="single" w:color="auto" w:sz="4" w:space="0"/>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每次扣5分，扣完为止。</w:t>
            </w:r>
          </w:p>
        </w:tc>
      </w:tr>
      <w:tr>
        <w:tblPrEx>
          <w:tblCellMar>
            <w:top w:w="0" w:type="dxa"/>
            <w:left w:w="108" w:type="dxa"/>
            <w:bottom w:w="0" w:type="dxa"/>
            <w:right w:w="108" w:type="dxa"/>
          </w:tblCellMar>
        </w:tblPrEx>
        <w:trPr>
          <w:trHeight w:val="680" w:hRule="atLeast"/>
          <w:jc w:val="center"/>
        </w:trPr>
        <w:tc>
          <w:tcPr>
            <w:tcW w:w="519" w:type="pct"/>
            <w:vMerge w:val="restart"/>
            <w:tcBorders>
              <w:top w:val="single" w:color="auto" w:sz="4" w:space="0"/>
              <w:left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工作纪律</w:t>
            </w:r>
          </w:p>
        </w:tc>
        <w:tc>
          <w:tcPr>
            <w:tcW w:w="360" w:type="pct"/>
            <w:tcBorders>
              <w:top w:val="single" w:color="auto" w:sz="4" w:space="0"/>
              <w:left w:val="single" w:color="auto" w:sz="4" w:space="0"/>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16" w:type="pct"/>
            <w:tcBorders>
              <w:top w:val="single" w:color="auto" w:sz="4" w:space="0"/>
              <w:left w:val="single" w:color="auto" w:sz="4" w:space="0"/>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上岗时间做与工作无关的事</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每次扣5分，扣完为止。</w:t>
            </w:r>
          </w:p>
        </w:tc>
      </w:tr>
      <w:tr>
        <w:tblPrEx>
          <w:tblCellMar>
            <w:top w:w="0" w:type="dxa"/>
            <w:left w:w="108" w:type="dxa"/>
            <w:bottom w:w="0" w:type="dxa"/>
            <w:right w:w="108" w:type="dxa"/>
          </w:tblCellMar>
        </w:tblPrEx>
        <w:trPr>
          <w:trHeight w:val="680" w:hRule="atLeast"/>
          <w:jc w:val="center"/>
        </w:trPr>
        <w:tc>
          <w:tcPr>
            <w:tcW w:w="519" w:type="pct"/>
            <w:vMerge w:val="continue"/>
            <w:tcBorders>
              <w:left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p>
        </w:tc>
        <w:tc>
          <w:tcPr>
            <w:tcW w:w="360" w:type="pct"/>
            <w:tcBorders>
              <w:top w:val="single" w:color="auto" w:sz="4" w:space="0"/>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16" w:type="pct"/>
            <w:tcBorders>
              <w:top w:val="single" w:color="auto" w:sz="4" w:space="0"/>
              <w:left w:val="nil"/>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上班时间脱岗、窜岗、打闹、兼职的</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每次扣10分，扣完为止。</w:t>
            </w:r>
          </w:p>
        </w:tc>
      </w:tr>
      <w:tr>
        <w:tblPrEx>
          <w:tblCellMar>
            <w:top w:w="0" w:type="dxa"/>
            <w:left w:w="108" w:type="dxa"/>
            <w:bottom w:w="0" w:type="dxa"/>
            <w:right w:w="108" w:type="dxa"/>
          </w:tblCellMar>
        </w:tblPrEx>
        <w:trPr>
          <w:trHeight w:val="680" w:hRule="atLeast"/>
          <w:jc w:val="center"/>
        </w:trPr>
        <w:tc>
          <w:tcPr>
            <w:tcW w:w="519" w:type="pct"/>
            <w:vMerge w:val="continue"/>
            <w:tcBorders>
              <w:left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p>
        </w:tc>
        <w:tc>
          <w:tcPr>
            <w:tcW w:w="360" w:type="pct"/>
            <w:tcBorders>
              <w:top w:val="single" w:color="auto" w:sz="4" w:space="0"/>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316" w:type="pct"/>
            <w:tcBorders>
              <w:top w:val="single" w:color="auto" w:sz="4" w:space="0"/>
              <w:left w:val="nil"/>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如违反此表采购人未明确的其它规章制度的</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每次扣10分，扣完为止。</w:t>
            </w:r>
          </w:p>
        </w:tc>
      </w:tr>
      <w:tr>
        <w:tblPrEx>
          <w:tblCellMar>
            <w:top w:w="0" w:type="dxa"/>
            <w:left w:w="108" w:type="dxa"/>
            <w:bottom w:w="0" w:type="dxa"/>
            <w:right w:w="108" w:type="dxa"/>
          </w:tblCellMar>
        </w:tblPrEx>
        <w:trPr>
          <w:trHeight w:val="680" w:hRule="atLeast"/>
          <w:jc w:val="center"/>
        </w:trPr>
        <w:tc>
          <w:tcPr>
            <w:tcW w:w="519" w:type="pct"/>
            <w:vMerge w:val="continue"/>
            <w:tcBorders>
              <w:left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p>
        </w:tc>
        <w:tc>
          <w:tcPr>
            <w:tcW w:w="360" w:type="pct"/>
            <w:tcBorders>
              <w:top w:val="single" w:color="auto" w:sz="4" w:space="0"/>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16" w:type="pct"/>
            <w:tcBorders>
              <w:top w:val="single" w:color="auto" w:sz="4" w:space="0"/>
              <w:left w:val="nil"/>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参与、组织黄、赌、毒等违法行为的</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每次扣20分，严重者移送公安机关。</w:t>
            </w:r>
          </w:p>
        </w:tc>
      </w:tr>
      <w:tr>
        <w:tblPrEx>
          <w:tblCellMar>
            <w:top w:w="0" w:type="dxa"/>
            <w:left w:w="108" w:type="dxa"/>
            <w:bottom w:w="0" w:type="dxa"/>
            <w:right w:w="108" w:type="dxa"/>
          </w:tblCellMar>
        </w:tblPrEx>
        <w:trPr>
          <w:trHeight w:val="680" w:hRule="atLeast"/>
          <w:jc w:val="center"/>
        </w:trPr>
        <w:tc>
          <w:tcPr>
            <w:tcW w:w="519" w:type="pct"/>
            <w:vMerge w:val="continue"/>
            <w:tcBorders>
              <w:left w:val="single" w:color="auto" w:sz="4" w:space="0"/>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p>
        </w:tc>
        <w:tc>
          <w:tcPr>
            <w:tcW w:w="360" w:type="pct"/>
            <w:tcBorders>
              <w:top w:val="single" w:color="auto" w:sz="4" w:space="0"/>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316" w:type="pct"/>
            <w:tcBorders>
              <w:top w:val="single" w:color="auto" w:sz="4" w:space="0"/>
              <w:left w:val="nil"/>
              <w:bottom w:val="single" w:color="auto" w:sz="4" w:space="0"/>
              <w:right w:val="single" w:color="auto" w:sz="4" w:space="0"/>
            </w:tcBorders>
            <w:vAlign w:val="center"/>
          </w:tcPr>
          <w:p>
            <w:pPr>
              <w:pStyle w:val="284"/>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服务过程中与与采购人或第三方发生肢体冲突的</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每次扣20分，严重者移送公安机关。</w:t>
            </w:r>
          </w:p>
        </w:tc>
      </w:tr>
      <w:tr>
        <w:tblPrEx>
          <w:tblCellMar>
            <w:top w:w="0" w:type="dxa"/>
            <w:left w:w="108" w:type="dxa"/>
            <w:bottom w:w="0" w:type="dxa"/>
            <w:right w:w="108" w:type="dxa"/>
          </w:tblCellMar>
        </w:tblPrEx>
        <w:trPr>
          <w:trHeight w:val="680" w:hRule="atLeast"/>
          <w:jc w:val="center"/>
        </w:trPr>
        <w:tc>
          <w:tcPr>
            <w:tcW w:w="519" w:type="pct"/>
            <w:vMerge w:val="restart"/>
            <w:tcBorders>
              <w:top w:val="single" w:color="auto" w:sz="4" w:space="0"/>
              <w:left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w:t>
            </w:r>
          </w:p>
        </w:tc>
        <w:tc>
          <w:tcPr>
            <w:tcW w:w="360"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16" w:type="pct"/>
            <w:tcBorders>
              <w:top w:val="nil"/>
              <w:left w:val="nil"/>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未按规定时间完成工作任务的</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每次扣10分，扣完为止。</w:t>
            </w:r>
          </w:p>
        </w:tc>
      </w:tr>
      <w:tr>
        <w:tblPrEx>
          <w:tblCellMar>
            <w:top w:w="0" w:type="dxa"/>
            <w:left w:w="108" w:type="dxa"/>
            <w:bottom w:w="0" w:type="dxa"/>
            <w:right w:w="108" w:type="dxa"/>
          </w:tblCellMar>
        </w:tblPrEx>
        <w:trPr>
          <w:trHeight w:val="680" w:hRule="atLeast"/>
          <w:jc w:val="center"/>
        </w:trPr>
        <w:tc>
          <w:tcPr>
            <w:tcW w:w="519" w:type="pct"/>
            <w:vMerge w:val="continue"/>
            <w:tcBorders>
              <w:left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p>
        </w:tc>
        <w:tc>
          <w:tcPr>
            <w:tcW w:w="360"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16" w:type="pct"/>
            <w:tcBorders>
              <w:top w:val="nil"/>
              <w:left w:val="nil"/>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因使用不当，造成公物或设备设施损坏、丢失的；或故意损坏公物或设备设施的</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照价赔偿，每次扣5分，扣完为止。</w:t>
            </w:r>
          </w:p>
        </w:tc>
      </w:tr>
      <w:tr>
        <w:tblPrEx>
          <w:tblCellMar>
            <w:top w:w="0" w:type="dxa"/>
            <w:left w:w="108" w:type="dxa"/>
            <w:bottom w:w="0" w:type="dxa"/>
            <w:right w:w="108" w:type="dxa"/>
          </w:tblCellMar>
        </w:tblPrEx>
        <w:trPr>
          <w:trHeight w:val="680" w:hRule="atLeast"/>
          <w:jc w:val="center"/>
        </w:trPr>
        <w:tc>
          <w:tcPr>
            <w:tcW w:w="519" w:type="pct"/>
            <w:vMerge w:val="continue"/>
            <w:tcBorders>
              <w:left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p>
        </w:tc>
        <w:tc>
          <w:tcPr>
            <w:tcW w:w="360"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316" w:type="pct"/>
            <w:tcBorders>
              <w:top w:val="nil"/>
              <w:left w:val="nil"/>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不按合同定岗、定人的</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每缺1人扣20分，扣完为止。</w:t>
            </w:r>
          </w:p>
        </w:tc>
      </w:tr>
      <w:tr>
        <w:tblPrEx>
          <w:tblCellMar>
            <w:top w:w="0" w:type="dxa"/>
            <w:left w:w="108" w:type="dxa"/>
            <w:bottom w:w="0" w:type="dxa"/>
            <w:right w:w="108" w:type="dxa"/>
          </w:tblCellMar>
        </w:tblPrEx>
        <w:trPr>
          <w:trHeight w:val="680" w:hRule="atLeast"/>
          <w:jc w:val="center"/>
        </w:trPr>
        <w:tc>
          <w:tcPr>
            <w:tcW w:w="519" w:type="pct"/>
            <w:vMerge w:val="continue"/>
            <w:tcBorders>
              <w:left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p>
        </w:tc>
        <w:tc>
          <w:tcPr>
            <w:tcW w:w="360"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16" w:type="pct"/>
            <w:tcBorders>
              <w:top w:val="nil"/>
              <w:left w:val="nil"/>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不服从采购人管理的</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每次扣10分，扣完为止。</w:t>
            </w:r>
          </w:p>
        </w:tc>
      </w:tr>
      <w:tr>
        <w:tblPrEx>
          <w:tblCellMar>
            <w:top w:w="0" w:type="dxa"/>
            <w:left w:w="108" w:type="dxa"/>
            <w:bottom w:w="0" w:type="dxa"/>
            <w:right w:w="108" w:type="dxa"/>
          </w:tblCellMar>
        </w:tblPrEx>
        <w:trPr>
          <w:trHeight w:val="680" w:hRule="atLeast"/>
          <w:jc w:val="center"/>
        </w:trPr>
        <w:tc>
          <w:tcPr>
            <w:tcW w:w="519" w:type="pct"/>
            <w:vMerge w:val="continue"/>
            <w:tcBorders>
              <w:left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p>
        </w:tc>
        <w:tc>
          <w:tcPr>
            <w:tcW w:w="360"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316" w:type="pct"/>
            <w:tcBorders>
              <w:top w:val="nil"/>
              <w:left w:val="nil"/>
              <w:bottom w:val="single" w:color="auto" w:sz="4" w:space="0"/>
              <w:right w:val="single" w:color="auto" w:sz="4" w:space="0"/>
            </w:tcBorders>
            <w:vAlign w:val="center"/>
          </w:tcPr>
          <w:p>
            <w:pPr>
              <w:pStyle w:val="284"/>
              <w:widowControl/>
              <w:spacing w:before="50"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未按项目服务内容进行维护管理的，未及时发现故障的，未对故障及时报告处置的，造成项目安全隐患或损害的。</w:t>
            </w:r>
          </w:p>
        </w:tc>
        <w:tc>
          <w:tcPr>
            <w:tcW w:w="1804"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未维护管理每次扣5分，未发现故障每次扣5分，未处置每次扣5分，造成项目安全隐患的扣20分。</w:t>
            </w:r>
          </w:p>
        </w:tc>
      </w:tr>
      <w:tr>
        <w:tblPrEx>
          <w:tblCellMar>
            <w:top w:w="0" w:type="dxa"/>
            <w:left w:w="108" w:type="dxa"/>
            <w:bottom w:w="0" w:type="dxa"/>
            <w:right w:w="108" w:type="dxa"/>
          </w:tblCellMar>
        </w:tblPrEx>
        <w:trPr>
          <w:trHeight w:val="680" w:hRule="atLeast"/>
          <w:jc w:val="center"/>
        </w:trPr>
        <w:tc>
          <w:tcPr>
            <w:tcW w:w="519" w:type="pct"/>
            <w:vMerge w:val="continue"/>
            <w:tcBorders>
              <w:left w:val="single" w:color="auto" w:sz="4" w:space="0"/>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p>
        </w:tc>
        <w:tc>
          <w:tcPr>
            <w:tcW w:w="360" w:type="pct"/>
            <w:tcBorders>
              <w:top w:val="nil"/>
              <w:left w:val="nil"/>
              <w:bottom w:val="single" w:color="auto" w:sz="4" w:space="0"/>
              <w:right w:val="single" w:color="auto" w:sz="4" w:space="0"/>
            </w:tcBorders>
            <w:vAlign w:val="center"/>
          </w:tcPr>
          <w:p>
            <w:pPr>
              <w:pStyle w:val="284"/>
              <w:widowControl/>
              <w:spacing w:before="50"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316" w:type="pct"/>
            <w:tcBorders>
              <w:top w:val="nil"/>
              <w:left w:val="nil"/>
              <w:bottom w:val="single" w:color="auto" w:sz="4" w:space="0"/>
              <w:right w:val="single" w:color="auto" w:sz="4" w:space="0"/>
            </w:tcBorders>
            <w:vAlign w:val="center"/>
          </w:tcPr>
          <w:p>
            <w:pPr>
              <w:pStyle w:val="284"/>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突发事件未积极配合处置的</w:t>
            </w:r>
          </w:p>
        </w:tc>
        <w:tc>
          <w:tcPr>
            <w:tcW w:w="1804" w:type="pct"/>
            <w:tcBorders>
              <w:top w:val="nil"/>
              <w:left w:val="nil"/>
              <w:bottom w:val="single" w:color="auto" w:sz="4" w:space="0"/>
              <w:right w:val="single" w:color="auto" w:sz="4" w:space="0"/>
            </w:tcBorders>
            <w:vAlign w:val="center"/>
          </w:tcPr>
          <w:p>
            <w:pPr>
              <w:pStyle w:val="284"/>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每次扣20分</w:t>
            </w:r>
          </w:p>
        </w:tc>
      </w:tr>
      <w:tr>
        <w:tblPrEx>
          <w:tblCellMar>
            <w:top w:w="0" w:type="dxa"/>
            <w:left w:w="108" w:type="dxa"/>
            <w:bottom w:w="0" w:type="dxa"/>
            <w:right w:w="108" w:type="dxa"/>
          </w:tblCellMar>
        </w:tblPrEx>
        <w:trPr>
          <w:trHeight w:val="680" w:hRule="atLeast"/>
          <w:jc w:val="center"/>
        </w:trPr>
        <w:tc>
          <w:tcPr>
            <w:tcW w:w="519" w:type="pct"/>
            <w:vMerge w:val="restart"/>
            <w:tcBorders>
              <w:top w:val="single" w:color="auto" w:sz="4" w:space="0"/>
              <w:left w:val="single" w:color="auto" w:sz="4" w:space="0"/>
              <w:bottom w:val="single" w:color="auto" w:sz="4" w:space="0"/>
              <w:right w:val="single" w:color="auto" w:sz="4" w:space="0"/>
            </w:tcBorders>
            <w:vAlign w:val="center"/>
          </w:tcPr>
          <w:p>
            <w:pPr>
              <w:pStyle w:val="284"/>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奖则</w:t>
            </w:r>
          </w:p>
        </w:tc>
        <w:tc>
          <w:tcPr>
            <w:tcW w:w="360" w:type="pct"/>
            <w:tcBorders>
              <w:top w:val="single" w:color="auto" w:sz="4" w:space="0"/>
              <w:left w:val="single" w:color="auto" w:sz="4" w:space="0"/>
              <w:bottom w:val="single" w:color="auto" w:sz="4" w:space="0"/>
              <w:right w:val="single" w:color="auto" w:sz="4" w:space="0"/>
            </w:tcBorders>
            <w:vAlign w:val="center"/>
          </w:tcPr>
          <w:p>
            <w:pPr>
              <w:pStyle w:val="284"/>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16" w:type="pct"/>
            <w:tcBorders>
              <w:top w:val="single" w:color="auto" w:sz="4" w:space="0"/>
              <w:left w:val="single" w:color="auto" w:sz="4" w:space="0"/>
              <w:bottom w:val="single" w:color="auto" w:sz="4" w:space="0"/>
              <w:right w:val="single" w:color="auto" w:sz="4" w:space="0"/>
            </w:tcBorders>
            <w:vAlign w:val="center"/>
          </w:tcPr>
          <w:p>
            <w:pPr>
              <w:pStyle w:val="284"/>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突发事件积极配合，有效处置并完成处置任务的</w:t>
            </w:r>
          </w:p>
        </w:tc>
        <w:tc>
          <w:tcPr>
            <w:tcW w:w="1804" w:type="pct"/>
            <w:tcBorders>
              <w:top w:val="single" w:color="auto" w:sz="4" w:space="0"/>
              <w:left w:val="single" w:color="auto" w:sz="4" w:space="0"/>
              <w:bottom w:val="single" w:color="auto" w:sz="4" w:space="0"/>
              <w:right w:val="single" w:color="auto" w:sz="4" w:space="0"/>
            </w:tcBorders>
            <w:vAlign w:val="center"/>
          </w:tcPr>
          <w:p>
            <w:pPr>
              <w:pStyle w:val="284"/>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每次加10分</w:t>
            </w:r>
          </w:p>
        </w:tc>
      </w:tr>
      <w:tr>
        <w:tblPrEx>
          <w:tblCellMar>
            <w:top w:w="0" w:type="dxa"/>
            <w:left w:w="108" w:type="dxa"/>
            <w:bottom w:w="0" w:type="dxa"/>
            <w:right w:w="108" w:type="dxa"/>
          </w:tblCellMar>
        </w:tblPrEx>
        <w:trPr>
          <w:trHeight w:val="680" w:hRule="atLeast"/>
          <w:jc w:val="center"/>
        </w:trPr>
        <w:tc>
          <w:tcPr>
            <w:tcW w:w="519" w:type="pct"/>
            <w:vMerge w:val="continue"/>
            <w:tcBorders>
              <w:top w:val="single" w:color="auto" w:sz="4" w:space="0"/>
              <w:left w:val="single" w:color="auto" w:sz="4" w:space="0"/>
              <w:bottom w:val="single" w:color="auto" w:sz="4" w:space="0"/>
              <w:right w:val="single" w:color="auto" w:sz="4" w:space="0"/>
            </w:tcBorders>
            <w:vAlign w:val="center"/>
          </w:tcPr>
          <w:p>
            <w:pPr>
              <w:pStyle w:val="284"/>
              <w:spacing w:line="300" w:lineRule="exact"/>
              <w:jc w:val="center"/>
              <w:rPr>
                <w:rFonts w:ascii="仿宋" w:hAnsi="仿宋" w:eastAsia="仿宋" w:cs="仿宋"/>
                <w:color w:val="auto"/>
                <w:sz w:val="24"/>
                <w:szCs w:val="24"/>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pPr>
              <w:pStyle w:val="284"/>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16" w:type="pct"/>
            <w:tcBorders>
              <w:top w:val="single" w:color="auto" w:sz="4" w:space="0"/>
              <w:left w:val="single" w:color="auto" w:sz="4" w:space="0"/>
              <w:bottom w:val="single" w:color="auto" w:sz="4" w:space="0"/>
              <w:right w:val="single" w:color="auto" w:sz="4" w:space="0"/>
            </w:tcBorders>
            <w:vAlign w:val="center"/>
          </w:tcPr>
          <w:p>
            <w:pPr>
              <w:pStyle w:val="284"/>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提出合理化建议，被采纳的</w:t>
            </w:r>
          </w:p>
        </w:tc>
        <w:tc>
          <w:tcPr>
            <w:tcW w:w="1804" w:type="pct"/>
            <w:tcBorders>
              <w:top w:val="single" w:color="auto" w:sz="4" w:space="0"/>
              <w:left w:val="single" w:color="auto" w:sz="4" w:space="0"/>
              <w:bottom w:val="single" w:color="auto" w:sz="4" w:space="0"/>
              <w:right w:val="single" w:color="auto" w:sz="4" w:space="0"/>
            </w:tcBorders>
            <w:vAlign w:val="center"/>
          </w:tcPr>
          <w:p>
            <w:pPr>
              <w:pStyle w:val="284"/>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每次加10分</w:t>
            </w:r>
          </w:p>
        </w:tc>
      </w:tr>
    </w:tbl>
    <w:p>
      <w:pPr>
        <w:pStyle w:val="2"/>
        <w:ind w:left="0" w:leftChars="0" w:firstLine="0" w:firstLineChars="0"/>
        <w:rPr>
          <w:color w:val="auto"/>
          <w:highlight w:val="none"/>
          <w:lang w:val="zh-CN"/>
        </w:rPr>
      </w:pPr>
    </w:p>
    <w:p>
      <w:pPr>
        <w:widowControl/>
        <w:spacing w:line="312" w:lineRule="auto"/>
        <w:ind w:firstLine="480" w:firstLineChars="200"/>
        <w:jc w:val="left"/>
        <w:rPr>
          <w:rFonts w:ascii="仿宋_GB2312" w:hAnsi="仿宋_GB2312" w:eastAsia="仿宋_GB2312" w:cs="仿宋_GB2312"/>
          <w:color w:val="auto"/>
          <w:kern w:val="0"/>
          <w:sz w:val="24"/>
          <w:highlight w:val="none"/>
          <w:shd w:val="clear" w:color="auto" w:fill="FFFFFF"/>
          <w:lang w:bidi="ar"/>
        </w:rPr>
      </w:pPr>
    </w:p>
    <w:p>
      <w:pPr>
        <w:widowControl/>
        <w:spacing w:line="500" w:lineRule="exact"/>
        <w:jc w:val="center"/>
        <w:rPr>
          <w:rFonts w:ascii="仿宋_GB2312" w:hAnsi="仿宋_GB2312" w:eastAsia="仿宋_GB2312" w:cs="仿宋_GB2312"/>
          <w:b/>
          <w:bCs/>
          <w:color w:val="auto"/>
          <w:kern w:val="0"/>
          <w:sz w:val="32"/>
          <w:szCs w:val="32"/>
          <w:highlight w:val="none"/>
          <w:shd w:val="clear" w:color="auto" w:fill="FFFFFF"/>
          <w:lang w:bidi="ar"/>
        </w:rPr>
      </w:pPr>
    </w:p>
    <w:p>
      <w:pPr>
        <w:rPr>
          <w:rFonts w:ascii="仿宋_GB2312" w:hAnsi="仿宋_GB2312" w:eastAsia="仿宋_GB2312" w:cs="仿宋_GB2312"/>
          <w:b/>
          <w:bCs/>
          <w:color w:val="auto"/>
          <w:kern w:val="0"/>
          <w:sz w:val="32"/>
          <w:szCs w:val="32"/>
          <w:highlight w:val="none"/>
          <w:shd w:val="clear" w:color="auto" w:fill="FFFFFF"/>
          <w:lang w:bidi="ar"/>
        </w:rPr>
      </w:pPr>
      <w:r>
        <w:rPr>
          <w:rFonts w:hint="eastAsia" w:ascii="仿宋_GB2312" w:hAnsi="仿宋_GB2312" w:eastAsia="仿宋_GB2312" w:cs="仿宋_GB2312"/>
          <w:b/>
          <w:bCs/>
          <w:color w:val="auto"/>
          <w:kern w:val="0"/>
          <w:sz w:val="32"/>
          <w:szCs w:val="32"/>
          <w:highlight w:val="none"/>
          <w:shd w:val="clear" w:color="auto" w:fill="FFFFFF"/>
          <w:lang w:bidi="ar"/>
        </w:rPr>
        <w:br w:type="page"/>
      </w:r>
    </w:p>
    <w:p>
      <w:pPr>
        <w:pageBreakBefore/>
        <w:spacing w:before="120" w:beforeLines="50" w:line="440" w:lineRule="exact"/>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 xml:space="preserve">第四部分  </w:t>
      </w:r>
      <w:r>
        <w:rPr>
          <w:rFonts w:hint="eastAsia" w:ascii="仿宋_GB2312" w:hAnsi="仿宋" w:eastAsia="仿宋_GB2312" w:cs="仿宋_GB2312"/>
          <w:b/>
          <w:color w:val="auto"/>
          <w:sz w:val="36"/>
          <w:szCs w:val="36"/>
          <w:highlight w:val="none"/>
        </w:rPr>
        <w:t>政府采购合同参考范本</w:t>
      </w:r>
    </w:p>
    <w:p>
      <w:pPr>
        <w:rPr>
          <w:rFonts w:ascii="楷体" w:hAnsi="楷体" w:eastAsia="楷体"/>
          <w:color w:val="auto"/>
          <w:sz w:val="24"/>
          <w:highlight w:val="none"/>
        </w:rPr>
      </w:pPr>
    </w:p>
    <w:p>
      <w:pPr>
        <w:ind w:firstLine="5640" w:firstLineChars="2350"/>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rPr>
          <w:rFonts w:ascii="仿宋" w:hAnsi="仿宋" w:eastAsia="仿宋"/>
          <w:b/>
          <w:color w:val="auto"/>
          <w:sz w:val="24"/>
          <w:highlight w:val="none"/>
        </w:rPr>
      </w:pPr>
    </w:p>
    <w:p>
      <w:pPr>
        <w:pStyle w:val="2"/>
        <w:ind w:firstLine="241"/>
        <w:rPr>
          <w:rFonts w:ascii="仿宋" w:hAnsi="仿宋" w:eastAsia="仿宋"/>
          <w:b/>
          <w:color w:val="auto"/>
          <w:sz w:val="24"/>
          <w:highlight w:val="none"/>
        </w:rPr>
      </w:pPr>
    </w:p>
    <w:p>
      <w:pPr>
        <w:pStyle w:val="4"/>
        <w:rPr>
          <w:rFonts w:ascii="仿宋" w:hAnsi="仿宋" w:eastAsia="仿宋"/>
          <w:b/>
          <w:color w:val="auto"/>
          <w:sz w:val="24"/>
          <w:highlight w:val="none"/>
        </w:rPr>
      </w:pPr>
    </w:p>
    <w:p>
      <w:pPr>
        <w:rPr>
          <w:color w:val="auto"/>
          <w:highlight w:val="none"/>
        </w:rPr>
      </w:pPr>
    </w:p>
    <w:p>
      <w:pPr>
        <w:pStyle w:val="4"/>
        <w:rPr>
          <w:color w:val="auto"/>
          <w:highlight w:val="none"/>
        </w:rPr>
      </w:pPr>
    </w:p>
    <w:p>
      <w:pPr>
        <w:spacing w:line="480" w:lineRule="auto"/>
        <w:jc w:val="center"/>
        <w:rPr>
          <w:rFonts w:ascii="仿宋" w:hAnsi="仿宋" w:eastAsia="仿宋"/>
          <w:b/>
          <w:color w:val="auto"/>
          <w:sz w:val="24"/>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pPr>
        <w:pStyle w:val="2"/>
        <w:ind w:firstLine="210"/>
        <w:rPr>
          <w:color w:val="auto"/>
          <w:highlight w:val="none"/>
        </w:rPr>
      </w:pPr>
    </w:p>
    <w:p>
      <w:pPr>
        <w:ind w:firstLine="420"/>
        <w:rPr>
          <w:rFonts w:ascii="仿宋" w:hAnsi="仿宋" w:eastAsia="仿宋"/>
          <w:color w:val="auto"/>
          <w:highlight w:val="none"/>
        </w:rPr>
      </w:pPr>
    </w:p>
    <w:p>
      <w:pPr>
        <w:ind w:firstLine="420"/>
        <w:rPr>
          <w:rFonts w:ascii="仿宋" w:hAnsi="仿宋" w:eastAsia="仿宋"/>
          <w:color w:val="auto"/>
          <w:highlight w:val="none"/>
        </w:rPr>
      </w:pPr>
    </w:p>
    <w:p>
      <w:pPr>
        <w:jc w:val="center"/>
        <w:rPr>
          <w:rFonts w:ascii="仿宋" w:hAnsi="仿宋" w:eastAsia="仿宋"/>
          <w:b/>
          <w:color w:val="auto"/>
          <w:sz w:val="28"/>
          <w:highlight w:val="none"/>
        </w:rPr>
      </w:pPr>
      <w:r>
        <w:rPr>
          <w:rFonts w:hint="eastAsia" w:ascii="仿宋" w:hAnsi="仿宋" w:eastAsia="仿宋"/>
          <w:b/>
          <w:color w:val="auto"/>
          <w:sz w:val="28"/>
          <w:highlight w:val="none"/>
        </w:rPr>
        <w:t xml:space="preserve">第一部分  </w:t>
      </w:r>
      <w:r>
        <w:rPr>
          <w:rFonts w:ascii="仿宋" w:hAnsi="仿宋" w:eastAsia="仿宋"/>
          <w:b/>
          <w:color w:val="auto"/>
          <w:sz w:val="28"/>
          <w:highlight w:val="none"/>
        </w:rPr>
        <w:t xml:space="preserve"> </w:t>
      </w:r>
      <w:r>
        <w:rPr>
          <w:rFonts w:hint="eastAsia" w:ascii="仿宋" w:hAnsi="仿宋" w:eastAsia="仿宋"/>
          <w:b/>
          <w:color w:val="auto"/>
          <w:sz w:val="28"/>
          <w:highlight w:val="none"/>
        </w:rPr>
        <w:t>合同书</w:t>
      </w:r>
    </w:p>
    <w:p>
      <w:pPr>
        <w:ind w:firstLine="420"/>
        <w:rPr>
          <w:rFonts w:ascii="仿宋" w:hAnsi="仿宋" w:eastAsia="仿宋"/>
          <w:color w:val="auto"/>
          <w:highlight w:val="none"/>
        </w:rPr>
      </w:pPr>
    </w:p>
    <w:p>
      <w:pPr>
        <w:ind w:firstLine="420"/>
        <w:rPr>
          <w:rFonts w:ascii="仿宋" w:hAnsi="仿宋" w:eastAsia="仿宋"/>
          <w:color w:val="auto"/>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rPr>
          <w:rFonts w:ascii="仿宋" w:hAnsi="仿宋" w:eastAsia="仿宋"/>
          <w:color w:val="auto"/>
          <w:sz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footerReference r:id="rId10" w:type="first"/>
          <w:headerReference r:id="rId8" w:type="default"/>
          <w:footerReference r:id="rId9" w:type="default"/>
          <w:pgSz w:w="11907" w:h="16840"/>
          <w:pgMar w:top="1474" w:right="1814" w:bottom="1474" w:left="1814" w:header="851" w:footer="851" w:gutter="0"/>
          <w:pgNumType w:start="1"/>
          <w:cols w:space="720" w:num="1"/>
          <w:titlePg/>
          <w:docGrid w:linePitch="286" w:charSpace="0"/>
        </w:sectPr>
      </w:pP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312" w:lineRule="auto"/>
        <w:ind w:firstLine="482" w:firstLineChars="200"/>
        <w:outlineLvl w:val="0"/>
        <w:rPr>
          <w:rFonts w:ascii="仿宋" w:hAnsi="仿宋" w:eastAsia="仿宋" w:cs="仿宋"/>
          <w:b/>
          <w:color w:val="auto"/>
          <w:sz w:val="24"/>
          <w:highlight w:val="none"/>
        </w:rPr>
      </w:pPr>
      <w:bookmarkStart w:id="10" w:name="_Toc2232"/>
      <w:bookmarkStart w:id="11" w:name="_Toc3029"/>
      <w:bookmarkStart w:id="12" w:name="_Toc24059"/>
      <w:r>
        <w:rPr>
          <w:rFonts w:hint="eastAsia" w:ascii="仿宋" w:hAnsi="仿宋" w:eastAsia="仿宋" w:cs="仿宋"/>
          <w:b/>
          <w:color w:val="auto"/>
          <w:sz w:val="24"/>
          <w:highlight w:val="none"/>
        </w:rPr>
        <w:t>1.1 合同组成部分</w:t>
      </w:r>
      <w:bookmarkEnd w:id="10"/>
      <w:bookmarkEnd w:id="11"/>
      <w:bookmarkEnd w:id="12"/>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312" w:lineRule="auto"/>
        <w:ind w:firstLine="482" w:firstLineChars="200"/>
        <w:outlineLvl w:val="0"/>
        <w:rPr>
          <w:rFonts w:ascii="仿宋" w:hAnsi="仿宋" w:eastAsia="仿宋" w:cs="仿宋"/>
          <w:b/>
          <w:color w:val="auto"/>
          <w:sz w:val="24"/>
          <w:highlight w:val="none"/>
        </w:rPr>
      </w:pPr>
      <w:bookmarkStart w:id="13" w:name="_Toc27126"/>
      <w:bookmarkStart w:id="14" w:name="_Toc24300"/>
      <w:bookmarkStart w:id="15" w:name="_Toc21295"/>
      <w:r>
        <w:rPr>
          <w:rFonts w:hint="eastAsia" w:ascii="仿宋" w:hAnsi="仿宋" w:eastAsia="仿宋" w:cs="仿宋"/>
          <w:b/>
          <w:color w:val="auto"/>
          <w:sz w:val="24"/>
          <w:highlight w:val="none"/>
        </w:rPr>
        <w:t xml:space="preserve">1.2 </w:t>
      </w:r>
      <w:bookmarkEnd w:id="13"/>
      <w:bookmarkEnd w:id="14"/>
      <w:bookmarkEnd w:id="15"/>
      <w:r>
        <w:rPr>
          <w:rFonts w:hint="eastAsia" w:ascii="仿宋" w:hAnsi="仿宋" w:eastAsia="仿宋" w:cs="仿宋"/>
          <w:b/>
          <w:color w:val="auto"/>
          <w:sz w:val="24"/>
          <w:highlight w:val="none"/>
        </w:rPr>
        <w:t>服务</w:t>
      </w:r>
    </w:p>
    <w:p>
      <w:pPr>
        <w:spacing w:line="312"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12"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服务期限和内容：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服务提供地点及方式：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12" w:lineRule="auto"/>
        <w:ind w:firstLine="482" w:firstLineChars="200"/>
        <w:outlineLvl w:val="0"/>
        <w:rPr>
          <w:rFonts w:ascii="仿宋" w:hAnsi="仿宋" w:eastAsia="仿宋" w:cs="仿宋"/>
          <w:b/>
          <w:color w:val="auto"/>
          <w:sz w:val="24"/>
          <w:highlight w:val="none"/>
        </w:rPr>
      </w:pPr>
      <w:bookmarkStart w:id="16" w:name="_Toc21551"/>
      <w:bookmarkStart w:id="17" w:name="_Toc23292"/>
      <w:bookmarkStart w:id="18" w:name="_Toc21631"/>
      <w:r>
        <w:rPr>
          <w:rFonts w:hint="eastAsia" w:ascii="仿宋" w:hAnsi="仿宋" w:eastAsia="仿宋" w:cs="仿宋"/>
          <w:b/>
          <w:color w:val="auto"/>
          <w:sz w:val="24"/>
          <w:highlight w:val="none"/>
        </w:rPr>
        <w:t>1.3 价款</w:t>
      </w:r>
      <w:bookmarkEnd w:id="16"/>
      <w:bookmarkEnd w:id="17"/>
      <w:bookmarkEnd w:id="18"/>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312"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jc w:val="center"/>
              <w:rPr>
                <w:rFonts w:ascii="仿宋" w:hAnsi="仿宋" w:eastAsia="仿宋" w:cs="仿宋"/>
                <w:color w:val="auto"/>
                <w:sz w:val="24"/>
                <w:highlight w:val="none"/>
              </w:rPr>
            </w:pPr>
          </w:p>
        </w:tc>
      </w:tr>
    </w:tbl>
    <w:p>
      <w:pPr>
        <w:spacing w:line="312" w:lineRule="auto"/>
        <w:ind w:firstLine="482" w:firstLineChars="200"/>
        <w:outlineLvl w:val="0"/>
        <w:rPr>
          <w:rFonts w:ascii="仿宋" w:hAnsi="仿宋" w:eastAsia="仿宋" w:cs="仿宋"/>
          <w:b/>
          <w:color w:val="auto"/>
          <w:sz w:val="24"/>
          <w:highlight w:val="none"/>
        </w:rPr>
      </w:pPr>
      <w:bookmarkStart w:id="19" w:name="_Toc10340"/>
      <w:bookmarkStart w:id="20" w:name="_Toc1814"/>
      <w:bookmarkStart w:id="21" w:name="_Toc22618"/>
      <w:bookmarkStart w:id="22" w:name="_Toc2846"/>
      <w:bookmarkStart w:id="23" w:name="_Toc32071"/>
      <w:bookmarkStart w:id="24" w:name="_Toc19304"/>
      <w:r>
        <w:rPr>
          <w:rFonts w:hint="eastAsia" w:ascii="仿宋" w:hAnsi="仿宋" w:eastAsia="仿宋" w:cs="仿宋"/>
          <w:b/>
          <w:color w:val="auto"/>
          <w:sz w:val="24"/>
          <w:highlight w:val="none"/>
        </w:rPr>
        <w:t>1.4 付款</w:t>
      </w:r>
      <w:bookmarkEnd w:id="19"/>
      <w:bookmarkEnd w:id="20"/>
      <w:bookmarkEnd w:id="21"/>
      <w:r>
        <w:rPr>
          <w:rFonts w:hint="eastAsia" w:ascii="仿宋" w:hAnsi="仿宋" w:eastAsia="仿宋" w:cs="仿宋"/>
          <w:b/>
          <w:color w:val="auto"/>
          <w:sz w:val="24"/>
          <w:highlight w:val="none"/>
        </w:rPr>
        <w:t>方式、时间和条件</w:t>
      </w:r>
    </w:p>
    <w:p>
      <w:pPr>
        <w:widowControl/>
        <w:spacing w:line="312"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付款方式按《浙江省财政厅关于坚决打赢疫情防控阻击战进一步做好政府采购资金支持企业发展工作的通知》（浙财采监〔2020〕3号）和《浙江省财政厅关于进一步发挥政府采购政策功能全力推动经济稳进提质的通知》（浙财采监〔2022〕3号）文件要求执行，具体付款方式由双方协商后在合同中明确。</w:t>
      </w:r>
      <w:r>
        <w:rPr>
          <w:rFonts w:hint="eastAsia" w:ascii="仿宋" w:hAnsi="仿宋" w:eastAsia="仿宋"/>
          <w:color w:val="auto"/>
          <w:sz w:val="24"/>
          <w:highlight w:val="none"/>
        </w:rPr>
        <w:t>不得把履约保证金转为质量保证金或收取质量保证金。</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12"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312"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22"/>
      <w:bookmarkEnd w:id="23"/>
      <w:bookmarkEnd w:id="24"/>
      <w:bookmarkStart w:id="25" w:name="_Toc21423"/>
      <w:bookmarkStart w:id="26" w:name="_Toc27250"/>
      <w:bookmarkStart w:id="27" w:name="_Toc19554"/>
      <w:r>
        <w:rPr>
          <w:rFonts w:hint="eastAsia" w:ascii="仿宋" w:hAnsi="仿宋" w:eastAsia="仿宋" w:cs="仿宋"/>
          <w:b/>
          <w:color w:val="auto"/>
          <w:sz w:val="24"/>
          <w:highlight w:val="none"/>
        </w:rPr>
        <w:t>违约责任</w:t>
      </w:r>
      <w:bookmarkEnd w:id="25"/>
      <w:bookmarkEnd w:id="26"/>
      <w:bookmarkEnd w:id="27"/>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 除不可抗力外，如果乙方没有按照本合同约定的期限、地点和方式提供服务，那么甲方可要求乙方支付违约金，违约金按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00  </w:t>
      </w:r>
      <w:r>
        <w:rPr>
          <w:rFonts w:hint="eastAsia" w:ascii="仿宋" w:hAnsi="仿宋" w:eastAsia="仿宋" w:cs="仿宋"/>
          <w:color w:val="auto"/>
          <w:sz w:val="24"/>
          <w:highlight w:val="none"/>
        </w:rPr>
        <w:t>元/次计算，最高限额为本合同总价的</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%；未按要求提供服务的违约金计算数额达到前述最高限额之日起，甲方有权在要求乙方支付违约金的同时，书面通知乙方解除本合同；</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0.1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1.5.6 如果出现政府采购监督管理部门在处理投诉事项期间，书面通知甲方暂停采购活动的情形，或者询问或质疑事项可能影响中标结果的，导致甲方中止履行合同的情形，均不视为甲方违约。</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312" w:lineRule="auto"/>
        <w:ind w:firstLine="482" w:firstLineChars="200"/>
        <w:outlineLvl w:val="0"/>
        <w:rPr>
          <w:rFonts w:ascii="仿宋" w:hAnsi="仿宋" w:eastAsia="仿宋" w:cs="仿宋"/>
          <w:b/>
          <w:color w:val="auto"/>
          <w:sz w:val="24"/>
          <w:highlight w:val="none"/>
        </w:rPr>
      </w:pPr>
      <w:bookmarkStart w:id="28" w:name="_Toc16021"/>
      <w:bookmarkStart w:id="29" w:name="_Toc15583"/>
      <w:bookmarkStart w:id="30" w:name="_Toc28375"/>
      <w:r>
        <w:rPr>
          <w:rFonts w:hint="eastAsia" w:ascii="仿宋" w:hAnsi="仿宋" w:eastAsia="仿宋" w:cs="仿宋"/>
          <w:b/>
          <w:color w:val="auto"/>
          <w:sz w:val="24"/>
          <w:highlight w:val="none"/>
        </w:rPr>
        <w:t>1.6 合同争议的解决</w:t>
      </w:r>
      <w:bookmarkEnd w:id="28"/>
      <w:bookmarkEnd w:id="29"/>
      <w:bookmarkEnd w:id="30"/>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312" w:lineRule="auto"/>
        <w:ind w:firstLine="482" w:firstLineChars="200"/>
        <w:outlineLvl w:val="0"/>
        <w:rPr>
          <w:rFonts w:ascii="仿宋" w:hAnsi="仿宋" w:eastAsia="仿宋" w:cs="仿宋"/>
          <w:b/>
          <w:color w:val="auto"/>
          <w:sz w:val="24"/>
          <w:highlight w:val="none"/>
        </w:rPr>
      </w:pPr>
      <w:bookmarkStart w:id="31" w:name="_Toc11173"/>
      <w:bookmarkStart w:id="32" w:name="_Toc7245"/>
      <w:bookmarkStart w:id="33" w:name="_Toc15322"/>
      <w:r>
        <w:rPr>
          <w:rFonts w:hint="eastAsia" w:ascii="仿宋" w:hAnsi="仿宋" w:eastAsia="仿宋" w:cs="仿宋"/>
          <w:b/>
          <w:color w:val="auto"/>
          <w:sz w:val="24"/>
          <w:highlight w:val="none"/>
        </w:rPr>
        <w:t>1.7 合同生效</w:t>
      </w:r>
      <w:bookmarkEnd w:id="31"/>
      <w:bookmarkEnd w:id="32"/>
      <w:bookmarkEnd w:id="33"/>
    </w:p>
    <w:p>
      <w:pPr>
        <w:spacing w:line="312"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pPr>
        <w:autoSpaceDE w:val="0"/>
        <w:autoSpaceDN w:val="0"/>
        <w:spacing w:line="312" w:lineRule="auto"/>
        <w:ind w:firstLine="480" w:firstLineChars="200"/>
        <w:rPr>
          <w:rFonts w:ascii="仿宋" w:hAnsi="仿宋" w:eastAsia="仿宋" w:cs="仿宋"/>
          <w:color w:val="auto"/>
          <w:sz w:val="24"/>
          <w:highlight w:val="none"/>
          <w:lang w:val="zh-CN"/>
        </w:rPr>
      </w:pPr>
    </w:p>
    <w:p>
      <w:pPr>
        <w:autoSpaceDE w:val="0"/>
        <w:autoSpaceDN w:val="0"/>
        <w:spacing w:line="312" w:lineRule="auto"/>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312"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312" w:lineRule="auto"/>
        <w:ind w:firstLine="480" w:firstLineChars="200"/>
        <w:rPr>
          <w:rFonts w:ascii="仿宋" w:hAnsi="仿宋" w:eastAsia="仿宋" w:cs="仿宋"/>
          <w:color w:val="auto"/>
          <w:sz w:val="24"/>
          <w:highlight w:val="none"/>
          <w:lang w:val="zh-CN"/>
        </w:rPr>
      </w:pPr>
    </w:p>
    <w:p>
      <w:pPr>
        <w:autoSpaceDE w:val="0"/>
        <w:autoSpaceDN w:val="0"/>
        <w:spacing w:line="312"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312"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312"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pacing w:line="312"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312"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312"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312"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312"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312" w:lineRule="auto"/>
        <w:ind w:firstLine="482" w:firstLineChars="200"/>
        <w:jc w:val="left"/>
        <w:rPr>
          <w:rFonts w:ascii="仿宋" w:hAnsi="仿宋" w:eastAsia="仿宋" w:cs="仿宋"/>
          <w:b/>
          <w:color w:val="auto"/>
          <w:sz w:val="24"/>
          <w:highlight w:val="none"/>
        </w:rPr>
      </w:pPr>
      <w:bookmarkStart w:id="34" w:name="_Toc331685783"/>
    </w:p>
    <w:p>
      <w:pPr>
        <w:spacing w:line="312" w:lineRule="auto"/>
        <w:ind w:firstLine="482" w:firstLineChars="200"/>
        <w:jc w:val="center"/>
        <w:rPr>
          <w:rFonts w:ascii="仿宋" w:hAnsi="仿宋" w:eastAsia="仿宋" w:cs="仿宋"/>
          <w:b/>
          <w:color w:val="auto"/>
          <w:sz w:val="24"/>
          <w:highlight w:val="none"/>
        </w:rPr>
      </w:pPr>
    </w:p>
    <w:p>
      <w:pPr>
        <w:spacing w:line="312" w:lineRule="auto"/>
        <w:ind w:firstLine="482" w:firstLineChars="200"/>
        <w:jc w:val="center"/>
        <w:rPr>
          <w:rFonts w:ascii="仿宋" w:hAnsi="仿宋" w:eastAsia="仿宋" w:cs="仿宋"/>
          <w:b/>
          <w:color w:val="auto"/>
          <w:sz w:val="24"/>
          <w:highlight w:val="none"/>
        </w:rPr>
      </w:pPr>
    </w:p>
    <w:p>
      <w:pPr>
        <w:spacing w:line="312"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pacing w:line="312" w:lineRule="auto"/>
        <w:ind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合同一般条款</w:t>
      </w:r>
      <w:bookmarkEnd w:id="34"/>
    </w:p>
    <w:p>
      <w:pPr>
        <w:spacing w:line="312" w:lineRule="auto"/>
        <w:ind w:firstLine="482" w:firstLineChars="200"/>
        <w:outlineLvl w:val="0"/>
        <w:rPr>
          <w:rFonts w:ascii="仿宋" w:hAnsi="仿宋" w:eastAsia="仿宋" w:cs="仿宋"/>
          <w:b/>
          <w:color w:val="auto"/>
          <w:sz w:val="24"/>
          <w:highlight w:val="none"/>
        </w:rPr>
      </w:pPr>
      <w:bookmarkStart w:id="35" w:name="_Ref467378404"/>
      <w:bookmarkStart w:id="36" w:name="_Ref467379205"/>
      <w:bookmarkStart w:id="37" w:name="_Ref467379101"/>
      <w:bookmarkStart w:id="38" w:name="_Toc487900349"/>
      <w:bookmarkStart w:id="39" w:name="_Toc19614"/>
      <w:bookmarkStart w:id="40" w:name="_Ref467379195"/>
      <w:bookmarkStart w:id="41" w:name="_Toc16917"/>
      <w:bookmarkStart w:id="42" w:name="_Toc259093669"/>
      <w:bookmarkStart w:id="43" w:name="_Ref467378463"/>
      <w:bookmarkStart w:id="44" w:name="_Toc28763"/>
      <w:bookmarkStart w:id="45" w:name="_Ref467379094"/>
      <w:bookmarkStart w:id="46" w:name="_Toc279701240"/>
      <w:bookmarkStart w:id="47" w:name="_Ref467379109"/>
      <w:bookmarkStart w:id="48" w:name="_Ref467379214"/>
      <w:bookmarkStart w:id="49" w:name="_Ref467379225"/>
      <w:bookmarkStart w:id="50" w:name="_Ref467378499"/>
      <w:r>
        <w:rPr>
          <w:rFonts w:hint="eastAsia" w:ascii="仿宋" w:hAnsi="仿宋" w:eastAsia="仿宋" w:cs="仿宋"/>
          <w:b/>
          <w:color w:val="auto"/>
          <w:sz w:val="24"/>
          <w:highlight w:val="none"/>
        </w:rPr>
        <w:t>2.1 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“服务”系指中标供应商根据合同约定应向采购人提供的服务。</w:t>
      </w:r>
    </w:p>
    <w:p>
      <w:pPr>
        <w:spacing w:line="312" w:lineRule="auto"/>
        <w:ind w:firstLine="480" w:firstLineChars="200"/>
        <w:rPr>
          <w:rFonts w:ascii="仿宋" w:hAnsi="仿宋" w:eastAsia="仿宋" w:cs="仿宋"/>
          <w:color w:val="auto"/>
          <w:sz w:val="24"/>
          <w:highlight w:val="none"/>
        </w:rPr>
      </w:pPr>
      <w:bookmarkStart w:id="51" w:name="_Ref467378840"/>
      <w:r>
        <w:rPr>
          <w:rFonts w:hint="eastAsia" w:ascii="仿宋" w:hAnsi="仿宋" w:eastAsia="仿宋" w:cs="仿宋"/>
          <w:color w:val="auto"/>
          <w:sz w:val="24"/>
          <w:highlight w:val="none"/>
        </w:rPr>
        <w:t>2.1.4 “甲方”系指与中标供应商签署合同的采购人</w:t>
      </w:r>
      <w:bookmarkEnd w:id="51"/>
      <w:r>
        <w:rPr>
          <w:rFonts w:hint="eastAsia" w:ascii="仿宋" w:hAnsi="仿宋" w:eastAsia="仿宋" w:cs="仿宋"/>
          <w:color w:val="auto"/>
          <w:sz w:val="24"/>
          <w:highlight w:val="none"/>
        </w:rPr>
        <w:t>。</w:t>
      </w:r>
    </w:p>
    <w:p>
      <w:pPr>
        <w:spacing w:line="312" w:lineRule="auto"/>
        <w:ind w:firstLine="480" w:firstLineChars="200"/>
        <w:rPr>
          <w:rFonts w:ascii="仿宋" w:hAnsi="仿宋" w:eastAsia="仿宋" w:cs="仿宋"/>
          <w:color w:val="auto"/>
          <w:sz w:val="24"/>
          <w:highlight w:val="none"/>
        </w:rPr>
      </w:pPr>
      <w:bookmarkStart w:id="52" w:name="_Ref467379400"/>
      <w:r>
        <w:rPr>
          <w:rFonts w:hint="eastAsia" w:ascii="仿宋" w:hAnsi="仿宋" w:eastAsia="仿宋" w:cs="仿宋"/>
          <w:color w:val="auto"/>
          <w:sz w:val="24"/>
          <w:highlight w:val="none"/>
        </w:rPr>
        <w:t>2.1.5 “乙方”系指根据合同约定提供服务的中标供应商</w:t>
      </w:r>
      <w:bookmarkEnd w:id="52"/>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12" w:lineRule="auto"/>
        <w:ind w:firstLine="480" w:firstLineChars="200"/>
        <w:rPr>
          <w:rFonts w:ascii="仿宋" w:hAnsi="仿宋" w:eastAsia="仿宋" w:cs="仿宋"/>
          <w:color w:val="auto"/>
          <w:sz w:val="24"/>
          <w:highlight w:val="none"/>
        </w:rPr>
      </w:pPr>
      <w:bookmarkStart w:id="53" w:name="_Ref467379436"/>
      <w:r>
        <w:rPr>
          <w:rFonts w:hint="eastAsia" w:ascii="仿宋" w:hAnsi="仿宋" w:eastAsia="仿宋" w:cs="仿宋"/>
          <w:color w:val="auto"/>
          <w:sz w:val="24"/>
          <w:highlight w:val="none"/>
        </w:rPr>
        <w:t>2.1.6 “现场”系指合同约定服务提供地点。</w:t>
      </w:r>
      <w:bookmarkEnd w:id="53"/>
    </w:p>
    <w:p>
      <w:pPr>
        <w:spacing w:line="312" w:lineRule="auto"/>
        <w:ind w:firstLine="482" w:firstLineChars="200"/>
        <w:outlineLvl w:val="0"/>
        <w:rPr>
          <w:rFonts w:ascii="仿宋" w:hAnsi="仿宋" w:eastAsia="仿宋" w:cs="仿宋"/>
          <w:b/>
          <w:color w:val="auto"/>
          <w:sz w:val="24"/>
          <w:highlight w:val="none"/>
        </w:rPr>
      </w:pPr>
      <w:bookmarkStart w:id="54" w:name="_Toc13336"/>
      <w:bookmarkStart w:id="55" w:name="_Toc32504"/>
      <w:bookmarkStart w:id="56" w:name="_Toc487900350"/>
      <w:bookmarkStart w:id="57" w:name="_Toc279701241"/>
      <w:bookmarkStart w:id="58" w:name="_Toc27635"/>
      <w:bookmarkStart w:id="59" w:name="_Toc259093670"/>
      <w:r>
        <w:rPr>
          <w:rFonts w:hint="eastAsia" w:ascii="仿宋" w:hAnsi="仿宋" w:eastAsia="仿宋" w:cs="仿宋"/>
          <w:b/>
          <w:color w:val="auto"/>
          <w:sz w:val="24"/>
          <w:highlight w:val="none"/>
        </w:rPr>
        <w:t>2.2 技术规范</w:t>
      </w:r>
      <w:bookmarkEnd w:id="54"/>
      <w:bookmarkEnd w:id="55"/>
      <w:bookmarkEnd w:id="56"/>
      <w:bookmarkEnd w:id="57"/>
      <w:bookmarkEnd w:id="58"/>
      <w:bookmarkEnd w:id="59"/>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服务所应遵守的相关要求应与采购文件规定的相关要求及其偏差表(如果被甲方接受的话)相一致；如果采购文件中没有相应说明，那么应以国家有关部门最新颁布的相应标准和规范为准。</w:t>
      </w:r>
    </w:p>
    <w:p>
      <w:pPr>
        <w:spacing w:line="312" w:lineRule="auto"/>
        <w:ind w:firstLine="482" w:firstLineChars="200"/>
        <w:outlineLvl w:val="0"/>
        <w:rPr>
          <w:rFonts w:ascii="仿宋" w:hAnsi="仿宋" w:eastAsia="仿宋" w:cs="仿宋"/>
          <w:b/>
          <w:color w:val="auto"/>
          <w:sz w:val="24"/>
          <w:highlight w:val="none"/>
        </w:rPr>
      </w:pPr>
      <w:bookmarkStart w:id="60" w:name="_Toc9829"/>
      <w:bookmarkStart w:id="61" w:name="_Toc31634"/>
      <w:bookmarkStart w:id="62" w:name="_Toc259093671"/>
      <w:bookmarkStart w:id="63" w:name="_Toc27853"/>
      <w:bookmarkStart w:id="64" w:name="_Toc487900351"/>
      <w:bookmarkStart w:id="65" w:name="_Toc279701242"/>
      <w:r>
        <w:rPr>
          <w:rFonts w:hint="eastAsia" w:ascii="仿宋" w:hAnsi="仿宋" w:eastAsia="仿宋" w:cs="仿宋"/>
          <w:b/>
          <w:color w:val="auto"/>
          <w:sz w:val="24"/>
          <w:highlight w:val="none"/>
        </w:rPr>
        <w:t>2.3 知识产权</w:t>
      </w:r>
      <w:bookmarkEnd w:id="60"/>
      <w:bookmarkEnd w:id="61"/>
      <w:bookmarkEnd w:id="62"/>
      <w:bookmarkEnd w:id="63"/>
      <w:bookmarkEnd w:id="64"/>
      <w:bookmarkEnd w:id="65"/>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2.3.2具有知识产权的计算机软件等开发服务的知识产权归属，详见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312" w:lineRule="auto"/>
        <w:ind w:firstLine="482" w:firstLineChars="200"/>
        <w:outlineLvl w:val="0"/>
        <w:rPr>
          <w:rFonts w:ascii="仿宋" w:hAnsi="仿宋" w:eastAsia="仿宋" w:cs="仿宋"/>
          <w:b/>
          <w:color w:val="auto"/>
          <w:sz w:val="24"/>
          <w:highlight w:val="none"/>
        </w:rPr>
      </w:pPr>
      <w:bookmarkStart w:id="66" w:name="_Toc29149"/>
      <w:bookmarkStart w:id="67" w:name="_Toc11932"/>
      <w:bookmarkStart w:id="68" w:name="_Toc4194"/>
      <w:r>
        <w:rPr>
          <w:rFonts w:hint="eastAsia" w:ascii="仿宋" w:hAnsi="仿宋" w:eastAsia="仿宋" w:cs="仿宋"/>
          <w:b/>
          <w:color w:val="auto"/>
          <w:sz w:val="24"/>
          <w:highlight w:val="none"/>
        </w:rPr>
        <w:t>2.4 包装和装运</w:t>
      </w:r>
      <w:bookmarkEnd w:id="66"/>
      <w:bookmarkEnd w:id="67"/>
      <w:bookmarkEnd w:id="68"/>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涉及服务的要求和通知，详见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312" w:lineRule="auto"/>
        <w:ind w:firstLine="482" w:firstLineChars="200"/>
        <w:outlineLvl w:val="0"/>
        <w:rPr>
          <w:rFonts w:ascii="仿宋" w:hAnsi="仿宋" w:eastAsia="仿宋" w:cs="仿宋"/>
          <w:b/>
          <w:color w:val="auto"/>
          <w:sz w:val="24"/>
          <w:highlight w:val="none"/>
        </w:rPr>
      </w:pPr>
      <w:bookmarkStart w:id="69" w:name="_Ref467379527"/>
      <w:bookmarkStart w:id="70" w:name="_Ref467378591"/>
      <w:bookmarkStart w:id="71" w:name="_Ref467379542"/>
      <w:bookmarkStart w:id="72" w:name="_Ref467379536"/>
      <w:bookmarkStart w:id="73" w:name="_Toc279701245"/>
      <w:bookmarkStart w:id="74" w:name="_Toc487900354"/>
      <w:bookmarkStart w:id="75" w:name="_Toc259093674"/>
      <w:bookmarkStart w:id="76" w:name="_Ref467378541"/>
      <w:bookmarkStart w:id="77" w:name="_Toc26182"/>
      <w:bookmarkStart w:id="78" w:name="_Toc19074"/>
      <w:bookmarkStart w:id="79" w:name="_Toc30272"/>
      <w:r>
        <w:rPr>
          <w:rFonts w:hint="eastAsia" w:ascii="仿宋" w:hAnsi="仿宋" w:eastAsia="仿宋" w:cs="仿宋"/>
          <w:b/>
          <w:color w:val="auto"/>
          <w:sz w:val="24"/>
          <w:highlight w:val="none"/>
        </w:rPr>
        <w:t>2.</w:t>
      </w:r>
      <w:bookmarkEnd w:id="69"/>
      <w:bookmarkEnd w:id="70"/>
      <w:bookmarkEnd w:id="71"/>
      <w:bookmarkEnd w:id="72"/>
      <w:bookmarkEnd w:id="73"/>
      <w:bookmarkEnd w:id="74"/>
      <w:bookmarkEnd w:id="75"/>
      <w:bookmarkEnd w:id="76"/>
      <w:r>
        <w:rPr>
          <w:rFonts w:hint="eastAsia" w:ascii="仿宋" w:hAnsi="仿宋" w:eastAsia="仿宋" w:cs="仿宋"/>
          <w:b/>
          <w:color w:val="auto"/>
          <w:sz w:val="24"/>
          <w:highlight w:val="none"/>
        </w:rPr>
        <w:t>5 履约检查和问题反馈</w:t>
      </w:r>
      <w:bookmarkEnd w:id="77"/>
      <w:bookmarkEnd w:id="78"/>
      <w:bookmarkEnd w:id="79"/>
    </w:p>
    <w:p>
      <w:pPr>
        <w:spacing w:line="312" w:lineRule="auto"/>
        <w:ind w:firstLine="480" w:firstLineChars="200"/>
        <w:rPr>
          <w:rFonts w:ascii="仿宋" w:hAnsi="仿宋" w:eastAsia="仿宋" w:cs="仿宋"/>
          <w:color w:val="auto"/>
          <w:sz w:val="24"/>
          <w:highlight w:val="none"/>
        </w:rPr>
      </w:pPr>
      <w:bookmarkStart w:id="80" w:name="_Ref467379657"/>
      <w:r>
        <w:rPr>
          <w:rFonts w:hint="eastAsia" w:ascii="仿宋" w:hAnsi="仿宋" w:eastAsia="仿宋" w:cs="仿宋"/>
          <w:color w:val="auto"/>
          <w:sz w:val="24"/>
          <w:highlight w:val="none"/>
        </w:rPr>
        <w:t>2.5.1</w:t>
      </w:r>
      <w:bookmarkEnd w:id="80"/>
      <w:bookmarkStart w:id="81" w:name="_Toc186431854"/>
      <w:bookmarkStart w:id="82" w:name="_Toc259093676"/>
      <w:bookmarkStart w:id="83" w:name="_Ref467379793"/>
      <w:bookmarkStart w:id="84" w:name="_Toc487900357"/>
      <w:bookmarkStart w:id="85" w:name="_Toc279701247"/>
      <w:bookmarkStart w:id="86" w:name="_Ref46737980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81"/>
      <w:bookmarkStart w:id="87" w:name="_Toc186431855"/>
      <w:r>
        <w:rPr>
          <w:rFonts w:hint="eastAsia" w:ascii="仿宋" w:hAnsi="仿宋" w:eastAsia="仿宋" w:cs="仿宋"/>
          <w:color w:val="auto"/>
          <w:sz w:val="24"/>
          <w:highlight w:val="none"/>
        </w:rPr>
        <w:t>。</w:t>
      </w:r>
    </w:p>
    <w:bookmarkEnd w:id="82"/>
    <w:bookmarkEnd w:id="83"/>
    <w:bookmarkEnd w:id="84"/>
    <w:bookmarkEnd w:id="85"/>
    <w:bookmarkEnd w:id="86"/>
    <w:bookmarkEnd w:id="87"/>
    <w:p>
      <w:pPr>
        <w:spacing w:line="312" w:lineRule="auto"/>
        <w:ind w:firstLine="482" w:firstLineChars="200"/>
        <w:outlineLvl w:val="0"/>
        <w:rPr>
          <w:rFonts w:ascii="仿宋" w:hAnsi="仿宋" w:eastAsia="仿宋" w:cs="仿宋"/>
          <w:b/>
          <w:color w:val="auto"/>
          <w:sz w:val="24"/>
          <w:highlight w:val="none"/>
        </w:rPr>
      </w:pPr>
      <w:bookmarkStart w:id="88" w:name="_Toc259093677"/>
      <w:bookmarkStart w:id="89" w:name="_Toc279701248"/>
      <w:bookmarkStart w:id="90" w:name="_Ref467379863"/>
      <w:bookmarkStart w:id="91" w:name="_Toc487900358"/>
      <w:bookmarkStart w:id="92" w:name="_Ref467379923"/>
      <w:bookmarkStart w:id="93" w:name="_Ref467379852"/>
      <w:bookmarkStart w:id="94" w:name="_Toc774"/>
      <w:bookmarkStart w:id="95" w:name="_Toc3225"/>
      <w:bookmarkStart w:id="96" w:name="_Toc16110"/>
      <w:r>
        <w:rPr>
          <w:rFonts w:hint="eastAsia" w:ascii="仿宋" w:hAnsi="仿宋" w:eastAsia="仿宋" w:cs="仿宋"/>
          <w:b/>
          <w:color w:val="auto"/>
          <w:sz w:val="24"/>
          <w:highlight w:val="none"/>
        </w:rPr>
        <w:t>2.6 技术资料</w:t>
      </w:r>
      <w:bookmarkEnd w:id="88"/>
      <w:bookmarkEnd w:id="89"/>
      <w:bookmarkEnd w:id="90"/>
      <w:bookmarkEnd w:id="91"/>
      <w:bookmarkEnd w:id="92"/>
      <w:bookmarkEnd w:id="93"/>
      <w:r>
        <w:rPr>
          <w:rFonts w:hint="eastAsia" w:ascii="仿宋" w:hAnsi="仿宋" w:eastAsia="仿宋" w:cs="仿宋"/>
          <w:b/>
          <w:color w:val="auto"/>
          <w:sz w:val="24"/>
          <w:highlight w:val="none"/>
        </w:rPr>
        <w:t>和保密义务</w:t>
      </w:r>
      <w:bookmarkEnd w:id="94"/>
      <w:bookmarkEnd w:id="95"/>
      <w:bookmarkEnd w:id="96"/>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12" w:lineRule="auto"/>
        <w:ind w:firstLine="482" w:firstLineChars="200"/>
        <w:outlineLvl w:val="0"/>
        <w:rPr>
          <w:rFonts w:ascii="仿宋" w:hAnsi="仿宋" w:eastAsia="仿宋" w:cs="仿宋"/>
          <w:b/>
          <w:color w:val="auto"/>
          <w:sz w:val="24"/>
          <w:highlight w:val="none"/>
        </w:rPr>
      </w:pPr>
      <w:bookmarkStart w:id="97" w:name="_Toc7860"/>
      <w:r>
        <w:rPr>
          <w:rFonts w:hint="eastAsia" w:ascii="仿宋" w:hAnsi="仿宋" w:eastAsia="仿宋" w:cs="仿宋"/>
          <w:b/>
          <w:color w:val="auto"/>
          <w:sz w:val="24"/>
          <w:highlight w:val="none"/>
        </w:rPr>
        <w:t>2.7 质量保证</w:t>
      </w:r>
      <w:bookmarkEnd w:id="97"/>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312" w:lineRule="auto"/>
        <w:ind w:firstLine="482" w:firstLineChars="200"/>
        <w:outlineLvl w:val="0"/>
        <w:rPr>
          <w:rFonts w:ascii="仿宋" w:hAnsi="仿宋" w:eastAsia="仿宋" w:cs="仿宋"/>
          <w:b/>
          <w:color w:val="auto"/>
          <w:sz w:val="24"/>
          <w:highlight w:val="none"/>
        </w:rPr>
      </w:pPr>
      <w:bookmarkStart w:id="98" w:name="_Toc17244"/>
      <w:bookmarkStart w:id="99" w:name="_Toc279701252"/>
      <w:bookmarkStart w:id="100" w:name="_Toc487900362"/>
      <w:bookmarkStart w:id="101" w:name="_Toc259093681"/>
      <w:r>
        <w:rPr>
          <w:rFonts w:hint="eastAsia" w:ascii="仿宋" w:hAnsi="仿宋" w:eastAsia="仿宋" w:cs="仿宋"/>
          <w:b/>
          <w:color w:val="auto"/>
          <w:sz w:val="24"/>
          <w:highlight w:val="none"/>
        </w:rPr>
        <w:t>2.8 服务的风险负担</w:t>
      </w:r>
      <w:bookmarkEnd w:id="98"/>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服务过程中涉及的风险负担详见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312" w:lineRule="auto"/>
        <w:ind w:firstLine="482" w:firstLineChars="200"/>
        <w:outlineLvl w:val="0"/>
        <w:rPr>
          <w:rFonts w:ascii="仿宋" w:hAnsi="仿宋" w:eastAsia="仿宋" w:cs="仿宋"/>
          <w:b/>
          <w:color w:val="auto"/>
          <w:sz w:val="24"/>
          <w:highlight w:val="none"/>
        </w:rPr>
      </w:pPr>
      <w:bookmarkStart w:id="102" w:name="_Toc14055"/>
      <w:r>
        <w:rPr>
          <w:rFonts w:hint="eastAsia" w:ascii="仿宋" w:hAnsi="仿宋" w:eastAsia="仿宋" w:cs="仿宋"/>
          <w:b/>
          <w:color w:val="auto"/>
          <w:sz w:val="24"/>
          <w:highlight w:val="none"/>
        </w:rPr>
        <w:t>2.9 延迟</w:t>
      </w:r>
      <w:bookmarkEnd w:id="99"/>
      <w:bookmarkEnd w:id="100"/>
      <w:bookmarkEnd w:id="101"/>
      <w:bookmarkEnd w:id="102"/>
      <w:r>
        <w:rPr>
          <w:rFonts w:hint="eastAsia" w:ascii="仿宋" w:hAnsi="仿宋" w:eastAsia="仿宋" w:cs="仿宋"/>
          <w:b/>
          <w:color w:val="auto"/>
          <w:sz w:val="24"/>
          <w:highlight w:val="none"/>
        </w:rPr>
        <w:t>交付</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pPr>
        <w:spacing w:line="312" w:lineRule="auto"/>
        <w:ind w:firstLine="482" w:firstLineChars="200"/>
        <w:outlineLvl w:val="0"/>
        <w:rPr>
          <w:rFonts w:ascii="仿宋" w:hAnsi="仿宋" w:eastAsia="仿宋" w:cs="仿宋"/>
          <w:b/>
          <w:color w:val="auto"/>
          <w:sz w:val="24"/>
          <w:highlight w:val="none"/>
        </w:rPr>
      </w:pPr>
      <w:bookmarkStart w:id="103" w:name="_Toc7502"/>
      <w:bookmarkStart w:id="104" w:name="_Toc279701254"/>
      <w:bookmarkStart w:id="105" w:name="_Toc487900364"/>
      <w:bookmarkStart w:id="106" w:name="_Ref467378121"/>
      <w:bookmarkStart w:id="107" w:name="_Toc259093683"/>
      <w:r>
        <w:rPr>
          <w:rFonts w:hint="eastAsia" w:ascii="仿宋" w:hAnsi="仿宋" w:eastAsia="仿宋" w:cs="仿宋"/>
          <w:b/>
          <w:color w:val="auto"/>
          <w:sz w:val="24"/>
          <w:highlight w:val="none"/>
        </w:rPr>
        <w:t>2.10合同变更</w:t>
      </w:r>
      <w:bookmarkEnd w:id="103"/>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08" w:name="_Toc279701259"/>
      <w:bookmarkStart w:id="109" w:name="_Toc487900369"/>
      <w:bookmarkStart w:id="110" w:name="_Toc259093688"/>
    </w:p>
    <w:p>
      <w:pPr>
        <w:spacing w:line="312" w:lineRule="auto"/>
        <w:ind w:firstLine="482" w:firstLineChars="200"/>
        <w:outlineLvl w:val="0"/>
        <w:rPr>
          <w:rFonts w:ascii="仿宋" w:hAnsi="仿宋" w:eastAsia="仿宋" w:cs="仿宋"/>
          <w:b/>
          <w:color w:val="auto"/>
          <w:sz w:val="24"/>
          <w:highlight w:val="none"/>
        </w:rPr>
      </w:pPr>
      <w:bookmarkStart w:id="111" w:name="_Toc10366"/>
      <w:bookmarkStart w:id="112" w:name="_Toc15237"/>
      <w:bookmarkStart w:id="113" w:name="_Toc22955"/>
      <w:r>
        <w:rPr>
          <w:rFonts w:hint="eastAsia" w:ascii="仿宋" w:hAnsi="仿宋" w:eastAsia="仿宋" w:cs="仿宋"/>
          <w:b/>
          <w:color w:val="auto"/>
          <w:sz w:val="24"/>
          <w:highlight w:val="none"/>
        </w:rPr>
        <w:t>2.11合同转让</w:t>
      </w:r>
      <w:bookmarkEnd w:id="108"/>
      <w:bookmarkEnd w:id="109"/>
      <w:bookmarkEnd w:id="110"/>
      <w:r>
        <w:rPr>
          <w:rFonts w:hint="eastAsia" w:ascii="仿宋" w:hAnsi="仿宋" w:eastAsia="仿宋" w:cs="仿宋"/>
          <w:b/>
          <w:color w:val="auto"/>
          <w:sz w:val="24"/>
          <w:highlight w:val="none"/>
        </w:rPr>
        <w:t>和分包</w:t>
      </w:r>
      <w:bookmarkEnd w:id="111"/>
      <w:bookmarkEnd w:id="112"/>
      <w:bookmarkEnd w:id="113"/>
      <w:r>
        <w:rPr>
          <w:rFonts w:hint="eastAsia" w:ascii="仿宋" w:hAnsi="仿宋" w:eastAsia="仿宋" w:cs="仿宋"/>
          <w:b/>
          <w:color w:val="auto"/>
          <w:sz w:val="24"/>
          <w:highlight w:val="none"/>
        </w:rPr>
        <w:t>（如有）</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312" w:lineRule="auto"/>
        <w:ind w:firstLine="482" w:firstLineChars="200"/>
        <w:outlineLvl w:val="0"/>
        <w:rPr>
          <w:rFonts w:ascii="仿宋" w:hAnsi="仿宋" w:eastAsia="仿宋" w:cs="仿宋"/>
          <w:b/>
          <w:color w:val="auto"/>
          <w:sz w:val="24"/>
          <w:highlight w:val="none"/>
        </w:rPr>
      </w:pPr>
      <w:bookmarkStart w:id="114" w:name="_Toc14066"/>
      <w:bookmarkStart w:id="115" w:name="_Toc13566"/>
      <w:bookmarkStart w:id="116" w:name="_Toc16508"/>
      <w:r>
        <w:rPr>
          <w:rFonts w:hint="eastAsia" w:ascii="仿宋" w:hAnsi="仿宋" w:eastAsia="仿宋" w:cs="仿宋"/>
          <w:b/>
          <w:color w:val="auto"/>
          <w:sz w:val="24"/>
          <w:highlight w:val="none"/>
        </w:rPr>
        <w:t>2.12不可抗力</w:t>
      </w:r>
      <w:bookmarkEnd w:id="114"/>
      <w:bookmarkEnd w:id="115"/>
      <w:bookmarkEnd w:id="116"/>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312" w:lineRule="auto"/>
        <w:ind w:firstLine="482" w:firstLineChars="200"/>
        <w:outlineLvl w:val="0"/>
        <w:rPr>
          <w:rFonts w:ascii="仿宋" w:hAnsi="仿宋" w:eastAsia="仿宋" w:cs="仿宋"/>
          <w:b/>
          <w:color w:val="auto"/>
          <w:sz w:val="24"/>
          <w:highlight w:val="none"/>
        </w:rPr>
      </w:pPr>
      <w:bookmarkStart w:id="117" w:name="_Toc30676"/>
      <w:bookmarkStart w:id="118" w:name="_Toc279701255"/>
      <w:bookmarkStart w:id="119" w:name="_Toc689"/>
      <w:bookmarkStart w:id="120" w:name="_Toc6969"/>
      <w:bookmarkStart w:id="121" w:name="_Toc259093684"/>
      <w:bookmarkStart w:id="122" w:name="_Toc487900365"/>
      <w:r>
        <w:rPr>
          <w:rFonts w:hint="eastAsia" w:ascii="仿宋" w:hAnsi="仿宋" w:eastAsia="仿宋" w:cs="仿宋"/>
          <w:b/>
          <w:color w:val="auto"/>
          <w:sz w:val="24"/>
          <w:highlight w:val="none"/>
        </w:rPr>
        <w:t>2.13 税费</w:t>
      </w:r>
      <w:bookmarkEnd w:id="117"/>
      <w:bookmarkEnd w:id="118"/>
      <w:bookmarkEnd w:id="119"/>
      <w:bookmarkEnd w:id="120"/>
      <w:bookmarkEnd w:id="121"/>
      <w:bookmarkEnd w:id="122"/>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312" w:lineRule="auto"/>
        <w:ind w:firstLine="482" w:firstLineChars="200"/>
        <w:outlineLvl w:val="0"/>
        <w:rPr>
          <w:rFonts w:ascii="仿宋" w:hAnsi="仿宋" w:eastAsia="仿宋" w:cs="仿宋"/>
          <w:b/>
          <w:color w:val="auto"/>
          <w:sz w:val="24"/>
          <w:highlight w:val="none"/>
        </w:rPr>
      </w:pPr>
      <w:bookmarkStart w:id="123" w:name="_Toc487900368"/>
      <w:bookmarkStart w:id="124" w:name="_Toc259093687"/>
      <w:bookmarkStart w:id="125" w:name="_Toc279701258"/>
      <w:bookmarkStart w:id="126" w:name="_Toc7102"/>
      <w:bookmarkStart w:id="127" w:name="_Toc16959"/>
      <w:bookmarkStart w:id="128" w:name="_Toc8298"/>
      <w:r>
        <w:rPr>
          <w:rFonts w:hint="eastAsia" w:ascii="仿宋" w:hAnsi="仿宋" w:eastAsia="仿宋" w:cs="仿宋"/>
          <w:b/>
          <w:color w:val="auto"/>
          <w:sz w:val="24"/>
          <w:highlight w:val="none"/>
        </w:rPr>
        <w:t>2.14乙方破产</w:t>
      </w:r>
      <w:bookmarkEnd w:id="123"/>
      <w:bookmarkEnd w:id="124"/>
      <w:bookmarkEnd w:id="125"/>
      <w:bookmarkEnd w:id="126"/>
      <w:bookmarkEnd w:id="127"/>
      <w:bookmarkEnd w:id="128"/>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12" w:lineRule="auto"/>
        <w:ind w:firstLine="482" w:firstLineChars="200"/>
        <w:outlineLvl w:val="0"/>
        <w:rPr>
          <w:rFonts w:ascii="仿宋" w:hAnsi="仿宋" w:eastAsia="仿宋" w:cs="仿宋"/>
          <w:b/>
          <w:color w:val="auto"/>
          <w:sz w:val="24"/>
          <w:highlight w:val="none"/>
        </w:rPr>
      </w:pPr>
      <w:bookmarkStart w:id="129" w:name="_Toc15387"/>
      <w:bookmarkStart w:id="130" w:name="_Toc6134"/>
      <w:bookmarkStart w:id="131" w:name="_Toc29333"/>
      <w:r>
        <w:rPr>
          <w:rFonts w:hint="eastAsia" w:ascii="仿宋" w:hAnsi="仿宋" w:eastAsia="仿宋" w:cs="仿宋"/>
          <w:b/>
          <w:color w:val="auto"/>
          <w:sz w:val="24"/>
          <w:highlight w:val="none"/>
        </w:rPr>
        <w:t>2.15合同中止、终止</w:t>
      </w:r>
      <w:bookmarkEnd w:id="129"/>
      <w:bookmarkEnd w:id="130"/>
      <w:bookmarkEnd w:id="131"/>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312" w:lineRule="auto"/>
        <w:ind w:firstLine="482" w:firstLineChars="200"/>
        <w:outlineLvl w:val="0"/>
        <w:rPr>
          <w:rFonts w:ascii="仿宋" w:hAnsi="仿宋" w:eastAsia="仿宋" w:cs="仿宋"/>
          <w:b/>
          <w:color w:val="auto"/>
          <w:sz w:val="24"/>
          <w:highlight w:val="none"/>
        </w:rPr>
      </w:pPr>
      <w:bookmarkStart w:id="132" w:name="_Toc14563"/>
      <w:bookmarkStart w:id="133" w:name="_Toc1125"/>
      <w:bookmarkStart w:id="134" w:name="_Toc6596"/>
      <w:r>
        <w:rPr>
          <w:rFonts w:hint="eastAsia" w:ascii="仿宋" w:hAnsi="仿宋" w:eastAsia="仿宋" w:cs="仿宋"/>
          <w:b/>
          <w:color w:val="auto"/>
          <w:sz w:val="24"/>
          <w:highlight w:val="none"/>
        </w:rPr>
        <w:t>2.16检验和验收</w:t>
      </w:r>
      <w:bookmarkEnd w:id="132"/>
      <w:bookmarkEnd w:id="133"/>
      <w:bookmarkEnd w:id="134"/>
    </w:p>
    <w:p>
      <w:pPr>
        <w:tabs>
          <w:tab w:val="left" w:pos="360"/>
          <w:tab w:val="left" w:pos="540"/>
          <w:tab w:val="left" w:pos="1080"/>
        </w:tabs>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04"/>
    <w:bookmarkEnd w:id="105"/>
    <w:bookmarkEnd w:id="106"/>
    <w:bookmarkEnd w:id="107"/>
    <w:p>
      <w:pPr>
        <w:spacing w:line="312" w:lineRule="auto"/>
        <w:ind w:firstLine="482" w:firstLineChars="200"/>
        <w:outlineLvl w:val="0"/>
        <w:rPr>
          <w:rFonts w:ascii="仿宋" w:hAnsi="仿宋" w:eastAsia="仿宋" w:cs="仿宋"/>
          <w:b/>
          <w:color w:val="auto"/>
          <w:sz w:val="24"/>
          <w:highlight w:val="none"/>
        </w:rPr>
      </w:pPr>
      <w:bookmarkStart w:id="135" w:name="_Toc487900371"/>
      <w:bookmarkStart w:id="136" w:name="_Toc259093690"/>
      <w:bookmarkStart w:id="137" w:name="_Toc279701261"/>
      <w:bookmarkStart w:id="138" w:name="_Toc25182"/>
      <w:bookmarkStart w:id="139" w:name="_Toc11284"/>
      <w:bookmarkStart w:id="140" w:name="_Toc19604"/>
      <w:r>
        <w:rPr>
          <w:rFonts w:hint="eastAsia" w:ascii="仿宋" w:hAnsi="仿宋" w:eastAsia="仿宋" w:cs="仿宋"/>
          <w:b/>
          <w:color w:val="auto"/>
          <w:sz w:val="24"/>
          <w:highlight w:val="none"/>
        </w:rPr>
        <w:t>2.17通知</w:t>
      </w:r>
      <w:bookmarkEnd w:id="135"/>
      <w:bookmarkEnd w:id="136"/>
      <w:bookmarkEnd w:id="137"/>
      <w:r>
        <w:rPr>
          <w:rFonts w:hint="eastAsia" w:ascii="仿宋" w:hAnsi="仿宋" w:eastAsia="仿宋" w:cs="仿宋"/>
          <w:b/>
          <w:color w:val="auto"/>
          <w:sz w:val="24"/>
          <w:highlight w:val="none"/>
        </w:rPr>
        <w:t>和送达</w:t>
      </w:r>
      <w:bookmarkEnd w:id="138"/>
      <w:bookmarkEnd w:id="139"/>
      <w:bookmarkEnd w:id="140"/>
    </w:p>
    <w:p>
      <w:pPr>
        <w:spacing w:line="312" w:lineRule="auto"/>
        <w:ind w:firstLine="480" w:firstLineChars="200"/>
        <w:rPr>
          <w:rFonts w:ascii="仿宋" w:hAnsi="仿宋" w:eastAsia="仿宋" w:cs="仿宋"/>
          <w:color w:val="auto"/>
          <w:sz w:val="24"/>
          <w:highlight w:val="none"/>
        </w:rPr>
      </w:pPr>
      <w:bookmarkStart w:id="141" w:name="_Toc6698"/>
      <w:bookmarkStart w:id="142" w:name="_Toc3135"/>
      <w:bookmarkStart w:id="143" w:name="_Toc279701262"/>
      <w:bookmarkStart w:id="144" w:name="_Toc259093691"/>
      <w:bookmarkStart w:id="145" w:name="_Toc48790037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141"/>
      <w:bookmarkEnd w:id="142"/>
    </w:p>
    <w:p>
      <w:pPr>
        <w:spacing w:line="312" w:lineRule="auto"/>
        <w:ind w:firstLine="480" w:firstLineChars="200"/>
        <w:rPr>
          <w:rFonts w:ascii="仿宋" w:hAnsi="仿宋" w:eastAsia="仿宋" w:cs="仿宋"/>
          <w:color w:val="auto"/>
          <w:sz w:val="24"/>
          <w:highlight w:val="none"/>
        </w:rPr>
      </w:pPr>
      <w:bookmarkStart w:id="146" w:name="_Toc23294"/>
      <w:bookmarkStart w:id="147"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6"/>
      <w:bookmarkEnd w:id="147"/>
    </w:p>
    <w:p>
      <w:pPr>
        <w:spacing w:line="312" w:lineRule="auto"/>
        <w:ind w:firstLine="482" w:firstLineChars="200"/>
        <w:outlineLvl w:val="0"/>
        <w:rPr>
          <w:rFonts w:ascii="仿宋" w:hAnsi="仿宋" w:eastAsia="仿宋" w:cs="仿宋"/>
          <w:b/>
          <w:color w:val="auto"/>
          <w:sz w:val="24"/>
          <w:highlight w:val="none"/>
        </w:rPr>
      </w:pPr>
      <w:bookmarkStart w:id="148" w:name="_Toc30599"/>
      <w:bookmarkStart w:id="149" w:name="_Toc4355"/>
      <w:bookmarkStart w:id="150" w:name="_Toc18540"/>
      <w:r>
        <w:rPr>
          <w:rFonts w:hint="eastAsia" w:ascii="仿宋" w:hAnsi="仿宋" w:eastAsia="仿宋" w:cs="仿宋"/>
          <w:b/>
          <w:color w:val="auto"/>
          <w:sz w:val="24"/>
          <w:highlight w:val="none"/>
        </w:rPr>
        <w:t>2.18 计量单位</w:t>
      </w:r>
      <w:bookmarkEnd w:id="143"/>
      <w:bookmarkEnd w:id="144"/>
      <w:bookmarkEnd w:id="145"/>
      <w:bookmarkEnd w:id="148"/>
      <w:bookmarkEnd w:id="149"/>
      <w:bookmarkEnd w:id="150"/>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312" w:lineRule="auto"/>
        <w:ind w:firstLine="482" w:firstLineChars="200"/>
        <w:outlineLvl w:val="0"/>
        <w:rPr>
          <w:rFonts w:ascii="仿宋" w:hAnsi="仿宋" w:eastAsia="仿宋" w:cs="仿宋"/>
          <w:b/>
          <w:color w:val="auto"/>
          <w:sz w:val="24"/>
          <w:highlight w:val="none"/>
        </w:rPr>
      </w:pPr>
      <w:bookmarkStart w:id="151" w:name="_Toc18567"/>
      <w:bookmarkStart w:id="152" w:name="_Toc487900373"/>
      <w:bookmarkStart w:id="153" w:name="_Toc10330"/>
      <w:bookmarkStart w:id="154" w:name="_Toc279701263"/>
      <w:bookmarkStart w:id="155" w:name="_Toc12773"/>
      <w:bookmarkStart w:id="156" w:name="_Toc259093692"/>
      <w:r>
        <w:rPr>
          <w:rFonts w:hint="eastAsia" w:ascii="仿宋" w:hAnsi="仿宋" w:eastAsia="仿宋" w:cs="仿宋"/>
          <w:b/>
          <w:color w:val="auto"/>
          <w:sz w:val="24"/>
          <w:highlight w:val="none"/>
        </w:rPr>
        <w:t>2.19 合同使用的文字和适用的法律</w:t>
      </w:r>
      <w:bookmarkEnd w:id="151"/>
      <w:bookmarkEnd w:id="152"/>
      <w:bookmarkEnd w:id="153"/>
      <w:bookmarkEnd w:id="154"/>
      <w:bookmarkEnd w:id="155"/>
      <w:bookmarkEnd w:id="156"/>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312" w:lineRule="auto"/>
        <w:ind w:firstLine="482" w:firstLineChars="200"/>
        <w:outlineLvl w:val="0"/>
        <w:rPr>
          <w:rFonts w:ascii="仿宋" w:hAnsi="仿宋" w:eastAsia="仿宋" w:cs="仿宋"/>
          <w:b/>
          <w:color w:val="auto"/>
          <w:sz w:val="24"/>
          <w:highlight w:val="none"/>
        </w:rPr>
      </w:pPr>
      <w:bookmarkStart w:id="157" w:name="_Toc16673"/>
      <w:bookmarkStart w:id="158" w:name="_Toc12004"/>
      <w:bookmarkStart w:id="159" w:name="_Toc259093693"/>
      <w:bookmarkStart w:id="160" w:name="_Toc279701264"/>
      <w:bookmarkStart w:id="161" w:name="_Toc3148"/>
      <w:bookmarkStart w:id="162" w:name="_Toc487900374"/>
      <w:r>
        <w:rPr>
          <w:rFonts w:hint="eastAsia" w:ascii="仿宋" w:hAnsi="仿宋" w:eastAsia="仿宋" w:cs="仿宋"/>
          <w:b/>
          <w:color w:val="auto"/>
          <w:sz w:val="24"/>
          <w:highlight w:val="none"/>
        </w:rPr>
        <w:t>2.20 履约保证金</w:t>
      </w:r>
      <w:bookmarkEnd w:id="157"/>
      <w:bookmarkEnd w:id="158"/>
      <w:bookmarkEnd w:id="159"/>
      <w:bookmarkEnd w:id="160"/>
      <w:bookmarkEnd w:id="161"/>
    </w:p>
    <w:p>
      <w:pPr>
        <w:spacing w:line="312"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2.20.1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约定的方式，以支票、汇票、本票或者金融机构、担保机构出具的保函等非现金形式，提交不超过合同金额2.5%的履约保证金；鼓励和支持乙方以银行、保险公司出具的保函形式提供履约保证。</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2.20.2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2.20.4甲方在乙方履行完合同约定义务事项后及时退还，延迟退还的，应当按照合同约定和法律规定承担相应的赔偿责任。</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2.21对于因甲方原因导致变更、中止或者终止政府采购合同的，甲方应当依照合同约定对供应商受到的损失予以赔偿或者补偿。</w:t>
      </w:r>
    </w:p>
    <w:p>
      <w:pPr>
        <w:pStyle w:val="2"/>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 中标方在履行合同中，应当保守在工程中接触的相关设备设施等信息，因中标方原因导致信息泄露的，依法追究法律责任。</w:t>
      </w:r>
    </w:p>
    <w:bookmarkEnd w:id="162"/>
    <w:p>
      <w:pPr>
        <w:spacing w:line="312" w:lineRule="auto"/>
        <w:ind w:firstLine="482" w:firstLineChars="200"/>
        <w:outlineLvl w:val="0"/>
        <w:rPr>
          <w:rFonts w:ascii="仿宋" w:hAnsi="仿宋" w:eastAsia="仿宋" w:cs="仿宋"/>
          <w:b/>
          <w:color w:val="auto"/>
          <w:sz w:val="24"/>
          <w:highlight w:val="none"/>
        </w:rPr>
      </w:pPr>
      <w:bookmarkStart w:id="163" w:name="_Toc14001"/>
      <w:bookmarkStart w:id="164" w:name="_Toc19890"/>
      <w:bookmarkStart w:id="165" w:name="_Toc6885"/>
      <w:r>
        <w:rPr>
          <w:rFonts w:hint="eastAsia" w:ascii="仿宋" w:hAnsi="仿宋" w:eastAsia="仿宋" w:cs="仿宋"/>
          <w:b/>
          <w:color w:val="auto"/>
          <w:sz w:val="24"/>
          <w:highlight w:val="none"/>
        </w:rPr>
        <w:t>2.22合同份数</w:t>
      </w:r>
      <w:bookmarkEnd w:id="163"/>
      <w:bookmarkEnd w:id="164"/>
      <w:bookmarkEnd w:id="165"/>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12" w:lineRule="auto"/>
        <w:ind w:firstLine="420"/>
        <w:jc w:val="left"/>
        <w:rPr>
          <w:rFonts w:ascii="仿宋" w:hAnsi="仿宋" w:eastAsia="仿宋"/>
          <w:b/>
          <w:color w:val="auto"/>
          <w:highlight w:val="none"/>
        </w:rPr>
      </w:pPr>
      <w:r>
        <w:rPr>
          <w:rFonts w:hint="eastAsia" w:ascii="仿宋" w:hAnsi="仿宋" w:eastAsia="仿宋"/>
          <w:color w:val="auto"/>
          <w:sz w:val="24"/>
          <w:highlight w:val="none"/>
        </w:rPr>
        <w:t>2.23根据《绍兴市柴油动力移动源排气污染防治办法》第九条、第十三条的规定，乙方在合同实施过程中使用的柴油动力移动源（柴油货车、非道路移动机械）必须符合低排放要求并已向生态环境部门申领绿色编码，在进入作业现场前须如实向甲方登记报备绿色编码，未申领绿色编码的柴油动力移动源不得进入作业现场施工。在作业现场发现有未申领绿色编码的柴油动力移动源或者未如实进行绿色编码报备的，认定乙方违约，按照本合同违约条款承担相应违约责任。</w:t>
      </w:r>
      <w:r>
        <w:rPr>
          <w:rFonts w:ascii="仿宋" w:hAnsi="仿宋" w:eastAsia="仿宋" w:cstheme="minorBidi"/>
          <w:color w:val="auto"/>
          <w:kern w:val="0"/>
          <w:highlight w:val="none"/>
        </w:rPr>
        <w:br w:type="page"/>
      </w:r>
      <w:bookmarkStart w:id="166" w:name="_Toc331685784"/>
      <w:r>
        <w:rPr>
          <w:rFonts w:hint="eastAsia" w:ascii="仿宋" w:hAnsi="仿宋" w:eastAsia="仿宋"/>
          <w:b/>
          <w:color w:val="auto"/>
          <w:sz w:val="28"/>
          <w:szCs w:val="28"/>
          <w:highlight w:val="none"/>
        </w:rPr>
        <w:t xml:space="preserve"> </w:t>
      </w:r>
      <w:bookmarkEnd w:id="166"/>
      <w:r>
        <w:rPr>
          <w:rFonts w:hint="eastAsia" w:ascii="仿宋" w:hAnsi="仿宋" w:eastAsia="仿宋"/>
          <w:b/>
          <w:color w:val="auto"/>
          <w:sz w:val="28"/>
          <w:szCs w:val="28"/>
          <w:highlight w:val="none"/>
        </w:rPr>
        <w:t>第三部分</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合同专用条款</w:t>
      </w:r>
    </w:p>
    <w:p>
      <w:pPr>
        <w:spacing w:line="312" w:lineRule="auto"/>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8"/>
        <w:gridCol w:w="83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4" w:type="pct"/>
            <w:tcBorders>
              <w:left w:val="single" w:color="auto" w:sz="4" w:space="0"/>
            </w:tcBorders>
            <w:vAlign w:val="center"/>
          </w:tcPr>
          <w:p>
            <w:pPr>
              <w:spacing w:line="312"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4535" w:type="pct"/>
            <w:vAlign w:val="center"/>
          </w:tcPr>
          <w:p>
            <w:pPr>
              <w:spacing w:line="312"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ascii="仿宋" w:hAnsi="仿宋" w:eastAsia="仿宋"/>
                <w:color w:val="auto"/>
                <w:sz w:val="24"/>
                <w:highlight w:val="none"/>
              </w:rPr>
              <w:t>1.4.4</w:t>
            </w:r>
          </w:p>
        </w:tc>
        <w:tc>
          <w:tcPr>
            <w:tcW w:w="4535" w:type="pct"/>
            <w:vAlign w:val="center"/>
          </w:tcPr>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该项条款约定为：</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1、付款方式：</w:t>
            </w:r>
          </w:p>
          <w:p>
            <w:pPr>
              <w:tabs>
                <w:tab w:val="left" w:pos="3870"/>
                <w:tab w:val="left" w:pos="4085"/>
              </w:tabs>
              <w:autoSpaceDE w:val="0"/>
              <w:autoSpaceDN w:val="0"/>
              <w:adjustRightInd w:val="0"/>
              <w:spacing w:line="312"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项目合同签订后，乙方须在15日内向甲方指定账户打入合同金额的</w:t>
            </w:r>
            <w:r>
              <w:rPr>
                <w:rStyle w:val="280"/>
                <w:rFonts w:hint="eastAsia" w:ascii="仿宋" w:hAnsi="仿宋" w:eastAsia="仿宋" w:cs="仿宋"/>
                <w:color w:val="auto"/>
                <w:sz w:val="24"/>
                <w:highlight w:val="none"/>
              </w:rPr>
              <w:t>1.0%的履约保证金(</w:t>
            </w:r>
            <w:r>
              <w:rPr>
                <w:rFonts w:hint="eastAsia" w:ascii="仿宋_GB2312" w:hAnsi="宋体" w:eastAsia="仿宋_GB2312"/>
                <w:color w:val="auto"/>
                <w:sz w:val="24"/>
                <w:highlight w:val="none"/>
              </w:rPr>
              <w:t>或以银行保函形式或保险公司保函形式</w:t>
            </w:r>
            <w:r>
              <w:rPr>
                <w:rStyle w:val="280"/>
                <w:rFonts w:hint="eastAsia" w:ascii="仿宋" w:hAnsi="仿宋" w:eastAsia="仿宋" w:cs="仿宋"/>
                <w:color w:val="auto"/>
                <w:sz w:val="24"/>
                <w:highlight w:val="none"/>
              </w:rPr>
              <w:t>)</w:t>
            </w:r>
            <w:r>
              <w:rPr>
                <w:rFonts w:hint="eastAsia" w:ascii="仿宋_GB2312" w:hAnsi="宋体" w:eastAsia="仿宋_GB2312"/>
                <w:color w:val="auto"/>
                <w:sz w:val="24"/>
                <w:highlight w:val="none"/>
              </w:rPr>
              <w:t>，项目年度考核完成后退还履约保证金（不计息）。</w:t>
            </w:r>
          </w:p>
          <w:p>
            <w:pPr>
              <w:spacing w:line="312"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付款方式按浙财采监〔2020〕3号和浙财采监〔2022〕3号文件要求执行：</w:t>
            </w:r>
          </w:p>
          <w:p>
            <w:pPr>
              <w:tabs>
                <w:tab w:val="left" w:pos="3870"/>
                <w:tab w:val="left" w:pos="4085"/>
              </w:tabs>
              <w:autoSpaceDE w:val="0"/>
              <w:autoSpaceDN w:val="0"/>
              <w:adjustRightInd w:val="0"/>
              <w:spacing w:line="312"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（1）合同签订后15个工作日内支付签订合同总价的40%及延缓服务费；</w:t>
            </w:r>
          </w:p>
          <w:p>
            <w:pPr>
              <w:tabs>
                <w:tab w:val="left" w:pos="3870"/>
                <w:tab w:val="left" w:pos="4085"/>
              </w:tabs>
              <w:autoSpaceDE w:val="0"/>
              <w:autoSpaceDN w:val="0"/>
              <w:adjustRightInd w:val="0"/>
              <w:spacing w:line="312"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（2）余款按年度考核结果支付。</w:t>
            </w:r>
          </w:p>
          <w:p>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2、付款条件:</w:t>
            </w:r>
            <w:r>
              <w:rPr>
                <w:rFonts w:hint="eastAsia" w:ascii="仿宋_GB2312" w:hAnsi="宋体" w:eastAsia="仿宋_GB2312"/>
                <w:color w:val="auto"/>
                <w:sz w:val="24"/>
                <w:highlight w:val="none"/>
              </w:rPr>
              <w:t>甲方</w:t>
            </w:r>
            <w:r>
              <w:rPr>
                <w:rFonts w:hint="eastAsia" w:ascii="仿宋" w:hAnsi="仿宋" w:eastAsia="仿宋" w:cs="仿宋"/>
                <w:color w:val="auto"/>
                <w:sz w:val="24"/>
                <w:highlight w:val="none"/>
              </w:rPr>
              <w:t>凭乙方开具的增值税普通发票和</w:t>
            </w:r>
            <w:r>
              <w:rPr>
                <w:rFonts w:hint="eastAsia" w:ascii="仿宋_GB2312" w:hAnsi="宋体" w:eastAsia="仿宋_GB2312"/>
                <w:color w:val="auto"/>
                <w:sz w:val="24"/>
                <w:highlight w:val="none"/>
              </w:rPr>
              <w:t>甲方</w:t>
            </w:r>
            <w:r>
              <w:rPr>
                <w:rFonts w:hint="eastAsia" w:ascii="仿宋" w:hAnsi="仿宋" w:eastAsia="仿宋" w:cs="仿宋"/>
                <w:color w:val="auto"/>
                <w:sz w:val="24"/>
                <w:highlight w:val="none"/>
              </w:rPr>
              <w:t>认可的各项记录复印件向乙方支付服务费。由于乙方上报或者开票不及时引起的延迟支付，责任由乙方自负。</w:t>
            </w:r>
          </w:p>
          <w:p>
            <w:pPr>
              <w:spacing w:line="312" w:lineRule="auto"/>
              <w:ind w:firstLine="480" w:firstLineChars="200"/>
              <w:rPr>
                <w:rFonts w:ascii="仿宋" w:hAnsi="仿宋" w:eastAsia="仿宋"/>
                <w:color w:val="auto"/>
                <w:sz w:val="24"/>
                <w:highlight w:val="none"/>
              </w:rPr>
            </w:pP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原合同于</w:t>
            </w:r>
            <w:r>
              <w:rPr>
                <w:rFonts w:hint="eastAsia" w:ascii="仿宋_GB2312" w:hAnsi="仿宋_GB2312" w:eastAsia="仿宋_GB2312" w:cs="仿宋_GB2312"/>
                <w:color w:val="auto"/>
                <w:kern w:val="0"/>
                <w:sz w:val="24"/>
                <w:highlight w:val="none"/>
              </w:rPr>
              <w:t>2022年12月31日截止，到期后目前由原中标单位继续提供延缓服务，本项目中标人产生并提供正常服务前，原中标单位提供延缓服务期间所产生的费用由本项目中标人按中标价平均每月产生费用进行支付。计算公式为：延缓服务费=中标价/12*延缓服务实际月份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ascii="仿宋" w:hAnsi="仿宋" w:eastAsia="仿宋"/>
                <w:color w:val="auto"/>
                <w:sz w:val="24"/>
                <w:highlight w:val="none"/>
              </w:rPr>
              <w:t>1.5.</w:t>
            </w:r>
            <w:r>
              <w:rPr>
                <w:rFonts w:hint="eastAsia" w:ascii="仿宋" w:hAnsi="仿宋" w:eastAsia="仿宋"/>
                <w:color w:val="auto"/>
                <w:sz w:val="24"/>
                <w:highlight w:val="none"/>
              </w:rPr>
              <w:t>7</w:t>
            </w:r>
            <w:r>
              <w:rPr>
                <w:rFonts w:ascii="仿宋" w:hAnsi="仿宋" w:eastAsia="仿宋"/>
                <w:color w:val="auto"/>
                <w:sz w:val="24"/>
                <w:highlight w:val="none"/>
              </w:rPr>
              <w:t xml:space="preserve"> </w:t>
            </w:r>
          </w:p>
        </w:tc>
        <w:tc>
          <w:tcPr>
            <w:tcW w:w="4535" w:type="pct"/>
            <w:vAlign w:val="center"/>
          </w:tcPr>
          <w:p>
            <w:pPr>
              <w:spacing w:line="312" w:lineRule="auto"/>
              <w:rPr>
                <w:rFonts w:ascii="仿宋" w:hAnsi="仿宋" w:eastAsia="仿宋"/>
                <w:color w:val="auto"/>
                <w:sz w:val="24"/>
                <w:highlight w:val="none"/>
              </w:rPr>
            </w:pPr>
            <w:r>
              <w:rPr>
                <w:rFonts w:hint="eastAsia"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0"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hint="eastAsia" w:ascii="仿宋" w:hAnsi="仿宋" w:eastAsia="仿宋"/>
                <w:color w:val="auto"/>
                <w:sz w:val="24"/>
                <w:highlight w:val="none"/>
              </w:rPr>
              <w:t>1.6</w:t>
            </w:r>
          </w:p>
        </w:tc>
        <w:tc>
          <w:tcPr>
            <w:tcW w:w="4535" w:type="pct"/>
            <w:vMerge w:val="restart"/>
            <w:vAlign w:val="center"/>
          </w:tcPr>
          <w:p>
            <w:pPr>
              <w:pStyle w:val="15"/>
              <w:widowControl w:val="0"/>
              <w:tabs>
                <w:tab w:val="clear" w:pos="1697"/>
              </w:tabs>
              <w:spacing w:afterLines="0" w:line="312" w:lineRule="auto"/>
              <w:ind w:left="0" w:firstLine="480" w:firstLineChars="200"/>
              <w:rPr>
                <w:rFonts w:ascii="仿宋" w:hAnsi="仿宋" w:eastAsia="仿宋"/>
                <w:color w:val="auto"/>
                <w:szCs w:val="24"/>
                <w:highlight w:val="none"/>
              </w:rPr>
            </w:pPr>
            <w:r>
              <w:rPr>
                <w:rFonts w:ascii="仿宋" w:hAnsi="仿宋" w:eastAsia="仿宋"/>
                <w:color w:val="auto"/>
                <w:szCs w:val="24"/>
                <w:highlight w:val="none"/>
              </w:rPr>
              <w:t>该3项条款约定为：</w:t>
            </w:r>
          </w:p>
          <w:p>
            <w:pPr>
              <w:pStyle w:val="15"/>
              <w:widowControl w:val="0"/>
              <w:tabs>
                <w:tab w:val="clear" w:pos="1697"/>
              </w:tabs>
              <w:spacing w:afterLines="0" w:line="312" w:lineRule="auto"/>
              <w:ind w:left="0" w:firstLine="480" w:firstLineChars="200"/>
              <w:rPr>
                <w:rFonts w:ascii="仿宋" w:hAnsi="仿宋" w:eastAsia="仿宋"/>
                <w:color w:val="auto"/>
                <w:szCs w:val="24"/>
                <w:highlight w:val="none"/>
              </w:rPr>
            </w:pPr>
            <w:r>
              <w:rPr>
                <w:rFonts w:hint="eastAsia" w:ascii="仿宋" w:hAnsi="仿宋" w:eastAsia="仿宋"/>
                <w:color w:val="auto"/>
                <w:szCs w:val="24"/>
                <w:highlight w:val="none"/>
              </w:rPr>
              <w:t>1、凡有关本合同或与本合同中发生的争端，双方应通过友好协商，妥善解决。如通过协商仍不能解决时，</w:t>
            </w:r>
            <w:r>
              <w:rPr>
                <w:rFonts w:hint="eastAsia" w:ascii="仿宋" w:hAnsi="仿宋" w:eastAsia="仿宋" w:cs="仿宋"/>
                <w:bCs/>
                <w:color w:val="auto"/>
                <w:highlight w:val="none"/>
              </w:rPr>
              <w:t>任何一方均可向绍兴市越城区人民法院提起诉讼</w:t>
            </w:r>
            <w:r>
              <w:rPr>
                <w:rFonts w:hint="eastAsia" w:ascii="仿宋" w:hAnsi="仿宋" w:eastAsia="仿宋"/>
                <w:color w:val="auto"/>
                <w:szCs w:val="24"/>
                <w:highlight w:val="none"/>
              </w:rPr>
              <w:t>。</w:t>
            </w:r>
          </w:p>
          <w:p>
            <w:pPr>
              <w:spacing w:line="312"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、合同应在双方签字盖章后开始生效。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65"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hint="eastAsia" w:ascii="仿宋" w:hAnsi="仿宋" w:eastAsia="仿宋"/>
                <w:color w:val="auto"/>
                <w:sz w:val="24"/>
                <w:highlight w:val="none"/>
              </w:rPr>
              <w:t>1.6.1</w:t>
            </w:r>
          </w:p>
        </w:tc>
        <w:tc>
          <w:tcPr>
            <w:tcW w:w="4535" w:type="pct"/>
            <w:vMerge w:val="continue"/>
            <w:vAlign w:val="center"/>
          </w:tcPr>
          <w:p>
            <w:pPr>
              <w:spacing w:line="312"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hint="eastAsia" w:ascii="仿宋" w:hAnsi="仿宋" w:eastAsia="仿宋"/>
                <w:color w:val="auto"/>
                <w:sz w:val="24"/>
                <w:highlight w:val="none"/>
              </w:rPr>
              <w:t>1.6.2</w:t>
            </w:r>
          </w:p>
        </w:tc>
        <w:tc>
          <w:tcPr>
            <w:tcW w:w="4535" w:type="pct"/>
            <w:vMerge w:val="continue"/>
            <w:vAlign w:val="center"/>
          </w:tcPr>
          <w:p>
            <w:pPr>
              <w:spacing w:line="312"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ascii="仿宋" w:hAnsi="仿宋" w:eastAsia="仿宋"/>
                <w:color w:val="auto"/>
                <w:sz w:val="24"/>
                <w:highlight w:val="none"/>
              </w:rPr>
              <w:t>2.3.</w:t>
            </w:r>
            <w:r>
              <w:rPr>
                <w:rFonts w:hint="eastAsia" w:ascii="仿宋" w:hAnsi="仿宋" w:eastAsia="仿宋"/>
                <w:color w:val="auto"/>
                <w:sz w:val="24"/>
                <w:highlight w:val="none"/>
              </w:rPr>
              <w:t>2</w:t>
            </w:r>
          </w:p>
        </w:tc>
        <w:tc>
          <w:tcPr>
            <w:tcW w:w="4535" w:type="pct"/>
            <w:vAlign w:val="center"/>
          </w:tcPr>
          <w:p>
            <w:pPr>
              <w:spacing w:line="312" w:lineRule="auto"/>
              <w:ind w:left="-420" w:leftChars="-200" w:right="-420" w:rightChars="-200" w:firstLine="480" w:firstLineChars="200"/>
              <w:rPr>
                <w:rFonts w:ascii="仿宋" w:hAnsi="仿宋" w:eastAsia="仿宋"/>
                <w:color w:val="auto"/>
                <w:sz w:val="24"/>
                <w:highlight w:val="none"/>
              </w:rPr>
            </w:pPr>
            <w:r>
              <w:rPr>
                <w:rFonts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4535" w:type="pct"/>
            <w:vAlign w:val="center"/>
          </w:tcPr>
          <w:p>
            <w:pPr>
              <w:spacing w:line="312" w:lineRule="auto"/>
              <w:ind w:left="-420" w:leftChars="-200" w:right="-420" w:rightChars="-200" w:firstLine="480" w:firstLineChars="200"/>
              <w:rPr>
                <w:rFonts w:ascii="仿宋" w:hAnsi="仿宋" w:eastAsia="仿宋"/>
                <w:color w:val="auto"/>
                <w:sz w:val="24"/>
                <w:highlight w:val="none"/>
              </w:rPr>
            </w:pPr>
            <w:r>
              <w:rPr>
                <w:rFonts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hint="eastAsia" w:ascii="仿宋" w:hAnsi="仿宋" w:eastAsia="仿宋"/>
                <w:color w:val="auto"/>
                <w:sz w:val="24"/>
                <w:highlight w:val="none"/>
              </w:rPr>
              <w:t>2.8</w:t>
            </w:r>
          </w:p>
        </w:tc>
        <w:tc>
          <w:tcPr>
            <w:tcW w:w="4535" w:type="pct"/>
            <w:vAlign w:val="center"/>
          </w:tcPr>
          <w:p>
            <w:pPr>
              <w:spacing w:line="312" w:lineRule="auto"/>
              <w:ind w:firstLine="480" w:firstLineChars="200"/>
              <w:jc w:val="left"/>
              <w:rPr>
                <w:rStyle w:val="280"/>
                <w:rFonts w:ascii="仿宋" w:hAnsi="仿宋" w:eastAsia="仿宋" w:cs="仿宋"/>
                <w:color w:val="auto"/>
                <w:sz w:val="24"/>
                <w:highlight w:val="none"/>
              </w:rPr>
            </w:pPr>
            <w:r>
              <w:rPr>
                <w:rStyle w:val="280"/>
                <w:rFonts w:hint="eastAsia" w:ascii="仿宋" w:hAnsi="仿宋" w:eastAsia="仿宋" w:cs="仿宋"/>
                <w:color w:val="auto"/>
                <w:sz w:val="24"/>
                <w:highlight w:val="none"/>
              </w:rPr>
              <w:t>该项条款约定为：</w:t>
            </w:r>
          </w:p>
          <w:p>
            <w:pPr>
              <w:spacing w:line="312" w:lineRule="auto"/>
              <w:ind w:firstLine="480" w:firstLineChars="200"/>
              <w:jc w:val="left"/>
              <w:rPr>
                <w:rStyle w:val="280"/>
                <w:rFonts w:ascii="仿宋" w:hAnsi="仿宋" w:eastAsia="仿宋" w:cs="仿宋"/>
                <w:color w:val="auto"/>
                <w:sz w:val="24"/>
                <w:highlight w:val="none"/>
              </w:rPr>
            </w:pPr>
            <w:r>
              <w:rPr>
                <w:rStyle w:val="280"/>
                <w:rFonts w:hint="eastAsia" w:ascii="仿宋" w:hAnsi="仿宋" w:eastAsia="仿宋" w:cs="仿宋"/>
                <w:color w:val="auto"/>
                <w:sz w:val="24"/>
                <w:highlight w:val="none"/>
              </w:rPr>
              <w:t>1.第三者责任保险</w:t>
            </w:r>
          </w:p>
          <w:p>
            <w:pPr>
              <w:spacing w:line="312" w:lineRule="auto"/>
              <w:ind w:firstLine="480" w:firstLineChars="200"/>
              <w:jc w:val="left"/>
              <w:rPr>
                <w:rStyle w:val="280"/>
                <w:rFonts w:ascii="仿宋" w:hAnsi="仿宋" w:eastAsia="仿宋" w:cs="仿宋"/>
                <w:color w:val="auto"/>
                <w:sz w:val="24"/>
                <w:highlight w:val="none"/>
              </w:rPr>
            </w:pPr>
            <w:r>
              <w:rPr>
                <w:rStyle w:val="280"/>
                <w:rFonts w:hint="eastAsia" w:ascii="仿宋" w:hAnsi="仿宋" w:eastAsia="仿宋" w:cs="仿宋"/>
                <w:color w:val="auto"/>
                <w:sz w:val="24"/>
                <w:highlight w:val="none"/>
              </w:rPr>
              <w:t>乙方应对乙方人员以及第三方全权负责(如乙方应投保第三责任险)，除甲方原因外发生乙方人员或第三方的事故均由乙方负责，甲方不承担任何责任。</w:t>
            </w:r>
          </w:p>
          <w:p>
            <w:pPr>
              <w:spacing w:line="312" w:lineRule="auto"/>
              <w:ind w:firstLine="480" w:firstLineChars="200"/>
              <w:jc w:val="left"/>
              <w:rPr>
                <w:rStyle w:val="280"/>
                <w:rFonts w:ascii="仿宋" w:hAnsi="仿宋" w:eastAsia="仿宋" w:cs="仿宋"/>
                <w:color w:val="auto"/>
                <w:sz w:val="24"/>
                <w:highlight w:val="none"/>
              </w:rPr>
            </w:pPr>
            <w:r>
              <w:rPr>
                <w:rStyle w:val="280"/>
                <w:rFonts w:hint="eastAsia" w:ascii="仿宋" w:hAnsi="仿宋" w:eastAsia="仿宋" w:cs="仿宋"/>
                <w:color w:val="auto"/>
                <w:sz w:val="24"/>
                <w:highlight w:val="none"/>
              </w:rPr>
              <w:t>2.员工人身意外</w:t>
            </w:r>
          </w:p>
          <w:p>
            <w:pPr>
              <w:spacing w:line="312" w:lineRule="auto"/>
              <w:ind w:firstLine="480" w:firstLineChars="200"/>
              <w:jc w:val="left"/>
              <w:rPr>
                <w:rStyle w:val="280"/>
                <w:rFonts w:ascii="仿宋" w:hAnsi="仿宋" w:eastAsia="仿宋" w:cs="仿宋"/>
                <w:color w:val="auto"/>
                <w:sz w:val="24"/>
                <w:highlight w:val="none"/>
              </w:rPr>
            </w:pPr>
            <w:r>
              <w:rPr>
                <w:rStyle w:val="280"/>
                <w:rFonts w:hint="eastAsia" w:ascii="仿宋" w:hAnsi="仿宋" w:eastAsia="仿宋" w:cs="仿宋"/>
                <w:color w:val="auto"/>
                <w:sz w:val="24"/>
                <w:highlight w:val="none"/>
              </w:rPr>
              <w:t>在合同期内，乙方所有人员的事故、争议等均由乙方自行全权负责(如乙方应对其员工投保人身意外险等)，以保证甲方在乙方工作人员索赔时不受任何责任的约束。</w:t>
            </w:r>
          </w:p>
          <w:p>
            <w:pPr>
              <w:spacing w:line="312" w:lineRule="auto"/>
              <w:ind w:firstLine="480" w:firstLineChars="200"/>
              <w:jc w:val="left"/>
              <w:rPr>
                <w:rStyle w:val="280"/>
                <w:rFonts w:ascii="仿宋" w:hAnsi="仿宋" w:eastAsia="仿宋" w:cs="仿宋"/>
                <w:color w:val="auto"/>
                <w:sz w:val="24"/>
                <w:highlight w:val="none"/>
              </w:rPr>
            </w:pPr>
            <w:r>
              <w:rPr>
                <w:rStyle w:val="280"/>
                <w:rFonts w:hint="eastAsia" w:ascii="仿宋" w:hAnsi="仿宋" w:eastAsia="仿宋" w:cs="仿宋"/>
                <w:color w:val="auto"/>
                <w:sz w:val="24"/>
                <w:highlight w:val="none"/>
              </w:rPr>
              <w:t>3.其他保险及费用</w:t>
            </w:r>
          </w:p>
          <w:p>
            <w:pPr>
              <w:spacing w:line="312" w:lineRule="auto"/>
              <w:ind w:left="-420" w:leftChars="-200" w:right="-420" w:rightChars="-200" w:firstLine="480" w:firstLineChars="200"/>
              <w:jc w:val="left"/>
              <w:rPr>
                <w:rStyle w:val="280"/>
                <w:rFonts w:ascii="仿宋" w:hAnsi="仿宋" w:eastAsia="仿宋" w:cs="仿宋"/>
                <w:color w:val="auto"/>
                <w:sz w:val="24"/>
                <w:highlight w:val="none"/>
              </w:rPr>
            </w:pPr>
            <w:r>
              <w:rPr>
                <w:rStyle w:val="280"/>
                <w:rFonts w:hint="eastAsia" w:ascii="仿宋" w:hAnsi="仿宋" w:eastAsia="仿宋" w:cs="仿宋"/>
                <w:color w:val="auto"/>
                <w:sz w:val="24"/>
                <w:highlight w:val="none"/>
              </w:rPr>
              <w:t>乙方须按《中华人民共和国民法典》和政府有关各部门规定为全体服务人员交</w:t>
            </w:r>
          </w:p>
          <w:p>
            <w:pPr>
              <w:spacing w:line="312" w:lineRule="auto"/>
              <w:ind w:left="-420" w:leftChars="-200" w:right="-420" w:rightChars="-200" w:firstLine="480" w:firstLineChars="200"/>
              <w:jc w:val="left"/>
              <w:rPr>
                <w:rFonts w:ascii="仿宋" w:hAnsi="仿宋" w:eastAsia="仿宋"/>
                <w:color w:val="auto"/>
                <w:sz w:val="24"/>
                <w:highlight w:val="none"/>
              </w:rPr>
            </w:pPr>
            <w:r>
              <w:rPr>
                <w:rStyle w:val="280"/>
                <w:rFonts w:hint="eastAsia" w:ascii="仿宋" w:hAnsi="仿宋" w:eastAsia="仿宋" w:cs="仿宋"/>
                <w:color w:val="auto"/>
                <w:sz w:val="24"/>
                <w:highlight w:val="none"/>
              </w:rPr>
              <w:t>纳所有相关的社会保险、加班工资及其他相关费用。乙方对此全权负责。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5"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12</w:t>
            </w:r>
            <w:r>
              <w:rPr>
                <w:rFonts w:ascii="仿宋" w:hAnsi="仿宋" w:eastAsia="仿宋"/>
                <w:color w:val="auto"/>
                <w:sz w:val="24"/>
                <w:highlight w:val="none"/>
              </w:rPr>
              <w:t>.</w:t>
            </w:r>
            <w:r>
              <w:rPr>
                <w:rFonts w:hint="eastAsia" w:ascii="仿宋" w:hAnsi="仿宋" w:eastAsia="仿宋"/>
                <w:color w:val="auto"/>
                <w:sz w:val="24"/>
                <w:highlight w:val="none"/>
              </w:rPr>
              <w:t>3</w:t>
            </w:r>
          </w:p>
        </w:tc>
        <w:tc>
          <w:tcPr>
            <w:tcW w:w="4535" w:type="pct"/>
            <w:vMerge w:val="restart"/>
            <w:vAlign w:val="center"/>
          </w:tcPr>
          <w:p>
            <w:pPr>
              <w:pStyle w:val="15"/>
              <w:widowControl w:val="0"/>
              <w:tabs>
                <w:tab w:val="clear" w:pos="1697"/>
              </w:tabs>
              <w:spacing w:afterLines="0" w:line="312" w:lineRule="auto"/>
              <w:ind w:left="0" w:firstLine="480" w:firstLineChars="200"/>
              <w:rPr>
                <w:rFonts w:ascii="仿宋" w:hAnsi="仿宋" w:eastAsia="仿宋"/>
                <w:color w:val="auto"/>
                <w:szCs w:val="24"/>
                <w:highlight w:val="none"/>
              </w:rPr>
            </w:pPr>
            <w:r>
              <w:rPr>
                <w:rFonts w:ascii="仿宋" w:hAnsi="仿宋" w:eastAsia="仿宋"/>
                <w:color w:val="auto"/>
                <w:szCs w:val="24"/>
                <w:highlight w:val="none"/>
              </w:rPr>
              <w:t>该两项条款约定为：</w:t>
            </w:r>
          </w:p>
          <w:p>
            <w:pPr>
              <w:pStyle w:val="15"/>
              <w:widowControl w:val="0"/>
              <w:tabs>
                <w:tab w:val="clear" w:pos="1697"/>
              </w:tabs>
              <w:spacing w:afterLines="0" w:line="312" w:lineRule="auto"/>
              <w:ind w:left="0" w:firstLine="480" w:firstLineChars="200"/>
              <w:rPr>
                <w:rFonts w:ascii="仿宋" w:hAnsi="仿宋" w:eastAsia="仿宋"/>
                <w:color w:val="auto"/>
                <w:szCs w:val="24"/>
                <w:highlight w:val="none"/>
              </w:rPr>
            </w:pPr>
            <w:r>
              <w:rPr>
                <w:rFonts w:hint="eastAsia" w:ascii="仿宋" w:hAnsi="仿宋" w:eastAsia="仿宋"/>
                <w:color w:val="auto"/>
                <w:szCs w:val="24"/>
                <w:highlight w:val="none"/>
              </w:rPr>
              <w:t>1.如果双方中任何一方由于战争、严重火灾、水灾、台风和地震和疫情以及其它经双方同意属于不可抗力的事故，致使合同履行受阻时，履行合同的期限应予延长，延长的期限应相当于事故所影响的时间。</w:t>
            </w:r>
          </w:p>
          <w:p>
            <w:pPr>
              <w:pStyle w:val="15"/>
              <w:widowControl w:val="0"/>
              <w:tabs>
                <w:tab w:val="clear" w:pos="1697"/>
              </w:tabs>
              <w:spacing w:afterLines="0" w:line="312" w:lineRule="auto"/>
              <w:ind w:left="0" w:firstLine="480" w:firstLineChars="200"/>
              <w:rPr>
                <w:rFonts w:ascii="仿宋" w:hAnsi="仿宋" w:eastAsia="仿宋"/>
                <w:color w:val="auto"/>
                <w:highlight w:val="none"/>
              </w:rPr>
            </w:pPr>
            <w:r>
              <w:rPr>
                <w:rFonts w:hint="eastAsia" w:ascii="仿宋" w:hAnsi="仿宋" w:eastAsia="仿宋"/>
                <w:color w:val="auto"/>
                <w:szCs w:val="24"/>
                <w:highlight w:val="none"/>
              </w:rPr>
              <w:t>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hint="eastAsia" w:ascii="仿宋" w:hAnsi="仿宋" w:eastAsia="仿宋"/>
                <w:color w:val="auto"/>
                <w:sz w:val="24"/>
                <w:highlight w:val="none"/>
              </w:rPr>
              <w:t>2.12.4</w:t>
            </w:r>
          </w:p>
        </w:tc>
        <w:tc>
          <w:tcPr>
            <w:tcW w:w="4535" w:type="pct"/>
            <w:vMerge w:val="continue"/>
            <w:vAlign w:val="center"/>
          </w:tcPr>
          <w:p>
            <w:pPr>
              <w:spacing w:line="312"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tcPr>
          <w:p>
            <w:pPr>
              <w:spacing w:line="312" w:lineRule="auto"/>
              <w:rPr>
                <w:rFonts w:ascii="仿宋" w:hAnsi="仿宋" w:eastAsia="仿宋"/>
                <w:color w:val="auto"/>
                <w:sz w:val="24"/>
                <w:highlight w:val="none"/>
              </w:rPr>
            </w:pPr>
            <w:r>
              <w:rPr>
                <w:rFonts w:hint="eastAsia" w:ascii="仿宋" w:hAnsi="仿宋" w:eastAsia="仿宋"/>
                <w:color w:val="auto"/>
                <w:sz w:val="24"/>
                <w:highlight w:val="none"/>
              </w:rPr>
              <w:t xml:space="preserve">2.16.3 </w:t>
            </w:r>
          </w:p>
        </w:tc>
        <w:tc>
          <w:tcPr>
            <w:tcW w:w="4535" w:type="pct"/>
          </w:tcPr>
          <w:p>
            <w:pPr>
              <w:spacing w:line="312" w:lineRule="auto"/>
              <w:rPr>
                <w:rFonts w:ascii="仿宋" w:hAnsi="仿宋" w:eastAsia="仿宋"/>
                <w:color w:val="auto"/>
                <w:sz w:val="24"/>
                <w:highlight w:val="none"/>
              </w:rPr>
            </w:pPr>
            <w:r>
              <w:rPr>
                <w:rFonts w:hint="eastAsia"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90"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20</w:t>
            </w:r>
            <w:r>
              <w:rPr>
                <w:rFonts w:ascii="仿宋" w:hAnsi="仿宋" w:eastAsia="仿宋"/>
                <w:color w:val="auto"/>
                <w:sz w:val="24"/>
                <w:highlight w:val="none"/>
              </w:rPr>
              <w:t>.</w:t>
            </w:r>
            <w:r>
              <w:rPr>
                <w:rFonts w:hint="eastAsia" w:ascii="仿宋" w:hAnsi="仿宋" w:eastAsia="仿宋"/>
                <w:color w:val="auto"/>
                <w:sz w:val="24"/>
                <w:highlight w:val="none"/>
              </w:rPr>
              <w:t>1</w:t>
            </w:r>
          </w:p>
        </w:tc>
        <w:tc>
          <w:tcPr>
            <w:tcW w:w="4535" w:type="pct"/>
            <w:vMerge w:val="restart"/>
            <w:vAlign w:val="center"/>
          </w:tcPr>
          <w:p>
            <w:pPr>
              <w:spacing w:line="440" w:lineRule="exact"/>
              <w:ind w:firstLine="480" w:firstLineChars="200"/>
              <w:jc w:val="left"/>
              <w:rPr>
                <w:rStyle w:val="280"/>
                <w:rFonts w:ascii="仿宋" w:hAnsi="仿宋" w:eastAsia="仿宋" w:cs="仿宋"/>
                <w:color w:val="auto"/>
                <w:sz w:val="24"/>
                <w:highlight w:val="none"/>
              </w:rPr>
            </w:pPr>
            <w:r>
              <w:rPr>
                <w:rStyle w:val="280"/>
                <w:rFonts w:hint="eastAsia" w:ascii="仿宋" w:hAnsi="仿宋" w:eastAsia="仿宋" w:cs="仿宋"/>
                <w:color w:val="auto"/>
                <w:sz w:val="24"/>
                <w:highlight w:val="none"/>
              </w:rPr>
              <w:t>该两项条款约定为：</w:t>
            </w:r>
          </w:p>
          <w:p>
            <w:pPr>
              <w:spacing w:line="440" w:lineRule="exact"/>
              <w:ind w:firstLine="480" w:firstLineChars="200"/>
              <w:jc w:val="left"/>
              <w:rPr>
                <w:rFonts w:ascii="仿宋" w:hAnsi="仿宋" w:eastAsia="仿宋" w:cs="仿宋"/>
                <w:color w:val="auto"/>
                <w:sz w:val="24"/>
                <w:highlight w:val="none"/>
              </w:rPr>
            </w:pPr>
            <w:r>
              <w:rPr>
                <w:rStyle w:val="280"/>
                <w:rFonts w:hint="eastAsia" w:ascii="仿宋" w:hAnsi="仿宋" w:eastAsia="仿宋" w:cs="仿宋"/>
                <w:color w:val="auto"/>
                <w:sz w:val="24"/>
                <w:highlight w:val="none"/>
              </w:rPr>
              <w:t>1、签订合同后15日内，乙方须向甲方交纳合同总额1.0%（即</w:t>
            </w:r>
            <w:r>
              <w:rPr>
                <w:rStyle w:val="280"/>
                <w:rFonts w:hint="eastAsia" w:ascii="仿宋" w:hAnsi="仿宋" w:eastAsia="仿宋" w:cs="仿宋"/>
                <w:color w:val="auto"/>
                <w:sz w:val="24"/>
                <w:highlight w:val="none"/>
                <w:u w:val="single" w:color="000000"/>
              </w:rPr>
              <w:t xml:space="preserve">   </w:t>
            </w:r>
            <w:r>
              <w:rPr>
                <w:rStyle w:val="280"/>
                <w:rFonts w:hint="eastAsia" w:ascii="仿宋" w:hAnsi="仿宋" w:eastAsia="仿宋" w:cs="仿宋"/>
                <w:color w:val="auto"/>
                <w:sz w:val="24"/>
                <w:highlight w:val="none"/>
              </w:rPr>
              <w:t>元）的履约保证金(</w:t>
            </w:r>
            <w:r>
              <w:rPr>
                <w:rFonts w:hint="eastAsia" w:ascii="仿宋_GB2312" w:hAnsi="宋体" w:eastAsia="仿宋_GB2312"/>
                <w:color w:val="auto"/>
                <w:sz w:val="24"/>
                <w:highlight w:val="none"/>
              </w:rPr>
              <w:t>或以银行保函形式或保险公司保函形式</w:t>
            </w:r>
            <w:r>
              <w:rPr>
                <w:rStyle w:val="280"/>
                <w:rFonts w:hint="eastAsia" w:ascii="仿宋" w:hAnsi="仿宋" w:eastAsia="仿宋" w:cs="仿宋"/>
                <w:color w:val="auto"/>
                <w:sz w:val="24"/>
                <w:highlight w:val="none"/>
              </w:rPr>
              <w:t>)。以保证乙方遵守本合同的一切条款、条件和承诺，该保证金在甲方的规定存续期间不计息。</w:t>
            </w:r>
          </w:p>
          <w:p>
            <w:pPr>
              <w:spacing w:line="440" w:lineRule="exact"/>
              <w:ind w:firstLine="480" w:firstLineChars="200"/>
              <w:jc w:val="left"/>
              <w:rPr>
                <w:rStyle w:val="280"/>
                <w:rFonts w:ascii="仿宋" w:hAnsi="仿宋" w:eastAsia="仿宋" w:cs="仿宋"/>
                <w:color w:val="auto"/>
                <w:sz w:val="24"/>
                <w:highlight w:val="none"/>
              </w:rPr>
            </w:pPr>
            <w:r>
              <w:rPr>
                <w:rStyle w:val="280"/>
                <w:rFonts w:hint="eastAsia" w:ascii="仿宋" w:hAnsi="仿宋" w:eastAsia="仿宋" w:cs="仿宋"/>
                <w:color w:val="auto"/>
                <w:sz w:val="24"/>
                <w:highlight w:val="none"/>
              </w:rPr>
              <w:t>2、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312" w:lineRule="auto"/>
              <w:ind w:firstLine="480" w:firstLineChars="200"/>
              <w:rPr>
                <w:rFonts w:ascii="仿宋" w:hAnsi="仿宋" w:eastAsia="仿宋"/>
                <w:color w:val="auto"/>
                <w:sz w:val="24"/>
                <w:highlight w:val="none"/>
              </w:rPr>
            </w:pPr>
            <w:r>
              <w:rPr>
                <w:rStyle w:val="280"/>
                <w:rFonts w:hint="eastAsia" w:ascii="仿宋" w:hAnsi="仿宋" w:eastAsia="仿宋" w:cs="仿宋"/>
                <w:color w:val="auto"/>
                <w:sz w:val="24"/>
                <w:highlight w:val="none"/>
              </w:rPr>
              <w:t>3、甲方认为乙方在服务期内没有涉及甲方的应付而未付金额或违约行为，甲方在服务期满后或提前终止承包后一个月内全额退还履约保证金，否则，甲方将在扣除乙方应付金额或违约金后退还保证金余额。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tcBorders>
            <w:vAlign w:val="center"/>
          </w:tcPr>
          <w:p>
            <w:pPr>
              <w:spacing w:line="312" w:lineRule="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20</w:t>
            </w:r>
            <w:r>
              <w:rPr>
                <w:rFonts w:ascii="仿宋" w:hAnsi="仿宋" w:eastAsia="仿宋"/>
                <w:color w:val="auto"/>
                <w:sz w:val="24"/>
                <w:highlight w:val="none"/>
              </w:rPr>
              <w:t>.</w:t>
            </w:r>
            <w:r>
              <w:rPr>
                <w:rFonts w:hint="eastAsia" w:ascii="仿宋" w:hAnsi="仿宋" w:eastAsia="仿宋"/>
                <w:color w:val="auto"/>
                <w:sz w:val="24"/>
                <w:highlight w:val="none"/>
              </w:rPr>
              <w:t>2</w:t>
            </w:r>
          </w:p>
        </w:tc>
        <w:tc>
          <w:tcPr>
            <w:tcW w:w="4535" w:type="pct"/>
            <w:vMerge w:val="continue"/>
            <w:vAlign w:val="center"/>
          </w:tcPr>
          <w:p>
            <w:pPr>
              <w:spacing w:line="312"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4" w:type="pct"/>
            <w:tcBorders>
              <w:left w:val="single" w:color="auto" w:sz="4" w:space="0"/>
            </w:tcBorders>
            <w:vAlign w:val="center"/>
          </w:tcPr>
          <w:p>
            <w:pPr>
              <w:spacing w:line="312"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p>
        </w:tc>
        <w:tc>
          <w:tcPr>
            <w:tcW w:w="4535" w:type="pct"/>
            <w:vAlign w:val="center"/>
          </w:tcPr>
          <w:p>
            <w:pPr>
              <w:spacing w:line="312" w:lineRule="auto"/>
              <w:rPr>
                <w:rFonts w:ascii="仿宋" w:hAnsi="仿宋" w:eastAsia="仿宋"/>
                <w:color w:val="auto"/>
                <w:sz w:val="24"/>
                <w:highlight w:val="none"/>
              </w:rPr>
            </w:pPr>
            <w:r>
              <w:rPr>
                <w:rStyle w:val="280"/>
                <w:rFonts w:hint="eastAsia" w:ascii="仿宋" w:hAnsi="仿宋" w:eastAsia="仿宋" w:cs="仿宋"/>
                <w:color w:val="auto"/>
                <w:sz w:val="24"/>
                <w:highlight w:val="none"/>
              </w:rPr>
              <w:t>本合同一式陆份，甲、乙双方各执叁份。</w:t>
            </w:r>
          </w:p>
        </w:tc>
      </w:tr>
    </w:tbl>
    <w:p>
      <w:pPr>
        <w:spacing w:line="312" w:lineRule="auto"/>
        <w:ind w:left="-420" w:leftChars="-200" w:right="-420" w:rightChars="-200" w:firstLine="480" w:firstLineChars="200"/>
        <w:rPr>
          <w:rFonts w:ascii="仿宋" w:hAnsi="仿宋" w:eastAsia="仿宋"/>
          <w:color w:val="auto"/>
          <w:sz w:val="24"/>
          <w:highlight w:val="none"/>
        </w:rPr>
      </w:pPr>
    </w:p>
    <w:p>
      <w:pPr>
        <w:spacing w:line="312" w:lineRule="auto"/>
        <w:ind w:firstLine="480" w:firstLineChars="200"/>
        <w:jc w:val="left"/>
        <w:rPr>
          <w:rFonts w:ascii="仿宋_GB2312" w:hAnsi="宋体" w:eastAsia="仿宋_GB2312"/>
          <w:b/>
          <w:color w:val="auto"/>
          <w:sz w:val="36"/>
          <w:szCs w:val="36"/>
          <w:highlight w:val="none"/>
        </w:rPr>
      </w:pPr>
      <w:r>
        <w:rPr>
          <w:rFonts w:hint="eastAsia" w:ascii="仿宋_GB2312" w:hAnsi="宋体" w:eastAsia="仿宋_GB2312"/>
          <w:color w:val="auto"/>
          <w:sz w:val="24"/>
          <w:highlight w:val="none"/>
        </w:rPr>
        <w:t>（注：在正式签约时，根据招投标文件和合同条款内容和精神，拟就更为详尽的合同书）</w:t>
      </w:r>
    </w:p>
    <w:p>
      <w:pPr>
        <w:rPr>
          <w:rFonts w:ascii="仿宋" w:hAnsi="仿宋" w:eastAsia="仿宋"/>
          <w:color w:val="auto"/>
          <w:sz w:val="24"/>
          <w:highlight w:val="none"/>
        </w:rPr>
      </w:pPr>
    </w:p>
    <w:p>
      <w:pPr>
        <w:pStyle w:val="27"/>
        <w:pageBreakBefore/>
        <w:spacing w:line="800" w:lineRule="exact"/>
        <w:ind w:firstLine="726"/>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第五部分  评标方法及标准</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1.评标方法：</w:t>
      </w:r>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auto"/>
          <w:sz w:val="24"/>
          <w:highlight w:val="none"/>
        </w:rPr>
      </w:pPr>
      <w:r>
        <w:rPr>
          <w:rFonts w:hint="eastAsia" w:ascii="仿宋" w:hAnsi="仿宋" w:eastAsia="仿宋"/>
          <w:b/>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auto"/>
          <w:sz w:val="24"/>
          <w:highlight w:val="none"/>
        </w:rPr>
      </w:pPr>
      <w:r>
        <w:rPr>
          <w:rFonts w:hint="eastAsia" w:ascii="仿宋" w:hAnsi="仿宋" w:eastAsia="仿宋"/>
          <w:b/>
          <w:color w:val="auto"/>
          <w:sz w:val="24"/>
          <w:highlight w:val="none"/>
        </w:rPr>
        <w:t>2.评分标准：</w:t>
      </w:r>
      <w:r>
        <w:rPr>
          <w:rFonts w:hint="eastAsia" w:ascii="仿宋" w:hAnsi="仿宋" w:eastAsia="仿宋"/>
          <w:color w:val="auto"/>
          <w:sz w:val="24"/>
          <w:highlight w:val="none"/>
        </w:rPr>
        <w:t>共100分，其中商务技术分</w:t>
      </w:r>
      <w:r>
        <w:rPr>
          <w:rFonts w:hint="eastAsia" w:ascii="仿宋" w:hAnsi="仿宋" w:eastAsia="仿宋"/>
          <w:color w:val="auto"/>
          <w:sz w:val="24"/>
          <w:highlight w:val="none"/>
          <w:u w:val="single"/>
        </w:rPr>
        <w:t>80</w:t>
      </w:r>
      <w:r>
        <w:rPr>
          <w:rFonts w:hint="eastAsia" w:ascii="仿宋" w:hAnsi="仿宋" w:eastAsia="仿宋"/>
          <w:color w:val="auto"/>
          <w:sz w:val="24"/>
          <w:highlight w:val="none"/>
        </w:rPr>
        <w:t>分，价格分</w:t>
      </w:r>
      <w:r>
        <w:rPr>
          <w:rFonts w:hint="eastAsia" w:ascii="仿宋" w:hAnsi="仿宋" w:eastAsia="仿宋"/>
          <w:color w:val="auto"/>
          <w:sz w:val="24"/>
          <w:highlight w:val="none"/>
          <w:u w:val="single"/>
        </w:rPr>
        <w:t>20</w:t>
      </w:r>
      <w:r>
        <w:rPr>
          <w:rFonts w:hint="eastAsia" w:ascii="仿宋" w:hAnsi="仿宋" w:eastAsia="仿宋"/>
          <w:color w:val="auto"/>
          <w:sz w:val="24"/>
          <w:highlight w:val="none"/>
        </w:rPr>
        <w:t>分。评分依下述所列为评标打分依据，分值如下（计算分值时，按其算术平均值保留小数2位）。</w:t>
      </w:r>
    </w:p>
    <w:p>
      <w:pPr>
        <w:spacing w:line="440" w:lineRule="exact"/>
        <w:rPr>
          <w:rFonts w:ascii="仿宋" w:hAnsi="仿宋" w:eastAsia="仿宋"/>
          <w:b/>
          <w:bCs/>
          <w:iCs/>
          <w:color w:val="auto"/>
          <w:sz w:val="24"/>
          <w:highlight w:val="none"/>
        </w:rPr>
      </w:pPr>
      <w:r>
        <w:rPr>
          <w:rFonts w:hint="eastAsia" w:ascii="仿宋" w:hAnsi="仿宋" w:eastAsia="仿宋"/>
          <w:b/>
          <w:bCs/>
          <w:iCs/>
          <w:color w:val="auto"/>
          <w:sz w:val="24"/>
          <w:highlight w:val="none"/>
        </w:rPr>
        <w:t>2.1商务技术分（80分）</w:t>
      </w:r>
    </w:p>
    <w:bookmarkEnd w:id="6"/>
    <w:bookmarkEnd w:id="7"/>
    <w:bookmarkEnd w:id="8"/>
    <w:bookmarkEnd w:id="9"/>
    <w:tbl>
      <w:tblPr>
        <w:tblStyle w:val="46"/>
        <w:tblW w:w="4995" w:type="pct"/>
        <w:jc w:val="center"/>
        <w:tblLayout w:type="autofit"/>
        <w:tblCellMar>
          <w:top w:w="0" w:type="dxa"/>
          <w:left w:w="108" w:type="dxa"/>
          <w:bottom w:w="0" w:type="dxa"/>
          <w:right w:w="108" w:type="dxa"/>
        </w:tblCellMar>
      </w:tblPr>
      <w:tblGrid>
        <w:gridCol w:w="804"/>
        <w:gridCol w:w="1392"/>
        <w:gridCol w:w="7195"/>
      </w:tblGrid>
      <w:tr>
        <w:tblPrEx>
          <w:tblCellMar>
            <w:top w:w="0" w:type="dxa"/>
            <w:left w:w="108" w:type="dxa"/>
            <w:bottom w:w="0" w:type="dxa"/>
            <w:right w:w="108" w:type="dxa"/>
          </w:tblCellMar>
        </w:tblPrEx>
        <w:trPr>
          <w:trHeight w:val="300" w:hRule="atLeast"/>
          <w:jc w:val="center"/>
        </w:trPr>
        <w:tc>
          <w:tcPr>
            <w:tcW w:w="428" w:type="pct"/>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序号</w:t>
            </w:r>
          </w:p>
        </w:tc>
        <w:tc>
          <w:tcPr>
            <w:tcW w:w="741" w:type="pct"/>
            <w:tcBorders>
              <w:top w:val="single" w:color="auto" w:sz="4" w:space="0"/>
              <w:left w:val="nil"/>
              <w:bottom w:val="single" w:color="auto" w:sz="4" w:space="0"/>
              <w:right w:val="single" w:color="auto" w:sz="4" w:space="0"/>
            </w:tcBorders>
          </w:tcPr>
          <w:p>
            <w:pPr>
              <w:widowControl/>
              <w:spacing w:line="44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项目（分值）</w:t>
            </w:r>
          </w:p>
        </w:tc>
        <w:tc>
          <w:tcPr>
            <w:tcW w:w="3830" w:type="pct"/>
            <w:tcBorders>
              <w:top w:val="single" w:color="auto" w:sz="4" w:space="0"/>
              <w:left w:val="nil"/>
              <w:bottom w:val="single" w:color="auto" w:sz="4" w:space="0"/>
              <w:right w:val="single" w:color="auto" w:sz="4" w:space="0"/>
            </w:tcBorders>
          </w:tcPr>
          <w:p>
            <w:pPr>
              <w:widowControl/>
              <w:spacing w:line="44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评分方法</w:t>
            </w:r>
          </w:p>
        </w:tc>
      </w:tr>
      <w:tr>
        <w:tblPrEx>
          <w:tblCellMar>
            <w:top w:w="0" w:type="dxa"/>
            <w:left w:w="108" w:type="dxa"/>
            <w:bottom w:w="0" w:type="dxa"/>
            <w:right w:w="108" w:type="dxa"/>
          </w:tblCellMar>
        </w:tblPrEx>
        <w:trPr>
          <w:trHeight w:val="894"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1</w:t>
            </w:r>
          </w:p>
        </w:tc>
        <w:tc>
          <w:tcPr>
            <w:tcW w:w="7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投标人资信（3分）</w:t>
            </w:r>
          </w:p>
        </w:tc>
        <w:tc>
          <w:tcPr>
            <w:tcW w:w="383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2020年1月1日以来，投标人具有第三方信用评定机构出具的信用等级AAA级认证证书的得3分，AA级认证证书的得1分;A级及以下不得分。</w:t>
            </w:r>
          </w:p>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注：投标文件中须提供相应证书复印件加盖投标人公章，未提供不得分。</w:t>
            </w:r>
          </w:p>
        </w:tc>
      </w:tr>
      <w:tr>
        <w:tblPrEx>
          <w:tblCellMar>
            <w:top w:w="0" w:type="dxa"/>
            <w:left w:w="108" w:type="dxa"/>
            <w:bottom w:w="0" w:type="dxa"/>
            <w:right w:w="108" w:type="dxa"/>
          </w:tblCellMar>
        </w:tblPrEx>
        <w:trPr>
          <w:trHeight w:val="894"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2</w:t>
            </w:r>
          </w:p>
        </w:tc>
        <w:tc>
          <w:tcPr>
            <w:tcW w:w="7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strike/>
                <w:color w:val="auto"/>
                <w:kern w:val="0"/>
                <w:sz w:val="24"/>
                <w:highlight w:val="none"/>
              </w:rPr>
            </w:pPr>
            <w:r>
              <w:rPr>
                <w:rFonts w:hint="eastAsia" w:ascii="仿宋_GB2312" w:hAnsi="宋体" w:eastAsia="仿宋_GB2312" w:cs="宋体"/>
                <w:color w:val="auto"/>
                <w:kern w:val="0"/>
                <w:sz w:val="24"/>
                <w:highlight w:val="none"/>
              </w:rPr>
              <w:t>投标人荣誉（6分）</w:t>
            </w:r>
          </w:p>
        </w:tc>
        <w:tc>
          <w:tcPr>
            <w:tcW w:w="383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2020年1月1日以来，投标人所承接的类似项目获得省级及以上行政主管部门颁发的示范（或优秀）项目荣誉的得2分；获得过市级行政主管部门颁发的示范（或优秀）项目荣誉得1分。荣誉最多计3个，累计得分最多得6分。</w:t>
            </w:r>
          </w:p>
          <w:p>
            <w:pPr>
              <w:widowControl/>
              <w:spacing w:line="320" w:lineRule="exact"/>
              <w:jc w:val="left"/>
              <w:rPr>
                <w:color w:val="auto"/>
                <w:highlight w:val="none"/>
              </w:rPr>
            </w:pPr>
            <w:r>
              <w:rPr>
                <w:rFonts w:hint="eastAsia" w:ascii="仿宋_GB2312" w:hAnsi="宋体" w:eastAsia="仿宋_GB2312" w:cs="宋体"/>
                <w:color w:val="auto"/>
                <w:kern w:val="0"/>
                <w:sz w:val="24"/>
                <w:highlight w:val="none"/>
              </w:rPr>
              <w:t>注：投标文件中提供证书或红头文件复印件，同个项目获得多个奖项的，只能计1次，未提供不得分。</w:t>
            </w:r>
          </w:p>
        </w:tc>
      </w:tr>
      <w:tr>
        <w:tblPrEx>
          <w:tblCellMar>
            <w:top w:w="0" w:type="dxa"/>
            <w:left w:w="108" w:type="dxa"/>
            <w:bottom w:w="0" w:type="dxa"/>
            <w:right w:w="108" w:type="dxa"/>
          </w:tblCellMar>
        </w:tblPrEx>
        <w:trPr>
          <w:trHeight w:val="1331"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3</w:t>
            </w:r>
          </w:p>
        </w:tc>
        <w:tc>
          <w:tcPr>
            <w:tcW w:w="7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管理体系（5分）</w:t>
            </w:r>
          </w:p>
        </w:tc>
        <w:tc>
          <w:tcPr>
            <w:tcW w:w="383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投标人具有ISO9001质量管理体系认证、ISO14001环境管理体系认证、ISO45001职业健康安全管理体系认证证书、信息安全管理体系认证证书、物业管理服务认证证书，每项得1分，最高得5分。</w:t>
            </w:r>
          </w:p>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注：投标文件中须提供相应证书复印件加盖投标人公章且在有效期范围内，未提供不得分。</w:t>
            </w:r>
          </w:p>
        </w:tc>
      </w:tr>
      <w:tr>
        <w:tblPrEx>
          <w:tblCellMar>
            <w:top w:w="0" w:type="dxa"/>
            <w:left w:w="108" w:type="dxa"/>
            <w:bottom w:w="0" w:type="dxa"/>
            <w:right w:w="108" w:type="dxa"/>
          </w:tblCellMar>
        </w:tblPrEx>
        <w:trPr>
          <w:trHeight w:val="1331" w:hRule="atLeast"/>
          <w:jc w:val="center"/>
        </w:trPr>
        <w:tc>
          <w:tcPr>
            <w:tcW w:w="428" w:type="pct"/>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4</w:t>
            </w:r>
          </w:p>
        </w:tc>
        <w:tc>
          <w:tcPr>
            <w:tcW w:w="741" w:type="pc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人员配置（17分）</w:t>
            </w:r>
          </w:p>
        </w:tc>
        <w:tc>
          <w:tcPr>
            <w:tcW w:w="383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根据项目需要，充分考虑项目负责人的全面性、稳定性：</w:t>
            </w:r>
          </w:p>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1、拟派遣项目负责人学历需达到本科及以上，在本单位缴纳社保满3个月（从开标之日往前计算）的得6分。（学历、证书、社保均需达到要求，否则本项不得分）。</w:t>
            </w:r>
          </w:p>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2、拟派遣巡检负责人学历需达到大专及以上，且在本单位缴纳社保满3个月（从开标之日往前计算）的得3分。</w:t>
            </w:r>
          </w:p>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3、拟派遣维护负责人学历需达到大专及以上，且在本单位缴纳社保满3个月（从开标之日往前计算）的得3分；同时持有维修电工二级及以上职称证、高压电工证、低压电工证的，每个证加1分，最高得6分。</w:t>
            </w:r>
          </w:p>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4、拟派遣保洁负责人学历需达到大专及以上，且在本单位缴纳社保满3个月（从开标之日往前计算）的得2分。</w:t>
            </w:r>
          </w:p>
        </w:tc>
      </w:tr>
      <w:tr>
        <w:tblPrEx>
          <w:tblCellMar>
            <w:top w:w="0" w:type="dxa"/>
            <w:left w:w="108" w:type="dxa"/>
            <w:bottom w:w="0" w:type="dxa"/>
            <w:right w:w="108" w:type="dxa"/>
          </w:tblCellMar>
        </w:tblPrEx>
        <w:trPr>
          <w:trHeight w:val="522" w:hRule="atLeast"/>
          <w:jc w:val="center"/>
        </w:trPr>
        <w:tc>
          <w:tcPr>
            <w:tcW w:w="428" w:type="pct"/>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5</w:t>
            </w:r>
          </w:p>
        </w:tc>
        <w:tc>
          <w:tcPr>
            <w:tcW w:w="741" w:type="pc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巡检服务方案（9分）</w:t>
            </w:r>
          </w:p>
        </w:tc>
        <w:tc>
          <w:tcPr>
            <w:tcW w:w="383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根据投标人提供的巡检服务方案可行性，由评委分别进行比较打分。优得6.1-9分，良得3.1-6分，一般得1.1-3分，未提供不得分。</w:t>
            </w:r>
          </w:p>
        </w:tc>
      </w:tr>
      <w:tr>
        <w:tblPrEx>
          <w:tblCellMar>
            <w:top w:w="0" w:type="dxa"/>
            <w:left w:w="108" w:type="dxa"/>
            <w:bottom w:w="0" w:type="dxa"/>
            <w:right w:w="108" w:type="dxa"/>
          </w:tblCellMar>
        </w:tblPrEx>
        <w:trPr>
          <w:trHeight w:val="523" w:hRule="atLeast"/>
          <w:jc w:val="center"/>
        </w:trPr>
        <w:tc>
          <w:tcPr>
            <w:tcW w:w="428" w:type="pct"/>
            <w:tcBorders>
              <w:top w:val="single" w:color="auto" w:sz="4" w:space="0"/>
              <w:left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6</w:t>
            </w:r>
          </w:p>
        </w:tc>
        <w:tc>
          <w:tcPr>
            <w:tcW w:w="741" w:type="pct"/>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维护服务方案（9分）</w:t>
            </w:r>
          </w:p>
        </w:tc>
        <w:tc>
          <w:tcPr>
            <w:tcW w:w="383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根据投标人提供的维修服务方案可行性，由评委分别进行比较打分。优得6.1-9分，良得3.1-6分，一般得1.1-3分，未提供不得分。</w:t>
            </w:r>
          </w:p>
        </w:tc>
      </w:tr>
      <w:tr>
        <w:tblPrEx>
          <w:tblCellMar>
            <w:top w:w="0" w:type="dxa"/>
            <w:left w:w="108" w:type="dxa"/>
            <w:bottom w:w="0" w:type="dxa"/>
            <w:right w:w="108" w:type="dxa"/>
          </w:tblCellMar>
        </w:tblPrEx>
        <w:trPr>
          <w:trHeight w:val="523" w:hRule="atLeast"/>
          <w:jc w:val="center"/>
        </w:trPr>
        <w:tc>
          <w:tcPr>
            <w:tcW w:w="428" w:type="pct"/>
            <w:tcBorders>
              <w:top w:val="single" w:color="auto" w:sz="4" w:space="0"/>
              <w:left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7</w:t>
            </w:r>
          </w:p>
        </w:tc>
        <w:tc>
          <w:tcPr>
            <w:tcW w:w="741" w:type="pct"/>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保洁服务方案（9分）</w:t>
            </w:r>
          </w:p>
        </w:tc>
        <w:tc>
          <w:tcPr>
            <w:tcW w:w="383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根据投标人提供的保洁服务方案可行性，由评委分别进行比较打分。优得6.1-9分，良得3.1-6分，一般得1.1-3分，未提供不得分。</w:t>
            </w:r>
          </w:p>
        </w:tc>
      </w:tr>
      <w:tr>
        <w:tblPrEx>
          <w:tblCellMar>
            <w:top w:w="0" w:type="dxa"/>
            <w:left w:w="108" w:type="dxa"/>
            <w:bottom w:w="0" w:type="dxa"/>
            <w:right w:w="108" w:type="dxa"/>
          </w:tblCellMar>
        </w:tblPrEx>
        <w:trPr>
          <w:trHeight w:val="523" w:hRule="atLeast"/>
          <w:jc w:val="center"/>
        </w:trPr>
        <w:tc>
          <w:tcPr>
            <w:tcW w:w="428" w:type="pct"/>
            <w:tcBorders>
              <w:top w:val="single" w:color="auto" w:sz="4" w:space="0"/>
              <w:left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8</w:t>
            </w:r>
          </w:p>
        </w:tc>
        <w:tc>
          <w:tcPr>
            <w:tcW w:w="741" w:type="pct"/>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突发事件防范与处置方案（7分）</w:t>
            </w:r>
          </w:p>
        </w:tc>
        <w:tc>
          <w:tcPr>
            <w:tcW w:w="383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根据投标人提供的突发事件防范与处置方案可行性与实际相结合的维护管理方案，由评委分别进行比较打分。优得5.1-7分，良得3.1-5分，一般得0.1-3分，未提供不得分。</w:t>
            </w:r>
          </w:p>
        </w:tc>
      </w:tr>
      <w:tr>
        <w:tblPrEx>
          <w:tblCellMar>
            <w:top w:w="0" w:type="dxa"/>
            <w:left w:w="108" w:type="dxa"/>
            <w:bottom w:w="0" w:type="dxa"/>
            <w:right w:w="108" w:type="dxa"/>
          </w:tblCellMar>
        </w:tblPrEx>
        <w:trPr>
          <w:trHeight w:val="1095" w:hRule="atLeast"/>
          <w:jc w:val="center"/>
        </w:trPr>
        <w:tc>
          <w:tcPr>
            <w:tcW w:w="428" w:type="pct"/>
            <w:tcBorders>
              <w:top w:val="single" w:color="auto" w:sz="4" w:space="0"/>
              <w:left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9</w:t>
            </w:r>
          </w:p>
        </w:tc>
        <w:tc>
          <w:tcPr>
            <w:tcW w:w="741" w:type="pct"/>
            <w:tcBorders>
              <w:top w:val="single" w:color="auto" w:sz="4" w:space="0"/>
              <w:left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稳定员工队伍措施（4分）</w:t>
            </w:r>
          </w:p>
        </w:tc>
        <w:tc>
          <w:tcPr>
            <w:tcW w:w="383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根据投标人提供的稳定员工队伍措施可行性与实际相结合的维护管理方案，由评委分别进行比较打分。优得3.1-4分，良得1.6-3分，一般得0.1-1.5分，未提供不得分。</w:t>
            </w:r>
          </w:p>
        </w:tc>
      </w:tr>
      <w:tr>
        <w:tblPrEx>
          <w:tblCellMar>
            <w:top w:w="0" w:type="dxa"/>
            <w:left w:w="108" w:type="dxa"/>
            <w:bottom w:w="0" w:type="dxa"/>
            <w:right w:w="108" w:type="dxa"/>
          </w:tblCellMar>
        </w:tblPrEx>
        <w:trPr>
          <w:trHeight w:val="1195"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10</w:t>
            </w:r>
          </w:p>
        </w:tc>
        <w:tc>
          <w:tcPr>
            <w:tcW w:w="7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设备投入方案</w:t>
            </w:r>
          </w:p>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（5分）</w:t>
            </w:r>
          </w:p>
        </w:tc>
        <w:tc>
          <w:tcPr>
            <w:tcW w:w="3830" w:type="pct"/>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00" w:lineRule="exac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对拟投入本项目的主要设备、主要工机具等配备的全面性、合理性及先进性进行综合评分。</w:t>
            </w:r>
          </w:p>
          <w:p>
            <w:pPr>
              <w:tabs>
                <w:tab w:val="left" w:pos="0"/>
              </w:tabs>
              <w:snapToGrid w:val="0"/>
              <w:spacing w:line="3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优得4.1-5分，良得2.1-4分，一般得0.1-2分</w:t>
            </w:r>
            <w:r>
              <w:rPr>
                <w:rFonts w:hint="eastAsia" w:ascii="仿宋_GB2312" w:hAnsi="宋体" w:eastAsia="仿宋_GB2312" w:cs="宋体"/>
                <w:color w:val="auto"/>
                <w:sz w:val="24"/>
                <w:highlight w:val="none"/>
              </w:rPr>
              <w:t>，未提供不得分。</w:t>
            </w:r>
          </w:p>
        </w:tc>
      </w:tr>
      <w:tr>
        <w:tblPrEx>
          <w:tblCellMar>
            <w:top w:w="0" w:type="dxa"/>
            <w:left w:w="108" w:type="dxa"/>
            <w:bottom w:w="0" w:type="dxa"/>
            <w:right w:w="108" w:type="dxa"/>
          </w:tblCellMar>
        </w:tblPrEx>
        <w:trPr>
          <w:trHeight w:val="1400"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11</w:t>
            </w:r>
          </w:p>
        </w:tc>
        <w:tc>
          <w:tcPr>
            <w:tcW w:w="7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类似业绩(2分)</w:t>
            </w:r>
          </w:p>
        </w:tc>
        <w:tc>
          <w:tcPr>
            <w:tcW w:w="3830" w:type="pct"/>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2020年1月1日以来，投标人承接过类似项目业绩的。每个得1分，最多得2分。</w:t>
            </w:r>
          </w:p>
          <w:p>
            <w:pPr>
              <w:widowControl/>
              <w:spacing w:line="32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注：投标文件中须提供合同复印件加盖投标人公章，未提供不得分。</w:t>
            </w:r>
          </w:p>
        </w:tc>
      </w:tr>
      <w:tr>
        <w:tblPrEx>
          <w:tblCellMar>
            <w:top w:w="0" w:type="dxa"/>
            <w:left w:w="108" w:type="dxa"/>
            <w:bottom w:w="0" w:type="dxa"/>
            <w:right w:w="108" w:type="dxa"/>
          </w:tblCellMar>
        </w:tblPrEx>
        <w:trPr>
          <w:trHeight w:val="720"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Calibri"/>
                <w:bCs/>
                <w:color w:val="auto"/>
                <w:kern w:val="0"/>
                <w:szCs w:val="21"/>
                <w:highlight w:val="none"/>
              </w:rPr>
            </w:pPr>
            <w:r>
              <w:rPr>
                <w:rFonts w:hint="eastAsia" w:ascii="宋体" w:hAnsi="宋体" w:cs="Calibri"/>
                <w:bCs/>
                <w:color w:val="auto"/>
                <w:kern w:val="0"/>
                <w:szCs w:val="21"/>
                <w:highlight w:val="none"/>
              </w:rPr>
              <w:t>12</w:t>
            </w:r>
          </w:p>
        </w:tc>
        <w:tc>
          <w:tcPr>
            <w:tcW w:w="7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员工培训（4分）</w:t>
            </w:r>
          </w:p>
        </w:tc>
        <w:tc>
          <w:tcPr>
            <w:tcW w:w="383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各岗位培训计划的详细程度及培训方案的全面性、针对性及可行性进行综合评分。</w:t>
            </w:r>
          </w:p>
          <w:p>
            <w:pPr>
              <w:widowControl/>
              <w:spacing w:line="320" w:lineRule="exact"/>
              <w:jc w:val="left"/>
              <w:rPr>
                <w:rFonts w:ascii="仿宋_GB2312" w:hAnsi="宋体" w:eastAsia="仿宋_GB2312" w:cs="宋体"/>
                <w:color w:val="auto"/>
                <w:sz w:val="24"/>
                <w:highlight w:val="none"/>
              </w:rPr>
            </w:pPr>
            <w:r>
              <w:rPr>
                <w:rFonts w:hint="eastAsia" w:ascii="仿宋_GB2312" w:hAnsi="宋体" w:eastAsia="仿宋_GB2312" w:cs="宋体"/>
                <w:color w:val="auto"/>
                <w:kern w:val="0"/>
                <w:sz w:val="24"/>
                <w:highlight w:val="none"/>
              </w:rPr>
              <w:t>优得3.1-4分，良得1.6-3分，一般得0.1-1.5分，未提供不得分。</w:t>
            </w:r>
          </w:p>
        </w:tc>
      </w:tr>
    </w:tbl>
    <w:p>
      <w:pPr>
        <w:spacing w:before="156" w:beforeLines="50" w:line="360" w:lineRule="auto"/>
        <w:rPr>
          <w:rFonts w:ascii="仿宋" w:hAnsi="仿宋" w:eastAsia="仿宋"/>
          <w:b/>
          <w:bCs/>
          <w:iCs/>
          <w:color w:val="auto"/>
          <w:sz w:val="24"/>
          <w:highlight w:val="none"/>
        </w:rPr>
      </w:pPr>
      <w:r>
        <w:rPr>
          <w:rFonts w:hint="eastAsia" w:ascii="仿宋" w:hAnsi="仿宋" w:eastAsia="仿宋"/>
          <w:b/>
          <w:bCs/>
          <w:iCs/>
          <w:color w:val="auto"/>
          <w:sz w:val="24"/>
          <w:highlight w:val="none"/>
        </w:rPr>
        <w:t>2.2价格分（20分）</w:t>
      </w:r>
    </w:p>
    <w:p>
      <w:pPr>
        <w:spacing w:line="440" w:lineRule="exact"/>
        <w:ind w:firstLine="480" w:firstLineChars="200"/>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pPr>
        <w:spacing w:line="440" w:lineRule="exact"/>
        <w:ind w:firstLine="480" w:firstLineChars="200"/>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pPr>
        <w:spacing w:line="440" w:lineRule="exact"/>
        <w:ind w:firstLine="480" w:firstLineChars="200"/>
        <w:jc w:val="left"/>
        <w:rPr>
          <w:rFonts w:ascii="仿宋" w:hAnsi="仿宋" w:eastAsia="仿宋" w:cs="仿宋"/>
          <w:bCs/>
          <w:iCs/>
          <w:color w:val="auto"/>
          <w:sz w:val="24"/>
          <w:highlight w:val="none"/>
        </w:rPr>
      </w:pPr>
      <w:r>
        <w:rPr>
          <w:rFonts w:hint="eastAsia" w:ascii="仿宋" w:hAnsi="仿宋" w:eastAsia="仿宋" w:cs="仿宋"/>
          <w:bCs/>
          <w:iCs/>
          <w:color w:val="auto"/>
          <w:sz w:val="24"/>
          <w:highlight w:val="none"/>
        </w:rPr>
        <w:t>即：投标报价得分=(评标基准价／投标报价)×20</w:t>
      </w:r>
    </w:p>
    <w:p>
      <w:pPr>
        <w:spacing w:line="440" w:lineRule="exact"/>
        <w:ind w:firstLine="480" w:firstLineChars="200"/>
        <w:jc w:val="left"/>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2.3总得分=商务技术分+价格分。</w:t>
      </w:r>
    </w:p>
    <w:p>
      <w:pPr>
        <w:pageBreakBefore/>
        <w:snapToGrid w:val="0"/>
        <w:spacing w:line="360" w:lineRule="auto"/>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r>
        <w:rPr>
          <w:rFonts w:hint="eastAsia" w:ascii="仿宋" w:hAnsi="仿宋" w:eastAsia="仿宋"/>
          <w:b/>
          <w:color w:val="auto"/>
          <w:sz w:val="36"/>
          <w:szCs w:val="36"/>
          <w:highlight w:val="none"/>
        </w:rPr>
        <w:t>投标文件</w:t>
      </w:r>
      <w:r>
        <w:rPr>
          <w:rFonts w:hint="eastAsia" w:ascii="仿宋" w:hAnsi="仿宋" w:eastAsia="仿宋" w:cs="仿宋_GB2312"/>
          <w:b/>
          <w:color w:val="auto"/>
          <w:sz w:val="36"/>
          <w:szCs w:val="20"/>
          <w:highlight w:val="none"/>
        </w:rPr>
        <w:t>应提交的有关格式范例</w:t>
      </w:r>
    </w:p>
    <w:p>
      <w:pPr>
        <w:spacing w:line="360" w:lineRule="auto"/>
        <w:ind w:firstLine="480" w:firstLineChars="20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投标人按照以下格式编制投标文件，并将报价文件、商务技术（资信）文件分别编制成册。</w:t>
      </w:r>
    </w:p>
    <w:p>
      <w:pPr>
        <w:spacing w:line="360" w:lineRule="auto"/>
        <w:ind w:firstLine="480" w:firstLineChars="200"/>
        <w:outlineLvl w:val="0"/>
        <w:rPr>
          <w:rFonts w:ascii="仿宋" w:hAnsi="仿宋" w:eastAsia="仿宋" w:cs="仿宋_GB2312"/>
          <w:color w:val="auto"/>
          <w:sz w:val="24"/>
          <w:highlight w:val="none"/>
        </w:rPr>
      </w:pPr>
    </w:p>
    <w:p>
      <w:pPr>
        <w:spacing w:line="360" w:lineRule="auto"/>
        <w:ind w:firstLine="480" w:firstLineChars="200"/>
        <w:outlineLvl w:val="0"/>
        <w:rPr>
          <w:rFonts w:ascii="仿宋" w:hAnsi="仿宋" w:eastAsia="仿宋" w:cs="仿宋_GB2312"/>
          <w:color w:val="auto"/>
          <w:sz w:val="24"/>
          <w:highlight w:val="none"/>
        </w:rPr>
      </w:pPr>
    </w:p>
    <w:p>
      <w:pPr>
        <w:spacing w:line="360" w:lineRule="auto"/>
        <w:ind w:firstLine="480" w:firstLineChars="200"/>
        <w:outlineLvl w:val="0"/>
        <w:rPr>
          <w:rFonts w:ascii="仿宋" w:hAnsi="仿宋" w:eastAsia="仿宋" w:cs="仿宋_GB2312"/>
          <w:color w:val="auto"/>
          <w:sz w:val="24"/>
          <w:highlight w:val="none"/>
        </w:rPr>
      </w:pPr>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（1）投标响应函……………………………………………………（页码）</w:t>
      </w:r>
    </w:p>
    <w:p>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（2）开标一览表……………………………………………………（页码）</w:t>
      </w:r>
    </w:p>
    <w:p>
      <w:pPr>
        <w:spacing w:line="360" w:lineRule="auto"/>
        <w:ind w:firstLine="480" w:firstLineChars="200"/>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（3）中小企业声明函………………………………………………（页码）</w:t>
      </w:r>
    </w:p>
    <w:p>
      <w:pPr>
        <w:spacing w:line="360" w:lineRule="auto"/>
        <w:ind w:firstLine="480" w:firstLineChars="200"/>
        <w:outlineLvl w:val="0"/>
        <w:rPr>
          <w:rFonts w:ascii="仿宋" w:hAnsi="仿宋" w:eastAsia="仿宋"/>
          <w:b/>
          <w:color w:val="auto"/>
          <w:sz w:val="36"/>
          <w:szCs w:val="36"/>
          <w:highlight w:val="none"/>
        </w:rPr>
      </w:pPr>
      <w:r>
        <w:rPr>
          <w:rFonts w:hint="eastAsia" w:ascii="仿宋" w:hAnsi="仿宋" w:eastAsia="仿宋" w:cs="仿宋_GB2312"/>
          <w:color w:val="auto"/>
          <w:sz w:val="24"/>
          <w:highlight w:val="none"/>
        </w:rPr>
        <w:t>（4）残疾人福利性单位声明函</w:t>
      </w:r>
      <w:r>
        <w:rPr>
          <w:rFonts w:hint="eastAsia" w:ascii="仿宋" w:hAnsi="仿宋" w:eastAsia="仿宋" w:cs="仿宋_GB2312"/>
          <w:color w:val="auto"/>
          <w:kern w:val="0"/>
          <w:sz w:val="24"/>
          <w:highlight w:val="none"/>
        </w:rPr>
        <w:t>……………………………………（页码）</w:t>
      </w:r>
    </w:p>
    <w:p>
      <w:pPr>
        <w:pStyle w:val="21"/>
        <w:spacing w:line="800" w:lineRule="atLeast"/>
        <w:ind w:left="0" w:leftChars="0"/>
        <w:rPr>
          <w:rFonts w:ascii="仿宋" w:hAnsi="仿宋" w:eastAsia="仿宋"/>
          <w:b/>
          <w:color w:val="auto"/>
          <w:sz w:val="36"/>
          <w:szCs w:val="36"/>
          <w:highlight w:val="none"/>
        </w:rPr>
      </w:pPr>
    </w:p>
    <w:p>
      <w:pPr>
        <w:rPr>
          <w:rFonts w:ascii="仿宋" w:hAnsi="仿宋" w:eastAsia="仿宋"/>
          <w:b/>
          <w:color w:val="auto"/>
          <w:sz w:val="30"/>
          <w:szCs w:val="30"/>
          <w:highlight w:val="none"/>
        </w:rPr>
      </w:pPr>
    </w:p>
    <w:p>
      <w:pPr>
        <w:pageBreakBefore/>
        <w:rPr>
          <w:rFonts w:ascii="仿宋" w:hAnsi="仿宋" w:eastAsia="仿宋"/>
          <w:b/>
          <w:color w:val="auto"/>
          <w:sz w:val="30"/>
          <w:szCs w:val="30"/>
          <w:highlight w:val="none"/>
        </w:rPr>
      </w:pPr>
      <w:r>
        <w:rPr>
          <w:rFonts w:hint="eastAsia" w:ascii="仿宋" w:hAnsi="仿宋" w:eastAsia="仿宋"/>
          <w:b/>
          <w:color w:val="auto"/>
          <w:sz w:val="30"/>
          <w:szCs w:val="30"/>
          <w:highlight w:val="none"/>
        </w:rPr>
        <w:t>1、投标响应函（格式）</w:t>
      </w:r>
    </w:p>
    <w:p>
      <w:pPr>
        <w:pStyle w:val="74"/>
        <w:spacing w:afterLines="0" w:line="440" w:lineRule="exact"/>
        <w:ind w:firstLine="0" w:firstLineChars="0"/>
        <w:rPr>
          <w:rFonts w:ascii="仿宋" w:hAnsi="仿宋" w:eastAsia="仿宋"/>
          <w:color w:val="auto"/>
          <w:szCs w:val="24"/>
          <w:highlight w:val="none"/>
        </w:rPr>
      </w:pPr>
      <w:r>
        <w:rPr>
          <w:rFonts w:hint="eastAsia" w:ascii="仿宋" w:hAnsi="仿宋" w:eastAsia="仿宋"/>
          <w:color w:val="auto"/>
          <w:szCs w:val="24"/>
          <w:highlight w:val="none"/>
        </w:rPr>
        <w:t>致：</w:t>
      </w:r>
      <w:r>
        <w:rPr>
          <w:rFonts w:hint="eastAsia" w:ascii="仿宋" w:hAnsi="仿宋" w:eastAsia="仿宋"/>
          <w:color w:val="auto"/>
          <w:szCs w:val="24"/>
          <w:highlight w:val="none"/>
          <w:u w:val="single"/>
        </w:rPr>
        <w:t>绍兴市国防动员办公室、浙江翔实建设项目管理有限公司</w:t>
      </w:r>
    </w:p>
    <w:p>
      <w:pPr>
        <w:pStyle w:val="7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根据贵方招标文件（</w:t>
      </w:r>
      <w:r>
        <w:rPr>
          <w:rFonts w:hint="eastAsia" w:ascii="仿宋" w:hAnsi="仿宋" w:eastAsia="仿宋"/>
          <w:b/>
          <w:color w:val="auto"/>
          <w:szCs w:val="24"/>
          <w:highlight w:val="none"/>
          <w:u w:val="single"/>
        </w:rPr>
        <w:t>填写招标编号：</w:t>
      </w:r>
      <w:r>
        <w:rPr>
          <w:rFonts w:hint="eastAsia" w:ascii="仿宋" w:hAnsi="仿宋" w:eastAsia="仿宋"/>
          <w:color w:val="auto"/>
          <w:szCs w:val="24"/>
          <w:highlight w:val="none"/>
        </w:rPr>
        <w:t>）的要求，正式授权</w:t>
      </w:r>
      <w:r>
        <w:rPr>
          <w:rFonts w:hint="eastAsia" w:ascii="仿宋" w:hAnsi="仿宋" w:eastAsia="仿宋"/>
          <w:b/>
          <w:color w:val="auto"/>
          <w:szCs w:val="24"/>
          <w:highlight w:val="none"/>
          <w:u w:val="single"/>
        </w:rPr>
        <w:t>（全权代表姓名    、单位    、职务   ）</w:t>
      </w:r>
      <w:r>
        <w:rPr>
          <w:rFonts w:hint="eastAsia" w:ascii="仿宋" w:hAnsi="仿宋" w:eastAsia="仿宋"/>
          <w:color w:val="auto"/>
          <w:szCs w:val="24"/>
          <w:highlight w:val="none"/>
        </w:rPr>
        <w:t>代表投标人</w:t>
      </w:r>
      <w:r>
        <w:rPr>
          <w:rFonts w:hint="eastAsia" w:ascii="仿宋" w:hAnsi="仿宋" w:eastAsia="仿宋"/>
          <w:color w:val="auto"/>
          <w:szCs w:val="24"/>
          <w:highlight w:val="none"/>
          <w:u w:val="single"/>
        </w:rPr>
        <w:t>（</w:t>
      </w:r>
      <w:r>
        <w:rPr>
          <w:rFonts w:hint="eastAsia" w:ascii="仿宋" w:hAnsi="仿宋" w:eastAsia="仿宋"/>
          <w:b/>
          <w:color w:val="auto"/>
          <w:szCs w:val="24"/>
          <w:highlight w:val="none"/>
          <w:u w:val="single"/>
        </w:rPr>
        <w:t xml:space="preserve">填写单位    、地址   </w:t>
      </w:r>
      <w:r>
        <w:rPr>
          <w:rFonts w:hint="eastAsia" w:ascii="仿宋" w:hAnsi="仿宋" w:eastAsia="仿宋"/>
          <w:color w:val="auto"/>
          <w:szCs w:val="24"/>
          <w:highlight w:val="none"/>
          <w:u w:val="single"/>
        </w:rPr>
        <w:t>）</w:t>
      </w:r>
      <w:r>
        <w:rPr>
          <w:rFonts w:hint="eastAsia" w:ascii="仿宋" w:hAnsi="仿宋" w:eastAsia="仿宋"/>
          <w:color w:val="auto"/>
          <w:szCs w:val="24"/>
          <w:highlight w:val="none"/>
        </w:rPr>
        <w:t>提交投标文件。</w:t>
      </w:r>
    </w:p>
    <w:p>
      <w:pPr>
        <w:pStyle w:val="7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我方已完全明白招标文件的所有条款要求，兹声明同意如下：</w:t>
      </w:r>
    </w:p>
    <w:p>
      <w:pPr>
        <w:pStyle w:val="15"/>
        <w:tabs>
          <w:tab w:val="clear" w:pos="1697"/>
        </w:tabs>
        <w:spacing w:afterLines="0" w:line="440" w:lineRule="exact"/>
        <w:ind w:left="0" w:firstLine="480" w:firstLineChars="200"/>
        <w:rPr>
          <w:rFonts w:ascii="仿宋" w:hAnsi="仿宋" w:eastAsia="仿宋"/>
          <w:color w:val="auto"/>
          <w:szCs w:val="24"/>
          <w:highlight w:val="none"/>
        </w:rPr>
      </w:pPr>
      <w:r>
        <w:rPr>
          <w:rFonts w:hint="eastAsia" w:ascii="仿宋" w:hAnsi="仿宋" w:eastAsia="仿宋"/>
          <w:color w:val="auto"/>
          <w:szCs w:val="24"/>
          <w:highlight w:val="none"/>
        </w:rPr>
        <w:t>1.</w:t>
      </w:r>
      <w:r>
        <w:rPr>
          <w:rFonts w:hint="eastAsia" w:ascii="仿宋" w:hAnsi="仿宋" w:eastAsia="仿宋" w:cs="仿宋_GB2312"/>
          <w:color w:val="auto"/>
          <w:highlight w:val="none"/>
        </w:rPr>
        <w:t>我方同意在投标人</w:t>
      </w:r>
      <w:r>
        <w:rPr>
          <w:rFonts w:hint="eastAsia" w:ascii="仿宋" w:hAnsi="仿宋" w:eastAsia="仿宋" w:cs="仿宋_GB2312"/>
          <w:color w:val="auto"/>
          <w:kern w:val="44"/>
          <w:highlight w:val="none"/>
        </w:rPr>
        <w:t>须知</w:t>
      </w:r>
      <w:r>
        <w:rPr>
          <w:rFonts w:hint="eastAsia" w:ascii="仿宋" w:hAnsi="仿宋" w:eastAsia="仿宋" w:cs="仿宋_GB2312"/>
          <w:color w:val="auto"/>
          <w:highlight w:val="none"/>
        </w:rPr>
        <w:t>规定的开标日期起遵守本投标文件中的承诺且在投标有效期满之前均具有约束力</w:t>
      </w:r>
      <w:r>
        <w:rPr>
          <w:rFonts w:hint="eastAsia" w:ascii="仿宋" w:hAnsi="仿宋" w:eastAsia="仿宋"/>
          <w:color w:val="auto"/>
          <w:szCs w:val="24"/>
          <w:highlight w:val="none"/>
        </w:rPr>
        <w:t>。</w:t>
      </w:r>
    </w:p>
    <w:p>
      <w:pPr>
        <w:pStyle w:val="7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2.我方承诺已经具备《中华人民共和国政府采购法》中规定的参加政府采购活动的供应商应当具备的条件。</w:t>
      </w:r>
    </w:p>
    <w:p>
      <w:pPr>
        <w:pStyle w:val="74"/>
        <w:spacing w:afterLines="0" w:line="440" w:lineRule="exact"/>
        <w:ind w:firstLine="480"/>
        <w:rPr>
          <w:rFonts w:ascii="仿宋" w:hAnsi="仿宋" w:eastAsia="仿宋"/>
          <w:color w:val="auto"/>
          <w:highlight w:val="none"/>
        </w:rPr>
      </w:pPr>
      <w:r>
        <w:rPr>
          <w:rFonts w:hint="eastAsia" w:ascii="仿宋" w:hAnsi="仿宋" w:eastAsia="仿宋"/>
          <w:color w:val="auto"/>
          <w:szCs w:val="24"/>
          <w:highlight w:val="none"/>
        </w:rPr>
        <w:t>3.</w:t>
      </w:r>
      <w:r>
        <w:rPr>
          <w:rFonts w:hint="eastAsia" w:ascii="仿宋" w:hAnsi="仿宋" w:eastAsia="仿宋"/>
          <w:color w:val="auto"/>
          <w:highlight w:val="none"/>
        </w:rPr>
        <w:t>本公司投标文件中填列的技术参数、配置、服务、数量等相关内容都是真实、准确的。保证在本次项目中所提供的资料全部真实和合法。同意向浙江翔实建设项目管理有限公司提供可能另外要求的与投标有关的任何数据或资料。</w:t>
      </w:r>
    </w:p>
    <w:p>
      <w:pPr>
        <w:pStyle w:val="7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4.我方理解贵方将不受你们所收到的最低报价的约束。</w:t>
      </w:r>
    </w:p>
    <w:p>
      <w:pPr>
        <w:pStyle w:val="15"/>
        <w:tabs>
          <w:tab w:val="clear" w:pos="1697"/>
        </w:tabs>
        <w:spacing w:afterLines="0" w:line="440" w:lineRule="exact"/>
        <w:ind w:left="0" w:firstLine="480" w:firstLineChars="200"/>
        <w:rPr>
          <w:rFonts w:ascii="仿宋" w:hAnsi="仿宋" w:eastAsia="仿宋"/>
          <w:color w:val="auto"/>
          <w:szCs w:val="24"/>
          <w:highlight w:val="none"/>
        </w:rPr>
      </w:pPr>
      <w:r>
        <w:rPr>
          <w:rFonts w:hint="eastAsia" w:ascii="仿宋" w:hAnsi="仿宋" w:eastAsia="仿宋"/>
          <w:color w:val="auto"/>
          <w:highlight w:val="none"/>
        </w:rPr>
        <w:t>5.</w:t>
      </w:r>
      <w:r>
        <w:rPr>
          <w:rFonts w:hint="eastAsia" w:ascii="仿宋" w:hAnsi="仿宋" w:eastAsia="仿宋"/>
          <w:color w:val="auto"/>
          <w:szCs w:val="24"/>
          <w:highlight w:val="none"/>
        </w:rPr>
        <w:t>本投标自开标之日（投标截止之日）起90天内有效。</w:t>
      </w:r>
    </w:p>
    <w:p>
      <w:pPr>
        <w:pStyle w:val="74"/>
        <w:spacing w:afterLines="0" w:line="440" w:lineRule="exact"/>
        <w:ind w:firstLine="480"/>
        <w:rPr>
          <w:rFonts w:ascii="仿宋" w:hAnsi="仿宋" w:eastAsia="仿宋" w:cs="仿宋_GB2312"/>
          <w:color w:val="auto"/>
          <w:highlight w:val="none"/>
        </w:rPr>
      </w:pPr>
      <w:r>
        <w:rPr>
          <w:rFonts w:hint="eastAsia" w:ascii="仿宋" w:hAnsi="仿宋" w:eastAsia="仿宋"/>
          <w:color w:val="auto"/>
          <w:szCs w:val="24"/>
          <w:highlight w:val="none"/>
        </w:rPr>
        <w:t>6</w:t>
      </w:r>
      <w:r>
        <w:rPr>
          <w:rFonts w:hint="eastAsia" w:ascii="仿宋" w:hAnsi="仿宋" w:eastAsia="仿宋" w:cs="仿宋_GB2312"/>
          <w:color w:val="auto"/>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a)提供虚假材料谋取中标、成交的；</w:t>
      </w:r>
    </w:p>
    <w:p>
      <w:pPr>
        <w:snapToGrid w:val="0"/>
        <w:spacing w:line="44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b)采取不正当手段诋毁、排挤其他供应商的；</w:t>
      </w:r>
    </w:p>
    <w:p>
      <w:pPr>
        <w:snapToGrid w:val="0"/>
        <w:spacing w:line="44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c)与采购人、其它供应商或者采购代理机构恶意串通的；</w:t>
      </w:r>
    </w:p>
    <w:p>
      <w:pPr>
        <w:snapToGrid w:val="0"/>
        <w:spacing w:line="44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d)向采购人、采购代理机构行贿或者提供其他不正当利益的；</w:t>
      </w:r>
    </w:p>
    <w:p>
      <w:pPr>
        <w:snapToGrid w:val="0"/>
        <w:spacing w:line="44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e)在招标采购过程中与采购人进行协商谈判的；</w:t>
      </w:r>
    </w:p>
    <w:p>
      <w:pPr>
        <w:snapToGrid w:val="0"/>
        <w:spacing w:line="44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f)拒绝有关部门监督检查或提供虚假情况的。</w:t>
      </w:r>
    </w:p>
    <w:p>
      <w:pPr>
        <w:snapToGrid w:val="0"/>
        <w:spacing w:line="44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供应商有前款第a)至e)项情形之一的，中标、成交无效。</w:t>
      </w:r>
    </w:p>
    <w:p>
      <w:pPr>
        <w:pStyle w:val="7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地址：　　　　　　　　　　　　　　　邮政编码：</w:t>
      </w:r>
    </w:p>
    <w:p>
      <w:pPr>
        <w:pStyle w:val="7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电话：                              传真：</w:t>
      </w:r>
    </w:p>
    <w:p>
      <w:pPr>
        <w:pStyle w:val="7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开户银行：                          帐号：</w:t>
      </w:r>
    </w:p>
    <w:p>
      <w:pPr>
        <w:pStyle w:val="7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法定代表人或其授权代表(签字或签章)：</w:t>
      </w:r>
    </w:p>
    <w:p>
      <w:pPr>
        <w:pStyle w:val="74"/>
        <w:spacing w:afterLines="0" w:line="440" w:lineRule="exact"/>
        <w:ind w:firstLine="480"/>
        <w:rPr>
          <w:rFonts w:ascii="仿宋_GB2312" w:hAnsi="宋体" w:eastAsia="仿宋_GB2312"/>
          <w:color w:val="auto"/>
          <w:highlight w:val="none"/>
        </w:rPr>
      </w:pPr>
      <w:r>
        <w:rPr>
          <w:rFonts w:hint="eastAsia" w:ascii="仿宋" w:hAnsi="仿宋" w:eastAsia="仿宋"/>
          <w:color w:val="auto"/>
          <w:szCs w:val="24"/>
          <w:highlight w:val="none"/>
        </w:rPr>
        <w:t>投标人(</w:t>
      </w:r>
      <w:r>
        <w:rPr>
          <w:rFonts w:hint="eastAsia" w:ascii="仿宋_GB2312" w:hAnsi="宋体" w:eastAsia="仿宋_GB2312"/>
          <w:color w:val="auto"/>
          <w:szCs w:val="24"/>
          <w:highlight w:val="none"/>
        </w:rPr>
        <w:t>电子签章</w:t>
      </w:r>
      <w:r>
        <w:rPr>
          <w:rFonts w:hint="eastAsia" w:ascii="仿宋" w:hAnsi="仿宋" w:eastAsia="仿宋"/>
          <w:color w:val="auto"/>
          <w:szCs w:val="24"/>
          <w:highlight w:val="none"/>
        </w:rPr>
        <w:t xml:space="preserve">)：　　　　　　　　　日期：   </w:t>
      </w:r>
      <w:r>
        <w:rPr>
          <w:rFonts w:hint="eastAsia" w:ascii="仿宋_GB2312" w:hAnsi="宋体" w:eastAsia="仿宋_GB2312"/>
          <w:color w:val="auto"/>
          <w:highlight w:val="none"/>
        </w:rPr>
        <w:t>年   月   日</w:t>
      </w:r>
    </w:p>
    <w:p>
      <w:pPr>
        <w:widowControl/>
        <w:jc w:val="left"/>
        <w:rPr>
          <w:rFonts w:ascii="仿宋" w:hAnsi="仿宋" w:eastAsia="仿宋"/>
          <w:b/>
          <w:color w:val="auto"/>
          <w:sz w:val="30"/>
          <w:szCs w:val="30"/>
          <w:highlight w:val="none"/>
        </w:rPr>
        <w:sectPr>
          <w:footerReference r:id="rId12" w:type="first"/>
          <w:footerReference r:id="rId11" w:type="default"/>
          <w:pgSz w:w="11906" w:h="16838"/>
          <w:pgMar w:top="1361" w:right="1361" w:bottom="1361" w:left="1361" w:header="765" w:footer="822" w:gutter="0"/>
          <w:cols w:space="425" w:num="1"/>
          <w:docGrid w:type="lines" w:linePitch="312" w:charSpace="0"/>
        </w:sectPr>
      </w:pPr>
    </w:p>
    <w:p>
      <w:pPr>
        <w:widowControl/>
        <w:jc w:val="left"/>
        <w:rPr>
          <w:rFonts w:ascii="仿宋" w:hAnsi="仿宋" w:eastAsia="仿宋"/>
          <w:b/>
          <w:color w:val="auto"/>
          <w:sz w:val="30"/>
          <w:szCs w:val="30"/>
          <w:highlight w:val="none"/>
        </w:rPr>
      </w:pPr>
      <w:r>
        <w:rPr>
          <w:rFonts w:hint="eastAsia" w:ascii="仿宋" w:hAnsi="仿宋" w:eastAsia="仿宋"/>
          <w:b/>
          <w:color w:val="auto"/>
          <w:sz w:val="30"/>
          <w:szCs w:val="30"/>
          <w:highlight w:val="none"/>
        </w:rPr>
        <w:t>2、开标一览表（格式）</w:t>
      </w:r>
    </w:p>
    <w:p>
      <w:pPr>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投标人名称：</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招标编号：</w:t>
      </w:r>
    </w:p>
    <w:p>
      <w:pPr>
        <w:pStyle w:val="20"/>
        <w:jc w:val="right"/>
        <w:rPr>
          <w:color w:val="auto"/>
          <w:highlight w:val="none"/>
        </w:rPr>
      </w:pPr>
      <w:r>
        <w:rPr>
          <w:rFonts w:hint="eastAsia" w:ascii="仿宋" w:hAnsi="仿宋" w:eastAsia="仿宋" w:cs="仿宋"/>
          <w:color w:val="auto"/>
          <w:sz w:val="24"/>
          <w:highlight w:val="none"/>
        </w:rPr>
        <w:t>单位：元</w:t>
      </w:r>
    </w:p>
    <w:tbl>
      <w:tblPr>
        <w:tblStyle w:val="46"/>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05"/>
        <w:gridCol w:w="1311"/>
        <w:gridCol w:w="1327"/>
        <w:gridCol w:w="945"/>
        <w:gridCol w:w="757"/>
        <w:gridCol w:w="1515"/>
        <w:gridCol w:w="568"/>
        <w:gridCol w:w="568"/>
        <w:gridCol w:w="757"/>
        <w:gridCol w:w="11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69" w:type="pct"/>
            <w:vAlign w:val="center"/>
          </w:tcPr>
          <w:p>
            <w:pPr>
              <w:tabs>
                <w:tab w:val="left" w:pos="540"/>
              </w:tabs>
              <w:adjustRightInd w:val="0"/>
              <w:snapToGrid w:val="0"/>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序号</w:t>
            </w:r>
          </w:p>
        </w:tc>
        <w:tc>
          <w:tcPr>
            <w:tcW w:w="698" w:type="pct"/>
            <w:tcBorders>
              <w:right w:val="single" w:color="auto" w:sz="4" w:space="0"/>
            </w:tcBorders>
            <w:vAlign w:val="center"/>
          </w:tcPr>
          <w:p>
            <w:pPr>
              <w:adjustRightInd w:val="0"/>
              <w:snapToGrid w:val="0"/>
              <w:ind w:left="-107" w:leftChars="-51" w:right="-107" w:rightChars="-51" w:firstLine="2"/>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名称</w:t>
            </w:r>
          </w:p>
        </w:tc>
        <w:tc>
          <w:tcPr>
            <w:tcW w:w="706" w:type="pct"/>
            <w:tcBorders>
              <w:left w:val="single" w:color="auto" w:sz="4" w:space="0"/>
            </w:tcBorders>
            <w:vAlign w:val="center"/>
          </w:tcPr>
          <w:p>
            <w:pPr>
              <w:adjustRightInd w:val="0"/>
              <w:snapToGrid w:val="0"/>
              <w:ind w:left="-107" w:leftChars="-51" w:right="-107" w:rightChars="-51"/>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货物的制造商或服务的提供商</w:t>
            </w:r>
          </w:p>
        </w:tc>
        <w:tc>
          <w:tcPr>
            <w:tcW w:w="503" w:type="pct"/>
            <w:vAlign w:val="center"/>
          </w:tcPr>
          <w:p>
            <w:pPr>
              <w:adjustRightInd w:val="0"/>
              <w:snapToGrid w:val="0"/>
              <w:ind w:left="-107" w:leftChars="-51" w:right="-107" w:rightChars="-51" w:firstLine="1"/>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品牌(如有)</w:t>
            </w:r>
          </w:p>
        </w:tc>
        <w:tc>
          <w:tcPr>
            <w:tcW w:w="403" w:type="pct"/>
            <w:vAlign w:val="center"/>
          </w:tcPr>
          <w:p>
            <w:pPr>
              <w:adjustRightInd w:val="0"/>
              <w:snapToGrid w:val="0"/>
              <w:ind w:left="-107" w:leftChars="-51" w:right="-107" w:rightChars="-51"/>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数量</w:t>
            </w:r>
          </w:p>
        </w:tc>
        <w:tc>
          <w:tcPr>
            <w:tcW w:w="806" w:type="pct"/>
            <w:vAlign w:val="center"/>
          </w:tcPr>
          <w:p>
            <w:pPr>
              <w:adjustRightInd w:val="0"/>
              <w:snapToGrid w:val="0"/>
              <w:ind w:left="-107" w:leftChars="-51" w:right="-107" w:rightChars="-51" w:firstLine="1"/>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型号和规格</w:t>
            </w:r>
            <w:r>
              <w:rPr>
                <w:rFonts w:hint="eastAsia" w:ascii="仿宋" w:hAnsi="仿宋" w:eastAsia="仿宋" w:cs="仿宋"/>
                <w:b/>
                <w:color w:val="auto"/>
                <w:sz w:val="24"/>
                <w:highlight w:val="none"/>
              </w:rPr>
              <w:t>（或具体服务）</w:t>
            </w:r>
          </w:p>
        </w:tc>
        <w:tc>
          <w:tcPr>
            <w:tcW w:w="302" w:type="pct"/>
            <w:tcBorders>
              <w:right w:val="single" w:color="auto" w:sz="4" w:space="0"/>
            </w:tcBorders>
            <w:vAlign w:val="center"/>
          </w:tcPr>
          <w:p>
            <w:pPr>
              <w:adjustRightInd w:val="0"/>
              <w:snapToGrid w:val="0"/>
              <w:ind w:left="-107" w:leftChars="-51" w:right="-107" w:rightChars="-51" w:firstLine="1"/>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单价</w:t>
            </w:r>
          </w:p>
        </w:tc>
        <w:tc>
          <w:tcPr>
            <w:tcW w:w="302" w:type="pct"/>
            <w:tcBorders>
              <w:left w:val="single" w:color="auto" w:sz="4" w:space="0"/>
            </w:tcBorders>
            <w:vAlign w:val="center"/>
          </w:tcPr>
          <w:p>
            <w:pPr>
              <w:adjustRightInd w:val="0"/>
              <w:snapToGrid w:val="0"/>
              <w:ind w:left="-107" w:leftChars="-51" w:right="-107" w:rightChars="-51" w:firstLine="1"/>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总价</w:t>
            </w:r>
          </w:p>
        </w:tc>
        <w:tc>
          <w:tcPr>
            <w:tcW w:w="403" w:type="pct"/>
            <w:vAlign w:val="center"/>
          </w:tcPr>
          <w:p>
            <w:pPr>
              <w:adjustRightInd w:val="0"/>
              <w:snapToGrid w:val="0"/>
              <w:ind w:left="30" w:leftChars="-51" w:right="-107" w:rightChars="-51" w:hanging="137" w:hangingChars="49"/>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交货期</w:t>
            </w:r>
          </w:p>
        </w:tc>
        <w:tc>
          <w:tcPr>
            <w:tcW w:w="604" w:type="pct"/>
            <w:vAlign w:val="center"/>
          </w:tcPr>
          <w:p>
            <w:pPr>
              <w:tabs>
                <w:tab w:val="left" w:pos="1224"/>
              </w:tabs>
              <w:adjustRightInd w:val="0"/>
              <w:snapToGrid w:val="0"/>
              <w:ind w:right="-107" w:rightChars="-51"/>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69" w:type="pct"/>
            <w:vAlign w:val="center"/>
          </w:tcPr>
          <w:p>
            <w:pPr>
              <w:adjustRightInd w:val="0"/>
              <w:snapToGrid w:val="0"/>
              <w:ind w:right="-134" w:rightChars="-64"/>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698"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706"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503" w:type="pct"/>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403" w:type="pct"/>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806" w:type="pct"/>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302"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302"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403" w:type="pct"/>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604" w:type="pct"/>
          </w:tcPr>
          <w:p>
            <w:pPr>
              <w:adjustRightInd w:val="0"/>
              <w:snapToGrid w:val="0"/>
              <w:ind w:right="172" w:rightChars="82" w:firstLine="565" w:firstLineChars="202"/>
              <w:rPr>
                <w:rFonts w:ascii="仿宋" w:hAnsi="仿宋" w:eastAsia="仿宋" w:cs="仿宋"/>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69" w:type="pct"/>
            <w:vAlign w:val="center"/>
          </w:tcPr>
          <w:p>
            <w:pPr>
              <w:adjustRightInd w:val="0"/>
              <w:snapToGrid w:val="0"/>
              <w:ind w:right="-134" w:rightChars="-64"/>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698"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706"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503" w:type="pct"/>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403"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806"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302"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302"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403" w:type="pct"/>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604" w:type="pct"/>
          </w:tcPr>
          <w:p>
            <w:pPr>
              <w:adjustRightInd w:val="0"/>
              <w:snapToGrid w:val="0"/>
              <w:ind w:right="172" w:rightChars="82" w:firstLine="565" w:firstLineChars="202"/>
              <w:rPr>
                <w:rFonts w:ascii="仿宋" w:hAnsi="仿宋" w:eastAsia="仿宋" w:cs="仿宋"/>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69" w:type="pct"/>
            <w:vAlign w:val="center"/>
          </w:tcPr>
          <w:p>
            <w:pPr>
              <w:adjustRightInd w:val="0"/>
              <w:snapToGrid w:val="0"/>
              <w:ind w:right="-134" w:rightChars="-64"/>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698"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706"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503" w:type="pct"/>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403"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806"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302"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302"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403" w:type="pct"/>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604" w:type="pct"/>
          </w:tcPr>
          <w:p>
            <w:pPr>
              <w:adjustRightInd w:val="0"/>
              <w:snapToGrid w:val="0"/>
              <w:ind w:right="172" w:rightChars="82" w:firstLine="565" w:firstLineChars="202"/>
              <w:rPr>
                <w:rFonts w:ascii="仿宋" w:hAnsi="仿宋" w:eastAsia="仿宋" w:cs="仿宋"/>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69" w:type="pct"/>
            <w:vAlign w:val="center"/>
          </w:tcPr>
          <w:p>
            <w:pPr>
              <w:adjustRightInd w:val="0"/>
              <w:snapToGrid w:val="0"/>
              <w:ind w:right="-134" w:rightChars="-64"/>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4</w:t>
            </w:r>
          </w:p>
        </w:tc>
        <w:tc>
          <w:tcPr>
            <w:tcW w:w="698"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706"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503" w:type="pct"/>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403"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806"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302" w:type="pct"/>
            <w:tcBorders>
              <w:righ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302" w:type="pct"/>
            <w:tcBorders>
              <w:left w:val="single" w:color="auto" w:sz="4" w:space="0"/>
            </w:tcBorders>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403" w:type="pct"/>
            <w:vAlign w:val="center"/>
          </w:tcPr>
          <w:p>
            <w:pPr>
              <w:adjustRightInd w:val="0"/>
              <w:snapToGrid w:val="0"/>
              <w:ind w:right="172" w:rightChars="82" w:firstLine="565" w:firstLineChars="202"/>
              <w:rPr>
                <w:rFonts w:ascii="仿宋" w:hAnsi="仿宋" w:eastAsia="仿宋" w:cs="仿宋"/>
                <w:color w:val="auto"/>
                <w:spacing w:val="20"/>
                <w:sz w:val="24"/>
                <w:highlight w:val="none"/>
              </w:rPr>
            </w:pPr>
          </w:p>
        </w:tc>
        <w:tc>
          <w:tcPr>
            <w:tcW w:w="604" w:type="pct"/>
          </w:tcPr>
          <w:p>
            <w:pPr>
              <w:adjustRightInd w:val="0"/>
              <w:snapToGrid w:val="0"/>
              <w:ind w:right="172" w:rightChars="82" w:firstLine="565" w:firstLineChars="202"/>
              <w:rPr>
                <w:rFonts w:ascii="仿宋" w:hAnsi="仿宋" w:eastAsia="仿宋" w:cs="仿宋"/>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967" w:type="pct"/>
            <w:gridSpan w:val="2"/>
            <w:vMerge w:val="restart"/>
            <w:tcBorders>
              <w:right w:val="single" w:color="auto" w:sz="4" w:space="0"/>
            </w:tcBorders>
            <w:vAlign w:val="center"/>
          </w:tcPr>
          <w:p>
            <w:pPr>
              <w:adjustRightInd w:val="0"/>
              <w:snapToGrid w:val="0"/>
              <w:ind w:right="172" w:rightChars="82"/>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投标总价</w:t>
            </w:r>
          </w:p>
        </w:tc>
        <w:tc>
          <w:tcPr>
            <w:tcW w:w="4032" w:type="pct"/>
            <w:gridSpan w:val="8"/>
            <w:tcBorders>
              <w:left w:val="single" w:color="auto" w:sz="4" w:space="0"/>
              <w:bottom w:val="single" w:color="auto" w:sz="4" w:space="0"/>
            </w:tcBorders>
            <w:vAlign w:val="center"/>
          </w:tcPr>
          <w:p>
            <w:pPr>
              <w:adjustRightInd w:val="0"/>
              <w:snapToGrid w:val="0"/>
              <w:ind w:right="172" w:rightChars="82"/>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67" w:type="pct"/>
            <w:gridSpan w:val="2"/>
            <w:vMerge w:val="continue"/>
            <w:tcBorders>
              <w:right w:val="single" w:color="auto" w:sz="4" w:space="0"/>
            </w:tcBorders>
            <w:vAlign w:val="center"/>
          </w:tcPr>
          <w:p>
            <w:pPr>
              <w:adjustRightInd w:val="0"/>
              <w:snapToGrid w:val="0"/>
              <w:ind w:right="172" w:rightChars="82" w:firstLine="565" w:firstLineChars="202"/>
              <w:jc w:val="center"/>
              <w:rPr>
                <w:rFonts w:ascii="仿宋" w:hAnsi="仿宋" w:eastAsia="仿宋" w:cs="仿宋"/>
                <w:color w:val="auto"/>
                <w:spacing w:val="20"/>
                <w:sz w:val="24"/>
                <w:highlight w:val="none"/>
              </w:rPr>
            </w:pPr>
          </w:p>
        </w:tc>
        <w:tc>
          <w:tcPr>
            <w:tcW w:w="4032" w:type="pct"/>
            <w:gridSpan w:val="8"/>
            <w:tcBorders>
              <w:top w:val="single" w:color="auto" w:sz="4" w:space="0"/>
              <w:left w:val="single" w:color="auto" w:sz="4" w:space="0"/>
            </w:tcBorders>
            <w:vAlign w:val="center"/>
          </w:tcPr>
          <w:p>
            <w:pPr>
              <w:adjustRightInd w:val="0"/>
              <w:snapToGrid w:val="0"/>
              <w:ind w:right="172" w:rightChars="82"/>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大写：</w:t>
            </w:r>
          </w:p>
        </w:tc>
      </w:tr>
    </w:tbl>
    <w:p>
      <w:pPr>
        <w:spacing w:line="3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pPr>
        <w:snapToGrid w:val="0"/>
        <w:spacing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2.采购人不接受某一标项中有2个(含)以上的报价或方案，若投标人在此表中有2个（含）以上的报价或方案，其投标作无效投标处理。</w:t>
      </w:r>
    </w:p>
    <w:p>
      <w:pPr>
        <w:spacing w:line="320" w:lineRule="exact"/>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3.投标人需按本表格式填写，如无对应内容，则填写：“无或/”。</w:t>
      </w:r>
    </w:p>
    <w:p>
      <w:pPr>
        <w:snapToGrid w:val="0"/>
        <w:spacing w:line="320" w:lineRule="exact"/>
        <w:ind w:firstLine="482" w:firstLineChars="200"/>
        <w:jc w:val="left"/>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4.有关本项目实施所涉及的一切费用均计入报价，费用包含但不仅限于</w:t>
      </w:r>
      <w:r>
        <w:rPr>
          <w:rStyle w:val="280"/>
          <w:rFonts w:hint="eastAsia" w:ascii="仿宋" w:hAnsi="仿宋" w:eastAsia="仿宋" w:cs="仿宋"/>
          <w:b/>
          <w:bCs/>
          <w:color w:val="auto"/>
          <w:sz w:val="24"/>
          <w:highlight w:val="none"/>
        </w:rPr>
        <w:t>人员工资</w:t>
      </w:r>
      <w:r>
        <w:rPr>
          <w:rStyle w:val="280"/>
          <w:rFonts w:hint="eastAsia" w:ascii="仿宋" w:hAnsi="仿宋" w:eastAsia="仿宋" w:cs="仿宋"/>
          <w:b/>
          <w:bCs/>
          <w:color w:val="auto"/>
          <w:sz w:val="24"/>
          <w:highlight w:val="none"/>
          <w:lang w:val="zh-CN"/>
        </w:rPr>
        <w:t>（包括人员工资、预计加班费用、社会保障费用、高温费等）</w:t>
      </w:r>
      <w:r>
        <w:rPr>
          <w:rStyle w:val="280"/>
          <w:rFonts w:hint="eastAsia" w:ascii="仿宋" w:hAnsi="仿宋" w:eastAsia="仿宋" w:cs="仿宋"/>
          <w:b/>
          <w:bCs/>
          <w:color w:val="auto"/>
          <w:sz w:val="24"/>
          <w:highlight w:val="none"/>
        </w:rPr>
        <w:t>、交通、通讯、设备（仪器）、劳力、</w:t>
      </w:r>
      <w:r>
        <w:rPr>
          <w:rStyle w:val="280"/>
          <w:rFonts w:hint="eastAsia" w:ascii="仿宋" w:hAnsi="仿宋" w:eastAsia="仿宋" w:cs="仿宋"/>
          <w:b/>
          <w:bCs/>
          <w:color w:val="auto"/>
          <w:sz w:val="24"/>
          <w:highlight w:val="none"/>
          <w:lang w:val="zh-CN"/>
        </w:rPr>
        <w:t>办公及工作耗材、</w:t>
      </w:r>
      <w:r>
        <w:rPr>
          <w:rStyle w:val="280"/>
          <w:rFonts w:hint="eastAsia" w:ascii="仿宋" w:hAnsi="仿宋" w:eastAsia="仿宋" w:cs="仿宋"/>
          <w:b/>
          <w:bCs/>
          <w:color w:val="auto"/>
          <w:sz w:val="24"/>
          <w:highlight w:val="none"/>
        </w:rPr>
        <w:t>成果资料费、利润、</w:t>
      </w:r>
      <w:r>
        <w:rPr>
          <w:rFonts w:hint="eastAsia" w:ascii="仿宋" w:hAnsi="仿宋" w:eastAsia="仿宋"/>
          <w:b/>
          <w:bCs/>
          <w:color w:val="auto"/>
          <w:sz w:val="24"/>
          <w:szCs w:val="20"/>
          <w:highlight w:val="none"/>
          <w:lang w:val="zh-CN"/>
        </w:rPr>
        <w:t>农民工工伤保险</w:t>
      </w:r>
      <w:r>
        <w:rPr>
          <w:rStyle w:val="280"/>
          <w:rFonts w:hint="eastAsia" w:ascii="仿宋" w:hAnsi="仿宋" w:eastAsia="仿宋" w:cs="仿宋"/>
          <w:b/>
          <w:bCs/>
          <w:color w:val="auto"/>
          <w:sz w:val="24"/>
          <w:highlight w:val="none"/>
          <w:lang w:val="zh-CN"/>
        </w:rPr>
        <w:t>、综合管理费和税金、其他项目费等乙方认为完成本项目所需的一切费用</w:t>
      </w:r>
      <w:r>
        <w:rPr>
          <w:rFonts w:hint="eastAsia" w:ascii="仿宋" w:hAnsi="仿宋" w:eastAsia="仿宋" w:cs="仿宋"/>
          <w:b/>
          <w:bCs/>
          <w:color w:val="auto"/>
          <w:kern w:val="0"/>
          <w:sz w:val="24"/>
          <w:highlight w:val="none"/>
          <w:lang w:val="zh-CN"/>
        </w:rPr>
        <w:t>。不管投标结果如何，采购人对上述费用不负任何责任。供应商需支付招标代理服务费。</w:t>
      </w:r>
    </w:p>
    <w:p>
      <w:pPr>
        <w:snapToGrid w:val="0"/>
        <w:spacing w:line="320" w:lineRule="exact"/>
        <w:ind w:firstLine="480" w:firstLineChars="200"/>
        <w:jc w:val="left"/>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5.</w:t>
      </w:r>
      <w:r>
        <w:rPr>
          <w:rFonts w:hint="eastAsia" w:ascii="仿宋_GB2312" w:hAnsi="宋体" w:eastAsia="仿宋_GB2312"/>
          <w:color w:val="auto"/>
          <w:kern w:val="0"/>
          <w:sz w:val="24"/>
          <w:highlight w:val="none"/>
          <w:lang w:val="zh-CN"/>
        </w:rPr>
        <w:t>以上表格要求细分项目及报价，</w:t>
      </w:r>
      <w:r>
        <w:rPr>
          <w:rFonts w:hint="eastAsia" w:ascii="仿宋_GB2312" w:hAnsi="仿宋" w:eastAsia="仿宋_GB2312" w:cs="Arial"/>
          <w:b/>
          <w:color w:val="auto"/>
          <w:kern w:val="0"/>
          <w:sz w:val="24"/>
          <w:highlight w:val="none"/>
        </w:rPr>
        <w:t>在“规格型号（或具体服务）”一栏中，货物类项目填写规格型号，服务类项目填写具体服务。</w:t>
      </w:r>
      <w:r>
        <w:rPr>
          <w:rFonts w:hint="eastAsia" w:ascii="仿宋_GB2312" w:hAnsi="宋体" w:eastAsia="仿宋_GB2312"/>
          <w:b/>
          <w:color w:val="auto"/>
          <w:sz w:val="24"/>
          <w:highlight w:val="none"/>
        </w:rPr>
        <w:t>服务包含但不仅限于：服务方案、次数或人数、服务年限等，产品包含但不仅限于:名称、品牌、型号、生产厂商、数量、质保期等</w:t>
      </w:r>
      <w:r>
        <w:rPr>
          <w:rFonts w:hint="eastAsia" w:ascii="仿宋" w:hAnsi="仿宋" w:eastAsia="仿宋" w:cs="仿宋"/>
          <w:color w:val="auto"/>
          <w:kern w:val="0"/>
          <w:sz w:val="24"/>
          <w:highlight w:val="none"/>
          <w:lang w:val="zh-CN"/>
        </w:rPr>
        <w:t>。</w:t>
      </w:r>
    </w:p>
    <w:p>
      <w:pPr>
        <w:snapToGrid w:val="0"/>
        <w:spacing w:line="320" w:lineRule="exact"/>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6.特别提示：采购机构将对项目名称和项目编号，中标供应商名称、地址和中标金额，主要中标标的的名称、规格型号、数量、单价、服务要求等予以公示。请把上述涉及的内容完整填写在开标一览表中。</w:t>
      </w:r>
    </w:p>
    <w:p>
      <w:pPr>
        <w:spacing w:line="440" w:lineRule="exact"/>
        <w:ind w:left="-4" w:leftChars="-2" w:right="-817" w:rightChars="-389" w:firstLine="2"/>
        <w:rPr>
          <w:rFonts w:ascii="仿宋" w:hAnsi="仿宋" w:eastAsia="仿宋" w:cs="仿宋"/>
          <w:color w:val="auto"/>
          <w:sz w:val="24"/>
          <w:highlight w:val="none"/>
        </w:rPr>
      </w:pPr>
    </w:p>
    <w:p>
      <w:pPr>
        <w:spacing w:line="440" w:lineRule="exact"/>
        <w:ind w:left="-4" w:leftChars="-2" w:right="-817" w:rightChars="-389" w:firstLine="2"/>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_GB2312" w:hAnsi="宋体" w:eastAsia="仿宋_GB2312"/>
          <w:color w:val="auto"/>
          <w:sz w:val="24"/>
          <w:highlight w:val="none"/>
        </w:rPr>
        <w:t>电子签章</w:t>
      </w:r>
      <w:r>
        <w:rPr>
          <w:rFonts w:hint="eastAsia" w:ascii="仿宋" w:hAnsi="仿宋" w:eastAsia="仿宋" w:cs="仿宋"/>
          <w:color w:val="auto"/>
          <w:sz w:val="24"/>
          <w:highlight w:val="none"/>
        </w:rPr>
        <w:t>）：</w:t>
      </w:r>
    </w:p>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法定代表人或其授权代表（签字或盖章）：</w:t>
      </w:r>
    </w:p>
    <w:p>
      <w:pPr>
        <w:spacing w:line="44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ageBreakBefore/>
        <w:rPr>
          <w:rFonts w:ascii="仿宋_GB2312" w:hAnsi="仿宋_GB2312" w:eastAsia="仿宋_GB2312" w:cs="仿宋_GB2312"/>
          <w:b/>
          <w:color w:val="auto"/>
          <w:sz w:val="32"/>
          <w:szCs w:val="32"/>
          <w:highlight w:val="none"/>
        </w:rPr>
      </w:pPr>
      <w:r>
        <w:rPr>
          <w:rFonts w:hint="eastAsia" w:ascii="仿宋_GB2312" w:eastAsia="仿宋_GB2312"/>
          <w:b/>
          <w:color w:val="auto"/>
          <w:sz w:val="32"/>
          <w:szCs w:val="32"/>
          <w:highlight w:val="none"/>
        </w:rPr>
        <w:t>3、中小企业声明函</w:t>
      </w:r>
    </w:p>
    <w:p>
      <w:pPr>
        <w:spacing w:line="440" w:lineRule="exact"/>
        <w:rPr>
          <w:rFonts w:ascii="仿宋_GB2312" w:eastAsia="仿宋_GB2312"/>
          <w:b/>
          <w:color w:val="auto"/>
          <w:sz w:val="32"/>
          <w:szCs w:val="32"/>
          <w:highlight w:val="none"/>
        </w:rPr>
      </w:pPr>
      <w:r>
        <w:rPr>
          <w:rFonts w:hint="eastAsia" w:ascii="仿宋_GB2312" w:hAnsi="仿宋" w:eastAsia="仿宋_GB2312" w:cs="仿宋_GB2312"/>
          <w:b/>
          <w:color w:val="auto"/>
          <w:sz w:val="24"/>
          <w:highlight w:val="none"/>
        </w:rPr>
        <w:t xml:space="preserve"> [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w:t>
      </w:r>
    </w:p>
    <w:p>
      <w:pPr>
        <w:rPr>
          <w:rFonts w:ascii="仿宋_GB2312" w:hAnsi="仿宋_GB2312" w:eastAsia="仿宋_GB2312" w:cs="仿宋_GB2312"/>
          <w:b/>
          <w:color w:val="auto"/>
          <w:sz w:val="32"/>
          <w:highlight w:val="none"/>
        </w:rPr>
      </w:pPr>
      <w:r>
        <w:rPr>
          <w:rFonts w:ascii="仿宋_GB2312" w:hAnsi="仿宋_GB2312" w:eastAsia="仿宋_GB2312" w:cs="仿宋_GB2312"/>
          <w:b/>
          <w:color w:val="auto"/>
          <w:sz w:val="32"/>
          <w:highlight w:val="none"/>
        </w:rPr>
        <w:br w:type="page"/>
      </w:r>
    </w:p>
    <w:p>
      <w:pPr>
        <w:pageBreakBefore/>
        <w:jc w:val="center"/>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中小企业声明函（工程、服务）</w:t>
      </w:r>
    </w:p>
    <w:p>
      <w:pPr>
        <w:spacing w:line="34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本公司（联合体）郑重声明，根据《政府采购促进中小企业发展管理办法》 （财库</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2020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46 号）的规定，本公司（联合体）参加</w:t>
      </w:r>
      <w:r>
        <w:rPr>
          <w:rFonts w:hint="eastAsia" w:ascii="仿宋_GB2312" w:hAnsi="仿宋_GB2312" w:eastAsia="仿宋_GB2312" w:cs="仿宋_GB2312"/>
          <w:color w:val="auto"/>
          <w:sz w:val="24"/>
          <w:highlight w:val="none"/>
          <w:u w:val="single"/>
        </w:rPr>
        <w:t xml:space="preserve"> xxx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xxx项目</w:t>
      </w:r>
      <w:r>
        <w:rPr>
          <w:rFonts w:hint="eastAsia" w:ascii="仿宋_GB2312" w:hAnsi="仿宋_GB2312" w:eastAsia="仿宋_GB2312" w:cs="仿宋_GB2312"/>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u w:val="single"/>
        </w:rPr>
        <w:t xml:space="preserve">        （标的名称）</w:t>
      </w:r>
      <w:r>
        <w:rPr>
          <w:rFonts w:hint="eastAsia" w:ascii="仿宋_GB2312" w:hAnsi="仿宋_GB2312" w:eastAsia="仿宋_GB2312" w:cs="仿宋_GB2312"/>
          <w:color w:val="auto"/>
          <w:sz w:val="24"/>
          <w:highlight w:val="none"/>
        </w:rPr>
        <w:t>，属于</w:t>
      </w:r>
      <w:r>
        <w:rPr>
          <w:rFonts w:hint="eastAsia" w:ascii="仿宋_GB2312" w:hAnsi="仿宋_GB2312" w:eastAsia="仿宋_GB2312" w:cs="仿宋_GB2312"/>
          <w:color w:val="auto"/>
          <w:sz w:val="24"/>
          <w:highlight w:val="none"/>
          <w:u w:val="single"/>
        </w:rPr>
        <w:t>（采购文件中明确的所属行业）行业</w:t>
      </w:r>
      <w:r>
        <w:rPr>
          <w:rFonts w:hint="eastAsia" w:ascii="仿宋_GB2312" w:hAnsi="仿宋_GB2312" w:eastAsia="仿宋_GB2312" w:cs="仿宋_GB2312"/>
          <w:color w:val="auto"/>
          <w:sz w:val="24"/>
          <w:highlight w:val="none"/>
        </w:rPr>
        <w:t>；承建（承接）企业为</w:t>
      </w:r>
      <w:r>
        <w:rPr>
          <w:rFonts w:hint="eastAsia" w:ascii="仿宋_GB2312" w:hAnsi="仿宋_GB2312" w:eastAsia="仿宋_GB2312" w:cs="仿宋_GB2312"/>
          <w:color w:val="auto"/>
          <w:sz w:val="24"/>
          <w:highlight w:val="none"/>
          <w:u w:val="single"/>
        </w:rPr>
        <w:t xml:space="preserve">           （企业名称） </w:t>
      </w:r>
      <w:r>
        <w:rPr>
          <w:rFonts w:hint="eastAsia" w:ascii="仿宋_GB2312" w:hAnsi="仿宋_GB2312" w:eastAsia="仿宋_GB2312" w:cs="仿宋_GB2312"/>
          <w:color w:val="auto"/>
          <w:sz w:val="24"/>
          <w:highlight w:val="none"/>
        </w:rPr>
        <w:t>，从业人员</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人，营业收入为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万元，资产总额为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万元，属于</w:t>
      </w:r>
      <w:r>
        <w:rPr>
          <w:rFonts w:hint="eastAsia" w:ascii="仿宋_GB2312" w:hAnsi="仿宋_GB2312" w:eastAsia="仿宋_GB2312" w:cs="仿宋_GB2312"/>
          <w:color w:val="auto"/>
          <w:sz w:val="24"/>
          <w:highlight w:val="none"/>
          <w:u w:val="single"/>
        </w:rPr>
        <w:t xml:space="preserve">          （中型企业、小型企业、微型企业）</w:t>
      </w:r>
      <w:r>
        <w:rPr>
          <w:rFonts w:hint="eastAsia" w:ascii="仿宋_GB2312" w:hAnsi="仿宋_GB2312" w:eastAsia="仿宋_GB2312" w:cs="仿宋_GB2312"/>
          <w:color w:val="auto"/>
          <w:sz w:val="24"/>
          <w:highlight w:val="none"/>
        </w:rPr>
        <w:t xml:space="preserve"> ；</w:t>
      </w:r>
    </w:p>
    <w:p>
      <w:pPr>
        <w:spacing w:line="34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u w:val="single"/>
        </w:rPr>
        <w:t xml:space="preserve">        （标的名称）</w:t>
      </w:r>
      <w:r>
        <w:rPr>
          <w:rFonts w:hint="eastAsia" w:ascii="仿宋_GB2312" w:hAnsi="仿宋_GB2312" w:eastAsia="仿宋_GB2312" w:cs="仿宋_GB2312"/>
          <w:color w:val="auto"/>
          <w:sz w:val="24"/>
          <w:highlight w:val="none"/>
        </w:rPr>
        <w:t>，属于</w:t>
      </w:r>
      <w:r>
        <w:rPr>
          <w:rFonts w:hint="eastAsia" w:ascii="仿宋_GB2312" w:hAnsi="仿宋_GB2312" w:eastAsia="仿宋_GB2312" w:cs="仿宋_GB2312"/>
          <w:color w:val="auto"/>
          <w:sz w:val="24"/>
          <w:highlight w:val="none"/>
          <w:u w:val="single"/>
        </w:rPr>
        <w:t>（采购文件中明确的所属行业）行业</w:t>
      </w:r>
      <w:r>
        <w:rPr>
          <w:rFonts w:hint="eastAsia" w:ascii="仿宋_GB2312" w:hAnsi="仿宋_GB2312" w:eastAsia="仿宋_GB2312" w:cs="仿宋_GB2312"/>
          <w:color w:val="auto"/>
          <w:sz w:val="24"/>
          <w:highlight w:val="none"/>
        </w:rPr>
        <w:t>；承建（承接）企业为</w:t>
      </w:r>
      <w:r>
        <w:rPr>
          <w:rFonts w:hint="eastAsia" w:ascii="仿宋_GB2312" w:hAnsi="仿宋_GB2312" w:eastAsia="仿宋_GB2312" w:cs="仿宋_GB2312"/>
          <w:color w:val="auto"/>
          <w:sz w:val="24"/>
          <w:highlight w:val="none"/>
          <w:u w:val="single"/>
        </w:rPr>
        <w:t xml:space="preserve">           （企业名称） </w:t>
      </w:r>
      <w:r>
        <w:rPr>
          <w:rFonts w:hint="eastAsia" w:ascii="仿宋_GB2312" w:hAnsi="仿宋_GB2312" w:eastAsia="仿宋_GB2312" w:cs="仿宋_GB2312"/>
          <w:color w:val="auto"/>
          <w:sz w:val="24"/>
          <w:highlight w:val="none"/>
        </w:rPr>
        <w:t>，从业人员</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人，营业收入为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万元，资产总额为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 ，属于</w:t>
      </w:r>
      <w:r>
        <w:rPr>
          <w:rFonts w:hint="eastAsia" w:ascii="仿宋_GB2312" w:hAnsi="仿宋_GB2312" w:eastAsia="仿宋_GB2312" w:cs="仿宋_GB2312"/>
          <w:color w:val="auto"/>
          <w:sz w:val="24"/>
          <w:highlight w:val="none"/>
          <w:u w:val="single"/>
        </w:rPr>
        <w:t xml:space="preserve">       （中型企业、小型企业、微型企业）</w:t>
      </w:r>
      <w:r>
        <w:rPr>
          <w:rFonts w:hint="eastAsia" w:ascii="仿宋_GB2312" w:hAnsi="仿宋_GB2312" w:eastAsia="仿宋_GB2312" w:cs="仿宋_GB2312"/>
          <w:color w:val="auto"/>
          <w:sz w:val="24"/>
          <w:highlight w:val="none"/>
        </w:rPr>
        <w:t xml:space="preserve"> ；</w:t>
      </w:r>
    </w:p>
    <w:p>
      <w:pPr>
        <w:spacing w:line="34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pPr>
        <w:spacing w:line="34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本企业对上述声明内容的真实性负责。如有虚假，将依法承担相应责任。</w:t>
      </w:r>
    </w:p>
    <w:p>
      <w:pPr>
        <w:ind w:right="420" w:firstLine="5880" w:firstLineChars="2450"/>
        <w:jc w:val="left"/>
        <w:rPr>
          <w:rFonts w:ascii="仿宋_GB2312" w:hAnsi="仿宋_GB2312" w:eastAsia="仿宋_GB2312" w:cs="仿宋_GB2312"/>
          <w:color w:val="auto"/>
          <w:sz w:val="24"/>
          <w:highlight w:val="none"/>
        </w:rPr>
      </w:pPr>
    </w:p>
    <w:p>
      <w:pPr>
        <w:ind w:right="420" w:firstLine="5880" w:firstLineChars="24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企业名称（盖章）： </w:t>
      </w:r>
    </w:p>
    <w:p>
      <w:pPr>
        <w:ind w:right="420" w:firstLine="5520" w:firstLineChars="2300"/>
        <w:rPr>
          <w:rFonts w:ascii="仿宋_GB2312" w:eastAsia="仿宋_GB2312"/>
          <w:color w:val="auto"/>
          <w:highlight w:val="none"/>
        </w:rPr>
      </w:pPr>
      <w:r>
        <w:rPr>
          <w:rFonts w:hint="eastAsia" w:ascii="仿宋_GB2312" w:hAnsi="仿宋_GB2312" w:eastAsia="仿宋_GB2312" w:cs="仿宋_GB2312"/>
          <w:color w:val="auto"/>
          <w:sz w:val="24"/>
          <w:highlight w:val="none"/>
        </w:rPr>
        <w:t xml:space="preserve">日期：   年     月 </w:t>
      </w:r>
      <w:r>
        <w:rPr>
          <w:rFonts w:hint="eastAsia" w:ascii="仿宋_GB2312" w:eastAsia="仿宋_GB2312"/>
          <w:color w:val="auto"/>
          <w:highlight w:val="none"/>
        </w:rPr>
        <w:t xml:space="preserve">    日</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w:t>
      </w:r>
    </w:p>
    <w:p>
      <w:pPr>
        <w:rPr>
          <w:rFonts w:ascii="仿宋" w:hAnsi="仿宋" w:eastAsia="仿宋"/>
          <w:b/>
          <w:color w:val="auto"/>
          <w:sz w:val="24"/>
          <w:highlight w:val="none"/>
        </w:rPr>
      </w:pPr>
      <w:r>
        <w:rPr>
          <w:rFonts w:hint="eastAsia" w:ascii="仿宋" w:hAnsi="仿宋" w:eastAsia="仿宋"/>
          <w:b/>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color w:val="auto"/>
          <w:sz w:val="24"/>
          <w:highlight w:val="none"/>
        </w:rPr>
        <w:t>如国家颁布新的企业划型标准，则按最新标准执行。</w:t>
      </w:r>
      <w:r>
        <w:rPr>
          <w:rFonts w:hint="eastAsia" w:ascii="仿宋" w:hAnsi="仿宋" w:eastAsia="仿宋"/>
          <w:b/>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color w:val="auto"/>
          <w:sz w:val="24"/>
          <w:highlight w:val="none"/>
        </w:rPr>
      </w:pPr>
      <w:r>
        <w:rPr>
          <w:rFonts w:hint="eastAsia" w:ascii="仿宋" w:hAnsi="仿宋" w:eastAsia="仿宋"/>
          <w:color w:val="auto"/>
          <w:sz w:val="24"/>
          <w:highlight w:val="none"/>
        </w:rPr>
        <w:t>2.根据《政府采购促进中小企业发展管理办法》的通知（财库〔2020〕46号）规定，</w:t>
      </w:r>
      <w:r>
        <w:rPr>
          <w:rFonts w:hint="eastAsia" w:ascii="仿宋_GB2312" w:hAnsi="仿宋_GB2312" w:eastAsia="仿宋_GB2312" w:cs="仿宋_GB2312"/>
          <w:color w:val="auto"/>
          <w:sz w:val="24"/>
          <w:highlight w:val="none"/>
        </w:rPr>
        <w:t>中标、成交供应商享受中小企业扶持政策的，采购代理机构将随中标、成交结果公开中标、成交供应商的《中小企业声明函》。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pacing w:line="588" w:lineRule="exac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4、残疾人福利性单位声明函</w:t>
      </w:r>
    </w:p>
    <w:p>
      <w:pPr>
        <w:spacing w:line="588" w:lineRule="exact"/>
        <w:rPr>
          <w:rFonts w:ascii="仿宋" w:hAnsi="仿宋" w:eastAsia="仿宋"/>
          <w:b/>
          <w:color w:val="auto"/>
          <w:spacing w:val="6"/>
          <w:sz w:val="30"/>
          <w:szCs w:val="30"/>
          <w:highlight w:val="none"/>
        </w:rPr>
      </w:pPr>
    </w:p>
    <w:p>
      <w:pPr>
        <w:spacing w:line="588"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color w:val="auto"/>
          <w:sz w:val="24"/>
          <w:highlight w:val="none"/>
          <w:u w:val="single"/>
        </w:rPr>
        <w:t>绍兴市国防动员办公室</w:t>
      </w:r>
      <w:r>
        <w:rPr>
          <w:rFonts w:hint="eastAsia" w:ascii="仿宋" w:hAnsi="仿宋" w:eastAsia="仿宋" w:cs="仿宋_GB2312"/>
          <w:color w:val="auto"/>
          <w:sz w:val="24"/>
          <w:highlight w:val="none"/>
        </w:rPr>
        <w:t>的</w:t>
      </w:r>
      <w:r>
        <w:rPr>
          <w:rFonts w:hint="eastAsia" w:ascii="仿宋" w:hAnsi="仿宋" w:eastAsia="仿宋" w:cs="仿宋_GB2312"/>
          <w:color w:val="auto"/>
          <w:sz w:val="24"/>
          <w:highlight w:val="none"/>
          <w:u w:val="single"/>
        </w:rPr>
        <w:t>早期人防工程设备设施维护项目</w:t>
      </w:r>
      <w:r>
        <w:rPr>
          <w:rFonts w:hint="eastAsia" w:ascii="仿宋" w:hAnsi="仿宋" w:eastAsia="仿宋" w:cs="仿宋_GB2312"/>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588" w:lineRule="exact"/>
        <w:ind w:firstLine="480" w:firstLineChars="200"/>
        <w:rPr>
          <w:rFonts w:ascii="仿宋" w:hAnsi="仿宋" w:eastAsia="仿宋" w:cs="仿宋_GB2312"/>
          <w:color w:val="auto"/>
          <w:sz w:val="24"/>
          <w:highlight w:val="none"/>
        </w:rPr>
      </w:pPr>
    </w:p>
    <w:p>
      <w:pPr>
        <w:spacing w:line="588" w:lineRule="exact"/>
        <w:ind w:firstLine="480" w:firstLineChars="200"/>
        <w:rPr>
          <w:rFonts w:ascii="仿宋" w:hAnsi="仿宋" w:eastAsia="仿宋" w:cs="仿宋_GB2312"/>
          <w:color w:val="auto"/>
          <w:sz w:val="24"/>
          <w:highlight w:val="none"/>
        </w:rPr>
      </w:pPr>
    </w:p>
    <w:p>
      <w:pPr>
        <w:ind w:right="420" w:firstLine="5880" w:firstLineChars="245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声明单位（盖章）： </w:t>
      </w:r>
    </w:p>
    <w:p>
      <w:pPr>
        <w:ind w:right="420" w:firstLine="5520" w:firstLineChars="2300"/>
        <w:rPr>
          <w:rFonts w:ascii="仿宋" w:hAnsi="仿宋" w:eastAsia="仿宋"/>
          <w:color w:val="auto"/>
          <w:highlight w:val="none"/>
        </w:rPr>
      </w:pPr>
      <w:r>
        <w:rPr>
          <w:rFonts w:hint="eastAsia" w:ascii="仿宋" w:hAnsi="仿宋" w:eastAsia="仿宋" w:cs="仿宋_GB2312"/>
          <w:color w:val="auto"/>
          <w:sz w:val="24"/>
          <w:highlight w:val="none"/>
        </w:rPr>
        <w:t xml:space="preserve">日期：   年     月 </w:t>
      </w:r>
      <w:r>
        <w:rPr>
          <w:rFonts w:hint="eastAsia" w:ascii="仿宋" w:hAnsi="仿宋" w:eastAsia="仿宋"/>
          <w:color w:val="auto"/>
          <w:highlight w:val="none"/>
        </w:rPr>
        <w:t xml:space="preserve">    日</w:t>
      </w:r>
    </w:p>
    <w:p>
      <w:pPr>
        <w:rPr>
          <w:rFonts w:ascii="仿宋" w:hAnsi="仿宋" w:eastAsia="仿宋"/>
          <w:color w:val="auto"/>
          <w:highlight w:val="none"/>
        </w:rPr>
      </w:pPr>
    </w:p>
    <w:p>
      <w:pPr>
        <w:tabs>
          <w:tab w:val="left" w:pos="4860"/>
        </w:tabs>
        <w:spacing w:line="588" w:lineRule="exact"/>
        <w:ind w:right="1560" w:firstLine="480" w:firstLineChars="200"/>
        <w:jc w:val="center"/>
        <w:rPr>
          <w:rFonts w:ascii="仿宋" w:hAnsi="仿宋" w:eastAsia="仿宋" w:cs="仿宋_GB2312"/>
          <w:color w:val="auto"/>
          <w:sz w:val="24"/>
          <w:highlight w:val="none"/>
        </w:rPr>
      </w:pPr>
    </w:p>
    <w:p>
      <w:pPr>
        <w:ind w:firstLine="420" w:firstLineChars="200"/>
        <w:rPr>
          <w:rFonts w:ascii="仿宋" w:hAnsi="仿宋" w:eastAsia="仿宋"/>
          <w:color w:val="auto"/>
          <w:highlight w:val="none"/>
        </w:rPr>
      </w:pPr>
    </w:p>
    <w:p>
      <w:pPr>
        <w:ind w:firstLine="420" w:firstLineChars="200"/>
        <w:rPr>
          <w:rFonts w:ascii="仿宋" w:hAnsi="仿宋" w:eastAsia="仿宋"/>
          <w:color w:val="auto"/>
          <w:highlight w:val="none"/>
        </w:rPr>
      </w:pPr>
    </w:p>
    <w:p>
      <w:pPr>
        <w:ind w:firstLine="420" w:firstLineChars="200"/>
        <w:rPr>
          <w:rFonts w:ascii="仿宋" w:hAnsi="仿宋" w:eastAsia="仿宋"/>
          <w:color w:val="auto"/>
          <w:highlight w:val="none"/>
        </w:rPr>
      </w:pPr>
    </w:p>
    <w:p>
      <w:pPr>
        <w:ind w:firstLine="420" w:firstLineChars="200"/>
        <w:rPr>
          <w:rFonts w:ascii="仿宋" w:hAnsi="仿宋" w:eastAsia="仿宋"/>
          <w:color w:val="auto"/>
          <w:highlight w:val="none"/>
        </w:rPr>
      </w:pPr>
    </w:p>
    <w:p>
      <w:pPr>
        <w:rPr>
          <w:rFonts w:ascii="仿宋" w:hAnsi="仿宋" w:eastAsia="仿宋" w:cs="仿宋_GB2312"/>
          <w:b/>
          <w:color w:val="auto"/>
          <w:sz w:val="24"/>
          <w:highlight w:val="none"/>
        </w:rPr>
      </w:pPr>
    </w:p>
    <w:p>
      <w:pPr>
        <w:spacing w:line="800" w:lineRule="exact"/>
        <w:rPr>
          <w:rFonts w:ascii="仿宋" w:hAnsi="仿宋" w:eastAsia="仿宋"/>
          <w:b/>
          <w:color w:val="auto"/>
          <w:sz w:val="24"/>
          <w:highlight w:val="none"/>
        </w:rPr>
      </w:pPr>
    </w:p>
    <w:p>
      <w:pPr>
        <w:pageBreakBefore/>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商务技术（资信）文件部分</w:t>
      </w: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pStyle w:val="197"/>
        <w:spacing w:line="360" w:lineRule="auto"/>
        <w:ind w:left="0" w:firstLine="0" w:firstLineChars="0"/>
        <w:rPr>
          <w:rFonts w:hAnsi="仿宋_GB2312" w:cs="仿宋_GB2312"/>
          <w:color w:val="auto"/>
          <w:highlight w:val="none"/>
        </w:rPr>
      </w:pPr>
      <w:r>
        <w:rPr>
          <w:rFonts w:hint="eastAsia" w:hAnsi="仿宋_GB2312" w:cs="仿宋_GB2312"/>
          <w:color w:val="auto"/>
          <w:highlight w:val="none"/>
        </w:rPr>
        <w:t>（1）法定代表人授权书 ………………………………………………………（页码）</w:t>
      </w:r>
    </w:p>
    <w:p>
      <w:pPr>
        <w:pStyle w:val="197"/>
        <w:spacing w:line="360" w:lineRule="auto"/>
        <w:ind w:left="0" w:firstLine="0" w:firstLineChars="0"/>
        <w:rPr>
          <w:rFonts w:hAnsi="仿宋_GB2312" w:cs="仿宋_GB2312"/>
          <w:color w:val="auto"/>
          <w:highlight w:val="none"/>
        </w:rPr>
      </w:pPr>
      <w:r>
        <w:rPr>
          <w:rFonts w:hint="eastAsia" w:hAnsi="仿宋_GB2312" w:cs="仿宋_GB2312"/>
          <w:color w:val="auto"/>
          <w:highlight w:val="none"/>
        </w:rPr>
        <w:t>（2）授权代表社保证明（复印件）……………………………………………（页码）</w:t>
      </w:r>
    </w:p>
    <w:p>
      <w:pPr>
        <w:pStyle w:val="197"/>
        <w:spacing w:line="360" w:lineRule="auto"/>
        <w:ind w:left="0" w:firstLine="0" w:firstLineChars="0"/>
        <w:rPr>
          <w:rFonts w:hAnsi="仿宋_GB2312" w:cs="仿宋_GB2312"/>
          <w:strike/>
          <w:color w:val="auto"/>
          <w:highlight w:val="none"/>
        </w:rPr>
      </w:pPr>
      <w:r>
        <w:rPr>
          <w:rFonts w:hint="eastAsia" w:hAnsi="仿宋_GB2312" w:cs="仿宋_GB2312"/>
          <w:strike/>
          <w:color w:val="auto"/>
          <w:highlight w:val="none"/>
        </w:rPr>
        <w:t>（3）法定代表人及其授权代表的身份证（复印件）…………………………（页码）</w:t>
      </w:r>
    </w:p>
    <w:p>
      <w:pPr>
        <w:pStyle w:val="197"/>
        <w:spacing w:line="360" w:lineRule="auto"/>
        <w:ind w:left="0" w:firstLine="0" w:firstLineChars="0"/>
        <w:rPr>
          <w:rFonts w:hAnsi="仿宋_GB2312" w:cs="仿宋_GB2312"/>
          <w:color w:val="auto"/>
          <w:highlight w:val="none"/>
        </w:rPr>
      </w:pPr>
      <w:r>
        <w:rPr>
          <w:rFonts w:hint="eastAsia" w:hAnsi="仿宋_GB2312" w:cs="仿宋_GB2312"/>
          <w:color w:val="auto"/>
          <w:highlight w:val="none"/>
        </w:rPr>
        <w:t>（4）法定代表人身份证明书……………………………………………………（页码）</w:t>
      </w:r>
    </w:p>
    <w:p>
      <w:pPr>
        <w:spacing w:line="360" w:lineRule="auto"/>
        <w:outlineLvl w:val="0"/>
        <w:rPr>
          <w:rFonts w:hAnsi="仿宋_GB2312" w:cs="仿宋_GB2312"/>
          <w:color w:val="auto"/>
          <w:kern w:val="0"/>
          <w:highlight w:val="none"/>
        </w:rPr>
      </w:pPr>
      <w:r>
        <w:rPr>
          <w:rFonts w:hint="eastAsia" w:ascii="仿宋_GB2312" w:hAnsi="仿宋_GB2312" w:eastAsia="仿宋_GB2312" w:cs="仿宋_GB2312"/>
          <w:color w:val="auto"/>
          <w:sz w:val="24"/>
          <w:highlight w:val="none"/>
        </w:rPr>
        <w:t>（5）资格审查有关的书面承诺函</w:t>
      </w:r>
      <w:r>
        <w:rPr>
          <w:rFonts w:hint="eastAsia" w:hAnsi="仿宋_GB2312" w:cs="仿宋_GB2312"/>
          <w:color w:val="auto"/>
          <w:highlight w:val="none"/>
          <w:lang w:val="zh-CN"/>
        </w:rPr>
        <w:t>…………………………………………</w:t>
      </w:r>
      <w:r>
        <w:rPr>
          <w:rFonts w:hint="eastAsia" w:hAnsi="仿宋_GB2312" w:cs="仿宋_GB2312"/>
          <w:color w:val="auto"/>
          <w:highlight w:val="none"/>
        </w:rPr>
        <w:t>………</w:t>
      </w:r>
      <w:r>
        <w:rPr>
          <w:rFonts w:hint="eastAsia" w:hAnsi="仿宋_GB2312" w:cs="仿宋_GB2312"/>
          <w:color w:val="auto"/>
          <w:highlight w:val="none"/>
          <w:lang w:val="zh-CN"/>
        </w:rPr>
        <w:t>…</w:t>
      </w:r>
      <w:r>
        <w:rPr>
          <w:rFonts w:hint="eastAsia" w:hAnsi="仿宋_GB2312" w:cs="仿宋_GB2312"/>
          <w:color w:val="auto"/>
          <w:highlight w:val="none"/>
        </w:rPr>
        <w:t xml:space="preserve"> </w:t>
      </w:r>
      <w:r>
        <w:rPr>
          <w:rFonts w:hint="eastAsia" w:ascii="仿宋_GB2312" w:hAnsi="仿宋_GB2312" w:eastAsia="仿宋_GB2312" w:cs="仿宋_GB2312"/>
          <w:color w:val="auto"/>
          <w:kern w:val="0"/>
          <w:sz w:val="24"/>
          <w:highlight w:val="none"/>
        </w:rPr>
        <w:t>（页码）</w:t>
      </w:r>
    </w:p>
    <w:p>
      <w:pPr>
        <w:pStyle w:val="197"/>
        <w:spacing w:line="360" w:lineRule="auto"/>
        <w:ind w:firstLine="0" w:firstLineChars="0"/>
        <w:rPr>
          <w:rFonts w:hAnsi="仿宋_GB2312" w:cs="仿宋_GB2312"/>
          <w:color w:val="auto"/>
          <w:highlight w:val="none"/>
        </w:rPr>
      </w:pPr>
      <w:r>
        <w:rPr>
          <w:rFonts w:hint="eastAsia" w:hAnsi="仿宋_GB2312" w:cs="仿宋_GB2312"/>
          <w:color w:val="auto"/>
          <w:highlight w:val="none"/>
        </w:rPr>
        <w:t>（6）符合特定资格条件（如果项目要求）的有关证明材料（复印件）……（页码）</w:t>
      </w:r>
    </w:p>
    <w:p>
      <w:pPr>
        <w:pStyle w:val="197"/>
        <w:spacing w:line="360" w:lineRule="auto"/>
        <w:ind w:left="0" w:firstLine="0" w:firstLineChars="0"/>
        <w:rPr>
          <w:rFonts w:hAnsi="仿宋_GB2312" w:cs="仿宋_GB2312"/>
          <w:color w:val="auto"/>
          <w:highlight w:val="none"/>
        </w:rPr>
      </w:pPr>
      <w:r>
        <w:rPr>
          <w:rFonts w:hint="eastAsia" w:hAnsi="仿宋_GB2312" w:cs="仿宋_GB2312"/>
          <w:color w:val="auto"/>
          <w:highlight w:val="none"/>
        </w:rPr>
        <w:t>（7）类似</w:t>
      </w:r>
      <w:r>
        <w:rPr>
          <w:rFonts w:hint="eastAsia" w:hAnsi="仿宋_GB2312" w:cs="仿宋_GB2312"/>
          <w:color w:val="auto"/>
          <w:highlight w:val="none"/>
          <w:lang w:val="zh-CN"/>
        </w:rPr>
        <w:t>业绩证明…………………………………………………</w:t>
      </w:r>
      <w:r>
        <w:rPr>
          <w:rFonts w:hint="eastAsia" w:hAnsi="仿宋_GB2312" w:cs="仿宋_GB2312"/>
          <w:color w:val="auto"/>
          <w:highlight w:val="none"/>
        </w:rPr>
        <w:t>…………</w:t>
      </w:r>
      <w:r>
        <w:rPr>
          <w:rFonts w:hint="eastAsia" w:hAnsi="仿宋_GB2312" w:cs="仿宋_GB2312"/>
          <w:color w:val="auto"/>
          <w:highlight w:val="none"/>
          <w:lang w:val="zh-CN"/>
        </w:rPr>
        <w:t>…</w:t>
      </w:r>
      <w:r>
        <w:rPr>
          <w:rFonts w:hint="eastAsia" w:hAnsi="仿宋_GB2312" w:cs="仿宋_GB2312"/>
          <w:color w:val="auto"/>
          <w:highlight w:val="none"/>
        </w:rPr>
        <w:t>（页码）</w:t>
      </w:r>
    </w:p>
    <w:p>
      <w:pPr>
        <w:pStyle w:val="197"/>
        <w:spacing w:line="360" w:lineRule="auto"/>
        <w:ind w:left="0" w:firstLine="0" w:firstLineChars="0"/>
        <w:rPr>
          <w:rFonts w:hAnsi="仿宋_GB2312" w:cs="仿宋_GB2312"/>
          <w:color w:val="auto"/>
          <w:highlight w:val="none"/>
        </w:rPr>
      </w:pPr>
      <w:r>
        <w:rPr>
          <w:rFonts w:hint="eastAsia" w:hAnsi="仿宋_GB2312" w:cs="仿宋_GB2312"/>
          <w:color w:val="auto"/>
          <w:highlight w:val="none"/>
        </w:rPr>
        <w:t>（8）廉政承诺书 ………………………………………………………………（页码）</w:t>
      </w:r>
    </w:p>
    <w:p>
      <w:pPr>
        <w:spacing w:line="360" w:lineRule="auto"/>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（9）技术偏离说明表………………………………………………</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pPr>
        <w:spacing w:line="360" w:lineRule="auto"/>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（10）技术方案……………………………………………</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（11）售后服务方案……………………………………………</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（12）投标人拟委派项目组成员情况……………………………………</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w:t>
      </w:r>
      <w:r>
        <w:rPr>
          <w:rFonts w:hint="eastAsia" w:ascii="仿宋_GB2312" w:hAnsi="仿宋_GB2312" w:eastAsia="仿宋_GB2312" w:cs="仿宋_GB2312"/>
          <w:color w:val="auto"/>
          <w:kern w:val="0"/>
          <w:sz w:val="24"/>
          <w:highlight w:val="none"/>
          <w:lang w:val="zh-CN"/>
        </w:rPr>
        <w:t>优惠条件及特殊承诺……………………………………</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kern w:val="0"/>
          <w:sz w:val="24"/>
          <w:highlight w:val="none"/>
        </w:rPr>
        <w:t>（14）</w:t>
      </w:r>
      <w:r>
        <w:rPr>
          <w:rFonts w:hint="eastAsia" w:ascii="仿宋_GB2312" w:hAnsi="仿宋_GB2312" w:eastAsia="仿宋_GB2312" w:cs="仿宋_GB2312"/>
          <w:color w:val="auto"/>
          <w:kern w:val="0"/>
          <w:sz w:val="24"/>
          <w:highlight w:val="none"/>
          <w:lang w:val="zh-CN"/>
        </w:rPr>
        <w:t>认为需要的其他商务技术（资信）文件或说明………………</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注：以上目录是基本格式要求，各投标人可根据自身情况进一步细化。</w:t>
      </w:r>
    </w:p>
    <w:p>
      <w:pPr>
        <w:pageBreakBefore/>
        <w:spacing w:line="800" w:lineRule="exact"/>
        <w:rPr>
          <w:rFonts w:ascii="仿宋" w:hAnsi="仿宋" w:eastAsia="仿宋"/>
          <w:b/>
          <w:color w:val="auto"/>
          <w:sz w:val="30"/>
          <w:szCs w:val="30"/>
          <w:highlight w:val="none"/>
        </w:rPr>
      </w:pPr>
      <w:r>
        <w:rPr>
          <w:rFonts w:hint="eastAsia" w:ascii="仿宋" w:hAnsi="仿宋" w:eastAsia="仿宋"/>
          <w:b/>
          <w:color w:val="auto"/>
          <w:sz w:val="30"/>
          <w:szCs w:val="30"/>
          <w:highlight w:val="none"/>
        </w:rPr>
        <w:t xml:space="preserve">1、法定代表人授权委托书（格式） </w:t>
      </w:r>
    </w:p>
    <w:p>
      <w:pPr>
        <w:jc w:val="center"/>
        <w:rPr>
          <w:rFonts w:ascii="仿宋" w:hAnsi="仿宋" w:eastAsia="仿宋"/>
          <w:b/>
          <w:color w:val="auto"/>
          <w:sz w:val="24"/>
          <w:highlight w:val="none"/>
        </w:rPr>
      </w:pPr>
    </w:p>
    <w:p>
      <w:pPr>
        <w:snapToGrid w:val="0"/>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本授权委托书声明：我</w:t>
      </w:r>
      <w:r>
        <w:rPr>
          <w:rFonts w:hint="eastAsia" w:ascii="仿宋" w:hAnsi="仿宋" w:eastAsia="仿宋"/>
          <w:color w:val="auto"/>
          <w:sz w:val="24"/>
          <w:highlight w:val="none"/>
          <w:u w:val="single"/>
        </w:rPr>
        <w:t xml:space="preserve">         (填写姓名)</w:t>
      </w: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（填写投标人单位全称）</w:t>
      </w:r>
      <w:r>
        <w:rPr>
          <w:rFonts w:hint="eastAsia" w:ascii="仿宋" w:hAnsi="仿宋" w:eastAsia="仿宋"/>
          <w:color w:val="auto"/>
          <w:sz w:val="24"/>
          <w:highlight w:val="none"/>
        </w:rPr>
        <w:t>的法定代表人，现授权委托</w:t>
      </w:r>
      <w:r>
        <w:rPr>
          <w:rFonts w:hint="eastAsia" w:ascii="仿宋" w:hAnsi="仿宋" w:eastAsia="仿宋"/>
          <w:color w:val="auto"/>
          <w:sz w:val="24"/>
          <w:highlight w:val="none"/>
          <w:u w:val="single"/>
        </w:rPr>
        <w:t xml:space="preserve">                  （填写单位全称）</w:t>
      </w:r>
      <w:r>
        <w:rPr>
          <w:rFonts w:hint="eastAsia" w:ascii="仿宋" w:hAnsi="仿宋" w:eastAsia="仿宋"/>
          <w:color w:val="auto"/>
          <w:sz w:val="24"/>
          <w:highlight w:val="none"/>
        </w:rPr>
        <w:t>的（填写姓名）为我公司授权代表，</w:t>
      </w:r>
      <w:r>
        <w:rPr>
          <w:rFonts w:hint="eastAsia" w:ascii="仿宋" w:hAnsi="仿宋" w:eastAsia="仿宋"/>
          <w:color w:val="auto"/>
          <w:sz w:val="24"/>
          <w:highlight w:val="none"/>
          <w:u w:val="single"/>
        </w:rPr>
        <w:t>（填写身份证号码：                       ）</w:t>
      </w:r>
      <w:r>
        <w:rPr>
          <w:rFonts w:hint="eastAsia" w:ascii="仿宋" w:hAnsi="仿宋" w:eastAsia="仿宋"/>
          <w:color w:val="auto"/>
          <w:sz w:val="24"/>
          <w:highlight w:val="none"/>
        </w:rPr>
        <w:t>。以本公司的名义参加</w:t>
      </w:r>
      <w:r>
        <w:rPr>
          <w:rFonts w:hint="eastAsia" w:ascii="仿宋" w:hAnsi="仿宋" w:eastAsia="仿宋"/>
          <w:color w:val="auto"/>
          <w:sz w:val="24"/>
          <w:highlight w:val="none"/>
          <w:u w:val="single"/>
        </w:rPr>
        <w:t>绍兴市国防动员办公室、浙江翔实建设项目管理有限公司</w:t>
      </w:r>
      <w:r>
        <w:rPr>
          <w:rFonts w:hint="eastAsia" w:ascii="仿宋" w:hAnsi="仿宋" w:eastAsia="仿宋"/>
          <w:color w:val="auto"/>
          <w:sz w:val="24"/>
          <w:highlight w:val="none"/>
        </w:rPr>
        <w:t>组织的</w:t>
      </w:r>
      <w:r>
        <w:rPr>
          <w:rFonts w:hint="eastAsia" w:ascii="仿宋" w:hAnsi="仿宋" w:eastAsia="仿宋" w:cs="仿宋_GB2312"/>
          <w:color w:val="auto"/>
          <w:sz w:val="24"/>
          <w:highlight w:val="none"/>
          <w:u w:val="single"/>
        </w:rPr>
        <w:t>早期人防工程设备设施维护项目</w:t>
      </w:r>
      <w:r>
        <w:rPr>
          <w:rFonts w:hint="eastAsia" w:ascii="仿宋" w:hAnsi="仿宋" w:eastAsia="仿宋"/>
          <w:color w:val="auto"/>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授权代表无转委托权。特此委托。</w:t>
      </w:r>
    </w:p>
    <w:p>
      <w:pPr>
        <w:snapToGrid w:val="0"/>
        <w:spacing w:line="600" w:lineRule="exact"/>
        <w:jc w:val="left"/>
        <w:rPr>
          <w:rFonts w:ascii="仿宋" w:hAnsi="仿宋" w:eastAsia="仿宋"/>
          <w:color w:val="auto"/>
          <w:sz w:val="24"/>
          <w:highlight w:val="none"/>
        </w:rPr>
      </w:pPr>
    </w:p>
    <w:p>
      <w:pPr>
        <w:spacing w:line="360" w:lineRule="exact"/>
        <w:rPr>
          <w:rFonts w:ascii="仿宋" w:hAnsi="仿宋" w:eastAsia="仿宋"/>
          <w:color w:val="auto"/>
          <w:sz w:val="24"/>
          <w:highlight w:val="none"/>
        </w:rPr>
      </w:pPr>
      <w:r>
        <w:rPr>
          <w:rFonts w:hint="eastAsia" w:ascii="仿宋" w:hAnsi="仿宋" w:eastAsia="仿宋"/>
          <w:color w:val="auto"/>
          <w:sz w:val="24"/>
          <w:highlight w:val="none"/>
        </w:rPr>
        <w:t>授权代表姓名：              性别：               年龄：</w:t>
      </w: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r>
        <w:rPr>
          <w:rFonts w:hint="eastAsia" w:ascii="仿宋" w:hAnsi="仿宋" w:eastAsia="仿宋"/>
          <w:color w:val="auto"/>
          <w:sz w:val="24"/>
          <w:highlight w:val="none"/>
        </w:rPr>
        <w:t>单位：                      部门：               职务：</w:t>
      </w:r>
    </w:p>
    <w:p>
      <w:pPr>
        <w:spacing w:line="360" w:lineRule="exact"/>
        <w:rPr>
          <w:rFonts w:ascii="仿宋" w:hAnsi="仿宋" w:eastAsia="仿宋"/>
          <w:color w:val="auto"/>
          <w:sz w:val="24"/>
          <w:highlight w:val="none"/>
        </w:rPr>
      </w:pPr>
    </w:p>
    <w:p>
      <w:pPr>
        <w:widowControl/>
        <w:snapToGrid w:val="0"/>
        <w:spacing w:line="440" w:lineRule="exact"/>
        <w:rPr>
          <w:rFonts w:ascii="仿宋" w:hAnsi="仿宋" w:eastAsia="仿宋"/>
          <w:color w:val="auto"/>
          <w:sz w:val="24"/>
          <w:highlight w:val="none"/>
        </w:rPr>
      </w:pPr>
      <w:r>
        <w:rPr>
          <w:rFonts w:hint="eastAsia" w:ascii="仿宋" w:hAnsi="仿宋" w:eastAsia="仿宋"/>
          <w:color w:val="auto"/>
          <w:kern w:val="0"/>
          <w:sz w:val="24"/>
          <w:highlight w:val="none"/>
        </w:rPr>
        <w:t>办公地址：                  联系电话：           传真：</w:t>
      </w: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r>
        <w:rPr>
          <w:rFonts w:hint="eastAsia" w:ascii="仿宋" w:hAnsi="仿宋" w:eastAsia="仿宋"/>
          <w:color w:val="auto"/>
          <w:sz w:val="24"/>
          <w:highlight w:val="none"/>
        </w:rPr>
        <w:t>投标人（</w:t>
      </w:r>
      <w:r>
        <w:rPr>
          <w:rFonts w:hint="eastAsia" w:ascii="仿宋_GB2312" w:hAnsi="宋体" w:eastAsia="仿宋_GB2312"/>
          <w:color w:val="auto"/>
          <w:sz w:val="24"/>
          <w:highlight w:val="none"/>
        </w:rPr>
        <w:t>电子签章</w:t>
      </w:r>
      <w:r>
        <w:rPr>
          <w:rFonts w:hint="eastAsia" w:ascii="仿宋" w:hAnsi="仿宋" w:eastAsia="仿宋"/>
          <w:color w:val="auto"/>
          <w:sz w:val="24"/>
          <w:highlight w:val="none"/>
        </w:rPr>
        <w:t>）：</w:t>
      </w: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r>
        <w:rPr>
          <w:rFonts w:hint="eastAsia" w:ascii="仿宋" w:hAnsi="仿宋" w:eastAsia="仿宋"/>
          <w:color w:val="auto"/>
          <w:sz w:val="24"/>
          <w:highlight w:val="none"/>
        </w:rPr>
        <w:t>法定代表人（签字或盖章）：</w:t>
      </w: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p>
    <w:p>
      <w:pPr>
        <w:ind w:firstLine="5280" w:firstLineChars="2200"/>
        <w:jc w:val="left"/>
        <w:rPr>
          <w:rFonts w:ascii="仿宋" w:hAnsi="仿宋" w:eastAsia="仿宋"/>
          <w:color w:val="auto"/>
          <w:sz w:val="24"/>
          <w:highlight w:val="none"/>
        </w:rPr>
      </w:pPr>
      <w:r>
        <w:rPr>
          <w:rFonts w:hint="eastAsia" w:ascii="仿宋" w:hAnsi="仿宋" w:eastAsia="仿宋"/>
          <w:color w:val="auto"/>
          <w:sz w:val="24"/>
          <w:highlight w:val="none"/>
        </w:rPr>
        <w:t>日期：    年   月   日</w:t>
      </w:r>
    </w:p>
    <w:p>
      <w:pPr>
        <w:ind w:firstLine="4920" w:firstLineChars="2050"/>
        <w:jc w:val="left"/>
        <w:rPr>
          <w:rFonts w:ascii="仿宋" w:hAnsi="仿宋" w:eastAsia="仿宋"/>
          <w:color w:val="auto"/>
          <w:sz w:val="24"/>
          <w:highlight w:val="none"/>
        </w:rPr>
      </w:pPr>
    </w:p>
    <w:p>
      <w:pPr>
        <w:spacing w:line="800" w:lineRule="exact"/>
        <w:rPr>
          <w:rFonts w:ascii="仿宋" w:hAnsi="仿宋" w:eastAsia="仿宋"/>
          <w:b/>
          <w:color w:val="auto"/>
          <w:sz w:val="24"/>
          <w:highlight w:val="none"/>
        </w:rPr>
      </w:pPr>
    </w:p>
    <w:p>
      <w:pPr>
        <w:pageBreakBefore/>
        <w:spacing w:line="800" w:lineRule="exact"/>
        <w:rPr>
          <w:rFonts w:ascii="仿宋" w:hAnsi="仿宋" w:eastAsia="仿宋"/>
          <w:b/>
          <w:color w:val="auto"/>
          <w:sz w:val="30"/>
          <w:szCs w:val="30"/>
          <w:highlight w:val="none"/>
        </w:rPr>
      </w:pPr>
      <w:r>
        <w:rPr>
          <w:rFonts w:hint="eastAsia" w:ascii="仿宋" w:hAnsi="仿宋" w:eastAsia="仿宋"/>
          <w:b/>
          <w:color w:val="auto"/>
          <w:sz w:val="30"/>
          <w:szCs w:val="30"/>
          <w:highlight w:val="none"/>
        </w:rPr>
        <w:t>2、授权代表社保证明（复印件）</w:t>
      </w:r>
    </w:p>
    <w:p>
      <w:pPr>
        <w:spacing w:line="800" w:lineRule="exact"/>
        <w:ind w:firstLine="480" w:firstLineChars="200"/>
        <w:rPr>
          <w:rFonts w:ascii="仿宋" w:hAnsi="仿宋" w:eastAsia="仿宋"/>
          <w:color w:val="auto"/>
          <w:sz w:val="24"/>
          <w:highlight w:val="none"/>
          <w:u w:val="wave"/>
        </w:rPr>
      </w:pPr>
      <w:r>
        <w:rPr>
          <w:rFonts w:hint="eastAsia" w:ascii="仿宋" w:hAnsi="仿宋" w:eastAsia="仿宋"/>
          <w:color w:val="auto"/>
          <w:sz w:val="24"/>
          <w:highlight w:val="none"/>
          <w:u w:val="wave"/>
        </w:rPr>
        <w:t>出具距投标截止时间一个月以内的社保机构盖公章的授权代表社保缴纳证明（如授权代表为</w:t>
      </w:r>
      <w:r>
        <w:rPr>
          <w:rFonts w:ascii="仿宋" w:hAnsi="仿宋" w:eastAsia="仿宋"/>
          <w:color w:val="auto"/>
          <w:sz w:val="24"/>
          <w:highlight w:val="none"/>
          <w:u w:val="wave"/>
        </w:rPr>
        <w:t>离退休返聘人员的，投标响应文件技术部分内</w:t>
      </w:r>
      <w:r>
        <w:rPr>
          <w:rFonts w:hint="eastAsia" w:ascii="仿宋" w:hAnsi="仿宋" w:eastAsia="仿宋"/>
          <w:color w:val="auto"/>
          <w:sz w:val="24"/>
          <w:highlight w:val="none"/>
          <w:u w:val="wave"/>
        </w:rPr>
        <w:t>需提供</w:t>
      </w:r>
      <w:r>
        <w:rPr>
          <w:rFonts w:ascii="仿宋" w:hAnsi="仿宋" w:eastAsia="仿宋"/>
          <w:color w:val="auto"/>
          <w:sz w:val="24"/>
          <w:highlight w:val="none"/>
          <w:u w:val="wave"/>
        </w:rPr>
        <w:t>退休证明及单位聘用证明</w:t>
      </w:r>
      <w:r>
        <w:rPr>
          <w:rFonts w:hint="eastAsia" w:ascii="仿宋" w:hAnsi="仿宋" w:eastAsia="仿宋"/>
          <w:color w:val="auto"/>
          <w:sz w:val="24"/>
          <w:highlight w:val="none"/>
          <w:u w:val="wave"/>
        </w:rPr>
        <w:t>；如由第三方代理社保事项的，则需提供委托代理协议复印件），格式自拟。</w:t>
      </w:r>
      <w:r>
        <w:rPr>
          <w:rFonts w:ascii="仿宋" w:hAnsi="仿宋" w:eastAsia="仿宋"/>
          <w:b/>
          <w:color w:val="auto"/>
          <w:sz w:val="24"/>
          <w:highlight w:val="none"/>
        </w:rPr>
        <w:t>未提供</w:t>
      </w:r>
      <w:r>
        <w:rPr>
          <w:rFonts w:hint="eastAsia" w:ascii="仿宋" w:hAnsi="仿宋" w:eastAsia="仿宋"/>
          <w:b/>
          <w:color w:val="auto"/>
          <w:sz w:val="24"/>
          <w:highlight w:val="none"/>
        </w:rPr>
        <w:t>上述</w:t>
      </w:r>
      <w:r>
        <w:rPr>
          <w:rFonts w:ascii="仿宋" w:hAnsi="仿宋" w:eastAsia="仿宋"/>
          <w:b/>
          <w:color w:val="auto"/>
          <w:sz w:val="24"/>
          <w:highlight w:val="none"/>
        </w:rPr>
        <w:t>证明的投标</w:t>
      </w:r>
      <w:r>
        <w:rPr>
          <w:rFonts w:hint="eastAsia" w:ascii="仿宋" w:hAnsi="仿宋" w:eastAsia="仿宋"/>
          <w:b/>
          <w:color w:val="auto"/>
          <w:sz w:val="24"/>
          <w:highlight w:val="none"/>
        </w:rPr>
        <w:t>做无效投标处理</w:t>
      </w:r>
      <w:r>
        <w:rPr>
          <w:rFonts w:ascii="仿宋" w:hAnsi="仿宋" w:eastAsia="仿宋"/>
          <w:b/>
          <w:color w:val="auto"/>
          <w:sz w:val="24"/>
          <w:highlight w:val="none"/>
        </w:rPr>
        <w:t>。</w:t>
      </w:r>
    </w:p>
    <w:p>
      <w:pPr>
        <w:spacing w:line="800" w:lineRule="exact"/>
        <w:ind w:firstLine="4320" w:firstLineChars="1800"/>
        <w:rPr>
          <w:rFonts w:ascii="仿宋" w:hAnsi="仿宋" w:eastAsia="仿宋"/>
          <w:color w:val="auto"/>
          <w:sz w:val="24"/>
          <w:highlight w:val="none"/>
        </w:rPr>
      </w:pPr>
    </w:p>
    <w:p>
      <w:pPr>
        <w:spacing w:line="800" w:lineRule="exact"/>
        <w:ind w:firstLine="4337" w:firstLineChars="1800"/>
        <w:rPr>
          <w:rFonts w:ascii="仿宋" w:hAnsi="仿宋" w:eastAsia="仿宋"/>
          <w:b/>
          <w:color w:val="auto"/>
          <w:sz w:val="24"/>
          <w:highlight w:val="none"/>
        </w:rPr>
      </w:pPr>
    </w:p>
    <w:p>
      <w:pPr>
        <w:spacing w:line="800" w:lineRule="exact"/>
        <w:rPr>
          <w:rFonts w:ascii="仿宋" w:hAnsi="仿宋" w:eastAsia="仿宋"/>
          <w:b/>
          <w:color w:val="auto"/>
          <w:sz w:val="30"/>
          <w:szCs w:val="30"/>
          <w:highlight w:val="none"/>
        </w:rPr>
      </w:pPr>
      <w:r>
        <w:rPr>
          <w:rFonts w:hint="eastAsia" w:ascii="仿宋" w:hAnsi="仿宋" w:eastAsia="仿宋"/>
          <w:b/>
          <w:color w:val="auto"/>
          <w:sz w:val="30"/>
          <w:szCs w:val="30"/>
          <w:highlight w:val="none"/>
        </w:rPr>
        <w:t>3、法定代表人及其授权代表身份证复印件（正反面）</w:t>
      </w:r>
    </w:p>
    <w:p>
      <w:pPr>
        <w:spacing w:line="800" w:lineRule="exact"/>
        <w:rPr>
          <w:rFonts w:ascii="仿宋" w:hAnsi="仿宋" w:eastAsia="仿宋"/>
          <w:b/>
          <w:color w:val="auto"/>
          <w:sz w:val="24"/>
          <w:highlight w:val="none"/>
        </w:rPr>
      </w:pPr>
    </w:p>
    <w:p>
      <w:pPr>
        <w:spacing w:line="800" w:lineRule="exact"/>
        <w:rPr>
          <w:rFonts w:ascii="仿宋" w:hAnsi="仿宋" w:eastAsia="仿宋"/>
          <w:b/>
          <w:color w:val="auto"/>
          <w:sz w:val="30"/>
          <w:szCs w:val="30"/>
          <w:highlight w:val="none"/>
        </w:rPr>
      </w:pPr>
      <w:r>
        <w:rPr>
          <w:rFonts w:hint="eastAsia" w:ascii="仿宋" w:hAnsi="仿宋" w:eastAsia="仿宋"/>
          <w:b/>
          <w:color w:val="auto"/>
          <w:sz w:val="30"/>
          <w:szCs w:val="30"/>
          <w:highlight w:val="none"/>
        </w:rPr>
        <w:t>4、法定代表人身份证明书(格式)</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投 标 人：</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地    址：</w:t>
      </w:r>
    </w:p>
    <w:p>
      <w:pPr>
        <w:spacing w:line="440" w:lineRule="exact"/>
        <w:ind w:right="281" w:rightChars="134"/>
        <w:rPr>
          <w:rFonts w:ascii="仿宋" w:hAnsi="仿宋" w:eastAsia="仿宋"/>
          <w:color w:val="auto"/>
          <w:sz w:val="24"/>
          <w:highlight w:val="none"/>
          <w:u w:val="single"/>
        </w:rPr>
      </w:pPr>
      <w:r>
        <w:rPr>
          <w:rFonts w:hint="eastAsia" w:ascii="仿宋" w:hAnsi="仿宋" w:eastAsia="仿宋"/>
          <w:color w:val="auto"/>
          <w:sz w:val="24"/>
          <w:highlight w:val="none"/>
        </w:rPr>
        <w:t>姓    名：</w:t>
      </w:r>
    </w:p>
    <w:p>
      <w:pPr>
        <w:spacing w:line="440" w:lineRule="exact"/>
        <w:ind w:right="281" w:rightChars="134"/>
        <w:rPr>
          <w:rFonts w:ascii="仿宋" w:hAnsi="仿宋" w:eastAsia="仿宋"/>
          <w:color w:val="auto"/>
          <w:sz w:val="24"/>
          <w:highlight w:val="none"/>
          <w:u w:val="single"/>
        </w:rPr>
      </w:pPr>
      <w:r>
        <w:rPr>
          <w:rFonts w:hint="eastAsia" w:ascii="仿宋" w:hAnsi="仿宋" w:eastAsia="仿宋"/>
          <w:color w:val="auto"/>
          <w:sz w:val="24"/>
          <w:highlight w:val="none"/>
        </w:rPr>
        <w:t>身份证号码：</w:t>
      </w:r>
    </w:p>
    <w:p>
      <w:pPr>
        <w:spacing w:line="440" w:lineRule="exact"/>
        <w:ind w:right="281" w:rightChars="134"/>
        <w:rPr>
          <w:rFonts w:ascii="仿宋" w:hAnsi="仿宋" w:eastAsia="仿宋"/>
          <w:color w:val="auto"/>
          <w:sz w:val="24"/>
          <w:highlight w:val="none"/>
        </w:rPr>
      </w:pPr>
      <w:r>
        <w:rPr>
          <w:rFonts w:hint="eastAsia" w:ascii="仿宋" w:hAnsi="仿宋" w:eastAsia="仿宋"/>
          <w:color w:val="auto"/>
          <w:sz w:val="24"/>
          <w:highlight w:val="none"/>
        </w:rPr>
        <w:t>职   务：</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（填写投标人名称）</w:t>
      </w:r>
      <w:r>
        <w:rPr>
          <w:rFonts w:hint="eastAsia" w:ascii="仿宋" w:hAnsi="仿宋" w:eastAsia="仿宋"/>
          <w:color w:val="auto"/>
          <w:sz w:val="24"/>
          <w:highlight w:val="none"/>
        </w:rPr>
        <w:t>的法定代表人。</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特此证明。</w:t>
      </w:r>
    </w:p>
    <w:p>
      <w:pPr>
        <w:spacing w:line="440" w:lineRule="exact"/>
        <w:rPr>
          <w:rFonts w:ascii="仿宋" w:hAnsi="仿宋" w:eastAsia="仿宋"/>
          <w:color w:val="auto"/>
          <w:sz w:val="24"/>
          <w:highlight w:val="none"/>
        </w:rPr>
      </w:pP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投标人：                             （</w:t>
      </w:r>
      <w:r>
        <w:rPr>
          <w:rFonts w:hint="eastAsia" w:ascii="仿宋_GB2312" w:hAnsi="宋体" w:eastAsia="仿宋_GB2312"/>
          <w:color w:val="auto"/>
          <w:sz w:val="24"/>
          <w:highlight w:val="none"/>
        </w:rPr>
        <w:t>电子签章</w:t>
      </w:r>
      <w:r>
        <w:rPr>
          <w:rFonts w:hint="eastAsia" w:ascii="仿宋" w:hAnsi="仿宋" w:eastAsia="仿宋"/>
          <w:color w:val="auto"/>
          <w:sz w:val="24"/>
          <w:highlight w:val="none"/>
        </w:rPr>
        <w:t>）</w:t>
      </w:r>
    </w:p>
    <w:p>
      <w:pPr>
        <w:spacing w:line="440" w:lineRule="exact"/>
        <w:ind w:right="480"/>
        <w:rPr>
          <w:rFonts w:ascii="仿宋" w:hAnsi="仿宋" w:eastAsia="仿宋"/>
          <w:color w:val="auto"/>
          <w:sz w:val="24"/>
          <w:highlight w:val="none"/>
        </w:rPr>
      </w:pPr>
    </w:p>
    <w:p>
      <w:pPr>
        <w:spacing w:line="440" w:lineRule="exact"/>
        <w:ind w:right="720"/>
        <w:jc w:val="right"/>
        <w:rPr>
          <w:rFonts w:ascii="仿宋" w:hAnsi="仿宋" w:eastAsia="仿宋"/>
          <w:color w:val="auto"/>
          <w:sz w:val="24"/>
          <w:highlight w:val="none"/>
        </w:rPr>
      </w:pPr>
      <w:r>
        <w:rPr>
          <w:rFonts w:hint="eastAsia" w:ascii="仿宋" w:hAnsi="仿宋" w:eastAsia="仿宋"/>
          <w:color w:val="auto"/>
          <w:sz w:val="24"/>
          <w:highlight w:val="none"/>
        </w:rPr>
        <w:t>年月日</w:t>
      </w:r>
    </w:p>
    <w:p>
      <w:pPr>
        <w:spacing w:line="360" w:lineRule="auto"/>
        <w:jc w:val="center"/>
        <w:rPr>
          <w:rFonts w:ascii="仿宋" w:hAnsi="仿宋" w:eastAsia="仿宋"/>
          <w:b/>
          <w:color w:val="auto"/>
          <w:sz w:val="30"/>
          <w:szCs w:val="30"/>
          <w:highlight w:val="none"/>
        </w:rPr>
      </w:pPr>
    </w:p>
    <w:p>
      <w:pPr>
        <w:rPr>
          <w:rFonts w:ascii="仿宋_GB2312" w:hAnsi="宋体" w:eastAsia="仿宋_GB2312"/>
          <w:b/>
          <w:color w:val="auto"/>
          <w:sz w:val="30"/>
          <w:szCs w:val="30"/>
          <w:highlight w:val="none"/>
        </w:rPr>
      </w:pPr>
    </w:p>
    <w:p>
      <w:pPr>
        <w:pageBreakBefore/>
        <w:spacing w:after="312" w:afterLines="100"/>
        <w:rPr>
          <w:rFonts w:ascii="仿宋_GB2312" w:hAnsi="仿宋_GB2312" w:eastAsia="仿宋_GB2312" w:cs="仿宋_GB2312"/>
          <w:b/>
          <w:color w:val="auto"/>
          <w:kern w:val="0"/>
          <w:sz w:val="32"/>
          <w:szCs w:val="32"/>
          <w:highlight w:val="none"/>
        </w:rPr>
      </w:pPr>
      <w:r>
        <w:rPr>
          <w:rFonts w:hint="eastAsia" w:ascii="仿宋_GB2312" w:hAnsi="宋体" w:eastAsia="仿宋_GB2312"/>
          <w:b/>
          <w:color w:val="auto"/>
          <w:sz w:val="30"/>
          <w:szCs w:val="30"/>
          <w:highlight w:val="none"/>
        </w:rPr>
        <w:t>5、资格审查有关的书面承诺函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绍兴市国防动员办公室、浙江翔实建设项目管理有限公司</w:t>
      </w:r>
      <w:r>
        <w:rPr>
          <w:rFonts w:hint="eastAsia" w:ascii="仿宋" w:hAnsi="仿宋" w:eastAsia="仿宋" w:cs="仿宋_GB2312"/>
          <w:color w:val="auto"/>
          <w:kern w:val="0"/>
          <w:sz w:val="24"/>
          <w:highlight w:val="none"/>
          <w:lang w:val="zh-CN"/>
        </w:rPr>
        <w:t>：</w:t>
      </w:r>
    </w:p>
    <w:p>
      <w:pPr>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我方郑重承诺，已具有</w:t>
      </w:r>
      <w:r>
        <w:rPr>
          <w:rFonts w:hint="eastAsia" w:ascii="仿宋" w:hAnsi="仿宋" w:eastAsia="仿宋" w:cs="仿宋_GB2312"/>
          <w:color w:val="auto"/>
          <w:sz w:val="24"/>
          <w:highlight w:val="none"/>
        </w:rPr>
        <w:t>早期人防工程设备设施维护项目（招标编号: ZJXSC-2023-031）</w:t>
      </w:r>
      <w:r>
        <w:rPr>
          <w:rFonts w:hint="eastAsia" w:ascii="仿宋_GB2312" w:hAnsi="仿宋" w:eastAsia="仿宋_GB2312" w:cs="仿宋_GB2312"/>
          <w:color w:val="auto"/>
          <w:sz w:val="24"/>
          <w:highlight w:val="none"/>
        </w:rPr>
        <w:t>招标文件中关于申请人资格要求的下列条件：</w:t>
      </w:r>
    </w:p>
    <w:p>
      <w:pPr>
        <w:pStyle w:val="74"/>
        <w:widowControl w:val="0"/>
        <w:spacing w:afterLines="0" w:line="440" w:lineRule="exact"/>
        <w:ind w:firstLine="480"/>
        <w:jc w:val="left"/>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w:t>
      </w:r>
      <w:r>
        <w:rPr>
          <w:rFonts w:hint="eastAsia" w:ascii="仿宋_GB2312" w:hAnsi="新宋体" w:eastAsia="仿宋_GB2312"/>
          <w:color w:val="auto"/>
          <w:szCs w:val="24"/>
          <w:highlight w:val="none"/>
        </w:rPr>
        <w:t>符合《中华人民共和国政府采购法》第二十二条的规定：</w:t>
      </w:r>
      <w:r>
        <w:rPr>
          <w:rFonts w:hint="eastAsia" w:ascii="仿宋_GB2312" w:hAnsi="仿宋" w:eastAsia="仿宋_GB2312" w:cs="仿宋_GB2312"/>
          <w:color w:val="auto"/>
          <w:highlight w:val="none"/>
        </w:rPr>
        <w:t xml:space="preserve"> </w:t>
      </w:r>
    </w:p>
    <w:p>
      <w:pPr>
        <w:pStyle w:val="27"/>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(一）具有独立承担民事责任的能力（</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(二）具有良好的商业信誉和健全的财务会计制度；</w:t>
      </w:r>
    </w:p>
    <w:p>
      <w:pPr>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(三）具有履行合同所必需的设备和专业技术能力；</w:t>
      </w:r>
    </w:p>
    <w:p>
      <w:pPr>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(四）有依法缴纳税收和社会保障资金的良好记录；</w:t>
      </w:r>
    </w:p>
    <w:p>
      <w:pPr>
        <w:snapToGrid w:val="0"/>
        <w:spacing w:line="440" w:lineRule="exact"/>
        <w:ind w:firstLine="480" w:firstLineChars="200"/>
        <w:rPr>
          <w:rFonts w:ascii="仿宋_GB2312" w:hAnsi="仿宋_GB2312" w:eastAsia="仿宋_GB2312" w:cs="仿宋_GB2312"/>
          <w:color w:val="auto"/>
          <w:kern w:val="0"/>
          <w:sz w:val="24"/>
          <w:highlight w:val="none"/>
        </w:rPr>
      </w:pPr>
      <w:r>
        <w:rPr>
          <w:rFonts w:hint="eastAsia" w:ascii="仿宋_GB2312" w:hAnsi="仿宋" w:eastAsia="仿宋_GB2312" w:cs="仿宋_GB2312"/>
          <w:color w:val="auto"/>
          <w:sz w:val="24"/>
          <w:highlight w:val="none"/>
        </w:rPr>
        <w:t>(五）参加政府采购活动前三年内，在经营活动中没有重大违法记录。</w:t>
      </w:r>
    </w:p>
    <w:p>
      <w:pPr>
        <w:spacing w:line="440" w:lineRule="exact"/>
        <w:ind w:firstLine="480" w:firstLineChars="200"/>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kern w:val="0"/>
          <w:sz w:val="24"/>
          <w:highlight w:val="none"/>
          <w:lang w:val="zh-CN"/>
        </w:rPr>
        <w:t>我公司</w:t>
      </w:r>
      <w:r>
        <w:rPr>
          <w:rFonts w:hint="eastAsia" w:ascii="仿宋_GB2312" w:hAnsi="仿宋_GB2312" w:eastAsia="仿宋_GB2312" w:cs="仿宋_GB2312"/>
          <w:color w:val="auto"/>
          <w:sz w:val="24"/>
          <w:highlight w:val="none"/>
        </w:rPr>
        <w:t>声明参加本次政府采购活动前三年内未</w:t>
      </w:r>
      <w:r>
        <w:rPr>
          <w:rFonts w:hint="eastAsia" w:ascii="仿宋_GB2312" w:hAnsi="仿宋_GB2312" w:eastAsia="仿宋_GB2312" w:cs="仿宋_GB2312"/>
          <w:color w:val="auto"/>
          <w:sz w:val="24"/>
          <w:szCs w:val="20"/>
          <w:highlight w:val="none"/>
        </w:rPr>
        <w:t>被列入“黑名单”</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color w:val="auto"/>
          <w:sz w:val="24"/>
          <w:szCs w:val="20"/>
          <w:highlight w:val="none"/>
        </w:rPr>
      </w:pPr>
    </w:p>
    <w:p>
      <w:pPr>
        <w:spacing w:line="360" w:lineRule="auto"/>
        <w:ind w:firstLine="480" w:firstLineChars="200"/>
        <w:rPr>
          <w:rFonts w:ascii="仿宋_GB2312" w:hAnsi="仿宋_GB2312" w:eastAsia="仿宋_GB2312" w:cs="仿宋_GB2312"/>
          <w:color w:val="auto"/>
          <w:sz w:val="24"/>
          <w:szCs w:val="20"/>
          <w:highlight w:val="none"/>
        </w:rPr>
      </w:pPr>
    </w:p>
    <w:p>
      <w:pPr>
        <w:spacing w:line="360" w:lineRule="auto"/>
        <w:ind w:firstLine="480" w:firstLineChars="200"/>
        <w:rPr>
          <w:rFonts w:ascii="仿宋_GB2312" w:hAnsi="仿宋_GB2312" w:eastAsia="仿宋_GB2312" w:cs="仿宋_GB2312"/>
          <w:color w:val="auto"/>
          <w:sz w:val="24"/>
          <w:szCs w:val="20"/>
          <w:highlight w:val="none"/>
        </w:rPr>
      </w:pPr>
    </w:p>
    <w:p>
      <w:pPr>
        <w:spacing w:line="360" w:lineRule="auto"/>
        <w:ind w:firstLine="480" w:firstLineChars="200"/>
        <w:rPr>
          <w:rFonts w:ascii="仿宋_GB2312" w:hAnsi="仿宋_GB2312" w:eastAsia="仿宋_GB2312" w:cs="仿宋_GB2312"/>
          <w:color w:val="auto"/>
          <w:sz w:val="24"/>
          <w:szCs w:val="20"/>
          <w:highlight w:val="none"/>
        </w:rPr>
      </w:pPr>
    </w:p>
    <w:p>
      <w:pPr>
        <w:spacing w:line="360" w:lineRule="auto"/>
        <w:ind w:firstLine="480" w:firstLineChars="200"/>
        <w:rPr>
          <w:rFonts w:ascii="仿宋_GB2312" w:hAnsi="仿宋_GB2312" w:eastAsia="仿宋_GB2312" w:cs="仿宋_GB2312"/>
          <w:color w:val="auto"/>
          <w:sz w:val="24"/>
          <w:szCs w:val="20"/>
          <w:highlight w:val="none"/>
        </w:rPr>
      </w:pPr>
    </w:p>
    <w:p>
      <w:pPr>
        <w:spacing w:line="360" w:lineRule="auto"/>
        <w:ind w:firstLine="480" w:firstLineChars="200"/>
        <w:rPr>
          <w:rFonts w:ascii="仿宋_GB2312" w:hAnsi="仿宋_GB2312" w:eastAsia="仿宋_GB2312" w:cs="仿宋_GB2312"/>
          <w:color w:val="auto"/>
          <w:sz w:val="24"/>
          <w:szCs w:val="20"/>
          <w:highlight w:val="none"/>
        </w:rPr>
      </w:pPr>
    </w:p>
    <w:p>
      <w:pPr>
        <w:spacing w:line="360" w:lineRule="auto"/>
        <w:ind w:firstLine="480" w:firstLineChars="200"/>
        <w:rPr>
          <w:rFonts w:ascii="仿宋_GB2312" w:hAnsi="仿宋_GB2312" w:eastAsia="仿宋_GB2312" w:cs="仿宋_GB2312"/>
          <w:color w:val="auto"/>
          <w:sz w:val="24"/>
          <w:szCs w:val="20"/>
          <w:highlight w:val="none"/>
        </w:rPr>
      </w:pPr>
    </w:p>
    <w:p>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投标人 (电子签章)：</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snapToGrid w:val="0"/>
        <w:spacing w:line="360" w:lineRule="auto"/>
        <w:rPr>
          <w:rFonts w:ascii="仿宋" w:hAnsi="仿宋" w:eastAsia="仿宋" w:cs="仿宋_GB2312"/>
          <w:b/>
          <w:color w:val="auto"/>
          <w:sz w:val="30"/>
          <w:szCs w:val="30"/>
          <w:highlight w:val="none"/>
        </w:rPr>
      </w:pPr>
    </w:p>
    <w:p>
      <w:pPr>
        <w:spacing w:line="360" w:lineRule="auto"/>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6、特定资格条件要求的资质文件（复印件）</w:t>
      </w:r>
    </w:p>
    <w:p>
      <w:pPr>
        <w:widowControl/>
        <w:spacing w:line="360" w:lineRule="auto"/>
        <w:ind w:firstLine="480" w:firstLineChars="200"/>
        <w:jc w:val="left"/>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t>（由投标人根据招标公告合格的投标人应具备的特定资格要求编制）</w:t>
      </w:r>
    </w:p>
    <w:p>
      <w:pPr>
        <w:spacing w:line="360" w:lineRule="auto"/>
        <w:rPr>
          <w:rFonts w:ascii="仿宋" w:hAnsi="仿宋" w:eastAsia="仿宋" w:cs="仿宋_GB2312"/>
          <w:b/>
          <w:color w:val="auto"/>
          <w:sz w:val="30"/>
          <w:szCs w:val="30"/>
          <w:highlight w:val="none"/>
        </w:rPr>
      </w:pPr>
    </w:p>
    <w:p>
      <w:pPr>
        <w:spacing w:line="360" w:lineRule="auto"/>
        <w:jc w:val="center"/>
        <w:rPr>
          <w:rFonts w:ascii="仿宋" w:hAnsi="仿宋" w:eastAsia="仿宋" w:cs="仿宋_GB2312"/>
          <w:b/>
          <w:color w:val="auto"/>
          <w:sz w:val="32"/>
          <w:szCs w:val="32"/>
          <w:highlight w:val="none"/>
        </w:rPr>
      </w:pPr>
    </w:p>
    <w:p>
      <w:pPr>
        <w:spacing w:line="360" w:lineRule="auto"/>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7、投标人售后服务能力证明材料</w:t>
      </w:r>
    </w:p>
    <w:p>
      <w:pPr>
        <w:spacing w:line="360" w:lineRule="auto"/>
        <w:jc w:val="center"/>
        <w:rPr>
          <w:rFonts w:ascii="仿宋" w:hAnsi="仿宋" w:eastAsia="仿宋" w:cs="仿宋_GB2312"/>
          <w:b/>
          <w:color w:val="auto"/>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8、</w:t>
      </w:r>
      <w:r>
        <w:rPr>
          <w:rFonts w:hint="eastAsia" w:ascii="仿宋" w:hAnsi="仿宋" w:eastAsia="仿宋" w:cs="仿宋_GB2312"/>
          <w:b/>
          <w:color w:val="auto"/>
          <w:kern w:val="0"/>
          <w:sz w:val="32"/>
          <w:szCs w:val="32"/>
          <w:highlight w:val="none"/>
        </w:rPr>
        <w:t>类似</w:t>
      </w:r>
      <w:r>
        <w:rPr>
          <w:rFonts w:hint="eastAsia" w:ascii="仿宋" w:hAnsi="仿宋" w:eastAsia="仿宋" w:cs="仿宋_GB2312"/>
          <w:b/>
          <w:color w:val="auto"/>
          <w:kern w:val="0"/>
          <w:sz w:val="32"/>
          <w:szCs w:val="32"/>
          <w:highlight w:val="none"/>
          <w:lang w:val="zh-CN"/>
        </w:rPr>
        <w:t>业绩证明</w:t>
      </w:r>
    </w:p>
    <w:p>
      <w:pPr>
        <w:autoSpaceDE w:val="0"/>
        <w:autoSpaceDN w:val="0"/>
        <w:spacing w:line="360" w:lineRule="auto"/>
        <w:ind w:firstLine="12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 :相关项目建设业绩一览表</w:t>
      </w:r>
    </w:p>
    <w:tbl>
      <w:tblPr>
        <w:tblStyle w:val="46"/>
        <w:tblW w:w="0" w:type="auto"/>
        <w:tblInd w:w="108" w:type="dxa"/>
        <w:tblLayout w:type="fixed"/>
        <w:tblCellMar>
          <w:top w:w="0" w:type="dxa"/>
          <w:left w:w="108" w:type="dxa"/>
          <w:bottom w:w="0" w:type="dxa"/>
          <w:right w:w="108" w:type="dxa"/>
        </w:tblCellMar>
      </w:tblPr>
      <w:tblGrid>
        <w:gridCol w:w="1800"/>
        <w:gridCol w:w="951"/>
        <w:gridCol w:w="1356"/>
        <w:gridCol w:w="1499"/>
        <w:gridCol w:w="1937"/>
        <w:gridCol w:w="1500"/>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简要描述</w:t>
            </w:r>
          </w:p>
        </w:tc>
        <w:tc>
          <w:tcPr>
            <w:tcW w:w="149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合同</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金额</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（万元）</w:t>
            </w:r>
          </w:p>
        </w:tc>
        <w:tc>
          <w:tcPr>
            <w:tcW w:w="19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项目地址与采购单位联系电话</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49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9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49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9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49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9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b/>
          <w:color w:val="auto"/>
          <w:sz w:val="24"/>
          <w:highlight w:val="none"/>
        </w:rPr>
        <w:t>注：投标人可按上述的格式自行编制，须随表提交相应的采购文件要求证明材料并注明页码。</w:t>
      </w:r>
    </w:p>
    <w:p>
      <w:pPr>
        <w:spacing w:line="360" w:lineRule="auto"/>
        <w:ind w:firstLine="480" w:firstLineChars="200"/>
        <w:rPr>
          <w:rFonts w:ascii="仿宋" w:hAnsi="仿宋" w:eastAsia="仿宋" w:cs="仿宋_GB2312"/>
          <w:color w:val="auto"/>
          <w:sz w:val="24"/>
          <w:szCs w:val="20"/>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投标人 (</w:t>
      </w:r>
      <w:r>
        <w:rPr>
          <w:rFonts w:hint="eastAsia" w:ascii="仿宋_GB2312" w:hAnsi="仿宋_GB2312" w:eastAsia="仿宋_GB2312" w:cs="仿宋_GB2312"/>
          <w:color w:val="auto"/>
          <w:kern w:val="0"/>
          <w:sz w:val="24"/>
          <w:highlight w:val="none"/>
          <w:lang w:val="zh-CN"/>
        </w:rPr>
        <w:t>电子签章</w:t>
      </w: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法定代表人或其授权代表(签字或盖章)：</w:t>
      </w:r>
    </w:p>
    <w:p>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pStyle w:val="198"/>
        <w:ind w:firstLine="0"/>
        <w:jc w:val="both"/>
        <w:rPr>
          <w:rFonts w:ascii="仿宋" w:eastAsia="仿宋" w:cs="仿宋_GB2312"/>
          <w:color w:val="auto"/>
          <w:highlight w:val="none"/>
        </w:rPr>
      </w:pPr>
    </w:p>
    <w:p>
      <w:pPr>
        <w:pStyle w:val="198"/>
        <w:pageBreakBefore/>
        <w:ind w:firstLine="0"/>
        <w:jc w:val="both"/>
        <w:rPr>
          <w:rFonts w:ascii="仿宋" w:eastAsia="仿宋" w:cs="仿宋_GB2312"/>
          <w:color w:val="auto"/>
          <w:highlight w:val="none"/>
        </w:rPr>
      </w:pPr>
      <w:r>
        <w:rPr>
          <w:rFonts w:hint="eastAsia" w:ascii="仿宋" w:eastAsia="仿宋" w:cs="仿宋_GB2312"/>
          <w:color w:val="auto"/>
          <w:highlight w:val="none"/>
        </w:rPr>
        <w:t>9、廉政承诺书</w:t>
      </w:r>
    </w:p>
    <w:p>
      <w:pPr>
        <w:autoSpaceDE w:val="0"/>
        <w:autoSpaceDN w:val="0"/>
        <w:spacing w:line="360" w:lineRule="auto"/>
        <w:ind w:left="2"/>
        <w:jc w:val="left"/>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绍兴市国防动员办公室</w:t>
      </w:r>
      <w:r>
        <w:rPr>
          <w:rFonts w:hint="eastAsia" w:ascii="仿宋" w:hAnsi="仿宋" w:eastAsia="仿宋"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四、不为项目有关人员及部门出国（境）、旅游等提供方便；    </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spacing w:line="360" w:lineRule="auto"/>
        <w:ind w:firstLine="480" w:firstLineChars="200"/>
        <w:rPr>
          <w:rFonts w:ascii="仿宋" w:hAnsi="仿宋" w:eastAsia="仿宋" w:cs="仿宋_GB2312"/>
          <w:color w:val="auto"/>
          <w:sz w:val="24"/>
          <w:szCs w:val="20"/>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投标人 (</w:t>
      </w:r>
      <w:r>
        <w:rPr>
          <w:rFonts w:hint="eastAsia" w:ascii="仿宋_GB2312" w:hAnsi="仿宋_GB2312" w:eastAsia="仿宋_GB2312" w:cs="仿宋_GB2312"/>
          <w:color w:val="auto"/>
          <w:kern w:val="0"/>
          <w:sz w:val="24"/>
          <w:highlight w:val="none"/>
          <w:lang w:val="zh-CN"/>
        </w:rPr>
        <w:t>电子签章</w:t>
      </w: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法定代表人或其授权代表(签字或盖章)：</w:t>
      </w:r>
    </w:p>
    <w:p>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p>
    <w:p>
      <w:pPr>
        <w:pStyle w:val="5"/>
        <w:numPr>
          <w:ilvl w:val="0"/>
          <w:numId w:val="0"/>
        </w:numPr>
        <w:rPr>
          <w:rFonts w:ascii="仿宋" w:hAnsi="仿宋" w:eastAsia="仿宋" w:cs="仿宋_GB2312"/>
          <w:bCs/>
          <w:color w:val="auto"/>
          <w:kern w:val="0"/>
          <w:sz w:val="24"/>
          <w:highlight w:val="none"/>
          <w:lang w:val="zh-CN"/>
        </w:rPr>
      </w:pPr>
    </w:p>
    <w:p>
      <w:pPr>
        <w:rPr>
          <w:rFonts w:ascii="仿宋" w:hAnsi="仿宋" w:eastAsia="仿宋" w:cs="仿宋_GB2312"/>
          <w:b/>
          <w:bCs/>
          <w:color w:val="auto"/>
          <w:kern w:val="0"/>
          <w:sz w:val="24"/>
          <w:highlight w:val="none"/>
          <w:lang w:val="zh-CN"/>
        </w:rPr>
      </w:pPr>
    </w:p>
    <w:p>
      <w:pPr>
        <w:pStyle w:val="5"/>
        <w:numPr>
          <w:ilvl w:val="0"/>
          <w:numId w:val="0"/>
        </w:numPr>
        <w:rPr>
          <w:color w:val="auto"/>
          <w:highlight w:val="none"/>
          <w:lang w:val="zh-CN"/>
        </w:rPr>
      </w:pPr>
    </w:p>
    <w:p>
      <w:pPr>
        <w:rPr>
          <w:color w:val="auto"/>
          <w:highlight w:val="none"/>
          <w:lang w:val="zh-CN"/>
        </w:rPr>
      </w:pPr>
    </w:p>
    <w:p>
      <w:pPr>
        <w:pageBreakBefore/>
        <w:spacing w:line="360" w:lineRule="auto"/>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10、技术偏离说明表</w:t>
      </w:r>
    </w:p>
    <w:p>
      <w:pPr>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t>（由投标人根据采购需求及招标文件要求编制）</w:t>
      </w:r>
    </w:p>
    <w:tbl>
      <w:tblPr>
        <w:tblStyle w:val="46"/>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329"/>
        <w:gridCol w:w="169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招标文件要求</w:t>
            </w:r>
          </w:p>
        </w:tc>
        <w:tc>
          <w:tcPr>
            <w:tcW w:w="3329"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投标响应</w:t>
            </w:r>
          </w:p>
        </w:tc>
        <w:tc>
          <w:tcPr>
            <w:tcW w:w="1690"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偏离情况</w:t>
            </w:r>
          </w:p>
        </w:tc>
        <w:tc>
          <w:tcPr>
            <w:tcW w:w="156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招标文件技术要求</w:t>
            </w:r>
          </w:p>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(根据标内要求复制)</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请填写投标产品技术指标对应详细描述</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无偏离/正偏离/负偏离</w:t>
            </w: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可自行添加行</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bl>
    <w:p>
      <w:pPr>
        <w:tabs>
          <w:tab w:val="left" w:pos="570"/>
        </w:tabs>
        <w:spacing w:line="440" w:lineRule="exact"/>
        <w:ind w:firstLine="120" w:firstLineChars="50"/>
        <w:jc w:val="left"/>
        <w:rPr>
          <w:rFonts w:ascii="仿宋" w:hAnsi="仿宋" w:eastAsia="仿宋"/>
          <w:color w:val="auto"/>
          <w:sz w:val="24"/>
          <w:highlight w:val="none"/>
        </w:rPr>
      </w:pPr>
      <w:r>
        <w:rPr>
          <w:rFonts w:hint="eastAsia" w:ascii="仿宋" w:hAnsi="仿宋" w:eastAsia="仿宋"/>
          <w:color w:val="auto"/>
          <w:sz w:val="24"/>
          <w:highlight w:val="none"/>
        </w:rPr>
        <w:t>注：1.此表须与</w:t>
      </w:r>
      <w:r>
        <w:rPr>
          <w:rFonts w:hint="eastAsia" w:ascii="仿宋" w:hAnsi="仿宋" w:eastAsia="仿宋"/>
          <w:color w:val="auto"/>
          <w:kern w:val="0"/>
          <w:sz w:val="24"/>
          <w:highlight w:val="none"/>
        </w:rPr>
        <w:t>招标文件“第三部分招标项目范围及要求”</w:t>
      </w:r>
      <w:r>
        <w:rPr>
          <w:rFonts w:hint="eastAsia" w:ascii="仿宋" w:hAnsi="仿宋" w:eastAsia="仿宋"/>
          <w:color w:val="auto"/>
          <w:sz w:val="24"/>
          <w:highlight w:val="none"/>
        </w:rPr>
        <w:t>相应标项内的所有技术规格相比较且一一对应</w:t>
      </w:r>
      <w:r>
        <w:rPr>
          <w:rFonts w:hint="eastAsia" w:ascii="仿宋" w:hAnsi="仿宋" w:eastAsia="仿宋" w:cs="宋体"/>
          <w:color w:val="auto"/>
          <w:sz w:val="24"/>
          <w:highlight w:val="none"/>
        </w:rPr>
        <w:t>真实逐条</w:t>
      </w:r>
      <w:r>
        <w:rPr>
          <w:rFonts w:hint="eastAsia" w:ascii="仿宋" w:hAnsi="仿宋" w:eastAsia="仿宋"/>
          <w:color w:val="auto"/>
          <w:sz w:val="24"/>
          <w:highlight w:val="none"/>
        </w:rPr>
        <w:t>填列。</w:t>
      </w:r>
    </w:p>
    <w:p>
      <w:pPr>
        <w:tabs>
          <w:tab w:val="left" w:pos="570"/>
        </w:tabs>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宋体"/>
          <w:color w:val="auto"/>
          <w:sz w:val="24"/>
          <w:highlight w:val="none"/>
        </w:rPr>
        <w:t>投标人递交的技术规格书中必须真实逐条列明，否则由投标人自行承担相关风险。</w:t>
      </w:r>
    </w:p>
    <w:p>
      <w:pPr>
        <w:autoSpaceDE w:val="0"/>
        <w:autoSpaceDN w:val="0"/>
        <w:spacing w:line="360" w:lineRule="auto"/>
        <w:ind w:firstLine="5040" w:firstLineChars="2100"/>
        <w:rPr>
          <w:rFonts w:ascii="仿宋" w:hAnsi="仿宋" w:eastAsia="仿宋" w:cs="仿宋_GB2312"/>
          <w:color w:val="auto"/>
          <w:kern w:val="0"/>
          <w:sz w:val="24"/>
          <w:highlight w:val="none"/>
          <w:lang w:val="zh-CN"/>
        </w:rPr>
      </w:pPr>
    </w:p>
    <w:p>
      <w:pPr>
        <w:autoSpaceDE w:val="0"/>
        <w:autoSpaceDN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hint="eastAsia" w:ascii="仿宋_GB2312" w:hAnsi="仿宋_GB2312" w:eastAsia="仿宋_GB2312" w:cs="仿宋_GB2312"/>
          <w:color w:val="auto"/>
          <w:kern w:val="0"/>
          <w:sz w:val="24"/>
          <w:highlight w:val="none"/>
          <w:lang w:val="zh-CN"/>
        </w:rPr>
        <w:t>电子签章</w:t>
      </w:r>
      <w:r>
        <w:rPr>
          <w:rFonts w:hint="eastAsia" w:ascii="仿宋" w:hAnsi="仿宋" w:eastAsia="仿宋" w:cs="仿宋_GB2312"/>
          <w:color w:val="auto"/>
          <w:kern w:val="0"/>
          <w:sz w:val="24"/>
          <w:highlight w:val="none"/>
          <w:lang w:val="zh-CN"/>
        </w:rPr>
        <w:t xml:space="preserve">）：      </w:t>
      </w:r>
    </w:p>
    <w:p>
      <w:pPr>
        <w:autoSpaceDE w:val="0"/>
        <w:autoSpaceDN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法定代表人或其授权代表（</w:t>
      </w:r>
      <w:r>
        <w:rPr>
          <w:rFonts w:hint="eastAsia" w:ascii="仿宋" w:hAnsi="仿宋" w:eastAsia="仿宋"/>
          <w:color w:val="auto"/>
          <w:sz w:val="24"/>
          <w:highlight w:val="none"/>
        </w:rPr>
        <w:t>签字或盖章</w:t>
      </w:r>
      <w:r>
        <w:rPr>
          <w:rFonts w:hint="eastAsia" w:ascii="仿宋" w:hAnsi="仿宋" w:eastAsia="仿宋" w:cs="仿宋_GB2312"/>
          <w:color w:val="auto"/>
          <w:kern w:val="0"/>
          <w:sz w:val="24"/>
          <w:highlight w:val="none"/>
          <w:lang w:val="zh-CN"/>
        </w:rPr>
        <w:t xml:space="preserve">）： </w:t>
      </w:r>
    </w:p>
    <w:p>
      <w:pPr>
        <w:spacing w:line="360" w:lineRule="auto"/>
        <w:jc w:val="center"/>
        <w:rPr>
          <w:rFonts w:ascii="仿宋" w:hAnsi="仿宋" w:eastAsia="仿宋" w:cs="仿宋_GB2312"/>
          <w:b/>
          <w:color w:val="auto"/>
          <w:sz w:val="24"/>
          <w:highlight w:val="none"/>
        </w:rPr>
      </w:pPr>
      <w:r>
        <w:rPr>
          <w:rFonts w:hint="eastAsia" w:ascii="仿宋" w:hAnsi="仿宋" w:eastAsia="仿宋" w:cs="仿宋_GB2312"/>
          <w:color w:val="auto"/>
          <w:kern w:val="0"/>
          <w:sz w:val="24"/>
          <w:highlight w:val="none"/>
          <w:lang w:val="zh-CN"/>
        </w:rPr>
        <w:t xml:space="preserve">                            日期：  年  月   日</w:t>
      </w: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auto"/>
          <w:kern w:val="0"/>
          <w:sz w:val="36"/>
          <w:szCs w:val="36"/>
          <w:highlight w:val="none"/>
          <w:lang w:val="zh-CN"/>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auto"/>
          <w:kern w:val="0"/>
          <w:sz w:val="36"/>
          <w:szCs w:val="36"/>
          <w:highlight w:val="none"/>
          <w:lang w:val="zh-CN"/>
        </w:rPr>
      </w:pPr>
    </w:p>
    <w:p>
      <w:pPr>
        <w:tabs>
          <w:tab w:val="left" w:pos="2790"/>
          <w:tab w:val="left" w:pos="4230"/>
        </w:tabs>
        <w:autoSpaceDE w:val="0"/>
        <w:autoSpaceDN w:val="0"/>
        <w:spacing w:line="360" w:lineRule="auto"/>
        <w:ind w:right="1400"/>
        <w:outlineLvl w:val="1"/>
        <w:rPr>
          <w:rFonts w:ascii="仿宋" w:hAnsi="仿宋" w:eastAsia="仿宋" w:cs="仿宋_GB2312"/>
          <w:b/>
          <w:bCs/>
          <w:color w:val="auto"/>
          <w:kern w:val="0"/>
          <w:sz w:val="36"/>
          <w:szCs w:val="36"/>
          <w:highlight w:val="none"/>
          <w:lang w:val="zh-CN"/>
        </w:rPr>
      </w:pPr>
    </w:p>
    <w:p>
      <w:pPr>
        <w:pageBreakBefore/>
        <w:tabs>
          <w:tab w:val="left" w:pos="2790"/>
          <w:tab w:val="left" w:pos="4230"/>
        </w:tabs>
        <w:autoSpaceDE w:val="0"/>
        <w:autoSpaceDN w:val="0"/>
        <w:spacing w:line="360" w:lineRule="auto"/>
        <w:ind w:right="1400"/>
        <w:outlineLvl w:val="1"/>
        <w:rPr>
          <w:rFonts w:ascii="仿宋" w:hAnsi="仿宋" w:eastAsia="仿宋" w:cs="仿宋_GB2312"/>
          <w:b/>
          <w:bCs/>
          <w:color w:val="auto"/>
          <w:kern w:val="0"/>
          <w:sz w:val="32"/>
          <w:szCs w:val="32"/>
          <w:highlight w:val="none"/>
          <w:lang w:val="zh-CN"/>
        </w:rPr>
      </w:pPr>
      <w:r>
        <w:rPr>
          <w:rFonts w:hint="eastAsia" w:ascii="仿宋" w:hAnsi="仿宋" w:eastAsia="仿宋" w:cs="仿宋_GB2312"/>
          <w:b/>
          <w:bCs/>
          <w:color w:val="auto"/>
          <w:kern w:val="0"/>
          <w:sz w:val="32"/>
          <w:szCs w:val="32"/>
          <w:highlight w:val="none"/>
        </w:rPr>
        <w:t>12</w:t>
      </w:r>
      <w:r>
        <w:rPr>
          <w:rFonts w:hint="eastAsia" w:ascii="仿宋" w:hAnsi="仿宋" w:eastAsia="仿宋" w:cs="仿宋_GB2312"/>
          <w:b/>
          <w:bCs/>
          <w:color w:val="auto"/>
          <w:kern w:val="0"/>
          <w:sz w:val="32"/>
          <w:szCs w:val="32"/>
          <w:highlight w:val="none"/>
          <w:lang w:val="zh-CN"/>
        </w:rPr>
        <w:t>、</w:t>
      </w:r>
      <w:r>
        <w:rPr>
          <w:rFonts w:hint="eastAsia" w:ascii="仿宋" w:hAnsi="仿宋" w:eastAsia="仿宋" w:cs="仿宋_GB2312"/>
          <w:b/>
          <w:bCs/>
          <w:color w:val="auto"/>
          <w:kern w:val="0"/>
          <w:sz w:val="32"/>
          <w:szCs w:val="32"/>
          <w:highlight w:val="none"/>
        </w:rPr>
        <w:t>技术</w:t>
      </w:r>
      <w:r>
        <w:rPr>
          <w:rFonts w:hint="eastAsia" w:ascii="仿宋" w:hAnsi="仿宋" w:eastAsia="仿宋" w:cs="仿宋_GB2312"/>
          <w:b/>
          <w:bCs/>
          <w:color w:val="auto"/>
          <w:kern w:val="0"/>
          <w:sz w:val="32"/>
          <w:szCs w:val="32"/>
          <w:highlight w:val="none"/>
          <w:lang w:val="zh-CN"/>
        </w:rPr>
        <w:t>方案</w:t>
      </w:r>
    </w:p>
    <w:p>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ind w:firstLine="4440" w:firstLineChars="1850"/>
        <w:rPr>
          <w:rFonts w:ascii="仿宋" w:hAnsi="仿宋" w:eastAsia="仿宋" w:cs="仿宋_GB2312"/>
          <w:color w:val="auto"/>
          <w:kern w:val="0"/>
          <w:sz w:val="24"/>
          <w:highlight w:val="none"/>
        </w:rPr>
      </w:pPr>
    </w:p>
    <w:p>
      <w:pPr>
        <w:autoSpaceDE w:val="0"/>
        <w:autoSpaceDN w:val="0"/>
        <w:spacing w:line="360" w:lineRule="auto"/>
        <w:ind w:firstLine="4440" w:firstLineChars="1850"/>
        <w:rPr>
          <w:rFonts w:ascii="仿宋" w:hAnsi="仿宋" w:eastAsia="仿宋" w:cs="仿宋_GB2312"/>
          <w:color w:val="auto"/>
          <w:kern w:val="0"/>
          <w:sz w:val="24"/>
          <w:highlight w:val="none"/>
        </w:rPr>
      </w:pP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_GB2312" w:hAnsi="仿宋_GB2312" w:eastAsia="仿宋_GB2312" w:cs="仿宋_GB2312"/>
          <w:color w:val="auto"/>
          <w:kern w:val="0"/>
          <w:sz w:val="24"/>
          <w:highlight w:val="none"/>
          <w:lang w:val="zh-CN"/>
        </w:rPr>
        <w:t>电子签章</w:t>
      </w:r>
      <w:r>
        <w:rPr>
          <w:rFonts w:hint="eastAsia" w:ascii="仿宋" w:hAnsi="仿宋" w:eastAsia="仿宋" w:cs="仿宋_GB2312"/>
          <w:color w:val="auto"/>
          <w:kern w:val="0"/>
          <w:sz w:val="24"/>
          <w:highlight w:val="none"/>
        </w:rPr>
        <w:t>）：</w:t>
      </w:r>
    </w:p>
    <w:p>
      <w:pPr>
        <w:autoSpaceDE w:val="0"/>
        <w:autoSpaceDN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w:t>
      </w:r>
      <w:r>
        <w:rPr>
          <w:rFonts w:hint="eastAsia" w:ascii="仿宋" w:hAnsi="仿宋" w:eastAsia="仿宋"/>
          <w:color w:val="auto"/>
          <w:sz w:val="24"/>
          <w:highlight w:val="none"/>
        </w:rPr>
        <w:t>签字或盖章</w:t>
      </w:r>
      <w:r>
        <w:rPr>
          <w:rFonts w:hint="eastAsia" w:ascii="仿宋" w:hAnsi="仿宋" w:eastAsia="仿宋" w:cs="仿宋_GB2312"/>
          <w:color w:val="auto"/>
          <w:kern w:val="0"/>
          <w:sz w:val="24"/>
          <w:highlight w:val="none"/>
        </w:rPr>
        <w:t>）：</w:t>
      </w:r>
    </w:p>
    <w:p>
      <w:pPr>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24"/>
          <w:highlight w:val="none"/>
        </w:rPr>
        <w:t xml:space="preserve">                                     日期：  年  月   日</w:t>
      </w: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13、售后服务方案</w:t>
      </w:r>
    </w:p>
    <w:p>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ind w:firstLine="4440" w:firstLineChars="1850"/>
        <w:rPr>
          <w:rFonts w:ascii="仿宋" w:hAnsi="仿宋" w:eastAsia="仿宋" w:cs="仿宋_GB2312"/>
          <w:color w:val="auto"/>
          <w:kern w:val="0"/>
          <w:sz w:val="24"/>
          <w:highlight w:val="none"/>
        </w:rPr>
      </w:pPr>
    </w:p>
    <w:p>
      <w:pPr>
        <w:autoSpaceDE w:val="0"/>
        <w:autoSpaceDN w:val="0"/>
        <w:spacing w:line="360" w:lineRule="auto"/>
        <w:ind w:firstLine="4440" w:firstLineChars="1850"/>
        <w:rPr>
          <w:rFonts w:ascii="仿宋" w:hAnsi="仿宋" w:eastAsia="仿宋" w:cs="仿宋_GB2312"/>
          <w:color w:val="auto"/>
          <w:kern w:val="0"/>
          <w:sz w:val="24"/>
          <w:highlight w:val="none"/>
        </w:rPr>
      </w:pP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_GB2312" w:hAnsi="仿宋_GB2312" w:eastAsia="仿宋_GB2312" w:cs="仿宋_GB2312"/>
          <w:color w:val="auto"/>
          <w:kern w:val="0"/>
          <w:sz w:val="24"/>
          <w:highlight w:val="none"/>
          <w:lang w:val="zh-CN"/>
        </w:rPr>
        <w:t>电子签章</w:t>
      </w:r>
      <w:r>
        <w:rPr>
          <w:rFonts w:hint="eastAsia" w:ascii="仿宋" w:hAnsi="仿宋" w:eastAsia="仿宋" w:cs="仿宋_GB2312"/>
          <w:color w:val="auto"/>
          <w:kern w:val="0"/>
          <w:sz w:val="24"/>
          <w:highlight w:val="none"/>
        </w:rPr>
        <w:t>）：</w:t>
      </w:r>
    </w:p>
    <w:p>
      <w:pPr>
        <w:autoSpaceDE w:val="0"/>
        <w:autoSpaceDN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w:t>
      </w:r>
      <w:r>
        <w:rPr>
          <w:rFonts w:hint="eastAsia" w:ascii="仿宋" w:hAnsi="仿宋" w:eastAsia="仿宋"/>
          <w:color w:val="auto"/>
          <w:sz w:val="24"/>
          <w:highlight w:val="none"/>
        </w:rPr>
        <w:t>签字或盖章</w:t>
      </w:r>
      <w:r>
        <w:rPr>
          <w:rFonts w:hint="eastAsia" w:ascii="仿宋" w:hAnsi="仿宋" w:eastAsia="仿宋" w:cs="仿宋_GB2312"/>
          <w:color w:val="auto"/>
          <w:kern w:val="0"/>
          <w:sz w:val="24"/>
          <w:highlight w:val="none"/>
        </w:rPr>
        <w:t>）：</w:t>
      </w:r>
    </w:p>
    <w:p>
      <w:pPr>
        <w:spacing w:line="360" w:lineRule="auto"/>
        <w:rPr>
          <w:rFonts w:ascii="仿宋" w:hAnsi="仿宋" w:eastAsia="仿宋" w:cs="仿宋_GB2312"/>
          <w:b/>
          <w:bCs/>
          <w:color w:val="auto"/>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14、投标人拟委派项目组成员情况</w:t>
      </w:r>
    </w:p>
    <w:p>
      <w:pPr>
        <w:spacing w:line="360" w:lineRule="auto"/>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（由投标人根据采购需求及招标文件要求编制）</w:t>
      </w:r>
    </w:p>
    <w:p>
      <w:pPr>
        <w:keepNext/>
        <w:autoSpaceDE w:val="0"/>
        <w:autoSpaceDN w:val="0"/>
        <w:spacing w:line="360" w:lineRule="auto"/>
        <w:ind w:firstLine="477"/>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附表A:本项目的项目经理情况表</w:t>
      </w:r>
    </w:p>
    <w:tbl>
      <w:tblPr>
        <w:tblStyle w:val="46"/>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注：须随表提交相应的证书复印件并注明所在投标商务技术（资信）文件页码。</w:t>
      </w:r>
    </w:p>
    <w:p>
      <w:pPr>
        <w:autoSpaceDE w:val="0"/>
        <w:autoSpaceDN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附表B:本项目的项目小组人员情况表</w:t>
      </w:r>
      <w:r>
        <w:rPr>
          <w:rFonts w:hint="eastAsia" w:ascii="仿宋" w:hAnsi="仿宋" w:eastAsia="仿宋" w:cs="仿宋_GB2312"/>
          <w:color w:val="auto"/>
          <w:sz w:val="24"/>
          <w:highlight w:val="none"/>
        </w:rPr>
        <w:t>（按此格式自制）</w:t>
      </w:r>
    </w:p>
    <w:tbl>
      <w:tblPr>
        <w:tblStyle w:val="46"/>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bl>
    <w:p>
      <w:pPr>
        <w:spacing w:line="360" w:lineRule="auto"/>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注：投标人可按上述的格式自行编制，须随表提交相应的证书复印件并注明所在投标商务技术（资信）文件页码。</w:t>
      </w:r>
    </w:p>
    <w:p>
      <w:pPr>
        <w:spacing w:line="360" w:lineRule="auto"/>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附表C:本项目的项目经理和小组人员提供近3个月交纳社保证明或与投标人的劳动合同</w:t>
      </w:r>
      <w:r>
        <w:rPr>
          <w:rFonts w:hint="eastAsia" w:ascii="仿宋" w:hAnsi="仿宋" w:eastAsia="仿宋" w:cs="仿宋_GB2312"/>
          <w:color w:val="auto"/>
          <w:sz w:val="24"/>
          <w:highlight w:val="none"/>
        </w:rPr>
        <w:t>。</w:t>
      </w: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_GB2312" w:hAnsi="仿宋_GB2312" w:eastAsia="仿宋_GB2312" w:cs="仿宋_GB2312"/>
          <w:color w:val="auto"/>
          <w:kern w:val="0"/>
          <w:sz w:val="24"/>
          <w:highlight w:val="none"/>
          <w:lang w:val="zh-CN"/>
        </w:rPr>
        <w:t>电子签章</w:t>
      </w:r>
      <w:r>
        <w:rPr>
          <w:rFonts w:hint="eastAsia" w:ascii="仿宋" w:hAnsi="仿宋" w:eastAsia="仿宋" w:cs="仿宋_GB2312"/>
          <w:color w:val="auto"/>
          <w:kern w:val="0"/>
          <w:sz w:val="24"/>
          <w:highlight w:val="none"/>
        </w:rPr>
        <w:t>）：</w:t>
      </w:r>
    </w:p>
    <w:p>
      <w:pPr>
        <w:autoSpaceDE w:val="0"/>
        <w:autoSpaceDN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w:t>
      </w:r>
      <w:r>
        <w:rPr>
          <w:rFonts w:hint="eastAsia" w:ascii="仿宋" w:hAnsi="仿宋" w:eastAsia="仿宋"/>
          <w:color w:val="auto"/>
          <w:sz w:val="24"/>
          <w:highlight w:val="none"/>
        </w:rPr>
        <w:t>签字或盖章</w:t>
      </w:r>
      <w:r>
        <w:rPr>
          <w:rFonts w:hint="eastAsia" w:ascii="仿宋" w:hAnsi="仿宋" w:eastAsia="仿宋" w:cs="仿宋_GB2312"/>
          <w:color w:val="auto"/>
          <w:kern w:val="0"/>
          <w:sz w:val="24"/>
          <w:highlight w:val="none"/>
        </w:rPr>
        <w:t>）：</w:t>
      </w:r>
    </w:p>
    <w:p>
      <w:pPr>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24"/>
          <w:highlight w:val="none"/>
        </w:rPr>
        <w:t xml:space="preserve">                                     日期：  年  月   日</w:t>
      </w:r>
    </w:p>
    <w:p>
      <w:pPr>
        <w:pageBreakBefore/>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15、</w:t>
      </w:r>
      <w:r>
        <w:rPr>
          <w:rFonts w:hint="eastAsia" w:ascii="仿宋" w:hAnsi="仿宋" w:eastAsia="仿宋" w:cs="仿宋_GB2312"/>
          <w:b/>
          <w:color w:val="auto"/>
          <w:kern w:val="0"/>
          <w:sz w:val="32"/>
          <w:szCs w:val="32"/>
          <w:highlight w:val="none"/>
          <w:lang w:val="zh-CN"/>
        </w:rPr>
        <w:t>优惠条件及特殊承诺</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spacing w:line="360" w:lineRule="auto"/>
        <w:rPr>
          <w:rFonts w:ascii="仿宋" w:hAnsi="仿宋" w:eastAsia="仿宋" w:cs="仿宋_GB2312"/>
          <w:color w:val="auto"/>
          <w:sz w:val="18"/>
          <w:szCs w:val="18"/>
          <w:highlight w:val="none"/>
        </w:rPr>
      </w:pP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_GB2312" w:hAnsi="仿宋_GB2312" w:eastAsia="仿宋_GB2312" w:cs="仿宋_GB2312"/>
          <w:color w:val="auto"/>
          <w:kern w:val="0"/>
          <w:sz w:val="24"/>
          <w:highlight w:val="none"/>
          <w:lang w:val="zh-CN"/>
        </w:rPr>
        <w:t>电子签章</w:t>
      </w:r>
      <w:r>
        <w:rPr>
          <w:rFonts w:hint="eastAsia" w:ascii="仿宋" w:hAnsi="仿宋" w:eastAsia="仿宋" w:cs="仿宋_GB2312"/>
          <w:color w:val="auto"/>
          <w:kern w:val="0"/>
          <w:sz w:val="24"/>
          <w:highlight w:val="none"/>
        </w:rPr>
        <w:t>）：</w:t>
      </w:r>
    </w:p>
    <w:p>
      <w:pPr>
        <w:autoSpaceDE w:val="0"/>
        <w:autoSpaceDN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w:t>
      </w:r>
      <w:r>
        <w:rPr>
          <w:rFonts w:hint="eastAsia" w:ascii="仿宋" w:hAnsi="仿宋" w:eastAsia="仿宋"/>
          <w:color w:val="auto"/>
          <w:sz w:val="24"/>
          <w:highlight w:val="none"/>
        </w:rPr>
        <w:t>签字或盖章</w:t>
      </w:r>
      <w:r>
        <w:rPr>
          <w:rFonts w:hint="eastAsia" w:ascii="仿宋" w:hAnsi="仿宋" w:eastAsia="仿宋" w:cs="仿宋_GB2312"/>
          <w:color w:val="auto"/>
          <w:kern w:val="0"/>
          <w:sz w:val="24"/>
          <w:highlight w:val="none"/>
        </w:rPr>
        <w:t>）：</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rPr>
          <w:rFonts w:ascii="仿宋" w:hAnsi="仿宋" w:eastAsia="仿宋" w:cs="仿宋_GB2312"/>
          <w:b/>
          <w:bCs/>
          <w:color w:val="auto"/>
          <w:sz w:val="18"/>
          <w:szCs w:val="18"/>
          <w:highlight w:val="none"/>
        </w:rPr>
      </w:pPr>
    </w:p>
    <w:p>
      <w:pPr>
        <w:spacing w:line="360" w:lineRule="auto"/>
        <w:jc w:val="center"/>
        <w:rPr>
          <w:rFonts w:ascii="仿宋" w:hAnsi="仿宋" w:eastAsia="仿宋" w:cs="仿宋_GB2312"/>
          <w:color w:val="auto"/>
          <w:kern w:val="0"/>
          <w:sz w:val="24"/>
          <w:highlight w:val="none"/>
        </w:rPr>
      </w:pPr>
    </w:p>
    <w:p>
      <w:pPr>
        <w:spacing w:line="360" w:lineRule="auto"/>
        <w:jc w:val="center"/>
        <w:rPr>
          <w:rFonts w:ascii="仿宋" w:hAnsi="仿宋" w:eastAsia="仿宋" w:cs="仿宋_GB2312"/>
          <w:color w:val="auto"/>
          <w:kern w:val="0"/>
          <w:sz w:val="24"/>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bCs/>
          <w:color w:val="auto"/>
          <w:sz w:val="32"/>
          <w:szCs w:val="32"/>
          <w:highlight w:val="none"/>
        </w:rPr>
      </w:pPr>
    </w:p>
    <w:p>
      <w:pPr>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16、认为需要的</w:t>
      </w:r>
      <w:r>
        <w:rPr>
          <w:rFonts w:hint="eastAsia" w:ascii="仿宋" w:hAnsi="仿宋" w:eastAsia="仿宋" w:cs="仿宋_GB2312"/>
          <w:b/>
          <w:color w:val="auto"/>
          <w:kern w:val="0"/>
          <w:sz w:val="32"/>
          <w:szCs w:val="32"/>
          <w:highlight w:val="none"/>
          <w:lang w:val="zh-CN"/>
        </w:rPr>
        <w:t>其他商务技术（资信）文件或说明</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spacing w:line="360" w:lineRule="auto"/>
        <w:rPr>
          <w:rFonts w:ascii="仿宋" w:hAnsi="仿宋" w:eastAsia="仿宋" w:cs="仿宋_GB2312"/>
          <w:color w:val="auto"/>
          <w:sz w:val="24"/>
          <w:highlight w:val="none"/>
        </w:rPr>
      </w:pPr>
    </w:p>
    <w:p>
      <w:pPr>
        <w:autoSpaceDE w:val="0"/>
        <w:autoSpaceDN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hint="eastAsia" w:ascii="仿宋_GB2312" w:hAnsi="仿宋_GB2312" w:eastAsia="仿宋_GB2312" w:cs="仿宋_GB2312"/>
          <w:color w:val="auto"/>
          <w:kern w:val="0"/>
          <w:sz w:val="24"/>
          <w:highlight w:val="none"/>
          <w:lang w:val="zh-CN"/>
        </w:rPr>
        <w:t>电子签章</w:t>
      </w:r>
      <w:r>
        <w:rPr>
          <w:rFonts w:hint="eastAsia" w:ascii="仿宋" w:hAnsi="仿宋" w:eastAsia="仿宋" w:cs="仿宋_GB2312"/>
          <w:color w:val="auto"/>
          <w:kern w:val="0"/>
          <w:sz w:val="24"/>
          <w:highlight w:val="none"/>
          <w:lang w:val="zh-CN"/>
        </w:rPr>
        <w:t xml:space="preserve">）：      </w:t>
      </w:r>
    </w:p>
    <w:p>
      <w:pPr>
        <w:autoSpaceDE w:val="0"/>
        <w:autoSpaceDN w:val="0"/>
        <w:spacing w:line="360" w:lineRule="auto"/>
        <w:ind w:firstLine="4320" w:firstLineChars="18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法定代表人或其授权代表（</w:t>
      </w:r>
      <w:r>
        <w:rPr>
          <w:rFonts w:hint="eastAsia" w:ascii="仿宋" w:hAnsi="仿宋" w:eastAsia="仿宋"/>
          <w:color w:val="auto"/>
          <w:sz w:val="24"/>
          <w:highlight w:val="none"/>
        </w:rPr>
        <w:t>签字或盖章</w:t>
      </w:r>
      <w:r>
        <w:rPr>
          <w:rFonts w:hint="eastAsia" w:ascii="仿宋" w:hAnsi="仿宋" w:eastAsia="仿宋" w:cs="仿宋_GB2312"/>
          <w:color w:val="auto"/>
          <w:kern w:val="0"/>
          <w:sz w:val="24"/>
          <w:highlight w:val="none"/>
          <w:lang w:val="zh-CN"/>
        </w:rPr>
        <w:t xml:space="preserve">）： </w:t>
      </w:r>
    </w:p>
    <w:p>
      <w:pPr>
        <w:snapToGrid w:val="0"/>
        <w:spacing w:line="360" w:lineRule="auto"/>
        <w:ind w:left="5267" w:leftChars="2451" w:hanging="120" w:hangingChars="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   日</w:t>
      </w:r>
    </w:p>
    <w:p>
      <w:pP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br w:type="page"/>
      </w:r>
    </w:p>
    <w:p>
      <w:pPr>
        <w:pageBreakBefore/>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业务专用章使用说明函</w:t>
      </w:r>
    </w:p>
    <w:p>
      <w:pPr>
        <w:spacing w:line="360" w:lineRule="auto"/>
        <w:rPr>
          <w:rFonts w:ascii="仿宋" w:hAnsi="仿宋" w:eastAsia="仿宋" w:cs="仿宋_GB2312"/>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QDz/YAAAACgEAAA8AAAAAAAAAAQAgAAAAIgAAAGRycy9kb3du&#10;cmV2LnhtbFBLAQIUABQAAAAIAIdO4kAwajeqOAIAAH4EAAAOAAAAAAAAAAEAIAAAACcBAABkcnMv&#10;ZTJvRG9jLnhtbFBLBQYAAAAABgAGAFkBAADR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jc w:val="center"/>
        <w:rPr>
          <w:rFonts w:ascii="仿宋" w:hAnsi="仿宋" w:eastAsia="仿宋" w:cs="仿宋"/>
          <w:b/>
          <w:bCs/>
          <w:color w:val="auto"/>
          <w:sz w:val="44"/>
          <w:szCs w:val="44"/>
          <w:highlight w:val="none"/>
        </w:rPr>
      </w:pPr>
    </w:p>
    <w:p>
      <w:pPr>
        <w:jc w:val="center"/>
        <w:rPr>
          <w:rFonts w:ascii="仿宋" w:hAnsi="仿宋" w:eastAsia="仿宋" w:cs="仿宋"/>
          <w:b/>
          <w:bCs/>
          <w:color w:val="auto"/>
          <w:sz w:val="44"/>
          <w:szCs w:val="44"/>
          <w:highlight w:val="none"/>
        </w:rPr>
      </w:pPr>
    </w:p>
    <w:p>
      <w:pPr>
        <w:jc w:val="center"/>
        <w:rPr>
          <w:rFonts w:ascii="仿宋" w:hAnsi="仿宋" w:eastAsia="仿宋" w:cs="仿宋"/>
          <w:b/>
          <w:bCs/>
          <w:color w:val="auto"/>
          <w:sz w:val="44"/>
          <w:szCs w:val="44"/>
          <w:highlight w:val="none"/>
        </w:rPr>
      </w:pPr>
    </w:p>
    <w:p>
      <w:pPr>
        <w:jc w:val="center"/>
        <w:rPr>
          <w:rFonts w:ascii="仿宋" w:hAnsi="仿宋" w:eastAsia="仿宋" w:cs="仿宋"/>
          <w:b/>
          <w:bCs/>
          <w:color w:val="auto"/>
          <w:sz w:val="44"/>
          <w:szCs w:val="44"/>
          <w:highlight w:val="none"/>
        </w:rPr>
      </w:pPr>
    </w:p>
    <w:p>
      <w:pPr>
        <w:jc w:val="center"/>
        <w:rPr>
          <w:rFonts w:ascii="仿宋" w:hAnsi="仿宋" w:eastAsia="仿宋" w:cs="仿宋"/>
          <w:b/>
          <w:bCs/>
          <w:color w:val="auto"/>
          <w:sz w:val="44"/>
          <w:szCs w:val="44"/>
          <w:highlight w:val="none"/>
        </w:rPr>
      </w:pPr>
    </w:p>
    <w:p>
      <w:pPr>
        <w:jc w:val="center"/>
        <w:rPr>
          <w:rFonts w:ascii="仿宋" w:hAnsi="仿宋" w:eastAsia="仿宋" w:cs="仿宋"/>
          <w:b/>
          <w:bCs/>
          <w:color w:val="auto"/>
          <w:sz w:val="44"/>
          <w:szCs w:val="44"/>
          <w:highlight w:val="none"/>
        </w:rPr>
      </w:pPr>
    </w:p>
    <w:p>
      <w:pPr>
        <w:jc w:val="center"/>
        <w:rPr>
          <w:rFonts w:ascii="仿宋" w:hAnsi="仿宋" w:eastAsia="仿宋" w:cs="仿宋"/>
          <w:b/>
          <w:bCs/>
          <w:color w:val="auto"/>
          <w:sz w:val="44"/>
          <w:szCs w:val="44"/>
          <w:highlight w:val="none"/>
        </w:rPr>
      </w:pPr>
    </w:p>
    <w:p>
      <w:pPr>
        <w:jc w:val="center"/>
        <w:rPr>
          <w:rFonts w:ascii="仿宋" w:hAnsi="仿宋" w:eastAsia="仿宋" w:cs="仿宋"/>
          <w:b/>
          <w:bCs/>
          <w:color w:val="auto"/>
          <w:sz w:val="44"/>
          <w:szCs w:val="44"/>
          <w:highlight w:val="none"/>
        </w:rPr>
      </w:pPr>
    </w:p>
    <w:p>
      <w:pPr>
        <w:pageBreakBefore/>
        <w:shd w:val="clear" w:color="auto" w:fill="FFFFFF"/>
        <w:spacing w:line="600" w:lineRule="atLeast"/>
        <w:jc w:val="center"/>
        <w:textAlignment w:val="baseline"/>
        <w:rPr>
          <w:rFonts w:ascii="宋体" w:hAnsi="宋体" w:cs="宋体"/>
          <w:b/>
          <w:bCs/>
          <w:color w:val="auto"/>
          <w:kern w:val="0"/>
          <w:sz w:val="36"/>
          <w:szCs w:val="36"/>
          <w:highlight w:val="none"/>
        </w:rPr>
      </w:pPr>
      <w:r>
        <w:rPr>
          <w:rFonts w:ascii="宋体" w:hAnsi="宋体" w:cs="宋体"/>
          <w:b/>
          <w:bCs/>
          <w:color w:val="auto"/>
          <w:kern w:val="0"/>
          <w:sz w:val="36"/>
          <w:szCs w:val="36"/>
          <w:highlight w:val="none"/>
        </w:rPr>
        <w:t>国家统计局关于印发《统计上</w:t>
      </w:r>
      <w:r>
        <w:rPr>
          <w:rFonts w:ascii="宋体" w:hAnsi="宋体" w:cs="宋体"/>
          <w:b/>
          <w:bCs/>
          <w:color w:val="auto"/>
          <w:kern w:val="0"/>
          <w:sz w:val="36"/>
          <w:szCs w:val="36"/>
          <w:highlight w:val="none"/>
        </w:rPr>
        <w:br w:type="textWrapping"/>
      </w:r>
      <w:r>
        <w:rPr>
          <w:rFonts w:ascii="宋体" w:hAnsi="宋体" w:cs="宋体"/>
          <w:b/>
          <w:bCs/>
          <w:color w:val="auto"/>
          <w:kern w:val="0"/>
          <w:sz w:val="36"/>
          <w:szCs w:val="36"/>
          <w:highlight w:val="none"/>
        </w:rPr>
        <w:t>大中小微型企业划分办法（2017）》的通知</w:t>
      </w:r>
    </w:p>
    <w:p>
      <w:pPr>
        <w:widowControl/>
        <w:shd w:val="clear" w:color="auto" w:fill="FFFFFF"/>
        <w:spacing w:before="150"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ascii="宋体" w:hAnsi="宋体" w:cs="宋体"/>
          <w:color w:val="auto"/>
          <w:kern w:val="0"/>
          <w:szCs w:val="21"/>
          <w:highlight w:val="none"/>
        </w:rPr>
      </w:pPr>
      <w:r>
        <w:rPr>
          <w:rFonts w:ascii="宋体" w:hAnsi="宋体" w:cs="宋体"/>
          <w:color w:val="auto"/>
          <w:kern w:val="0"/>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ascii="宋体" w:hAnsi="宋体" w:cs="宋体"/>
          <w:color w:val="auto"/>
          <w:kern w:val="0"/>
          <w:szCs w:val="21"/>
          <w:highlight w:val="none"/>
        </w:rPr>
      </w:pPr>
      <w:r>
        <w:rPr>
          <w:rFonts w:ascii="宋体" w:hAnsi="宋体" w:cs="宋体"/>
          <w:color w:val="auto"/>
          <w:kern w:val="0"/>
          <w:szCs w:val="21"/>
          <w:highlight w:val="none"/>
        </w:rPr>
        <w:t>国家统计局  </w:t>
      </w:r>
    </w:p>
    <w:p>
      <w:pPr>
        <w:widowControl/>
        <w:shd w:val="clear" w:color="auto" w:fill="FFFFFF"/>
        <w:spacing w:before="150" w:line="420" w:lineRule="atLeast"/>
        <w:ind w:right="825"/>
        <w:jc w:val="right"/>
        <w:textAlignment w:val="baseline"/>
        <w:rPr>
          <w:rFonts w:ascii="宋体" w:hAnsi="宋体" w:cs="宋体"/>
          <w:color w:val="auto"/>
          <w:kern w:val="0"/>
          <w:szCs w:val="21"/>
          <w:highlight w:val="none"/>
        </w:rPr>
      </w:pPr>
      <w:r>
        <w:rPr>
          <w:rFonts w:ascii="宋体" w:hAnsi="宋体" w:cs="宋体"/>
          <w:color w:val="auto"/>
          <w:kern w:val="0"/>
          <w:szCs w:val="21"/>
          <w:highlight w:val="none"/>
        </w:rPr>
        <w:t>2017年12月28日</w:t>
      </w:r>
    </w:p>
    <w:p>
      <w:pPr>
        <w:widowControl/>
        <w:shd w:val="clear" w:color="auto" w:fill="FFFFFF"/>
        <w:spacing w:before="150"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 </w:t>
      </w:r>
    </w:p>
    <w:p>
      <w:pPr>
        <w:widowControl/>
        <w:shd w:val="clear" w:color="auto" w:fill="FFFFFF"/>
        <w:spacing w:before="150" w:line="600" w:lineRule="atLeast"/>
        <w:jc w:val="center"/>
        <w:textAlignment w:val="baseline"/>
        <w:rPr>
          <w:rFonts w:ascii="宋体" w:hAnsi="宋体" w:cs="宋体"/>
          <w:b/>
          <w:bCs/>
          <w:color w:val="auto"/>
          <w:kern w:val="0"/>
          <w:sz w:val="36"/>
          <w:szCs w:val="36"/>
          <w:highlight w:val="none"/>
        </w:rPr>
      </w:pPr>
      <w:r>
        <w:rPr>
          <w:rFonts w:ascii="宋体" w:hAnsi="宋体" w:cs="宋体"/>
          <w:b/>
          <w:bCs/>
          <w:color w:val="auto"/>
          <w:kern w:val="0"/>
          <w:sz w:val="36"/>
          <w:szCs w:val="36"/>
          <w:highlight w:val="none"/>
        </w:rPr>
        <w:t>统计上大中小微型企业划分办法（2017）</w:t>
      </w:r>
    </w:p>
    <w:p>
      <w:pPr>
        <w:widowControl/>
        <w:shd w:val="clear" w:color="auto" w:fill="FFFFFF"/>
        <w:spacing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二、本办法适用对象为在中华人民共和国境内依法设立的各种组织形式的法人企业或单位。个体工商户参照本办法进行划分。</w:t>
      </w:r>
    </w:p>
    <w:p>
      <w:pPr>
        <w:widowControl/>
        <w:shd w:val="clear" w:color="auto" w:fill="FFFFFF"/>
        <w:spacing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五、企业划分由政府综合统计部门根据统计年报每年确定一次，定报统计原则上不进行调整。</w:t>
      </w:r>
    </w:p>
    <w:p>
      <w:pPr>
        <w:widowControl/>
        <w:shd w:val="clear" w:color="auto" w:fill="FFFFFF"/>
        <w:spacing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ascii="宋体" w:hAnsi="宋体" w:cs="宋体"/>
          <w:color w:val="auto"/>
          <w:kern w:val="0"/>
          <w:sz w:val="24"/>
          <w:highlight w:val="none"/>
        </w:rPr>
      </w:pPr>
      <w:r>
        <w:rPr>
          <w:rFonts w:ascii="宋体" w:hAnsi="宋体" w:cs="宋体"/>
          <w:color w:val="auto"/>
          <w:kern w:val="0"/>
          <w:szCs w:val="21"/>
          <w:highlight w:val="none"/>
        </w:rPr>
        <w:t>附表：统计上大中小微型企业划分标准</w:t>
      </w:r>
      <w:r>
        <w:rPr>
          <w:rFonts w:ascii="宋体" w:hAnsi="宋体" w:cs="宋体"/>
          <w:color w:val="auto"/>
          <w:kern w:val="0"/>
          <w:sz w:val="18"/>
          <w:szCs w:val="18"/>
          <w:highlight w:val="none"/>
        </w:rPr>
        <w:br w:type="textWrapping"/>
      </w:r>
    </w:p>
    <w:p>
      <w:pPr>
        <w:widowControl/>
        <w:shd w:val="clear" w:color="auto" w:fill="FFFFFF"/>
        <w:spacing w:before="150" w:line="600" w:lineRule="atLeast"/>
        <w:jc w:val="center"/>
        <w:textAlignment w:val="baseline"/>
        <w:rPr>
          <w:rFonts w:ascii="宋体" w:hAnsi="宋体" w:cs="宋体"/>
          <w:b/>
          <w:bCs/>
          <w:color w:val="auto"/>
          <w:kern w:val="0"/>
          <w:sz w:val="36"/>
          <w:szCs w:val="36"/>
          <w:highlight w:val="none"/>
        </w:rPr>
      </w:pPr>
      <w:r>
        <w:rPr>
          <w:rFonts w:ascii="宋体" w:hAnsi="宋体" w:cs="宋体"/>
          <w:b/>
          <w:bCs/>
          <w:color w:val="auto"/>
          <w:kern w:val="0"/>
          <w:sz w:val="36"/>
          <w:szCs w:val="36"/>
          <w:highlight w:val="none"/>
        </w:rPr>
        <w:t>统计上大中小微型企业划分标准</w:t>
      </w:r>
    </w:p>
    <w:tbl>
      <w:tblPr>
        <w:tblStyle w:val="46"/>
        <w:tblW w:w="974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1457"/>
        <w:gridCol w:w="1560"/>
        <w:gridCol w:w="850"/>
        <w:gridCol w:w="1185"/>
        <w:gridCol w:w="1935"/>
        <w:gridCol w:w="1740"/>
        <w:gridCol w:w="101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行业名称</w:t>
            </w:r>
          </w:p>
        </w:tc>
        <w:tc>
          <w:tcPr>
            <w:tcW w:w="1560" w:type="dxa"/>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指标名称</w:t>
            </w:r>
          </w:p>
        </w:tc>
        <w:tc>
          <w:tcPr>
            <w:tcW w:w="850" w:type="dxa"/>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计量</w:t>
            </w:r>
          </w:p>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单位</w:t>
            </w:r>
          </w:p>
        </w:tc>
        <w:tc>
          <w:tcPr>
            <w:tcW w:w="1185" w:type="dxa"/>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大型</w:t>
            </w:r>
          </w:p>
        </w:tc>
        <w:tc>
          <w:tcPr>
            <w:tcW w:w="1935" w:type="dxa"/>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中型</w:t>
            </w:r>
          </w:p>
        </w:tc>
        <w:tc>
          <w:tcPr>
            <w:tcW w:w="1740" w:type="dxa"/>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小型</w:t>
            </w:r>
          </w:p>
        </w:tc>
        <w:tc>
          <w:tcPr>
            <w:tcW w:w="1016" w:type="dxa"/>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农、林、牧、渔业</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Y≥20000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500≤Y＜20000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50≤Y＜500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工业 *</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300≤X＜1000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20≤X＜300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Y≥40000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2000≤Y＜40000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300≤Y＜2000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建筑业</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Y≥80000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6000≤Y＜80000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300≤Y＜6000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资产总额(Z)</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Z≥80000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5000≤Z＜80000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300≤Z＜5000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Z＜300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批发业</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X≥200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20≤X＜200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5≤X＜20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Y≥40000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5000≤Y＜40000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1000≤Y＜5000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零售业</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X≥300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50≤X＜300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10≤X＜50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Y≥20000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500≤Y＜20000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100≤Y＜500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交通运输业 *</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300≤X＜1000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20≤X＜300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Y≥30000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3000≤Y＜30000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200≤Y＜3000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仓储业*</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X≥200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100≤X＜200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20≤X＜100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Y≥30000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1000≤Y＜30000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100≤Y＜1000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邮政业</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300≤X＜1000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20≤X＜300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Y≥30000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2000≤Y＜30000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100≤Y＜2000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住宿业</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X≥300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100≤X＜300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10≤X＜100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2000≤Y＜10000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100≤Y＜2000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餐饮业</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X≥300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100≤X＜300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10≤X＜100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2000≤Y＜10000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100≤Y＜2000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信息传输业 *</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X≥2000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100≤X＜2000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10≤X＜100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1000≤Y＜100000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100≤Y＜1000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软件和信息技术服务业</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X≥300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100≤X＜300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10≤X＜100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1000≤Y＜10000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50≤Y＜1000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房地产开发经营</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Y≥200000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1000≤Y＜200000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100≤Y＜1000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资产总额(Z)</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Z≥10000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5000≤Z＜10000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2000≤Z＜5000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Z＜2000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物业管理</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300≤X＜1000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100≤X＜300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营业收入(Y)</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Y≥5000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1000≤Y＜5000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500≤Y＜1000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Y＜500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租赁和商务服务业</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X≥300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100≤X＜300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10≤X＜100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color w:val="auto"/>
                <w:kern w:val="0"/>
                <w:szCs w:val="21"/>
                <w:highlight w:val="none"/>
              </w:rPr>
            </w:pP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资产总额(Z)</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万元</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Z≥120000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8000≤Z＜120000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100≤Z＜8000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Z＜100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其他未列明行业 *</w:t>
            </w:r>
          </w:p>
        </w:tc>
        <w:tc>
          <w:tcPr>
            <w:tcW w:w="156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从业人员(X)</w:t>
            </w:r>
          </w:p>
        </w:tc>
        <w:tc>
          <w:tcPr>
            <w:tcW w:w="85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人</w:t>
            </w:r>
          </w:p>
        </w:tc>
        <w:tc>
          <w:tcPr>
            <w:tcW w:w="118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X≥300</w:t>
            </w:r>
          </w:p>
        </w:tc>
        <w:tc>
          <w:tcPr>
            <w:tcW w:w="1935"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100≤X＜300</w:t>
            </w:r>
          </w:p>
        </w:tc>
        <w:tc>
          <w:tcPr>
            <w:tcW w:w="1740"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10≤X＜100</w:t>
            </w:r>
          </w:p>
        </w:tc>
        <w:tc>
          <w:tcPr>
            <w:tcW w:w="101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X＜10</w:t>
            </w:r>
          </w:p>
        </w:tc>
      </w:tr>
    </w:tbl>
    <w:p>
      <w:pPr>
        <w:widowControl/>
        <w:shd w:val="clear" w:color="auto" w:fill="FFFFFF"/>
        <w:spacing w:line="44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说明：1.大型、中型和小型企业须同时满足所列指标的下限，否则下划一档；微型企业只须满足所列指标中的一项即可。 　　</w:t>
      </w:r>
      <w:r>
        <w:rPr>
          <w:rFonts w:ascii="宋体" w:hAnsi="宋体" w:cs="宋体"/>
          <w:color w:val="auto"/>
          <w:kern w:val="0"/>
          <w:szCs w:val="21"/>
          <w:highlight w:val="none"/>
        </w:rPr>
        <w:br w:type="textWrapping"/>
      </w:r>
      <w:r>
        <w:rPr>
          <w:rFonts w:ascii="宋体" w:hAnsi="宋体" w:cs="宋体"/>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r>
        <w:rPr>
          <w:rFonts w:ascii="宋体" w:hAnsi="宋体" w:cs="宋体"/>
          <w:color w:val="auto"/>
          <w:kern w:val="0"/>
          <w:szCs w:val="21"/>
          <w:highlight w:val="none"/>
        </w:rPr>
        <w:br w:type="textWrapping"/>
      </w:r>
      <w:r>
        <w:rPr>
          <w:rFonts w:ascii="宋体" w:hAnsi="宋体" w:cs="宋体"/>
          <w:color w:val="auto"/>
          <w:kern w:val="0"/>
          <w:szCs w:val="21"/>
          <w:highlight w:val="none"/>
        </w:rPr>
        <w:t>  3.企业划分指标以现行统计制度为准。</w:t>
      </w:r>
      <w:r>
        <w:rPr>
          <w:rFonts w:ascii="宋体" w:hAnsi="宋体" w:cs="宋体"/>
          <w:color w:val="auto"/>
          <w:kern w:val="0"/>
          <w:szCs w:val="21"/>
          <w:highlight w:val="none"/>
        </w:rPr>
        <w:br w:type="textWrapping"/>
      </w:r>
      <w:r>
        <w:rPr>
          <w:rFonts w:ascii="宋体" w:hAnsi="宋体" w:cs="宋体"/>
          <w:color w:val="auto"/>
          <w:kern w:val="0"/>
          <w:szCs w:val="21"/>
          <w:highlight w:val="none"/>
        </w:rPr>
        <w:t>  （1）从业人员，是指期末从业人员数，没有期末从业人员数的，采用全年平均人员数代替。</w:t>
      </w:r>
      <w:r>
        <w:rPr>
          <w:rFonts w:ascii="宋体" w:hAnsi="宋体" w:cs="宋体"/>
          <w:color w:val="auto"/>
          <w:kern w:val="0"/>
          <w:szCs w:val="21"/>
          <w:highlight w:val="none"/>
        </w:rPr>
        <w:br w:type="textWrapping"/>
      </w:r>
      <w:r>
        <w:rPr>
          <w:rFonts w:ascii="宋体" w:hAnsi="宋体" w:cs="宋体"/>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s="宋体"/>
          <w:color w:val="auto"/>
          <w:kern w:val="0"/>
          <w:szCs w:val="21"/>
          <w:highlight w:val="none"/>
        </w:rPr>
        <w:br w:type="textWrapping"/>
      </w:r>
      <w:r>
        <w:rPr>
          <w:rFonts w:ascii="宋体" w:hAnsi="宋体" w:cs="宋体"/>
          <w:color w:val="auto"/>
          <w:kern w:val="0"/>
          <w:szCs w:val="21"/>
          <w:highlight w:val="none"/>
        </w:rPr>
        <w:t>  （3）资产总额，采用资产总计代替。</w:t>
      </w:r>
    </w:p>
    <w:p>
      <w:pPr>
        <w:widowControl/>
        <w:jc w:val="left"/>
        <w:rPr>
          <w:rFonts w:ascii="宋体" w:hAnsi="宋体" w:cs="宋体"/>
          <w:color w:val="auto"/>
          <w:kern w:val="0"/>
          <w:sz w:val="24"/>
          <w:highlight w:val="none"/>
        </w:rPr>
      </w:pPr>
      <w:r>
        <w:rPr>
          <w:rFonts w:ascii="宋体" w:hAnsi="宋体" w:cs="宋体"/>
          <w:color w:val="auto"/>
          <w:kern w:val="0"/>
          <w:sz w:val="18"/>
          <w:szCs w:val="18"/>
          <w:highlight w:val="none"/>
        </w:rPr>
        <w:br w:type="textWrapping"/>
      </w:r>
    </w:p>
    <w:p>
      <w:pPr>
        <w:widowControl/>
        <w:shd w:val="clear" w:color="auto" w:fill="FFFFFF"/>
        <w:spacing w:before="150" w:line="600" w:lineRule="atLeast"/>
        <w:jc w:val="center"/>
        <w:textAlignment w:val="baseline"/>
        <w:rPr>
          <w:rFonts w:ascii="宋体" w:hAnsi="宋体" w:cs="宋体"/>
          <w:b/>
          <w:bCs/>
          <w:color w:val="auto"/>
          <w:kern w:val="0"/>
          <w:sz w:val="36"/>
          <w:szCs w:val="36"/>
          <w:highlight w:val="none"/>
        </w:rPr>
      </w:pPr>
      <w:r>
        <w:rPr>
          <w:rFonts w:ascii="宋体" w:hAnsi="宋体" w:cs="宋体"/>
          <w:b/>
          <w:bCs/>
          <w:color w:val="auto"/>
          <w:kern w:val="0"/>
          <w:sz w:val="36"/>
          <w:szCs w:val="36"/>
          <w:highlight w:val="none"/>
        </w:rPr>
        <w:t>《统计上大中小微型企业划分办法（2017）》修订说明</w:t>
      </w:r>
    </w:p>
    <w:p>
      <w:pPr>
        <w:widowControl/>
        <w:shd w:val="clear" w:color="auto" w:fill="FFFFFF"/>
        <w:spacing w:before="150" w:line="540" w:lineRule="atLeast"/>
        <w:jc w:val="left"/>
        <w:textAlignment w:val="baseline"/>
        <w:rPr>
          <w:rFonts w:ascii="宋体" w:hAnsi="宋体" w:cs="宋体"/>
          <w:b/>
          <w:bCs/>
          <w:color w:val="auto"/>
          <w:kern w:val="0"/>
          <w:sz w:val="27"/>
          <w:szCs w:val="27"/>
          <w:highlight w:val="none"/>
        </w:rPr>
      </w:pPr>
      <w:r>
        <w:rPr>
          <w:rFonts w:ascii="宋体" w:hAnsi="宋体" w:cs="宋体"/>
          <w:b/>
          <w:bCs/>
          <w:color w:val="auto"/>
          <w:kern w:val="0"/>
          <w:sz w:val="27"/>
          <w:szCs w:val="27"/>
          <w:highlight w:val="none"/>
        </w:rPr>
        <w:t>一、修订背景</w:t>
      </w:r>
    </w:p>
    <w:p>
      <w:pPr>
        <w:widowControl/>
        <w:shd w:val="clear" w:color="auto" w:fill="FFFFFF"/>
        <w:spacing w:before="150"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ascii="宋体" w:hAnsi="宋体" w:cs="宋体"/>
          <w:b/>
          <w:bCs/>
          <w:color w:val="auto"/>
          <w:kern w:val="0"/>
          <w:sz w:val="27"/>
          <w:szCs w:val="27"/>
          <w:highlight w:val="none"/>
        </w:rPr>
      </w:pPr>
      <w:r>
        <w:rPr>
          <w:rFonts w:ascii="宋体" w:hAnsi="宋体" w:cs="宋体"/>
          <w:b/>
          <w:bCs/>
          <w:color w:val="auto"/>
          <w:kern w:val="0"/>
          <w:sz w:val="27"/>
          <w:szCs w:val="27"/>
          <w:highlight w:val="none"/>
        </w:rPr>
        <w:t>二、修订主要内容</w:t>
      </w:r>
    </w:p>
    <w:p>
      <w:pPr>
        <w:widowControl/>
        <w:shd w:val="clear" w:color="auto" w:fill="FFFFFF"/>
        <w:spacing w:before="150"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  仓储业所包括的行业中类，根据《国民经济行业分类》（GB/T4754—2017）调整为“通用仓储，低温仓储，危险品仓储，谷物、棉花等农产品仓储，中药材仓储和其他仓储业”。</w:t>
      </w:r>
    </w:p>
    <w:p>
      <w:pPr>
        <w:widowControl/>
        <w:jc w:val="left"/>
        <w:rPr>
          <w:rFonts w:ascii="宋体" w:hAnsi="宋体" w:cs="宋体"/>
          <w:color w:val="auto"/>
          <w:kern w:val="0"/>
          <w:sz w:val="24"/>
          <w:highlight w:val="none"/>
        </w:rPr>
      </w:pPr>
      <w:r>
        <w:rPr>
          <w:rFonts w:ascii="宋体" w:hAnsi="宋体" w:cs="宋体"/>
          <w:color w:val="auto"/>
          <w:kern w:val="0"/>
          <w:sz w:val="18"/>
          <w:szCs w:val="18"/>
          <w:highlight w:val="none"/>
        </w:rPr>
        <w:br w:type="textWrapping"/>
      </w:r>
      <w:r>
        <w:rPr>
          <w:rFonts w:ascii="宋体" w:hAnsi="宋体" w:cs="宋体"/>
          <w:color w:val="auto"/>
          <w:kern w:val="0"/>
          <w:sz w:val="18"/>
          <w:szCs w:val="18"/>
          <w:highlight w:val="none"/>
        </w:rPr>
        <w:br w:type="textWrapping"/>
      </w:r>
    </w:p>
    <w:p>
      <w:pPr>
        <w:widowControl/>
        <w:shd w:val="clear" w:color="auto" w:fill="FFFFFF"/>
        <w:spacing w:line="600" w:lineRule="atLeast"/>
        <w:jc w:val="center"/>
        <w:textAlignment w:val="baseline"/>
        <w:rPr>
          <w:rFonts w:ascii="宋体" w:hAnsi="宋体" w:cs="宋体"/>
          <w:b/>
          <w:bCs/>
          <w:color w:val="auto"/>
          <w:kern w:val="0"/>
          <w:sz w:val="36"/>
          <w:szCs w:val="36"/>
          <w:highlight w:val="none"/>
        </w:rPr>
      </w:pPr>
      <w:r>
        <w:rPr>
          <w:rFonts w:ascii="宋体" w:hAnsi="宋体" w:cs="宋体"/>
          <w:b/>
          <w:bCs/>
          <w:color w:val="auto"/>
          <w:kern w:val="0"/>
          <w:sz w:val="36"/>
          <w:szCs w:val="36"/>
          <w:highlight w:val="none"/>
        </w:rPr>
        <w:t>中国人民银行中国银行业监督管理委员会</w:t>
      </w:r>
      <w:r>
        <w:rPr>
          <w:rFonts w:ascii="宋体" w:hAnsi="宋体" w:cs="宋体"/>
          <w:b/>
          <w:bCs/>
          <w:color w:val="auto"/>
          <w:kern w:val="0"/>
          <w:sz w:val="36"/>
          <w:szCs w:val="36"/>
          <w:highlight w:val="none"/>
        </w:rPr>
        <w:br w:type="textWrapping"/>
      </w:r>
      <w:r>
        <w:rPr>
          <w:rFonts w:ascii="宋体" w:hAnsi="宋体" w:cs="宋体"/>
          <w:b/>
          <w:bCs/>
          <w:color w:val="auto"/>
          <w:kern w:val="0"/>
          <w:sz w:val="36"/>
          <w:szCs w:val="36"/>
          <w:highlight w:val="none"/>
        </w:rPr>
        <w:t>中国证券监督管理委员会中国保险监督管理委员会</w:t>
      </w:r>
      <w:r>
        <w:rPr>
          <w:rFonts w:ascii="宋体" w:hAnsi="宋体" w:cs="宋体"/>
          <w:b/>
          <w:bCs/>
          <w:color w:val="auto"/>
          <w:kern w:val="0"/>
          <w:sz w:val="36"/>
          <w:szCs w:val="36"/>
          <w:highlight w:val="none"/>
        </w:rPr>
        <w:br w:type="textWrapping"/>
      </w:r>
      <w:r>
        <w:rPr>
          <w:rFonts w:ascii="宋体" w:hAnsi="宋体" w:cs="宋体"/>
          <w:b/>
          <w:bCs/>
          <w:color w:val="auto"/>
          <w:kern w:val="0"/>
          <w:sz w:val="36"/>
          <w:szCs w:val="36"/>
          <w:highlight w:val="none"/>
        </w:rPr>
        <w:t>国家统计局关于印发《金融业企业划型标准规定》的通知</w:t>
      </w:r>
    </w:p>
    <w:p>
      <w:pPr>
        <w:widowControl/>
        <w:shd w:val="clear" w:color="auto" w:fill="FFFFFF"/>
        <w:spacing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r>
        <w:rPr>
          <w:rFonts w:ascii="宋体" w:hAnsi="宋体" w:cs="宋体"/>
          <w:color w:val="auto"/>
          <w:kern w:val="0"/>
          <w:szCs w:val="21"/>
          <w:highlight w:val="none"/>
        </w:rPr>
        <w:br w:type="textWrapping"/>
      </w:r>
      <w:r>
        <w:rPr>
          <w:rFonts w:ascii="宋体" w:hAnsi="宋体" w:cs="宋体"/>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附件：金融业企业划型标准规定</w:t>
      </w:r>
    </w:p>
    <w:p>
      <w:pPr>
        <w:widowControl/>
        <w:shd w:val="clear" w:color="auto" w:fill="FFFFFF"/>
        <w:spacing w:before="150" w:line="600" w:lineRule="atLeast"/>
        <w:jc w:val="center"/>
        <w:textAlignment w:val="baseline"/>
        <w:rPr>
          <w:rFonts w:ascii="宋体" w:hAnsi="宋体" w:cs="宋体"/>
          <w:b/>
          <w:bCs/>
          <w:color w:val="auto"/>
          <w:kern w:val="0"/>
          <w:sz w:val="36"/>
          <w:szCs w:val="36"/>
          <w:highlight w:val="none"/>
        </w:rPr>
      </w:pPr>
      <w:r>
        <w:rPr>
          <w:rFonts w:ascii="宋体" w:hAnsi="宋体" w:cs="宋体"/>
          <w:b/>
          <w:bCs/>
          <w:color w:val="auto"/>
          <w:kern w:val="0"/>
          <w:sz w:val="36"/>
          <w:szCs w:val="36"/>
          <w:highlight w:val="none"/>
        </w:rPr>
        <w:t>金融业企业划型标准规定</w:t>
      </w:r>
    </w:p>
    <w:p>
      <w:pPr>
        <w:widowControl/>
        <w:shd w:val="clear" w:color="auto" w:fill="FFFFFF"/>
        <w:spacing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r>
        <w:rPr>
          <w:rFonts w:ascii="宋体" w:hAnsi="宋体" w:cs="宋体"/>
          <w:color w:val="auto"/>
          <w:kern w:val="0"/>
          <w:szCs w:val="21"/>
          <w:highlight w:val="none"/>
        </w:rPr>
        <w:br w:type="textWrapping"/>
      </w:r>
      <w:r>
        <w:rPr>
          <w:rFonts w:ascii="宋体" w:hAnsi="宋体" w:cs="宋体"/>
          <w:color w:val="auto"/>
          <w:kern w:val="0"/>
          <w:szCs w:val="21"/>
          <w:highlight w:val="none"/>
        </w:rPr>
        <w:t>  二、 适用范围。本规定适用于从事《国民经济行业分类》(GB/T4754-2011)中J门类（金融业）活动的企业。</w:t>
      </w:r>
      <w:r>
        <w:rPr>
          <w:rFonts w:ascii="宋体" w:hAnsi="宋体" w:cs="宋体"/>
          <w:color w:val="auto"/>
          <w:kern w:val="0"/>
          <w:szCs w:val="21"/>
          <w:highlight w:val="none"/>
        </w:rPr>
        <w:br w:type="textWrapping"/>
      </w:r>
      <w:r>
        <w:rPr>
          <w:rFonts w:ascii="宋体" w:hAnsi="宋体" w:cs="宋体"/>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r>
        <w:rPr>
          <w:rFonts w:ascii="宋体" w:hAnsi="宋体" w:cs="宋体"/>
          <w:color w:val="auto"/>
          <w:kern w:val="0"/>
          <w:szCs w:val="21"/>
          <w:highlight w:val="none"/>
        </w:rPr>
        <w:br w:type="textWrapping"/>
      </w:r>
      <w:r>
        <w:rPr>
          <w:rFonts w:ascii="宋体" w:hAnsi="宋体" w:cs="宋体"/>
          <w:color w:val="auto"/>
          <w:kern w:val="0"/>
          <w:szCs w:val="21"/>
          <w:highlight w:val="none"/>
        </w:rPr>
        <w:t>  四、划型标准指标。采用一个完整会计年度中四个季度末法人并表口径的资产总额（信托公司为信托资产）平均值作为划型指标，该指标以监管部门数据为准。</w:t>
      </w:r>
      <w:r>
        <w:rPr>
          <w:rFonts w:ascii="宋体" w:hAnsi="宋体" w:cs="宋体"/>
          <w:color w:val="auto"/>
          <w:kern w:val="0"/>
          <w:szCs w:val="21"/>
          <w:highlight w:val="none"/>
        </w:rPr>
        <w:br w:type="textWrapping"/>
      </w:r>
      <w:r>
        <w:rPr>
          <w:rFonts w:ascii="宋体" w:hAnsi="宋体" w:cs="宋体"/>
          <w:color w:val="auto"/>
          <w:kern w:val="0"/>
          <w:szCs w:val="21"/>
          <w:highlight w:val="none"/>
        </w:rPr>
        <w:t>  五、指标标准值。依据指标标准值，将各类金融业企业划分为大、中、小、微四个规模类型，中型企业标准上限及以上的为大型企业。</w:t>
      </w:r>
      <w:r>
        <w:rPr>
          <w:rFonts w:ascii="宋体" w:hAnsi="宋体" w:cs="宋体"/>
          <w:color w:val="auto"/>
          <w:kern w:val="0"/>
          <w:szCs w:val="21"/>
          <w:highlight w:val="none"/>
        </w:rPr>
        <w:br w:type="textWrapping"/>
      </w:r>
      <w:r>
        <w:rPr>
          <w:rFonts w:ascii="宋体" w:hAnsi="宋体" w:cs="宋体"/>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r>
        <w:rPr>
          <w:rFonts w:ascii="宋体" w:hAnsi="宋体" w:cs="宋体"/>
          <w:color w:val="auto"/>
          <w:kern w:val="0"/>
          <w:szCs w:val="21"/>
          <w:highlight w:val="none"/>
        </w:rPr>
        <w:br w:type="textWrapping"/>
      </w:r>
      <w:r>
        <w:rPr>
          <w:rFonts w:ascii="宋体" w:hAnsi="宋体" w:cs="宋体"/>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r>
        <w:rPr>
          <w:rFonts w:ascii="宋体" w:hAnsi="宋体" w:cs="宋体"/>
          <w:color w:val="auto"/>
          <w:kern w:val="0"/>
          <w:szCs w:val="21"/>
          <w:highlight w:val="none"/>
        </w:rPr>
        <w:br w:type="textWrapping"/>
      </w:r>
      <w:r>
        <w:rPr>
          <w:rFonts w:ascii="宋体" w:hAnsi="宋体" w:cs="宋体"/>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r>
        <w:rPr>
          <w:rFonts w:ascii="宋体" w:hAnsi="宋体" w:cs="宋体"/>
          <w:color w:val="auto"/>
          <w:kern w:val="0"/>
          <w:szCs w:val="21"/>
          <w:highlight w:val="none"/>
        </w:rPr>
        <w:br w:type="textWrapping"/>
      </w:r>
      <w:r>
        <w:rPr>
          <w:rFonts w:ascii="宋体" w:hAnsi="宋体" w:cs="宋体"/>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r>
        <w:rPr>
          <w:rFonts w:ascii="宋体" w:hAnsi="宋体" w:cs="宋体"/>
          <w:color w:val="auto"/>
          <w:kern w:val="0"/>
          <w:szCs w:val="21"/>
          <w:highlight w:val="none"/>
        </w:rPr>
        <w:br w:type="textWrapping"/>
      </w:r>
      <w:r>
        <w:rPr>
          <w:rFonts w:ascii="宋体" w:hAnsi="宋体" w:cs="宋体"/>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r>
        <w:rPr>
          <w:rFonts w:ascii="宋体" w:hAnsi="宋体" w:cs="宋体"/>
          <w:color w:val="auto"/>
          <w:kern w:val="0"/>
          <w:szCs w:val="21"/>
          <w:highlight w:val="none"/>
        </w:rPr>
        <w:br w:type="textWrapping"/>
      </w:r>
      <w:r>
        <w:rPr>
          <w:rFonts w:ascii="宋体" w:hAnsi="宋体" w:cs="宋体"/>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r>
        <w:rPr>
          <w:rFonts w:ascii="宋体" w:hAnsi="宋体" w:cs="宋体"/>
          <w:color w:val="auto"/>
          <w:kern w:val="0"/>
          <w:szCs w:val="21"/>
          <w:highlight w:val="none"/>
        </w:rPr>
        <w:br w:type="textWrapping"/>
      </w:r>
      <w:r>
        <w:rPr>
          <w:rFonts w:ascii="宋体" w:hAnsi="宋体" w:cs="宋体"/>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r>
        <w:rPr>
          <w:rFonts w:ascii="宋体" w:hAnsi="宋体" w:cs="宋体"/>
          <w:color w:val="auto"/>
          <w:kern w:val="0"/>
          <w:szCs w:val="21"/>
          <w:highlight w:val="none"/>
        </w:rPr>
        <w:br w:type="textWrapping"/>
      </w:r>
      <w:r>
        <w:rPr>
          <w:rFonts w:ascii="宋体" w:hAnsi="宋体" w:cs="宋体"/>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Fonts w:ascii="宋体" w:hAnsi="宋体" w:cs="宋体"/>
          <w:color w:val="auto"/>
          <w:kern w:val="0"/>
          <w:szCs w:val="21"/>
          <w:highlight w:val="none"/>
        </w:rPr>
        <w:br w:type="textWrapping"/>
      </w:r>
      <w:r>
        <w:rPr>
          <w:rFonts w:ascii="宋体" w:hAnsi="宋体" w:cs="宋体"/>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r>
        <w:rPr>
          <w:rFonts w:ascii="宋体" w:hAnsi="宋体" w:cs="宋体"/>
          <w:color w:val="auto"/>
          <w:kern w:val="0"/>
          <w:szCs w:val="21"/>
          <w:highlight w:val="none"/>
        </w:rPr>
        <w:br w:type="textWrapping"/>
      </w:r>
      <w:r>
        <w:rPr>
          <w:rFonts w:ascii="宋体" w:hAnsi="宋体" w:cs="宋体"/>
          <w:color w:val="auto"/>
          <w:kern w:val="0"/>
          <w:szCs w:val="21"/>
          <w:highlight w:val="none"/>
        </w:rPr>
        <w:t>  七、 标准值的评估和调整。金融业企业划型标准工作组毎五年对划型标准值受经济发展与通货膨胀等因素的响程度进行评估和调整。</w:t>
      </w:r>
      <w:r>
        <w:rPr>
          <w:rFonts w:ascii="宋体" w:hAnsi="宋体" w:cs="宋体"/>
          <w:color w:val="auto"/>
          <w:kern w:val="0"/>
          <w:szCs w:val="21"/>
          <w:highlight w:val="none"/>
        </w:rPr>
        <w:br w:type="textWrapping"/>
      </w:r>
      <w:r>
        <w:rPr>
          <w:rFonts w:ascii="宋体" w:hAnsi="宋体" w:cs="宋体"/>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r>
        <w:rPr>
          <w:rFonts w:ascii="宋体" w:hAnsi="宋体" w:cs="宋体"/>
          <w:color w:val="auto"/>
          <w:kern w:val="0"/>
          <w:szCs w:val="21"/>
          <w:highlight w:val="none"/>
        </w:rPr>
        <w:br w:type="textWrapping"/>
      </w:r>
      <w:r>
        <w:rPr>
          <w:rFonts w:ascii="宋体" w:hAnsi="宋体" w:cs="宋体"/>
          <w:color w:val="auto"/>
          <w:kern w:val="0"/>
          <w:szCs w:val="21"/>
          <w:highlight w:val="none"/>
        </w:rPr>
        <w:t>  九、 融资担保公司参照本规定中“除贷款公司、小额贷款公司、典当行以外的其他金融机构”标准划型。</w:t>
      </w:r>
      <w:r>
        <w:rPr>
          <w:rFonts w:ascii="宋体" w:hAnsi="宋体" w:cs="宋体"/>
          <w:color w:val="auto"/>
          <w:kern w:val="0"/>
          <w:szCs w:val="21"/>
          <w:highlight w:val="none"/>
        </w:rPr>
        <w:br w:type="textWrapping"/>
      </w:r>
      <w:r>
        <w:rPr>
          <w:rFonts w:ascii="宋体" w:hAnsi="宋体" w:cs="宋体"/>
          <w:color w:val="auto"/>
          <w:kern w:val="0"/>
          <w:szCs w:val="21"/>
          <w:highlight w:val="none"/>
        </w:rPr>
        <w:t>  十、本规定由人民银行会同银监会，证监会、保监会和统计局负责解释。</w:t>
      </w:r>
      <w:r>
        <w:rPr>
          <w:rFonts w:ascii="宋体" w:hAnsi="宋体" w:cs="宋体"/>
          <w:color w:val="auto"/>
          <w:kern w:val="0"/>
          <w:szCs w:val="21"/>
          <w:highlight w:val="none"/>
        </w:rPr>
        <w:br w:type="textWrapping"/>
      </w:r>
      <w:r>
        <w:rPr>
          <w:rFonts w:ascii="宋体" w:hAnsi="宋体" w:cs="宋体"/>
          <w:color w:val="auto"/>
          <w:kern w:val="0"/>
          <w:szCs w:val="21"/>
          <w:highlight w:val="none"/>
        </w:rPr>
        <w:t>  十一、本规定自发布之日起实施。</w:t>
      </w:r>
    </w:p>
    <w:p>
      <w:pPr>
        <w:widowControl/>
        <w:shd w:val="clear" w:color="auto" w:fill="FFFFFF"/>
        <w:spacing w:before="150" w:line="420" w:lineRule="atLeast"/>
        <w:jc w:val="left"/>
        <w:textAlignment w:val="baseline"/>
        <w:rPr>
          <w:rFonts w:ascii="宋体" w:hAnsi="宋体" w:cs="宋体"/>
          <w:color w:val="auto"/>
          <w:kern w:val="0"/>
          <w:szCs w:val="21"/>
          <w:highlight w:val="none"/>
        </w:rPr>
      </w:pPr>
      <w:r>
        <w:rPr>
          <w:rFonts w:ascii="宋体" w:hAnsi="宋体" w:cs="宋体"/>
          <w:color w:val="auto"/>
          <w:kern w:val="0"/>
          <w:szCs w:val="21"/>
          <w:highlight w:val="none"/>
        </w:rPr>
        <w:t>附：金融业企业划型标准</w:t>
      </w:r>
    </w:p>
    <w:p>
      <w:pPr>
        <w:widowControl/>
        <w:shd w:val="clear" w:color="auto" w:fill="FFFFFF"/>
        <w:spacing w:before="150" w:line="600" w:lineRule="atLeast"/>
        <w:jc w:val="center"/>
        <w:textAlignment w:val="baseline"/>
        <w:rPr>
          <w:rFonts w:ascii="宋体" w:hAnsi="宋体" w:cs="宋体"/>
          <w:b/>
          <w:bCs/>
          <w:color w:val="auto"/>
          <w:kern w:val="0"/>
          <w:sz w:val="36"/>
          <w:szCs w:val="36"/>
          <w:highlight w:val="none"/>
        </w:rPr>
      </w:pPr>
      <w:r>
        <w:rPr>
          <w:rFonts w:ascii="宋体" w:hAnsi="宋体" w:cs="宋体"/>
          <w:b/>
          <w:bCs/>
          <w:color w:val="auto"/>
          <w:kern w:val="0"/>
          <w:sz w:val="36"/>
          <w:szCs w:val="36"/>
          <w:highlight w:val="none"/>
        </w:rPr>
        <w:t>金融业企业划型标准</w:t>
      </w:r>
    </w:p>
    <w:tbl>
      <w:tblPr>
        <w:tblStyle w:val="46"/>
        <w:tblW w:w="85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735"/>
        <w:gridCol w:w="1025"/>
        <w:gridCol w:w="2624"/>
        <w:gridCol w:w="818"/>
        <w:gridCol w:w="3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行业</w:t>
            </w:r>
          </w:p>
        </w:tc>
        <w:tc>
          <w:tcPr>
            <w:tcW w:w="2624" w:type="dxa"/>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类别</w:t>
            </w:r>
          </w:p>
        </w:tc>
        <w:tc>
          <w:tcPr>
            <w:tcW w:w="818" w:type="dxa"/>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类型</w:t>
            </w:r>
          </w:p>
        </w:tc>
        <w:tc>
          <w:tcPr>
            <w:tcW w:w="3326" w:type="dxa"/>
            <w:tcMar>
              <w:top w:w="75" w:type="dxa"/>
              <w:left w:w="75" w:type="dxa"/>
              <w:bottom w:w="75" w:type="dxa"/>
              <w:right w:w="75" w:type="dxa"/>
            </w:tcMar>
            <w:vAlign w:val="bottom"/>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资产总额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货币金融服务</w:t>
            </w:r>
          </w:p>
        </w:tc>
        <w:tc>
          <w:tcPr>
            <w:tcW w:w="1025"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货币银行服务</w:t>
            </w:r>
          </w:p>
        </w:tc>
        <w:tc>
          <w:tcPr>
            <w:tcW w:w="2624"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银行业存款类金融机构</w:t>
            </w: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中型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小型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微型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非货币银行服务</w:t>
            </w:r>
          </w:p>
        </w:tc>
        <w:tc>
          <w:tcPr>
            <w:tcW w:w="2624"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银行业非存款类金融机构</w:t>
            </w: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中型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小型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微型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贷款公司、小额贷款公司及典当行</w:t>
            </w: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中型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小型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微型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资本市场服务</w:t>
            </w:r>
          </w:p>
        </w:tc>
        <w:tc>
          <w:tcPr>
            <w:tcW w:w="2624"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证券业金融机构</w:t>
            </w: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中型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小型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10亿元（含）至100亿元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微型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10亿元以下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保险业</w:t>
            </w:r>
          </w:p>
        </w:tc>
        <w:tc>
          <w:tcPr>
            <w:tcW w:w="2624"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保险业金融机构</w:t>
            </w: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中型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400亿元（含）至5000亿元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小型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微型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其他金融业</w:t>
            </w:r>
          </w:p>
        </w:tc>
        <w:tc>
          <w:tcPr>
            <w:tcW w:w="1025"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金融信托与管理服务</w:t>
            </w:r>
          </w:p>
        </w:tc>
        <w:tc>
          <w:tcPr>
            <w:tcW w:w="2624"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信托公司</w:t>
            </w: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中型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400亿元（含）至1000亿元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小型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微型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控股公司服务</w:t>
            </w:r>
          </w:p>
        </w:tc>
        <w:tc>
          <w:tcPr>
            <w:tcW w:w="2624"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金融控股公司</w:t>
            </w: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中型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小型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微型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其他未包括的金融业</w:t>
            </w:r>
          </w:p>
        </w:tc>
        <w:tc>
          <w:tcPr>
            <w:tcW w:w="2624" w:type="dxa"/>
            <w:vMerge w:val="restart"/>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除贷款公司、小额贷款公司及典当行以外的其他金融机构</w:t>
            </w: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中型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小型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宋体" w:hAnsi="宋体" w:cs="宋体"/>
                <w:color w:val="auto"/>
                <w:kern w:val="0"/>
                <w:szCs w:val="21"/>
                <w:highlight w:val="none"/>
              </w:rPr>
            </w:pPr>
          </w:p>
        </w:tc>
        <w:tc>
          <w:tcPr>
            <w:tcW w:w="1025" w:type="dxa"/>
            <w:vMerge w:val="continue"/>
            <w:vAlign w:val="center"/>
          </w:tcPr>
          <w:p>
            <w:pPr>
              <w:widowControl/>
              <w:jc w:val="left"/>
              <w:rPr>
                <w:rFonts w:ascii="宋体" w:hAnsi="宋体" w:cs="宋体"/>
                <w:color w:val="auto"/>
                <w:kern w:val="0"/>
                <w:szCs w:val="21"/>
                <w:highlight w:val="none"/>
              </w:rPr>
            </w:pPr>
          </w:p>
        </w:tc>
        <w:tc>
          <w:tcPr>
            <w:tcW w:w="2624" w:type="dxa"/>
            <w:vMerge w:val="continue"/>
            <w:vAlign w:val="center"/>
          </w:tcPr>
          <w:p>
            <w:pPr>
              <w:widowControl/>
              <w:jc w:val="left"/>
              <w:rPr>
                <w:rFonts w:ascii="宋体" w:hAnsi="宋体" w:cs="宋体"/>
                <w:color w:val="auto"/>
                <w:kern w:val="0"/>
                <w:szCs w:val="21"/>
                <w:highlight w:val="none"/>
              </w:rPr>
            </w:pPr>
          </w:p>
        </w:tc>
        <w:tc>
          <w:tcPr>
            <w:tcW w:w="818"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微型</w:t>
            </w:r>
          </w:p>
        </w:tc>
        <w:tc>
          <w:tcPr>
            <w:tcW w:w="3326" w:type="dxa"/>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50亿元以下</w:t>
            </w:r>
          </w:p>
        </w:tc>
      </w:tr>
    </w:tbl>
    <w:p>
      <w:pPr>
        <w:rPr>
          <w:rFonts w:ascii="仿宋_GB2312" w:hAnsi="仿宋_GB2312" w:eastAsia="仿宋_GB2312" w:cs="仿宋_GB2312"/>
          <w:color w:val="auto"/>
          <w:sz w:val="24"/>
          <w:highlight w:val="none"/>
        </w:rPr>
      </w:pPr>
    </w:p>
    <w:p>
      <w:pPr>
        <w:pStyle w:val="2"/>
        <w:ind w:firstLine="210"/>
        <w:rPr>
          <w:color w:val="auto"/>
          <w:highlight w:val="none"/>
          <w:lang w:val="zh-CN"/>
        </w:rPr>
      </w:pPr>
    </w:p>
    <w:p>
      <w:pPr>
        <w:pStyle w:val="2"/>
        <w:ind w:firstLine="210"/>
        <w:rPr>
          <w:color w:val="auto"/>
          <w:highlight w:val="none"/>
          <w:lang w:val="zh-CN"/>
        </w:rPr>
      </w:pPr>
    </w:p>
    <w:sectPr>
      <w:headerReference r:id="rId14" w:type="first"/>
      <w:headerReference r:id="rId13" w:type="default"/>
      <w:pgSz w:w="11906" w:h="16838"/>
      <w:pgMar w:top="1361" w:right="1361" w:bottom="1361" w:left="1361" w:header="765" w:footer="82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CS?o｡ﾀ?">
    <w:altName w:val="Meiryo UI"/>
    <w:panose1 w:val="020B0604020202020204"/>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B0604020202020204"/>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1"/>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rFonts w:hint="eastAsia"/>
      </w:rPr>
      <w:t>早期人防工程设备设施维护项目                                                  招标编号:</w:t>
    </w:r>
    <w:r>
      <w:rPr>
        <w:rFonts w:hint="eastAsia"/>
        <w:color w:val="FF0000"/>
      </w:rPr>
      <w:t>ZJXSC-2023-031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distribute"/>
      <w:rPr>
        <w:color w:val="auto"/>
      </w:rPr>
    </w:pPr>
    <w:r>
      <w:rPr>
        <w:rFonts w:hint="eastAsia"/>
      </w:rPr>
      <w:t>早期人防工程设备设施维护项目                                        招标编</w:t>
    </w:r>
    <w:r>
      <w:rPr>
        <w:rFonts w:hint="eastAsia"/>
        <w:color w:val="auto"/>
      </w:rPr>
      <w:t>号:ZJXSC-2023-031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distribute"/>
    </w:pPr>
    <w:r>
      <w:rPr>
        <w:rFonts w:hint="eastAsia"/>
      </w:rPr>
      <w:t>早期人防工程设备设施维护项目                                       招标编号:</w:t>
    </w:r>
    <w:r>
      <w:rPr>
        <w:rFonts w:hint="eastAsia"/>
        <w:color w:val="FF0000"/>
      </w:rPr>
      <w:t>ZJXSC-2023-031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rFonts w:hint="eastAsia"/>
      </w:rPr>
      <w:t>早期人防工程设备设施维护项目                                                  招标编号:</w:t>
    </w:r>
    <w:r>
      <w:rPr>
        <w:rFonts w:hint="eastAsia"/>
        <w:color w:val="FF0000"/>
      </w:rPr>
      <w:t>ZJXSC-2023-031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rFonts w:hint="eastAsia"/>
      </w:rPr>
      <w:t>早期人防工程设备设施维护项目                                                  招标编号:</w:t>
    </w:r>
    <w:r>
      <w:rPr>
        <w:rFonts w:hint="eastAsia"/>
        <w:color w:val="FF0000"/>
      </w:rPr>
      <w:t>ZJXSC-2023-031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733D0"/>
    <w:multiLevelType w:val="singleLevel"/>
    <w:tmpl w:val="9AA733D0"/>
    <w:lvl w:ilvl="0" w:tentative="0">
      <w:start w:val="2"/>
      <w:numFmt w:val="decimal"/>
      <w:suff w:val="nothing"/>
      <w:lvlText w:val="%1、"/>
      <w:lvlJc w:val="left"/>
    </w:lvl>
  </w:abstractNum>
  <w:abstractNum w:abstractNumId="1">
    <w:nsid w:val="FFFFFF7E"/>
    <w:multiLevelType w:val="singleLevel"/>
    <w:tmpl w:val="FFFFFF7E"/>
    <w:lvl w:ilvl="0" w:tentative="0">
      <w:start w:val="1"/>
      <w:numFmt w:val="decimal"/>
      <w:pStyle w:val="8"/>
      <w:lvlText w:val="%1."/>
      <w:lvlJc w:val="left"/>
      <w:pPr>
        <w:tabs>
          <w:tab w:val="left" w:pos="1200"/>
        </w:tabs>
        <w:ind w:left="1200" w:leftChars="400" w:hanging="360" w:hangingChars="200"/>
      </w:pPr>
    </w:lvl>
  </w:abstractNum>
  <w:abstractNum w:abstractNumId="2">
    <w:nsid w:val="FFFFFF88"/>
    <w:multiLevelType w:val="singleLevel"/>
    <w:tmpl w:val="FFFFFF88"/>
    <w:lvl w:ilvl="0" w:tentative="0">
      <w:start w:val="1"/>
      <w:numFmt w:val="decimal"/>
      <w:pStyle w:val="6"/>
      <w:lvlText w:val="%1."/>
      <w:lvlJc w:val="left"/>
      <w:pPr>
        <w:tabs>
          <w:tab w:val="left" w:pos="360"/>
        </w:tabs>
        <w:ind w:left="360" w:hanging="360" w:hangingChars="200"/>
      </w:pPr>
    </w:lvl>
  </w:abstractNum>
  <w:abstractNum w:abstractNumId="3">
    <w:nsid w:val="28083FC5"/>
    <w:multiLevelType w:val="singleLevel"/>
    <w:tmpl w:val="28083FC5"/>
    <w:lvl w:ilvl="0" w:tentative="0">
      <w:start w:val="1"/>
      <w:numFmt w:val="chineseCounting"/>
      <w:suff w:val="space"/>
      <w:lvlText w:val="第%1部分"/>
      <w:lvlJc w:val="left"/>
      <w:rPr>
        <w:rFonts w:hint="eastAsia"/>
      </w:rPr>
    </w:lvl>
  </w:abstractNum>
  <w:abstractNum w:abstractNumId="4">
    <w:nsid w:val="5CB017FC"/>
    <w:multiLevelType w:val="multilevel"/>
    <w:tmpl w:val="5CB017FC"/>
    <w:lvl w:ilvl="0" w:tentative="0">
      <w:start w:val="1"/>
      <w:numFmt w:val="decimal"/>
      <w:pStyle w:val="5"/>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9"/>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A383B68"/>
    <w:multiLevelType w:val="singleLevel"/>
    <w:tmpl w:val="6A383B68"/>
    <w:lvl w:ilvl="0" w:tentative="0">
      <w:start w:val="1"/>
      <w:numFmt w:val="upperLetter"/>
      <w:pStyle w:val="10"/>
      <w:lvlText w:val="%1、"/>
      <w:lvlJc w:val="left"/>
      <w:pPr>
        <w:tabs>
          <w:tab w:val="left" w:pos="405"/>
        </w:tabs>
        <w:ind w:left="405" w:hanging="405"/>
      </w:pPr>
    </w:lvl>
  </w:abstractNum>
  <w:abstractNum w:abstractNumId="6">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YmI1NDE5MjJjNWRhNGY3MGNiODhmMTE2ZjFmMTAifQ=="/>
  </w:docVars>
  <w:rsids>
    <w:rsidRoot w:val="00417C8A"/>
    <w:rsid w:val="00004109"/>
    <w:rsid w:val="00005125"/>
    <w:rsid w:val="00010C9A"/>
    <w:rsid w:val="00010FC1"/>
    <w:rsid w:val="0001278F"/>
    <w:rsid w:val="00016AE9"/>
    <w:rsid w:val="0002045E"/>
    <w:rsid w:val="00020CB3"/>
    <w:rsid w:val="00021D87"/>
    <w:rsid w:val="0002203D"/>
    <w:rsid w:val="0002468D"/>
    <w:rsid w:val="00025767"/>
    <w:rsid w:val="00025A9F"/>
    <w:rsid w:val="00026762"/>
    <w:rsid w:val="00031F75"/>
    <w:rsid w:val="0003209E"/>
    <w:rsid w:val="000329A7"/>
    <w:rsid w:val="00033D7B"/>
    <w:rsid w:val="000402F5"/>
    <w:rsid w:val="00040A03"/>
    <w:rsid w:val="00047118"/>
    <w:rsid w:val="0005172F"/>
    <w:rsid w:val="000517D0"/>
    <w:rsid w:val="00051C47"/>
    <w:rsid w:val="000535F4"/>
    <w:rsid w:val="00056199"/>
    <w:rsid w:val="0005700A"/>
    <w:rsid w:val="0006049D"/>
    <w:rsid w:val="0006344A"/>
    <w:rsid w:val="000643A5"/>
    <w:rsid w:val="00065197"/>
    <w:rsid w:val="000657C6"/>
    <w:rsid w:val="00065EFB"/>
    <w:rsid w:val="00067FB2"/>
    <w:rsid w:val="00074373"/>
    <w:rsid w:val="00080BF2"/>
    <w:rsid w:val="000812D0"/>
    <w:rsid w:val="00082DC1"/>
    <w:rsid w:val="00083E93"/>
    <w:rsid w:val="00083EB1"/>
    <w:rsid w:val="000852D6"/>
    <w:rsid w:val="00087605"/>
    <w:rsid w:val="000933A2"/>
    <w:rsid w:val="000936E3"/>
    <w:rsid w:val="0009629C"/>
    <w:rsid w:val="00097421"/>
    <w:rsid w:val="00097868"/>
    <w:rsid w:val="000A3FC5"/>
    <w:rsid w:val="000A5AC0"/>
    <w:rsid w:val="000A7834"/>
    <w:rsid w:val="000B0284"/>
    <w:rsid w:val="000B1744"/>
    <w:rsid w:val="000B1D0B"/>
    <w:rsid w:val="000B2A94"/>
    <w:rsid w:val="000B625B"/>
    <w:rsid w:val="000C13E3"/>
    <w:rsid w:val="000C14CF"/>
    <w:rsid w:val="000C1F3C"/>
    <w:rsid w:val="000C3344"/>
    <w:rsid w:val="000D0E6C"/>
    <w:rsid w:val="000D110F"/>
    <w:rsid w:val="000D1267"/>
    <w:rsid w:val="000D1D59"/>
    <w:rsid w:val="000D4D0E"/>
    <w:rsid w:val="000D726E"/>
    <w:rsid w:val="000E1C88"/>
    <w:rsid w:val="000E4A4F"/>
    <w:rsid w:val="000E5C9B"/>
    <w:rsid w:val="000E6F8C"/>
    <w:rsid w:val="000E72A0"/>
    <w:rsid w:val="000F420E"/>
    <w:rsid w:val="000F7FA8"/>
    <w:rsid w:val="001023D9"/>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3AF9"/>
    <w:rsid w:val="001345B3"/>
    <w:rsid w:val="0013527E"/>
    <w:rsid w:val="00137525"/>
    <w:rsid w:val="001422AB"/>
    <w:rsid w:val="0014242C"/>
    <w:rsid w:val="0014343E"/>
    <w:rsid w:val="0014545F"/>
    <w:rsid w:val="00145D25"/>
    <w:rsid w:val="00150A0D"/>
    <w:rsid w:val="00154591"/>
    <w:rsid w:val="00154E3A"/>
    <w:rsid w:val="00155F21"/>
    <w:rsid w:val="00156633"/>
    <w:rsid w:val="00157269"/>
    <w:rsid w:val="0015771E"/>
    <w:rsid w:val="00157914"/>
    <w:rsid w:val="00157FB7"/>
    <w:rsid w:val="00161F66"/>
    <w:rsid w:val="00162DD9"/>
    <w:rsid w:val="001637A2"/>
    <w:rsid w:val="00163B9C"/>
    <w:rsid w:val="00165068"/>
    <w:rsid w:val="001657B2"/>
    <w:rsid w:val="00171701"/>
    <w:rsid w:val="0017455C"/>
    <w:rsid w:val="00174F52"/>
    <w:rsid w:val="001751A8"/>
    <w:rsid w:val="0018130F"/>
    <w:rsid w:val="00181544"/>
    <w:rsid w:val="0018376B"/>
    <w:rsid w:val="001841D9"/>
    <w:rsid w:val="00184C15"/>
    <w:rsid w:val="0019064E"/>
    <w:rsid w:val="00190DB7"/>
    <w:rsid w:val="00191263"/>
    <w:rsid w:val="00191BE8"/>
    <w:rsid w:val="00191EE1"/>
    <w:rsid w:val="00192BEA"/>
    <w:rsid w:val="00193494"/>
    <w:rsid w:val="00194583"/>
    <w:rsid w:val="001A0C24"/>
    <w:rsid w:val="001A15C0"/>
    <w:rsid w:val="001A4A9D"/>
    <w:rsid w:val="001A5D33"/>
    <w:rsid w:val="001A6712"/>
    <w:rsid w:val="001B2770"/>
    <w:rsid w:val="001B485F"/>
    <w:rsid w:val="001B4C51"/>
    <w:rsid w:val="001B589D"/>
    <w:rsid w:val="001B70E5"/>
    <w:rsid w:val="001C0216"/>
    <w:rsid w:val="001C07C7"/>
    <w:rsid w:val="001C1138"/>
    <w:rsid w:val="001C57F3"/>
    <w:rsid w:val="001C6042"/>
    <w:rsid w:val="001D24BB"/>
    <w:rsid w:val="001D3CEA"/>
    <w:rsid w:val="001D6ED7"/>
    <w:rsid w:val="001D76A1"/>
    <w:rsid w:val="001E127B"/>
    <w:rsid w:val="001E3B20"/>
    <w:rsid w:val="001E4A9F"/>
    <w:rsid w:val="001E4FC8"/>
    <w:rsid w:val="001F0255"/>
    <w:rsid w:val="001F14C4"/>
    <w:rsid w:val="001F2767"/>
    <w:rsid w:val="001F429B"/>
    <w:rsid w:val="001F43C6"/>
    <w:rsid w:val="001F4C63"/>
    <w:rsid w:val="001F661E"/>
    <w:rsid w:val="001F7E31"/>
    <w:rsid w:val="00201062"/>
    <w:rsid w:val="0020236F"/>
    <w:rsid w:val="00203FB8"/>
    <w:rsid w:val="00204DA6"/>
    <w:rsid w:val="0020567D"/>
    <w:rsid w:val="002056F9"/>
    <w:rsid w:val="002062F2"/>
    <w:rsid w:val="0020786F"/>
    <w:rsid w:val="002102AD"/>
    <w:rsid w:val="00210450"/>
    <w:rsid w:val="002105F0"/>
    <w:rsid w:val="00214C2B"/>
    <w:rsid w:val="00217119"/>
    <w:rsid w:val="00223848"/>
    <w:rsid w:val="00223A5B"/>
    <w:rsid w:val="002261D7"/>
    <w:rsid w:val="0022698F"/>
    <w:rsid w:val="00231CB7"/>
    <w:rsid w:val="00233356"/>
    <w:rsid w:val="00235AC1"/>
    <w:rsid w:val="0023638E"/>
    <w:rsid w:val="00240411"/>
    <w:rsid w:val="002442F3"/>
    <w:rsid w:val="00244766"/>
    <w:rsid w:val="00247A3B"/>
    <w:rsid w:val="00247AB8"/>
    <w:rsid w:val="00251888"/>
    <w:rsid w:val="0025660E"/>
    <w:rsid w:val="0025749B"/>
    <w:rsid w:val="00260A0D"/>
    <w:rsid w:val="00262E82"/>
    <w:rsid w:val="00264FFB"/>
    <w:rsid w:val="00266447"/>
    <w:rsid w:val="00267D7C"/>
    <w:rsid w:val="00270E20"/>
    <w:rsid w:val="00271324"/>
    <w:rsid w:val="00274B01"/>
    <w:rsid w:val="00275C53"/>
    <w:rsid w:val="00275D1E"/>
    <w:rsid w:val="00283EAF"/>
    <w:rsid w:val="002860D2"/>
    <w:rsid w:val="00286495"/>
    <w:rsid w:val="00287DE3"/>
    <w:rsid w:val="00291839"/>
    <w:rsid w:val="002945E5"/>
    <w:rsid w:val="00295DD9"/>
    <w:rsid w:val="002A0921"/>
    <w:rsid w:val="002A13E9"/>
    <w:rsid w:val="002A168D"/>
    <w:rsid w:val="002A22BB"/>
    <w:rsid w:val="002A2667"/>
    <w:rsid w:val="002A3119"/>
    <w:rsid w:val="002A4A75"/>
    <w:rsid w:val="002A57FB"/>
    <w:rsid w:val="002A6053"/>
    <w:rsid w:val="002A683A"/>
    <w:rsid w:val="002A7EFA"/>
    <w:rsid w:val="002B186A"/>
    <w:rsid w:val="002B1BA5"/>
    <w:rsid w:val="002B3711"/>
    <w:rsid w:val="002B4A4B"/>
    <w:rsid w:val="002B6B66"/>
    <w:rsid w:val="002C0C85"/>
    <w:rsid w:val="002C2C53"/>
    <w:rsid w:val="002D6849"/>
    <w:rsid w:val="002D6DC6"/>
    <w:rsid w:val="002D7C56"/>
    <w:rsid w:val="002E34F4"/>
    <w:rsid w:val="002E35C4"/>
    <w:rsid w:val="002E4DCA"/>
    <w:rsid w:val="002E7ADA"/>
    <w:rsid w:val="002F2363"/>
    <w:rsid w:val="002F34ED"/>
    <w:rsid w:val="002F3755"/>
    <w:rsid w:val="002F3F13"/>
    <w:rsid w:val="002F40C5"/>
    <w:rsid w:val="002F4354"/>
    <w:rsid w:val="002F439D"/>
    <w:rsid w:val="002F5A63"/>
    <w:rsid w:val="002F7932"/>
    <w:rsid w:val="003006C3"/>
    <w:rsid w:val="00302514"/>
    <w:rsid w:val="00302625"/>
    <w:rsid w:val="003062CE"/>
    <w:rsid w:val="00307917"/>
    <w:rsid w:val="00310479"/>
    <w:rsid w:val="0031167A"/>
    <w:rsid w:val="00316329"/>
    <w:rsid w:val="003214B7"/>
    <w:rsid w:val="00322583"/>
    <w:rsid w:val="00323B52"/>
    <w:rsid w:val="00323E60"/>
    <w:rsid w:val="00324567"/>
    <w:rsid w:val="003250A1"/>
    <w:rsid w:val="00327499"/>
    <w:rsid w:val="0032789C"/>
    <w:rsid w:val="003302F0"/>
    <w:rsid w:val="00332DA4"/>
    <w:rsid w:val="00334D83"/>
    <w:rsid w:val="003371DD"/>
    <w:rsid w:val="0033727B"/>
    <w:rsid w:val="0034305B"/>
    <w:rsid w:val="003465A7"/>
    <w:rsid w:val="00347CAD"/>
    <w:rsid w:val="00351EEF"/>
    <w:rsid w:val="00352A40"/>
    <w:rsid w:val="00353FFE"/>
    <w:rsid w:val="003618CE"/>
    <w:rsid w:val="00365766"/>
    <w:rsid w:val="00365F56"/>
    <w:rsid w:val="003670EB"/>
    <w:rsid w:val="00367EAB"/>
    <w:rsid w:val="0037368A"/>
    <w:rsid w:val="00375107"/>
    <w:rsid w:val="0037517D"/>
    <w:rsid w:val="00380756"/>
    <w:rsid w:val="003822F9"/>
    <w:rsid w:val="00384E3C"/>
    <w:rsid w:val="00385323"/>
    <w:rsid w:val="0039130B"/>
    <w:rsid w:val="00391E7C"/>
    <w:rsid w:val="00393589"/>
    <w:rsid w:val="00393A4C"/>
    <w:rsid w:val="003949AE"/>
    <w:rsid w:val="0039707F"/>
    <w:rsid w:val="003A137B"/>
    <w:rsid w:val="003A19D2"/>
    <w:rsid w:val="003A2665"/>
    <w:rsid w:val="003A546B"/>
    <w:rsid w:val="003A74F5"/>
    <w:rsid w:val="003B1CEB"/>
    <w:rsid w:val="003B24CA"/>
    <w:rsid w:val="003B2B02"/>
    <w:rsid w:val="003B774D"/>
    <w:rsid w:val="003B7907"/>
    <w:rsid w:val="003C46C5"/>
    <w:rsid w:val="003C4B74"/>
    <w:rsid w:val="003C527A"/>
    <w:rsid w:val="003C637D"/>
    <w:rsid w:val="003C7F20"/>
    <w:rsid w:val="003D10C3"/>
    <w:rsid w:val="003D1A22"/>
    <w:rsid w:val="003D7052"/>
    <w:rsid w:val="003E074D"/>
    <w:rsid w:val="003E0777"/>
    <w:rsid w:val="003E4007"/>
    <w:rsid w:val="003E6C02"/>
    <w:rsid w:val="003F4084"/>
    <w:rsid w:val="003F77E0"/>
    <w:rsid w:val="003F78EE"/>
    <w:rsid w:val="00400057"/>
    <w:rsid w:val="004014D1"/>
    <w:rsid w:val="0040309C"/>
    <w:rsid w:val="00407D88"/>
    <w:rsid w:val="004109FD"/>
    <w:rsid w:val="0041394C"/>
    <w:rsid w:val="00417C8A"/>
    <w:rsid w:val="0042557D"/>
    <w:rsid w:val="00426003"/>
    <w:rsid w:val="0043366B"/>
    <w:rsid w:val="004350B7"/>
    <w:rsid w:val="00437465"/>
    <w:rsid w:val="0043766D"/>
    <w:rsid w:val="00441896"/>
    <w:rsid w:val="004424D3"/>
    <w:rsid w:val="00442935"/>
    <w:rsid w:val="0044422F"/>
    <w:rsid w:val="00445C1C"/>
    <w:rsid w:val="00447789"/>
    <w:rsid w:val="00454B9A"/>
    <w:rsid w:val="00454F6C"/>
    <w:rsid w:val="00457231"/>
    <w:rsid w:val="004600A6"/>
    <w:rsid w:val="00460793"/>
    <w:rsid w:val="00461637"/>
    <w:rsid w:val="00463E5C"/>
    <w:rsid w:val="00464359"/>
    <w:rsid w:val="00464E8D"/>
    <w:rsid w:val="00465ACF"/>
    <w:rsid w:val="00465D0D"/>
    <w:rsid w:val="00467CFF"/>
    <w:rsid w:val="00471407"/>
    <w:rsid w:val="00471DA5"/>
    <w:rsid w:val="004729F2"/>
    <w:rsid w:val="00472E4E"/>
    <w:rsid w:val="004738C2"/>
    <w:rsid w:val="0047483C"/>
    <w:rsid w:val="00476C0B"/>
    <w:rsid w:val="00477EFE"/>
    <w:rsid w:val="00485E04"/>
    <w:rsid w:val="00486B01"/>
    <w:rsid w:val="00487465"/>
    <w:rsid w:val="004939A7"/>
    <w:rsid w:val="00497699"/>
    <w:rsid w:val="00497DB2"/>
    <w:rsid w:val="004A0174"/>
    <w:rsid w:val="004A236E"/>
    <w:rsid w:val="004A3418"/>
    <w:rsid w:val="004A403F"/>
    <w:rsid w:val="004A51BA"/>
    <w:rsid w:val="004A5DF1"/>
    <w:rsid w:val="004A6677"/>
    <w:rsid w:val="004A7A78"/>
    <w:rsid w:val="004B3B15"/>
    <w:rsid w:val="004B5136"/>
    <w:rsid w:val="004B5B9E"/>
    <w:rsid w:val="004C0238"/>
    <w:rsid w:val="004C0EE6"/>
    <w:rsid w:val="004C3EFB"/>
    <w:rsid w:val="004C40D8"/>
    <w:rsid w:val="004C5147"/>
    <w:rsid w:val="004C5237"/>
    <w:rsid w:val="004C6D62"/>
    <w:rsid w:val="004D0304"/>
    <w:rsid w:val="004D0EA8"/>
    <w:rsid w:val="004D2D24"/>
    <w:rsid w:val="004D314A"/>
    <w:rsid w:val="004D4938"/>
    <w:rsid w:val="004D5FE6"/>
    <w:rsid w:val="004E05D9"/>
    <w:rsid w:val="004E1AB8"/>
    <w:rsid w:val="004E2D4B"/>
    <w:rsid w:val="004E4899"/>
    <w:rsid w:val="004E7CD7"/>
    <w:rsid w:val="004F3734"/>
    <w:rsid w:val="004F69CA"/>
    <w:rsid w:val="004F7507"/>
    <w:rsid w:val="004F7995"/>
    <w:rsid w:val="00503D74"/>
    <w:rsid w:val="005041C0"/>
    <w:rsid w:val="0050629F"/>
    <w:rsid w:val="00513DE6"/>
    <w:rsid w:val="005144B2"/>
    <w:rsid w:val="00517733"/>
    <w:rsid w:val="005230CA"/>
    <w:rsid w:val="00524FD6"/>
    <w:rsid w:val="00527E1C"/>
    <w:rsid w:val="00532937"/>
    <w:rsid w:val="005351C1"/>
    <w:rsid w:val="00536FBF"/>
    <w:rsid w:val="0054018C"/>
    <w:rsid w:val="005417D7"/>
    <w:rsid w:val="00544130"/>
    <w:rsid w:val="005459FE"/>
    <w:rsid w:val="00545F40"/>
    <w:rsid w:val="00553FE7"/>
    <w:rsid w:val="0055544C"/>
    <w:rsid w:val="00555780"/>
    <w:rsid w:val="0056065C"/>
    <w:rsid w:val="00566FBC"/>
    <w:rsid w:val="0057066B"/>
    <w:rsid w:val="00572BAD"/>
    <w:rsid w:val="00573677"/>
    <w:rsid w:val="005738F4"/>
    <w:rsid w:val="00573BCB"/>
    <w:rsid w:val="00576529"/>
    <w:rsid w:val="00576EFE"/>
    <w:rsid w:val="005770CA"/>
    <w:rsid w:val="00585ED0"/>
    <w:rsid w:val="00586C3A"/>
    <w:rsid w:val="005879E7"/>
    <w:rsid w:val="00591190"/>
    <w:rsid w:val="00591584"/>
    <w:rsid w:val="00594CDD"/>
    <w:rsid w:val="00595427"/>
    <w:rsid w:val="005A32FB"/>
    <w:rsid w:val="005A3E6E"/>
    <w:rsid w:val="005A4EBA"/>
    <w:rsid w:val="005A7A4A"/>
    <w:rsid w:val="005B180C"/>
    <w:rsid w:val="005B5BFA"/>
    <w:rsid w:val="005C30CF"/>
    <w:rsid w:val="005C3154"/>
    <w:rsid w:val="005C3A22"/>
    <w:rsid w:val="005C54A7"/>
    <w:rsid w:val="005C6F10"/>
    <w:rsid w:val="005D0155"/>
    <w:rsid w:val="005D2F62"/>
    <w:rsid w:val="005D6575"/>
    <w:rsid w:val="005E282B"/>
    <w:rsid w:val="005E33BD"/>
    <w:rsid w:val="005E68E7"/>
    <w:rsid w:val="005E72E3"/>
    <w:rsid w:val="005F510E"/>
    <w:rsid w:val="005F5691"/>
    <w:rsid w:val="005F78A5"/>
    <w:rsid w:val="006029F2"/>
    <w:rsid w:val="00602B52"/>
    <w:rsid w:val="00606ED5"/>
    <w:rsid w:val="006073C6"/>
    <w:rsid w:val="00607B25"/>
    <w:rsid w:val="00607E60"/>
    <w:rsid w:val="006106EE"/>
    <w:rsid w:val="006107F3"/>
    <w:rsid w:val="006120C0"/>
    <w:rsid w:val="00615BAF"/>
    <w:rsid w:val="00617775"/>
    <w:rsid w:val="00622201"/>
    <w:rsid w:val="006225CB"/>
    <w:rsid w:val="00624516"/>
    <w:rsid w:val="00625BC2"/>
    <w:rsid w:val="0062625D"/>
    <w:rsid w:val="00630ADC"/>
    <w:rsid w:val="00630CF7"/>
    <w:rsid w:val="006351A3"/>
    <w:rsid w:val="006378C9"/>
    <w:rsid w:val="0064108C"/>
    <w:rsid w:val="00643AA9"/>
    <w:rsid w:val="0064613F"/>
    <w:rsid w:val="006465FE"/>
    <w:rsid w:val="00646E44"/>
    <w:rsid w:val="00651F43"/>
    <w:rsid w:val="00654DDA"/>
    <w:rsid w:val="00665466"/>
    <w:rsid w:val="00665C19"/>
    <w:rsid w:val="00665CBD"/>
    <w:rsid w:val="00671A32"/>
    <w:rsid w:val="0067288A"/>
    <w:rsid w:val="00673305"/>
    <w:rsid w:val="00675C4B"/>
    <w:rsid w:val="00680B4E"/>
    <w:rsid w:val="006839B6"/>
    <w:rsid w:val="006843E1"/>
    <w:rsid w:val="0068671B"/>
    <w:rsid w:val="00686F48"/>
    <w:rsid w:val="00687DA3"/>
    <w:rsid w:val="006936A5"/>
    <w:rsid w:val="006948E4"/>
    <w:rsid w:val="00694B34"/>
    <w:rsid w:val="00694D00"/>
    <w:rsid w:val="006A1906"/>
    <w:rsid w:val="006A2719"/>
    <w:rsid w:val="006A3D9E"/>
    <w:rsid w:val="006A3FEA"/>
    <w:rsid w:val="006A69A8"/>
    <w:rsid w:val="006B183A"/>
    <w:rsid w:val="006B4F54"/>
    <w:rsid w:val="006B6B67"/>
    <w:rsid w:val="006C002F"/>
    <w:rsid w:val="006C02F5"/>
    <w:rsid w:val="006C34BE"/>
    <w:rsid w:val="006C53E9"/>
    <w:rsid w:val="006C5FEF"/>
    <w:rsid w:val="006C7148"/>
    <w:rsid w:val="006C7EB3"/>
    <w:rsid w:val="006D4573"/>
    <w:rsid w:val="006D629D"/>
    <w:rsid w:val="006E2230"/>
    <w:rsid w:val="006E51D3"/>
    <w:rsid w:val="006E64A5"/>
    <w:rsid w:val="006E6C77"/>
    <w:rsid w:val="006E797A"/>
    <w:rsid w:val="006F0A0C"/>
    <w:rsid w:val="006F2510"/>
    <w:rsid w:val="006F3A0F"/>
    <w:rsid w:val="006F7EB0"/>
    <w:rsid w:val="007014C0"/>
    <w:rsid w:val="00702458"/>
    <w:rsid w:val="007047D8"/>
    <w:rsid w:val="00707395"/>
    <w:rsid w:val="007110CD"/>
    <w:rsid w:val="007122EB"/>
    <w:rsid w:val="007147C7"/>
    <w:rsid w:val="00721BF4"/>
    <w:rsid w:val="007266EE"/>
    <w:rsid w:val="0072764B"/>
    <w:rsid w:val="00727936"/>
    <w:rsid w:val="00727E2C"/>
    <w:rsid w:val="00727F6F"/>
    <w:rsid w:val="007327FF"/>
    <w:rsid w:val="00735995"/>
    <w:rsid w:val="00736691"/>
    <w:rsid w:val="007402C2"/>
    <w:rsid w:val="007402D5"/>
    <w:rsid w:val="00740EED"/>
    <w:rsid w:val="00741976"/>
    <w:rsid w:val="00741F19"/>
    <w:rsid w:val="007423A5"/>
    <w:rsid w:val="007435B2"/>
    <w:rsid w:val="00743C5C"/>
    <w:rsid w:val="0075094E"/>
    <w:rsid w:val="00751DF3"/>
    <w:rsid w:val="00752F32"/>
    <w:rsid w:val="00757BAC"/>
    <w:rsid w:val="0076108E"/>
    <w:rsid w:val="00762B5C"/>
    <w:rsid w:val="00763E6E"/>
    <w:rsid w:val="007715B9"/>
    <w:rsid w:val="00771654"/>
    <w:rsid w:val="00772AC2"/>
    <w:rsid w:val="00773A2C"/>
    <w:rsid w:val="00775269"/>
    <w:rsid w:val="007774FA"/>
    <w:rsid w:val="00777C1A"/>
    <w:rsid w:val="00780272"/>
    <w:rsid w:val="007804F7"/>
    <w:rsid w:val="007809BE"/>
    <w:rsid w:val="007814B9"/>
    <w:rsid w:val="007822C3"/>
    <w:rsid w:val="00784810"/>
    <w:rsid w:val="00785B15"/>
    <w:rsid w:val="00787752"/>
    <w:rsid w:val="007910DD"/>
    <w:rsid w:val="0079412B"/>
    <w:rsid w:val="00794F1B"/>
    <w:rsid w:val="007A06F3"/>
    <w:rsid w:val="007A179B"/>
    <w:rsid w:val="007A3EF1"/>
    <w:rsid w:val="007A4FF4"/>
    <w:rsid w:val="007A5361"/>
    <w:rsid w:val="007A6CC8"/>
    <w:rsid w:val="007B0001"/>
    <w:rsid w:val="007B58B1"/>
    <w:rsid w:val="007B6A7E"/>
    <w:rsid w:val="007B7257"/>
    <w:rsid w:val="007C2503"/>
    <w:rsid w:val="007C2B7A"/>
    <w:rsid w:val="007C5716"/>
    <w:rsid w:val="007D0823"/>
    <w:rsid w:val="007D2D7C"/>
    <w:rsid w:val="007D3E95"/>
    <w:rsid w:val="007D4361"/>
    <w:rsid w:val="007D7005"/>
    <w:rsid w:val="007D7295"/>
    <w:rsid w:val="007E1481"/>
    <w:rsid w:val="007E3068"/>
    <w:rsid w:val="007E6C18"/>
    <w:rsid w:val="007E765C"/>
    <w:rsid w:val="007F0029"/>
    <w:rsid w:val="007F0976"/>
    <w:rsid w:val="007F168D"/>
    <w:rsid w:val="007F3580"/>
    <w:rsid w:val="007F5965"/>
    <w:rsid w:val="007F5CEC"/>
    <w:rsid w:val="00800AE2"/>
    <w:rsid w:val="00802471"/>
    <w:rsid w:val="008030DC"/>
    <w:rsid w:val="0080418D"/>
    <w:rsid w:val="008070FB"/>
    <w:rsid w:val="00811496"/>
    <w:rsid w:val="008125CD"/>
    <w:rsid w:val="00813057"/>
    <w:rsid w:val="00815230"/>
    <w:rsid w:val="00817564"/>
    <w:rsid w:val="00817EB6"/>
    <w:rsid w:val="0082016A"/>
    <w:rsid w:val="00820FC1"/>
    <w:rsid w:val="0082176B"/>
    <w:rsid w:val="00821954"/>
    <w:rsid w:val="008219AD"/>
    <w:rsid w:val="00822072"/>
    <w:rsid w:val="00822430"/>
    <w:rsid w:val="008231ED"/>
    <w:rsid w:val="0082403F"/>
    <w:rsid w:val="0082455A"/>
    <w:rsid w:val="008248BC"/>
    <w:rsid w:val="008249F4"/>
    <w:rsid w:val="00825C61"/>
    <w:rsid w:val="00827650"/>
    <w:rsid w:val="008325F0"/>
    <w:rsid w:val="00834788"/>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0727"/>
    <w:rsid w:val="0088347A"/>
    <w:rsid w:val="00886234"/>
    <w:rsid w:val="008863D4"/>
    <w:rsid w:val="00886634"/>
    <w:rsid w:val="008877A5"/>
    <w:rsid w:val="00887B85"/>
    <w:rsid w:val="00890B37"/>
    <w:rsid w:val="00890DCD"/>
    <w:rsid w:val="00895432"/>
    <w:rsid w:val="00896BE8"/>
    <w:rsid w:val="008A0139"/>
    <w:rsid w:val="008A037C"/>
    <w:rsid w:val="008A251A"/>
    <w:rsid w:val="008A5161"/>
    <w:rsid w:val="008A6135"/>
    <w:rsid w:val="008A6B21"/>
    <w:rsid w:val="008A71C4"/>
    <w:rsid w:val="008B43D4"/>
    <w:rsid w:val="008B470F"/>
    <w:rsid w:val="008B6655"/>
    <w:rsid w:val="008C0698"/>
    <w:rsid w:val="008C3401"/>
    <w:rsid w:val="008C4226"/>
    <w:rsid w:val="008C4325"/>
    <w:rsid w:val="008C4B7C"/>
    <w:rsid w:val="008C4E5B"/>
    <w:rsid w:val="008C764A"/>
    <w:rsid w:val="008D1E8F"/>
    <w:rsid w:val="008D4AB1"/>
    <w:rsid w:val="008D4FF7"/>
    <w:rsid w:val="008D7471"/>
    <w:rsid w:val="008D7B31"/>
    <w:rsid w:val="008E19EE"/>
    <w:rsid w:val="008E1B64"/>
    <w:rsid w:val="008E24C3"/>
    <w:rsid w:val="008E316D"/>
    <w:rsid w:val="008E4B80"/>
    <w:rsid w:val="008E6364"/>
    <w:rsid w:val="008F03D5"/>
    <w:rsid w:val="008F07DF"/>
    <w:rsid w:val="008F5F07"/>
    <w:rsid w:val="008F60BD"/>
    <w:rsid w:val="00900D76"/>
    <w:rsid w:val="0090287D"/>
    <w:rsid w:val="00906681"/>
    <w:rsid w:val="00907BAD"/>
    <w:rsid w:val="00910AEC"/>
    <w:rsid w:val="00911FE1"/>
    <w:rsid w:val="00912BD2"/>
    <w:rsid w:val="009175CE"/>
    <w:rsid w:val="0092030F"/>
    <w:rsid w:val="00926541"/>
    <w:rsid w:val="009271D3"/>
    <w:rsid w:val="00927477"/>
    <w:rsid w:val="009309E4"/>
    <w:rsid w:val="00933465"/>
    <w:rsid w:val="00933FD9"/>
    <w:rsid w:val="00934ED5"/>
    <w:rsid w:val="0093527E"/>
    <w:rsid w:val="00935678"/>
    <w:rsid w:val="00935C1D"/>
    <w:rsid w:val="00936426"/>
    <w:rsid w:val="00936632"/>
    <w:rsid w:val="009415ED"/>
    <w:rsid w:val="00947BAD"/>
    <w:rsid w:val="00947FE6"/>
    <w:rsid w:val="00952269"/>
    <w:rsid w:val="00952CE1"/>
    <w:rsid w:val="00953507"/>
    <w:rsid w:val="009557D2"/>
    <w:rsid w:val="009568DF"/>
    <w:rsid w:val="009617FE"/>
    <w:rsid w:val="009639DC"/>
    <w:rsid w:val="00963B11"/>
    <w:rsid w:val="0096450C"/>
    <w:rsid w:val="009700D6"/>
    <w:rsid w:val="00970329"/>
    <w:rsid w:val="00970F9E"/>
    <w:rsid w:val="009712BD"/>
    <w:rsid w:val="00971505"/>
    <w:rsid w:val="00975C87"/>
    <w:rsid w:val="00976585"/>
    <w:rsid w:val="009835F7"/>
    <w:rsid w:val="009924D5"/>
    <w:rsid w:val="009931AC"/>
    <w:rsid w:val="00993E1F"/>
    <w:rsid w:val="00993E50"/>
    <w:rsid w:val="00995623"/>
    <w:rsid w:val="0099775A"/>
    <w:rsid w:val="00997ACE"/>
    <w:rsid w:val="009A2940"/>
    <w:rsid w:val="009A373E"/>
    <w:rsid w:val="009A5E9D"/>
    <w:rsid w:val="009A728E"/>
    <w:rsid w:val="009B206E"/>
    <w:rsid w:val="009B24E0"/>
    <w:rsid w:val="009B55F5"/>
    <w:rsid w:val="009C17E3"/>
    <w:rsid w:val="009C3B05"/>
    <w:rsid w:val="009C473A"/>
    <w:rsid w:val="009C4D5D"/>
    <w:rsid w:val="009C4F71"/>
    <w:rsid w:val="009C6549"/>
    <w:rsid w:val="009C725B"/>
    <w:rsid w:val="009C76D3"/>
    <w:rsid w:val="009D13D6"/>
    <w:rsid w:val="009D1860"/>
    <w:rsid w:val="009D3E5A"/>
    <w:rsid w:val="009D4135"/>
    <w:rsid w:val="009D5067"/>
    <w:rsid w:val="009D5BDC"/>
    <w:rsid w:val="009D5C27"/>
    <w:rsid w:val="009D744F"/>
    <w:rsid w:val="009E3C73"/>
    <w:rsid w:val="009E4458"/>
    <w:rsid w:val="009E6D86"/>
    <w:rsid w:val="009E7112"/>
    <w:rsid w:val="009F3AC5"/>
    <w:rsid w:val="009F51CF"/>
    <w:rsid w:val="009F5CDD"/>
    <w:rsid w:val="009F5DA6"/>
    <w:rsid w:val="009F7C75"/>
    <w:rsid w:val="00A02597"/>
    <w:rsid w:val="00A02E50"/>
    <w:rsid w:val="00A0629A"/>
    <w:rsid w:val="00A10B9C"/>
    <w:rsid w:val="00A15C91"/>
    <w:rsid w:val="00A200B6"/>
    <w:rsid w:val="00A2031E"/>
    <w:rsid w:val="00A20F2A"/>
    <w:rsid w:val="00A216B1"/>
    <w:rsid w:val="00A22975"/>
    <w:rsid w:val="00A23624"/>
    <w:rsid w:val="00A23D3B"/>
    <w:rsid w:val="00A26379"/>
    <w:rsid w:val="00A27EE2"/>
    <w:rsid w:val="00A30D6F"/>
    <w:rsid w:val="00A354CD"/>
    <w:rsid w:val="00A36348"/>
    <w:rsid w:val="00A36FB8"/>
    <w:rsid w:val="00A40FD5"/>
    <w:rsid w:val="00A41EAC"/>
    <w:rsid w:val="00A428D5"/>
    <w:rsid w:val="00A42B9E"/>
    <w:rsid w:val="00A44F6D"/>
    <w:rsid w:val="00A4609C"/>
    <w:rsid w:val="00A472EC"/>
    <w:rsid w:val="00A5358B"/>
    <w:rsid w:val="00A55F87"/>
    <w:rsid w:val="00A56E2E"/>
    <w:rsid w:val="00A60656"/>
    <w:rsid w:val="00A67420"/>
    <w:rsid w:val="00A7154B"/>
    <w:rsid w:val="00A746F5"/>
    <w:rsid w:val="00A773A7"/>
    <w:rsid w:val="00A83F6D"/>
    <w:rsid w:val="00A84FC6"/>
    <w:rsid w:val="00A86340"/>
    <w:rsid w:val="00A864EB"/>
    <w:rsid w:val="00A9044C"/>
    <w:rsid w:val="00A90951"/>
    <w:rsid w:val="00A90D13"/>
    <w:rsid w:val="00A9106B"/>
    <w:rsid w:val="00A91DE3"/>
    <w:rsid w:val="00A91F9A"/>
    <w:rsid w:val="00A93222"/>
    <w:rsid w:val="00A94DF2"/>
    <w:rsid w:val="00A95DBC"/>
    <w:rsid w:val="00A95E12"/>
    <w:rsid w:val="00A96926"/>
    <w:rsid w:val="00A97180"/>
    <w:rsid w:val="00AA17DC"/>
    <w:rsid w:val="00AA5248"/>
    <w:rsid w:val="00AA7A18"/>
    <w:rsid w:val="00AB01E4"/>
    <w:rsid w:val="00AB1582"/>
    <w:rsid w:val="00AB29D3"/>
    <w:rsid w:val="00AB39F3"/>
    <w:rsid w:val="00AB454D"/>
    <w:rsid w:val="00AC1694"/>
    <w:rsid w:val="00AC2B19"/>
    <w:rsid w:val="00AC3A1C"/>
    <w:rsid w:val="00AC44F3"/>
    <w:rsid w:val="00AC45D0"/>
    <w:rsid w:val="00AC4A89"/>
    <w:rsid w:val="00AC6CEC"/>
    <w:rsid w:val="00AC7411"/>
    <w:rsid w:val="00AD0DBF"/>
    <w:rsid w:val="00AD6ACB"/>
    <w:rsid w:val="00AD6F24"/>
    <w:rsid w:val="00AE1B40"/>
    <w:rsid w:val="00AE2ED6"/>
    <w:rsid w:val="00AE41A7"/>
    <w:rsid w:val="00AF039F"/>
    <w:rsid w:val="00AF4A99"/>
    <w:rsid w:val="00AF6325"/>
    <w:rsid w:val="00AF7A6A"/>
    <w:rsid w:val="00B00F7A"/>
    <w:rsid w:val="00B012D5"/>
    <w:rsid w:val="00B0332B"/>
    <w:rsid w:val="00B077EB"/>
    <w:rsid w:val="00B1230F"/>
    <w:rsid w:val="00B127DA"/>
    <w:rsid w:val="00B12ECD"/>
    <w:rsid w:val="00B14C0B"/>
    <w:rsid w:val="00B2146D"/>
    <w:rsid w:val="00B243CC"/>
    <w:rsid w:val="00B257CC"/>
    <w:rsid w:val="00B25D56"/>
    <w:rsid w:val="00B26E26"/>
    <w:rsid w:val="00B27632"/>
    <w:rsid w:val="00B31EAF"/>
    <w:rsid w:val="00B3313A"/>
    <w:rsid w:val="00B34302"/>
    <w:rsid w:val="00B36043"/>
    <w:rsid w:val="00B37734"/>
    <w:rsid w:val="00B37A65"/>
    <w:rsid w:val="00B37BCC"/>
    <w:rsid w:val="00B41870"/>
    <w:rsid w:val="00B47039"/>
    <w:rsid w:val="00B47E7B"/>
    <w:rsid w:val="00B55791"/>
    <w:rsid w:val="00B61359"/>
    <w:rsid w:val="00B63318"/>
    <w:rsid w:val="00B665B5"/>
    <w:rsid w:val="00B66DC1"/>
    <w:rsid w:val="00B67101"/>
    <w:rsid w:val="00B73A67"/>
    <w:rsid w:val="00B8043F"/>
    <w:rsid w:val="00B8308E"/>
    <w:rsid w:val="00B91124"/>
    <w:rsid w:val="00B9180C"/>
    <w:rsid w:val="00B9298C"/>
    <w:rsid w:val="00B929F6"/>
    <w:rsid w:val="00B94480"/>
    <w:rsid w:val="00B97B7B"/>
    <w:rsid w:val="00BA18A9"/>
    <w:rsid w:val="00BA2C2D"/>
    <w:rsid w:val="00BA4F14"/>
    <w:rsid w:val="00BB14F8"/>
    <w:rsid w:val="00BB1D3E"/>
    <w:rsid w:val="00BB1D95"/>
    <w:rsid w:val="00BB670D"/>
    <w:rsid w:val="00BC02D7"/>
    <w:rsid w:val="00BC3D6F"/>
    <w:rsid w:val="00BC61AC"/>
    <w:rsid w:val="00BD0EBD"/>
    <w:rsid w:val="00BD20CF"/>
    <w:rsid w:val="00BD3984"/>
    <w:rsid w:val="00BD4009"/>
    <w:rsid w:val="00BD4C35"/>
    <w:rsid w:val="00BE16BD"/>
    <w:rsid w:val="00BE6FA5"/>
    <w:rsid w:val="00BF28ED"/>
    <w:rsid w:val="00C013D8"/>
    <w:rsid w:val="00C0150B"/>
    <w:rsid w:val="00C01C49"/>
    <w:rsid w:val="00C036EC"/>
    <w:rsid w:val="00C04372"/>
    <w:rsid w:val="00C0598F"/>
    <w:rsid w:val="00C05D83"/>
    <w:rsid w:val="00C06B27"/>
    <w:rsid w:val="00C1042C"/>
    <w:rsid w:val="00C110D7"/>
    <w:rsid w:val="00C11E82"/>
    <w:rsid w:val="00C13CEC"/>
    <w:rsid w:val="00C13CF5"/>
    <w:rsid w:val="00C13DC9"/>
    <w:rsid w:val="00C142D9"/>
    <w:rsid w:val="00C14BD8"/>
    <w:rsid w:val="00C17776"/>
    <w:rsid w:val="00C1781A"/>
    <w:rsid w:val="00C2059D"/>
    <w:rsid w:val="00C20847"/>
    <w:rsid w:val="00C20DC8"/>
    <w:rsid w:val="00C23661"/>
    <w:rsid w:val="00C2561D"/>
    <w:rsid w:val="00C300F2"/>
    <w:rsid w:val="00C31EB2"/>
    <w:rsid w:val="00C320DF"/>
    <w:rsid w:val="00C329C3"/>
    <w:rsid w:val="00C34C64"/>
    <w:rsid w:val="00C35D54"/>
    <w:rsid w:val="00C4126C"/>
    <w:rsid w:val="00C42C0C"/>
    <w:rsid w:val="00C42C40"/>
    <w:rsid w:val="00C453D2"/>
    <w:rsid w:val="00C465F7"/>
    <w:rsid w:val="00C55889"/>
    <w:rsid w:val="00C55E95"/>
    <w:rsid w:val="00C56618"/>
    <w:rsid w:val="00C62563"/>
    <w:rsid w:val="00C6395F"/>
    <w:rsid w:val="00C649BC"/>
    <w:rsid w:val="00C66128"/>
    <w:rsid w:val="00C66D24"/>
    <w:rsid w:val="00C66EE6"/>
    <w:rsid w:val="00C66FCB"/>
    <w:rsid w:val="00C670AB"/>
    <w:rsid w:val="00C721C3"/>
    <w:rsid w:val="00C83068"/>
    <w:rsid w:val="00C83429"/>
    <w:rsid w:val="00C8410F"/>
    <w:rsid w:val="00C8637A"/>
    <w:rsid w:val="00C870A4"/>
    <w:rsid w:val="00C87C97"/>
    <w:rsid w:val="00C90ECA"/>
    <w:rsid w:val="00C93022"/>
    <w:rsid w:val="00C946D2"/>
    <w:rsid w:val="00CA4195"/>
    <w:rsid w:val="00CA45AE"/>
    <w:rsid w:val="00CA535D"/>
    <w:rsid w:val="00CA6080"/>
    <w:rsid w:val="00CA61D7"/>
    <w:rsid w:val="00CA6C33"/>
    <w:rsid w:val="00CA70BF"/>
    <w:rsid w:val="00CA7348"/>
    <w:rsid w:val="00CB16E8"/>
    <w:rsid w:val="00CB364F"/>
    <w:rsid w:val="00CB394A"/>
    <w:rsid w:val="00CB399E"/>
    <w:rsid w:val="00CB7229"/>
    <w:rsid w:val="00CC0CC4"/>
    <w:rsid w:val="00CC1D36"/>
    <w:rsid w:val="00CC4095"/>
    <w:rsid w:val="00CC5BDB"/>
    <w:rsid w:val="00CC6070"/>
    <w:rsid w:val="00CD1CAB"/>
    <w:rsid w:val="00CD3770"/>
    <w:rsid w:val="00CD3E5C"/>
    <w:rsid w:val="00CE2BA4"/>
    <w:rsid w:val="00CE3AD7"/>
    <w:rsid w:val="00CE4EFC"/>
    <w:rsid w:val="00CE50F5"/>
    <w:rsid w:val="00CF33C3"/>
    <w:rsid w:val="00CF33D2"/>
    <w:rsid w:val="00CF438E"/>
    <w:rsid w:val="00CF5F8C"/>
    <w:rsid w:val="00CF7F2A"/>
    <w:rsid w:val="00CF7F8F"/>
    <w:rsid w:val="00D019ED"/>
    <w:rsid w:val="00D0225D"/>
    <w:rsid w:val="00D026F7"/>
    <w:rsid w:val="00D03B6A"/>
    <w:rsid w:val="00D05597"/>
    <w:rsid w:val="00D05BBB"/>
    <w:rsid w:val="00D125DB"/>
    <w:rsid w:val="00D1373D"/>
    <w:rsid w:val="00D13ABF"/>
    <w:rsid w:val="00D16316"/>
    <w:rsid w:val="00D17EB8"/>
    <w:rsid w:val="00D200E4"/>
    <w:rsid w:val="00D2049A"/>
    <w:rsid w:val="00D213FC"/>
    <w:rsid w:val="00D24803"/>
    <w:rsid w:val="00D24ACD"/>
    <w:rsid w:val="00D25F92"/>
    <w:rsid w:val="00D268BA"/>
    <w:rsid w:val="00D311D4"/>
    <w:rsid w:val="00D322B6"/>
    <w:rsid w:val="00D32534"/>
    <w:rsid w:val="00D32B75"/>
    <w:rsid w:val="00D32C17"/>
    <w:rsid w:val="00D353FF"/>
    <w:rsid w:val="00D402F9"/>
    <w:rsid w:val="00D44839"/>
    <w:rsid w:val="00D47043"/>
    <w:rsid w:val="00D47915"/>
    <w:rsid w:val="00D51479"/>
    <w:rsid w:val="00D625F8"/>
    <w:rsid w:val="00D63D29"/>
    <w:rsid w:val="00D649AA"/>
    <w:rsid w:val="00D73693"/>
    <w:rsid w:val="00D74A49"/>
    <w:rsid w:val="00D74BEC"/>
    <w:rsid w:val="00D75A07"/>
    <w:rsid w:val="00D80A4D"/>
    <w:rsid w:val="00D83294"/>
    <w:rsid w:val="00D832F2"/>
    <w:rsid w:val="00D83A4D"/>
    <w:rsid w:val="00D840D8"/>
    <w:rsid w:val="00D85827"/>
    <w:rsid w:val="00D92EA4"/>
    <w:rsid w:val="00D93A13"/>
    <w:rsid w:val="00D949A2"/>
    <w:rsid w:val="00D96C8E"/>
    <w:rsid w:val="00DA0B33"/>
    <w:rsid w:val="00DA1FFA"/>
    <w:rsid w:val="00DA2036"/>
    <w:rsid w:val="00DA3FC7"/>
    <w:rsid w:val="00DA4EC4"/>
    <w:rsid w:val="00DA55DB"/>
    <w:rsid w:val="00DA5BA5"/>
    <w:rsid w:val="00DA5D11"/>
    <w:rsid w:val="00DA662A"/>
    <w:rsid w:val="00DA7361"/>
    <w:rsid w:val="00DA7B21"/>
    <w:rsid w:val="00DA7BFE"/>
    <w:rsid w:val="00DB266C"/>
    <w:rsid w:val="00DB2FD1"/>
    <w:rsid w:val="00DB3137"/>
    <w:rsid w:val="00DB663C"/>
    <w:rsid w:val="00DB6781"/>
    <w:rsid w:val="00DC10A7"/>
    <w:rsid w:val="00DC33B6"/>
    <w:rsid w:val="00DC63F9"/>
    <w:rsid w:val="00DD0254"/>
    <w:rsid w:val="00DD1785"/>
    <w:rsid w:val="00DD29D3"/>
    <w:rsid w:val="00DD4B24"/>
    <w:rsid w:val="00DD5651"/>
    <w:rsid w:val="00DE0E2E"/>
    <w:rsid w:val="00DE12F4"/>
    <w:rsid w:val="00DE1DFC"/>
    <w:rsid w:val="00DE208C"/>
    <w:rsid w:val="00DE53B2"/>
    <w:rsid w:val="00DE6B52"/>
    <w:rsid w:val="00DF13FF"/>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3F9"/>
    <w:rsid w:val="00E20A02"/>
    <w:rsid w:val="00E238C5"/>
    <w:rsid w:val="00E24FE0"/>
    <w:rsid w:val="00E30DB6"/>
    <w:rsid w:val="00E35D90"/>
    <w:rsid w:val="00E36286"/>
    <w:rsid w:val="00E3742A"/>
    <w:rsid w:val="00E37F44"/>
    <w:rsid w:val="00E42DE4"/>
    <w:rsid w:val="00E430B5"/>
    <w:rsid w:val="00E45EE2"/>
    <w:rsid w:val="00E46623"/>
    <w:rsid w:val="00E51C1B"/>
    <w:rsid w:val="00E57296"/>
    <w:rsid w:val="00E6136B"/>
    <w:rsid w:val="00E622B2"/>
    <w:rsid w:val="00E633B5"/>
    <w:rsid w:val="00E644CD"/>
    <w:rsid w:val="00E65A9B"/>
    <w:rsid w:val="00E715C6"/>
    <w:rsid w:val="00E720E4"/>
    <w:rsid w:val="00E7370C"/>
    <w:rsid w:val="00E77F5E"/>
    <w:rsid w:val="00E81F14"/>
    <w:rsid w:val="00E85789"/>
    <w:rsid w:val="00E87E18"/>
    <w:rsid w:val="00E9005A"/>
    <w:rsid w:val="00E90688"/>
    <w:rsid w:val="00E91461"/>
    <w:rsid w:val="00E91B94"/>
    <w:rsid w:val="00E93356"/>
    <w:rsid w:val="00E95417"/>
    <w:rsid w:val="00EA357D"/>
    <w:rsid w:val="00EA37AB"/>
    <w:rsid w:val="00EA4736"/>
    <w:rsid w:val="00EA60CE"/>
    <w:rsid w:val="00EA62B8"/>
    <w:rsid w:val="00EA6B0D"/>
    <w:rsid w:val="00EB0AE3"/>
    <w:rsid w:val="00EB0BD9"/>
    <w:rsid w:val="00EB4FA7"/>
    <w:rsid w:val="00EB5222"/>
    <w:rsid w:val="00EB68EE"/>
    <w:rsid w:val="00EB7174"/>
    <w:rsid w:val="00EB7E69"/>
    <w:rsid w:val="00EC155E"/>
    <w:rsid w:val="00EC287E"/>
    <w:rsid w:val="00EC3182"/>
    <w:rsid w:val="00EC35BE"/>
    <w:rsid w:val="00EC3F23"/>
    <w:rsid w:val="00EC4AD0"/>
    <w:rsid w:val="00EC57BD"/>
    <w:rsid w:val="00EC74CE"/>
    <w:rsid w:val="00EC7697"/>
    <w:rsid w:val="00EC77D6"/>
    <w:rsid w:val="00ED1F25"/>
    <w:rsid w:val="00ED3A71"/>
    <w:rsid w:val="00ED5955"/>
    <w:rsid w:val="00ED758C"/>
    <w:rsid w:val="00EE06ED"/>
    <w:rsid w:val="00EE1B56"/>
    <w:rsid w:val="00EE54FE"/>
    <w:rsid w:val="00EE5E15"/>
    <w:rsid w:val="00EF1314"/>
    <w:rsid w:val="00EF20FA"/>
    <w:rsid w:val="00EF52D6"/>
    <w:rsid w:val="00EF7E5B"/>
    <w:rsid w:val="00F013E0"/>
    <w:rsid w:val="00F0162F"/>
    <w:rsid w:val="00F01B58"/>
    <w:rsid w:val="00F01C96"/>
    <w:rsid w:val="00F0661F"/>
    <w:rsid w:val="00F12CBB"/>
    <w:rsid w:val="00F1355C"/>
    <w:rsid w:val="00F2566F"/>
    <w:rsid w:val="00F30E51"/>
    <w:rsid w:val="00F31AD0"/>
    <w:rsid w:val="00F33527"/>
    <w:rsid w:val="00F35DF7"/>
    <w:rsid w:val="00F37F36"/>
    <w:rsid w:val="00F41632"/>
    <w:rsid w:val="00F42267"/>
    <w:rsid w:val="00F44499"/>
    <w:rsid w:val="00F448E2"/>
    <w:rsid w:val="00F454C9"/>
    <w:rsid w:val="00F47CB8"/>
    <w:rsid w:val="00F502E8"/>
    <w:rsid w:val="00F51AF2"/>
    <w:rsid w:val="00F5295B"/>
    <w:rsid w:val="00F55C7F"/>
    <w:rsid w:val="00F56AD8"/>
    <w:rsid w:val="00F57533"/>
    <w:rsid w:val="00F57CCC"/>
    <w:rsid w:val="00F6137E"/>
    <w:rsid w:val="00F61AF9"/>
    <w:rsid w:val="00F63771"/>
    <w:rsid w:val="00F63922"/>
    <w:rsid w:val="00F673BD"/>
    <w:rsid w:val="00F675E2"/>
    <w:rsid w:val="00F70C83"/>
    <w:rsid w:val="00F75E0E"/>
    <w:rsid w:val="00F76826"/>
    <w:rsid w:val="00F76A15"/>
    <w:rsid w:val="00F77A72"/>
    <w:rsid w:val="00F8143A"/>
    <w:rsid w:val="00F82E38"/>
    <w:rsid w:val="00F83C52"/>
    <w:rsid w:val="00F83D25"/>
    <w:rsid w:val="00F84A1B"/>
    <w:rsid w:val="00F85A41"/>
    <w:rsid w:val="00F87DA7"/>
    <w:rsid w:val="00F90A9D"/>
    <w:rsid w:val="00F92229"/>
    <w:rsid w:val="00F942DD"/>
    <w:rsid w:val="00F97E58"/>
    <w:rsid w:val="00FA0AAD"/>
    <w:rsid w:val="00FA1DC1"/>
    <w:rsid w:val="00FA556D"/>
    <w:rsid w:val="00FB0E70"/>
    <w:rsid w:val="00FB1EB6"/>
    <w:rsid w:val="00FB1F05"/>
    <w:rsid w:val="00FB3989"/>
    <w:rsid w:val="00FB5FF6"/>
    <w:rsid w:val="00FB67DD"/>
    <w:rsid w:val="00FC02C4"/>
    <w:rsid w:val="00FC066F"/>
    <w:rsid w:val="00FC0D40"/>
    <w:rsid w:val="00FC33BC"/>
    <w:rsid w:val="00FC5B79"/>
    <w:rsid w:val="00FC7905"/>
    <w:rsid w:val="00FD0273"/>
    <w:rsid w:val="00FD4ABA"/>
    <w:rsid w:val="00FD515F"/>
    <w:rsid w:val="00FD5929"/>
    <w:rsid w:val="00FE5E89"/>
    <w:rsid w:val="00FE7260"/>
    <w:rsid w:val="00FF0866"/>
    <w:rsid w:val="00FF0CA9"/>
    <w:rsid w:val="00FF724C"/>
    <w:rsid w:val="00FF7BD2"/>
    <w:rsid w:val="01B32A17"/>
    <w:rsid w:val="01BB0722"/>
    <w:rsid w:val="01E754A5"/>
    <w:rsid w:val="02B057FD"/>
    <w:rsid w:val="02E3107E"/>
    <w:rsid w:val="02EB3989"/>
    <w:rsid w:val="02F4662F"/>
    <w:rsid w:val="0388185E"/>
    <w:rsid w:val="03945FA7"/>
    <w:rsid w:val="042A141B"/>
    <w:rsid w:val="042C6593"/>
    <w:rsid w:val="04514A67"/>
    <w:rsid w:val="047A399B"/>
    <w:rsid w:val="048604DC"/>
    <w:rsid w:val="0495234A"/>
    <w:rsid w:val="04C6288E"/>
    <w:rsid w:val="04E51565"/>
    <w:rsid w:val="05C23CDB"/>
    <w:rsid w:val="05DD4DDD"/>
    <w:rsid w:val="05F518F8"/>
    <w:rsid w:val="06261088"/>
    <w:rsid w:val="06AA774E"/>
    <w:rsid w:val="06F931BA"/>
    <w:rsid w:val="07252871"/>
    <w:rsid w:val="081F2819"/>
    <w:rsid w:val="08581D07"/>
    <w:rsid w:val="09346F96"/>
    <w:rsid w:val="098D52A8"/>
    <w:rsid w:val="0B4514D5"/>
    <w:rsid w:val="0C0150E4"/>
    <w:rsid w:val="0CB77CF9"/>
    <w:rsid w:val="0CE42333"/>
    <w:rsid w:val="0DDB3B42"/>
    <w:rsid w:val="0E994E93"/>
    <w:rsid w:val="0EA2526F"/>
    <w:rsid w:val="0EF74497"/>
    <w:rsid w:val="0F2F74C3"/>
    <w:rsid w:val="0F5770EE"/>
    <w:rsid w:val="0F633058"/>
    <w:rsid w:val="100D0AC0"/>
    <w:rsid w:val="10A23F2D"/>
    <w:rsid w:val="10A32F66"/>
    <w:rsid w:val="10AB36CD"/>
    <w:rsid w:val="11275B4E"/>
    <w:rsid w:val="1152389D"/>
    <w:rsid w:val="11C934CF"/>
    <w:rsid w:val="12432C2B"/>
    <w:rsid w:val="12B97DBE"/>
    <w:rsid w:val="13571ECF"/>
    <w:rsid w:val="136E23B4"/>
    <w:rsid w:val="13811EA7"/>
    <w:rsid w:val="13D21C57"/>
    <w:rsid w:val="13D71B2D"/>
    <w:rsid w:val="13E659C7"/>
    <w:rsid w:val="14054095"/>
    <w:rsid w:val="142D60FF"/>
    <w:rsid w:val="143B2D0A"/>
    <w:rsid w:val="143F5C07"/>
    <w:rsid w:val="144C12E1"/>
    <w:rsid w:val="14765863"/>
    <w:rsid w:val="14A00F82"/>
    <w:rsid w:val="14D22AD2"/>
    <w:rsid w:val="14EC6294"/>
    <w:rsid w:val="15021D59"/>
    <w:rsid w:val="154D7AC6"/>
    <w:rsid w:val="15841ACC"/>
    <w:rsid w:val="16581276"/>
    <w:rsid w:val="167D3A06"/>
    <w:rsid w:val="169E641B"/>
    <w:rsid w:val="1776442F"/>
    <w:rsid w:val="17D30245"/>
    <w:rsid w:val="18EC72F1"/>
    <w:rsid w:val="1A4F6A58"/>
    <w:rsid w:val="1A633244"/>
    <w:rsid w:val="1A724907"/>
    <w:rsid w:val="1A76193B"/>
    <w:rsid w:val="1B023A20"/>
    <w:rsid w:val="1B094626"/>
    <w:rsid w:val="1B285AE1"/>
    <w:rsid w:val="1B4D2F18"/>
    <w:rsid w:val="1BE250CD"/>
    <w:rsid w:val="1C8A4023"/>
    <w:rsid w:val="1E647790"/>
    <w:rsid w:val="1EB636BA"/>
    <w:rsid w:val="1F0F0FA1"/>
    <w:rsid w:val="1F242C3E"/>
    <w:rsid w:val="1F481178"/>
    <w:rsid w:val="1FEF042C"/>
    <w:rsid w:val="20055CDB"/>
    <w:rsid w:val="208537CB"/>
    <w:rsid w:val="21153963"/>
    <w:rsid w:val="2149566C"/>
    <w:rsid w:val="21C378CF"/>
    <w:rsid w:val="22E43AB6"/>
    <w:rsid w:val="24286DC6"/>
    <w:rsid w:val="24866CFB"/>
    <w:rsid w:val="258B420D"/>
    <w:rsid w:val="25A22815"/>
    <w:rsid w:val="25D350DA"/>
    <w:rsid w:val="2673315E"/>
    <w:rsid w:val="26A77C37"/>
    <w:rsid w:val="26CD72F9"/>
    <w:rsid w:val="26E13449"/>
    <w:rsid w:val="27144DCF"/>
    <w:rsid w:val="27766A9D"/>
    <w:rsid w:val="27FA5ECA"/>
    <w:rsid w:val="27FE4BF9"/>
    <w:rsid w:val="28F12738"/>
    <w:rsid w:val="29AC15CD"/>
    <w:rsid w:val="2B89271A"/>
    <w:rsid w:val="2C1B45FA"/>
    <w:rsid w:val="2C4E0F1C"/>
    <w:rsid w:val="2CA806AE"/>
    <w:rsid w:val="2CB26263"/>
    <w:rsid w:val="2E115FE4"/>
    <w:rsid w:val="2E295537"/>
    <w:rsid w:val="2F283F1A"/>
    <w:rsid w:val="2F4D1095"/>
    <w:rsid w:val="2F7A00B6"/>
    <w:rsid w:val="3025785F"/>
    <w:rsid w:val="30824347"/>
    <w:rsid w:val="31A06A5F"/>
    <w:rsid w:val="31CF1C9C"/>
    <w:rsid w:val="320632F4"/>
    <w:rsid w:val="3208397B"/>
    <w:rsid w:val="32496611"/>
    <w:rsid w:val="32563F16"/>
    <w:rsid w:val="32816AD3"/>
    <w:rsid w:val="32F062C5"/>
    <w:rsid w:val="348D57FE"/>
    <w:rsid w:val="34D36FCB"/>
    <w:rsid w:val="34D467B1"/>
    <w:rsid w:val="35BE49B6"/>
    <w:rsid w:val="35CD11D6"/>
    <w:rsid w:val="35EA54EA"/>
    <w:rsid w:val="365D7626"/>
    <w:rsid w:val="369B4961"/>
    <w:rsid w:val="36C02FB1"/>
    <w:rsid w:val="36C75AAA"/>
    <w:rsid w:val="38010461"/>
    <w:rsid w:val="38346878"/>
    <w:rsid w:val="38471845"/>
    <w:rsid w:val="386E5986"/>
    <w:rsid w:val="38847FB2"/>
    <w:rsid w:val="39924028"/>
    <w:rsid w:val="39A42ADB"/>
    <w:rsid w:val="39A7060A"/>
    <w:rsid w:val="39FF710E"/>
    <w:rsid w:val="3A175784"/>
    <w:rsid w:val="3A681CB4"/>
    <w:rsid w:val="3BE11607"/>
    <w:rsid w:val="3C6F1030"/>
    <w:rsid w:val="3C8F41C6"/>
    <w:rsid w:val="3D0760B0"/>
    <w:rsid w:val="3E294FF7"/>
    <w:rsid w:val="3E44136B"/>
    <w:rsid w:val="3E55479F"/>
    <w:rsid w:val="3E986CE3"/>
    <w:rsid w:val="3FE55AD8"/>
    <w:rsid w:val="40A75F4F"/>
    <w:rsid w:val="40FB4655"/>
    <w:rsid w:val="419C39AA"/>
    <w:rsid w:val="41A629AC"/>
    <w:rsid w:val="41BB4BDE"/>
    <w:rsid w:val="424D1D74"/>
    <w:rsid w:val="434C41B3"/>
    <w:rsid w:val="439C7F0E"/>
    <w:rsid w:val="43A945E9"/>
    <w:rsid w:val="43F852E1"/>
    <w:rsid w:val="43FA5469"/>
    <w:rsid w:val="442066B3"/>
    <w:rsid w:val="442F09A8"/>
    <w:rsid w:val="44367EA4"/>
    <w:rsid w:val="44806507"/>
    <w:rsid w:val="44A45F82"/>
    <w:rsid w:val="44E35172"/>
    <w:rsid w:val="459824B6"/>
    <w:rsid w:val="45C457CF"/>
    <w:rsid w:val="45C5739C"/>
    <w:rsid w:val="45C9627D"/>
    <w:rsid w:val="468D56AF"/>
    <w:rsid w:val="46AE3D90"/>
    <w:rsid w:val="46D33848"/>
    <w:rsid w:val="47100686"/>
    <w:rsid w:val="48011E19"/>
    <w:rsid w:val="483F4B43"/>
    <w:rsid w:val="489845A3"/>
    <w:rsid w:val="490B77E1"/>
    <w:rsid w:val="494C4F5E"/>
    <w:rsid w:val="49CC15E4"/>
    <w:rsid w:val="4A49208A"/>
    <w:rsid w:val="4AC17DB8"/>
    <w:rsid w:val="4AF1132A"/>
    <w:rsid w:val="4B7F6C9A"/>
    <w:rsid w:val="4C44336F"/>
    <w:rsid w:val="4CDE2D92"/>
    <w:rsid w:val="4CEF6B2A"/>
    <w:rsid w:val="4D034263"/>
    <w:rsid w:val="4D3E1D17"/>
    <w:rsid w:val="4D6D0C00"/>
    <w:rsid w:val="4D8056EA"/>
    <w:rsid w:val="4D887344"/>
    <w:rsid w:val="4D924FC5"/>
    <w:rsid w:val="4E0C7B6E"/>
    <w:rsid w:val="4E4E0760"/>
    <w:rsid w:val="4E746D6E"/>
    <w:rsid w:val="4EB32EDD"/>
    <w:rsid w:val="4EC24BE4"/>
    <w:rsid w:val="4F3A7684"/>
    <w:rsid w:val="4F8319A4"/>
    <w:rsid w:val="4F854ED7"/>
    <w:rsid w:val="4FB61B4A"/>
    <w:rsid w:val="4FC84B82"/>
    <w:rsid w:val="517B2FF9"/>
    <w:rsid w:val="51C374A1"/>
    <w:rsid w:val="52C025B6"/>
    <w:rsid w:val="52EA3DFE"/>
    <w:rsid w:val="537654D5"/>
    <w:rsid w:val="537B53A9"/>
    <w:rsid w:val="539F72BC"/>
    <w:rsid w:val="53A312E9"/>
    <w:rsid w:val="544F054F"/>
    <w:rsid w:val="545253A3"/>
    <w:rsid w:val="546E7D01"/>
    <w:rsid w:val="54C95DBD"/>
    <w:rsid w:val="55542802"/>
    <w:rsid w:val="56030F2C"/>
    <w:rsid w:val="5603346C"/>
    <w:rsid w:val="561F138B"/>
    <w:rsid w:val="562C04C0"/>
    <w:rsid w:val="57233F3B"/>
    <w:rsid w:val="576A3223"/>
    <w:rsid w:val="57767D67"/>
    <w:rsid w:val="582B3F99"/>
    <w:rsid w:val="59575208"/>
    <w:rsid w:val="59B047FD"/>
    <w:rsid w:val="5A0C525F"/>
    <w:rsid w:val="5A153736"/>
    <w:rsid w:val="5A6343D0"/>
    <w:rsid w:val="5A96534C"/>
    <w:rsid w:val="5AC101D0"/>
    <w:rsid w:val="5B05208A"/>
    <w:rsid w:val="5C424F01"/>
    <w:rsid w:val="5C4F44AE"/>
    <w:rsid w:val="5C651629"/>
    <w:rsid w:val="5C84389C"/>
    <w:rsid w:val="5C9E2D48"/>
    <w:rsid w:val="5CB0535B"/>
    <w:rsid w:val="5CD732BF"/>
    <w:rsid w:val="5CDE09EA"/>
    <w:rsid w:val="5D2F1AE7"/>
    <w:rsid w:val="5D5E20BE"/>
    <w:rsid w:val="5D715D22"/>
    <w:rsid w:val="5DAC69D1"/>
    <w:rsid w:val="5E617D15"/>
    <w:rsid w:val="5EAC36B0"/>
    <w:rsid w:val="5EB53616"/>
    <w:rsid w:val="5EC44F65"/>
    <w:rsid w:val="5F3DABFD"/>
    <w:rsid w:val="5FAE3574"/>
    <w:rsid w:val="5FD37C2D"/>
    <w:rsid w:val="6009408A"/>
    <w:rsid w:val="60290722"/>
    <w:rsid w:val="60737163"/>
    <w:rsid w:val="607B2996"/>
    <w:rsid w:val="60E67D2F"/>
    <w:rsid w:val="617B6173"/>
    <w:rsid w:val="618F1386"/>
    <w:rsid w:val="621668A2"/>
    <w:rsid w:val="621F70B1"/>
    <w:rsid w:val="623440E3"/>
    <w:rsid w:val="62C11F75"/>
    <w:rsid w:val="63AD31D6"/>
    <w:rsid w:val="63F45922"/>
    <w:rsid w:val="63FA9E64"/>
    <w:rsid w:val="642D59DD"/>
    <w:rsid w:val="64552C80"/>
    <w:rsid w:val="64A46D3C"/>
    <w:rsid w:val="64B471EC"/>
    <w:rsid w:val="64B8477B"/>
    <w:rsid w:val="650E2AFA"/>
    <w:rsid w:val="65201E63"/>
    <w:rsid w:val="65467FB4"/>
    <w:rsid w:val="65576889"/>
    <w:rsid w:val="65B631D5"/>
    <w:rsid w:val="65E22365"/>
    <w:rsid w:val="66D0344A"/>
    <w:rsid w:val="66E12943"/>
    <w:rsid w:val="66E51324"/>
    <w:rsid w:val="6768755E"/>
    <w:rsid w:val="67785D3F"/>
    <w:rsid w:val="682D26C9"/>
    <w:rsid w:val="68B40AA5"/>
    <w:rsid w:val="695156F5"/>
    <w:rsid w:val="697220FA"/>
    <w:rsid w:val="69BA3375"/>
    <w:rsid w:val="6AAC3E13"/>
    <w:rsid w:val="6AF15F61"/>
    <w:rsid w:val="6AFF7F07"/>
    <w:rsid w:val="6B7C51F4"/>
    <w:rsid w:val="6C327594"/>
    <w:rsid w:val="6D6C4DF4"/>
    <w:rsid w:val="6EA73B36"/>
    <w:rsid w:val="6EB95310"/>
    <w:rsid w:val="6EDB549D"/>
    <w:rsid w:val="6EDF5C69"/>
    <w:rsid w:val="6F307A5C"/>
    <w:rsid w:val="6FCB2E2D"/>
    <w:rsid w:val="6FDE22B1"/>
    <w:rsid w:val="70014C2C"/>
    <w:rsid w:val="70440E62"/>
    <w:rsid w:val="71D87086"/>
    <w:rsid w:val="723A7418"/>
    <w:rsid w:val="72E87C49"/>
    <w:rsid w:val="72EA2869"/>
    <w:rsid w:val="731F235D"/>
    <w:rsid w:val="73B607EC"/>
    <w:rsid w:val="73FAC8F3"/>
    <w:rsid w:val="740A5BF7"/>
    <w:rsid w:val="74295275"/>
    <w:rsid w:val="745D75D2"/>
    <w:rsid w:val="746D1376"/>
    <w:rsid w:val="74CE18B4"/>
    <w:rsid w:val="74E64AC5"/>
    <w:rsid w:val="75376148"/>
    <w:rsid w:val="75484A81"/>
    <w:rsid w:val="75525BEF"/>
    <w:rsid w:val="75754427"/>
    <w:rsid w:val="757E5B9F"/>
    <w:rsid w:val="75B476D6"/>
    <w:rsid w:val="75B71F5E"/>
    <w:rsid w:val="76580B84"/>
    <w:rsid w:val="766C126D"/>
    <w:rsid w:val="768B7829"/>
    <w:rsid w:val="76B166AA"/>
    <w:rsid w:val="76CA660A"/>
    <w:rsid w:val="76D14C6E"/>
    <w:rsid w:val="77101655"/>
    <w:rsid w:val="781B561E"/>
    <w:rsid w:val="7857592F"/>
    <w:rsid w:val="788F68FB"/>
    <w:rsid w:val="78BA1B7A"/>
    <w:rsid w:val="7933353D"/>
    <w:rsid w:val="7938435E"/>
    <w:rsid w:val="79907C9C"/>
    <w:rsid w:val="79D61E1E"/>
    <w:rsid w:val="79FF492E"/>
    <w:rsid w:val="7A030DBF"/>
    <w:rsid w:val="7A4B6E30"/>
    <w:rsid w:val="7A503DC6"/>
    <w:rsid w:val="7A8A7579"/>
    <w:rsid w:val="7AA9606C"/>
    <w:rsid w:val="7ADB463F"/>
    <w:rsid w:val="7B934CF2"/>
    <w:rsid w:val="7BAF069A"/>
    <w:rsid w:val="7BB76155"/>
    <w:rsid w:val="7C044CE9"/>
    <w:rsid w:val="7C6565D2"/>
    <w:rsid w:val="7CBC3E62"/>
    <w:rsid w:val="7CD9540F"/>
    <w:rsid w:val="7CDD7129"/>
    <w:rsid w:val="7CF95AA3"/>
    <w:rsid w:val="7D7A69D2"/>
    <w:rsid w:val="7DFD5986"/>
    <w:rsid w:val="7E794149"/>
    <w:rsid w:val="7E8F3C0C"/>
    <w:rsid w:val="7F7F4B19"/>
    <w:rsid w:val="9FFDF118"/>
    <w:rsid w:val="A6FBF9D9"/>
    <w:rsid w:val="AFFDFEE1"/>
    <w:rsid w:val="E4B9D4A8"/>
    <w:rsid w:val="E77B86A6"/>
    <w:rsid w:val="E7B70D84"/>
    <w:rsid w:val="FDFE102B"/>
    <w:rsid w:val="FEE3C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7"/>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6">
    <w:name w:val="heading 2"/>
    <w:basedOn w:val="1"/>
    <w:next w:val="7"/>
    <w:link w:val="60"/>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8">
    <w:name w:val="heading 3"/>
    <w:basedOn w:val="1"/>
    <w:next w:val="1"/>
    <w:link w:val="61"/>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9">
    <w:name w:val="heading 4"/>
    <w:basedOn w:val="1"/>
    <w:next w:val="7"/>
    <w:link w:val="62"/>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10">
    <w:name w:val="heading 5"/>
    <w:basedOn w:val="1"/>
    <w:next w:val="7"/>
    <w:link w:val="63"/>
    <w:qFormat/>
    <w:uiPriority w:val="0"/>
    <w:pPr>
      <w:keepNext/>
      <w:widowControl/>
      <w:numPr>
        <w:ilvl w:val="0"/>
        <w:numId w:val="4"/>
      </w:numPr>
      <w:jc w:val="left"/>
      <w:outlineLvl w:val="4"/>
    </w:pPr>
    <w:rPr>
      <w:kern w:val="0"/>
      <w:sz w:val="24"/>
      <w:szCs w:val="20"/>
    </w:rPr>
  </w:style>
  <w:style w:type="paragraph" w:styleId="11">
    <w:name w:val="heading 6"/>
    <w:basedOn w:val="1"/>
    <w:next w:val="1"/>
    <w:link w:val="64"/>
    <w:qFormat/>
    <w:uiPriority w:val="0"/>
    <w:pPr>
      <w:widowControl/>
      <w:spacing w:before="60" w:after="60" w:line="440" w:lineRule="atLeast"/>
      <w:textAlignment w:val="baseline"/>
      <w:outlineLvl w:val="5"/>
    </w:pPr>
    <w:rPr>
      <w:rFonts w:ascii="宋体" w:hAnsi="Arial"/>
      <w:kern w:val="0"/>
      <w:sz w:val="24"/>
      <w:szCs w:val="20"/>
    </w:rPr>
  </w:style>
  <w:style w:type="paragraph" w:styleId="12">
    <w:name w:val="heading 7"/>
    <w:basedOn w:val="1"/>
    <w:next w:val="1"/>
    <w:link w:val="65"/>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3">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next w:val="4"/>
    <w:qFormat/>
    <w:uiPriority w:val="0"/>
    <w:pPr>
      <w:ind w:firstLine="420" w:firstLineChars="100"/>
    </w:pPr>
  </w:style>
  <w:style w:type="paragraph" w:customStyle="1" w:styleId="3">
    <w:name w:val="BodyText"/>
    <w:basedOn w:val="1"/>
    <w:next w:val="2"/>
    <w:qFormat/>
    <w:uiPriority w:val="0"/>
    <w:pPr>
      <w:spacing w:after="120"/>
    </w:pPr>
  </w:style>
  <w:style w:type="paragraph" w:customStyle="1" w:styleId="4">
    <w:name w:val="TOC6"/>
    <w:basedOn w:val="1"/>
    <w:next w:val="1"/>
    <w:qFormat/>
    <w:uiPriority w:val="0"/>
    <w:pPr>
      <w:ind w:left="1050"/>
      <w:jc w:val="left"/>
    </w:pPr>
    <w:rPr>
      <w:szCs w:val="21"/>
    </w:rPr>
  </w:style>
  <w:style w:type="paragraph" w:styleId="7">
    <w:name w:val="Normal Indent"/>
    <w:basedOn w:val="1"/>
    <w:link w:val="58"/>
    <w:qFormat/>
    <w:uiPriority w:val="0"/>
    <w:pPr>
      <w:ind w:firstLine="420" w:firstLineChars="200"/>
    </w:pPr>
  </w:style>
  <w:style w:type="paragraph" w:styleId="15">
    <w:name w:val="List Number 2"/>
    <w:basedOn w:val="1"/>
    <w:qFormat/>
    <w:uiPriority w:val="0"/>
    <w:pPr>
      <w:widowControl/>
      <w:tabs>
        <w:tab w:val="left" w:pos="1697"/>
      </w:tabs>
      <w:spacing w:afterLines="50"/>
      <w:ind w:left="1697" w:hanging="420"/>
      <w:jc w:val="left"/>
    </w:pPr>
    <w:rPr>
      <w:kern w:val="0"/>
      <w:sz w:val="24"/>
      <w:szCs w:val="20"/>
    </w:rPr>
  </w:style>
  <w:style w:type="paragraph" w:styleId="16">
    <w:name w:val="List Number"/>
    <w:basedOn w:val="1"/>
    <w:qFormat/>
    <w:uiPriority w:val="0"/>
    <w:pPr>
      <w:widowControl/>
      <w:tabs>
        <w:tab w:val="left" w:pos="454"/>
      </w:tabs>
      <w:spacing w:afterLines="50"/>
      <w:ind w:left="454" w:hanging="284"/>
      <w:jc w:val="left"/>
    </w:pPr>
    <w:rPr>
      <w:kern w:val="0"/>
      <w:sz w:val="24"/>
      <w:szCs w:val="20"/>
    </w:rPr>
  </w:style>
  <w:style w:type="paragraph" w:styleId="17">
    <w:name w:val="caption"/>
    <w:basedOn w:val="1"/>
    <w:next w:val="1"/>
    <w:qFormat/>
    <w:uiPriority w:val="0"/>
    <w:pPr>
      <w:spacing w:line="360" w:lineRule="auto"/>
      <w:jc w:val="center"/>
    </w:pPr>
    <w:rPr>
      <w:rFonts w:ascii="Calibri" w:hAnsi="Calibri"/>
      <w:sz w:val="20"/>
      <w:szCs w:val="20"/>
    </w:rPr>
  </w:style>
  <w:style w:type="paragraph" w:styleId="18">
    <w:name w:val="Document Map"/>
    <w:basedOn w:val="1"/>
    <w:link w:val="124"/>
    <w:semiHidden/>
    <w:qFormat/>
    <w:uiPriority w:val="0"/>
    <w:pPr>
      <w:shd w:val="clear" w:color="auto" w:fill="000080"/>
    </w:pPr>
  </w:style>
  <w:style w:type="paragraph" w:styleId="19">
    <w:name w:val="annotation text"/>
    <w:basedOn w:val="1"/>
    <w:link w:val="76"/>
    <w:qFormat/>
    <w:uiPriority w:val="0"/>
    <w:pPr>
      <w:jc w:val="left"/>
    </w:pPr>
  </w:style>
  <w:style w:type="paragraph" w:styleId="20">
    <w:name w:val="Body Text"/>
    <w:basedOn w:val="1"/>
    <w:next w:val="1"/>
    <w:link w:val="89"/>
    <w:qFormat/>
    <w:uiPriority w:val="0"/>
    <w:pPr>
      <w:spacing w:line="360" w:lineRule="auto"/>
    </w:pPr>
    <w:rPr>
      <w:rFonts w:eastAsia="仿宋_GB2312"/>
      <w:sz w:val="28"/>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widowControl/>
      <w:tabs>
        <w:tab w:val="left" w:pos="482"/>
      </w:tabs>
      <w:spacing w:afterLines="50"/>
      <w:ind w:left="482" w:hanging="340"/>
      <w:jc w:val="left"/>
    </w:pPr>
    <w:rPr>
      <w:kern w:val="0"/>
      <w:sz w:val="24"/>
      <w:szCs w:val="20"/>
    </w:rPr>
  </w:style>
  <w:style w:type="paragraph" w:styleId="23">
    <w:name w:val="List 2"/>
    <w:basedOn w:val="1"/>
    <w:unhideWhenUsed/>
    <w:qFormat/>
    <w:uiPriority w:val="0"/>
    <w:pPr>
      <w:ind w:left="100" w:leftChars="200" w:hanging="200" w:hangingChars="200"/>
      <w:contextualSpacing/>
    </w:pPr>
  </w:style>
  <w:style w:type="paragraph" w:styleId="24">
    <w:name w:val="Block Text"/>
    <w:basedOn w:val="1"/>
    <w:qFormat/>
    <w:uiPriority w:val="0"/>
    <w:pPr>
      <w:spacing w:before="120" w:line="360" w:lineRule="auto"/>
      <w:ind w:left="824" w:right="202"/>
    </w:pPr>
    <w:rPr>
      <w:rFonts w:ascii="宋体" w:hAnsi="宋体"/>
      <w:sz w:val="24"/>
      <w:szCs w:val="21"/>
    </w:rPr>
  </w:style>
  <w:style w:type="paragraph" w:styleId="25">
    <w:name w:val="index 4"/>
    <w:basedOn w:val="1"/>
    <w:next w:val="1"/>
    <w:unhideWhenUsed/>
    <w:qFormat/>
    <w:uiPriority w:val="99"/>
    <w:pPr>
      <w:ind w:left="600" w:leftChars="600"/>
    </w:pPr>
  </w:style>
  <w:style w:type="paragraph" w:styleId="26">
    <w:name w:val="toc 3"/>
    <w:basedOn w:val="1"/>
    <w:next w:val="1"/>
    <w:unhideWhenUsed/>
    <w:qFormat/>
    <w:uiPriority w:val="0"/>
    <w:pPr>
      <w:ind w:left="840" w:leftChars="400"/>
    </w:pPr>
    <w:rPr>
      <w:rFonts w:ascii="Calibri" w:hAnsi="Calibri"/>
      <w:szCs w:val="22"/>
    </w:rPr>
  </w:style>
  <w:style w:type="paragraph" w:styleId="27">
    <w:name w:val="Plain Text"/>
    <w:basedOn w:val="1"/>
    <w:link w:val="68"/>
    <w:qFormat/>
    <w:uiPriority w:val="0"/>
    <w:rPr>
      <w:rFonts w:ascii="宋体" w:hAnsi="Courier New"/>
      <w:szCs w:val="20"/>
    </w:rPr>
  </w:style>
  <w:style w:type="paragraph" w:styleId="28">
    <w:name w:val="Date"/>
    <w:basedOn w:val="1"/>
    <w:next w:val="1"/>
    <w:link w:val="71"/>
    <w:qFormat/>
    <w:uiPriority w:val="0"/>
    <w:rPr>
      <w:rFonts w:ascii="楷体_GB2312" w:eastAsia="楷体_GB2312"/>
      <w:b/>
      <w:sz w:val="28"/>
      <w:szCs w:val="20"/>
    </w:rPr>
  </w:style>
  <w:style w:type="paragraph" w:styleId="29">
    <w:name w:val="Body Text Indent 2"/>
    <w:basedOn w:val="1"/>
    <w:link w:val="85"/>
    <w:qFormat/>
    <w:uiPriority w:val="0"/>
    <w:pPr>
      <w:spacing w:after="120" w:line="480" w:lineRule="auto"/>
      <w:ind w:left="420" w:leftChars="200"/>
    </w:pPr>
  </w:style>
  <w:style w:type="paragraph" w:styleId="30">
    <w:name w:val="Balloon Text"/>
    <w:basedOn w:val="1"/>
    <w:link w:val="202"/>
    <w:semiHidden/>
    <w:qFormat/>
    <w:uiPriority w:val="0"/>
    <w:rPr>
      <w:sz w:val="18"/>
      <w:szCs w:val="18"/>
    </w:rPr>
  </w:style>
  <w:style w:type="paragraph" w:styleId="31">
    <w:name w:val="footer"/>
    <w:basedOn w:val="1"/>
    <w:link w:val="73"/>
    <w:qFormat/>
    <w:uiPriority w:val="0"/>
    <w:pPr>
      <w:tabs>
        <w:tab w:val="center" w:pos="4153"/>
        <w:tab w:val="right" w:pos="8306"/>
      </w:tabs>
      <w:snapToGrid w:val="0"/>
      <w:jc w:val="left"/>
    </w:pPr>
    <w:rPr>
      <w:sz w:val="18"/>
      <w:szCs w:val="18"/>
    </w:rPr>
  </w:style>
  <w:style w:type="paragraph" w:styleId="32">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style>
  <w:style w:type="paragraph" w:styleId="34">
    <w:name w:val="toc 4"/>
    <w:basedOn w:val="1"/>
    <w:next w:val="1"/>
    <w:semiHidden/>
    <w:qFormat/>
    <w:uiPriority w:val="0"/>
    <w:pPr>
      <w:tabs>
        <w:tab w:val="right" w:leader="dot" w:pos="8314"/>
      </w:tabs>
      <w:ind w:firstLine="588" w:firstLineChars="245"/>
    </w:pPr>
  </w:style>
  <w:style w:type="paragraph" w:styleId="35">
    <w:name w:val="Body Text Indent 3"/>
    <w:basedOn w:val="1"/>
    <w:link w:val="203"/>
    <w:qFormat/>
    <w:uiPriority w:val="0"/>
    <w:pPr>
      <w:spacing w:after="120"/>
      <w:ind w:left="420" w:leftChars="200"/>
    </w:pPr>
    <w:rPr>
      <w:sz w:val="16"/>
      <w:szCs w:val="16"/>
    </w:rPr>
  </w:style>
  <w:style w:type="paragraph" w:styleId="36">
    <w:name w:val="toc 2"/>
    <w:basedOn w:val="1"/>
    <w:next w:val="1"/>
    <w:semiHidden/>
    <w:qFormat/>
    <w:uiPriority w:val="0"/>
    <w:pPr>
      <w:ind w:left="420" w:leftChars="200"/>
    </w:pPr>
  </w:style>
  <w:style w:type="paragraph" w:styleId="37">
    <w:name w:val="Body Text 2"/>
    <w:basedOn w:val="1"/>
    <w:link w:val="77"/>
    <w:qFormat/>
    <w:uiPriority w:val="0"/>
    <w:pPr>
      <w:widowControl/>
      <w:spacing w:afterLines="50" w:line="216" w:lineRule="auto"/>
      <w:jc w:val="center"/>
    </w:pPr>
    <w:rPr>
      <w:rFonts w:ascii="隶书" w:eastAsia="隶书"/>
      <w:bCs/>
      <w:kern w:val="0"/>
      <w:sz w:val="72"/>
      <w:szCs w:val="84"/>
    </w:rPr>
  </w:style>
  <w:style w:type="paragraph" w:styleId="38">
    <w:name w:val="List Continue 2"/>
    <w:basedOn w:val="1"/>
    <w:qFormat/>
    <w:uiPriority w:val="0"/>
    <w:pPr>
      <w:spacing w:after="120"/>
      <w:ind w:left="840" w:leftChars="400"/>
    </w:pPr>
  </w:style>
  <w:style w:type="paragraph" w:styleId="39">
    <w:name w:val="HTML Preformatted"/>
    <w:basedOn w:val="1"/>
    <w:link w:val="2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0">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41">
    <w:name w:val="index 1"/>
    <w:basedOn w:val="1"/>
    <w:next w:val="1"/>
    <w:semiHidden/>
    <w:qFormat/>
    <w:uiPriority w:val="0"/>
    <w:pPr>
      <w:spacing w:line="320" w:lineRule="exact"/>
    </w:pPr>
    <w:rPr>
      <w:b/>
      <w:snapToGrid w:val="0"/>
      <w:color w:val="FF6600"/>
      <w:kern w:val="0"/>
      <w:sz w:val="18"/>
      <w:szCs w:val="21"/>
    </w:rPr>
  </w:style>
  <w:style w:type="paragraph" w:styleId="42">
    <w:name w:val="Title"/>
    <w:basedOn w:val="1"/>
    <w:next w:val="1"/>
    <w:link w:val="179"/>
    <w:qFormat/>
    <w:uiPriority w:val="0"/>
    <w:pPr>
      <w:adjustRightInd w:val="0"/>
      <w:spacing w:before="240" w:after="60"/>
      <w:jc w:val="center"/>
      <w:outlineLvl w:val="0"/>
    </w:pPr>
    <w:rPr>
      <w:rFonts w:ascii="Calibri Light" w:hAnsi="Calibri Light"/>
      <w:b/>
      <w:bCs/>
      <w:sz w:val="32"/>
      <w:szCs w:val="32"/>
    </w:rPr>
  </w:style>
  <w:style w:type="paragraph" w:styleId="43">
    <w:name w:val="annotation subject"/>
    <w:basedOn w:val="19"/>
    <w:next w:val="19"/>
    <w:link w:val="205"/>
    <w:semiHidden/>
    <w:qFormat/>
    <w:uiPriority w:val="0"/>
    <w:pPr>
      <w:widowControl/>
      <w:spacing w:afterLines="50"/>
    </w:pPr>
    <w:rPr>
      <w:b/>
      <w:bCs/>
      <w:kern w:val="0"/>
      <w:sz w:val="24"/>
      <w:szCs w:val="20"/>
    </w:rPr>
  </w:style>
  <w:style w:type="paragraph" w:styleId="44">
    <w:name w:val="Body Text First Indent"/>
    <w:basedOn w:val="20"/>
    <w:link w:val="206"/>
    <w:qFormat/>
    <w:uiPriority w:val="0"/>
    <w:pPr>
      <w:spacing w:after="120" w:line="240" w:lineRule="auto"/>
      <w:ind w:firstLine="420" w:firstLineChars="100"/>
    </w:pPr>
    <w:rPr>
      <w:rFonts w:eastAsia="宋体"/>
      <w:sz w:val="21"/>
    </w:rPr>
  </w:style>
  <w:style w:type="paragraph" w:styleId="45">
    <w:name w:val="Body Text First Indent 2"/>
    <w:basedOn w:val="21"/>
    <w:link w:val="207"/>
    <w:qFormat/>
    <w:uiPriority w:val="0"/>
    <w:pPr>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paragraph" w:customStyle="1" w:styleId="55">
    <w:name w:val="[Normal]"/>
    <w:qFormat/>
    <w:uiPriority w:val="0"/>
    <w:rPr>
      <w:rFonts w:ascii="宋体" w:hAnsi="宋体" w:eastAsia="宋体" w:cs="Times New Roman"/>
      <w:sz w:val="24"/>
      <w:szCs w:val="22"/>
      <w:lang w:val="zh-CN" w:eastAsia="zh-CN" w:bidi="ar-SA"/>
    </w:rPr>
  </w:style>
  <w:style w:type="paragraph" w:customStyle="1" w:styleId="56">
    <w:name w:val="首行缩进"/>
    <w:basedOn w:val="1"/>
    <w:qFormat/>
    <w:uiPriority w:val="99"/>
    <w:pPr>
      <w:spacing w:line="360" w:lineRule="auto"/>
      <w:ind w:firstLine="480" w:firstLineChars="200"/>
    </w:pPr>
    <w:rPr>
      <w:sz w:val="24"/>
      <w:szCs w:val="22"/>
      <w:lang w:val="zh-CN"/>
    </w:rPr>
  </w:style>
  <w:style w:type="character" w:customStyle="1" w:styleId="57">
    <w:name w:val="标题 1 字符"/>
    <w:link w:val="5"/>
    <w:qFormat/>
    <w:uiPriority w:val="0"/>
    <w:rPr>
      <w:rFonts w:eastAsia="仿宋_GB2312"/>
      <w:b/>
      <w:kern w:val="44"/>
      <w:sz w:val="44"/>
      <w:lang w:val="en-US" w:eastAsia="zh-CN" w:bidi="ar-SA"/>
    </w:rPr>
  </w:style>
  <w:style w:type="character" w:customStyle="1" w:styleId="58">
    <w:name w:val="正文缩进 字符"/>
    <w:link w:val="7"/>
    <w:qFormat/>
    <w:uiPriority w:val="0"/>
    <w:rPr>
      <w:rFonts w:eastAsia="宋体"/>
      <w:kern w:val="2"/>
      <w:sz w:val="21"/>
      <w:szCs w:val="24"/>
      <w:lang w:val="en-US" w:eastAsia="zh-CN" w:bidi="ar-SA"/>
    </w:rPr>
  </w:style>
  <w:style w:type="paragraph" w:customStyle="1" w:styleId="59">
    <w:name w:val="_Style 15"/>
    <w:basedOn w:val="1"/>
    <w:qFormat/>
    <w:uiPriority w:val="0"/>
    <w:rPr>
      <w:rFonts w:ascii="Tahoma" w:hAnsi="Tahoma"/>
      <w:sz w:val="24"/>
      <w:szCs w:val="20"/>
    </w:rPr>
  </w:style>
  <w:style w:type="character" w:customStyle="1" w:styleId="60">
    <w:name w:val="标题 2 字符"/>
    <w:link w:val="6"/>
    <w:qFormat/>
    <w:uiPriority w:val="0"/>
    <w:rPr>
      <w:rFonts w:ascii="Arial" w:hAnsi="Arial" w:eastAsia="黑体"/>
      <w:b/>
      <w:kern w:val="2"/>
      <w:sz w:val="32"/>
      <w:lang w:val="en-US" w:eastAsia="zh-CN" w:bidi="ar-SA"/>
    </w:rPr>
  </w:style>
  <w:style w:type="character" w:customStyle="1" w:styleId="61">
    <w:name w:val="标题 3 字符"/>
    <w:link w:val="8"/>
    <w:qFormat/>
    <w:uiPriority w:val="0"/>
    <w:rPr>
      <w:rFonts w:eastAsia="仿宋_GB2312"/>
      <w:b/>
      <w:kern w:val="2"/>
      <w:sz w:val="32"/>
      <w:lang w:val="en-US" w:eastAsia="zh-CN" w:bidi="ar-SA"/>
    </w:rPr>
  </w:style>
  <w:style w:type="character" w:customStyle="1" w:styleId="62">
    <w:name w:val="标题 4 字符"/>
    <w:link w:val="9"/>
    <w:qFormat/>
    <w:uiPriority w:val="0"/>
    <w:rPr>
      <w:rFonts w:ascii="Arial" w:hAnsi="Arial" w:eastAsia="黑体"/>
      <w:b/>
      <w:kern w:val="2"/>
      <w:sz w:val="28"/>
      <w:lang w:val="en-US" w:eastAsia="zh-CN" w:bidi="ar-SA"/>
    </w:rPr>
  </w:style>
  <w:style w:type="character" w:customStyle="1" w:styleId="63">
    <w:name w:val="标题 5 字符"/>
    <w:link w:val="10"/>
    <w:qFormat/>
    <w:uiPriority w:val="0"/>
    <w:rPr>
      <w:rFonts w:eastAsia="宋体"/>
      <w:sz w:val="24"/>
      <w:lang w:val="en-US" w:eastAsia="zh-CN" w:bidi="ar-SA"/>
    </w:rPr>
  </w:style>
  <w:style w:type="character" w:customStyle="1" w:styleId="64">
    <w:name w:val="标题 6 字符"/>
    <w:link w:val="11"/>
    <w:qFormat/>
    <w:uiPriority w:val="0"/>
    <w:rPr>
      <w:rFonts w:ascii="宋体" w:hAnsi="Arial" w:eastAsia="宋体"/>
      <w:sz w:val="24"/>
      <w:lang w:val="en-US" w:eastAsia="zh-CN" w:bidi="ar-SA"/>
    </w:rPr>
  </w:style>
  <w:style w:type="character" w:customStyle="1" w:styleId="65">
    <w:name w:val="标题 7 字符"/>
    <w:link w:val="12"/>
    <w:qFormat/>
    <w:uiPriority w:val="0"/>
    <w:rPr>
      <w:rFonts w:ascii="宋体" w:hAnsi="Arial" w:eastAsia="宋体"/>
      <w:b/>
      <w:sz w:val="24"/>
      <w:lang w:val="en-US" w:eastAsia="zh-CN" w:bidi="ar-SA"/>
    </w:rPr>
  </w:style>
  <w:style w:type="character" w:customStyle="1" w:styleId="66">
    <w:name w:val="标题 8 字符"/>
    <w:link w:val="13"/>
    <w:qFormat/>
    <w:uiPriority w:val="0"/>
    <w:rPr>
      <w:rFonts w:ascii="Arial" w:hAnsi="Arial" w:eastAsia="黑体"/>
      <w:sz w:val="24"/>
      <w:lang w:val="en-US" w:eastAsia="zh-CN" w:bidi="ar-SA"/>
    </w:rPr>
  </w:style>
  <w:style w:type="character" w:customStyle="1" w:styleId="67">
    <w:name w:val="标题 9 字符"/>
    <w:link w:val="14"/>
    <w:qFormat/>
    <w:uiPriority w:val="0"/>
    <w:rPr>
      <w:rFonts w:ascii="Arial" w:hAnsi="Arial" w:eastAsia="黑体"/>
      <w:sz w:val="24"/>
      <w:lang w:val="en-US" w:eastAsia="zh-CN" w:bidi="ar-SA"/>
    </w:rPr>
  </w:style>
  <w:style w:type="character" w:customStyle="1" w:styleId="68">
    <w:name w:val="纯文本 字符"/>
    <w:link w:val="27"/>
    <w:qFormat/>
    <w:uiPriority w:val="0"/>
    <w:rPr>
      <w:rFonts w:ascii="宋体" w:hAnsi="Courier New" w:eastAsia="宋体"/>
      <w:kern w:val="2"/>
      <w:sz w:val="21"/>
      <w:lang w:val="en-US" w:eastAsia="zh-CN" w:bidi="ar-SA"/>
    </w:rPr>
  </w:style>
  <w:style w:type="paragraph" w:customStyle="1" w:styleId="69">
    <w:name w:val="表正文"/>
    <w:basedOn w:val="1"/>
    <w:next w:val="27"/>
    <w:qFormat/>
    <w:uiPriority w:val="0"/>
    <w:rPr>
      <w:rFonts w:ascii="宋体" w:hAnsi="Courier New"/>
      <w:szCs w:val="20"/>
    </w:rPr>
  </w:style>
  <w:style w:type="character" w:customStyle="1" w:styleId="70">
    <w:name w:val="正文文本缩进 字符"/>
    <w:link w:val="21"/>
    <w:qFormat/>
    <w:uiPriority w:val="0"/>
    <w:rPr>
      <w:rFonts w:eastAsia="宋体"/>
      <w:kern w:val="2"/>
      <w:sz w:val="21"/>
      <w:szCs w:val="24"/>
      <w:lang w:val="en-US" w:eastAsia="zh-CN" w:bidi="ar-SA"/>
    </w:rPr>
  </w:style>
  <w:style w:type="character" w:customStyle="1" w:styleId="71">
    <w:name w:val="日期 字符"/>
    <w:link w:val="28"/>
    <w:qFormat/>
    <w:uiPriority w:val="0"/>
    <w:rPr>
      <w:rFonts w:ascii="楷体_GB2312" w:eastAsia="楷体_GB2312"/>
      <w:b/>
      <w:kern w:val="2"/>
      <w:sz w:val="28"/>
      <w:lang w:val="en-US" w:eastAsia="zh-CN" w:bidi="ar-SA"/>
    </w:rPr>
  </w:style>
  <w:style w:type="character" w:customStyle="1" w:styleId="72">
    <w:name w:val="页眉 字符"/>
    <w:link w:val="32"/>
    <w:qFormat/>
    <w:uiPriority w:val="0"/>
    <w:rPr>
      <w:rFonts w:eastAsia="宋体"/>
      <w:kern w:val="2"/>
      <w:sz w:val="18"/>
      <w:szCs w:val="18"/>
      <w:lang w:val="en-US" w:eastAsia="zh-CN" w:bidi="ar-SA"/>
    </w:rPr>
  </w:style>
  <w:style w:type="character" w:customStyle="1" w:styleId="73">
    <w:name w:val="页脚 字符"/>
    <w:link w:val="31"/>
    <w:qFormat/>
    <w:locked/>
    <w:uiPriority w:val="0"/>
    <w:rPr>
      <w:rFonts w:eastAsia="宋体"/>
      <w:kern w:val="2"/>
      <w:sz w:val="18"/>
      <w:szCs w:val="18"/>
      <w:lang w:val="en-US" w:eastAsia="zh-CN" w:bidi="ar-SA"/>
    </w:rPr>
  </w:style>
  <w:style w:type="paragraph" w:customStyle="1" w:styleId="74">
    <w:name w:val="正文段"/>
    <w:basedOn w:val="1"/>
    <w:link w:val="75"/>
    <w:qFormat/>
    <w:uiPriority w:val="0"/>
    <w:pPr>
      <w:widowControl/>
      <w:snapToGrid w:val="0"/>
      <w:spacing w:afterLines="50"/>
      <w:ind w:firstLine="200" w:firstLineChars="200"/>
    </w:pPr>
    <w:rPr>
      <w:kern w:val="0"/>
      <w:sz w:val="24"/>
      <w:szCs w:val="20"/>
    </w:rPr>
  </w:style>
  <w:style w:type="character" w:customStyle="1" w:styleId="75">
    <w:name w:val="正文段 Char"/>
    <w:link w:val="74"/>
    <w:qFormat/>
    <w:uiPriority w:val="0"/>
    <w:rPr>
      <w:rFonts w:eastAsia="宋体"/>
      <w:sz w:val="24"/>
      <w:lang w:val="en-US" w:eastAsia="zh-CN" w:bidi="ar-SA"/>
    </w:rPr>
  </w:style>
  <w:style w:type="character" w:customStyle="1" w:styleId="76">
    <w:name w:val="批注文字 字符"/>
    <w:link w:val="19"/>
    <w:qFormat/>
    <w:uiPriority w:val="0"/>
    <w:rPr>
      <w:rFonts w:eastAsia="宋体"/>
      <w:kern w:val="2"/>
      <w:sz w:val="21"/>
      <w:szCs w:val="24"/>
      <w:lang w:val="en-US" w:eastAsia="zh-CN" w:bidi="ar-SA"/>
    </w:rPr>
  </w:style>
  <w:style w:type="character" w:customStyle="1" w:styleId="77">
    <w:name w:val="正文文本 2 字符"/>
    <w:link w:val="37"/>
    <w:qFormat/>
    <w:uiPriority w:val="0"/>
    <w:rPr>
      <w:rFonts w:ascii="隶书" w:eastAsia="隶书"/>
      <w:bCs/>
      <w:sz w:val="72"/>
      <w:szCs w:val="84"/>
      <w:lang w:val="en-US" w:eastAsia="zh-CN" w:bidi="ar-SA"/>
    </w:rPr>
  </w:style>
  <w:style w:type="paragraph" w:customStyle="1" w:styleId="78">
    <w:name w:val="Char"/>
    <w:basedOn w:val="1"/>
    <w:qFormat/>
    <w:uiPriority w:val="0"/>
    <w:rPr>
      <w:rFonts w:ascii="仿宋_GB2312" w:eastAsia="仿宋_GB2312"/>
      <w:b/>
      <w:sz w:val="32"/>
      <w:szCs w:val="32"/>
    </w:rPr>
  </w:style>
  <w:style w:type="paragraph" w:customStyle="1" w:styleId="79">
    <w:name w:val="Table Text"/>
    <w:link w:val="80"/>
    <w:qFormat/>
    <w:uiPriority w:val="0"/>
    <w:pPr>
      <w:snapToGrid w:val="0"/>
      <w:spacing w:before="80" w:after="80"/>
    </w:pPr>
    <w:rPr>
      <w:rFonts w:ascii="Arial" w:hAnsi="Arial" w:eastAsia="宋体" w:cs="Times New Roman"/>
      <w:sz w:val="18"/>
      <w:lang w:val="en-US" w:eastAsia="zh-CN" w:bidi="ar-SA"/>
    </w:rPr>
  </w:style>
  <w:style w:type="character" w:customStyle="1" w:styleId="80">
    <w:name w:val="Table Text Char1"/>
    <w:link w:val="79"/>
    <w:qFormat/>
    <w:uiPriority w:val="0"/>
    <w:rPr>
      <w:rFonts w:ascii="Arial" w:hAnsi="Arial"/>
      <w:sz w:val="18"/>
      <w:lang w:val="en-US" w:eastAsia="zh-CN" w:bidi="ar-SA"/>
    </w:rPr>
  </w:style>
  <w:style w:type="character" w:customStyle="1" w:styleId="81">
    <w:name w:val="正文（缩进2汉字） Char"/>
    <w:link w:val="82"/>
    <w:qFormat/>
    <w:uiPriority w:val="0"/>
    <w:rPr>
      <w:rFonts w:ascii="宋体"/>
      <w:kern w:val="2"/>
      <w:sz w:val="21"/>
      <w:lang w:bidi="ar-SA"/>
    </w:rPr>
  </w:style>
  <w:style w:type="paragraph" w:customStyle="1" w:styleId="82">
    <w:name w:val="正文（缩进2汉字）"/>
    <w:basedOn w:val="1"/>
    <w:link w:val="81"/>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3">
    <w:name w:val="Char111"/>
    <w:basedOn w:val="1"/>
    <w:qFormat/>
    <w:uiPriority w:val="0"/>
    <w:pPr>
      <w:tabs>
        <w:tab w:val="left" w:pos="432"/>
      </w:tabs>
      <w:spacing w:beforeLines="50" w:afterLines="50"/>
      <w:ind w:left="432" w:hanging="432"/>
      <w:jc w:val="center"/>
    </w:pPr>
    <w:rPr>
      <w:sz w:val="24"/>
    </w:rPr>
  </w:style>
  <w:style w:type="paragraph" w:customStyle="1" w:styleId="84">
    <w:name w:val="模板普通正文"/>
    <w:basedOn w:val="21"/>
    <w:qFormat/>
    <w:uiPriority w:val="0"/>
    <w:pPr>
      <w:spacing w:beforeLines="50" w:after="10" w:line="360" w:lineRule="auto"/>
      <w:ind w:left="0" w:leftChars="0" w:firstLine="175" w:firstLineChars="175"/>
      <w:jc w:val="left"/>
    </w:pPr>
    <w:rPr>
      <w:sz w:val="24"/>
    </w:rPr>
  </w:style>
  <w:style w:type="character" w:customStyle="1" w:styleId="85">
    <w:name w:val="正文文本缩进 2 字符"/>
    <w:link w:val="29"/>
    <w:qFormat/>
    <w:locked/>
    <w:uiPriority w:val="0"/>
    <w:rPr>
      <w:rFonts w:eastAsia="宋体"/>
      <w:kern w:val="2"/>
      <w:sz w:val="21"/>
      <w:szCs w:val="24"/>
      <w:lang w:val="en-US" w:eastAsia="zh-CN" w:bidi="ar-SA"/>
    </w:rPr>
  </w:style>
  <w:style w:type="paragraph" w:customStyle="1" w:styleId="86">
    <w:name w:val="缺省文本"/>
    <w:basedOn w:val="1"/>
    <w:qFormat/>
    <w:uiPriority w:val="0"/>
    <w:pPr>
      <w:autoSpaceDE w:val="0"/>
      <w:autoSpaceDN w:val="0"/>
      <w:adjustRightInd w:val="0"/>
      <w:jc w:val="left"/>
    </w:pPr>
    <w:rPr>
      <w:kern w:val="0"/>
      <w:sz w:val="24"/>
    </w:rPr>
  </w:style>
  <w:style w:type="paragraph" w:customStyle="1" w:styleId="87">
    <w:name w:val="WW-正文文字缩进 2"/>
    <w:basedOn w:val="1"/>
    <w:qFormat/>
    <w:uiPriority w:val="0"/>
    <w:pPr>
      <w:suppressAutoHyphens/>
      <w:ind w:firstLine="420"/>
    </w:pPr>
    <w:rPr>
      <w:kern w:val="1"/>
      <w:szCs w:val="20"/>
    </w:rPr>
  </w:style>
  <w:style w:type="paragraph" w:customStyle="1" w:styleId="88">
    <w:name w:val="默认段落字体 Para Char Char Char Char Char Char Char Char Char1 Char Char Char Char"/>
    <w:basedOn w:val="1"/>
    <w:qFormat/>
    <w:uiPriority w:val="0"/>
    <w:rPr>
      <w:rFonts w:ascii="Tahoma" w:hAnsi="Tahoma"/>
      <w:sz w:val="24"/>
      <w:szCs w:val="20"/>
    </w:rPr>
  </w:style>
  <w:style w:type="character" w:customStyle="1" w:styleId="89">
    <w:name w:val="正文文本 字符"/>
    <w:link w:val="20"/>
    <w:qFormat/>
    <w:locked/>
    <w:uiPriority w:val="0"/>
    <w:rPr>
      <w:rFonts w:eastAsia="仿宋_GB2312"/>
      <w:kern w:val="2"/>
      <w:sz w:val="28"/>
      <w:szCs w:val="24"/>
      <w:lang w:val="en-US" w:eastAsia="zh-CN" w:bidi="ar-SA"/>
    </w:rPr>
  </w:style>
  <w:style w:type="paragraph" w:customStyle="1" w:styleId="90">
    <w:name w:val="项目排列"/>
    <w:basedOn w:val="1"/>
    <w:link w:val="91"/>
    <w:qFormat/>
    <w:uiPriority w:val="0"/>
    <w:pPr>
      <w:tabs>
        <w:tab w:val="left" w:pos="900"/>
      </w:tabs>
      <w:spacing w:beforeLines="50" w:afterLines="50" w:line="300" w:lineRule="auto"/>
      <w:ind w:left="900" w:hanging="420"/>
    </w:pPr>
    <w:rPr>
      <w:sz w:val="24"/>
    </w:rPr>
  </w:style>
  <w:style w:type="character" w:customStyle="1" w:styleId="91">
    <w:name w:val="项目排列 Char"/>
    <w:link w:val="90"/>
    <w:qFormat/>
    <w:uiPriority w:val="0"/>
    <w:rPr>
      <w:kern w:val="2"/>
      <w:sz w:val="24"/>
      <w:szCs w:val="24"/>
    </w:rPr>
  </w:style>
  <w:style w:type="character" w:customStyle="1" w:styleId="92">
    <w:name w:val="style21"/>
    <w:qFormat/>
    <w:uiPriority w:val="0"/>
    <w:rPr>
      <w:sz w:val="15"/>
      <w:szCs w:val="15"/>
    </w:rPr>
  </w:style>
  <w:style w:type="paragraph" w:customStyle="1" w:styleId="93">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4">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5">
    <w:name w:val="Char1"/>
    <w:basedOn w:val="1"/>
    <w:qFormat/>
    <w:uiPriority w:val="0"/>
    <w:rPr>
      <w:szCs w:val="20"/>
    </w:rPr>
  </w:style>
  <w:style w:type="paragraph" w:customStyle="1" w:styleId="96">
    <w:name w:val="列出段落1"/>
    <w:basedOn w:val="1"/>
    <w:qFormat/>
    <w:uiPriority w:val="0"/>
    <w:pPr>
      <w:ind w:firstLine="420" w:firstLineChars="200"/>
    </w:pPr>
    <w:rPr>
      <w:rFonts w:ascii="Calibri" w:hAnsi="Calibri"/>
      <w:szCs w:val="22"/>
    </w:rPr>
  </w:style>
  <w:style w:type="paragraph" w:customStyle="1" w:styleId="97">
    <w:name w:val="默认段落字体 Para Char Char Char Char"/>
    <w:basedOn w:val="1"/>
    <w:qFormat/>
    <w:uiPriority w:val="0"/>
  </w:style>
  <w:style w:type="paragraph" w:customStyle="1" w:styleId="98">
    <w:name w:val="Char Char Char1 Char Char Char1 Char Char Char Char"/>
    <w:basedOn w:val="1"/>
    <w:qFormat/>
    <w:uiPriority w:val="0"/>
  </w:style>
  <w:style w:type="character" w:customStyle="1" w:styleId="99">
    <w:name w:val="font1"/>
    <w:qFormat/>
    <w:uiPriority w:val="0"/>
    <w:rPr>
      <w:color w:val="999999"/>
      <w:sz w:val="18"/>
      <w:szCs w:val="18"/>
      <w:u w:val="none"/>
    </w:rPr>
  </w:style>
  <w:style w:type="paragraph" w:customStyle="1" w:styleId="10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w:basedOn w:val="1"/>
    <w:qFormat/>
    <w:uiPriority w:val="0"/>
    <w:rPr>
      <w:rFonts w:ascii="Tahoma" w:hAnsi="Tahoma"/>
      <w:sz w:val="24"/>
      <w:szCs w:val="20"/>
    </w:rPr>
  </w:style>
  <w:style w:type="character" w:customStyle="1" w:styleId="102">
    <w:name w:val="apple-style-span"/>
    <w:basedOn w:val="48"/>
    <w:qFormat/>
    <w:uiPriority w:val="0"/>
  </w:style>
  <w:style w:type="paragraph" w:customStyle="1" w:styleId="103">
    <w:name w:val="正文无缩进"/>
    <w:basedOn w:val="1"/>
    <w:link w:val="104"/>
    <w:qFormat/>
    <w:uiPriority w:val="0"/>
    <w:pPr>
      <w:spacing w:line="360" w:lineRule="auto"/>
    </w:pPr>
    <w:rPr>
      <w:rFonts w:ascii="宋体"/>
      <w:color w:val="000000"/>
      <w:sz w:val="24"/>
    </w:rPr>
  </w:style>
  <w:style w:type="character" w:customStyle="1" w:styleId="104">
    <w:name w:val="正文无缩进 Char"/>
    <w:link w:val="103"/>
    <w:qFormat/>
    <w:uiPriority w:val="0"/>
    <w:rPr>
      <w:rFonts w:ascii="宋体" w:eastAsia="宋体"/>
      <w:color w:val="000000"/>
      <w:kern w:val="2"/>
      <w:sz w:val="24"/>
      <w:szCs w:val="24"/>
      <w:lang w:val="en-US" w:eastAsia="zh-CN" w:bidi="ar-SA"/>
    </w:rPr>
  </w:style>
  <w:style w:type="paragraph" w:customStyle="1" w:styleId="10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6">
    <w:name w:val="ca-3"/>
    <w:basedOn w:val="48"/>
    <w:qFormat/>
    <w:uiPriority w:val="0"/>
  </w:style>
  <w:style w:type="paragraph" w:customStyle="1" w:styleId="107">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8">
    <w:name w:val="表格 Char Char"/>
    <w:link w:val="109"/>
    <w:qFormat/>
    <w:locked/>
    <w:uiPriority w:val="0"/>
    <w:rPr>
      <w:rFonts w:ascii="宋体" w:hAnsi="宋体" w:eastAsia="宋体"/>
      <w:lang w:val="en-US" w:eastAsia="zh-CN" w:bidi="ar-SA"/>
    </w:rPr>
  </w:style>
  <w:style w:type="paragraph" w:customStyle="1" w:styleId="109">
    <w:name w:val="表格"/>
    <w:basedOn w:val="1"/>
    <w:link w:val="108"/>
    <w:qFormat/>
    <w:uiPriority w:val="0"/>
    <w:pPr>
      <w:snapToGrid w:val="0"/>
      <w:ind w:firstLine="42" w:firstLineChars="21"/>
    </w:pPr>
    <w:rPr>
      <w:rFonts w:ascii="宋体" w:hAnsi="宋体"/>
      <w:kern w:val="0"/>
      <w:sz w:val="20"/>
      <w:szCs w:val="20"/>
    </w:rPr>
  </w:style>
  <w:style w:type="paragraph" w:customStyle="1" w:styleId="110">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11">
    <w:name w:val="Char Char1 Char Char Char Char Char Char"/>
    <w:basedOn w:val="1"/>
    <w:qFormat/>
    <w:uiPriority w:val="0"/>
    <w:pPr>
      <w:widowControl/>
      <w:spacing w:after="160" w:line="240" w:lineRule="exact"/>
      <w:jc w:val="left"/>
    </w:pPr>
  </w:style>
  <w:style w:type="character" w:customStyle="1" w:styleId="112">
    <w:name w:val="Char Char"/>
    <w:qFormat/>
    <w:uiPriority w:val="0"/>
    <w:rPr>
      <w:rFonts w:hint="eastAsia" w:ascii="宋体" w:hAnsi="Courier New" w:eastAsia="宋体"/>
      <w:kern w:val="2"/>
      <w:sz w:val="21"/>
      <w:lang w:val="en-US" w:eastAsia="zh-CN" w:bidi="ar-SA"/>
    </w:rPr>
  </w:style>
  <w:style w:type="character" w:customStyle="1" w:styleId="113">
    <w:name w:val="style51"/>
    <w:qFormat/>
    <w:uiPriority w:val="0"/>
    <w:rPr>
      <w:sz w:val="21"/>
      <w:szCs w:val="21"/>
    </w:rPr>
  </w:style>
  <w:style w:type="paragraph" w:customStyle="1" w:styleId="114">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5">
    <w:name w:val="标准文本"/>
    <w:basedOn w:val="1"/>
    <w:link w:val="116"/>
    <w:qFormat/>
    <w:uiPriority w:val="0"/>
    <w:pPr>
      <w:spacing w:line="360" w:lineRule="auto"/>
      <w:ind w:firstLine="480" w:firstLineChars="200"/>
    </w:pPr>
    <w:rPr>
      <w:rFonts w:cs="宋体"/>
      <w:sz w:val="24"/>
      <w:szCs w:val="20"/>
    </w:rPr>
  </w:style>
  <w:style w:type="character" w:customStyle="1" w:styleId="116">
    <w:name w:val="标准文本 Char"/>
    <w:link w:val="115"/>
    <w:qFormat/>
    <w:uiPriority w:val="0"/>
    <w:rPr>
      <w:rFonts w:eastAsia="宋体" w:cs="宋体"/>
      <w:kern w:val="2"/>
      <w:sz w:val="24"/>
      <w:lang w:val="en-US" w:eastAsia="zh-CN" w:bidi="ar-SA"/>
    </w:rPr>
  </w:style>
  <w:style w:type="paragraph" w:customStyle="1" w:styleId="1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8">
    <w:name w:val="自定义正文"/>
    <w:basedOn w:val="1"/>
    <w:link w:val="119"/>
    <w:qFormat/>
    <w:uiPriority w:val="0"/>
    <w:pPr>
      <w:spacing w:line="480" w:lineRule="exact"/>
      <w:ind w:firstLine="200" w:firstLineChars="200"/>
      <w:jc w:val="left"/>
    </w:pPr>
    <w:rPr>
      <w:rFonts w:ascii="仿宋_GB2312" w:eastAsia="仿宋_GB2312"/>
      <w:sz w:val="28"/>
    </w:rPr>
  </w:style>
  <w:style w:type="character" w:customStyle="1" w:styleId="119">
    <w:name w:val="自定义正文 Char"/>
    <w:link w:val="118"/>
    <w:qFormat/>
    <w:uiPriority w:val="0"/>
    <w:rPr>
      <w:rFonts w:ascii="仿宋_GB2312" w:eastAsia="仿宋_GB2312"/>
      <w:kern w:val="2"/>
      <w:sz w:val="28"/>
      <w:szCs w:val="24"/>
      <w:lang w:val="en-US" w:eastAsia="zh-CN" w:bidi="ar-SA"/>
    </w:rPr>
  </w:style>
  <w:style w:type="paragraph" w:customStyle="1" w:styleId="120">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21">
    <w:name w:val="自定义表格文字"/>
    <w:basedOn w:val="1"/>
    <w:qFormat/>
    <w:uiPriority w:val="0"/>
    <w:pPr>
      <w:spacing w:before="60" w:after="60" w:line="320" w:lineRule="exact"/>
      <w:jc w:val="left"/>
    </w:pPr>
    <w:rPr>
      <w:rFonts w:ascii="宋体" w:eastAsia="楷体_GB2312"/>
    </w:rPr>
  </w:style>
  <w:style w:type="paragraph" w:customStyle="1" w:styleId="122">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3">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4">
    <w:name w:val="文档结构图 字符"/>
    <w:link w:val="18"/>
    <w:semiHidden/>
    <w:qFormat/>
    <w:uiPriority w:val="0"/>
    <w:rPr>
      <w:rFonts w:eastAsia="宋体"/>
      <w:kern w:val="2"/>
      <w:sz w:val="21"/>
      <w:szCs w:val="24"/>
      <w:lang w:val="en-US" w:eastAsia="zh-CN" w:bidi="ar-SA"/>
    </w:rPr>
  </w:style>
  <w:style w:type="character" w:customStyle="1" w:styleId="125">
    <w:name w:val="Char Char12"/>
    <w:qFormat/>
    <w:uiPriority w:val="0"/>
    <w:rPr>
      <w:rFonts w:ascii="宋体" w:hAnsi="Courier New" w:eastAsia="宋体"/>
      <w:kern w:val="2"/>
      <w:sz w:val="21"/>
      <w:lang w:val="en-US" w:eastAsia="zh-CN" w:bidi="ar-SA"/>
    </w:rPr>
  </w:style>
  <w:style w:type="character" w:customStyle="1" w:styleId="126">
    <w:name w:val="H4 Char"/>
    <w:qFormat/>
    <w:uiPriority w:val="0"/>
    <w:rPr>
      <w:rFonts w:ascii="宋体" w:hAnsi="宋体" w:eastAsia="黑体"/>
      <w:b/>
      <w:bCs/>
      <w:color w:val="000000"/>
      <w:spacing w:val="-4"/>
      <w:kern w:val="2"/>
      <w:sz w:val="24"/>
      <w:szCs w:val="30"/>
      <w:lang w:val="en-US" w:eastAsia="zh-CN" w:bidi="ar-SA"/>
    </w:rPr>
  </w:style>
  <w:style w:type="character" w:customStyle="1" w:styleId="127">
    <w:name w:val="H5 Char"/>
    <w:qFormat/>
    <w:uiPriority w:val="0"/>
    <w:rPr>
      <w:rFonts w:ascii="Arial" w:hAnsi="Arial" w:eastAsia="宋体"/>
      <w:sz w:val="24"/>
      <w:lang w:val="en-US" w:eastAsia="zh-CN" w:bidi="ar-SA"/>
    </w:rPr>
  </w:style>
  <w:style w:type="character" w:customStyle="1" w:styleId="128">
    <w:name w:val="Char Char8"/>
    <w:qFormat/>
    <w:uiPriority w:val="0"/>
    <w:rPr>
      <w:rFonts w:ascii="宋体" w:eastAsia="宋体"/>
      <w:kern w:val="2"/>
      <w:sz w:val="28"/>
      <w:lang w:val="en-US" w:eastAsia="zh-CN" w:bidi="ar-SA"/>
    </w:rPr>
  </w:style>
  <w:style w:type="character" w:customStyle="1" w:styleId="129">
    <w:name w:val="Char Char7"/>
    <w:qFormat/>
    <w:uiPriority w:val="0"/>
    <w:rPr>
      <w:rFonts w:eastAsia="仿宋_GB2312"/>
      <w:kern w:val="2"/>
      <w:sz w:val="24"/>
      <w:szCs w:val="24"/>
      <w:lang w:val="en-US" w:eastAsia="zh-CN" w:bidi="ar-SA"/>
    </w:rPr>
  </w:style>
  <w:style w:type="paragraph" w:customStyle="1" w:styleId="130">
    <w:name w:val="表内文字"/>
    <w:basedOn w:val="1"/>
    <w:qFormat/>
    <w:uiPriority w:val="0"/>
    <w:pPr>
      <w:jc w:val="center"/>
    </w:pPr>
    <w:rPr>
      <w:color w:val="FF0000"/>
      <w:kern w:val="0"/>
      <w:sz w:val="24"/>
    </w:rPr>
  </w:style>
  <w:style w:type="character" w:customStyle="1" w:styleId="131">
    <w:name w:val="Char Char3"/>
    <w:qFormat/>
    <w:uiPriority w:val="0"/>
    <w:rPr>
      <w:rFonts w:eastAsia="仿宋_GB2312"/>
      <w:kern w:val="2"/>
      <w:sz w:val="28"/>
      <w:szCs w:val="24"/>
      <w:lang w:val="en-US" w:eastAsia="zh-CN" w:bidi="ar-SA"/>
    </w:rPr>
  </w:style>
  <w:style w:type="paragraph" w:customStyle="1" w:styleId="132">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3">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6">
    <w:name w:val="项目1"/>
    <w:basedOn w:val="1"/>
    <w:qFormat/>
    <w:uiPriority w:val="0"/>
    <w:pPr>
      <w:tabs>
        <w:tab w:val="left" w:pos="840"/>
      </w:tabs>
      <w:spacing w:after="60"/>
      <w:ind w:left="840" w:hanging="420"/>
    </w:pPr>
    <w:rPr>
      <w:rFonts w:ascii="宋体"/>
      <w:spacing w:val="4"/>
      <w:szCs w:val="20"/>
    </w:rPr>
  </w:style>
  <w:style w:type="paragraph" w:customStyle="1" w:styleId="137">
    <w:name w:val="编10号"/>
    <w:basedOn w:val="1"/>
    <w:qFormat/>
    <w:uiPriority w:val="0"/>
    <w:pPr>
      <w:tabs>
        <w:tab w:val="left" w:pos="1620"/>
      </w:tabs>
      <w:ind w:left="1620" w:hanging="360"/>
    </w:pPr>
  </w:style>
  <w:style w:type="paragraph" w:customStyle="1" w:styleId="138">
    <w:name w:val="段"/>
    <w:basedOn w:val="1"/>
    <w:qFormat/>
    <w:uiPriority w:val="0"/>
    <w:pPr>
      <w:ind w:firstLine="425"/>
    </w:pPr>
    <w:rPr>
      <w:rFonts w:ascii="宋体"/>
      <w:szCs w:val="20"/>
    </w:rPr>
  </w:style>
  <w:style w:type="paragraph" w:customStyle="1" w:styleId="139">
    <w:name w:val="Char Char Char Char"/>
    <w:basedOn w:val="1"/>
    <w:qFormat/>
    <w:uiPriority w:val="0"/>
    <w:pPr>
      <w:widowControl/>
      <w:spacing w:after="160" w:line="240" w:lineRule="exact"/>
      <w:jc w:val="left"/>
    </w:pPr>
    <w:rPr>
      <w:kern w:val="0"/>
      <w:sz w:val="24"/>
    </w:rPr>
  </w:style>
  <w:style w:type="paragraph" w:customStyle="1" w:styleId="140">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1">
    <w:name w:val="bulletintext1"/>
    <w:qFormat/>
    <w:uiPriority w:val="0"/>
    <w:rPr>
      <w:rFonts w:hint="eastAsia" w:ascii="宋体" w:hAnsi="宋体" w:eastAsia="宋体"/>
      <w:sz w:val="18"/>
      <w:szCs w:val="18"/>
    </w:rPr>
  </w:style>
  <w:style w:type="paragraph" w:customStyle="1" w:styleId="142">
    <w:name w:val="Char1 Char Char Char Char Char Char"/>
    <w:basedOn w:val="1"/>
    <w:qFormat/>
    <w:uiPriority w:val="0"/>
    <w:rPr>
      <w:rFonts w:ascii="Tahoma" w:hAnsi="Tahoma"/>
      <w:sz w:val="24"/>
      <w:szCs w:val="20"/>
    </w:rPr>
  </w:style>
  <w:style w:type="paragraph" w:customStyle="1" w:styleId="143">
    <w:name w:val="Char Char2 Char Char Char Char"/>
    <w:basedOn w:val="18"/>
    <w:qFormat/>
    <w:uiPriority w:val="0"/>
    <w:rPr>
      <w:rFonts w:ascii="Tahoma" w:hAnsi="Tahoma"/>
      <w:sz w:val="24"/>
    </w:rPr>
  </w:style>
  <w:style w:type="paragraph" w:customStyle="1" w:styleId="144">
    <w:name w:val="Char Char Char"/>
    <w:basedOn w:val="18"/>
    <w:qFormat/>
    <w:uiPriority w:val="0"/>
    <w:rPr>
      <w:rFonts w:ascii="Tahoma" w:hAnsi="Tahoma"/>
      <w:sz w:val="24"/>
    </w:rPr>
  </w:style>
  <w:style w:type="paragraph" w:customStyle="1" w:styleId="145">
    <w:name w:val="正文缩进 New"/>
    <w:basedOn w:val="1"/>
    <w:qFormat/>
    <w:uiPriority w:val="0"/>
    <w:pPr>
      <w:ind w:firstLine="420" w:firstLineChars="200"/>
    </w:pPr>
    <w:rPr>
      <w:szCs w:val="20"/>
    </w:rPr>
  </w:style>
  <w:style w:type="paragraph" w:customStyle="1" w:styleId="146">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7">
    <w:name w:val="tpc_content1"/>
    <w:qFormat/>
    <w:uiPriority w:val="0"/>
    <w:rPr>
      <w:sz w:val="20"/>
      <w:szCs w:val="20"/>
    </w:rPr>
  </w:style>
  <w:style w:type="character" w:customStyle="1" w:styleId="148">
    <w:name w:val="Char Char11"/>
    <w:qFormat/>
    <w:uiPriority w:val="0"/>
    <w:rPr>
      <w:b/>
      <w:kern w:val="44"/>
      <w:sz w:val="44"/>
    </w:rPr>
  </w:style>
  <w:style w:type="character" w:customStyle="1" w:styleId="149">
    <w:name w:val="Char Char10"/>
    <w:qFormat/>
    <w:uiPriority w:val="0"/>
    <w:rPr>
      <w:b/>
      <w:kern w:val="2"/>
      <w:sz w:val="28"/>
      <w:szCs w:val="28"/>
    </w:rPr>
  </w:style>
  <w:style w:type="character" w:customStyle="1" w:styleId="150">
    <w:name w:val="Char Char9"/>
    <w:qFormat/>
    <w:uiPriority w:val="0"/>
    <w:rPr>
      <w:b/>
      <w:kern w:val="2"/>
      <w:sz w:val="24"/>
      <w:szCs w:val="24"/>
    </w:rPr>
  </w:style>
  <w:style w:type="paragraph" w:customStyle="1" w:styleId="151">
    <w:name w:val="Char Char Char 字元 字元"/>
    <w:basedOn w:val="1"/>
    <w:qFormat/>
    <w:uiPriority w:val="0"/>
    <w:pPr>
      <w:spacing w:line="360" w:lineRule="auto"/>
      <w:ind w:firstLine="200" w:firstLineChars="200"/>
    </w:pPr>
    <w:rPr>
      <w:szCs w:val="20"/>
    </w:rPr>
  </w:style>
  <w:style w:type="paragraph" w:customStyle="1" w:styleId="15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4">
    <w:name w:val="style11"/>
    <w:qFormat/>
    <w:uiPriority w:val="0"/>
    <w:rPr>
      <w:b/>
      <w:bCs/>
      <w:color w:val="FF0000"/>
    </w:rPr>
  </w:style>
  <w:style w:type="character" w:customStyle="1" w:styleId="155">
    <w:name w:val="info"/>
    <w:basedOn w:val="48"/>
    <w:qFormat/>
    <w:uiPriority w:val="0"/>
  </w:style>
  <w:style w:type="paragraph" w:customStyle="1" w:styleId="156">
    <w:name w:val="样式 正文缩进 + 首行缩进:  2 字符"/>
    <w:basedOn w:val="7"/>
    <w:link w:val="157"/>
    <w:qFormat/>
    <w:uiPriority w:val="0"/>
    <w:pPr>
      <w:spacing w:line="360" w:lineRule="auto"/>
      <w:ind w:firstLine="480"/>
    </w:pPr>
    <w:rPr>
      <w:rFonts w:ascii="宋体" w:hAnsi="宋体"/>
      <w:color w:val="000000"/>
      <w:kern w:val="0"/>
      <w:sz w:val="24"/>
      <w:szCs w:val="20"/>
    </w:rPr>
  </w:style>
  <w:style w:type="character" w:customStyle="1" w:styleId="157">
    <w:name w:val="样式 正文缩进 + 首行缩进:  2 字符 Char"/>
    <w:link w:val="156"/>
    <w:qFormat/>
    <w:locked/>
    <w:uiPriority w:val="0"/>
    <w:rPr>
      <w:rFonts w:ascii="宋体" w:hAnsi="宋体" w:eastAsia="宋体"/>
      <w:color w:val="000000"/>
      <w:sz w:val="24"/>
      <w:lang w:bidi="ar-SA"/>
    </w:rPr>
  </w:style>
  <w:style w:type="paragraph" w:customStyle="1" w:styleId="158">
    <w:name w:val="正文2"/>
    <w:basedOn w:val="1"/>
    <w:link w:val="159"/>
    <w:qFormat/>
    <w:uiPriority w:val="0"/>
    <w:pPr>
      <w:spacing w:before="156" w:line="360" w:lineRule="auto"/>
      <w:ind w:firstLine="510" w:firstLineChars="200"/>
    </w:pPr>
    <w:rPr>
      <w:sz w:val="24"/>
      <w:szCs w:val="20"/>
    </w:rPr>
  </w:style>
  <w:style w:type="character" w:customStyle="1" w:styleId="159">
    <w:name w:val="正文2 Char"/>
    <w:link w:val="158"/>
    <w:qFormat/>
    <w:uiPriority w:val="0"/>
    <w:rPr>
      <w:rFonts w:eastAsia="宋体"/>
      <w:kern w:val="2"/>
      <w:sz w:val="24"/>
      <w:lang w:val="en-US" w:eastAsia="zh-CN" w:bidi="ar-SA"/>
    </w:rPr>
  </w:style>
  <w:style w:type="paragraph" w:customStyle="1" w:styleId="160">
    <w:name w:val="p0"/>
    <w:basedOn w:val="1"/>
    <w:qFormat/>
    <w:uiPriority w:val="0"/>
    <w:pPr>
      <w:widowControl/>
    </w:pPr>
    <w:rPr>
      <w:kern w:val="0"/>
      <w:szCs w:val="21"/>
    </w:rPr>
  </w:style>
  <w:style w:type="character" w:customStyle="1" w:styleId="161">
    <w:name w:val="param-name"/>
    <w:basedOn w:val="48"/>
    <w:qFormat/>
    <w:uiPriority w:val="0"/>
  </w:style>
  <w:style w:type="character" w:customStyle="1" w:styleId="162">
    <w:name w:val="日期 Char"/>
    <w:qFormat/>
    <w:uiPriority w:val="0"/>
    <w:rPr>
      <w:rFonts w:ascii="楷体_GB2312" w:eastAsia="楷体_GB2312"/>
      <w:b/>
      <w:kern w:val="2"/>
      <w:sz w:val="28"/>
      <w:lang w:val="en-US" w:eastAsia="zh-CN" w:bidi="ar-SA"/>
    </w:rPr>
  </w:style>
  <w:style w:type="character" w:customStyle="1" w:styleId="163">
    <w:name w:val="标题 4 Char"/>
    <w:qFormat/>
    <w:uiPriority w:val="0"/>
    <w:rPr>
      <w:rFonts w:ascii="Arial" w:hAnsi="Arial" w:eastAsia="黑体"/>
      <w:b/>
      <w:kern w:val="2"/>
      <w:sz w:val="28"/>
      <w:lang w:val="en-US" w:eastAsia="zh-CN" w:bidi="ar-SA"/>
    </w:rPr>
  </w:style>
  <w:style w:type="character" w:customStyle="1" w:styleId="164">
    <w:name w:val="标题 6 Char"/>
    <w:qFormat/>
    <w:uiPriority w:val="0"/>
    <w:rPr>
      <w:rFonts w:ascii="宋体" w:hAnsi="Arial" w:eastAsia="宋体"/>
      <w:sz w:val="24"/>
      <w:lang w:val="en-US" w:eastAsia="zh-CN" w:bidi="ar-SA"/>
    </w:rPr>
  </w:style>
  <w:style w:type="character" w:customStyle="1" w:styleId="165">
    <w:name w:val="标题 8 Char"/>
    <w:qFormat/>
    <w:uiPriority w:val="0"/>
    <w:rPr>
      <w:rFonts w:ascii="Arial" w:hAnsi="Arial" w:eastAsia="黑体"/>
      <w:sz w:val="24"/>
      <w:lang w:val="en-US" w:eastAsia="zh-CN" w:bidi="ar-SA"/>
    </w:rPr>
  </w:style>
  <w:style w:type="character" w:customStyle="1" w:styleId="166">
    <w:name w:val="标题 9 Char"/>
    <w:qFormat/>
    <w:uiPriority w:val="0"/>
    <w:rPr>
      <w:rFonts w:ascii="Arial" w:hAnsi="Arial" w:eastAsia="黑体"/>
      <w:sz w:val="24"/>
      <w:lang w:val="en-US" w:eastAsia="zh-CN" w:bidi="ar-SA"/>
    </w:rPr>
  </w:style>
  <w:style w:type="character" w:customStyle="1" w:styleId="167">
    <w:name w:val="标题 5 Char"/>
    <w:qFormat/>
    <w:uiPriority w:val="0"/>
    <w:rPr>
      <w:rFonts w:eastAsia="宋体"/>
      <w:sz w:val="24"/>
      <w:lang w:val="en-US" w:eastAsia="zh-CN" w:bidi="ar-SA"/>
    </w:rPr>
  </w:style>
  <w:style w:type="character" w:customStyle="1" w:styleId="168">
    <w:name w:val="正文文本 Char"/>
    <w:qFormat/>
    <w:locked/>
    <w:uiPriority w:val="0"/>
    <w:rPr>
      <w:rFonts w:eastAsia="仿宋_GB2312"/>
      <w:kern w:val="2"/>
      <w:sz w:val="28"/>
      <w:szCs w:val="24"/>
      <w:lang w:val="en-US" w:eastAsia="zh-CN" w:bidi="ar-SA"/>
    </w:rPr>
  </w:style>
  <w:style w:type="character" w:customStyle="1" w:styleId="169">
    <w:name w:val="正文文本缩进 2 Char"/>
    <w:qFormat/>
    <w:locked/>
    <w:uiPriority w:val="0"/>
    <w:rPr>
      <w:rFonts w:eastAsia="宋体"/>
      <w:kern w:val="2"/>
      <w:sz w:val="21"/>
      <w:szCs w:val="24"/>
      <w:lang w:val="en-US" w:eastAsia="zh-CN" w:bidi="ar-SA"/>
    </w:rPr>
  </w:style>
  <w:style w:type="character" w:customStyle="1" w:styleId="170">
    <w:name w:val="正文文本 2 Char"/>
    <w:qFormat/>
    <w:uiPriority w:val="0"/>
    <w:rPr>
      <w:rFonts w:ascii="隶书" w:eastAsia="隶书"/>
      <w:bCs/>
      <w:sz w:val="72"/>
      <w:szCs w:val="84"/>
      <w:lang w:val="en-US" w:eastAsia="zh-CN" w:bidi="ar-SA"/>
    </w:rPr>
  </w:style>
  <w:style w:type="character" w:customStyle="1" w:styleId="171">
    <w:name w:val="标题 7 Char"/>
    <w:qFormat/>
    <w:uiPriority w:val="0"/>
    <w:rPr>
      <w:rFonts w:ascii="宋体" w:hAnsi="Arial" w:eastAsia="宋体"/>
      <w:b/>
      <w:sz w:val="24"/>
      <w:lang w:val="en-US" w:eastAsia="zh-CN" w:bidi="ar-SA"/>
    </w:rPr>
  </w:style>
  <w:style w:type="character" w:customStyle="1" w:styleId="172">
    <w:name w:val="页眉 Char"/>
    <w:qFormat/>
    <w:uiPriority w:val="99"/>
    <w:rPr>
      <w:rFonts w:eastAsia="宋体"/>
      <w:kern w:val="2"/>
      <w:sz w:val="18"/>
      <w:szCs w:val="18"/>
      <w:lang w:val="en-US" w:eastAsia="zh-CN" w:bidi="ar-SA"/>
    </w:rPr>
  </w:style>
  <w:style w:type="character" w:customStyle="1" w:styleId="173">
    <w:name w:val="批注文字 Char"/>
    <w:semiHidden/>
    <w:qFormat/>
    <w:uiPriority w:val="0"/>
    <w:rPr>
      <w:rFonts w:eastAsia="宋体"/>
      <w:kern w:val="2"/>
      <w:sz w:val="21"/>
      <w:szCs w:val="24"/>
      <w:lang w:val="en-US" w:eastAsia="zh-CN" w:bidi="ar-SA"/>
    </w:rPr>
  </w:style>
  <w:style w:type="character" w:customStyle="1" w:styleId="174">
    <w:name w:val="汇视源正文 Char"/>
    <w:link w:val="175"/>
    <w:qFormat/>
    <w:uiPriority w:val="0"/>
    <w:rPr>
      <w:rFonts w:cs="宋体"/>
      <w:kern w:val="2"/>
      <w:sz w:val="24"/>
      <w:lang w:val="en-US" w:eastAsia="zh-CN" w:bidi="ar-SA"/>
    </w:rPr>
  </w:style>
  <w:style w:type="paragraph" w:customStyle="1" w:styleId="175">
    <w:name w:val="汇视源正文"/>
    <w:link w:val="174"/>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6">
    <w:name w:val="样式 列表编号 + 段后: 0.5 行"/>
    <w:basedOn w:val="16"/>
    <w:qFormat/>
    <w:uiPriority w:val="0"/>
    <w:pPr>
      <w:tabs>
        <w:tab w:val="left" w:pos="840"/>
      </w:tabs>
      <w:spacing w:afterLines="0"/>
      <w:ind w:left="425" w:hanging="425"/>
    </w:pPr>
    <w:rPr>
      <w:rFonts w:cs="宋体"/>
    </w:rPr>
  </w:style>
  <w:style w:type="paragraph" w:customStyle="1" w:styleId="177">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8">
    <w:name w:val="TOC 标题1"/>
    <w:basedOn w:val="5"/>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9">
    <w:name w:val="标题 字符"/>
    <w:link w:val="42"/>
    <w:qFormat/>
    <w:locked/>
    <w:uiPriority w:val="0"/>
    <w:rPr>
      <w:rFonts w:ascii="Calibri Light" w:hAnsi="Calibri Light" w:eastAsia="宋体"/>
      <w:b/>
      <w:bCs/>
      <w:kern w:val="2"/>
      <w:sz w:val="32"/>
      <w:szCs w:val="32"/>
      <w:lang w:val="en-US" w:eastAsia="zh-CN" w:bidi="ar-SA"/>
    </w:rPr>
  </w:style>
  <w:style w:type="character" w:customStyle="1" w:styleId="180">
    <w:name w:val="Date Char"/>
    <w:qFormat/>
    <w:locked/>
    <w:uiPriority w:val="0"/>
    <w:rPr>
      <w:rFonts w:ascii="宋体"/>
      <w:sz w:val="21"/>
      <w:lang w:val="zh-CN"/>
    </w:rPr>
  </w:style>
  <w:style w:type="character" w:customStyle="1" w:styleId="181">
    <w:name w:val="Normal Indent Char"/>
    <w:qFormat/>
    <w:locked/>
    <w:uiPriority w:val="0"/>
    <w:rPr>
      <w:rFonts w:ascii="宋体" w:eastAsia="宋体"/>
      <w:snapToGrid w:val="0"/>
      <w:color w:val="000000"/>
      <w:kern w:val="28"/>
      <w:sz w:val="28"/>
    </w:rPr>
  </w:style>
  <w:style w:type="character" w:customStyle="1" w:styleId="182">
    <w:name w:val="Plain Text Char"/>
    <w:qFormat/>
    <w:locked/>
    <w:uiPriority w:val="0"/>
    <w:rPr>
      <w:rFonts w:ascii="宋体" w:hAnsi="Courier New" w:eastAsia="宋体"/>
      <w:snapToGrid w:val="0"/>
      <w:sz w:val="21"/>
    </w:rPr>
  </w:style>
  <w:style w:type="character" w:customStyle="1" w:styleId="183">
    <w:name w:val="日期 Char1"/>
    <w:qFormat/>
    <w:uiPriority w:val="0"/>
    <w:rPr>
      <w:rFonts w:ascii="Times New Roman" w:hAnsi="Times New Roman" w:eastAsia="宋体" w:cs="Times New Roman"/>
      <w:sz w:val="24"/>
      <w:szCs w:val="24"/>
    </w:rPr>
  </w:style>
  <w:style w:type="character" w:customStyle="1" w:styleId="184">
    <w:name w:val="纯文本 Char1"/>
    <w:qFormat/>
    <w:uiPriority w:val="0"/>
    <w:rPr>
      <w:rFonts w:ascii="宋体" w:hAnsi="Courier New" w:eastAsia="宋体" w:cs="Courier New"/>
      <w:sz w:val="21"/>
      <w:szCs w:val="21"/>
    </w:rPr>
  </w:style>
  <w:style w:type="paragraph" w:customStyle="1" w:styleId="1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6">
    <w:name w:val="列出段落112"/>
    <w:basedOn w:val="1"/>
    <w:link w:val="210"/>
    <w:qFormat/>
    <w:uiPriority w:val="0"/>
    <w:pPr>
      <w:adjustRightInd w:val="0"/>
      <w:spacing w:line="360" w:lineRule="auto"/>
      <w:ind w:firstLine="200" w:firstLineChars="200"/>
    </w:pPr>
    <w:rPr>
      <w:rFonts w:eastAsia="楷体_GB2312" w:cs="Lucida Sans"/>
      <w:sz w:val="24"/>
    </w:rPr>
  </w:style>
  <w:style w:type="paragraph" w:customStyle="1" w:styleId="187">
    <w:name w:val="标题2def"/>
    <w:basedOn w:val="42"/>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8">
    <w:name w:val="标题3def"/>
    <w:basedOn w:val="8"/>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9">
    <w:name w:val="Header Char"/>
    <w:qFormat/>
    <w:locked/>
    <w:uiPriority w:val="0"/>
    <w:rPr>
      <w:rFonts w:ascii="Times New Roman" w:hAnsi="Times New Roman" w:eastAsia="宋体" w:cs="Times New Roman"/>
      <w:sz w:val="18"/>
      <w:szCs w:val="18"/>
    </w:rPr>
  </w:style>
  <w:style w:type="paragraph" w:customStyle="1" w:styleId="1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1">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92">
    <w:name w:val="Comment Text Char"/>
    <w:qFormat/>
    <w:locked/>
    <w:uiPriority w:val="0"/>
    <w:rPr>
      <w:rFonts w:ascii="Times New Roman" w:hAnsi="Times New Roman" w:eastAsia="宋体" w:cs="Times New Roman"/>
      <w:kern w:val="0"/>
      <w:sz w:val="24"/>
      <w:szCs w:val="24"/>
      <w:lang w:val="zh-CN" w:eastAsia="zh-CN"/>
    </w:rPr>
  </w:style>
  <w:style w:type="paragraph" w:customStyle="1" w:styleId="193">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5">
    <w:name w:val="Char Char Char Char1"/>
    <w:basedOn w:val="1"/>
    <w:qFormat/>
    <w:uiPriority w:val="0"/>
    <w:rPr>
      <w:rFonts w:ascii="Tahoma" w:hAnsi="Tahoma"/>
      <w:sz w:val="24"/>
      <w:szCs w:val="20"/>
    </w:rPr>
  </w:style>
  <w:style w:type="paragraph" w:customStyle="1" w:styleId="196">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8">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9">
    <w:name w:val="正文2 Char Char"/>
    <w:qFormat/>
    <w:uiPriority w:val="0"/>
    <w:rPr>
      <w:kern w:val="2"/>
      <w:sz w:val="24"/>
    </w:rPr>
  </w:style>
  <w:style w:type="character" w:customStyle="1" w:styleId="200">
    <w:name w:val="普通文字 Char Char3"/>
    <w:qFormat/>
    <w:uiPriority w:val="0"/>
    <w:rPr>
      <w:rFonts w:ascii="宋体" w:hAnsi="Courier New"/>
      <w:kern w:val="2"/>
      <w:sz w:val="24"/>
      <w:szCs w:val="24"/>
    </w:rPr>
  </w:style>
  <w:style w:type="character" w:customStyle="1" w:styleId="201">
    <w:name w:val="特点 Char2"/>
    <w:qFormat/>
    <w:uiPriority w:val="0"/>
    <w:rPr>
      <w:rFonts w:ascii="Times New Roman" w:hAnsi="Times New Roman" w:eastAsia="宋体" w:cs="Times New Roman"/>
      <w:szCs w:val="24"/>
    </w:rPr>
  </w:style>
  <w:style w:type="character" w:customStyle="1" w:styleId="202">
    <w:name w:val="批注框文本 字符"/>
    <w:basedOn w:val="48"/>
    <w:link w:val="30"/>
    <w:semiHidden/>
    <w:qFormat/>
    <w:uiPriority w:val="0"/>
    <w:rPr>
      <w:kern w:val="2"/>
      <w:sz w:val="18"/>
      <w:szCs w:val="18"/>
    </w:rPr>
  </w:style>
  <w:style w:type="character" w:customStyle="1" w:styleId="203">
    <w:name w:val="正文文本缩进 3 字符"/>
    <w:basedOn w:val="48"/>
    <w:link w:val="35"/>
    <w:qFormat/>
    <w:uiPriority w:val="0"/>
    <w:rPr>
      <w:kern w:val="2"/>
      <w:sz w:val="16"/>
      <w:szCs w:val="16"/>
    </w:rPr>
  </w:style>
  <w:style w:type="character" w:customStyle="1" w:styleId="204">
    <w:name w:val="HTML 预设格式 字符"/>
    <w:basedOn w:val="48"/>
    <w:link w:val="39"/>
    <w:qFormat/>
    <w:uiPriority w:val="0"/>
    <w:rPr>
      <w:rFonts w:ascii="黑体" w:hAnsi="Courier New" w:eastAsia="黑体" w:cs="Courier New"/>
    </w:rPr>
  </w:style>
  <w:style w:type="character" w:customStyle="1" w:styleId="205">
    <w:name w:val="批注主题 字符"/>
    <w:basedOn w:val="173"/>
    <w:link w:val="43"/>
    <w:semiHidden/>
    <w:qFormat/>
    <w:uiPriority w:val="0"/>
    <w:rPr>
      <w:rFonts w:eastAsia="宋体"/>
      <w:b/>
      <w:bCs/>
      <w:kern w:val="2"/>
      <w:sz w:val="24"/>
      <w:szCs w:val="24"/>
      <w:lang w:val="en-US" w:eastAsia="zh-CN" w:bidi="ar-SA"/>
    </w:rPr>
  </w:style>
  <w:style w:type="character" w:customStyle="1" w:styleId="206">
    <w:name w:val="正文文本首行缩进 字符"/>
    <w:basedOn w:val="168"/>
    <w:link w:val="44"/>
    <w:qFormat/>
    <w:uiPriority w:val="0"/>
    <w:rPr>
      <w:rFonts w:eastAsia="仿宋_GB2312"/>
      <w:kern w:val="2"/>
      <w:sz w:val="21"/>
      <w:szCs w:val="24"/>
      <w:lang w:val="en-US" w:eastAsia="zh-CN" w:bidi="ar-SA"/>
    </w:rPr>
  </w:style>
  <w:style w:type="character" w:customStyle="1" w:styleId="207">
    <w:name w:val="正文文本首行缩进 2 字符"/>
    <w:basedOn w:val="70"/>
    <w:link w:val="45"/>
    <w:qFormat/>
    <w:uiPriority w:val="0"/>
    <w:rPr>
      <w:rFonts w:eastAsia="宋体"/>
      <w:kern w:val="2"/>
      <w:sz w:val="21"/>
      <w:szCs w:val="24"/>
      <w:lang w:val="en-US" w:eastAsia="zh-CN" w:bidi="ar-SA"/>
    </w:rPr>
  </w:style>
  <w:style w:type="paragraph" w:customStyle="1" w:styleId="208">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9">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10">
    <w:name w:val="列出段落 Char"/>
    <w:link w:val="186"/>
    <w:qFormat/>
    <w:uiPriority w:val="0"/>
    <w:rPr>
      <w:rFonts w:eastAsia="楷体_GB2312" w:cs="Lucida Sans"/>
      <w:kern w:val="2"/>
      <w:sz w:val="24"/>
      <w:szCs w:val="24"/>
    </w:rPr>
  </w:style>
  <w:style w:type="paragraph" w:customStyle="1" w:styleId="211">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12">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13">
    <w:name w:val="TOC 标题11"/>
    <w:basedOn w:val="5"/>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4">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5">
    <w:name w:val="正文缩进2格"/>
    <w:basedOn w:val="1"/>
    <w:link w:val="216"/>
    <w:qFormat/>
    <w:uiPriority w:val="0"/>
    <w:pPr>
      <w:spacing w:line="600" w:lineRule="exact"/>
      <w:ind w:firstLine="639" w:firstLineChars="206"/>
    </w:pPr>
    <w:rPr>
      <w:rFonts w:ascii="仿宋_GB2312" w:hAnsi="宋体" w:eastAsia="仿宋_GB2312"/>
      <w:kern w:val="0"/>
      <w:sz w:val="31"/>
      <w:szCs w:val="20"/>
    </w:rPr>
  </w:style>
  <w:style w:type="character" w:customStyle="1" w:styleId="216">
    <w:name w:val="正文缩进2格 Char"/>
    <w:link w:val="215"/>
    <w:qFormat/>
    <w:uiPriority w:val="0"/>
    <w:rPr>
      <w:rFonts w:ascii="仿宋_GB2312" w:hAnsi="宋体" w:eastAsia="仿宋_GB2312"/>
      <w:sz w:val="31"/>
    </w:rPr>
  </w:style>
  <w:style w:type="paragraph" w:customStyle="1" w:styleId="217">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8">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9">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20">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3">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4">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5">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8">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9">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5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3">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4">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5">
    <w:name w:val="正文1级"/>
    <w:link w:val="256"/>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6">
    <w:name w:val="正文1级 Char Char"/>
    <w:link w:val="255"/>
    <w:qFormat/>
    <w:uiPriority w:val="0"/>
    <w:rPr>
      <w:bCs/>
      <w:kern w:val="44"/>
      <w:sz w:val="24"/>
      <w:szCs w:val="44"/>
    </w:rPr>
  </w:style>
  <w:style w:type="character" w:customStyle="1" w:styleId="257">
    <w:name w:val="Char Char1"/>
    <w:qFormat/>
    <w:uiPriority w:val="0"/>
    <w:rPr>
      <w:rFonts w:ascii="宋体" w:hAnsi="Courier New" w:eastAsia="宋体"/>
      <w:kern w:val="2"/>
      <w:sz w:val="21"/>
      <w:lang w:val="en-US" w:eastAsia="zh-CN" w:bidi="ar-SA"/>
    </w:rPr>
  </w:style>
  <w:style w:type="paragraph" w:customStyle="1" w:styleId="258">
    <w:name w:val="列出段落2"/>
    <w:basedOn w:val="1"/>
    <w:qFormat/>
    <w:uiPriority w:val="34"/>
    <w:pPr>
      <w:spacing w:line="440" w:lineRule="exact"/>
      <w:ind w:firstLine="420" w:firstLineChars="200"/>
    </w:pPr>
    <w:rPr>
      <w:rFonts w:eastAsia="仿宋_GB2312"/>
      <w:sz w:val="24"/>
    </w:rPr>
  </w:style>
  <w:style w:type="paragraph" w:customStyle="1" w:styleId="259">
    <w:name w:val="TOC 标题2"/>
    <w:basedOn w:val="5"/>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60">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列出段落21"/>
    <w:basedOn w:val="1"/>
    <w:qFormat/>
    <w:uiPriority w:val="0"/>
    <w:pPr>
      <w:ind w:firstLine="420" w:firstLineChars="200"/>
    </w:pPr>
    <w:rPr>
      <w:rFonts w:ascii="Calibri" w:hAnsi="Calibri"/>
      <w:szCs w:val="22"/>
    </w:rPr>
  </w:style>
  <w:style w:type="paragraph" w:customStyle="1" w:styleId="262">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4">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6">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7">
    <w:name w:val="_Style 151"/>
    <w:basedOn w:val="1"/>
    <w:qFormat/>
    <w:uiPriority w:val="0"/>
    <w:rPr>
      <w:rFonts w:ascii="Tahoma" w:hAnsi="Tahoma"/>
      <w:sz w:val="24"/>
      <w:szCs w:val="20"/>
    </w:rPr>
  </w:style>
  <w:style w:type="paragraph" w:customStyle="1" w:styleId="268">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9">
    <w:name w:val="font01"/>
    <w:basedOn w:val="48"/>
    <w:qFormat/>
    <w:uiPriority w:val="0"/>
    <w:rPr>
      <w:rFonts w:hint="eastAsia" w:ascii="宋体" w:hAnsi="宋体" w:eastAsia="宋体" w:cs="宋体"/>
      <w:color w:val="000000"/>
      <w:sz w:val="22"/>
      <w:szCs w:val="22"/>
      <w:u w:val="none"/>
    </w:rPr>
  </w:style>
  <w:style w:type="character" w:customStyle="1" w:styleId="270">
    <w:name w:val="font11"/>
    <w:basedOn w:val="48"/>
    <w:qFormat/>
    <w:uiPriority w:val="0"/>
    <w:rPr>
      <w:rFonts w:hint="eastAsia" w:ascii="宋体" w:hAnsi="宋体" w:eastAsia="宋体" w:cs="宋体"/>
      <w:color w:val="FF0000"/>
      <w:sz w:val="22"/>
      <w:szCs w:val="22"/>
      <w:u w:val="none"/>
    </w:rPr>
  </w:style>
  <w:style w:type="character" w:customStyle="1" w:styleId="271">
    <w:name w:val="font41"/>
    <w:basedOn w:val="48"/>
    <w:qFormat/>
    <w:uiPriority w:val="0"/>
    <w:rPr>
      <w:rFonts w:hint="default" w:ascii="DengXian" w:hAnsi="DengXian" w:eastAsia="DengXian" w:cs="DengXian"/>
      <w:color w:val="FF0000"/>
      <w:sz w:val="22"/>
      <w:szCs w:val="22"/>
      <w:u w:val="none"/>
    </w:rPr>
  </w:style>
  <w:style w:type="character" w:customStyle="1" w:styleId="272">
    <w:name w:val="font21"/>
    <w:basedOn w:val="48"/>
    <w:qFormat/>
    <w:uiPriority w:val="0"/>
    <w:rPr>
      <w:rFonts w:hint="default" w:ascii="DengXian" w:hAnsi="DengXian" w:eastAsia="DengXian" w:cs="DengXian"/>
      <w:color w:val="000000"/>
      <w:sz w:val="22"/>
      <w:szCs w:val="22"/>
      <w:u w:val="none"/>
    </w:rPr>
  </w:style>
  <w:style w:type="character" w:customStyle="1" w:styleId="273">
    <w:name w:val="font51"/>
    <w:basedOn w:val="48"/>
    <w:qFormat/>
    <w:uiPriority w:val="0"/>
    <w:rPr>
      <w:rFonts w:hint="default" w:ascii="DengXian" w:hAnsi="DengXian" w:eastAsia="DengXian" w:cs="DengXian"/>
      <w:color w:val="FF0000"/>
      <w:sz w:val="22"/>
      <w:szCs w:val="22"/>
      <w:u w:val="none"/>
    </w:rPr>
  </w:style>
  <w:style w:type="character" w:customStyle="1" w:styleId="274">
    <w:name w:val="font61"/>
    <w:basedOn w:val="48"/>
    <w:qFormat/>
    <w:uiPriority w:val="0"/>
    <w:rPr>
      <w:rFonts w:hint="default" w:ascii="DengXian" w:hAnsi="DengXian" w:eastAsia="DengXian" w:cs="DengXian"/>
      <w:color w:val="000000"/>
      <w:sz w:val="22"/>
      <w:szCs w:val="22"/>
      <w:u w:val="none"/>
    </w:rPr>
  </w:style>
  <w:style w:type="paragraph" w:customStyle="1" w:styleId="27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80">
    <w:name w:val="NormalCharacter"/>
    <w:qFormat/>
    <w:uiPriority w:val="0"/>
  </w:style>
  <w:style w:type="paragraph" w:customStyle="1" w:styleId="281">
    <w:name w:val="样式1"/>
    <w:basedOn w:val="1"/>
    <w:qFormat/>
    <w:uiPriority w:val="0"/>
    <w:pPr>
      <w:spacing w:line="360" w:lineRule="exact"/>
      <w:ind w:firstLine="200" w:firstLineChars="200"/>
    </w:pPr>
    <w:rPr>
      <w:rFonts w:ascii="Arial" w:hAnsi="Arial"/>
    </w:rPr>
  </w:style>
  <w:style w:type="paragraph" w:styleId="282">
    <w:name w:val="No Spacing"/>
    <w:qFormat/>
    <w:uiPriority w:val="1"/>
    <w:pPr>
      <w:widowControl w:val="0"/>
      <w:ind w:firstLine="480" w:firstLineChars="200"/>
      <w:jc w:val="both"/>
    </w:pPr>
    <w:rPr>
      <w:rFonts w:ascii="Calibri" w:hAnsi="Calibri" w:eastAsia="宋体" w:cs="Times New Roman"/>
      <w:kern w:val="2"/>
      <w:sz w:val="24"/>
      <w:szCs w:val="22"/>
      <w:lang w:val="en-US" w:eastAsia="zh-CN" w:bidi="ar-SA"/>
    </w:rPr>
  </w:style>
  <w:style w:type="paragraph" w:customStyle="1" w:styleId="283">
    <w:name w:val="内文正文"/>
    <w:qFormat/>
    <w:uiPriority w:val="0"/>
    <w:pPr>
      <w:autoSpaceDE w:val="0"/>
      <w:autoSpaceDN w:val="0"/>
      <w:spacing w:line="400" w:lineRule="exact"/>
      <w:ind w:firstLine="200" w:firstLineChars="200"/>
      <w:textAlignment w:val="bottom"/>
    </w:pPr>
    <w:rPr>
      <w:rFonts w:ascii="宋体" w:hAnsi="???|CS?o｡ﾀ?" w:eastAsia="宋体" w:cs="Times New Roman"/>
      <w:szCs w:val="28"/>
      <w:lang w:val="en-US" w:eastAsia="zh-CN" w:bidi="ar-SA"/>
    </w:rPr>
  </w:style>
  <w:style w:type="paragraph" w:customStyle="1" w:styleId="284">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39737</Words>
  <Characters>42623</Characters>
  <Lines>336</Lines>
  <Paragraphs>94</Paragraphs>
  <TotalTime>0</TotalTime>
  <ScaleCrop>false</ScaleCrop>
  <LinksUpToDate>false</LinksUpToDate>
  <CharactersWithSpaces>45180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2021-01-20T21:28:00Z</dcterms:created>
  <dc:creator>USER</dc:creator>
  <cp:lastModifiedBy>ai.sha</cp:lastModifiedBy>
  <cp:lastPrinted>2023-03-15T22:48:00Z</cp:lastPrinted>
  <dcterms:modified xsi:type="dcterms:W3CDTF">2023-04-03T08:41:08Z</dcterms:modified>
  <dc:title>绍兴文理学院计算机机房设备及录播系统供货项目</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50B6A36E392F442397951ABBD0E49E03</vt:lpwstr>
  </property>
</Properties>
</file>