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绍兴第二医院医共体兰亭分院职工疗休养服务项目 </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rPr>
      </w:pPr>
      <w:r>
        <w:rPr>
          <w:rFonts w:hint="eastAsia" w:ascii="仿宋" w:hAnsi="仿宋" w:eastAsia="仿宋" w:cs="仿宋"/>
          <w:b/>
          <w:sz w:val="28"/>
          <w:szCs w:val="28"/>
        </w:rPr>
        <w:t>招标编号:绍柯采[2025]1098号</w:t>
      </w:r>
    </w:p>
    <w:tbl>
      <w:tblPr>
        <w:tblStyle w:val="63"/>
        <w:tblW w:w="7801" w:type="dxa"/>
        <w:jc w:val="center"/>
        <w:tblLayout w:type="fixed"/>
        <w:tblCellMar>
          <w:top w:w="0" w:type="dxa"/>
          <w:left w:w="108" w:type="dxa"/>
          <w:bottom w:w="0" w:type="dxa"/>
          <w:right w:w="108" w:type="dxa"/>
        </w:tblCellMar>
      </w:tblPr>
      <w:tblGrid>
        <w:gridCol w:w="2356"/>
        <w:gridCol w:w="5445"/>
      </w:tblGrid>
      <w:tr w14:paraId="0C8C4FE9">
        <w:tblPrEx>
          <w:tblCellMar>
            <w:top w:w="0" w:type="dxa"/>
            <w:left w:w="108" w:type="dxa"/>
            <w:bottom w:w="0" w:type="dxa"/>
            <w:right w:w="108" w:type="dxa"/>
          </w:tblCellMar>
        </w:tblPrEx>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绍兴第二医院医共体兰亭分院</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4" w:type="first"/>
          <w:footerReference r:id="rId6" w:type="first"/>
          <w:headerReference r:id="rId3" w:type="default"/>
          <w:footerReference r:id="rId5"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绍兴第二医院医共体兰亭分院职工疗休养服务项目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31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绍柯采[2025]1098号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绍兴第二医院医共体兰亭分院职工疗休养服务项目 </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307000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307000</w:t>
      </w:r>
      <w:r>
        <w:rPr>
          <w:rFonts w:hint="eastAsia" w:ascii="仿宋" w:hAnsi="仿宋" w:eastAsia="仿宋" w:cs="仿宋"/>
          <w:b/>
          <w:color w:val="auto"/>
          <w:sz w:val="24"/>
        </w:rPr>
        <w:t xml:space="preserve"> </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 xml:space="preserve">绍兴第二医院医共体兰亭分院职工疗休养服务项目 </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307000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6FE4E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4.本项目的特定资格要求：具有有效的《旅行社业务经营许可证》；</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绍兴第二医院医共体兰亭分院</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兰亭</w:t>
      </w:r>
      <w:r>
        <w:rPr>
          <w:rFonts w:hint="eastAsia" w:ascii="仿宋" w:hAnsi="仿宋" w:eastAsia="仿宋" w:cs="宋体"/>
          <w:color w:val="auto"/>
          <w:sz w:val="24"/>
          <w:szCs w:val="28"/>
          <w:highlight w:val="none"/>
        </w:rPr>
        <w:t>街道</w:t>
      </w:r>
      <w:r>
        <w:rPr>
          <w:rFonts w:hint="eastAsia" w:ascii="仿宋" w:hAnsi="仿宋" w:eastAsia="仿宋" w:cs="仿宋"/>
          <w:color w:val="auto"/>
          <w:sz w:val="24"/>
        </w:rPr>
        <w:t xml:space="preserve">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宋体"/>
          <w:color w:val="auto"/>
          <w:sz w:val="24"/>
          <w:szCs w:val="28"/>
          <w:highlight w:val="none"/>
          <w:lang w:val="en-US" w:eastAsia="zh-CN"/>
        </w:rPr>
        <w:t>陈宏</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项目联系方式（询问）：19817751080</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谢东旺</w:t>
      </w:r>
      <w:r>
        <w:rPr>
          <w:rFonts w:hint="eastAsia" w:ascii="仿宋" w:hAnsi="仿宋" w:eastAsia="仿宋" w:cs="仿宋"/>
          <w:color w:val="auto"/>
          <w:sz w:val="24"/>
          <w:highlight w:val="none"/>
        </w:rPr>
        <w:t xml:space="preserve"> </w:t>
      </w:r>
    </w:p>
    <w:p w14:paraId="07CDDDA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0575-84624727</w:t>
      </w:r>
    </w:p>
    <w:p w14:paraId="1D13377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639"/>
      <w:bookmarkStart w:id="14" w:name="_Toc28359098"/>
      <w:bookmarkStart w:id="15" w:name="_Toc3539380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0575-85672135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有关本项目开展所需的人员工资、住宿费、餐饮费、交通、门票费、人身意外险费及不可预见等费用均计入报价。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r>
              <w:rPr>
                <w:rFonts w:hint="eastAsia" w:ascii="宋体" w:hAnsi="宋体" w:cs="宋体"/>
                <w:b/>
                <w:bCs/>
                <w:sz w:val="24"/>
                <w:lang w:val="zh-CN"/>
              </w:rPr>
              <w:t>；</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绍兴第二医院医共体兰亭分院职工疗休养服务项目</w:t>
            </w:r>
            <w:r>
              <w:rPr>
                <w:rFonts w:hint="eastAsia" w:ascii="仿宋" w:hAnsi="仿宋" w:eastAsia="仿宋" w:cs="仿宋"/>
                <w:kern w:val="0"/>
                <w:sz w:val="24"/>
              </w:rPr>
              <w:t>，属于</w:t>
            </w:r>
            <w:r>
              <w:rPr>
                <w:rFonts w:hint="eastAsia" w:ascii="仿宋" w:hAnsi="仿宋" w:eastAsia="仿宋" w:cs="仿宋"/>
                <w:color w:val="auto"/>
                <w:sz w:val="24"/>
                <w:u w:val="single"/>
              </w:rPr>
              <w:t>租赁和商务服务业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E099810">
      <w:pPr>
        <w:pStyle w:val="4"/>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4"/>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4"/>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4"/>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C473A2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0B107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B77DE1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8AB931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1"/>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1"/>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6"/>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6"/>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1"/>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68073093"/>
      <w:bookmarkEnd w:id="33"/>
      <w:bookmarkStart w:id="34" w:name="_Hlt74730295"/>
      <w:bookmarkEnd w:id="34"/>
      <w:bookmarkStart w:id="35" w:name="_Hlt75236290"/>
      <w:bookmarkEnd w:id="35"/>
      <w:bookmarkStart w:id="36" w:name="_Hlt68072990"/>
      <w:bookmarkEnd w:id="36"/>
      <w:bookmarkStart w:id="37" w:name="_Hlt68403820"/>
      <w:bookmarkEnd w:id="37"/>
      <w:bookmarkStart w:id="38" w:name="_Hlt74729768"/>
      <w:bookmarkEnd w:id="38"/>
      <w:bookmarkStart w:id="39" w:name="_Hlt68057669"/>
      <w:bookmarkEnd w:id="39"/>
      <w:bookmarkStart w:id="40" w:name="_Hlt74714665"/>
      <w:bookmarkEnd w:id="40"/>
      <w:bookmarkStart w:id="41" w:name="_Hlt68072998"/>
      <w:bookmarkEnd w:id="41"/>
      <w:bookmarkStart w:id="42" w:name="_Hlt74707468"/>
      <w:bookmarkEnd w:id="42"/>
      <w:bookmarkStart w:id="43" w:name="_Hlt75236011"/>
      <w:bookmarkEnd w:id="43"/>
      <w:bookmarkStart w:id="44" w:name="_Hlt75236101"/>
      <w:bookmarkEnd w:id="44"/>
      <w:bookmarkStart w:id="45" w:name="OLE_LINK8"/>
      <w:bookmarkStart w:id="46" w:name="_Toc81372953"/>
      <w:bookmarkStart w:id="47" w:name="_Toc84325929"/>
      <w:bookmarkStart w:id="48" w:name="_Toc81372776"/>
      <w:r>
        <w:rPr>
          <w:rFonts w:hint="eastAsia" w:ascii="仿宋" w:hAnsi="仿宋" w:eastAsia="仿宋" w:cs="仿宋"/>
          <w:b/>
          <w:sz w:val="32"/>
          <w:szCs w:val="32"/>
        </w:rPr>
        <w:t>五、授予合同</w:t>
      </w:r>
      <w:bookmarkEnd w:id="45"/>
    </w:p>
    <w:bookmarkEnd w:id="46"/>
    <w:bookmarkEnd w:id="47"/>
    <w:bookmarkEnd w:id="48"/>
    <w:p w14:paraId="1F74F6BF">
      <w:pPr>
        <w:pStyle w:val="16"/>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5"/>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4"/>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5"/>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6D2DD0B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绍兴市柯桥区绍兴第二医院医共体兰亭分院工会会员疗休养，职工总人数约106人，正式在编人员95人，编外人员11人（因存在各种不确定因素，人数仅供参考），分别在浙江省外、绍兴市（或浙江省）内安排。每批参加疗休养的实际人数和具体疗休养时间、地点由中标人与采购工会安排确定。</w:t>
      </w:r>
    </w:p>
    <w:p w14:paraId="35F79DE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疗养补充模式：若遇到天气、工作需要等不可抗力的特殊情况，无法正常开展疗休养活动，具体实施方案由中标人提供或中标人参考其他同行的实施方案供采购人选择。</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2.职工疗休养费用</w:t>
      </w:r>
    </w:p>
    <w:p w14:paraId="02192754">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2.1绍兴市（或浙江省）内:</w:t>
      </w:r>
    </w:p>
    <w:p w14:paraId="43A1D27E">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路线1：嵊泗花鸟岛三天+嘉兴两天，景点安排为花鸟岛灯塔、码塔线、南湾沙滩、五指山景区；嘉兴乌镇东栅、西栅景区（晚上住西栅景区内望津里/枕水/堤上酒店）、乌村；</w:t>
      </w:r>
    </w:p>
    <w:p w14:paraId="582B64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路线2：湖州南浔古镇、莫干山三天+富阳建德两天，景点安排为南浔古镇、莫干山、湖州影视城、富春山居号游船、深澳古村、马岭天观佛手桥、新光村；</w:t>
      </w:r>
    </w:p>
    <w:p w14:paraId="460711F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参加疗休养的人员按照不超过600元/人·天，省内、市内路线每次疗休养时间不超过5天4夜计算，正式在编人员其疗休养费用不超过3000元支付，编外人员医院按照不超过2000元计算，超过部分由出行人员补足价差。</w:t>
      </w:r>
    </w:p>
    <w:p w14:paraId="5060A38C">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2.2省外（1/3工会会员）：</w:t>
      </w:r>
    </w:p>
    <w:p w14:paraId="67E1783F">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3：福州、平潭、泉州双动五天，景点安排为三坊七巷、林则徐纪念馆、涌泉寺、西湖公园、平潭岛、平潭公铁两用的跨海大桥、大福湾度假村、将军山、龙凤头海滨浴场、海坛古城文化区、石头会唱歌、开元寺、东西双塔、西街、洛阳桥、晋江五店市、焊埔渔村；</w:t>
      </w:r>
    </w:p>
    <w:p w14:paraId="17723520">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路线4：甘肃青海双飞七天，景点安排为张掖、嘉峪关、敦煌、大柴旦、茶卡、青海湖、兰州；</w:t>
      </w:r>
    </w:p>
    <w:p w14:paraId="69440D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本次疗休养医院支付标准费用：在编人员3000元，编外人员2000元，省外路线福州、平潭、泉州双动五天疗休养人均费用预算3000元内，甘肃青海双飞七天疗休养（非暑假及节假日报价）人均费用预算6500元内，超出标准部分的费用由疗休养职工自理。省外报名人数超过1/3的，则按照出生年月优先原则筛选，如果报名人数过少，不符合组团要求，则取消此线路。</w:t>
      </w:r>
    </w:p>
    <w:p w14:paraId="061FA603">
      <w:pPr>
        <w:pStyle w:val="33"/>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.疗养主要模式及要求</w:t>
      </w:r>
    </w:p>
    <w:p w14:paraId="2AE9B8EB">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3.1疗养主要模式：疗休养活动时间根据采购人结合工作实际，统筹合理安排职工疗休养时间，线路中凡涉及市域内目的地的，必须在全市县级以上职工疗休养基地目录中选择，可由多个基地串点成线。</w:t>
      </w:r>
    </w:p>
    <w:p w14:paraId="3666E92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3.2疗养补充模式一：采购人可自行组织开展定点基地疗休养。其中若职工确因工作需要或不可抗力等特殊原因不能参加采购人组织实施的疗休养的，可由采购人在全市县级以上职工疗休养基地目录中选择若干基地，组织职工开展定点基地疗休养；</w:t>
      </w:r>
    </w:p>
    <w:p w14:paraId="15B9A58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3.3疗养补充模式二：若遇到采购人工作需要等不可抗力的特殊情况，无法正常开展疗休养活动，具体实施方案由中标供应商提供或中标供应商参考其他同行的实施方案供采购人选择；</w:t>
      </w:r>
    </w:p>
    <w:p w14:paraId="7B67E64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3.4全市县级以上职工疗休养基地目录按照绍兴市总工会官方网站查询为准；</w:t>
      </w:r>
    </w:p>
    <w:p w14:paraId="34EE2A9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3.5中标供应商必须为参与采购人组织的疗休养人员购买人身意外险，额度不低于100万元，保险费用为25元/人（此项费用包含于本项目的费用内，不单独或额外支付），疗养人数为106人（因存在各种不确定因素，人数仅供参考）。</w:t>
      </w:r>
    </w:p>
    <w:p w14:paraId="2204D93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1.3.6因工作、天气等各种原因，承诺给采购人有取消疗休养，变更、调整疗休养线路、人数、时间以要求出团等各种情形要求的服务，并且无条件服从并按照投标响应的服务标准和承诺履约。</w:t>
      </w:r>
    </w:p>
    <w:p w14:paraId="41B5BC6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4.服务要求</w:t>
      </w:r>
    </w:p>
    <w:p w14:paraId="3C49E09B">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4.1门票：包含景区内所有景点门票、景区内所有交通费、游轮等票。</w:t>
      </w:r>
    </w:p>
    <w:p w14:paraId="2D246A15">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4.2导游：全程陪同及专业导游讲解服务（含导游讲解费）。</w:t>
      </w:r>
    </w:p>
    <w:p w14:paraId="0C57781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4.3购物：零购物，无强制性消费。</w:t>
      </w:r>
    </w:p>
    <w:p w14:paraId="3714A8F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4.4交通：当地旅游车指定地点到疗养地点接送、景区交通等全过程交通出行工具。全程保证1人一座空调大巴，登记注册时间小于5年（含），车况良好无事故，安全整洁，车辆通过年度安全检验，交强险有效期内，车上基本安全设施齐全；驾驶员持对应车辆驾驶资格5年及以上。旅游车须用空调期间，司机应在每次上车前提前20分钟打开空调；司机应保持车辆整洁，每天要对车子进行清扫工作。</w:t>
      </w:r>
    </w:p>
    <w:p w14:paraId="4FA3D8D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4.5住宿：不低于挂牌四星或网评四星标准的酒店主要安排标准间（绍兴地区要求一人一间）。要求参照行程中备注的酒店或相应标准，交通便利、环境较好、干净卫生、服务优质，有较强的接待能力，同时配套设施齐全、使用安全方便。</w:t>
      </w:r>
    </w:p>
    <w:p w14:paraId="187A8A3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4.6早餐自助，中、晚餐全部桌餐。省内每天正餐餐标不低于160元/人·天。省外每天正餐餐标不低于120元/人·天，中、晚正餐12菜一汤（6荤6素）、饮料、饭后至少2种水果，食物要求新鲜、安全，适合职工口味。要求菜品多样。餐厅交通便利，环境较好。具体餐标以投标人编制并获得采购人认可的方案为准。</w:t>
      </w:r>
    </w:p>
    <w:p w14:paraId="375DDA1A">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4.7保险：为每位参加人员购买保障金额不低于100万元的人身意外保险，乘坐飞机、火车、客车等公共交通工具的，必须购买公共交通意外保险。</w:t>
      </w:r>
    </w:p>
    <w:p w14:paraId="0F8F166F">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4.8旅途中中标人应发放：一把10骨三人超大雨伞（要求伞下直径130cm）（雨伞推荐品牌:天堂、左都、迪卡侬，推荐品牌仅供参考，投标人投标时，可选择推荐品牌或相同档次或性能更优的品牌。投标时说明品牌的，项目实施时按采购人推荐品牌执行，费用不予调整），遮阳帽1顶、护枕1个、防晒袖1副。</w:t>
      </w:r>
    </w:p>
    <w:p w14:paraId="76961F5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4.9项目实施方案中标后一周内报采购人做确认，如遇恶劣天气等特殊情况，无法成团出行目的地的，需及时调整出行方案，采购人认可后可调整目的地或视情况取消出行。</w:t>
      </w:r>
    </w:p>
    <w:p w14:paraId="4BEE8C18">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4.10参加疗休养人员名单和个人信息不得外泄。</w:t>
      </w:r>
    </w:p>
    <w:p w14:paraId="5951263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4.11服务结束后进行满意度测评。</w:t>
      </w:r>
    </w:p>
    <w:p w14:paraId="426E0DE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4.12其他要求：所有疗休养必须按照《关于做好2025年职工疗休养工作的通知》绍市总工发〔2025〕11号文件的规定执行。</w:t>
      </w:r>
    </w:p>
    <w:p w14:paraId="040A0FA0">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4.13中标人不得对疗休养项目虚开发票，不得以现金、实物、消费券、购物卡、自助餐券等非疗休养形式变相套取疗休养费用。否则采购人有权解除合同，并取消其中标资格。</w:t>
      </w:r>
    </w:p>
    <w:p w14:paraId="0CD235F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ascii="仿宋" w:eastAsia="仿宋"/>
          <w:b/>
          <w:bCs/>
          <w:color w:val="auto"/>
          <w:kern w:val="0"/>
          <w:sz w:val="24"/>
          <w:highlight w:val="none"/>
        </w:rPr>
      </w:pP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旅行社的义务</w:t>
      </w:r>
    </w:p>
    <w:p w14:paraId="1A07EED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5.1向疗休养者提供约定的疗休养服务。对可能危及疗休养者人身、财产安全的情况，应当事前向疗休养者作出说明和警示，并采取合理措施防止危害发生。</w:t>
      </w:r>
    </w:p>
    <w:p w14:paraId="2BDF8F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5.2向疗休养者告知具体行程安排，各项服务内容及标准，旅游目的地的风俗习惯，安全避险措施，应急联络方式。</w:t>
      </w:r>
    </w:p>
    <w:p w14:paraId="7CCB08A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5.3行程中不得强迫或变相强迫疗休养者购物及参加自费项目。</w:t>
      </w:r>
    </w:p>
    <w:p w14:paraId="65F828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704DB20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5.5对疗休养者个人资料信息保密。</w:t>
      </w:r>
    </w:p>
    <w:p w14:paraId="2953AD8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服务期限</w:t>
      </w:r>
    </w:p>
    <w:p w14:paraId="5E08A29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u w:val="single"/>
        </w:rPr>
      </w:pPr>
      <w:r>
        <w:rPr>
          <w:rFonts w:hint="eastAsia" w:ascii="仿宋" w:eastAsia="仿宋"/>
          <w:b w:val="0"/>
          <w:bCs w:val="0"/>
          <w:color w:val="auto"/>
          <w:kern w:val="0"/>
          <w:sz w:val="24"/>
          <w:highlight w:val="none"/>
          <w:lang w:val="en-US" w:eastAsia="zh-CN"/>
        </w:rPr>
        <w:t>自合同签订之日起至2025年12月底</w:t>
      </w:r>
      <w:r>
        <w:rPr>
          <w:rFonts w:hint="eastAsia" w:ascii="仿宋" w:eastAsia="仿宋"/>
          <w:b w:val="0"/>
          <w:bCs w:val="0"/>
          <w:color w:val="auto"/>
          <w:kern w:val="0"/>
          <w:sz w:val="24"/>
          <w:highlight w:val="none"/>
          <w:lang w:eastAsia="zh-CN"/>
        </w:rPr>
        <w:t>，具体以合同签订时间为准。</w:t>
      </w:r>
    </w:p>
    <w:p w14:paraId="7AB95C5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7.质量要求</w:t>
      </w:r>
    </w:p>
    <w:p w14:paraId="1A6F0EE9">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eastAsia="仿宋"/>
          <w:b w:val="0"/>
          <w:bCs w:val="0"/>
          <w:color w:val="auto"/>
          <w:sz w:val="24"/>
          <w:highlight w:val="none"/>
          <w:lang w:eastAsia="zh-CN"/>
        </w:rPr>
      </w:pPr>
      <w:r>
        <w:rPr>
          <w:rFonts w:hint="eastAsia" w:ascii="仿宋" w:eastAsia="仿宋"/>
          <w:b w:val="0"/>
          <w:bCs w:val="0"/>
          <w:color w:val="auto"/>
          <w:sz w:val="24"/>
          <w:highlight w:val="none"/>
        </w:rPr>
        <w:t>优质服务且必须符合国家法律法规、行业标准及本表文所有条款要求</w:t>
      </w:r>
      <w:r>
        <w:rPr>
          <w:rFonts w:hint="eastAsia" w:ascii="仿宋" w:eastAsia="仿宋"/>
          <w:b w:val="0"/>
          <w:bCs w:val="0"/>
          <w:color w:val="auto"/>
          <w:sz w:val="24"/>
          <w:highlight w:val="none"/>
          <w:lang w:eastAsia="zh-CN"/>
        </w:rPr>
        <w:t>。</w:t>
      </w:r>
    </w:p>
    <w:p w14:paraId="63893AAA">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s="仿宋"/>
          <w:sz w:val="24"/>
        </w:rPr>
        <w:t>★</w:t>
      </w:r>
      <w:r>
        <w:rPr>
          <w:rFonts w:hint="eastAsia" w:ascii="仿宋" w:eastAsia="仿宋"/>
          <w:b/>
          <w:bCs/>
          <w:color w:val="auto"/>
          <w:sz w:val="24"/>
          <w:highlight w:val="none"/>
          <w:lang w:val="en-US" w:eastAsia="zh-CN"/>
        </w:rPr>
        <w:t>8.</w:t>
      </w:r>
      <w:r>
        <w:rPr>
          <w:rFonts w:hint="eastAsia" w:ascii="仿宋" w:eastAsia="仿宋"/>
          <w:b/>
          <w:bCs/>
          <w:color w:val="auto"/>
          <w:sz w:val="24"/>
          <w:highlight w:val="none"/>
        </w:rPr>
        <w:t>数量调整</w:t>
      </w:r>
    </w:p>
    <w:p w14:paraId="0CD133D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9.</w:t>
      </w:r>
      <w:r>
        <w:rPr>
          <w:rFonts w:hint="eastAsia" w:ascii="仿宋" w:eastAsia="仿宋"/>
          <w:b/>
          <w:bCs/>
          <w:color w:val="auto"/>
          <w:kern w:val="0"/>
          <w:sz w:val="24"/>
          <w:highlight w:val="none"/>
        </w:rPr>
        <w:t>付款方式</w:t>
      </w:r>
    </w:p>
    <w:p w14:paraId="7EC7960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1支付限额：疗休养医院实际支付费用是依据实际出行人数、实际产生的费用确定支付金额，并且正式在编人员医院每人疗休养费不超过3000元，每人每天不超过600元，编外人员医院支付不超过2000元为最高支付限额，超出部份由出行人员自理。</w:t>
      </w:r>
    </w:p>
    <w:p w14:paraId="31830738">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2采购单位应在合同正式生效后，疗休养行程全部结束后，中标人按实际产生费用提供结算函（附结算批次的线路、人数、总价等统计情况），经采购人经确认并在中标人开具增值税普通发票后30日内一次性支付该批次合同价款。</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.3如涉及中小企业合同的，按《浙江省财政厅关于进一步发挥政府采购政策功能全力推动经济稳进提质的通知》（浙财采监〔2022〕3号）等文件要求执行。</w:t>
      </w:r>
    </w:p>
    <w:p w14:paraId="7206394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rPr>
        <w:t>★</w:t>
      </w:r>
      <w:r>
        <w:rPr>
          <w:rFonts w:hint="eastAsia" w:ascii="仿宋" w:hAnsi="仿宋" w:eastAsia="仿宋" w:cs="仿宋"/>
          <w:b/>
          <w:bCs/>
          <w:color w:val="auto"/>
          <w:kern w:val="0"/>
          <w:sz w:val="24"/>
          <w:szCs w:val="24"/>
          <w:highlight w:val="none"/>
          <w:lang w:val="en-US" w:eastAsia="zh-CN"/>
        </w:rPr>
        <w:t>10.结算原则</w:t>
      </w:r>
    </w:p>
    <w:p w14:paraId="1C76F0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10</w:t>
      </w:r>
      <w:r>
        <w:rPr>
          <w:rFonts w:hint="eastAsia" w:ascii="仿宋" w:hAnsi="仿宋" w:eastAsia="仿宋" w:cs="仿宋"/>
          <w:b w:val="0"/>
          <w:bCs w:val="0"/>
          <w:color w:val="auto"/>
          <w:kern w:val="0"/>
          <w:sz w:val="24"/>
          <w:szCs w:val="24"/>
          <w:highlight w:val="none"/>
          <w:lang w:eastAsia="zh-CN"/>
        </w:rPr>
        <w:t>.1招标文件、更正公告、中标单位的中标报价等作为结算依据；</w:t>
      </w:r>
    </w:p>
    <w:p w14:paraId="727DA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10</w:t>
      </w:r>
      <w:r>
        <w:rPr>
          <w:rFonts w:hint="eastAsia" w:ascii="仿宋" w:hAnsi="仿宋" w:eastAsia="仿宋" w:cs="仿宋"/>
          <w:b w:val="0"/>
          <w:bCs w:val="0"/>
          <w:color w:val="auto"/>
          <w:kern w:val="0"/>
          <w:sz w:val="24"/>
          <w:szCs w:val="24"/>
          <w:highlight w:val="none"/>
          <w:lang w:eastAsia="zh-CN"/>
        </w:rPr>
        <w:t>.2中标单价一次性包死，不再调整，经采购人分级审批认可的数量增减，在结算时按中标单价按实调整。</w:t>
      </w:r>
    </w:p>
    <w:p w14:paraId="445A3854">
      <w:pPr>
        <w:pStyle w:val="3"/>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9A4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8E3E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7893AC">
      <w:pPr>
        <w:pStyle w:val="2"/>
        <w:rPr>
          <w:rFonts w:hint="eastAsia" w:ascii="仿宋" w:hAnsi="仿宋" w:eastAsia="仿宋" w:cs="仿宋"/>
          <w:b/>
          <w:sz w:val="36"/>
          <w:szCs w:val="36"/>
        </w:rPr>
      </w:pPr>
    </w:p>
    <w:p w14:paraId="550A64DB">
      <w:pPr>
        <w:rPr>
          <w:rFonts w:hint="eastAsia" w:ascii="仿宋" w:hAnsi="仿宋" w:eastAsia="仿宋" w:cs="仿宋"/>
          <w:b/>
          <w:sz w:val="36"/>
          <w:szCs w:val="36"/>
        </w:rPr>
      </w:pPr>
    </w:p>
    <w:p w14:paraId="22E7E23A">
      <w:pPr>
        <w:pStyle w:val="2"/>
        <w:rPr>
          <w:rFonts w:hint="eastAsia" w:ascii="仿宋" w:hAnsi="仿宋" w:eastAsia="仿宋" w:cs="仿宋"/>
          <w:b/>
          <w:sz w:val="36"/>
          <w:szCs w:val="36"/>
        </w:rPr>
      </w:pPr>
    </w:p>
    <w:p w14:paraId="242D2600">
      <w:pPr>
        <w:rPr>
          <w:rFonts w:hint="eastAsia" w:ascii="仿宋" w:hAnsi="仿宋" w:eastAsia="仿宋" w:cs="仿宋"/>
          <w:b/>
          <w:sz w:val="36"/>
          <w:szCs w:val="36"/>
        </w:rPr>
      </w:pPr>
    </w:p>
    <w:p w14:paraId="48C6496F">
      <w:pPr>
        <w:pStyle w:val="2"/>
        <w:rPr>
          <w:rFonts w:hint="eastAsia" w:ascii="仿宋" w:hAnsi="仿宋" w:eastAsia="仿宋" w:cs="仿宋"/>
          <w:b/>
          <w:sz w:val="36"/>
          <w:szCs w:val="36"/>
        </w:rPr>
      </w:pPr>
    </w:p>
    <w:p w14:paraId="0261358E">
      <w:pPr>
        <w:rPr>
          <w:rFonts w:hint="eastAsia" w:ascii="仿宋" w:hAnsi="仿宋" w:eastAsia="仿宋" w:cs="仿宋"/>
          <w:b/>
          <w:sz w:val="36"/>
          <w:szCs w:val="36"/>
        </w:rPr>
      </w:pPr>
    </w:p>
    <w:p w14:paraId="51D2B1BE">
      <w:pPr>
        <w:pStyle w:val="2"/>
        <w:rPr>
          <w:rFonts w:hint="eastAsia" w:ascii="仿宋" w:hAnsi="仿宋" w:eastAsia="仿宋" w:cs="仿宋"/>
          <w:b/>
          <w:sz w:val="36"/>
          <w:szCs w:val="36"/>
        </w:rPr>
      </w:pPr>
    </w:p>
    <w:p w14:paraId="62C61DFC">
      <w:pPr>
        <w:rPr>
          <w:rFonts w:hint="eastAsia" w:ascii="仿宋" w:hAnsi="仿宋" w:eastAsia="仿宋" w:cs="仿宋"/>
          <w:b/>
          <w:sz w:val="36"/>
          <w:szCs w:val="36"/>
        </w:rPr>
      </w:pPr>
    </w:p>
    <w:p w14:paraId="26CE3A71">
      <w:pPr>
        <w:pStyle w:val="2"/>
        <w:rPr>
          <w:rFonts w:hint="eastAsia" w:ascii="仿宋" w:hAnsi="仿宋" w:eastAsia="仿宋" w:cs="仿宋"/>
          <w:b/>
          <w:sz w:val="36"/>
          <w:szCs w:val="36"/>
        </w:rPr>
      </w:pPr>
    </w:p>
    <w:p w14:paraId="10B6A342">
      <w:pPr>
        <w:rPr>
          <w:rFonts w:hint="eastAsia" w:ascii="仿宋" w:hAnsi="仿宋" w:eastAsia="仿宋" w:cs="仿宋"/>
          <w:b/>
          <w:sz w:val="36"/>
          <w:szCs w:val="36"/>
        </w:rPr>
      </w:pPr>
    </w:p>
    <w:p w14:paraId="3B77CB5C">
      <w:pPr>
        <w:pStyle w:val="2"/>
        <w:rPr>
          <w:rFonts w:hint="eastAsia"/>
        </w:rPr>
      </w:pPr>
    </w:p>
    <w:p w14:paraId="1CF49A5B">
      <w:pPr>
        <w:pStyle w:val="2"/>
        <w:rPr>
          <w:rFonts w:hint="eastAsia"/>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4"/>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5DFB313D">
      <w:pPr>
        <w:rPr>
          <w:rFonts w:hint="eastAsia" w:ascii="仿宋" w:hAnsi="仿宋" w:eastAsia="仿宋" w:cs="仿宋"/>
          <w:b/>
          <w:sz w:val="24"/>
        </w:r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2967"/>
      <w:bookmarkStart w:id="53" w:name="_Toc15367"/>
      <w:bookmarkStart w:id="54" w:name="_Toc28855"/>
      <w:bookmarkStart w:id="55" w:name="_Toc20421"/>
      <w:bookmarkStart w:id="56" w:name="_Toc19273"/>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773"/>
      <w:bookmarkStart w:id="58" w:name="_Toc18585"/>
      <w:bookmarkStart w:id="59" w:name="_Toc22185"/>
      <w:bookmarkStart w:id="60" w:name="_Toc2918"/>
      <w:bookmarkStart w:id="61" w:name="_Toc6311"/>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86"/>
      <w:bookmarkStart w:id="63" w:name="_Toc21124"/>
      <w:bookmarkStart w:id="64" w:name="_Toc4929"/>
      <w:bookmarkStart w:id="65" w:name="_Toc5635"/>
      <w:bookmarkStart w:id="66"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654"/>
      <w:bookmarkStart w:id="68" w:name="_Toc14993"/>
      <w:bookmarkStart w:id="69" w:name="_Toc30158"/>
      <w:bookmarkStart w:id="70" w:name="_Toc26916"/>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22618"/>
      <w:bookmarkStart w:id="74" w:name="_Toc10340"/>
      <w:bookmarkStart w:id="75" w:name="_Toc11108"/>
      <w:bookmarkStart w:id="76" w:name="_Toc8772"/>
      <w:bookmarkStart w:id="77" w:name="_Toc3625"/>
      <w:bookmarkStart w:id="78" w:name="_Toc4760"/>
      <w:bookmarkStart w:id="79" w:name="_Toc31421"/>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8586"/>
      <w:bookmarkStart w:id="81" w:name="_Toc3079"/>
      <w:bookmarkStart w:id="82" w:name="_Toc24662"/>
      <w:bookmarkStart w:id="83" w:name="_Toc5698"/>
      <w:bookmarkStart w:id="84" w:name="_Toc2375"/>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18683"/>
      <w:bookmarkStart w:id="86" w:name="_Toc30329"/>
      <w:bookmarkStart w:id="87" w:name="_Toc32454"/>
      <w:bookmarkStart w:id="88" w:name="_Toc26807"/>
      <w:bookmarkStart w:id="89"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5583"/>
      <w:bookmarkStart w:id="91" w:name="_Toc28375"/>
      <w:bookmarkStart w:id="92" w:name="_Toc16021"/>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7245"/>
      <w:bookmarkStart w:id="94" w:name="_Toc11173"/>
      <w:bookmarkStart w:id="95" w:name="_Toc15322"/>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19680"/>
      <w:bookmarkStart w:id="97" w:name="_Toc25079"/>
      <w:bookmarkStart w:id="98" w:name="_Toc14021"/>
      <w:bookmarkStart w:id="99" w:name="_Toc31297"/>
      <w:bookmarkStart w:id="100" w:name="_Toc5228"/>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19539"/>
      <w:bookmarkStart w:id="102" w:name="_Toc16752"/>
      <w:bookmarkStart w:id="103" w:name="_Toc31402"/>
      <w:bookmarkStart w:id="104" w:name="_Toc3769"/>
      <w:bookmarkStart w:id="105" w:name="_Toc23289"/>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13673"/>
      <w:bookmarkStart w:id="107" w:name="_Toc12412"/>
      <w:bookmarkStart w:id="108" w:name="_Toc27945"/>
      <w:bookmarkStart w:id="109" w:name="_Toc9161"/>
      <w:bookmarkStart w:id="110" w:name="_Toc4133"/>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31233"/>
      <w:bookmarkStart w:id="112" w:name="_Toc22011"/>
      <w:bookmarkStart w:id="113" w:name="_Toc15447"/>
      <w:bookmarkStart w:id="114" w:name="_Toc32670"/>
      <w:bookmarkStart w:id="115" w:name="_Toc26555"/>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13154"/>
      <w:bookmarkStart w:id="117" w:name="_Toc16163"/>
      <w:bookmarkStart w:id="118" w:name="_Toc18990"/>
      <w:bookmarkStart w:id="119" w:name="_Toc13467"/>
      <w:bookmarkStart w:id="120" w:name="_Toc30507"/>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42"/>
      <w:bookmarkStart w:id="125" w:name="_Toc23368"/>
      <w:bookmarkStart w:id="126" w:name="_Toc10663"/>
      <w:bookmarkStart w:id="127" w:name="_Toc21830"/>
      <w:bookmarkStart w:id="128" w:name="_Toc26689"/>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32494"/>
      <w:bookmarkStart w:id="130" w:name="_Toc4720"/>
      <w:bookmarkStart w:id="131" w:name="_Toc25571"/>
      <w:bookmarkStart w:id="132" w:name="_Toc26633"/>
      <w:bookmarkStart w:id="133" w:name="_Toc14371"/>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23854"/>
      <w:bookmarkStart w:id="135" w:name="_Toc14115"/>
      <w:bookmarkStart w:id="136" w:name="_Toc25783"/>
      <w:bookmarkStart w:id="137" w:name="_Toc3638"/>
      <w:bookmarkStart w:id="138" w:name="_Toc24465"/>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14814"/>
      <w:bookmarkStart w:id="140" w:name="_Toc26883"/>
      <w:bookmarkStart w:id="141" w:name="_Toc30105"/>
      <w:bookmarkStart w:id="142" w:name="_Toc25525"/>
      <w:bookmarkStart w:id="143" w:name="_Toc7315"/>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23323"/>
      <w:bookmarkStart w:id="145" w:name="_Toc1123"/>
      <w:bookmarkStart w:id="146" w:name="_Toc2016"/>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7363"/>
      <w:bookmarkStart w:id="148" w:name="_Toc14525"/>
      <w:bookmarkStart w:id="149" w:name="_Toc1969"/>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25198"/>
      <w:bookmarkStart w:id="151" w:name="_Toc12666"/>
      <w:bookmarkStart w:id="152" w:name="_Toc31892"/>
      <w:bookmarkStart w:id="153" w:name="_Toc2308"/>
      <w:bookmarkStart w:id="154" w:name="_Toc9808"/>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0808"/>
      <w:bookmarkStart w:id="158" w:name="_Toc5063"/>
      <w:bookmarkStart w:id="159" w:name="_Toc27644"/>
      <w:bookmarkStart w:id="160" w:name="_Toc28906"/>
      <w:bookmarkStart w:id="161" w:name="_Toc12254"/>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30599"/>
      <w:bookmarkStart w:id="163" w:name="_Toc4355"/>
      <w:bookmarkStart w:id="164" w:name="_Toc18540"/>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259093692"/>
      <w:bookmarkStart w:id="166" w:name="_Toc487900373"/>
      <w:bookmarkStart w:id="167" w:name="_Toc18567"/>
      <w:bookmarkStart w:id="168" w:name="_Toc279701263"/>
      <w:bookmarkStart w:id="169" w:name="_Toc12773"/>
      <w:bookmarkStart w:id="170" w:name="_Toc10330"/>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60</w:t>
      </w:r>
      <w:r>
        <w:rPr>
          <w:rFonts w:hint="eastAsia" w:ascii="仿宋" w:hAnsi="仿宋" w:eastAsia="仿宋" w:cs="仿宋"/>
          <w:b/>
          <w:bCs/>
          <w:iCs/>
          <w:sz w:val="24"/>
        </w:rPr>
        <w:t>分）</w:t>
      </w:r>
    </w:p>
    <w:tbl>
      <w:tblPr>
        <w:tblStyle w:val="63"/>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DE7337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体系</w:t>
            </w:r>
          </w:p>
          <w:p w14:paraId="645590F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rPr>
              <w:t>认证</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4C264C8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有效的</w:t>
            </w:r>
            <w:r>
              <w:rPr>
                <w:rFonts w:hint="eastAsia" w:ascii="仿宋" w:hAnsi="仿宋" w:eastAsia="仿宋" w:cs="仿宋"/>
                <w:b w:val="0"/>
                <w:bCs w:val="0"/>
                <w:color w:val="auto"/>
                <w:sz w:val="24"/>
                <w:szCs w:val="24"/>
                <w:highlight w:val="none"/>
              </w:rPr>
              <w:t>质量管理体系认证</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提供证书复印件</w:t>
            </w:r>
            <w:r>
              <w:rPr>
                <w:rFonts w:hint="eastAsia" w:ascii="仿宋" w:hAnsi="仿宋" w:eastAsia="仿宋" w:cs="仿宋"/>
                <w:b w:val="0"/>
                <w:bCs w:val="0"/>
                <w:color w:val="auto"/>
                <w:sz w:val="24"/>
                <w:szCs w:val="24"/>
                <w:highlight w:val="none"/>
                <w:lang w:val="en-US" w:eastAsia="zh-CN"/>
              </w:rPr>
              <w:t>并加盖公章，不提供不得分</w:t>
            </w:r>
            <w:r>
              <w:rPr>
                <w:rFonts w:hint="eastAsia" w:ascii="仿宋" w:hAnsi="仿宋" w:eastAsia="仿宋" w:cs="仿宋"/>
                <w:b w:val="0"/>
                <w:bCs w:val="0"/>
                <w:color w:val="auto"/>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2</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5418362">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企业</w:t>
            </w:r>
          </w:p>
          <w:p w14:paraId="0487F088">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kern w:val="0"/>
                <w:sz w:val="24"/>
                <w:szCs w:val="24"/>
              </w:rPr>
            </w:pPr>
            <w:r>
              <w:rPr>
                <w:rFonts w:hint="eastAsia" w:ascii="仿宋" w:hAnsi="仿宋" w:eastAsia="仿宋" w:cs="仿宋"/>
                <w:b w:val="0"/>
                <w:bCs w:val="0"/>
                <w:color w:val="auto"/>
                <w:sz w:val="24"/>
                <w:szCs w:val="24"/>
                <w:lang w:val="en-US"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0D8E011">
            <w:pPr>
              <w:keepNext w:val="0"/>
              <w:keepLines w:val="0"/>
              <w:pageBreakBefore w:val="0"/>
              <w:widowControl/>
              <w:kinsoku/>
              <w:wordWrap/>
              <w:overflowPunct/>
              <w:topLinePunct w:val="0"/>
              <w:autoSpaceDE/>
              <w:autoSpaceDN/>
              <w:bidi w:val="0"/>
              <w:adjustRightInd w:val="0"/>
              <w:spacing w:line="440" w:lineRule="exact"/>
              <w:textAlignment w:val="bottom"/>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投标人自202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年1月1日至今（以合同签订时间为准）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承担过同类项目的业绩，每个得1分，最多得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分。（提供合同复印件并加盖公章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3</w:t>
            </w:r>
          </w:p>
        </w:tc>
      </w:tr>
      <w:tr w14:paraId="0075E4F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F29E426">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4E7522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2D905C2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5C6AEBA3">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rPr>
              <w:t>20</w:t>
            </w:r>
            <w:r>
              <w:rPr>
                <w:rFonts w:hint="eastAsia" w:ascii="仿宋" w:hAnsi="仿宋" w:eastAsia="仿宋" w:cs="仿宋"/>
                <w:b w:val="0"/>
                <w:bCs w:val="0"/>
                <w:color w:val="auto"/>
                <w:sz w:val="24"/>
                <w:szCs w:val="24"/>
                <w:highlight w:val="none"/>
                <w:lang w:val="en-US" w:eastAsia="zh-CN"/>
              </w:rPr>
              <w:t>22</w:t>
            </w:r>
            <w:r>
              <w:rPr>
                <w:rFonts w:hint="eastAsia" w:ascii="仿宋" w:hAnsi="仿宋" w:eastAsia="仿宋" w:cs="仿宋"/>
                <w:b w:val="0"/>
                <w:bCs w:val="0"/>
                <w:color w:val="auto"/>
                <w:sz w:val="24"/>
                <w:szCs w:val="24"/>
                <w:highlight w:val="none"/>
              </w:rPr>
              <w:t>年1月1日至今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以证明材料落款时间为准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获</w:t>
            </w:r>
            <w:r>
              <w:rPr>
                <w:rFonts w:hint="eastAsia" w:ascii="仿宋" w:hAnsi="仿宋" w:eastAsia="仿宋" w:cs="仿宋"/>
                <w:b w:val="0"/>
                <w:bCs w:val="0"/>
                <w:color w:val="auto"/>
                <w:sz w:val="24"/>
                <w:szCs w:val="24"/>
                <w:highlight w:val="none"/>
                <w:lang w:val="en-US" w:eastAsia="zh-CN"/>
              </w:rPr>
              <w:t>得</w:t>
            </w:r>
            <w:r>
              <w:rPr>
                <w:rFonts w:hint="eastAsia" w:ascii="仿宋" w:hAnsi="仿宋" w:eastAsia="仿宋" w:cs="仿宋"/>
                <w:b w:val="0"/>
                <w:bCs w:val="0"/>
                <w:color w:val="auto"/>
                <w:sz w:val="24"/>
                <w:szCs w:val="24"/>
                <w:highlight w:val="none"/>
              </w:rPr>
              <w:t>政府部门颁发的</w:t>
            </w:r>
            <w:r>
              <w:rPr>
                <w:rFonts w:hint="eastAsia" w:ascii="仿宋" w:hAnsi="仿宋" w:eastAsia="仿宋" w:cs="仿宋"/>
                <w:b w:val="0"/>
                <w:bCs w:val="0"/>
                <w:color w:val="auto"/>
                <w:sz w:val="24"/>
                <w:szCs w:val="24"/>
                <w:highlight w:val="none"/>
                <w:lang w:val="en-US" w:eastAsia="zh-CN"/>
              </w:rPr>
              <w:t>旅游类</w:t>
            </w:r>
            <w:r>
              <w:rPr>
                <w:rFonts w:hint="eastAsia" w:ascii="仿宋" w:hAnsi="仿宋" w:eastAsia="仿宋" w:cs="仿宋"/>
                <w:b w:val="0"/>
                <w:bCs w:val="0"/>
                <w:color w:val="auto"/>
                <w:sz w:val="24"/>
                <w:szCs w:val="24"/>
                <w:highlight w:val="none"/>
              </w:rPr>
              <w:t>荣誉，市级荣</w:t>
            </w:r>
            <w:bookmarkStart w:id="179" w:name="_GoBack"/>
            <w:bookmarkEnd w:id="179"/>
            <w:r>
              <w:rPr>
                <w:rFonts w:hint="eastAsia" w:ascii="仿宋" w:hAnsi="仿宋" w:eastAsia="仿宋" w:cs="仿宋"/>
                <w:b w:val="0"/>
                <w:bCs w:val="0"/>
                <w:color w:val="auto"/>
                <w:sz w:val="24"/>
                <w:szCs w:val="24"/>
                <w:highlight w:val="none"/>
              </w:rPr>
              <w:t>誉每项得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分，省级及以上荣誉</w:t>
            </w:r>
            <w:r>
              <w:rPr>
                <w:rFonts w:hint="eastAsia" w:ascii="仿宋" w:hAnsi="仿宋" w:eastAsia="仿宋" w:cs="仿宋"/>
                <w:b w:val="0"/>
                <w:bCs w:val="0"/>
                <w:color w:val="auto"/>
                <w:sz w:val="24"/>
                <w:szCs w:val="24"/>
                <w:highlight w:val="none"/>
                <w:lang w:val="en-US" w:eastAsia="zh-CN"/>
              </w:rPr>
              <w:t>每项</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分，本项最高得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证明材料</w:t>
            </w:r>
            <w:r>
              <w:rPr>
                <w:rFonts w:hint="eastAsia" w:ascii="仿宋" w:hAnsi="仿宋" w:eastAsia="仿宋" w:cs="仿宋"/>
                <w:b w:val="0"/>
                <w:bCs w:val="0"/>
                <w:color w:val="auto"/>
                <w:sz w:val="24"/>
                <w:szCs w:val="24"/>
                <w:highlight w:val="none"/>
              </w:rPr>
              <w:t>复印件加盖公章，</w:t>
            </w:r>
            <w:r>
              <w:rPr>
                <w:rFonts w:hint="eastAsia" w:ascii="仿宋" w:hAnsi="仿宋" w:eastAsia="仿宋" w:cs="仿宋"/>
                <w:b w:val="0"/>
                <w:bCs w:val="0"/>
                <w:color w:val="auto"/>
                <w:sz w:val="24"/>
                <w:szCs w:val="24"/>
                <w:highlight w:val="none"/>
                <w:lang w:val="en-US" w:eastAsia="zh-CN"/>
              </w:rPr>
              <w:t>不提供</w:t>
            </w:r>
            <w:r>
              <w:rPr>
                <w:rFonts w:hint="eastAsia" w:ascii="仿宋" w:hAnsi="仿宋" w:eastAsia="仿宋" w:cs="仿宋"/>
                <w:b w:val="0"/>
                <w:bCs w:val="0"/>
                <w:color w:val="auto"/>
                <w:sz w:val="24"/>
                <w:szCs w:val="24"/>
                <w:highlight w:val="none"/>
              </w:rPr>
              <w:t>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51E6251">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lang w:val="en-US" w:eastAsia="zh-CN"/>
              </w:rPr>
              <w:t>4</w:t>
            </w:r>
          </w:p>
        </w:tc>
      </w:tr>
      <w:tr w14:paraId="323F45AE">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998F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CE2512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应急</w:t>
            </w:r>
          </w:p>
          <w:p w14:paraId="26A7A01E">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预案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0AD83F7B">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对服务过程中可能出现的意外情况的应对措施等方案（主要包括突发疾病、人员安全、交通事故等突发状况的预防措施和应急处理方案）进行打分。突发事件考虑周全，应急预案应对全面合理、可行性强得4.1-6分；突发事件考虑较周全，应急预案应对较全面合理、可行性较强得2.1-4分；突发事件考虑周全性一般，应急预案应对全面合理性、可行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43FCFA">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color w:val="FF0000"/>
                <w:kern w:val="0"/>
                <w:sz w:val="24"/>
                <w:szCs w:val="24"/>
                <w:lang w:val="en-US" w:eastAsia="zh-CN"/>
              </w:rPr>
            </w:pPr>
            <w:r>
              <w:rPr>
                <w:rFonts w:hint="eastAsia" w:ascii="仿宋" w:hAnsi="仿宋" w:eastAsia="仿宋" w:cs="仿宋"/>
                <w:sz w:val="24"/>
                <w:lang w:val="en-US" w:eastAsia="zh-CN"/>
              </w:rPr>
              <w:t>6</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1B0668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旅行社</w:t>
            </w:r>
          </w:p>
          <w:p w14:paraId="6B05907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保险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072D0D4">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1.投标人为游客购买人身意外险：每人100-150万的（不含100万，含150万）得1分；每人150万以上的，得2分。（提供承诺书并加盖公章，不提供不得分）</w:t>
            </w:r>
          </w:p>
          <w:p w14:paraId="0B1164D2">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color w:val="auto"/>
                <w:spacing w:val="-6"/>
                <w:sz w:val="24"/>
                <w:szCs w:val="24"/>
                <w:highlight w:val="none"/>
                <w:shd w:val="clear" w:color="auto" w:fill="auto"/>
                <w:lang w:val="en-US" w:eastAsia="zh-CN"/>
              </w:rPr>
              <w:t>2.旅游公司</w:t>
            </w:r>
            <w:r>
              <w:rPr>
                <w:rFonts w:hint="eastAsia" w:ascii="仿宋" w:hAnsi="仿宋" w:eastAsia="仿宋" w:cs="仿宋"/>
                <w:b w:val="0"/>
                <w:bCs w:val="0"/>
                <w:color w:val="auto"/>
                <w:sz w:val="24"/>
                <w:szCs w:val="24"/>
                <w:highlight w:val="none"/>
                <w:lang w:val="en-US" w:eastAsia="zh-CN"/>
              </w:rPr>
              <w:t>责任险在2000万（含）及以上的得2分。（提供有效保单材料复印件并加盖公章，不提供不得分）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FF0000"/>
                <w:kern w:val="0"/>
                <w:sz w:val="24"/>
                <w:szCs w:val="24"/>
                <w:lang w:eastAsia="zh-CN"/>
              </w:rPr>
            </w:pPr>
            <w:r>
              <w:rPr>
                <w:rFonts w:hint="eastAsia" w:ascii="仿宋" w:hAnsi="仿宋" w:eastAsia="仿宋" w:cs="仿宋"/>
                <w:b w:val="0"/>
                <w:bCs w:val="0"/>
                <w:color w:val="auto"/>
                <w:sz w:val="24"/>
                <w:szCs w:val="24"/>
                <w:highlight w:val="none"/>
                <w:lang w:val="en-US" w:eastAsia="zh-CN"/>
              </w:rPr>
              <w:t>4</w:t>
            </w:r>
          </w:p>
        </w:tc>
      </w:tr>
      <w:tr w14:paraId="45A5CC7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6D66D6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D430F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77B537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实力</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205B3C6D">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公司管理制度，流程及安全管理措施，进行打分。公司管理制度健全，流程规范，安全管理措施有力得4.1-6分；公司管理制度较健全，流程较规范，安全管理措施较有力得2.1-4分；公司管理制度欠健全，流程欠规范，安全管理措施欠有力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565AEA9">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6</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vMerge w:val="restart"/>
            <w:tcBorders>
              <w:top w:val="single" w:color="auto" w:sz="4" w:space="0"/>
              <w:left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lang w:val="en-US" w:eastAsia="zh-CN"/>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14A0404C">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绍兴市（或浙江省）内</w:t>
            </w:r>
            <w:r>
              <w:rPr>
                <w:rFonts w:hint="eastAsia" w:ascii="仿宋" w:hAnsi="仿宋" w:eastAsia="仿宋" w:cs="仿宋"/>
                <w:b/>
                <w:bCs/>
                <w:color w:val="auto"/>
                <w:sz w:val="24"/>
                <w:szCs w:val="24"/>
                <w:highlight w:val="none"/>
                <w:lang w:val="en-US" w:eastAsia="zh-CN"/>
              </w:rPr>
              <w:t>路线1</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10</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210" w:type="dxa"/>
            <w:vMerge w:val="continue"/>
            <w:tcBorders>
              <w:left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119D3A61">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省</w:t>
            </w:r>
            <w:r>
              <w:rPr>
                <w:rFonts w:hint="eastAsia" w:ascii="仿宋" w:hAnsi="仿宋" w:eastAsia="仿宋" w:cs="仿宋"/>
                <w:b/>
                <w:bCs/>
                <w:color w:val="auto"/>
                <w:sz w:val="24"/>
                <w:szCs w:val="24"/>
                <w:highlight w:val="none"/>
                <w:lang w:val="en-US" w:eastAsia="zh-CN"/>
              </w:rPr>
              <w:t>外</w:t>
            </w:r>
            <w:r>
              <w:rPr>
                <w:rFonts w:hint="eastAsia" w:ascii="仿宋" w:hAnsi="仿宋" w:eastAsia="仿宋" w:cs="仿宋"/>
                <w:b/>
                <w:bCs/>
                <w:color w:val="auto"/>
                <w:sz w:val="24"/>
                <w:szCs w:val="24"/>
                <w:highlight w:val="none"/>
              </w:rPr>
              <w:t>路线</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vMerge w:val="continue"/>
            <w:tcBorders>
              <w:left w:val="single" w:color="auto" w:sz="4" w:space="0"/>
              <w:bottom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67699018">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sz w:val="24"/>
                <w:szCs w:val="24"/>
                <w:lang w:val="en-US" w:eastAsia="zh-CN"/>
              </w:rPr>
            </w:pPr>
            <w:r>
              <w:rPr>
                <w:rFonts w:hint="eastAsia" w:ascii="仿宋" w:hAnsi="仿宋" w:eastAsia="仿宋" w:cs="仿宋"/>
                <w:b w:val="0"/>
                <w:bCs w:val="0"/>
                <w:color w:val="auto"/>
                <w:sz w:val="24"/>
                <w:szCs w:val="24"/>
                <w:highlight w:val="none"/>
                <w:lang w:val="en-US" w:eastAsia="zh-CN"/>
              </w:rPr>
              <w:t>根据供应商提供的针对本项目餐饮方案（包括中、晚餐具体地点、相关菜品、餐饮明细、相关服务等）进行打分。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6</w:t>
            </w:r>
          </w:p>
        </w:tc>
      </w:tr>
      <w:tr w14:paraId="15ED02E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B582A67">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车辆</w:t>
            </w:r>
          </w:p>
          <w:p w14:paraId="13E17639">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rPr>
              <w:t>配备</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车辆安排：</w:t>
            </w:r>
            <w:r>
              <w:rPr>
                <w:rFonts w:hint="eastAsia" w:ascii="仿宋" w:hAnsi="仿宋" w:eastAsia="仿宋" w:cs="仿宋"/>
                <w:b w:val="0"/>
                <w:bCs w:val="0"/>
                <w:color w:val="auto"/>
                <w:sz w:val="24"/>
                <w:szCs w:val="24"/>
                <w:highlight w:val="none"/>
                <w:lang w:val="en-US" w:eastAsia="zh-CN"/>
              </w:rPr>
              <w:t>投标人提供的</w:t>
            </w:r>
            <w:r>
              <w:rPr>
                <w:rFonts w:hint="eastAsia" w:ascii="仿宋" w:hAnsi="仿宋" w:eastAsia="仿宋" w:cs="仿宋"/>
                <w:b w:val="0"/>
                <w:bCs w:val="0"/>
                <w:color w:val="auto"/>
                <w:sz w:val="24"/>
                <w:szCs w:val="24"/>
                <w:highlight w:val="none"/>
              </w:rPr>
              <w:t>车辆已使用年限</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年以下，司机驾龄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w:t>
            </w:r>
            <w:r>
              <w:rPr>
                <w:rFonts w:hint="eastAsia" w:ascii="仿宋" w:hAnsi="仿宋" w:eastAsia="仿宋" w:cs="仿宋"/>
                <w:b w:val="0"/>
                <w:bCs w:val="0"/>
                <w:color w:val="auto"/>
                <w:sz w:val="24"/>
                <w:szCs w:val="24"/>
                <w:highlight w:val="none"/>
              </w:rPr>
              <w:t>以上，车辆大小完全满足或优于使用需求</w:t>
            </w:r>
            <w:r>
              <w:rPr>
                <w:rFonts w:hint="eastAsia" w:ascii="仿宋" w:hAnsi="仿宋" w:eastAsia="仿宋" w:cs="仿宋"/>
                <w:b w:val="0"/>
                <w:bCs w:val="0"/>
                <w:color w:val="auto"/>
                <w:sz w:val="24"/>
                <w:szCs w:val="24"/>
                <w:highlight w:val="none"/>
                <w:lang w:val="en-US" w:eastAsia="zh-CN"/>
              </w:rPr>
              <w:t>的，得3分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车辆已使用年限5年，司机驾龄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及以上</w:t>
            </w:r>
            <w:r>
              <w:rPr>
                <w:rFonts w:hint="eastAsia" w:ascii="仿宋" w:hAnsi="仿宋" w:eastAsia="仿宋" w:cs="仿宋"/>
                <w:b w:val="0"/>
                <w:bCs w:val="0"/>
                <w:color w:val="auto"/>
                <w:sz w:val="24"/>
                <w:szCs w:val="24"/>
                <w:highlight w:val="none"/>
              </w:rPr>
              <w:t>，车辆大小满足使用需求</w:t>
            </w:r>
            <w:r>
              <w:rPr>
                <w:rFonts w:hint="eastAsia" w:ascii="仿宋" w:hAnsi="仿宋" w:eastAsia="仿宋" w:cs="仿宋"/>
                <w:b w:val="0"/>
                <w:bCs w:val="0"/>
                <w:color w:val="auto"/>
                <w:sz w:val="24"/>
                <w:szCs w:val="24"/>
                <w:highlight w:val="none"/>
                <w:lang w:val="en-US" w:eastAsia="zh-CN"/>
              </w:rPr>
              <w:t>的，得1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[提供驾驶证、车辆行驶证，车辆使用年限</w:t>
            </w:r>
            <w:r>
              <w:rPr>
                <w:rFonts w:hint="eastAsia" w:ascii="仿宋" w:hAnsi="仿宋" w:eastAsia="仿宋" w:cs="仿宋"/>
                <w:b w:val="0"/>
                <w:bCs w:val="0"/>
                <w:color w:val="auto"/>
                <w:sz w:val="24"/>
                <w:szCs w:val="24"/>
                <w:highlight w:val="none"/>
              </w:rPr>
              <w:t>以车辆行驶证的登记时间为准，同时提供车辆清单(包括品牌、座位类量，车辆发票)，必须确保车辆与实际使用时一致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车辆如为租赁的，还需提供双方签字盖章的租赁协议或合同</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w:t>
            </w:r>
            <w:r>
              <w:rPr>
                <w:rFonts w:hint="eastAsia" w:ascii="仿宋" w:hAnsi="仿宋" w:eastAsia="仿宋" w:cs="仿宋"/>
                <w:b w:val="0"/>
                <w:bCs w:val="0"/>
                <w:color w:val="auto"/>
                <w:sz w:val="24"/>
                <w:szCs w:val="24"/>
                <w:highlight w:val="none"/>
              </w:rPr>
              <w:t>提供不得分</w:t>
            </w:r>
            <w:r>
              <w:rPr>
                <w:rFonts w:hint="eastAsia" w:ascii="仿宋" w:hAnsi="仿宋" w:eastAsia="仿宋" w:cs="仿宋"/>
                <w:b w:val="0"/>
                <w:bCs w:val="0"/>
                <w:color w:val="auto"/>
                <w:sz w:val="24"/>
                <w:szCs w:val="24"/>
                <w:highlight w:val="none"/>
                <w:lang w:val="en-US"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3</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AA8013">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特色服务及后续服务</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7449BED">
            <w:pPr>
              <w:keepNext w:val="0"/>
              <w:keepLines w:val="0"/>
              <w:pageBreakBefore w:val="0"/>
              <w:kinsoku/>
              <w:wordWrap/>
              <w:overflowPunct/>
              <w:topLinePunct w:val="0"/>
              <w:autoSpaceDE/>
              <w:autoSpaceDN/>
              <w:bidi w:val="0"/>
              <w:adjustRightInd w:val="0"/>
              <w:snapToGri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根据投标人提供的后续服务方案和本项目的增值、特色服务满足招标文件要求的各种承诺。</w:t>
            </w:r>
            <w:r>
              <w:rPr>
                <w:rFonts w:hint="eastAsia" w:ascii="仿宋" w:hAnsi="仿宋" w:eastAsia="仿宋" w:cs="仿宋"/>
                <w:b w:val="0"/>
                <w:bCs w:val="0"/>
                <w:sz w:val="24"/>
                <w:szCs w:val="24"/>
                <w:highlight w:val="none"/>
                <w:lang w:val="en-US" w:eastAsia="zh-CN"/>
              </w:rPr>
              <w:t>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6</w:t>
            </w:r>
          </w:p>
        </w:tc>
      </w:tr>
    </w:tbl>
    <w:p w14:paraId="46FDF8F2">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36分的，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79C4D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40</w:t>
      </w:r>
      <w:r>
        <w:rPr>
          <w:rFonts w:hint="eastAsia" w:ascii="仿宋" w:hAnsi="仿宋" w:eastAsia="仿宋" w:cs="仿宋"/>
          <w:b/>
          <w:bCs/>
          <w:iCs/>
          <w:sz w:val="24"/>
        </w:rPr>
        <w:t>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6956"/>
      </w:tblGrid>
      <w:tr w14:paraId="79D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30" w:type="dxa"/>
            <w:tcBorders>
              <w:top w:val="single" w:color="auto" w:sz="4" w:space="0"/>
              <w:left w:val="single" w:color="auto" w:sz="4" w:space="0"/>
              <w:bottom w:val="single" w:color="auto" w:sz="4" w:space="0"/>
              <w:right w:val="single" w:color="auto" w:sz="4" w:space="0"/>
            </w:tcBorders>
            <w:noWrap/>
            <w:vAlign w:val="bottom"/>
          </w:tcPr>
          <w:p w14:paraId="53F8FA2F">
            <w:pPr>
              <w:widowControl/>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价格权值</w:t>
            </w:r>
          </w:p>
        </w:tc>
        <w:tc>
          <w:tcPr>
            <w:tcW w:w="6956" w:type="dxa"/>
            <w:tcBorders>
              <w:top w:val="single" w:color="auto" w:sz="4" w:space="0"/>
              <w:left w:val="single" w:color="auto" w:sz="4" w:space="0"/>
              <w:bottom w:val="single" w:color="auto" w:sz="4" w:space="0"/>
              <w:right w:val="single" w:color="auto" w:sz="4" w:space="0"/>
            </w:tcBorders>
            <w:noWrap/>
            <w:vAlign w:val="center"/>
          </w:tcPr>
          <w:p w14:paraId="05DA2343">
            <w:pPr>
              <w:widowControl/>
              <w:spacing w:line="360" w:lineRule="auto"/>
              <w:ind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计算方法</w:t>
            </w:r>
          </w:p>
        </w:tc>
      </w:tr>
      <w:tr w14:paraId="372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1" w:hRule="atLeast"/>
          <w:jc w:val="center"/>
        </w:trPr>
        <w:tc>
          <w:tcPr>
            <w:tcW w:w="2330" w:type="dxa"/>
            <w:tcBorders>
              <w:top w:val="single" w:color="auto" w:sz="4" w:space="0"/>
              <w:left w:val="single" w:color="auto" w:sz="4" w:space="0"/>
              <w:bottom w:val="single" w:color="auto" w:sz="4" w:space="0"/>
              <w:right w:val="single" w:color="auto" w:sz="4" w:space="0"/>
            </w:tcBorders>
            <w:noWrap/>
            <w:vAlign w:val="center"/>
          </w:tcPr>
          <w:p w14:paraId="005FD3AE">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价格权值</w:t>
            </w:r>
            <w:r>
              <w:rPr>
                <w:rFonts w:ascii="仿宋" w:hAnsi="仿宋" w:eastAsia="仿宋" w:cs="仿宋_GB2312"/>
                <w:color w:val="auto"/>
                <w:sz w:val="24"/>
              </w:rPr>
              <w:t>=</w:t>
            </w:r>
            <w:r>
              <w:rPr>
                <w:rFonts w:hint="eastAsia" w:ascii="仿宋" w:hAnsi="仿宋" w:eastAsia="仿宋" w:cs="仿宋_GB2312"/>
                <w:color w:val="auto"/>
                <w:sz w:val="24"/>
              </w:rPr>
              <w:t>40%</w:t>
            </w:r>
          </w:p>
        </w:tc>
        <w:tc>
          <w:tcPr>
            <w:tcW w:w="6956" w:type="dxa"/>
            <w:tcBorders>
              <w:top w:val="single" w:color="auto" w:sz="4" w:space="0"/>
              <w:left w:val="single" w:color="auto" w:sz="4" w:space="0"/>
              <w:bottom w:val="single" w:color="auto" w:sz="4" w:space="0"/>
              <w:right w:val="single" w:color="auto" w:sz="4" w:space="0"/>
            </w:tcBorders>
            <w:noWrap/>
            <w:vAlign w:val="center"/>
          </w:tcPr>
          <w:p w14:paraId="28639F70">
            <w:pPr>
              <w:pStyle w:val="24"/>
              <w:rPr>
                <w:rFonts w:hint="eastAsia" w:ascii="仿宋" w:hAnsi="仿宋" w:eastAsia="仿宋" w:cs="仿宋_GB2312"/>
                <w:color w:val="auto"/>
                <w:lang w:val="en-US"/>
              </w:rPr>
            </w:pPr>
            <w:r>
              <w:rPr>
                <w:rFonts w:hint="eastAsia" w:ascii="仿宋" w:hAnsi="仿宋" w:eastAsia="仿宋" w:cs="仿宋_GB2312"/>
                <w:color w:val="auto"/>
                <w:lang w:val="en-US"/>
              </w:rPr>
              <w:t>1、</w:t>
            </w:r>
            <w:r>
              <w:rPr>
                <w:rFonts w:hint="eastAsia" w:ascii="仿宋" w:hAnsi="仿宋" w:eastAsia="仿宋" w:cs="仿宋_GB2312"/>
                <w:color w:val="auto"/>
              </w:rPr>
              <w:t>路线</w:t>
            </w:r>
            <w:r>
              <w:rPr>
                <w:rFonts w:hint="eastAsia" w:ascii="仿宋" w:hAnsi="仿宋" w:eastAsia="仿宋" w:cs="仿宋_GB2312"/>
                <w:color w:val="auto"/>
                <w:lang w:val="en-US"/>
              </w:rPr>
              <w:t>1</w:t>
            </w:r>
            <w:r>
              <w:rPr>
                <w:rFonts w:hint="eastAsia" w:ascii="仿宋" w:hAnsi="仿宋" w:eastAsia="仿宋" w:cs="仿宋_GB2312"/>
                <w:color w:val="auto"/>
                <w:lang w:val="en-US" w:eastAsia="zh-CN"/>
              </w:rPr>
              <w:t>、路线2、路线3</w:t>
            </w:r>
            <w:r>
              <w:rPr>
                <w:rFonts w:hint="eastAsia" w:ascii="仿宋" w:hAnsi="仿宋" w:eastAsia="仿宋" w:cs="仿宋_GB2312"/>
                <w:color w:val="auto"/>
                <w:lang w:val="en-US"/>
              </w:rPr>
              <w:t>：投标报价响应采购文件要求，得20分；否则不得分。</w:t>
            </w:r>
          </w:p>
          <w:p w14:paraId="301A364E">
            <w:pPr>
              <w:pStyle w:val="24"/>
              <w:rPr>
                <w:rFonts w:hint="eastAsia" w:ascii="仿宋" w:hAnsi="仿宋" w:eastAsia="仿宋" w:cs="仿宋_GB2312"/>
                <w:color w:val="auto"/>
              </w:rPr>
            </w:pPr>
            <w:r>
              <w:rPr>
                <w:rFonts w:hint="eastAsia" w:ascii="仿宋" w:hAnsi="仿宋" w:eastAsia="仿宋" w:cs="仿宋_GB2312"/>
                <w:color w:val="auto"/>
                <w:lang w:val="en-US"/>
              </w:rPr>
              <w:t>2、</w:t>
            </w:r>
            <w:r>
              <w:rPr>
                <w:rFonts w:hint="eastAsia" w:ascii="仿宋" w:hAnsi="仿宋" w:eastAsia="仿宋" w:cs="仿宋_GB2312"/>
                <w:color w:val="auto"/>
              </w:rPr>
              <w:t>路线</w:t>
            </w:r>
            <w:r>
              <w:rPr>
                <w:rFonts w:hint="eastAsia" w:ascii="仿宋" w:hAnsi="仿宋" w:eastAsia="仿宋" w:cs="仿宋_GB2312"/>
                <w:color w:val="auto"/>
                <w:lang w:val="en-US" w:eastAsia="zh-CN"/>
              </w:rPr>
              <w:t>4</w:t>
            </w:r>
            <w:r>
              <w:rPr>
                <w:rFonts w:hint="eastAsia" w:ascii="仿宋" w:hAnsi="仿宋" w:eastAsia="仿宋" w:cs="仿宋_GB2312"/>
                <w:color w:val="auto"/>
                <w:lang w:val="en-US"/>
              </w:rPr>
              <w:t>：</w:t>
            </w:r>
            <w:r>
              <w:rPr>
                <w:rFonts w:hint="eastAsia" w:ascii="仿宋" w:hAnsi="仿宋" w:eastAsia="仿宋" w:cs="仿宋_GB2312"/>
                <w:color w:val="auto"/>
              </w:rPr>
              <w:t>最低有效投标价格为评标基准价</w:t>
            </w:r>
          </w:p>
          <w:p w14:paraId="366788E1">
            <w:pPr>
              <w:pStyle w:val="24"/>
              <w:rPr>
                <w:rFonts w:hint="eastAsia" w:ascii="仿宋" w:hAnsi="仿宋" w:eastAsia="仿宋" w:cs="仿宋_GB2312"/>
                <w:color w:val="auto"/>
              </w:rPr>
            </w:pPr>
            <w:r>
              <w:rPr>
                <w:rFonts w:hint="eastAsia" w:ascii="仿宋" w:hAnsi="仿宋" w:eastAsia="仿宋" w:cs="仿宋_GB2312"/>
                <w:color w:val="auto"/>
              </w:rPr>
              <w:t>投标报价得分=(评标基准价／投标报价)×</w:t>
            </w:r>
            <w:r>
              <w:rPr>
                <w:rFonts w:hint="eastAsia" w:ascii="仿宋" w:hAnsi="仿宋" w:eastAsia="仿宋" w:cs="仿宋_GB2312"/>
                <w:color w:val="auto"/>
                <w:lang w:val="en-US"/>
              </w:rPr>
              <w:t>20%</w:t>
            </w:r>
            <w:r>
              <w:rPr>
                <w:rFonts w:hint="eastAsia" w:ascii="仿宋" w:hAnsi="仿宋" w:eastAsia="仿宋" w:cs="仿宋_GB2312"/>
                <w:color w:val="auto"/>
              </w:rPr>
              <w:t xml:space="preserve">×100 </w:t>
            </w:r>
          </w:p>
          <w:p w14:paraId="61F3AE33">
            <w:pPr>
              <w:pStyle w:val="24"/>
              <w:rPr>
                <w:rFonts w:hint="eastAsia" w:ascii="仿宋" w:hAnsi="仿宋" w:eastAsia="仿宋" w:cs="仿宋_GB2312"/>
                <w:color w:val="auto"/>
              </w:rPr>
            </w:pPr>
            <w:r>
              <w:rPr>
                <w:rFonts w:hint="eastAsia" w:ascii="仿宋" w:hAnsi="仿宋" w:eastAsia="仿宋" w:cs="仿宋_GB2312"/>
                <w:color w:val="auto"/>
              </w:rPr>
              <w:t>（计算得分保留小数点后2位）</w:t>
            </w:r>
          </w:p>
          <w:p w14:paraId="05556A03">
            <w:pPr>
              <w:pStyle w:val="24"/>
              <w:rPr>
                <w:color w:val="auto"/>
                <w:lang w:val="en-US"/>
              </w:rPr>
            </w:pPr>
            <w:r>
              <w:rPr>
                <w:rFonts w:hint="eastAsia" w:ascii="仿宋" w:hAnsi="仿宋" w:eastAsia="仿宋" w:cs="仿宋_GB2312"/>
                <w:color w:val="auto"/>
              </w:rPr>
              <w:t>价格标总得分为</w:t>
            </w:r>
            <w:r>
              <w:rPr>
                <w:rFonts w:hint="eastAsia" w:ascii="仿宋" w:hAnsi="仿宋" w:eastAsia="仿宋" w:cs="仿宋_GB2312"/>
                <w:color w:val="auto"/>
                <w:lang w:val="en-US"/>
              </w:rPr>
              <w:t>40分，投标单位价格标得分为</w:t>
            </w:r>
            <w:r>
              <w:rPr>
                <w:rFonts w:hint="eastAsia" w:ascii="仿宋" w:hAnsi="仿宋" w:eastAsia="仿宋" w:cs="仿宋_GB2312"/>
                <w:color w:val="auto"/>
              </w:rPr>
              <w:t>两者相加的总分</w:t>
            </w:r>
          </w:p>
        </w:tc>
      </w:tr>
    </w:tbl>
    <w:p w14:paraId="442D1F5D">
      <w:pPr>
        <w:widowControl/>
        <w:adjustRightInd/>
        <w:jc w:val="center"/>
        <w:rPr>
          <w:rFonts w:hint="eastAsia" w:ascii="仿宋" w:hAnsi="仿宋" w:eastAsia="仿宋" w:cs="仿宋"/>
          <w:b/>
          <w:sz w:val="36"/>
          <w:szCs w:val="20"/>
        </w:rPr>
      </w:pPr>
    </w:p>
    <w:p w14:paraId="38B8373B">
      <w:pPr>
        <w:pStyle w:val="62"/>
        <w:rPr>
          <w:rFonts w:hint="eastAsia" w:ascii="仿宋" w:hAnsi="仿宋" w:eastAsia="仿宋" w:cs="仿宋"/>
          <w:b/>
          <w:sz w:val="36"/>
          <w:szCs w:val="20"/>
        </w:rPr>
      </w:pPr>
    </w:p>
    <w:p w14:paraId="1CA32CBB">
      <w:pPr>
        <w:pStyle w:val="62"/>
        <w:rPr>
          <w:rFonts w:hint="eastAsia" w:ascii="仿宋" w:hAnsi="仿宋" w:eastAsia="仿宋" w:cs="仿宋"/>
          <w:b/>
          <w:sz w:val="36"/>
          <w:szCs w:val="20"/>
        </w:rPr>
      </w:pPr>
    </w:p>
    <w:p w14:paraId="450B8BB5">
      <w:pPr>
        <w:pStyle w:val="62"/>
        <w:rPr>
          <w:rFonts w:hint="eastAsia" w:ascii="仿宋" w:hAnsi="仿宋" w:eastAsia="仿宋" w:cs="仿宋"/>
          <w:b/>
          <w:sz w:val="36"/>
          <w:szCs w:val="20"/>
        </w:rPr>
      </w:pPr>
    </w:p>
    <w:p w14:paraId="1D0F8CF6">
      <w:pPr>
        <w:pStyle w:val="62"/>
        <w:rPr>
          <w:rFonts w:hint="eastAsia" w:ascii="仿宋" w:hAnsi="仿宋" w:eastAsia="仿宋" w:cs="仿宋"/>
          <w:b/>
          <w:sz w:val="36"/>
          <w:szCs w:val="20"/>
        </w:rPr>
      </w:pPr>
    </w:p>
    <w:p w14:paraId="7C190109">
      <w:pPr>
        <w:pStyle w:val="62"/>
        <w:rPr>
          <w:rFonts w:hint="eastAsia" w:ascii="仿宋" w:hAnsi="仿宋" w:eastAsia="仿宋" w:cs="仿宋"/>
          <w:b/>
          <w:sz w:val="36"/>
          <w:szCs w:val="20"/>
        </w:rPr>
      </w:pPr>
    </w:p>
    <w:p w14:paraId="7E184DFA">
      <w:pPr>
        <w:pStyle w:val="62"/>
        <w:rPr>
          <w:rFonts w:hint="eastAsia" w:ascii="仿宋" w:hAnsi="仿宋" w:eastAsia="仿宋" w:cs="仿宋"/>
          <w:b/>
          <w:sz w:val="36"/>
          <w:szCs w:val="20"/>
        </w:rPr>
      </w:pPr>
    </w:p>
    <w:p w14:paraId="690E2876">
      <w:pPr>
        <w:pStyle w:val="62"/>
        <w:rPr>
          <w:rFonts w:hint="eastAsia" w:ascii="仿宋" w:hAnsi="仿宋" w:eastAsia="仿宋" w:cs="仿宋"/>
          <w:b/>
          <w:sz w:val="36"/>
          <w:szCs w:val="20"/>
        </w:rPr>
      </w:pPr>
    </w:p>
    <w:p w14:paraId="41AC6862">
      <w:pPr>
        <w:pStyle w:val="62"/>
        <w:rPr>
          <w:rFonts w:hint="eastAsia" w:ascii="仿宋" w:hAnsi="仿宋" w:eastAsia="仿宋" w:cs="仿宋"/>
          <w:b/>
          <w:sz w:val="36"/>
          <w:szCs w:val="20"/>
        </w:rPr>
      </w:pPr>
    </w:p>
    <w:p w14:paraId="0C55E23A">
      <w:pPr>
        <w:pStyle w:val="62"/>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CADD71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04DED7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632936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564CB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80"/>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80"/>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80"/>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80"/>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80"/>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1"/>
        <w:rPr>
          <w:rFonts w:hint="eastAsia"/>
        </w:rPr>
        <w:sectPr>
          <w:footerReference r:id="rId10" w:type="first"/>
          <w:headerReference r:id="rId8" w:type="default"/>
          <w:footerReference r:id="rId9" w:type="default"/>
          <w:pgSz w:w="11906" w:h="16838"/>
          <w:pgMar w:top="1276" w:right="1418" w:bottom="1247" w:left="1418"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7"/>
        <w:gridCol w:w="1497"/>
        <w:gridCol w:w="1664"/>
        <w:gridCol w:w="2230"/>
        <w:gridCol w:w="1722"/>
      </w:tblGrid>
      <w:tr w14:paraId="573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76" w:type="dxa"/>
            <w:noWrap w:val="0"/>
            <w:vAlign w:val="center"/>
          </w:tcPr>
          <w:p w14:paraId="518BBA9E">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b/>
                <w:color w:val="auto"/>
                <w:sz w:val="24"/>
                <w:szCs w:val="24"/>
                <w:highlight w:val="none"/>
              </w:rPr>
              <w:t>序号</w:t>
            </w:r>
          </w:p>
        </w:tc>
        <w:tc>
          <w:tcPr>
            <w:tcW w:w="1277" w:type="dxa"/>
            <w:noWrap w:val="0"/>
            <w:vAlign w:val="center"/>
          </w:tcPr>
          <w:p w14:paraId="78013DEE">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497" w:type="dxa"/>
            <w:noWrap w:val="0"/>
            <w:vAlign w:val="center"/>
          </w:tcPr>
          <w:p w14:paraId="0735C536">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1664" w:type="dxa"/>
            <w:noWrap w:val="0"/>
            <w:vAlign w:val="center"/>
          </w:tcPr>
          <w:p w14:paraId="14746EB5">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cs="仿宋_GB2312"/>
                <w:b/>
                <w:color w:val="auto"/>
                <w:sz w:val="24"/>
                <w:szCs w:val="24"/>
                <w:highlight w:val="none"/>
              </w:rPr>
              <w:t>采购人支付费用标准</w:t>
            </w:r>
          </w:p>
        </w:tc>
        <w:tc>
          <w:tcPr>
            <w:tcW w:w="2230" w:type="dxa"/>
            <w:noWrap w:val="0"/>
            <w:vAlign w:val="center"/>
          </w:tcPr>
          <w:p w14:paraId="2E36381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报价</w:t>
            </w:r>
          </w:p>
        </w:tc>
        <w:tc>
          <w:tcPr>
            <w:tcW w:w="1722" w:type="dxa"/>
            <w:noWrap w:val="0"/>
            <w:vAlign w:val="center"/>
          </w:tcPr>
          <w:p w14:paraId="224C9F2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2A8B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76" w:type="dxa"/>
            <w:noWrap w:val="0"/>
            <w:vAlign w:val="center"/>
          </w:tcPr>
          <w:p w14:paraId="41DA6945">
            <w:pPr>
              <w:spacing w:line="240" w:lineRule="auto"/>
              <w:jc w:val="center"/>
              <w:rPr>
                <w:rFonts w:hint="eastAsia"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1</w:t>
            </w:r>
          </w:p>
        </w:tc>
        <w:tc>
          <w:tcPr>
            <w:tcW w:w="1277" w:type="dxa"/>
            <w:noWrap w:val="0"/>
            <w:vAlign w:val="center"/>
          </w:tcPr>
          <w:p w14:paraId="00FF7152">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olor w:val="auto"/>
                <w:kern w:val="0"/>
                <w:sz w:val="24"/>
                <w:szCs w:val="24"/>
                <w:highlight w:val="none"/>
                <w:lang w:val="en-US" w:eastAsia="zh-CN"/>
              </w:rPr>
              <w:t>路线1、路线2、路线3</w:t>
            </w:r>
          </w:p>
        </w:tc>
        <w:tc>
          <w:tcPr>
            <w:tcW w:w="1497" w:type="dxa"/>
            <w:noWrap w:val="0"/>
            <w:vAlign w:val="center"/>
          </w:tcPr>
          <w:p w14:paraId="5972B0CD">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2178319D">
            <w:pPr>
              <w:snapToGrid w:val="0"/>
              <w:spacing w:line="240" w:lineRule="auto"/>
              <w:jc w:val="center"/>
              <w:rPr>
                <w:rFonts w:hint="eastAsia" w:ascii="仿宋" w:hAnsi="仿宋" w:eastAsia="仿宋" w:cs="仿宋_GB2312"/>
                <w:color w:val="auto"/>
                <w:sz w:val="24"/>
                <w:szCs w:val="24"/>
                <w:highlight w:val="none"/>
              </w:rPr>
            </w:pPr>
          </w:p>
        </w:tc>
        <w:tc>
          <w:tcPr>
            <w:tcW w:w="1664" w:type="dxa"/>
            <w:noWrap w:val="0"/>
            <w:vAlign w:val="center"/>
          </w:tcPr>
          <w:p w14:paraId="5B7C628B">
            <w:pPr>
              <w:spacing w:line="240" w:lineRule="auto"/>
              <w:jc w:val="center"/>
              <w:rPr>
                <w:rFonts w:hint="default" w:ascii="仿宋" w:hAnsi="仿宋" w:eastAsia="仿宋" w:cs="仿宋_GB2312"/>
                <w:color w:val="auto"/>
                <w:sz w:val="24"/>
                <w:szCs w:val="24"/>
                <w:highlight w:val="none"/>
                <w:lang w:val="en-US"/>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/人；编外人员2000元</w:t>
            </w:r>
          </w:p>
        </w:tc>
        <w:tc>
          <w:tcPr>
            <w:tcW w:w="2230" w:type="dxa"/>
            <w:noWrap w:val="0"/>
            <w:vAlign w:val="center"/>
          </w:tcPr>
          <w:p w14:paraId="0168F09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1722" w:type="dxa"/>
            <w:noWrap w:val="0"/>
            <w:vAlign w:val="center"/>
          </w:tcPr>
          <w:p w14:paraId="420DBA81">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r w14:paraId="33E9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876" w:type="dxa"/>
            <w:noWrap w:val="0"/>
            <w:vAlign w:val="center"/>
          </w:tcPr>
          <w:p w14:paraId="490F683D">
            <w:pPr>
              <w:spacing w:line="240" w:lineRule="auto"/>
              <w:jc w:val="center"/>
              <w:rPr>
                <w:rFonts w:hint="default"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2</w:t>
            </w:r>
          </w:p>
        </w:tc>
        <w:tc>
          <w:tcPr>
            <w:tcW w:w="1277" w:type="dxa"/>
            <w:noWrap w:val="0"/>
            <w:vAlign w:val="center"/>
          </w:tcPr>
          <w:p w14:paraId="271C91F3">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s="仿宋_GB2312"/>
                <w:color w:val="auto"/>
                <w:sz w:val="24"/>
                <w:szCs w:val="24"/>
                <w:highlight w:val="none"/>
                <w:lang w:val="en-US" w:eastAsia="zh-CN"/>
              </w:rPr>
              <w:t>路线4</w:t>
            </w:r>
          </w:p>
        </w:tc>
        <w:tc>
          <w:tcPr>
            <w:tcW w:w="1497" w:type="dxa"/>
            <w:noWrap w:val="0"/>
            <w:vAlign w:val="center"/>
          </w:tcPr>
          <w:p w14:paraId="4F6C3CD9">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1FDA588A">
            <w:pPr>
              <w:snapToGrid w:val="0"/>
              <w:spacing w:line="240" w:lineRule="auto"/>
              <w:jc w:val="center"/>
              <w:rPr>
                <w:rFonts w:hint="eastAsia" w:ascii="仿宋" w:hAnsi="仿宋" w:eastAsia="仿宋" w:cs="仿宋_GB2312"/>
                <w:color w:val="auto"/>
                <w:sz w:val="24"/>
                <w:szCs w:val="24"/>
                <w:highlight w:val="none"/>
                <w:lang w:eastAsia="zh-CN"/>
              </w:rPr>
            </w:pPr>
          </w:p>
        </w:tc>
        <w:tc>
          <w:tcPr>
            <w:tcW w:w="1664" w:type="dxa"/>
            <w:noWrap w:val="0"/>
            <w:vAlign w:val="center"/>
          </w:tcPr>
          <w:p w14:paraId="7DC36C45">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3000元/人</w:t>
            </w:r>
            <w:r>
              <w:rPr>
                <w:rFonts w:hint="eastAsia" w:ascii="仿宋" w:hAnsi="仿宋" w:eastAsia="仿宋" w:cs="仿宋_GB2312"/>
                <w:color w:val="auto"/>
                <w:sz w:val="24"/>
                <w:szCs w:val="24"/>
                <w:highlight w:val="none"/>
                <w:lang w:val="en-US" w:eastAsia="zh-CN"/>
              </w:rPr>
              <w:t>；编外人员2000元</w:t>
            </w:r>
          </w:p>
        </w:tc>
        <w:tc>
          <w:tcPr>
            <w:tcW w:w="2230" w:type="dxa"/>
            <w:noWrap w:val="0"/>
            <w:vAlign w:val="center"/>
          </w:tcPr>
          <w:p w14:paraId="635FE3F9">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val="en-US" w:eastAsia="zh-CN"/>
              </w:rPr>
              <w:t>元/人</w:t>
            </w:r>
          </w:p>
          <w:p w14:paraId="39BFB35A">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（非暑假及节假日报价，报价不得超过6500元/人，否则投标无效）</w:t>
            </w:r>
          </w:p>
          <w:p w14:paraId="2D19E76C">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 xml:space="preserve">  </w:t>
            </w:r>
          </w:p>
        </w:tc>
        <w:tc>
          <w:tcPr>
            <w:tcW w:w="1722" w:type="dxa"/>
            <w:noWrap w:val="0"/>
            <w:vAlign w:val="center"/>
          </w:tcPr>
          <w:p w14:paraId="3AB1BBC7">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正式在编人员超出</w:t>
            </w:r>
            <w:r>
              <w:rPr>
                <w:rFonts w:hint="eastAsia" w:ascii="仿宋" w:hAnsi="仿宋" w:eastAsia="仿宋" w:cs="仿宋_GB2312"/>
                <w:color w:val="auto"/>
                <w:sz w:val="24"/>
                <w:szCs w:val="24"/>
                <w:highlight w:val="none"/>
                <w:lang w:val="en-US" w:eastAsia="zh-CN"/>
              </w:rPr>
              <w:t>3000元部份、</w:t>
            </w: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bl>
    <w:p w14:paraId="3DBC4A29">
      <w:pPr>
        <w:snapToGrid w:val="0"/>
        <w:spacing w:line="360" w:lineRule="auto"/>
        <w:ind w:left="480"/>
        <w:rPr>
          <w:rFonts w:hint="eastAsia" w:ascii="仿宋" w:hAnsi="仿宋" w:eastAsia="仿宋" w:cs="仿宋"/>
          <w:b/>
          <w:color w:val="FF0000"/>
          <w:kern w:val="0"/>
          <w:sz w:val="24"/>
          <w:highlight w:val="cyan"/>
          <w:lang w:val="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DA21BA">
      <w:pPr>
        <w:spacing w:line="360" w:lineRule="auto"/>
        <w:ind w:firstLine="482" w:firstLineChars="200"/>
        <w:rPr>
          <w:rFonts w:hint="eastAsia" w:ascii="仿宋" w:hAnsi="仿宋" w:eastAsia="仿宋" w:cs="仿宋"/>
          <w:b/>
          <w:kern w:val="0"/>
          <w:sz w:val="24"/>
        </w:rPr>
      </w:pPr>
    </w:p>
    <w:p w14:paraId="58B4429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6A9FD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80"/>
        <w:rPr>
          <w:rFonts w:hint="eastAsia" w:ascii="仿宋" w:hAnsi="仿宋" w:eastAsia="仿宋" w:cs="仿宋"/>
          <w:b/>
          <w:color w:val="auto"/>
          <w:sz w:val="24"/>
        </w:rPr>
      </w:pPr>
    </w:p>
    <w:p w14:paraId="2FD29F61">
      <w:pPr>
        <w:pStyle w:val="81"/>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80"/>
        <w:rPr>
          <w:rFonts w:hint="eastAsia" w:ascii="仿宋" w:hAnsi="仿宋" w:eastAsia="仿宋" w:cs="仿宋"/>
          <w:b/>
          <w:color w:val="auto"/>
          <w:sz w:val="24"/>
        </w:rPr>
      </w:pPr>
    </w:p>
    <w:p w14:paraId="6B5590E0">
      <w:pPr>
        <w:pStyle w:val="81"/>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60E7E538">
      <w:pPr>
        <w:autoSpaceDE w:val="0"/>
        <w:autoSpaceDN w:val="0"/>
        <w:jc w:val="center"/>
        <w:rPr>
          <w:rFonts w:hint="eastAsia" w:ascii="仿宋" w:hAnsi="仿宋" w:eastAsia="仿宋" w:cs="仿宋"/>
          <w:b/>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80"/>
        <w:rPr>
          <w:rFonts w:hint="eastAsia" w:ascii="仿宋" w:hAnsi="仿宋" w:eastAsia="仿宋" w:cs="仿宋"/>
          <w:b/>
          <w:spacing w:val="6"/>
          <w:sz w:val="32"/>
          <w:szCs w:val="32"/>
        </w:rPr>
      </w:pPr>
    </w:p>
    <w:p w14:paraId="7E94CC12">
      <w:pPr>
        <w:pStyle w:val="81"/>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80"/>
        <w:rPr>
          <w:rFonts w:hint="eastAsia" w:ascii="仿宋" w:hAnsi="仿宋" w:eastAsia="仿宋" w:cs="仿宋"/>
          <w:b/>
          <w:spacing w:val="6"/>
          <w:sz w:val="32"/>
          <w:szCs w:val="32"/>
        </w:rPr>
      </w:pPr>
    </w:p>
    <w:p w14:paraId="516B7F32">
      <w:pPr>
        <w:pStyle w:val="81"/>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80"/>
        <w:rPr>
          <w:rFonts w:hint="eastAsia" w:ascii="仿宋" w:hAnsi="仿宋" w:eastAsia="仿宋" w:cs="仿宋"/>
          <w:b/>
          <w:spacing w:val="6"/>
          <w:sz w:val="32"/>
          <w:szCs w:val="32"/>
        </w:rPr>
      </w:pPr>
    </w:p>
    <w:p w14:paraId="61F16597">
      <w:pPr>
        <w:pStyle w:val="81"/>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80"/>
        <w:rPr>
          <w:rFonts w:hint="eastAsia" w:ascii="仿宋" w:hAnsi="仿宋" w:eastAsia="仿宋" w:cs="仿宋"/>
          <w:b/>
          <w:spacing w:val="6"/>
          <w:sz w:val="32"/>
          <w:szCs w:val="32"/>
        </w:rPr>
      </w:pPr>
    </w:p>
    <w:p w14:paraId="4E69D160">
      <w:pPr>
        <w:pStyle w:val="81"/>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80"/>
        <w:rPr>
          <w:rFonts w:hint="eastAsia" w:ascii="仿宋" w:hAnsi="仿宋" w:eastAsia="仿宋" w:cs="仿宋"/>
          <w:b/>
          <w:spacing w:val="6"/>
          <w:sz w:val="32"/>
          <w:szCs w:val="32"/>
        </w:rPr>
      </w:pPr>
    </w:p>
    <w:p w14:paraId="364D2DB0">
      <w:pPr>
        <w:pStyle w:val="81"/>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80"/>
        <w:rPr>
          <w:rFonts w:hint="eastAsia" w:ascii="仿宋" w:hAnsi="仿宋" w:eastAsia="仿宋" w:cs="仿宋"/>
          <w:b/>
          <w:spacing w:val="6"/>
          <w:sz w:val="32"/>
          <w:szCs w:val="32"/>
        </w:rPr>
      </w:pPr>
    </w:p>
    <w:p w14:paraId="2C51683D">
      <w:pPr>
        <w:pStyle w:val="81"/>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80"/>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4"/>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4"/>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4"/>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pPr>
    </w:p>
    <w:p w14:paraId="4674B2D8">
      <w:pPr>
        <w:spacing w:line="360" w:lineRule="auto"/>
        <w:rPr>
          <w:rFonts w:ascii="宋体" w:hAnsi="宋体" w:cs="宋体"/>
          <w:bCs/>
          <w:sz w:val="24"/>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pPr>
    </w:p>
    <w:p w14:paraId="17E4A4A5">
      <w:pPr>
        <w:spacing w:line="360" w:lineRule="auto"/>
        <w:rPr>
          <w:rFonts w:hint="eastAsia" w:ascii="仿宋" w:hAnsi="仿宋" w:eastAsia="仿宋" w:cs="仿宋"/>
          <w:color w:val="auto"/>
          <w:sz w:val="24"/>
          <w:szCs w:val="24"/>
          <w:highlight w:val="none"/>
        </w:rPr>
      </w:pPr>
      <w:bookmarkStart w:id="178" w:name="_Toc21578"/>
      <w:r>
        <w:rPr>
          <w:rStyle w:val="418"/>
          <w:rFonts w:hint="eastAsia" w:ascii="仿宋" w:hAnsi="仿宋" w:eastAsia="仿宋" w:cs="仿宋"/>
          <w:sz w:val="32"/>
          <w:szCs w:val="32"/>
        </w:rPr>
        <w:t>附表一：</w:t>
      </w:r>
      <w:bookmarkEnd w:id="178"/>
      <w:r>
        <w:rPr>
          <w:rFonts w:hint="eastAsia" w:ascii="仿宋" w:hAnsi="仿宋" w:eastAsia="仿宋" w:cs="仿宋"/>
          <w:color w:val="auto"/>
          <w:sz w:val="24"/>
          <w:szCs w:val="24"/>
          <w:highlight w:val="none"/>
        </w:rPr>
        <w:t xml:space="preserve">                 </w:t>
      </w:r>
    </w:p>
    <w:p w14:paraId="27928220">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职工疗休养满意度调查表</w:t>
      </w:r>
    </w:p>
    <w:tbl>
      <w:tblPr>
        <w:tblStyle w:val="63"/>
        <w:tblW w:w="949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852"/>
        <w:gridCol w:w="693"/>
        <w:gridCol w:w="1055"/>
        <w:gridCol w:w="1030"/>
        <w:gridCol w:w="1055"/>
        <w:gridCol w:w="1031"/>
        <w:gridCol w:w="1056"/>
        <w:gridCol w:w="1031"/>
      </w:tblGrid>
      <w:tr w14:paraId="72AE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5D8763A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疗休养地点</w:t>
            </w:r>
          </w:p>
        </w:tc>
        <w:tc>
          <w:tcPr>
            <w:tcW w:w="7803" w:type="dxa"/>
            <w:gridSpan w:val="8"/>
            <w:noWrap w:val="0"/>
            <w:vAlign w:val="top"/>
          </w:tcPr>
          <w:p w14:paraId="7EB7E098">
            <w:pPr>
              <w:spacing w:line="360" w:lineRule="auto"/>
              <w:ind w:firstLine="570"/>
              <w:jc w:val="center"/>
              <w:rPr>
                <w:rFonts w:hint="eastAsia" w:ascii="仿宋" w:hAnsi="仿宋" w:eastAsia="仿宋" w:cs="仿宋"/>
                <w:color w:val="auto"/>
                <w:sz w:val="24"/>
                <w:szCs w:val="24"/>
                <w:highlight w:val="none"/>
              </w:rPr>
            </w:pPr>
          </w:p>
        </w:tc>
      </w:tr>
      <w:tr w14:paraId="6C93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0B71BC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疗休养时间</w:t>
            </w:r>
          </w:p>
        </w:tc>
        <w:tc>
          <w:tcPr>
            <w:tcW w:w="7803" w:type="dxa"/>
            <w:gridSpan w:val="8"/>
            <w:noWrap w:val="0"/>
            <w:vAlign w:val="top"/>
          </w:tcPr>
          <w:p w14:paraId="18980238">
            <w:pPr>
              <w:spacing w:line="360" w:lineRule="auto"/>
              <w:ind w:firstLine="57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 年___ 月  ____日至 ___ 月  ____日</w:t>
            </w:r>
          </w:p>
        </w:tc>
      </w:tr>
      <w:tr w14:paraId="6B6D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0730FE6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住宿满意度</w:t>
            </w:r>
          </w:p>
        </w:tc>
        <w:tc>
          <w:tcPr>
            <w:tcW w:w="852" w:type="dxa"/>
            <w:noWrap w:val="0"/>
            <w:vAlign w:val="top"/>
          </w:tcPr>
          <w:p w14:paraId="7023BC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02A8D7F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75E8E3E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259A2A4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E7E89C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65A5E064">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10882ECF">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3C2C816D">
            <w:pPr>
              <w:spacing w:line="360" w:lineRule="auto"/>
              <w:ind w:firstLine="570"/>
              <w:jc w:val="center"/>
              <w:rPr>
                <w:rFonts w:hint="eastAsia" w:ascii="仿宋" w:hAnsi="仿宋" w:eastAsia="仿宋" w:cs="仿宋"/>
                <w:color w:val="auto"/>
                <w:sz w:val="24"/>
                <w:szCs w:val="24"/>
                <w:highlight w:val="none"/>
              </w:rPr>
            </w:pPr>
          </w:p>
        </w:tc>
      </w:tr>
      <w:tr w14:paraId="6D3D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7EACCFA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餐饮满意度</w:t>
            </w:r>
          </w:p>
        </w:tc>
        <w:tc>
          <w:tcPr>
            <w:tcW w:w="852" w:type="dxa"/>
            <w:tcBorders>
              <w:bottom w:val="single" w:color="auto" w:sz="4" w:space="0"/>
            </w:tcBorders>
            <w:noWrap w:val="0"/>
            <w:vAlign w:val="top"/>
          </w:tcPr>
          <w:p w14:paraId="56A377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tcBorders>
              <w:bottom w:val="single" w:color="auto" w:sz="4" w:space="0"/>
            </w:tcBorders>
            <w:noWrap w:val="0"/>
            <w:vAlign w:val="top"/>
          </w:tcPr>
          <w:p w14:paraId="7E1ED3FE">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6259229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tcBorders>
              <w:bottom w:val="single" w:color="auto" w:sz="4" w:space="0"/>
            </w:tcBorders>
            <w:noWrap w:val="0"/>
            <w:vAlign w:val="top"/>
          </w:tcPr>
          <w:p w14:paraId="53AAADF1">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49168C8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tcBorders>
              <w:bottom w:val="single" w:color="auto" w:sz="4" w:space="0"/>
            </w:tcBorders>
            <w:noWrap w:val="0"/>
            <w:vAlign w:val="top"/>
          </w:tcPr>
          <w:p w14:paraId="2C3C57B2">
            <w:pPr>
              <w:spacing w:line="360" w:lineRule="auto"/>
              <w:ind w:firstLine="570"/>
              <w:jc w:val="center"/>
              <w:rPr>
                <w:rFonts w:hint="eastAsia" w:ascii="仿宋" w:hAnsi="仿宋" w:eastAsia="仿宋" w:cs="仿宋"/>
                <w:color w:val="auto"/>
                <w:sz w:val="24"/>
                <w:szCs w:val="24"/>
                <w:highlight w:val="none"/>
              </w:rPr>
            </w:pPr>
          </w:p>
        </w:tc>
        <w:tc>
          <w:tcPr>
            <w:tcW w:w="1056" w:type="dxa"/>
            <w:tcBorders>
              <w:bottom w:val="single" w:color="auto" w:sz="4" w:space="0"/>
            </w:tcBorders>
            <w:noWrap w:val="0"/>
            <w:vAlign w:val="top"/>
          </w:tcPr>
          <w:p w14:paraId="7CCE74D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tcBorders>
              <w:bottom w:val="single" w:color="auto" w:sz="4" w:space="0"/>
            </w:tcBorders>
            <w:noWrap w:val="0"/>
            <w:vAlign w:val="top"/>
          </w:tcPr>
          <w:p w14:paraId="5097A1EE">
            <w:pPr>
              <w:spacing w:line="360" w:lineRule="auto"/>
              <w:ind w:firstLine="570"/>
              <w:jc w:val="center"/>
              <w:rPr>
                <w:rFonts w:hint="eastAsia" w:ascii="仿宋" w:hAnsi="仿宋" w:eastAsia="仿宋" w:cs="仿宋"/>
                <w:color w:val="auto"/>
                <w:sz w:val="24"/>
                <w:szCs w:val="24"/>
                <w:highlight w:val="none"/>
              </w:rPr>
            </w:pPr>
          </w:p>
        </w:tc>
      </w:tr>
      <w:tr w14:paraId="5805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shd w:val="clear" w:color="auto" w:fill="auto"/>
            <w:noWrap w:val="0"/>
            <w:vAlign w:val="top"/>
          </w:tcPr>
          <w:p w14:paraId="73F6C25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交通满意度</w:t>
            </w:r>
          </w:p>
        </w:tc>
        <w:tc>
          <w:tcPr>
            <w:tcW w:w="852" w:type="dxa"/>
            <w:shd w:val="clear" w:color="auto" w:fill="FFFFFF"/>
            <w:noWrap w:val="0"/>
            <w:vAlign w:val="top"/>
          </w:tcPr>
          <w:p w14:paraId="6A2F4F5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shd w:val="clear" w:color="auto" w:fill="FFFFFF"/>
            <w:noWrap w:val="0"/>
            <w:vAlign w:val="top"/>
          </w:tcPr>
          <w:p w14:paraId="28F1F865">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2E8DACC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shd w:val="clear" w:color="auto" w:fill="FFFFFF"/>
            <w:noWrap w:val="0"/>
            <w:vAlign w:val="top"/>
          </w:tcPr>
          <w:p w14:paraId="1A604517">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29D731F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shd w:val="clear" w:color="auto" w:fill="FFFFFF"/>
            <w:noWrap w:val="0"/>
            <w:vAlign w:val="top"/>
          </w:tcPr>
          <w:p w14:paraId="48B9F4D4">
            <w:pPr>
              <w:spacing w:line="360" w:lineRule="auto"/>
              <w:ind w:firstLine="570"/>
              <w:jc w:val="center"/>
              <w:rPr>
                <w:rFonts w:hint="eastAsia" w:ascii="仿宋" w:hAnsi="仿宋" w:eastAsia="仿宋" w:cs="仿宋"/>
                <w:color w:val="auto"/>
                <w:sz w:val="24"/>
                <w:szCs w:val="24"/>
                <w:highlight w:val="none"/>
              </w:rPr>
            </w:pPr>
          </w:p>
        </w:tc>
        <w:tc>
          <w:tcPr>
            <w:tcW w:w="1056" w:type="dxa"/>
            <w:shd w:val="clear" w:color="auto" w:fill="FFFFFF"/>
            <w:noWrap w:val="0"/>
            <w:vAlign w:val="top"/>
          </w:tcPr>
          <w:p w14:paraId="3F1433BD">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shd w:val="clear" w:color="auto" w:fill="FFFFFF"/>
            <w:noWrap w:val="0"/>
            <w:vAlign w:val="top"/>
          </w:tcPr>
          <w:p w14:paraId="0B399FD4">
            <w:pPr>
              <w:spacing w:line="360" w:lineRule="auto"/>
              <w:ind w:firstLine="570"/>
              <w:jc w:val="center"/>
              <w:rPr>
                <w:rFonts w:hint="eastAsia" w:ascii="仿宋" w:hAnsi="仿宋" w:eastAsia="仿宋" w:cs="仿宋"/>
                <w:color w:val="auto"/>
                <w:sz w:val="24"/>
                <w:szCs w:val="24"/>
                <w:highlight w:val="none"/>
              </w:rPr>
            </w:pPr>
          </w:p>
        </w:tc>
      </w:tr>
      <w:tr w14:paraId="5B2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5B8D3AF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852" w:type="dxa"/>
            <w:noWrap w:val="0"/>
            <w:vAlign w:val="top"/>
          </w:tcPr>
          <w:p w14:paraId="2B7CE0F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24B81564">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62FE6A3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4EFBC25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61E5E7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7D2912A8">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0A52B18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0C8F8D0">
            <w:pPr>
              <w:spacing w:line="360" w:lineRule="auto"/>
              <w:ind w:firstLine="570"/>
              <w:jc w:val="center"/>
              <w:rPr>
                <w:rFonts w:hint="eastAsia" w:ascii="仿宋" w:hAnsi="仿宋" w:eastAsia="仿宋" w:cs="仿宋"/>
                <w:color w:val="auto"/>
                <w:sz w:val="24"/>
                <w:szCs w:val="24"/>
                <w:highlight w:val="none"/>
              </w:rPr>
            </w:pPr>
          </w:p>
        </w:tc>
      </w:tr>
      <w:tr w14:paraId="73B7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485CD0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整体评价</w:t>
            </w:r>
          </w:p>
        </w:tc>
        <w:tc>
          <w:tcPr>
            <w:tcW w:w="852" w:type="dxa"/>
            <w:noWrap w:val="0"/>
            <w:vAlign w:val="top"/>
          </w:tcPr>
          <w:p w14:paraId="3BA5D2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120AF90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5F188A0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5456662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FAB53F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6C98F331">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23653C7B">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4B717E9">
            <w:pPr>
              <w:spacing w:line="360" w:lineRule="auto"/>
              <w:ind w:firstLine="570"/>
              <w:jc w:val="center"/>
              <w:rPr>
                <w:rFonts w:hint="eastAsia" w:ascii="仿宋" w:hAnsi="仿宋" w:eastAsia="仿宋" w:cs="仿宋"/>
                <w:color w:val="auto"/>
                <w:sz w:val="24"/>
                <w:szCs w:val="24"/>
                <w:highlight w:val="none"/>
              </w:rPr>
            </w:pPr>
          </w:p>
        </w:tc>
      </w:tr>
      <w:tr w14:paraId="6AE8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9490" w:type="dxa"/>
            <w:gridSpan w:val="9"/>
            <w:noWrap w:val="0"/>
            <w:vAlign w:val="top"/>
          </w:tcPr>
          <w:p w14:paraId="0966C340">
            <w:pPr>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对本次疗休养的整体评价及建议</w:t>
            </w:r>
          </w:p>
          <w:p w14:paraId="19362A55">
            <w:pPr>
              <w:spacing w:line="360" w:lineRule="auto"/>
              <w:ind w:firstLine="570"/>
              <w:rPr>
                <w:rFonts w:hint="eastAsia" w:ascii="仿宋" w:hAnsi="仿宋" w:eastAsia="仿宋" w:cs="仿宋"/>
                <w:color w:val="auto"/>
                <w:sz w:val="24"/>
                <w:szCs w:val="24"/>
                <w:highlight w:val="none"/>
              </w:rPr>
            </w:pPr>
          </w:p>
          <w:p w14:paraId="17B734FD">
            <w:pPr>
              <w:spacing w:line="360" w:lineRule="auto"/>
              <w:ind w:firstLine="570"/>
              <w:rPr>
                <w:rFonts w:hint="eastAsia" w:ascii="仿宋" w:hAnsi="仿宋" w:eastAsia="仿宋" w:cs="仿宋"/>
                <w:color w:val="auto"/>
                <w:sz w:val="24"/>
                <w:szCs w:val="24"/>
                <w:highlight w:val="none"/>
              </w:rPr>
            </w:pPr>
          </w:p>
          <w:p w14:paraId="448AECAB">
            <w:pPr>
              <w:spacing w:line="360" w:lineRule="auto"/>
              <w:ind w:firstLine="570"/>
              <w:rPr>
                <w:rFonts w:hint="eastAsia" w:ascii="仿宋" w:hAnsi="仿宋" w:eastAsia="仿宋" w:cs="仿宋"/>
                <w:color w:val="auto"/>
                <w:sz w:val="24"/>
                <w:szCs w:val="24"/>
                <w:highlight w:val="none"/>
              </w:rPr>
            </w:pPr>
          </w:p>
          <w:p w14:paraId="20D87270">
            <w:pPr>
              <w:spacing w:line="360" w:lineRule="auto"/>
              <w:ind w:firstLine="570"/>
              <w:rPr>
                <w:rFonts w:hint="eastAsia" w:ascii="仿宋" w:hAnsi="仿宋" w:eastAsia="仿宋" w:cs="仿宋"/>
                <w:color w:val="auto"/>
                <w:sz w:val="24"/>
                <w:szCs w:val="24"/>
                <w:highlight w:val="none"/>
              </w:rPr>
            </w:pPr>
          </w:p>
          <w:p w14:paraId="5F1DFD58">
            <w:pPr>
              <w:spacing w:line="360" w:lineRule="auto"/>
              <w:ind w:firstLine="570"/>
              <w:rPr>
                <w:rFonts w:hint="eastAsia" w:ascii="仿宋" w:hAnsi="仿宋" w:eastAsia="仿宋" w:cs="仿宋"/>
                <w:color w:val="auto"/>
                <w:sz w:val="24"/>
                <w:szCs w:val="24"/>
                <w:highlight w:val="none"/>
              </w:rPr>
            </w:pPr>
          </w:p>
        </w:tc>
      </w:tr>
    </w:tbl>
    <w:p w14:paraId="508F6CF3">
      <w:pPr>
        <w:pStyle w:val="2"/>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E2B">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196">
    <w:pPr>
      <w:pStyle w:val="40"/>
      <w:framePr w:wrap="around" w:vAnchor="text" w:hAnchor="margin" w:xAlign="right" w:y="1"/>
      <w:rPr>
        <w:rStyle w:val="73"/>
      </w:rPr>
    </w:pPr>
    <w:r>
      <w:fldChar w:fldCharType="begin"/>
    </w:r>
    <w:r>
      <w:rPr>
        <w:rStyle w:val="73"/>
      </w:rPr>
      <w:instrText xml:space="preserve">PAGE  </w:instrText>
    </w:r>
    <w:r>
      <w:fldChar w:fldCharType="end"/>
    </w:r>
  </w:p>
  <w:p w14:paraId="6880C65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1"/>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文件编号:绍柯采[2025]1098号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2FBB1">
    <w:pPr>
      <w:pStyle w:val="41"/>
      <w:jc w:val="both"/>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文件编号:绍柯采[2025]1098号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59E3A">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15ED6767">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1"/>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775EF108">
    <w:pPr>
      <w:pStyle w:val="41"/>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378E3A24">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1C0BB9E7">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3B75B97"/>
    <w:rsid w:val="09964C90"/>
    <w:rsid w:val="09CA42F7"/>
    <w:rsid w:val="0ED54EE2"/>
    <w:rsid w:val="0F096B8F"/>
    <w:rsid w:val="0F63063F"/>
    <w:rsid w:val="0FC30926"/>
    <w:rsid w:val="12B6058F"/>
    <w:rsid w:val="14323431"/>
    <w:rsid w:val="18E60774"/>
    <w:rsid w:val="1CBD61F3"/>
    <w:rsid w:val="1D2F1C3B"/>
    <w:rsid w:val="1FBFFEB0"/>
    <w:rsid w:val="21424515"/>
    <w:rsid w:val="244D00C1"/>
    <w:rsid w:val="267E0CAB"/>
    <w:rsid w:val="275DFFED"/>
    <w:rsid w:val="276205CD"/>
    <w:rsid w:val="2C093B5E"/>
    <w:rsid w:val="2D180F74"/>
    <w:rsid w:val="2F0C0A43"/>
    <w:rsid w:val="30CD01D9"/>
    <w:rsid w:val="326F4556"/>
    <w:rsid w:val="3A3E7B24"/>
    <w:rsid w:val="3C4160A6"/>
    <w:rsid w:val="3E6DF6DC"/>
    <w:rsid w:val="3FCFDA4A"/>
    <w:rsid w:val="42664FBD"/>
    <w:rsid w:val="427E60E8"/>
    <w:rsid w:val="429F3FEA"/>
    <w:rsid w:val="43122A4F"/>
    <w:rsid w:val="4B95246F"/>
    <w:rsid w:val="4E530E23"/>
    <w:rsid w:val="4F4B3D85"/>
    <w:rsid w:val="5AFF14CF"/>
    <w:rsid w:val="5B73EE39"/>
    <w:rsid w:val="5CFAC9C4"/>
    <w:rsid w:val="5F561B6F"/>
    <w:rsid w:val="5F57E5CA"/>
    <w:rsid w:val="60DC7DBC"/>
    <w:rsid w:val="629C46A6"/>
    <w:rsid w:val="62DF2865"/>
    <w:rsid w:val="64AFCBD0"/>
    <w:rsid w:val="669C35D3"/>
    <w:rsid w:val="6AFF2A6C"/>
    <w:rsid w:val="6B996AEF"/>
    <w:rsid w:val="6BAB5734"/>
    <w:rsid w:val="6D4F7ADB"/>
    <w:rsid w:val="6EBAEEF7"/>
    <w:rsid w:val="6FC37AD4"/>
    <w:rsid w:val="732D4BB8"/>
    <w:rsid w:val="778CFDC4"/>
    <w:rsid w:val="77EDE09C"/>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List Paragraph"/>
    <w:basedOn w:val="1"/>
    <w:next w:val="1"/>
    <w:qFormat/>
    <w:uiPriority w:val="34"/>
    <w:pPr>
      <w:spacing w:line="360" w:lineRule="auto"/>
      <w:ind w:firstLine="200" w:firstLineChars="200"/>
    </w:pPr>
    <w:rPr>
      <w:rFonts w:eastAsia="楷体_GB2312" w:cs="Lucida Sans"/>
      <w:sz w:val="24"/>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6"/>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1"/>
    <w:next w:val="51"/>
    <w:link w:val="319"/>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link w:val="3"/>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4"/>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92</Pages>
  <Words>20970</Words>
  <Characters>22265</Characters>
  <Paragraphs>1943</Paragraphs>
  <TotalTime>16</TotalTime>
  <ScaleCrop>false</ScaleCrop>
  <LinksUpToDate>false</LinksUpToDate>
  <CharactersWithSpaces>23916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2022-01-01T03:06:00Z</cp:lastPrinted>
  <dcterms:modified xsi:type="dcterms:W3CDTF">2025-07-11T02:46:11Z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