
<file path=[Content_Types].xml><?xml version="1.0" encoding="utf-8"?>
<Types xmlns="http://schemas.openxmlformats.org/package/2006/content-types">
  <Default Extension="xml" ContentType="application/xml"/>
  <Default Extension="doc" ContentType="application/msword"/>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jc w:val="center"/>
        <w:textAlignment w:val="bottom"/>
        <w:rPr>
          <w:rFonts w:hint="eastAsia" w:ascii="宋体" w:hAnsi="宋体" w:cs="Courier New"/>
          <w:b/>
          <w:bCs/>
          <w:spacing w:val="120"/>
          <w:sz w:val="72"/>
          <w:szCs w:val="72"/>
          <w:highlight w:val="none"/>
        </w:rPr>
      </w:pPr>
    </w:p>
    <w:p>
      <w:pPr>
        <w:autoSpaceDE w:val="0"/>
        <w:autoSpaceDN w:val="0"/>
        <w:spacing w:line="500" w:lineRule="atLeast"/>
        <w:jc w:val="center"/>
        <w:textAlignment w:val="bottom"/>
        <w:rPr>
          <w:rFonts w:ascii="宋体" w:hAnsi="宋体" w:cs="Courier New"/>
          <w:b/>
          <w:bCs/>
          <w:spacing w:val="120"/>
          <w:sz w:val="72"/>
          <w:szCs w:val="72"/>
          <w:highlight w:val="none"/>
        </w:rPr>
      </w:pPr>
      <w:r>
        <w:rPr>
          <w:rFonts w:hint="eastAsia" w:ascii="宋体" w:hAnsi="宋体" w:cs="Courier New"/>
          <w:b/>
          <w:bCs/>
          <w:spacing w:val="120"/>
          <w:sz w:val="72"/>
          <w:szCs w:val="72"/>
          <w:highlight w:val="none"/>
        </w:rPr>
        <w:t>泰顺县</w:t>
      </w:r>
      <w:r>
        <w:rPr>
          <w:rFonts w:ascii="宋体" w:hAnsi="宋体" w:cs="Courier New"/>
          <w:b/>
          <w:bCs/>
          <w:spacing w:val="120"/>
          <w:sz w:val="72"/>
          <w:szCs w:val="72"/>
          <w:highlight w:val="none"/>
        </w:rPr>
        <w:t>政府采购</w:t>
      </w:r>
    </w:p>
    <w:p>
      <w:pPr>
        <w:spacing w:line="400" w:lineRule="atLeast"/>
        <w:jc w:val="center"/>
        <w:rPr>
          <w:rFonts w:ascii="宋体" w:hAnsi="宋体" w:cs="Courier New"/>
          <w:b/>
          <w:sz w:val="52"/>
          <w:highlight w:val="none"/>
        </w:rPr>
      </w:pPr>
    </w:p>
    <w:p>
      <w:pPr>
        <w:spacing w:line="400" w:lineRule="atLeast"/>
        <w:rPr>
          <w:rFonts w:ascii="宋体" w:hAnsi="宋体" w:cs="Courier New"/>
          <w:b/>
          <w:sz w:val="52"/>
          <w:highlight w:val="none"/>
        </w:rPr>
      </w:pPr>
    </w:p>
    <w:p>
      <w:pPr>
        <w:autoSpaceDE w:val="0"/>
        <w:autoSpaceDN w:val="0"/>
        <w:spacing w:line="500" w:lineRule="atLeast"/>
        <w:textAlignment w:val="bottom"/>
        <w:rPr>
          <w:rFonts w:ascii="宋体" w:hAnsi="宋体" w:cs="Courier New"/>
          <w:b/>
          <w:bCs/>
          <w:sz w:val="72"/>
          <w:szCs w:val="72"/>
          <w:highlight w:val="none"/>
        </w:rPr>
      </w:pPr>
    </w:p>
    <w:p>
      <w:pPr>
        <w:autoSpaceDE w:val="0"/>
        <w:autoSpaceDN w:val="0"/>
        <w:spacing w:line="500" w:lineRule="atLeast"/>
        <w:jc w:val="center"/>
        <w:textAlignment w:val="bottom"/>
        <w:rPr>
          <w:rFonts w:ascii="宋体" w:hAnsi="宋体" w:cs="Courier New"/>
          <w:b/>
          <w:bCs/>
          <w:sz w:val="72"/>
          <w:szCs w:val="72"/>
          <w:highlight w:val="none"/>
        </w:rPr>
      </w:pPr>
    </w:p>
    <w:p>
      <w:pPr>
        <w:autoSpaceDE w:val="0"/>
        <w:autoSpaceDN w:val="0"/>
        <w:spacing w:line="500" w:lineRule="atLeast"/>
        <w:ind w:firstLine="419" w:firstLineChars="58"/>
        <w:jc w:val="center"/>
        <w:textAlignment w:val="bottom"/>
        <w:rPr>
          <w:rFonts w:ascii="宋体" w:hAnsi="宋体" w:cs="Courier New"/>
          <w:b/>
          <w:sz w:val="72"/>
          <w:szCs w:val="72"/>
          <w:highlight w:val="none"/>
        </w:rPr>
      </w:pPr>
      <w:r>
        <w:rPr>
          <w:rFonts w:hint="eastAsia" w:ascii="宋体" w:hAnsi="宋体" w:cs="Courier New"/>
          <w:b/>
          <w:bCs/>
          <w:sz w:val="72"/>
          <w:szCs w:val="72"/>
          <w:highlight w:val="none"/>
        </w:rPr>
        <w:t xml:space="preserve">招标文件 </w:t>
      </w:r>
    </w:p>
    <w:p>
      <w:pPr>
        <w:spacing w:line="400" w:lineRule="atLeast"/>
        <w:jc w:val="center"/>
        <w:rPr>
          <w:rFonts w:ascii="宋体" w:hAnsi="宋体"/>
          <w:sz w:val="32"/>
          <w:highlight w:val="none"/>
        </w:rPr>
      </w:pPr>
    </w:p>
    <w:p>
      <w:pPr>
        <w:tabs>
          <w:tab w:val="left" w:pos="4860"/>
        </w:tabs>
        <w:spacing w:line="600" w:lineRule="exact"/>
        <w:ind w:right="1143"/>
        <w:jc w:val="left"/>
        <w:rPr>
          <w:rFonts w:ascii="宋体" w:hAnsi="宋体"/>
          <w:spacing w:val="40"/>
          <w:sz w:val="30"/>
          <w:szCs w:val="30"/>
          <w:highlight w:val="none"/>
        </w:rPr>
      </w:pPr>
    </w:p>
    <w:p>
      <w:pPr>
        <w:tabs>
          <w:tab w:val="left" w:pos="4860"/>
        </w:tabs>
        <w:spacing w:line="600" w:lineRule="exact"/>
        <w:ind w:right="1143"/>
        <w:jc w:val="left"/>
        <w:rPr>
          <w:rFonts w:ascii="宋体" w:hAnsi="宋体"/>
          <w:spacing w:val="40"/>
          <w:sz w:val="30"/>
          <w:szCs w:val="30"/>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pPr>
              <w:adjustRightInd w:val="0"/>
              <w:snapToGrid w:val="0"/>
              <w:spacing w:line="440" w:lineRule="exact"/>
              <w:jc w:val="left"/>
              <w:rPr>
                <w:rFonts w:ascii="宋体" w:hAnsi="宋体"/>
                <w:b/>
                <w:bCs/>
                <w:sz w:val="30"/>
                <w:szCs w:val="30"/>
                <w:highlight w:val="none"/>
              </w:rPr>
            </w:pPr>
            <w:r>
              <w:rPr>
                <w:rFonts w:ascii="宋体" w:hAnsi="宋体"/>
                <w:b/>
                <w:bCs/>
                <w:spacing w:val="40"/>
                <w:sz w:val="30"/>
                <w:szCs w:val="30"/>
                <w:highlight w:val="none"/>
              </w:rPr>
              <w:t>项目编号</w:t>
            </w:r>
          </w:p>
        </w:tc>
        <w:tc>
          <w:tcPr>
            <w:tcW w:w="5396" w:type="dxa"/>
            <w:vAlign w:val="center"/>
          </w:tcPr>
          <w:p>
            <w:pPr>
              <w:adjustRightInd w:val="0"/>
              <w:snapToGrid w:val="0"/>
              <w:spacing w:line="440" w:lineRule="exact"/>
              <w:jc w:val="left"/>
              <w:rPr>
                <w:rFonts w:hint="eastAsia" w:ascii="宋体" w:hAnsi="宋体" w:eastAsia="宋体"/>
                <w:b/>
                <w:bCs/>
                <w:spacing w:val="-20"/>
                <w:sz w:val="30"/>
                <w:szCs w:val="30"/>
                <w:highlight w:val="none"/>
                <w:lang w:eastAsia="zh-CN"/>
              </w:rPr>
            </w:pPr>
            <w:r>
              <w:rPr>
                <w:rFonts w:hint="eastAsia" w:ascii="宋体" w:hAnsi="宋体" w:eastAsia="宋体"/>
                <w:b/>
                <w:bCs/>
                <w:spacing w:val="-20"/>
                <w:sz w:val="30"/>
                <w:szCs w:val="30"/>
                <w:highlight w:val="none"/>
                <w:lang w:eastAsia="zh-CN"/>
              </w:rPr>
              <w:t xml:space="preserve">TSCG202405011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z w:val="30"/>
                <w:szCs w:val="30"/>
                <w:highlight w:val="none"/>
              </w:rPr>
            </w:pPr>
            <w:r>
              <w:rPr>
                <w:rFonts w:ascii="宋体" w:hAnsi="宋体"/>
                <w:b/>
                <w:bCs/>
                <w:spacing w:val="40"/>
                <w:sz w:val="30"/>
                <w:szCs w:val="30"/>
                <w:highlight w:val="none"/>
              </w:rPr>
              <w:t>招标项目</w:t>
            </w:r>
          </w:p>
        </w:tc>
        <w:tc>
          <w:tcPr>
            <w:tcW w:w="5396" w:type="dxa"/>
            <w:vAlign w:val="center"/>
          </w:tcPr>
          <w:p>
            <w:pPr>
              <w:adjustRightInd w:val="0"/>
              <w:snapToGrid w:val="0"/>
              <w:spacing w:line="440" w:lineRule="exact"/>
              <w:jc w:val="left"/>
              <w:rPr>
                <w:rFonts w:hint="eastAsia" w:ascii="宋体" w:hAnsi="宋体" w:eastAsia="宋体"/>
                <w:b/>
                <w:bCs/>
                <w:sz w:val="30"/>
                <w:szCs w:val="30"/>
                <w:highlight w:val="none"/>
                <w:lang w:eastAsia="zh-CN"/>
              </w:rPr>
            </w:pPr>
            <w:r>
              <w:rPr>
                <w:rFonts w:hint="eastAsia" w:ascii="宋体" w:hAnsi="宋体" w:eastAsia="宋体"/>
                <w:b/>
                <w:bCs/>
                <w:sz w:val="30"/>
                <w:szCs w:val="30"/>
                <w:highlight w:val="none"/>
                <w:lang w:eastAsia="zh-CN"/>
              </w:rPr>
              <w:t>2024年农村公路路况及桥梁自动化检测（二次）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z w:val="30"/>
                <w:szCs w:val="30"/>
                <w:highlight w:val="none"/>
              </w:rPr>
            </w:pPr>
            <w:r>
              <w:rPr>
                <w:rFonts w:ascii="宋体" w:hAnsi="宋体"/>
                <w:b/>
                <w:bCs/>
                <w:spacing w:val="40"/>
                <w:sz w:val="30"/>
                <w:szCs w:val="30"/>
                <w:highlight w:val="none"/>
              </w:rPr>
              <w:t>招标方式</w:t>
            </w:r>
          </w:p>
        </w:tc>
        <w:tc>
          <w:tcPr>
            <w:tcW w:w="5396" w:type="dxa"/>
            <w:vAlign w:val="center"/>
          </w:tcPr>
          <w:p>
            <w:pPr>
              <w:adjustRightInd w:val="0"/>
              <w:snapToGrid w:val="0"/>
              <w:spacing w:line="440" w:lineRule="exact"/>
              <w:jc w:val="left"/>
              <w:rPr>
                <w:rFonts w:ascii="宋体" w:hAnsi="宋体"/>
                <w:b/>
                <w:bCs/>
                <w:sz w:val="30"/>
                <w:szCs w:val="30"/>
                <w:highlight w:val="none"/>
              </w:rPr>
            </w:pPr>
            <w:r>
              <w:rPr>
                <w:rFonts w:hint="eastAsia" w:ascii="宋体" w:hAnsi="宋体"/>
                <w:b/>
                <w:bCs/>
                <w:sz w:val="30"/>
                <w:szCs w:val="30"/>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eastAsia="宋体"/>
                <w:b/>
                <w:bCs/>
                <w:spacing w:val="40"/>
                <w:sz w:val="30"/>
                <w:szCs w:val="30"/>
                <w:highlight w:val="none"/>
              </w:rPr>
            </w:pPr>
            <w:r>
              <w:rPr>
                <w:rFonts w:ascii="宋体" w:hAnsi="宋体"/>
                <w:b/>
                <w:bCs/>
                <w:spacing w:val="40"/>
                <w:sz w:val="30"/>
                <w:szCs w:val="30"/>
                <w:highlight w:val="none"/>
              </w:rPr>
              <w:t>采购单位</w:t>
            </w:r>
          </w:p>
        </w:tc>
        <w:tc>
          <w:tcPr>
            <w:tcW w:w="5396" w:type="dxa"/>
            <w:vAlign w:val="center"/>
          </w:tcPr>
          <w:p>
            <w:pPr>
              <w:adjustRightInd w:val="0"/>
              <w:snapToGrid w:val="0"/>
              <w:spacing w:line="440" w:lineRule="exact"/>
              <w:jc w:val="left"/>
              <w:rPr>
                <w:rFonts w:ascii="宋体" w:hAnsi="宋体"/>
                <w:b/>
                <w:bCs/>
                <w:sz w:val="30"/>
                <w:szCs w:val="30"/>
                <w:highlight w:val="none"/>
              </w:rPr>
            </w:pPr>
            <w:r>
              <w:rPr>
                <w:rFonts w:hint="eastAsia" w:ascii="宋体" w:hAnsi="宋体"/>
                <w:b/>
                <w:bCs/>
                <w:sz w:val="30"/>
                <w:szCs w:val="30"/>
                <w:highlight w:val="none"/>
              </w:rPr>
              <w:t>泰顺县交通运输管理中心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pacing w:val="40"/>
                <w:sz w:val="30"/>
                <w:szCs w:val="30"/>
                <w:highlight w:val="none"/>
              </w:rPr>
            </w:pPr>
            <w:r>
              <w:rPr>
                <w:rFonts w:ascii="宋体" w:hAnsi="宋体"/>
                <w:b/>
                <w:bCs/>
                <w:sz w:val="30"/>
                <w:szCs w:val="30"/>
                <w:highlight w:val="none"/>
              </w:rPr>
              <w:t>招标代理机构</w:t>
            </w:r>
          </w:p>
        </w:tc>
        <w:tc>
          <w:tcPr>
            <w:tcW w:w="5396" w:type="dxa"/>
            <w:vAlign w:val="center"/>
          </w:tcPr>
          <w:p>
            <w:pPr>
              <w:adjustRightInd w:val="0"/>
              <w:snapToGrid w:val="0"/>
              <w:spacing w:line="440" w:lineRule="exact"/>
              <w:jc w:val="left"/>
              <w:rPr>
                <w:rFonts w:ascii="宋体" w:hAnsi="宋体" w:eastAsia="宋体"/>
                <w:b/>
                <w:bCs/>
                <w:sz w:val="30"/>
                <w:szCs w:val="30"/>
                <w:highlight w:val="none"/>
              </w:rPr>
            </w:pPr>
            <w:r>
              <w:rPr>
                <w:rFonts w:hint="eastAsia" w:ascii="宋体" w:hAnsi="宋体"/>
                <w:b/>
                <w:bCs/>
                <w:sz w:val="30"/>
                <w:szCs w:val="30"/>
                <w:highlight w:val="none"/>
              </w:rPr>
              <w:t>浙江益诚工程咨询有限公司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left"/>
              <w:rPr>
                <w:rFonts w:ascii="宋体" w:hAnsi="宋体"/>
                <w:b/>
                <w:bCs/>
                <w:spacing w:val="40"/>
                <w:sz w:val="30"/>
                <w:szCs w:val="30"/>
                <w:highlight w:val="none"/>
              </w:rPr>
            </w:pPr>
            <w:r>
              <w:rPr>
                <w:rFonts w:ascii="宋体" w:hAnsi="宋体"/>
                <w:b/>
                <w:bCs/>
                <w:sz w:val="30"/>
                <w:szCs w:val="30"/>
                <w:highlight w:val="none"/>
              </w:rPr>
              <w:t>监督及备案机构</w:t>
            </w:r>
          </w:p>
        </w:tc>
        <w:tc>
          <w:tcPr>
            <w:tcW w:w="5396" w:type="dxa"/>
            <w:vAlign w:val="center"/>
          </w:tcPr>
          <w:p>
            <w:pPr>
              <w:adjustRightInd w:val="0"/>
              <w:snapToGrid w:val="0"/>
              <w:spacing w:line="440" w:lineRule="exact"/>
              <w:jc w:val="left"/>
              <w:rPr>
                <w:rFonts w:ascii="宋体" w:hAnsi="宋体"/>
                <w:b/>
                <w:bCs/>
                <w:sz w:val="30"/>
                <w:szCs w:val="30"/>
                <w:highlight w:val="none"/>
              </w:rPr>
            </w:pPr>
            <w:r>
              <w:rPr>
                <w:rFonts w:ascii="宋体" w:hAnsi="宋体"/>
                <w:b/>
                <w:bCs/>
                <w:sz w:val="30"/>
                <w:szCs w:val="30"/>
                <w:highlight w:val="none"/>
              </w:rPr>
              <w:t>泰顺县财政局</w:t>
            </w:r>
          </w:p>
        </w:tc>
      </w:tr>
    </w:tbl>
    <w:p>
      <w:pPr>
        <w:jc w:val="center"/>
        <w:rPr>
          <w:rFonts w:ascii="宋体" w:hAnsi="宋体"/>
          <w:bCs/>
          <w:sz w:val="24"/>
          <w:highlight w:val="none"/>
        </w:rPr>
      </w:pPr>
    </w:p>
    <w:p>
      <w:pPr>
        <w:jc w:val="center"/>
        <w:rPr>
          <w:rFonts w:ascii="宋体" w:hAnsi="宋体"/>
          <w:bCs/>
          <w:sz w:val="24"/>
          <w:highlight w:val="none"/>
        </w:rPr>
      </w:pPr>
    </w:p>
    <w:p>
      <w:pPr>
        <w:spacing w:line="400" w:lineRule="exact"/>
        <w:jc w:val="center"/>
        <w:rPr>
          <w:rFonts w:ascii="楷体" w:hAnsi="楷体" w:eastAsia="楷体" w:cs="楷体"/>
          <w:bCs/>
          <w:sz w:val="44"/>
          <w:szCs w:val="44"/>
          <w:highlight w:val="none"/>
        </w:rPr>
      </w:pPr>
      <w:r>
        <w:rPr>
          <w:rFonts w:ascii="宋体" w:hAnsi="宋体"/>
          <w:b/>
          <w:bCs/>
          <w:spacing w:val="40"/>
          <w:sz w:val="30"/>
          <w:szCs w:val="30"/>
          <w:highlight w:val="none"/>
        </w:rPr>
        <w:t>二〇二</w:t>
      </w:r>
      <w:r>
        <w:rPr>
          <w:rFonts w:hint="eastAsia" w:ascii="宋体" w:hAnsi="宋体"/>
          <w:b/>
          <w:bCs/>
          <w:spacing w:val="40"/>
          <w:sz w:val="30"/>
          <w:szCs w:val="30"/>
          <w:highlight w:val="none"/>
          <w:lang w:eastAsia="zh-CN"/>
        </w:rPr>
        <w:t>四</w:t>
      </w:r>
      <w:r>
        <w:rPr>
          <w:rFonts w:ascii="宋体" w:hAnsi="宋体"/>
          <w:b/>
          <w:bCs/>
          <w:spacing w:val="40"/>
          <w:sz w:val="30"/>
          <w:szCs w:val="30"/>
          <w:highlight w:val="none"/>
        </w:rPr>
        <w:t>年</w:t>
      </w:r>
      <w:r>
        <w:rPr>
          <w:rFonts w:hint="eastAsia" w:ascii="宋体" w:hAnsi="宋体"/>
          <w:b/>
          <w:bCs/>
          <w:spacing w:val="40"/>
          <w:sz w:val="30"/>
          <w:szCs w:val="30"/>
          <w:highlight w:val="none"/>
          <w:lang w:eastAsia="zh-CN"/>
        </w:rPr>
        <w:t>五</w:t>
      </w:r>
      <w:r>
        <w:rPr>
          <w:rFonts w:hint="eastAsia" w:ascii="宋体" w:hAnsi="宋体"/>
          <w:b/>
          <w:bCs/>
          <w:spacing w:val="40"/>
          <w:sz w:val="30"/>
          <w:szCs w:val="30"/>
          <w:highlight w:val="none"/>
        </w:rPr>
        <w:t>月</w:t>
      </w:r>
    </w:p>
    <w:p>
      <w:pPr>
        <w:spacing w:line="400" w:lineRule="exact"/>
        <w:jc w:val="center"/>
        <w:rPr>
          <w:rFonts w:ascii="楷体" w:hAnsi="楷体" w:eastAsia="楷体" w:cs="楷体"/>
          <w:bCs/>
          <w:sz w:val="44"/>
          <w:szCs w:val="44"/>
          <w:highlight w:val="none"/>
        </w:rPr>
      </w:pPr>
    </w:p>
    <w:p>
      <w:pPr>
        <w:spacing w:line="400" w:lineRule="exact"/>
        <w:jc w:val="center"/>
        <w:rPr>
          <w:rFonts w:ascii="楷体" w:hAnsi="楷体" w:eastAsia="楷体" w:cs="楷体"/>
          <w:bCs/>
          <w:sz w:val="44"/>
          <w:szCs w:val="44"/>
          <w:highlight w:val="none"/>
        </w:rPr>
        <w:sectPr>
          <w:headerReference r:id="rId4" w:type="first"/>
          <w:footerReference r:id="rId6" w:type="first"/>
          <w:headerReference r:id="rId3" w:type="default"/>
          <w:footerReference r:id="rId5" w:type="default"/>
          <w:pgSz w:w="11906" w:h="16838"/>
          <w:pgMar w:top="1440" w:right="1106" w:bottom="1440" w:left="1622" w:header="720" w:footer="720" w:gutter="0"/>
          <w:pgNumType w:start="1"/>
          <w:cols w:space="720" w:num="1"/>
          <w:docGrid w:type="lines" w:linePitch="312" w:charSpace="0"/>
        </w:sectPr>
      </w:pPr>
    </w:p>
    <w:p>
      <w:pPr>
        <w:spacing w:line="400" w:lineRule="exact"/>
        <w:jc w:val="center"/>
        <w:rPr>
          <w:rFonts w:ascii="楷体" w:hAnsi="楷体" w:eastAsia="楷体" w:cs="楷体"/>
          <w:bCs/>
          <w:sz w:val="44"/>
          <w:szCs w:val="44"/>
          <w:highlight w:val="none"/>
        </w:rPr>
      </w:pPr>
    </w:p>
    <w:p>
      <w:pPr>
        <w:spacing w:line="400" w:lineRule="exact"/>
        <w:jc w:val="center"/>
        <w:rPr>
          <w:rFonts w:ascii="楷体" w:hAnsi="楷体" w:eastAsia="楷体" w:cs="楷体"/>
          <w:bCs/>
          <w:sz w:val="44"/>
          <w:szCs w:val="44"/>
          <w:highlight w:val="none"/>
        </w:rPr>
      </w:pPr>
      <w:r>
        <w:rPr>
          <w:rFonts w:hint="eastAsia" w:ascii="楷体" w:hAnsi="楷体" w:eastAsia="楷体" w:cs="楷体"/>
          <w:bCs/>
          <w:sz w:val="44"/>
          <w:szCs w:val="44"/>
          <w:highlight w:val="none"/>
        </w:rPr>
        <w:t>招标文件目录</w:t>
      </w:r>
    </w:p>
    <w:p>
      <w:pPr>
        <w:pStyle w:val="23"/>
        <w:tabs>
          <w:tab w:val="right" w:leader="dot" w:pos="9628"/>
        </w:tabs>
        <w:spacing w:line="360" w:lineRule="auto"/>
        <w:ind w:left="840" w:firstLine="420"/>
        <w:rPr>
          <w:sz w:val="28"/>
          <w:szCs w:val="28"/>
          <w:highlight w:val="none"/>
        </w:rPr>
      </w:pPr>
    </w:p>
    <w:p>
      <w:pPr>
        <w:pStyle w:val="23"/>
        <w:tabs>
          <w:tab w:val="right" w:leader="dot" w:pos="9628"/>
        </w:tabs>
        <w:spacing w:line="360" w:lineRule="auto"/>
        <w:ind w:left="840" w:firstLine="420"/>
        <w:rPr>
          <w:rFonts w:ascii="楷体" w:hAnsi="楷体" w:eastAsia="楷体" w:cs="楷体"/>
          <w:bCs w:val="0"/>
          <w:sz w:val="28"/>
          <w:szCs w:val="28"/>
          <w:highlight w:val="none"/>
        </w:rPr>
      </w:pPr>
    </w:p>
    <w:p>
      <w:pPr>
        <w:pStyle w:val="23"/>
        <w:tabs>
          <w:tab w:val="right" w:leader="dot" w:pos="9628"/>
        </w:tabs>
        <w:spacing w:line="480" w:lineRule="auto"/>
        <w:ind w:left="839" w:firstLine="420"/>
        <w:rPr>
          <w:rFonts w:ascii="楷体" w:hAnsi="楷体" w:eastAsia="楷体" w:cs="楷体"/>
          <w:bCs w:val="0"/>
          <w:sz w:val="28"/>
          <w:szCs w:val="28"/>
          <w:highlight w:val="none"/>
        </w:rPr>
      </w:pPr>
    </w:p>
    <w:p>
      <w:pPr>
        <w:pStyle w:val="23"/>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第一部分、投标邀请函（投标须知前附表）</w:t>
      </w:r>
    </w:p>
    <w:p>
      <w:pPr>
        <w:pStyle w:val="23"/>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第二部分、招标内容</w:t>
      </w:r>
    </w:p>
    <w:p>
      <w:pPr>
        <w:pStyle w:val="23"/>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第三部分、供应商须知</w:t>
      </w:r>
    </w:p>
    <w:p>
      <w:pPr>
        <w:pStyle w:val="23"/>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w:t>
      </w:r>
      <w:r>
        <w:rPr>
          <w:rFonts w:hint="eastAsia" w:ascii="楷体" w:hAnsi="楷体" w:eastAsia="楷体" w:cs="楷体"/>
          <w:b w:val="0"/>
          <w:sz w:val="28"/>
          <w:szCs w:val="28"/>
          <w:highlight w:val="none"/>
          <w:lang w:eastAsia="zh-CN"/>
        </w:rPr>
        <w:t>四</w:t>
      </w:r>
      <w:r>
        <w:rPr>
          <w:rFonts w:hint="eastAsia" w:ascii="楷体" w:hAnsi="楷体" w:eastAsia="楷体" w:cs="楷体"/>
          <w:b w:val="0"/>
          <w:sz w:val="28"/>
          <w:szCs w:val="28"/>
          <w:highlight w:val="none"/>
        </w:rPr>
        <w:t>部分、政府采购政策功能相关说明</w:t>
      </w:r>
    </w:p>
    <w:p>
      <w:pPr>
        <w:pStyle w:val="23"/>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w:t>
      </w:r>
      <w:r>
        <w:rPr>
          <w:rFonts w:hint="eastAsia" w:ascii="楷体" w:hAnsi="楷体" w:eastAsia="楷体" w:cs="楷体"/>
          <w:b w:val="0"/>
          <w:sz w:val="28"/>
          <w:szCs w:val="28"/>
          <w:highlight w:val="none"/>
          <w:lang w:eastAsia="zh-CN"/>
        </w:rPr>
        <w:t>五</w:t>
      </w:r>
      <w:r>
        <w:rPr>
          <w:rFonts w:hint="eastAsia" w:ascii="楷体" w:hAnsi="楷体" w:eastAsia="楷体" w:cs="楷体"/>
          <w:b w:val="0"/>
          <w:sz w:val="28"/>
          <w:szCs w:val="28"/>
          <w:highlight w:val="none"/>
        </w:rPr>
        <w:t>部分、合同格式</w:t>
      </w:r>
    </w:p>
    <w:p>
      <w:pPr>
        <w:pStyle w:val="23"/>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w:t>
      </w:r>
      <w:r>
        <w:rPr>
          <w:rFonts w:hint="eastAsia" w:ascii="楷体" w:hAnsi="楷体" w:eastAsia="楷体" w:cs="楷体"/>
          <w:b w:val="0"/>
          <w:sz w:val="28"/>
          <w:szCs w:val="28"/>
          <w:highlight w:val="none"/>
          <w:lang w:eastAsia="zh-CN"/>
        </w:rPr>
        <w:t>六</w:t>
      </w:r>
      <w:r>
        <w:rPr>
          <w:rFonts w:hint="eastAsia" w:ascii="楷体" w:hAnsi="楷体" w:eastAsia="楷体" w:cs="楷体"/>
          <w:b w:val="0"/>
          <w:sz w:val="28"/>
          <w:szCs w:val="28"/>
          <w:highlight w:val="none"/>
        </w:rPr>
        <w:t>部分、附件：投标文件格式</w:t>
      </w:r>
    </w:p>
    <w:p>
      <w:pPr>
        <w:pStyle w:val="23"/>
        <w:tabs>
          <w:tab w:val="right" w:leader="dot" w:pos="9628"/>
        </w:tabs>
        <w:spacing w:line="480" w:lineRule="auto"/>
        <w:ind w:left="839" w:firstLine="420"/>
        <w:rPr>
          <w:rFonts w:ascii="楷体" w:hAnsi="楷体" w:eastAsia="楷体" w:cs="楷体"/>
          <w:b w:val="0"/>
          <w:sz w:val="28"/>
          <w:szCs w:val="28"/>
          <w:highlight w:val="none"/>
        </w:rPr>
      </w:pPr>
      <w:r>
        <w:rPr>
          <w:rFonts w:hint="eastAsia" w:ascii="楷体" w:hAnsi="楷体" w:eastAsia="楷体" w:cs="楷体"/>
          <w:b w:val="0"/>
          <w:sz w:val="28"/>
          <w:szCs w:val="28"/>
          <w:highlight w:val="none"/>
        </w:rPr>
        <w:t>第</w:t>
      </w:r>
      <w:r>
        <w:rPr>
          <w:rFonts w:hint="eastAsia" w:ascii="楷体" w:hAnsi="楷体" w:eastAsia="楷体" w:cs="楷体"/>
          <w:b w:val="0"/>
          <w:sz w:val="28"/>
          <w:szCs w:val="28"/>
          <w:highlight w:val="none"/>
          <w:lang w:eastAsia="zh-CN"/>
        </w:rPr>
        <w:t>七</w:t>
      </w:r>
      <w:r>
        <w:rPr>
          <w:rFonts w:hint="eastAsia" w:ascii="楷体" w:hAnsi="楷体" w:eastAsia="楷体" w:cs="楷体"/>
          <w:b w:val="0"/>
          <w:sz w:val="28"/>
          <w:szCs w:val="28"/>
          <w:highlight w:val="none"/>
        </w:rPr>
        <w:t>部分、评标办法</w:t>
      </w:r>
    </w:p>
    <w:p>
      <w:pPr>
        <w:pStyle w:val="23"/>
        <w:tabs>
          <w:tab w:val="right" w:leader="dot" w:pos="9628"/>
        </w:tabs>
        <w:spacing w:line="360" w:lineRule="auto"/>
        <w:ind w:left="840" w:firstLine="420"/>
        <w:rPr>
          <w:rFonts w:ascii="楷体" w:hAnsi="楷体" w:eastAsia="楷体" w:cs="楷体"/>
          <w:bCs w:val="0"/>
          <w:sz w:val="28"/>
          <w:szCs w:val="28"/>
          <w:highlight w:val="none"/>
        </w:rPr>
      </w:pPr>
    </w:p>
    <w:p>
      <w:pPr>
        <w:spacing w:line="400" w:lineRule="exact"/>
        <w:jc w:val="center"/>
        <w:rPr>
          <w:rFonts w:ascii="宋体" w:hAnsi="宋体"/>
          <w:b/>
          <w:bCs/>
          <w:sz w:val="32"/>
          <w:szCs w:val="32"/>
          <w:highlight w:val="none"/>
        </w:rPr>
      </w:pPr>
    </w:p>
    <w:p>
      <w:pPr>
        <w:spacing w:line="400" w:lineRule="exact"/>
        <w:jc w:val="center"/>
        <w:rPr>
          <w:rFonts w:ascii="宋体" w:hAnsi="宋体"/>
          <w:b/>
          <w:bCs/>
          <w:sz w:val="32"/>
          <w:szCs w:val="32"/>
          <w:highlight w:val="none"/>
        </w:rPr>
      </w:pPr>
    </w:p>
    <w:p>
      <w:pPr>
        <w:spacing w:line="400" w:lineRule="exact"/>
        <w:jc w:val="center"/>
        <w:rPr>
          <w:rFonts w:ascii="宋体" w:hAnsi="宋体"/>
          <w:b/>
          <w:bCs/>
          <w:sz w:val="32"/>
          <w:szCs w:val="32"/>
          <w:highlight w:val="none"/>
        </w:rPr>
      </w:pPr>
    </w:p>
    <w:p>
      <w:pPr>
        <w:spacing w:line="400" w:lineRule="exact"/>
        <w:jc w:val="center"/>
        <w:rPr>
          <w:rFonts w:ascii="宋体" w:hAnsi="宋体"/>
          <w:b/>
          <w:bCs/>
          <w:sz w:val="32"/>
          <w:szCs w:val="32"/>
          <w:highlight w:val="none"/>
        </w:rPr>
      </w:pPr>
    </w:p>
    <w:p>
      <w:pPr>
        <w:spacing w:line="400" w:lineRule="exact"/>
        <w:jc w:val="center"/>
        <w:rPr>
          <w:rFonts w:ascii="宋体" w:hAnsi="宋体"/>
          <w:b/>
          <w:bCs/>
          <w:sz w:val="32"/>
          <w:szCs w:val="32"/>
          <w:highlight w:val="none"/>
        </w:rPr>
      </w:pPr>
    </w:p>
    <w:p>
      <w:pPr>
        <w:pStyle w:val="23"/>
        <w:tabs>
          <w:tab w:val="right" w:leader="dot" w:pos="9628"/>
        </w:tabs>
        <w:spacing w:line="480" w:lineRule="auto"/>
        <w:ind w:left="839" w:firstLine="420"/>
        <w:rPr>
          <w:rFonts w:hAnsi="宋体" w:cs="楷体"/>
          <w:szCs w:val="21"/>
          <w:highlight w:val="none"/>
          <w:u w:val="none"/>
        </w:rPr>
      </w:pPr>
      <w:r>
        <w:rPr>
          <w:rFonts w:hint="eastAsia" w:hAnsi="宋体" w:cs="楷体"/>
          <w:szCs w:val="21"/>
          <w:highlight w:val="none"/>
          <w:u w:val="none"/>
        </w:rPr>
        <w:t>注：招标文件中标注“▲”加粗的为招标的实质性要求和条件，不允许偏离，否则作无效标处理。供应商必须认真阅读和理解招标文件文件中的每一个条款及要求，因误读招标文件而造成的后果，采购单位及招标代理机构概不负责。</w:t>
      </w:r>
    </w:p>
    <w:p>
      <w:pPr>
        <w:rPr>
          <w:rFonts w:ascii="宋体"/>
          <w:b/>
          <w:bCs/>
          <w:sz w:val="36"/>
          <w:szCs w:val="36"/>
          <w:highlight w:val="none"/>
          <w:lang w:val="zh-CN"/>
        </w:rPr>
      </w:pPr>
      <w:r>
        <w:rPr>
          <w:rFonts w:hint="eastAsia" w:ascii="宋体"/>
          <w:b/>
          <w:bCs/>
          <w:sz w:val="36"/>
          <w:szCs w:val="36"/>
          <w:highlight w:val="none"/>
          <w:lang w:val="zh-CN"/>
        </w:rPr>
        <w:br w:type="page"/>
      </w:r>
    </w:p>
    <w:p>
      <w:pPr>
        <w:tabs>
          <w:tab w:val="left" w:pos="1080"/>
        </w:tabs>
        <w:autoSpaceDE w:val="0"/>
        <w:autoSpaceDN w:val="0"/>
        <w:adjustRightInd w:val="0"/>
        <w:spacing w:line="500" w:lineRule="atLeast"/>
        <w:jc w:val="center"/>
        <w:textAlignment w:val="baseline"/>
        <w:rPr>
          <w:rFonts w:ascii="宋体"/>
          <w:b/>
          <w:bCs/>
          <w:sz w:val="32"/>
          <w:szCs w:val="32"/>
          <w:highlight w:val="none"/>
          <w:lang w:val="zh-CN"/>
        </w:rPr>
      </w:pPr>
      <w:r>
        <w:rPr>
          <w:rFonts w:hint="eastAsia" w:ascii="宋体"/>
          <w:b/>
          <w:bCs/>
          <w:sz w:val="36"/>
          <w:szCs w:val="36"/>
          <w:highlight w:val="none"/>
          <w:lang w:val="zh-CN"/>
        </w:rPr>
        <w:t>第一部分</w:t>
      </w:r>
      <w:r>
        <w:rPr>
          <w:rFonts w:ascii="宋体"/>
          <w:b/>
          <w:bCs/>
          <w:sz w:val="36"/>
          <w:szCs w:val="36"/>
          <w:highlight w:val="none"/>
          <w:lang w:val="zh-CN"/>
        </w:rPr>
        <w:t xml:space="preserve">   </w:t>
      </w:r>
      <w:r>
        <w:rPr>
          <w:rFonts w:hint="eastAsia" w:ascii="宋体"/>
          <w:b/>
          <w:bCs/>
          <w:sz w:val="36"/>
          <w:szCs w:val="36"/>
          <w:highlight w:val="none"/>
          <w:lang w:val="zh-CN"/>
        </w:rPr>
        <w:t>投标邀请函（投标须知前附表）</w:t>
      </w:r>
    </w:p>
    <w:tbl>
      <w:tblPr>
        <w:tblStyle w:val="29"/>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pPr>
              <w:spacing w:line="400" w:lineRule="atLeast"/>
              <w:jc w:val="center"/>
              <w:rPr>
                <w:rFonts w:ascii="宋体" w:cs="Arial"/>
                <w:sz w:val="22"/>
                <w:highlight w:val="none"/>
              </w:rPr>
            </w:pPr>
            <w:r>
              <w:rPr>
                <w:rFonts w:hint="eastAsia" w:ascii="宋体" w:cs="Arial"/>
                <w:sz w:val="22"/>
                <w:highlight w:val="none"/>
              </w:rPr>
              <w:t>项号</w:t>
            </w:r>
          </w:p>
        </w:tc>
        <w:tc>
          <w:tcPr>
            <w:tcW w:w="1600" w:type="dxa"/>
            <w:tcBorders>
              <w:top w:val="single" w:color="auto" w:sz="12" w:space="0"/>
            </w:tcBorders>
            <w:vAlign w:val="center"/>
          </w:tcPr>
          <w:p>
            <w:pPr>
              <w:spacing w:line="400" w:lineRule="atLeast"/>
              <w:jc w:val="center"/>
              <w:rPr>
                <w:rFonts w:ascii="宋体" w:cs="Arial"/>
                <w:sz w:val="22"/>
                <w:highlight w:val="none"/>
              </w:rPr>
            </w:pPr>
            <w:r>
              <w:rPr>
                <w:rFonts w:hint="eastAsia" w:ascii="宋体" w:cs="Arial"/>
                <w:sz w:val="22"/>
                <w:highlight w:val="none"/>
              </w:rPr>
              <w:t>内容</w:t>
            </w:r>
          </w:p>
        </w:tc>
        <w:tc>
          <w:tcPr>
            <w:tcW w:w="7619" w:type="dxa"/>
            <w:tcBorders>
              <w:top w:val="single" w:color="auto" w:sz="12" w:space="0"/>
            </w:tcBorders>
            <w:vAlign w:val="center"/>
          </w:tcPr>
          <w:p>
            <w:pPr>
              <w:spacing w:line="400" w:lineRule="atLeast"/>
              <w:jc w:val="center"/>
              <w:rPr>
                <w:rFonts w:ascii="宋体" w:cs="Arial"/>
                <w:sz w:val="22"/>
                <w:highlight w:val="none"/>
              </w:rPr>
            </w:pPr>
            <w:r>
              <w:rPr>
                <w:rFonts w:hint="eastAsia" w:ascii="宋体" w:cs="Arial"/>
                <w:sz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项目名称</w:t>
            </w:r>
          </w:p>
        </w:tc>
        <w:tc>
          <w:tcPr>
            <w:tcW w:w="7619" w:type="dxa"/>
            <w:vAlign w:val="center"/>
          </w:tcPr>
          <w:p>
            <w:pPr>
              <w:rPr>
                <w:rFonts w:hint="eastAsia" w:ascii="宋体" w:eastAsiaTheme="minorEastAsia"/>
                <w:sz w:val="22"/>
                <w:highlight w:val="none"/>
                <w:lang w:eastAsia="zh-CN"/>
              </w:rPr>
            </w:pPr>
            <w:r>
              <w:rPr>
                <w:rFonts w:hint="eastAsia" w:ascii="宋体" w:hAnsi="宋体"/>
                <w:bCs/>
                <w:sz w:val="22"/>
                <w:szCs w:val="22"/>
                <w:highlight w:val="none"/>
                <w:lang w:eastAsia="zh-CN"/>
              </w:rPr>
              <w:t>2024年农村公路路况及桥梁自动化检测（二次）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sz w:val="22"/>
                <w:highlight w:val="none"/>
              </w:rPr>
            </w:pPr>
            <w:r>
              <w:rPr>
                <w:rFonts w:ascii="宋体"/>
                <w:sz w:val="22"/>
                <w:highlight w:val="none"/>
              </w:rPr>
              <w:t xml:space="preserve"> </w:t>
            </w:r>
          </w:p>
        </w:tc>
        <w:tc>
          <w:tcPr>
            <w:tcW w:w="1600" w:type="dxa"/>
            <w:vAlign w:val="center"/>
          </w:tcPr>
          <w:p>
            <w:pPr>
              <w:jc w:val="center"/>
              <w:rPr>
                <w:rFonts w:ascii="宋体"/>
                <w:sz w:val="22"/>
                <w:highlight w:val="none"/>
              </w:rPr>
            </w:pPr>
            <w:r>
              <w:rPr>
                <w:rFonts w:hint="eastAsia" w:ascii="宋体"/>
                <w:sz w:val="22"/>
                <w:highlight w:val="none"/>
              </w:rPr>
              <w:t>项目编号</w:t>
            </w:r>
          </w:p>
        </w:tc>
        <w:tc>
          <w:tcPr>
            <w:tcW w:w="7619" w:type="dxa"/>
            <w:vAlign w:val="center"/>
          </w:tcPr>
          <w:p>
            <w:pPr>
              <w:rPr>
                <w:rFonts w:hint="eastAsia" w:ascii="宋体" w:eastAsiaTheme="minorEastAsia"/>
                <w:sz w:val="22"/>
                <w:highlight w:val="none"/>
                <w:lang w:eastAsia="zh-CN"/>
              </w:rPr>
            </w:pPr>
            <w:r>
              <w:rPr>
                <w:rFonts w:hint="eastAsia" w:ascii="宋体"/>
                <w:sz w:val="22"/>
                <w:highlight w:val="none"/>
                <w:lang w:eastAsia="zh-CN"/>
              </w:rPr>
              <w:t xml:space="preserve">TSCG202405011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sz w:val="22"/>
                <w:highlight w:val="none"/>
              </w:rPr>
              <w:t>资金来源</w:t>
            </w:r>
          </w:p>
        </w:tc>
        <w:tc>
          <w:tcPr>
            <w:tcW w:w="7619" w:type="dxa"/>
            <w:vAlign w:val="center"/>
          </w:tcPr>
          <w:p>
            <w:pPr>
              <w:rPr>
                <w:rFonts w:ascii="宋体" w:cs="Arial"/>
                <w:sz w:val="22"/>
                <w:highlight w:val="none"/>
              </w:rPr>
            </w:pPr>
            <w:r>
              <w:rPr>
                <w:rFonts w:hint="eastAsia" w:ascii="宋体"/>
                <w:sz w:val="22"/>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sz w:val="22"/>
                <w:highlight w:val="none"/>
              </w:rPr>
            </w:pPr>
            <w:r>
              <w:rPr>
                <w:rFonts w:hint="eastAsia" w:ascii="宋体"/>
                <w:sz w:val="22"/>
                <w:highlight w:val="none"/>
              </w:rPr>
              <w:t>采购方式</w:t>
            </w:r>
          </w:p>
        </w:tc>
        <w:tc>
          <w:tcPr>
            <w:tcW w:w="7619" w:type="dxa"/>
            <w:vAlign w:val="center"/>
          </w:tcPr>
          <w:p>
            <w:pPr>
              <w:rPr>
                <w:rFonts w:ascii="宋体"/>
                <w:sz w:val="22"/>
                <w:highlight w:val="none"/>
              </w:rPr>
            </w:pPr>
            <w:r>
              <w:rPr>
                <w:rFonts w:hint="eastAsia" w:ascii="宋体"/>
                <w:sz w:val="22"/>
                <w:highlight w:val="none"/>
              </w:rPr>
              <w:t>竞争性磋商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sz w:val="22"/>
                <w:highlight w:val="none"/>
              </w:rPr>
            </w:pPr>
            <w:r>
              <w:rPr>
                <w:rFonts w:hint="eastAsia" w:ascii="宋体"/>
                <w:sz w:val="22"/>
                <w:highlight w:val="none"/>
              </w:rPr>
              <w:t>采购预算</w:t>
            </w:r>
          </w:p>
          <w:p>
            <w:pPr>
              <w:jc w:val="center"/>
              <w:rPr>
                <w:rFonts w:ascii="宋体"/>
                <w:sz w:val="22"/>
                <w:highlight w:val="none"/>
              </w:rPr>
            </w:pPr>
            <w:r>
              <w:rPr>
                <w:rFonts w:hint="eastAsia" w:ascii="宋体"/>
                <w:sz w:val="22"/>
                <w:highlight w:val="none"/>
              </w:rPr>
              <w:t>（最高限价）</w:t>
            </w:r>
          </w:p>
        </w:tc>
        <w:tc>
          <w:tcPr>
            <w:tcW w:w="7619" w:type="dxa"/>
            <w:vAlign w:val="center"/>
          </w:tcPr>
          <w:p>
            <w:pPr>
              <w:rPr>
                <w:rFonts w:ascii="宋体"/>
                <w:sz w:val="22"/>
                <w:highlight w:val="none"/>
              </w:rPr>
            </w:pPr>
            <w:r>
              <w:rPr>
                <w:rFonts w:hint="eastAsia" w:ascii="宋体" w:hAnsi="宋体"/>
                <w:bCs/>
                <w:kern w:val="0"/>
                <w:sz w:val="22"/>
                <w:highlight w:val="none"/>
                <w:lang w:val="en-US" w:eastAsia="zh-CN"/>
              </w:rPr>
              <w:t>722785元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ascii="宋体"/>
                <w:sz w:val="22"/>
                <w:highlight w:val="none"/>
              </w:rPr>
            </w:pPr>
            <w:r>
              <w:rPr>
                <w:rFonts w:hint="eastAsia" w:ascii="宋体"/>
                <w:sz w:val="22"/>
                <w:highlight w:val="none"/>
              </w:rPr>
              <w:t>采购单位</w:t>
            </w:r>
          </w:p>
        </w:tc>
        <w:tc>
          <w:tcPr>
            <w:tcW w:w="7619" w:type="dxa"/>
            <w:vAlign w:val="center"/>
          </w:tcPr>
          <w:p>
            <w:pPr>
              <w:pStyle w:val="45"/>
              <w:rPr>
                <w:rFonts w:ascii="宋体" w:hAnsi="宋体" w:eastAsiaTheme="minorEastAsia" w:cstheme="minorBidi"/>
                <w:bCs/>
                <w:sz w:val="22"/>
                <w:highlight w:val="none"/>
              </w:rPr>
            </w:pPr>
            <w:r>
              <w:rPr>
                <w:rFonts w:hint="eastAsia" w:ascii="宋体" w:hAnsi="宋体" w:eastAsiaTheme="minorEastAsia" w:cstheme="minorBidi"/>
                <w:bCs/>
                <w:sz w:val="22"/>
                <w:highlight w:val="none"/>
              </w:rPr>
              <w:t>名    称：泰顺县交通运输管理中心</w:t>
            </w:r>
          </w:p>
          <w:p>
            <w:pPr>
              <w:pStyle w:val="45"/>
              <w:rPr>
                <w:rFonts w:ascii="宋体" w:hAnsi="宋体" w:eastAsiaTheme="minorEastAsia" w:cstheme="minorBidi"/>
                <w:bCs/>
                <w:sz w:val="22"/>
                <w:highlight w:val="none"/>
              </w:rPr>
            </w:pPr>
            <w:r>
              <w:rPr>
                <w:rFonts w:hint="eastAsia" w:ascii="宋体" w:hAnsi="宋体" w:eastAsiaTheme="minorEastAsia" w:cstheme="minorBidi"/>
                <w:bCs/>
                <w:sz w:val="22"/>
                <w:highlight w:val="none"/>
              </w:rPr>
              <w:t>地　　址：泰顺县罗阳镇泰寿路55号</w:t>
            </w:r>
          </w:p>
          <w:p>
            <w:pPr>
              <w:pStyle w:val="45"/>
              <w:rPr>
                <w:rFonts w:ascii="宋体" w:hAnsi="宋体" w:eastAsiaTheme="minorEastAsia" w:cstheme="minorBidi"/>
                <w:bCs/>
                <w:sz w:val="22"/>
                <w:highlight w:val="none"/>
              </w:rPr>
            </w:pPr>
            <w:r>
              <w:rPr>
                <w:rFonts w:hint="eastAsia" w:ascii="宋体" w:hAnsi="宋体" w:eastAsiaTheme="minorEastAsia" w:cstheme="minorBidi"/>
                <w:bCs/>
                <w:sz w:val="22"/>
                <w:highlight w:val="none"/>
              </w:rPr>
              <w:t>项目联系人（询问）：庄孔旭</w:t>
            </w:r>
          </w:p>
          <w:p>
            <w:pPr>
              <w:pStyle w:val="45"/>
              <w:rPr>
                <w:rFonts w:hint="default" w:ascii="宋体" w:hAnsi="宋体" w:eastAsiaTheme="minorEastAsia" w:cstheme="minorBidi"/>
                <w:bCs/>
                <w:color w:val="auto"/>
                <w:sz w:val="22"/>
                <w:highlight w:val="none"/>
                <w:lang w:val="en-US" w:eastAsia="zh-CN"/>
              </w:rPr>
            </w:pPr>
            <w:r>
              <w:rPr>
                <w:rFonts w:hint="eastAsia" w:ascii="宋体" w:hAnsi="宋体" w:eastAsiaTheme="minorEastAsia" w:cstheme="minorBidi"/>
                <w:bCs/>
                <w:color w:val="auto"/>
                <w:sz w:val="22"/>
                <w:highlight w:val="none"/>
              </w:rPr>
              <w:t>项目联系方式（询问）：</w:t>
            </w:r>
            <w:r>
              <w:rPr>
                <w:rFonts w:hint="eastAsia" w:ascii="宋体" w:hAnsi="宋体" w:eastAsiaTheme="minorEastAsia" w:cstheme="minorBidi"/>
                <w:bCs/>
                <w:color w:val="auto"/>
                <w:sz w:val="22"/>
                <w:highlight w:val="none"/>
                <w:lang w:val="en-US" w:eastAsia="zh-CN"/>
              </w:rPr>
              <w:t>0577-59286715</w:t>
            </w:r>
          </w:p>
          <w:p>
            <w:pPr>
              <w:pStyle w:val="45"/>
              <w:rPr>
                <w:rFonts w:hint="eastAsia" w:ascii="宋体" w:hAnsi="宋体" w:eastAsiaTheme="minorEastAsia" w:cstheme="minorBidi"/>
                <w:bCs/>
                <w:color w:val="auto"/>
                <w:sz w:val="22"/>
                <w:highlight w:val="none"/>
                <w:lang w:eastAsia="zh-CN"/>
              </w:rPr>
            </w:pPr>
            <w:r>
              <w:rPr>
                <w:rFonts w:hint="eastAsia" w:ascii="宋体" w:hAnsi="宋体" w:eastAsiaTheme="minorEastAsia" w:cstheme="minorBidi"/>
                <w:bCs/>
                <w:color w:val="auto"/>
                <w:sz w:val="22"/>
                <w:highlight w:val="none"/>
              </w:rPr>
              <w:t>质疑联系人：</w:t>
            </w:r>
            <w:r>
              <w:rPr>
                <w:rFonts w:hint="eastAsia" w:ascii="宋体" w:hAnsi="宋体" w:eastAsiaTheme="minorEastAsia" w:cstheme="minorBidi"/>
                <w:bCs/>
                <w:color w:val="auto"/>
                <w:sz w:val="22"/>
                <w:highlight w:val="none"/>
                <w:lang w:eastAsia="zh-CN"/>
              </w:rPr>
              <w:t>夏克升</w:t>
            </w:r>
          </w:p>
          <w:p>
            <w:pPr>
              <w:pStyle w:val="45"/>
              <w:rPr>
                <w:rFonts w:ascii="宋体" w:hAnsi="宋体" w:eastAsiaTheme="minorEastAsia" w:cstheme="minorBidi"/>
                <w:bCs/>
                <w:sz w:val="22"/>
                <w:highlight w:val="none"/>
              </w:rPr>
            </w:pPr>
            <w:r>
              <w:rPr>
                <w:rFonts w:hint="eastAsia" w:ascii="宋体" w:hAnsi="宋体" w:eastAsiaTheme="minorEastAsia" w:cstheme="minorBidi"/>
                <w:bCs/>
                <w:color w:val="auto"/>
                <w:sz w:val="22"/>
                <w:highlight w:val="none"/>
              </w:rPr>
              <w:t>质疑联系方式：</w:t>
            </w:r>
            <w:r>
              <w:rPr>
                <w:rFonts w:hint="eastAsia" w:ascii="宋体" w:hAnsi="宋体" w:eastAsiaTheme="minorEastAsia" w:cstheme="minorBidi"/>
                <w:bCs/>
                <w:color w:val="auto"/>
                <w:sz w:val="22"/>
                <w:highlight w:val="none"/>
                <w:lang w:val="en-US" w:eastAsia="zh-CN"/>
              </w:rPr>
              <w:t>0577-59286715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sz w:val="22"/>
                <w:highlight w:val="none"/>
              </w:rPr>
            </w:pPr>
            <w:r>
              <w:rPr>
                <w:rFonts w:ascii="宋体"/>
                <w:sz w:val="22"/>
                <w:highlight w:val="none"/>
              </w:rPr>
              <w:t xml:space="preserve"> </w:t>
            </w:r>
          </w:p>
        </w:tc>
        <w:tc>
          <w:tcPr>
            <w:tcW w:w="1600" w:type="dxa"/>
            <w:vAlign w:val="center"/>
          </w:tcPr>
          <w:p>
            <w:pPr>
              <w:jc w:val="center"/>
              <w:rPr>
                <w:rFonts w:ascii="宋体"/>
                <w:sz w:val="22"/>
                <w:highlight w:val="none"/>
              </w:rPr>
            </w:pPr>
            <w:r>
              <w:rPr>
                <w:rFonts w:hint="eastAsia" w:ascii="宋体"/>
                <w:sz w:val="22"/>
                <w:highlight w:val="none"/>
              </w:rPr>
              <w:t>招标代理机构</w:t>
            </w:r>
          </w:p>
        </w:tc>
        <w:tc>
          <w:tcPr>
            <w:tcW w:w="7619" w:type="dxa"/>
            <w:vAlign w:val="center"/>
          </w:tcPr>
          <w:p>
            <w:pPr>
              <w:rPr>
                <w:rFonts w:ascii="宋体" w:hAnsi="宋体"/>
                <w:bCs/>
                <w:sz w:val="22"/>
                <w:szCs w:val="22"/>
                <w:highlight w:val="none"/>
              </w:rPr>
            </w:pPr>
            <w:r>
              <w:rPr>
                <w:rFonts w:hint="eastAsia" w:ascii="宋体" w:hAnsi="宋体"/>
                <w:bCs/>
                <w:sz w:val="22"/>
                <w:szCs w:val="22"/>
                <w:highlight w:val="none"/>
              </w:rPr>
              <w:t>名    称：浙江益诚工程咨询有限公司　　　　　　　　　　　　</w:t>
            </w:r>
          </w:p>
          <w:p>
            <w:pPr>
              <w:rPr>
                <w:rFonts w:ascii="宋体" w:hAnsi="宋体"/>
                <w:bCs/>
                <w:sz w:val="22"/>
                <w:szCs w:val="22"/>
                <w:highlight w:val="none"/>
              </w:rPr>
            </w:pPr>
            <w:r>
              <w:rPr>
                <w:rFonts w:hint="eastAsia" w:ascii="宋体" w:hAnsi="宋体"/>
                <w:bCs/>
                <w:sz w:val="22"/>
                <w:szCs w:val="22"/>
                <w:highlight w:val="none"/>
              </w:rPr>
              <w:t>项目联系人（询问）：张舒婷</w:t>
            </w:r>
          </w:p>
          <w:p>
            <w:pPr>
              <w:rPr>
                <w:rFonts w:ascii="宋体" w:hAnsi="宋体"/>
                <w:bCs/>
                <w:sz w:val="22"/>
                <w:szCs w:val="22"/>
                <w:highlight w:val="none"/>
              </w:rPr>
            </w:pPr>
            <w:r>
              <w:rPr>
                <w:rFonts w:hint="eastAsia" w:ascii="宋体" w:hAnsi="宋体"/>
                <w:bCs/>
                <w:sz w:val="22"/>
                <w:szCs w:val="22"/>
                <w:highlight w:val="none"/>
              </w:rPr>
              <w:t>项目联系方式（询问）：18757740004</w:t>
            </w:r>
          </w:p>
          <w:p>
            <w:pPr>
              <w:rPr>
                <w:rFonts w:ascii="宋体" w:hAnsi="宋体"/>
                <w:bCs/>
                <w:sz w:val="22"/>
                <w:szCs w:val="22"/>
                <w:highlight w:val="none"/>
              </w:rPr>
            </w:pPr>
            <w:r>
              <w:rPr>
                <w:rFonts w:hint="eastAsia" w:ascii="宋体" w:hAnsi="宋体"/>
                <w:bCs/>
                <w:sz w:val="22"/>
                <w:szCs w:val="22"/>
                <w:highlight w:val="none"/>
              </w:rPr>
              <w:t xml:space="preserve">质疑联系人：陈清清 </w:t>
            </w:r>
          </w:p>
          <w:p>
            <w:pPr>
              <w:rPr>
                <w:rFonts w:ascii="宋体" w:hAnsi="宋体"/>
                <w:bCs/>
                <w:sz w:val="22"/>
                <w:szCs w:val="22"/>
                <w:highlight w:val="none"/>
              </w:rPr>
            </w:pPr>
            <w:r>
              <w:rPr>
                <w:rFonts w:hint="eastAsia" w:ascii="宋体" w:hAnsi="宋体"/>
                <w:bCs/>
                <w:sz w:val="22"/>
                <w:szCs w:val="22"/>
                <w:highlight w:val="none"/>
              </w:rPr>
              <w:t>质疑联系方式：0577-67673919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sz w:val="22"/>
                <w:highlight w:val="none"/>
              </w:rPr>
            </w:pPr>
          </w:p>
        </w:tc>
        <w:tc>
          <w:tcPr>
            <w:tcW w:w="1600" w:type="dxa"/>
            <w:vAlign w:val="center"/>
          </w:tcPr>
          <w:p>
            <w:pPr>
              <w:jc w:val="center"/>
              <w:rPr>
                <w:rFonts w:ascii="宋体"/>
                <w:sz w:val="22"/>
                <w:highlight w:val="none"/>
              </w:rPr>
            </w:pPr>
            <w:r>
              <w:rPr>
                <w:rFonts w:hint="eastAsia" w:ascii="宋体"/>
                <w:sz w:val="22"/>
                <w:highlight w:val="none"/>
              </w:rPr>
              <w:t>同级政府采购监督管理部门</w:t>
            </w:r>
          </w:p>
        </w:tc>
        <w:tc>
          <w:tcPr>
            <w:tcW w:w="7619" w:type="dxa"/>
            <w:vAlign w:val="center"/>
          </w:tcPr>
          <w:p>
            <w:pPr>
              <w:rPr>
                <w:rFonts w:ascii="宋体" w:hAnsi="宋体"/>
                <w:bCs/>
                <w:sz w:val="22"/>
                <w:szCs w:val="22"/>
                <w:highlight w:val="none"/>
              </w:rPr>
            </w:pPr>
            <w:r>
              <w:rPr>
                <w:rFonts w:hint="eastAsia" w:ascii="宋体" w:hAnsi="宋体"/>
                <w:bCs/>
                <w:sz w:val="22"/>
                <w:szCs w:val="22"/>
                <w:highlight w:val="none"/>
              </w:rPr>
              <w:t>名    称：泰顺县财政局</w:t>
            </w:r>
          </w:p>
          <w:p>
            <w:pPr>
              <w:rPr>
                <w:rFonts w:ascii="宋体" w:hAnsi="宋体"/>
                <w:bCs/>
                <w:sz w:val="22"/>
                <w:szCs w:val="22"/>
                <w:highlight w:val="none"/>
              </w:rPr>
            </w:pPr>
            <w:r>
              <w:rPr>
                <w:rFonts w:hint="eastAsia" w:ascii="宋体" w:hAnsi="宋体"/>
                <w:bCs/>
                <w:sz w:val="22"/>
                <w:szCs w:val="22"/>
                <w:highlight w:val="none"/>
              </w:rPr>
              <w:t>联 系 人：董青</w:t>
            </w:r>
          </w:p>
          <w:p>
            <w:pPr>
              <w:rPr>
                <w:rFonts w:ascii="宋体" w:hAnsi="宋体"/>
                <w:bCs/>
                <w:sz w:val="22"/>
                <w:szCs w:val="22"/>
                <w:highlight w:val="none"/>
              </w:rPr>
            </w:pPr>
            <w:r>
              <w:rPr>
                <w:rFonts w:hint="eastAsia" w:ascii="宋体" w:hAnsi="宋体"/>
                <w:bCs/>
                <w:sz w:val="22"/>
                <w:szCs w:val="22"/>
                <w:highlight w:val="none"/>
              </w:rPr>
              <w:t>联系电话：0577-67588502</w:t>
            </w:r>
          </w:p>
          <w:p>
            <w:pPr>
              <w:rPr>
                <w:rFonts w:ascii="宋体" w:hAnsi="宋体"/>
                <w:bCs/>
                <w:sz w:val="22"/>
                <w:szCs w:val="22"/>
                <w:highlight w:val="none"/>
              </w:rPr>
            </w:pPr>
            <w:r>
              <w:rPr>
                <w:rFonts w:hint="eastAsia" w:ascii="宋体" w:hAnsi="宋体"/>
                <w:bCs/>
                <w:sz w:val="22"/>
                <w:szCs w:val="22"/>
                <w:highlight w:val="none"/>
              </w:rPr>
              <w:t>联系地址：温州市泰顺县罗阳镇公园路48号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right="105"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评标办法</w:t>
            </w:r>
          </w:p>
        </w:tc>
        <w:tc>
          <w:tcPr>
            <w:tcW w:w="7619" w:type="dxa"/>
            <w:vAlign w:val="center"/>
          </w:tcPr>
          <w:p>
            <w:pPr>
              <w:adjustRightInd w:val="0"/>
              <w:rPr>
                <w:rFonts w:ascii="宋体"/>
                <w:sz w:val="22"/>
                <w:highlight w:val="none"/>
              </w:rPr>
            </w:pPr>
            <w:r>
              <w:rPr>
                <w:rFonts w:hint="eastAsia" w:ascii="宋体"/>
                <w:sz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招标内容</w:t>
            </w:r>
          </w:p>
        </w:tc>
        <w:tc>
          <w:tcPr>
            <w:tcW w:w="7619" w:type="dxa"/>
            <w:vAlign w:val="center"/>
          </w:tcPr>
          <w:p>
            <w:pPr>
              <w:adjustRightInd w:val="0"/>
              <w:rPr>
                <w:rFonts w:ascii="宋体"/>
                <w:sz w:val="22"/>
                <w:highlight w:val="none"/>
              </w:rPr>
            </w:pPr>
            <w:r>
              <w:rPr>
                <w:rFonts w:hint="eastAsia" w:ascii="宋体"/>
                <w:sz w:val="22"/>
                <w:highlight w:val="none"/>
              </w:rPr>
              <w:t>具体内容见竞争性磋商文件。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6"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sz w:val="22"/>
                <w:highlight w:val="none"/>
              </w:rPr>
            </w:pPr>
            <w:r>
              <w:rPr>
                <w:rFonts w:hint="eastAsia" w:ascii="宋体"/>
                <w:sz w:val="22"/>
                <w:highlight w:val="none"/>
              </w:rPr>
              <w:t>投标供应商</w:t>
            </w:r>
          </w:p>
          <w:p>
            <w:pPr>
              <w:jc w:val="center"/>
              <w:rPr>
                <w:rFonts w:ascii="宋体"/>
                <w:sz w:val="22"/>
                <w:highlight w:val="none"/>
              </w:rPr>
            </w:pPr>
            <w:r>
              <w:rPr>
                <w:rFonts w:hint="eastAsia" w:ascii="宋体"/>
                <w:sz w:val="22"/>
                <w:highlight w:val="none"/>
              </w:rPr>
              <w:t>资格要求</w:t>
            </w:r>
          </w:p>
        </w:tc>
        <w:tc>
          <w:tcPr>
            <w:tcW w:w="7619" w:type="dxa"/>
            <w:vAlign w:val="center"/>
          </w:tcPr>
          <w:p>
            <w:pPr>
              <w:widowControl/>
              <w:spacing w:line="300" w:lineRule="auto"/>
              <w:rPr>
                <w:rFonts w:ascii="宋体" w:cs="宋体"/>
                <w:kern w:val="28"/>
                <w:sz w:val="22"/>
                <w:highlight w:val="none"/>
              </w:rPr>
            </w:pPr>
            <w:r>
              <w:rPr>
                <w:rFonts w:hint="eastAsia" w:ascii="宋体" w:cs="宋体"/>
                <w:kern w:val="28"/>
                <w:sz w:val="22"/>
                <w:highlight w:val="none"/>
              </w:rPr>
              <w:t>1、满足《中华人民共和国政府采购法》第二十二条规定；</w:t>
            </w:r>
          </w:p>
          <w:p>
            <w:pPr>
              <w:widowControl/>
              <w:spacing w:line="300" w:lineRule="auto"/>
              <w:rPr>
                <w:rFonts w:ascii="宋体" w:cs="宋体"/>
                <w:kern w:val="28"/>
                <w:sz w:val="22"/>
                <w:highlight w:val="none"/>
              </w:rPr>
            </w:pPr>
            <w:r>
              <w:rPr>
                <w:rFonts w:hint="eastAsia" w:ascii="宋体" w:cs="宋体"/>
                <w:kern w:val="28"/>
                <w:sz w:val="22"/>
                <w:highlight w:val="none"/>
              </w:rPr>
              <w:t>1.1具有独立承担民事责任的能力；</w:t>
            </w:r>
          </w:p>
          <w:p>
            <w:pPr>
              <w:widowControl/>
              <w:spacing w:line="300" w:lineRule="auto"/>
              <w:rPr>
                <w:rFonts w:ascii="宋体" w:cs="宋体"/>
                <w:kern w:val="28"/>
                <w:sz w:val="22"/>
                <w:highlight w:val="none"/>
              </w:rPr>
            </w:pPr>
            <w:r>
              <w:rPr>
                <w:rFonts w:hint="eastAsia" w:ascii="宋体" w:cs="宋体"/>
                <w:kern w:val="28"/>
                <w:sz w:val="22"/>
                <w:highlight w:val="none"/>
              </w:rPr>
              <w:t>1.2具有良好的商业信誉和健全的财务会计制度；</w:t>
            </w:r>
          </w:p>
          <w:p>
            <w:pPr>
              <w:widowControl/>
              <w:spacing w:line="300" w:lineRule="auto"/>
              <w:rPr>
                <w:rFonts w:ascii="宋体" w:cs="宋体"/>
                <w:kern w:val="28"/>
                <w:sz w:val="22"/>
                <w:highlight w:val="none"/>
              </w:rPr>
            </w:pPr>
            <w:r>
              <w:rPr>
                <w:rFonts w:hint="eastAsia" w:ascii="宋体" w:cs="宋体"/>
                <w:kern w:val="28"/>
                <w:sz w:val="22"/>
                <w:highlight w:val="none"/>
              </w:rPr>
              <w:t>1.3具有履行合同所必需的设备和专业技术能力；</w:t>
            </w:r>
          </w:p>
          <w:p>
            <w:pPr>
              <w:widowControl/>
              <w:spacing w:line="300" w:lineRule="auto"/>
              <w:rPr>
                <w:rFonts w:ascii="宋体" w:cs="宋体"/>
                <w:kern w:val="28"/>
                <w:sz w:val="22"/>
                <w:highlight w:val="none"/>
              </w:rPr>
            </w:pPr>
            <w:r>
              <w:rPr>
                <w:rFonts w:hint="eastAsia" w:ascii="宋体" w:cs="宋体"/>
                <w:kern w:val="28"/>
                <w:sz w:val="22"/>
                <w:highlight w:val="none"/>
              </w:rPr>
              <w:t>1.4有依法缴纳税收和社会保障资金的良好记录；</w:t>
            </w:r>
          </w:p>
          <w:p>
            <w:pPr>
              <w:widowControl/>
              <w:spacing w:line="300" w:lineRule="auto"/>
              <w:rPr>
                <w:rFonts w:ascii="宋体" w:cs="宋体"/>
                <w:kern w:val="28"/>
                <w:sz w:val="22"/>
                <w:highlight w:val="none"/>
              </w:rPr>
            </w:pPr>
            <w:r>
              <w:rPr>
                <w:rFonts w:hint="eastAsia" w:ascii="宋体" w:cs="宋体"/>
                <w:kern w:val="28"/>
                <w:sz w:val="22"/>
                <w:highlight w:val="none"/>
              </w:rPr>
              <w:t>1.5参加政府采购活动前三年内，在经营活动中没有重大违法记录；</w:t>
            </w:r>
          </w:p>
          <w:p>
            <w:pPr>
              <w:widowControl/>
              <w:spacing w:line="300" w:lineRule="auto"/>
              <w:rPr>
                <w:rFonts w:ascii="宋体" w:cs="宋体"/>
                <w:kern w:val="28"/>
                <w:sz w:val="22"/>
                <w:highlight w:val="none"/>
              </w:rPr>
            </w:pPr>
            <w:r>
              <w:rPr>
                <w:rFonts w:hint="eastAsia" w:ascii="宋体" w:cs="宋体"/>
                <w:kern w:val="28"/>
                <w:sz w:val="22"/>
                <w:highlight w:val="none"/>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widowControl/>
              <w:spacing w:line="300" w:lineRule="auto"/>
              <w:rPr>
                <w:rFonts w:ascii="宋体" w:cs="宋体"/>
                <w:kern w:val="28"/>
                <w:sz w:val="22"/>
                <w:highlight w:val="none"/>
              </w:rPr>
            </w:pPr>
            <w:r>
              <w:rPr>
                <w:rFonts w:hint="eastAsia" w:ascii="宋体" w:cs="宋体"/>
                <w:kern w:val="28"/>
                <w:sz w:val="22"/>
                <w:highlight w:val="none"/>
              </w:rPr>
              <w:t>3、本项目谢绝联合体投标，不允许转包和分包；</w:t>
            </w:r>
          </w:p>
          <w:p>
            <w:pPr>
              <w:widowControl/>
              <w:spacing w:line="300" w:lineRule="auto"/>
              <w:rPr>
                <w:rFonts w:ascii="宋体" w:cs="宋体"/>
                <w:kern w:val="28"/>
                <w:sz w:val="22"/>
                <w:highlight w:val="none"/>
              </w:rPr>
            </w:pPr>
            <w:r>
              <w:rPr>
                <w:rFonts w:hint="eastAsia" w:ascii="宋体" w:cs="宋体"/>
                <w:kern w:val="28"/>
                <w:sz w:val="22"/>
                <w:highlight w:val="none"/>
              </w:rPr>
              <w:t>4、法律、行政法规规定的其他条件。</w:t>
            </w:r>
          </w:p>
          <w:p>
            <w:pPr>
              <w:widowControl/>
              <w:spacing w:line="300" w:lineRule="auto"/>
              <w:rPr>
                <w:rFonts w:ascii="宋体" w:cs="宋体"/>
                <w:kern w:val="28"/>
                <w:sz w:val="22"/>
                <w:highlight w:val="none"/>
              </w:rPr>
            </w:pPr>
            <w:r>
              <w:rPr>
                <w:rFonts w:hint="eastAsia" w:ascii="宋体" w:cs="宋体"/>
                <w:kern w:val="28"/>
                <w:sz w:val="22"/>
                <w:highlight w:val="none"/>
              </w:rPr>
              <w:t>5、</w:t>
            </w:r>
            <w:r>
              <w:rPr>
                <w:rFonts w:hint="eastAsia" w:ascii="宋体" w:cs="宋体"/>
                <w:b/>
                <w:bCs/>
                <w:kern w:val="28"/>
                <w:sz w:val="22"/>
                <w:highlight w:val="none"/>
              </w:rPr>
              <w:t>特定资格条件：投标单位需具有交通主管部门颁发的公路工程试验检测综合甲级资质证书（独立法人单位下属的非独立法人具有检测资质的，视为该独立法人单位具有相应资质）；并取得省级及以上质量技术监督部门颁发的计量认证(CMA认证)证书且认证参数中包含拟承担的实体检测项目（证书范围须包含平整度、公路路面损坏和桥梁试验检测的相关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hint="eastAsia" w:ascii="宋体"/>
                <w:sz w:val="22"/>
                <w:highlight w:val="none"/>
                <w:lang w:eastAsia="zh-CN"/>
              </w:rPr>
            </w:pPr>
            <w:r>
              <w:rPr>
                <w:rFonts w:hint="eastAsia" w:ascii="宋体"/>
                <w:sz w:val="22"/>
              </w:rPr>
              <w:t>落实政府采购政策需满足的资格要求</w:t>
            </w:r>
          </w:p>
        </w:tc>
        <w:tc>
          <w:tcPr>
            <w:tcW w:w="7619" w:type="dxa"/>
            <w:vAlign w:val="center"/>
          </w:tcPr>
          <w:p>
            <w:pPr>
              <w:widowControl/>
              <w:rPr>
                <w:rFonts w:hint="eastAsia" w:ascii="宋体" w:eastAsiaTheme="minorEastAsia"/>
                <w:sz w:val="22"/>
                <w:highlight w:val="none"/>
                <w:lang w:eastAsia="zh-CN"/>
              </w:rPr>
            </w:pPr>
            <w:r>
              <w:rPr>
                <w:rFonts w:hint="eastAsia" w:ascii="宋体" w:cs="宋体"/>
                <w:kern w:val="28"/>
                <w:sz w:val="22"/>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hint="eastAsia" w:ascii="宋体"/>
                <w:sz w:val="22"/>
                <w:highlight w:val="none"/>
              </w:rPr>
            </w:pPr>
            <w:r>
              <w:rPr>
                <w:rFonts w:hint="eastAsia" w:ascii="宋体"/>
                <w:sz w:val="22"/>
                <w:highlight w:val="none"/>
              </w:rPr>
              <w:t>是否接受联合体投标</w:t>
            </w:r>
          </w:p>
        </w:tc>
        <w:tc>
          <w:tcPr>
            <w:tcW w:w="7619" w:type="dxa"/>
            <w:vAlign w:val="center"/>
          </w:tcPr>
          <w:p>
            <w:pPr>
              <w:adjustRightInd w:val="0"/>
              <w:rPr>
                <w:rFonts w:ascii="宋体"/>
                <w:sz w:val="22"/>
                <w:highlight w:val="none"/>
              </w:rPr>
            </w:pPr>
            <w:r>
              <w:rPr>
                <w:rFonts w:ascii="宋体"/>
                <w:sz w:val="22"/>
                <w:highlight w:val="none"/>
              </w:rPr>
              <w:fldChar w:fldCharType="begin"/>
            </w:r>
            <w:r>
              <w:rPr>
                <w:rFonts w:ascii="宋体"/>
                <w:sz w:val="22"/>
                <w:highlight w:val="none"/>
              </w:rPr>
              <w:instrText xml:space="preserve"> eq \o\ac(</w:instrText>
            </w:r>
            <w:r>
              <w:rPr>
                <w:rFonts w:hint="eastAsia" w:ascii="宋体"/>
                <w:sz w:val="22"/>
                <w:highlight w:val="none"/>
              </w:rPr>
              <w:instrText xml:space="preserve">□,√</w:instrText>
            </w:r>
            <w:r>
              <w:rPr>
                <w:rFonts w:ascii="宋体"/>
                <w:sz w:val="22"/>
                <w:highlight w:val="none"/>
              </w:rPr>
              <w:instrText xml:space="preserve">)</w:instrText>
            </w:r>
            <w:r>
              <w:rPr>
                <w:rFonts w:ascii="宋体"/>
                <w:sz w:val="22"/>
                <w:highlight w:val="none"/>
              </w:rPr>
              <w:fldChar w:fldCharType="end"/>
            </w:r>
            <w:r>
              <w:rPr>
                <w:rFonts w:hint="eastAsia" w:ascii="宋体"/>
                <w:sz w:val="22"/>
                <w:highlight w:val="none"/>
              </w:rPr>
              <w:t>不接受</w:t>
            </w:r>
          </w:p>
          <w:p>
            <w:pPr>
              <w:adjustRightInd w:val="0"/>
              <w:rPr>
                <w:rFonts w:ascii="宋体"/>
                <w:sz w:val="22"/>
                <w:highlight w:val="none"/>
              </w:rPr>
            </w:pPr>
            <w:r>
              <w:rPr>
                <w:rFonts w:ascii="宋体"/>
                <w:sz w:val="22"/>
                <w:highlight w:val="none"/>
              </w:rPr>
              <w:fldChar w:fldCharType="begin"/>
            </w:r>
            <w:r>
              <w:rPr>
                <w:rFonts w:ascii="宋体"/>
                <w:sz w:val="22"/>
                <w:highlight w:val="none"/>
              </w:rPr>
              <w:instrText xml:space="preserve"> eq \o\ac(</w:instrText>
            </w:r>
            <w:r>
              <w:rPr>
                <w:rFonts w:hint="eastAsia" w:ascii="宋体"/>
                <w:sz w:val="22"/>
                <w:highlight w:val="none"/>
              </w:rPr>
              <w:instrText xml:space="preserve">□</w:instrText>
            </w:r>
            <w:r>
              <w:rPr>
                <w:rFonts w:ascii="宋体"/>
                <w:sz w:val="22"/>
                <w:highlight w:val="none"/>
              </w:rPr>
              <w:instrText xml:space="preserve">)</w:instrText>
            </w:r>
            <w:r>
              <w:rPr>
                <w:rFonts w:ascii="宋体"/>
                <w:sz w:val="22"/>
                <w:highlight w:val="none"/>
              </w:rPr>
              <w:fldChar w:fldCharType="end"/>
            </w:r>
            <w:r>
              <w:rPr>
                <w:rFonts w:hint="eastAsia" w:ascii="宋体"/>
                <w:sz w:val="22"/>
                <w:highlight w:val="none"/>
              </w:rPr>
              <w:t>接受</w:t>
            </w:r>
            <w:r>
              <w:rPr>
                <w:rFonts w:ascii="宋体"/>
                <w:sz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hint="eastAsia" w:ascii="宋体"/>
                <w:sz w:val="22"/>
                <w:highlight w:val="none"/>
              </w:rPr>
            </w:pPr>
            <w:r>
              <w:rPr>
                <w:rFonts w:hint="eastAsia" w:ascii="宋体"/>
                <w:sz w:val="22"/>
                <w:highlight w:val="none"/>
              </w:rPr>
              <w:t>踏勘现场</w:t>
            </w:r>
          </w:p>
        </w:tc>
        <w:tc>
          <w:tcPr>
            <w:tcW w:w="7619" w:type="dxa"/>
            <w:vAlign w:val="center"/>
          </w:tcPr>
          <w:p>
            <w:pPr>
              <w:adjustRightInd w:val="0"/>
              <w:rPr>
                <w:rFonts w:ascii="宋体"/>
                <w:sz w:val="22"/>
                <w:highlight w:val="none"/>
              </w:rPr>
            </w:pPr>
            <w:r>
              <w:rPr>
                <w:rFonts w:ascii="宋体"/>
                <w:sz w:val="22"/>
                <w:highlight w:val="none"/>
              </w:rPr>
              <w:fldChar w:fldCharType="begin"/>
            </w:r>
            <w:r>
              <w:rPr>
                <w:rFonts w:ascii="宋体"/>
                <w:sz w:val="22"/>
                <w:highlight w:val="none"/>
              </w:rPr>
              <w:instrText xml:space="preserve"> eq \o\ac(</w:instrText>
            </w:r>
            <w:r>
              <w:rPr>
                <w:rFonts w:hint="eastAsia" w:ascii="宋体"/>
                <w:sz w:val="22"/>
                <w:highlight w:val="none"/>
              </w:rPr>
              <w:instrText xml:space="preserve">□</w:instrText>
            </w:r>
            <w:r>
              <w:rPr>
                <w:rFonts w:ascii="宋体"/>
                <w:sz w:val="22"/>
                <w:highlight w:val="none"/>
              </w:rPr>
              <w:instrText xml:space="preserve">,</w:instrText>
            </w:r>
            <w:r>
              <w:rPr>
                <w:rFonts w:hint="eastAsia" w:ascii="宋体"/>
                <w:sz w:val="22"/>
                <w:highlight w:val="none"/>
              </w:rPr>
              <w:instrText xml:space="preserve">√</w:instrText>
            </w:r>
            <w:r>
              <w:rPr>
                <w:rFonts w:ascii="宋体"/>
                <w:sz w:val="22"/>
                <w:highlight w:val="none"/>
              </w:rPr>
              <w:instrText xml:space="preserve">)</w:instrText>
            </w:r>
            <w:r>
              <w:rPr>
                <w:rFonts w:ascii="宋体"/>
                <w:sz w:val="22"/>
                <w:highlight w:val="none"/>
              </w:rPr>
              <w:fldChar w:fldCharType="end"/>
            </w:r>
            <w:r>
              <w:rPr>
                <w:rFonts w:hint="eastAsia" w:ascii="宋体"/>
                <w:sz w:val="22"/>
                <w:highlight w:val="none"/>
              </w:rPr>
              <w:t>不组织</w:t>
            </w:r>
          </w:p>
          <w:p>
            <w:pPr>
              <w:adjustRightInd w:val="0"/>
              <w:rPr>
                <w:rFonts w:ascii="宋体"/>
                <w:sz w:val="22"/>
                <w:highlight w:val="none"/>
              </w:rPr>
            </w:pPr>
            <w:r>
              <w:rPr>
                <w:rFonts w:hint="eastAsia" w:ascii="宋体"/>
                <w:sz w:val="22"/>
                <w:highlight w:val="none"/>
              </w:rPr>
              <w:t>□组织</w:t>
            </w:r>
            <w:r>
              <w:rPr>
                <w:rFonts w:ascii="宋体"/>
                <w:sz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hint="eastAsia" w:ascii="宋体"/>
                <w:sz w:val="22"/>
                <w:highlight w:val="none"/>
              </w:rPr>
            </w:pPr>
            <w:r>
              <w:rPr>
                <w:rFonts w:hint="eastAsia" w:ascii="宋体"/>
                <w:sz w:val="22"/>
                <w:highlight w:val="none"/>
              </w:rPr>
              <w:t>是否允许递交备选投标方案</w:t>
            </w:r>
          </w:p>
        </w:tc>
        <w:tc>
          <w:tcPr>
            <w:tcW w:w="7619" w:type="dxa"/>
            <w:vAlign w:val="center"/>
          </w:tcPr>
          <w:p>
            <w:pPr>
              <w:adjustRightInd w:val="0"/>
              <w:rPr>
                <w:rFonts w:ascii="宋体"/>
                <w:sz w:val="22"/>
                <w:highlight w:val="none"/>
              </w:rPr>
            </w:pPr>
            <w:r>
              <w:rPr>
                <w:rFonts w:ascii="宋体"/>
                <w:sz w:val="22"/>
                <w:highlight w:val="none"/>
              </w:rPr>
              <w:fldChar w:fldCharType="begin"/>
            </w:r>
            <w:r>
              <w:rPr>
                <w:rFonts w:ascii="宋体"/>
                <w:sz w:val="22"/>
                <w:highlight w:val="none"/>
              </w:rPr>
              <w:instrText xml:space="preserve"> eq \o\ac(</w:instrText>
            </w:r>
            <w:r>
              <w:rPr>
                <w:rFonts w:hint="eastAsia" w:ascii="宋体"/>
                <w:sz w:val="22"/>
                <w:highlight w:val="none"/>
              </w:rPr>
              <w:instrText xml:space="preserve">□</w:instrText>
            </w:r>
            <w:r>
              <w:rPr>
                <w:rFonts w:ascii="宋体"/>
                <w:sz w:val="22"/>
                <w:highlight w:val="none"/>
              </w:rPr>
              <w:instrText xml:space="preserve">,</w:instrText>
            </w:r>
            <w:r>
              <w:rPr>
                <w:rFonts w:hint="eastAsia" w:ascii="宋体"/>
                <w:sz w:val="22"/>
                <w:highlight w:val="none"/>
              </w:rPr>
              <w:instrText xml:space="preserve">√</w:instrText>
            </w:r>
            <w:r>
              <w:rPr>
                <w:rFonts w:ascii="宋体"/>
                <w:sz w:val="22"/>
                <w:highlight w:val="none"/>
              </w:rPr>
              <w:instrText xml:space="preserve">)</w:instrText>
            </w:r>
            <w:r>
              <w:rPr>
                <w:rFonts w:ascii="宋体"/>
                <w:sz w:val="22"/>
                <w:highlight w:val="none"/>
              </w:rPr>
              <w:fldChar w:fldCharType="end"/>
            </w:r>
            <w:r>
              <w:rPr>
                <w:rFonts w:ascii="宋体"/>
                <w:sz w:val="22"/>
                <w:highlight w:val="none"/>
              </w:rPr>
              <w:t xml:space="preserve"> </w:t>
            </w:r>
            <w:r>
              <w:rPr>
                <w:rFonts w:hint="eastAsia" w:ascii="宋体"/>
                <w:sz w:val="22"/>
                <w:highlight w:val="none"/>
              </w:rPr>
              <w:t>不允许</w:t>
            </w:r>
          </w:p>
          <w:p>
            <w:pPr>
              <w:adjustRightInd w:val="0"/>
              <w:rPr>
                <w:rFonts w:ascii="宋体" w:cs="??_GB2312"/>
                <w:sz w:val="22"/>
                <w:highlight w:val="none"/>
              </w:rPr>
            </w:pPr>
            <w:r>
              <w:rPr>
                <w:rFonts w:hint="eastAsia" w:ascii="宋体"/>
                <w:sz w:val="22"/>
                <w:highlight w:val="none"/>
              </w:rPr>
              <w:t>□</w:t>
            </w:r>
            <w:r>
              <w:rPr>
                <w:rFonts w:ascii="宋体"/>
                <w:sz w:val="22"/>
                <w:highlight w:val="none"/>
              </w:rPr>
              <w:t xml:space="preserve"> </w:t>
            </w:r>
            <w:r>
              <w:rPr>
                <w:rFonts w:hint="eastAsia" w:ascii="宋体"/>
                <w:sz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hint="eastAsia" w:ascii="宋体"/>
                <w:sz w:val="22"/>
                <w:highlight w:val="none"/>
              </w:rPr>
            </w:pPr>
            <w:r>
              <w:rPr>
                <w:rFonts w:hint="eastAsia" w:ascii="宋体"/>
                <w:sz w:val="22"/>
                <w:highlight w:val="none"/>
              </w:rPr>
              <w:t>投标货币</w:t>
            </w:r>
          </w:p>
        </w:tc>
        <w:tc>
          <w:tcPr>
            <w:tcW w:w="7619" w:type="dxa"/>
            <w:vAlign w:val="center"/>
          </w:tcPr>
          <w:p>
            <w:pPr>
              <w:adjustRightInd w:val="0"/>
              <w:rPr>
                <w:rFonts w:ascii="宋体"/>
                <w:sz w:val="22"/>
                <w:highlight w:val="none"/>
              </w:rPr>
            </w:pPr>
            <w:r>
              <w:rPr>
                <w:rFonts w:hint="eastAsia" w:ascii="宋体"/>
                <w:sz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hint="eastAsia" w:ascii="宋体"/>
                <w:sz w:val="22"/>
                <w:highlight w:val="none"/>
              </w:rPr>
            </w:pPr>
            <w:r>
              <w:rPr>
                <w:rFonts w:hint="eastAsia" w:ascii="宋体"/>
                <w:sz w:val="22"/>
                <w:highlight w:val="none"/>
              </w:rPr>
              <w:t>投标语言</w:t>
            </w:r>
          </w:p>
        </w:tc>
        <w:tc>
          <w:tcPr>
            <w:tcW w:w="7619" w:type="dxa"/>
            <w:vAlign w:val="center"/>
          </w:tcPr>
          <w:p>
            <w:pPr>
              <w:adjustRightInd w:val="0"/>
              <w:rPr>
                <w:rFonts w:ascii="宋体"/>
                <w:sz w:val="22"/>
                <w:highlight w:val="none"/>
              </w:rPr>
            </w:pPr>
            <w:r>
              <w:rPr>
                <w:rFonts w:hint="eastAsia" w:ascii="宋体"/>
                <w:sz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b/>
                <w:bCs/>
                <w:sz w:val="22"/>
                <w:szCs w:val="22"/>
                <w:highlight w:val="none"/>
                <w:lang w:val="zh-CN"/>
              </w:rPr>
              <w:t>投标文件</w:t>
            </w:r>
            <w:r>
              <w:rPr>
                <w:rFonts w:hint="eastAsia"/>
                <w:b/>
                <w:bCs/>
                <w:sz w:val="22"/>
                <w:szCs w:val="22"/>
                <w:highlight w:val="none"/>
              </w:rPr>
              <w:t>说明</w:t>
            </w:r>
          </w:p>
        </w:tc>
        <w:tc>
          <w:tcPr>
            <w:tcW w:w="7619" w:type="dxa"/>
            <w:vAlign w:val="center"/>
          </w:tcPr>
          <w:p>
            <w:pPr>
              <w:autoSpaceDE w:val="0"/>
              <w:autoSpaceDN w:val="0"/>
              <w:adjustRightInd w:val="0"/>
              <w:jc w:val="left"/>
              <w:rPr>
                <w:rFonts w:ascii="宋体" w:hAnsi="宋体" w:eastAsia="宋体" w:cs="宋体"/>
                <w:sz w:val="22"/>
                <w:highlight w:val="none"/>
                <w:lang w:val="zh-CN"/>
              </w:rPr>
            </w:pPr>
            <w:r>
              <w:rPr>
                <w:rFonts w:ascii="宋体" w:hAnsi="宋体" w:eastAsia="宋体" w:cs="宋体"/>
                <w:sz w:val="22"/>
                <w:highlight w:val="none"/>
                <w:lang w:val="zh-CN"/>
              </w:rPr>
              <w:t>1、</w:t>
            </w:r>
            <w:r>
              <w:rPr>
                <w:rFonts w:ascii="宋体" w:hAnsi="宋体" w:eastAsia="宋体" w:cs="宋体"/>
                <w:b/>
                <w:bCs/>
                <w:sz w:val="22"/>
                <w:highlight w:val="none"/>
                <w:lang w:val="zh-CN"/>
              </w:rPr>
              <w:t>投标文件组成：</w:t>
            </w:r>
            <w:r>
              <w:rPr>
                <w:rFonts w:ascii="宋体" w:hAnsi="宋体" w:eastAsia="宋体" w:cs="宋体"/>
                <w:sz w:val="22"/>
                <w:highlight w:val="none"/>
                <w:lang w:val="zh-CN"/>
              </w:rPr>
              <w:t>《资格文件》及《商务技术文件》和《报价文件》。</w:t>
            </w:r>
          </w:p>
          <w:p>
            <w:pPr>
              <w:rPr>
                <w:rFonts w:ascii="宋体" w:hAnsi="宋体" w:eastAsia="宋体" w:cs="宋体"/>
                <w:sz w:val="22"/>
                <w:highlight w:val="none"/>
              </w:rPr>
            </w:pPr>
            <w:r>
              <w:rPr>
                <w:rFonts w:ascii="宋体" w:hAnsi="宋体" w:eastAsia="宋体" w:cs="宋体"/>
                <w:sz w:val="22"/>
                <w:highlight w:val="none"/>
              </w:rPr>
              <w:t>2、</w:t>
            </w:r>
            <w:r>
              <w:rPr>
                <w:rFonts w:ascii="宋体" w:hAnsi="宋体" w:eastAsia="宋体" w:cs="宋体"/>
                <w:b/>
                <w:bCs/>
                <w:sz w:val="22"/>
                <w:highlight w:val="none"/>
              </w:rPr>
              <w:t>投标文件编制：</w:t>
            </w:r>
            <w:r>
              <w:rPr>
                <w:rFonts w:ascii="宋体" w:hAnsi="宋体" w:eastAsia="宋体" w:cs="宋体"/>
                <w:sz w:val="22"/>
                <w:highlight w:val="none"/>
              </w:rPr>
              <w:t>供应商应先安装“政采云电子交易客户端”，并按照本采购文件和“政府采购云平台”的要求，通过“政采云电子交易客户端”编制并加密投标文件。</w:t>
            </w:r>
          </w:p>
          <w:p>
            <w:pPr>
              <w:rPr>
                <w:rFonts w:ascii="宋体" w:hAnsi="宋体" w:eastAsia="宋体" w:cs="宋体"/>
                <w:sz w:val="22"/>
                <w:highlight w:val="none"/>
              </w:rPr>
            </w:pPr>
            <w:r>
              <w:rPr>
                <w:rFonts w:ascii="宋体" w:hAnsi="宋体" w:eastAsia="宋体" w:cs="宋体"/>
                <w:sz w:val="22"/>
                <w:highlight w:val="none"/>
              </w:rPr>
              <w:t>3、</w:t>
            </w:r>
            <w:r>
              <w:rPr>
                <w:rFonts w:ascii="宋体" w:hAnsi="宋体" w:eastAsia="宋体" w:cs="宋体"/>
                <w:b/>
                <w:bCs/>
                <w:sz w:val="22"/>
                <w:highlight w:val="none"/>
              </w:rPr>
              <w:t>投标文件的签章：</w:t>
            </w:r>
            <w:r>
              <w:rPr>
                <w:rFonts w:ascii="宋体" w:hAnsi="宋体" w:eastAsia="宋体" w:cs="宋体"/>
                <w:sz w:val="22"/>
                <w:highlight w:val="none"/>
              </w:rPr>
              <w:t>电子签章。</w:t>
            </w:r>
          </w:p>
          <w:p>
            <w:pPr>
              <w:rPr>
                <w:rFonts w:ascii="宋体" w:hAnsi="宋体" w:eastAsia="宋体" w:cs="宋体"/>
                <w:sz w:val="22"/>
                <w:highlight w:val="none"/>
              </w:rPr>
            </w:pPr>
            <w:r>
              <w:rPr>
                <w:rFonts w:ascii="宋体" w:hAnsi="宋体" w:eastAsia="宋体" w:cs="宋体"/>
                <w:sz w:val="22"/>
                <w:highlight w:val="none"/>
              </w:rPr>
              <w:t>4、</w:t>
            </w:r>
            <w:r>
              <w:rPr>
                <w:rFonts w:ascii="宋体" w:hAnsi="宋体" w:eastAsia="宋体" w:cs="宋体"/>
                <w:b/>
                <w:bCs/>
                <w:sz w:val="22"/>
                <w:highlight w:val="none"/>
              </w:rPr>
              <w:t>投标文件的形式：</w:t>
            </w:r>
            <w:r>
              <w:rPr>
                <w:rFonts w:ascii="Segoe UI Symbol" w:hAnsi="Segoe UI Symbol" w:eastAsia="宋体" w:cs="Segoe UI Symbol"/>
                <w:sz w:val="22"/>
                <w:highlight w:val="none"/>
              </w:rPr>
              <w:t>☑</w:t>
            </w:r>
            <w:r>
              <w:rPr>
                <w:rFonts w:ascii="宋体" w:hAnsi="宋体" w:eastAsia="宋体" w:cs="宋体"/>
                <w:sz w:val="22"/>
                <w:highlight w:val="none"/>
              </w:rPr>
              <w:t>电子投标文件（包括“电子加密投标文件”）；</w:t>
            </w:r>
          </w:p>
          <w:p>
            <w:pPr>
              <w:rPr>
                <w:rFonts w:ascii="宋体" w:hAnsi="宋体" w:eastAsia="宋体" w:cs="宋体"/>
                <w:sz w:val="22"/>
                <w:highlight w:val="none"/>
              </w:rPr>
            </w:pPr>
            <w:r>
              <w:rPr>
                <w:rFonts w:ascii="宋体" w:hAnsi="宋体" w:eastAsia="宋体" w:cs="宋体"/>
                <w:sz w:val="22"/>
                <w:highlight w:val="none"/>
              </w:rPr>
              <w:t>“电子加密投标文件”是指通过“政采云电子交易客户端”完成投标文件编制后生成并加密的数据电文形式的投标文件。</w:t>
            </w:r>
          </w:p>
          <w:p>
            <w:pPr>
              <w:autoSpaceDE w:val="0"/>
              <w:autoSpaceDN w:val="0"/>
              <w:adjustRightInd w:val="0"/>
              <w:jc w:val="left"/>
              <w:rPr>
                <w:rFonts w:ascii="宋体" w:hAnsi="宋体" w:eastAsia="宋体" w:cs="宋体"/>
                <w:sz w:val="22"/>
                <w:highlight w:val="none"/>
              </w:rPr>
            </w:pPr>
            <w:r>
              <w:rPr>
                <w:rFonts w:ascii="宋体" w:hAnsi="宋体" w:eastAsia="宋体" w:cs="宋体"/>
                <w:sz w:val="22"/>
                <w:highlight w:val="none"/>
              </w:rPr>
              <w:t>5、</w:t>
            </w:r>
            <w:r>
              <w:rPr>
                <w:rFonts w:ascii="宋体" w:hAnsi="宋体" w:eastAsia="宋体" w:cs="宋体"/>
                <w:b/>
                <w:bCs/>
                <w:sz w:val="22"/>
                <w:highlight w:val="none"/>
              </w:rPr>
              <w:t>投标文件份数：</w:t>
            </w:r>
            <w:r>
              <w:rPr>
                <w:rFonts w:ascii="宋体" w:hAnsi="宋体" w:eastAsia="宋体" w:cs="宋体"/>
                <w:sz w:val="22"/>
                <w:highlight w:val="none"/>
              </w:rPr>
              <w:t>“电子加密投标文件”：在线上传递交。</w:t>
            </w:r>
          </w:p>
          <w:p>
            <w:pPr>
              <w:rPr>
                <w:rFonts w:ascii="宋体" w:hAnsi="宋体" w:eastAsia="宋体" w:cs="宋体"/>
                <w:b/>
                <w:bCs/>
                <w:sz w:val="22"/>
                <w:highlight w:val="none"/>
              </w:rPr>
            </w:pPr>
            <w:r>
              <w:rPr>
                <w:rFonts w:ascii="宋体" w:hAnsi="宋体" w:eastAsia="宋体" w:cs="宋体"/>
                <w:sz w:val="22"/>
                <w:highlight w:val="none"/>
              </w:rPr>
              <w:t>6、</w:t>
            </w:r>
            <w:r>
              <w:rPr>
                <w:rFonts w:ascii="宋体" w:hAnsi="宋体" w:eastAsia="宋体" w:cs="宋体"/>
                <w:b/>
                <w:bCs/>
                <w:sz w:val="22"/>
                <w:highlight w:val="none"/>
              </w:rPr>
              <w:t>投标文件的上传和递交：</w:t>
            </w:r>
          </w:p>
          <w:p>
            <w:pPr>
              <w:rPr>
                <w:rFonts w:ascii="宋体" w:hAnsi="宋体" w:eastAsia="宋体" w:cs="宋体"/>
                <w:sz w:val="22"/>
                <w:highlight w:val="none"/>
              </w:rPr>
            </w:pPr>
            <w:r>
              <w:rPr>
                <w:rFonts w:ascii="宋体" w:hAnsi="宋体" w:eastAsia="宋体" w:cs="宋体"/>
                <w:sz w:val="22"/>
                <w:highlight w:val="none"/>
              </w:rPr>
              <w:t>“电子加密投标文件”的上传、递交：</w:t>
            </w:r>
          </w:p>
          <w:p>
            <w:pPr>
              <w:rPr>
                <w:rFonts w:ascii="宋体" w:hAnsi="宋体" w:eastAsia="宋体" w:cs="宋体"/>
                <w:sz w:val="22"/>
                <w:highlight w:val="none"/>
              </w:rPr>
            </w:pPr>
            <w:r>
              <w:rPr>
                <w:rFonts w:ascii="宋体" w:hAnsi="宋体" w:eastAsia="宋体" w:cs="宋体"/>
                <w:sz w:val="22"/>
                <w:highlight w:val="none"/>
              </w:rPr>
              <w:t>a.供应商应在投标截止时间前将“电子加密投标文件”成功上传递交至“政府采购云平台”，否则投标无效。</w:t>
            </w:r>
          </w:p>
          <w:p>
            <w:pPr>
              <w:rPr>
                <w:rFonts w:ascii="宋体" w:hAnsi="宋体" w:eastAsia="宋体" w:cs="宋体"/>
                <w:sz w:val="22"/>
                <w:highlight w:val="none"/>
              </w:rPr>
            </w:pPr>
            <w:r>
              <w:rPr>
                <w:rFonts w:ascii="宋体" w:hAnsi="宋体" w:eastAsia="宋体" w:cs="宋体"/>
                <w:sz w:val="22"/>
                <w:highlight w:val="none"/>
              </w:rPr>
              <w:t>b.“电子加密投标文件”成功上传递交后，供应商可自行打印投标文件接收回执。</w:t>
            </w:r>
          </w:p>
          <w:p>
            <w:pPr>
              <w:rPr>
                <w:rFonts w:ascii="宋体" w:hAnsi="宋体" w:eastAsia="宋体" w:cs="宋体"/>
                <w:b/>
                <w:bCs/>
                <w:sz w:val="22"/>
                <w:highlight w:val="none"/>
              </w:rPr>
            </w:pPr>
            <w:r>
              <w:rPr>
                <w:rFonts w:ascii="宋体" w:hAnsi="宋体" w:eastAsia="宋体" w:cs="宋体"/>
                <w:b/>
                <w:bCs/>
                <w:sz w:val="22"/>
                <w:highlight w:val="none"/>
              </w:rPr>
              <w:t>7、电子加密投标文件的解密和异常情况处理：</w:t>
            </w:r>
          </w:p>
          <w:p>
            <w:pPr>
              <w:autoSpaceDE w:val="0"/>
              <w:autoSpaceDN w:val="0"/>
              <w:adjustRightInd w:val="0"/>
              <w:jc w:val="left"/>
              <w:rPr>
                <w:rFonts w:ascii="宋体" w:hAnsi="宋体" w:eastAsia="宋体" w:cs="宋体"/>
                <w:sz w:val="22"/>
                <w:highlight w:val="none"/>
              </w:rPr>
            </w:pPr>
            <w:r>
              <w:rPr>
                <w:rFonts w:ascii="宋体" w:hAnsi="宋体" w:eastAsia="宋体" w:cs="宋体"/>
                <w:sz w:val="22"/>
                <w:highlight w:val="none"/>
              </w:rPr>
              <w:t>（1）开标后，采购组织机构将向各供应商发出“电子加密投标文件”的解密通知，各供应商代表应当在接到解密通知后30分钟内自行完成“电子加密投标文件”的在线解密。</w:t>
            </w:r>
          </w:p>
          <w:p>
            <w:pPr>
              <w:autoSpaceDE w:val="0"/>
              <w:autoSpaceDN w:val="0"/>
              <w:adjustRightInd w:val="0"/>
              <w:jc w:val="left"/>
              <w:rPr>
                <w:rFonts w:ascii="宋体" w:hAnsi="宋体" w:eastAsia="宋体" w:cs="宋体"/>
                <w:sz w:val="22"/>
                <w:highlight w:val="none"/>
              </w:rPr>
            </w:pPr>
            <w:r>
              <w:rPr>
                <w:rFonts w:ascii="宋体" w:hAnsi="宋体" w:eastAsia="宋体" w:cs="宋体"/>
                <w:sz w:val="22"/>
                <w:highlight w:val="none"/>
              </w:rPr>
              <w:t>（2）通过“政府采购云平台”成功上传递交的“电子加密投标文件”无法按时解密，否则视为投标文件撤回。</w:t>
            </w:r>
          </w:p>
          <w:p>
            <w:pPr>
              <w:snapToGrid w:val="0"/>
              <w:rPr>
                <w:rFonts w:ascii="宋体" w:hAnsi="宋体" w:eastAsia="宋体" w:cs="宋体"/>
                <w:sz w:val="22"/>
                <w:highlight w:val="none"/>
              </w:rPr>
            </w:pPr>
            <w:r>
              <w:rPr>
                <w:rFonts w:ascii="宋体" w:hAnsi="宋体" w:eastAsia="宋体" w:cs="宋体"/>
                <w:sz w:val="22"/>
                <w:highlight w:val="none"/>
              </w:rPr>
              <w:t>（</w:t>
            </w:r>
            <w:r>
              <w:rPr>
                <w:rFonts w:hint="eastAsia" w:ascii="宋体" w:hAnsi="宋体" w:eastAsia="宋体" w:cs="宋体"/>
                <w:sz w:val="22"/>
                <w:highlight w:val="none"/>
              </w:rPr>
              <w:t>3</w:t>
            </w:r>
            <w:r>
              <w:rPr>
                <w:rFonts w:ascii="宋体" w:hAnsi="宋体" w:eastAsia="宋体" w:cs="宋体"/>
                <w:sz w:val="22"/>
                <w:highlight w:val="none"/>
              </w:rPr>
              <w:t>）投标截止后，在投标有效期内，供应商不能撤销投标文件。</w:t>
            </w:r>
          </w:p>
          <w:p>
            <w:pPr>
              <w:snapToGrid w:val="0"/>
              <w:rPr>
                <w:rFonts w:ascii="宋体" w:hAnsi="宋体" w:eastAsia="宋体" w:cs="宋体"/>
                <w:sz w:val="22"/>
                <w:highlight w:val="none"/>
              </w:rPr>
            </w:pPr>
            <w:r>
              <w:rPr>
                <w:rFonts w:ascii="宋体" w:hAnsi="宋体" w:eastAsia="宋体" w:cs="宋体"/>
                <w:sz w:val="22"/>
                <w:highlight w:val="none"/>
              </w:rPr>
              <w:t>8、投标截止后，在投标有效期内，供应商不能撤销投标文件</w:t>
            </w:r>
          </w:p>
          <w:p>
            <w:pPr>
              <w:snapToGrid w:val="0"/>
              <w:rPr>
                <w:rFonts w:ascii="宋体" w:hAnsi="宋体" w:eastAsia="宋体" w:cs="宋体"/>
                <w:sz w:val="22"/>
                <w:highlight w:val="none"/>
              </w:rPr>
            </w:pPr>
            <w:r>
              <w:rPr>
                <w:rFonts w:ascii="宋体" w:hAnsi="宋体" w:eastAsia="宋体" w:cs="宋体"/>
                <w:sz w:val="22"/>
                <w:highlight w:val="none"/>
              </w:rPr>
              <w:t>9、</w:t>
            </w:r>
            <w:r>
              <w:rPr>
                <w:rFonts w:hint="eastAsia" w:ascii="宋体" w:hAnsi="宋体"/>
                <w:sz w:val="22"/>
                <w:highlight w:val="none"/>
              </w:rPr>
              <w:t>供应商放弃成交或拒绝与采购单位签订合同的</w:t>
            </w:r>
            <w:r>
              <w:rPr>
                <w:rFonts w:ascii="宋体"/>
                <w:sz w:val="22"/>
                <w:highlight w:val="none"/>
              </w:rPr>
              <w:t>,</w:t>
            </w:r>
            <w:r>
              <w:rPr>
                <w:rFonts w:hint="eastAsia"/>
                <w:highlight w:val="none"/>
              </w:rPr>
              <w:t>按相关法律进行处理</w:t>
            </w:r>
            <w:r>
              <w:rPr>
                <w:rFonts w:hint="eastAsia" w:ascii="宋体" w:hAnsi="宋体"/>
                <w:sz w:val="22"/>
                <w:highlight w:val="none"/>
              </w:rPr>
              <w:t>，原则上重新开展政府采购活动。</w:t>
            </w:r>
          </w:p>
          <w:p>
            <w:pPr>
              <w:snapToGrid w:val="0"/>
              <w:rPr>
                <w:rFonts w:ascii="宋体" w:hAnsi="宋体" w:eastAsia="宋体" w:cs="宋体"/>
                <w:sz w:val="22"/>
                <w:highlight w:val="none"/>
              </w:rPr>
            </w:pPr>
            <w:r>
              <w:rPr>
                <w:rFonts w:ascii="宋体" w:hAnsi="宋体" w:eastAsia="宋体" w:cs="宋体"/>
                <w:sz w:val="22"/>
                <w:highlight w:val="none"/>
              </w:rPr>
              <w:t>10、存在下列行为的，招标代理机构将其失信行为上报政府采购主管部门，由主管部门按有关规定对其违法失信行为记录进行公开：</w:t>
            </w:r>
          </w:p>
          <w:p>
            <w:pPr>
              <w:snapToGrid w:val="0"/>
              <w:rPr>
                <w:rFonts w:ascii="宋体" w:hAnsi="宋体" w:eastAsia="宋体" w:cs="宋体"/>
                <w:sz w:val="22"/>
                <w:highlight w:val="none"/>
              </w:rPr>
            </w:pPr>
            <w:r>
              <w:rPr>
                <w:rFonts w:ascii="宋体" w:hAnsi="宋体" w:eastAsia="宋体" w:cs="宋体"/>
                <w:sz w:val="22"/>
                <w:highlight w:val="none"/>
              </w:rPr>
              <w:t>（1）中标或者成交后，拒绝签订政府采购合同的；</w:t>
            </w:r>
          </w:p>
          <w:p>
            <w:pPr>
              <w:snapToGrid w:val="0"/>
              <w:rPr>
                <w:sz w:val="22"/>
                <w:szCs w:val="22"/>
                <w:highlight w:val="none"/>
              </w:rPr>
            </w:pPr>
            <w:r>
              <w:rPr>
                <w:rFonts w:hAnsi="宋体" w:eastAsia="宋体" w:cs="宋体"/>
                <w:highlight w:val="none"/>
              </w:rPr>
              <w:t>（2）</w:t>
            </w:r>
            <w:r>
              <w:rPr>
                <w:rFonts w:ascii="宋体" w:hAnsi="宋体" w:eastAsia="宋体" w:cs="宋体"/>
                <w:sz w:val="22"/>
                <w:highlight w:val="none"/>
              </w:rPr>
              <w:t>投标有效期内撤销投标文件的</w:t>
            </w:r>
            <w:r>
              <w:rPr>
                <w:rFonts w:hint="eastAsia" w:ascii="宋体" w:hAnsi="宋体" w:eastAsia="宋体" w:cs="宋体"/>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ascii="宋体"/>
                <w:sz w:val="22"/>
                <w:highlight w:val="none"/>
              </w:rPr>
            </w:pPr>
            <w:r>
              <w:rPr>
                <w:rFonts w:hint="eastAsia" w:ascii="宋体"/>
                <w:sz w:val="22"/>
                <w:highlight w:val="none"/>
              </w:rPr>
              <w:t>投标样品</w:t>
            </w:r>
          </w:p>
        </w:tc>
        <w:tc>
          <w:tcPr>
            <w:tcW w:w="7619" w:type="dxa"/>
            <w:vAlign w:val="center"/>
          </w:tcPr>
          <w:p>
            <w:pPr>
              <w:adjustRightInd w:val="0"/>
              <w:rPr>
                <w:rFonts w:ascii="宋体"/>
                <w:sz w:val="22"/>
                <w:highlight w:val="none"/>
              </w:rPr>
            </w:pPr>
            <w:r>
              <w:rPr>
                <w:rFonts w:ascii="宋体"/>
                <w:sz w:val="22"/>
                <w:highlight w:val="none"/>
              </w:rPr>
              <w:fldChar w:fldCharType="begin"/>
            </w:r>
            <w:r>
              <w:rPr>
                <w:rFonts w:ascii="宋体"/>
                <w:sz w:val="22"/>
                <w:highlight w:val="none"/>
              </w:rPr>
              <w:instrText xml:space="preserve"> eq \o\ac(</w:instrText>
            </w:r>
            <w:r>
              <w:rPr>
                <w:rFonts w:hint="eastAsia" w:ascii="宋体"/>
                <w:sz w:val="22"/>
                <w:highlight w:val="none"/>
              </w:rPr>
              <w:instrText xml:space="preserve">□</w:instrText>
            </w:r>
            <w:r>
              <w:rPr>
                <w:rFonts w:ascii="宋体"/>
                <w:sz w:val="22"/>
                <w:highlight w:val="none"/>
              </w:rPr>
              <w:instrText xml:space="preserve">,</w:instrText>
            </w:r>
            <w:r>
              <w:rPr>
                <w:rFonts w:hint="eastAsia" w:ascii="宋体"/>
                <w:sz w:val="22"/>
                <w:highlight w:val="none"/>
              </w:rPr>
              <w:instrText xml:space="preserve">√</w:instrText>
            </w:r>
            <w:r>
              <w:rPr>
                <w:rFonts w:ascii="宋体"/>
                <w:sz w:val="22"/>
                <w:highlight w:val="none"/>
              </w:rPr>
              <w:instrText xml:space="preserve">)</w:instrText>
            </w:r>
            <w:r>
              <w:rPr>
                <w:rFonts w:ascii="宋体"/>
                <w:sz w:val="22"/>
                <w:highlight w:val="none"/>
              </w:rPr>
              <w:fldChar w:fldCharType="end"/>
            </w:r>
            <w:r>
              <w:rPr>
                <w:rFonts w:hint="eastAsia" w:ascii="宋体"/>
                <w:sz w:val="22"/>
                <w:highlight w:val="none"/>
              </w:rPr>
              <w:t>不需要</w:t>
            </w:r>
          </w:p>
          <w:p>
            <w:pPr>
              <w:adjustRightInd w:val="0"/>
              <w:rPr>
                <w:rFonts w:ascii="宋体"/>
                <w:sz w:val="22"/>
                <w:highlight w:val="none"/>
              </w:rPr>
            </w:pPr>
            <w:r>
              <w:rPr>
                <w:rFonts w:hint="eastAsia" w:ascii="宋体"/>
                <w:sz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ascii="宋体"/>
                <w:sz w:val="22"/>
                <w:highlight w:val="none"/>
              </w:rPr>
            </w:pPr>
            <w:r>
              <w:rPr>
                <w:rFonts w:hint="eastAsia" w:ascii="宋体"/>
                <w:sz w:val="22"/>
                <w:highlight w:val="none"/>
              </w:rPr>
              <w:t>履约担保</w:t>
            </w:r>
          </w:p>
        </w:tc>
        <w:tc>
          <w:tcPr>
            <w:tcW w:w="7619" w:type="dxa"/>
            <w:vAlign w:val="center"/>
          </w:tcPr>
          <w:p>
            <w:pPr>
              <w:adjustRightInd w:val="0"/>
              <w:rPr>
                <w:rFonts w:ascii="宋体"/>
                <w:sz w:val="22"/>
                <w:highlight w:val="none"/>
              </w:rPr>
            </w:pPr>
            <w:r>
              <w:rPr>
                <w:rFonts w:hint="eastAsia" w:ascii="宋体"/>
                <w:sz w:val="22"/>
                <w:highlight w:val="none"/>
              </w:rPr>
              <w:t>□不需要</w:t>
            </w:r>
          </w:p>
          <w:p>
            <w:pPr>
              <w:adjustRightInd w:val="0"/>
              <w:rPr>
                <w:rFonts w:hint="eastAsia" w:ascii="宋体" w:eastAsiaTheme="minorEastAsia"/>
                <w:sz w:val="22"/>
                <w:highlight w:val="none"/>
                <w:lang w:eastAsia="zh-CN"/>
              </w:rPr>
            </w:pPr>
            <w:r>
              <w:rPr>
                <w:rFonts w:ascii="宋体"/>
                <w:sz w:val="22"/>
                <w:highlight w:val="none"/>
              </w:rPr>
              <w:fldChar w:fldCharType="begin"/>
            </w:r>
            <w:r>
              <w:rPr>
                <w:rFonts w:ascii="宋体"/>
                <w:sz w:val="22"/>
                <w:highlight w:val="none"/>
              </w:rPr>
              <w:instrText xml:space="preserve"> eq \o\ac(</w:instrText>
            </w:r>
            <w:r>
              <w:rPr>
                <w:rFonts w:hint="eastAsia" w:ascii="宋体"/>
                <w:sz w:val="22"/>
                <w:highlight w:val="none"/>
              </w:rPr>
              <w:instrText xml:space="preserve">□,</w:instrText>
            </w:r>
            <w:r>
              <w:rPr>
                <w:rFonts w:hint="eastAsia" w:ascii="宋体"/>
                <w:position w:val="2"/>
                <w:sz w:val="15"/>
                <w:highlight w:val="none"/>
              </w:rPr>
              <w:instrText xml:space="preserve">√</w:instrText>
            </w:r>
            <w:r>
              <w:rPr>
                <w:rFonts w:ascii="宋体"/>
                <w:sz w:val="22"/>
                <w:highlight w:val="none"/>
              </w:rPr>
              <w:instrText xml:space="preserve">)</w:instrText>
            </w:r>
            <w:r>
              <w:rPr>
                <w:rFonts w:ascii="宋体"/>
                <w:sz w:val="22"/>
                <w:highlight w:val="none"/>
              </w:rPr>
              <w:fldChar w:fldCharType="end"/>
            </w:r>
            <w:r>
              <w:rPr>
                <w:rFonts w:hint="eastAsia" w:ascii="宋体"/>
                <w:sz w:val="22"/>
                <w:highlight w:val="none"/>
              </w:rPr>
              <w:t>需要。</w:t>
            </w:r>
            <w:r>
              <w:rPr>
                <w:rFonts w:hint="eastAsia" w:ascii="宋体"/>
                <w:sz w:val="22"/>
                <w:highlight w:val="none"/>
                <w:lang w:eastAsia="zh-CN"/>
              </w:rPr>
              <w:t>合同签订后5个工作日内成交供应商应提供合同总金额1%的履约保证金至采购单位指定账户，供应商以银行、保险公司出具保函形式提交履约保证金的，采购人不得拒收。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竞争性磋商文件获取方式</w:t>
            </w:r>
          </w:p>
        </w:tc>
        <w:tc>
          <w:tcPr>
            <w:tcW w:w="7619" w:type="dxa"/>
            <w:vAlign w:val="center"/>
          </w:tcPr>
          <w:p>
            <w:pPr>
              <w:adjustRightInd w:val="0"/>
              <w:spacing w:line="280" w:lineRule="exact"/>
              <w:jc w:val="left"/>
              <w:rPr>
                <w:rFonts w:ascii="宋体" w:hAnsi="宋体" w:eastAsia="宋体"/>
                <w:sz w:val="22"/>
                <w:highlight w:val="none"/>
              </w:rPr>
            </w:pPr>
            <w:r>
              <w:rPr>
                <w:rFonts w:ascii="宋体" w:hAnsi="宋体" w:eastAsia="宋体"/>
                <w:sz w:val="22"/>
                <w:highlight w:val="none"/>
              </w:rPr>
              <w:t>自本公告公布日起至投标文件递交截止时间前，均可获取招标文件，公告附件中的招标文件仅供阅读，招标文件合法获取方式如下：</w:t>
            </w:r>
          </w:p>
          <w:p>
            <w:pPr>
              <w:adjustRightInd w:val="0"/>
              <w:spacing w:line="280" w:lineRule="exact"/>
              <w:jc w:val="left"/>
              <w:rPr>
                <w:rFonts w:ascii="宋体" w:hAnsi="宋体" w:eastAsia="宋体"/>
                <w:sz w:val="22"/>
                <w:highlight w:val="none"/>
              </w:rPr>
            </w:pPr>
            <w:r>
              <w:rPr>
                <w:rFonts w:ascii="宋体" w:hAnsi="宋体" w:eastAsia="宋体"/>
                <w:sz w:val="22"/>
                <w:highlight w:val="none"/>
              </w:rPr>
              <w:t>①供应商登陆政采云账户（网址：http://www.zjzfcg.gov.cn/）找到本项目后点击获取采购文件；</w:t>
            </w:r>
          </w:p>
          <w:p>
            <w:pPr>
              <w:adjustRightInd w:val="0"/>
              <w:spacing w:line="280" w:lineRule="exact"/>
              <w:rPr>
                <w:rFonts w:ascii="宋体" w:cs="Arial"/>
                <w:sz w:val="22"/>
                <w:highlight w:val="none"/>
              </w:rPr>
            </w:pPr>
            <w:r>
              <w:rPr>
                <w:rFonts w:ascii="宋体" w:hAnsi="宋体" w:eastAsia="宋体"/>
                <w:sz w:val="22"/>
                <w:highlight w:val="none"/>
              </w:rPr>
              <w:t>②另本项目采购文件同时发布在泰顺县人民政府网-县公共资源交易平台（网址：http://www.ts.gov.cn/col/col1383420/index.html）。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投标截止时间</w:t>
            </w:r>
          </w:p>
        </w:tc>
        <w:tc>
          <w:tcPr>
            <w:tcW w:w="7619" w:type="dxa"/>
            <w:vAlign w:val="center"/>
          </w:tcPr>
          <w:p>
            <w:pPr>
              <w:rPr>
                <w:rFonts w:ascii="宋体" w:cs="Arial"/>
                <w:sz w:val="22"/>
                <w:highlight w:val="none"/>
              </w:rPr>
            </w:pPr>
            <w:r>
              <w:rPr>
                <w:rFonts w:hint="eastAsia" w:hAnsi="宋体" w:eastAsia="新宋体"/>
                <w:b/>
                <w:sz w:val="22"/>
                <w:highlight w:val="none"/>
                <w:lang w:eastAsia="zh-CN"/>
              </w:rPr>
              <w:t>2024年06月11日15点00分</w:t>
            </w:r>
            <w:r>
              <w:rPr>
                <w:rFonts w:hint="eastAsia" w:ascii="新宋体" w:hAnsi="新宋体" w:eastAsia="新宋体"/>
                <w:sz w:val="22"/>
                <w:highlight w:val="none"/>
              </w:rPr>
              <w:t>截</w:t>
            </w:r>
            <w:r>
              <w:rPr>
                <w:rFonts w:hint="eastAsia" w:ascii="宋体" w:cs="Arial"/>
                <w:sz w:val="22"/>
                <w:highlight w:val="none"/>
              </w:rPr>
              <w:t>止</w:t>
            </w:r>
            <w:r>
              <w:rPr>
                <w:rFonts w:ascii="宋体" w:cs="Arial"/>
                <w:sz w:val="22"/>
                <w:highlight w:val="none"/>
              </w:rPr>
              <w:t>(</w:t>
            </w:r>
            <w:r>
              <w:rPr>
                <w:rFonts w:hint="eastAsia" w:ascii="宋体" w:cs="Arial"/>
                <w:sz w:val="22"/>
                <w:highlight w:val="none"/>
              </w:rPr>
              <w:t>北京时间</w:t>
            </w:r>
            <w:r>
              <w:rPr>
                <w:rFonts w:ascii="宋体" w:cs="Arial"/>
                <w:sz w:val="22"/>
                <w:highlight w:val="none"/>
              </w:rPr>
              <w:t>)</w:t>
            </w:r>
            <w:r>
              <w:rPr>
                <w:rFonts w:hint="eastAsia" w:ascii="宋体" w:cs="Arial"/>
                <w:sz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8"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sz w:val="22"/>
                <w:highlight w:val="none"/>
              </w:rPr>
              <w:t>投标文件递交地点</w:t>
            </w:r>
          </w:p>
        </w:tc>
        <w:tc>
          <w:tcPr>
            <w:tcW w:w="7619" w:type="dxa"/>
            <w:vAlign w:val="center"/>
          </w:tcPr>
          <w:p>
            <w:pPr>
              <w:rPr>
                <w:rFonts w:ascii="宋体" w:cs="Arial"/>
                <w:sz w:val="22"/>
                <w:highlight w:val="none"/>
              </w:rPr>
            </w:pPr>
            <w:r>
              <w:rPr>
                <w:rFonts w:hint="eastAsia" w:hAnsi="宋体"/>
                <w:sz w:val="22"/>
                <w:szCs w:val="22"/>
                <w:highlight w:val="none"/>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4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开标时间</w:t>
            </w:r>
          </w:p>
          <w:p>
            <w:pPr>
              <w:jc w:val="center"/>
              <w:rPr>
                <w:rFonts w:ascii="宋体" w:cs="Arial"/>
                <w:sz w:val="22"/>
                <w:highlight w:val="none"/>
              </w:rPr>
            </w:pPr>
            <w:r>
              <w:rPr>
                <w:rFonts w:hint="eastAsia" w:ascii="宋体" w:cs="Arial"/>
                <w:sz w:val="22"/>
                <w:highlight w:val="none"/>
              </w:rPr>
              <w:t>开标地点</w:t>
            </w:r>
          </w:p>
        </w:tc>
        <w:tc>
          <w:tcPr>
            <w:tcW w:w="7619" w:type="dxa"/>
            <w:vAlign w:val="center"/>
          </w:tcPr>
          <w:p>
            <w:pPr>
              <w:rPr>
                <w:rFonts w:ascii="宋体" w:cs="Arial"/>
                <w:sz w:val="22"/>
                <w:highlight w:val="none"/>
              </w:rPr>
            </w:pPr>
            <w:r>
              <w:rPr>
                <w:rFonts w:hint="eastAsia" w:ascii="宋体" w:cs="Arial"/>
                <w:sz w:val="22"/>
                <w:highlight w:val="none"/>
              </w:rPr>
              <w:t>开标时间：</w:t>
            </w:r>
            <w:r>
              <w:rPr>
                <w:rFonts w:hint="eastAsia" w:hAnsi="宋体"/>
                <w:b/>
                <w:sz w:val="22"/>
                <w:highlight w:val="none"/>
                <w:lang w:eastAsia="zh-CN"/>
              </w:rPr>
              <w:t>2024年06月11日15点00分</w:t>
            </w:r>
            <w:r>
              <w:rPr>
                <w:rFonts w:hint="eastAsia" w:ascii="宋体" w:cs="Arial"/>
                <w:sz w:val="22"/>
                <w:highlight w:val="none"/>
              </w:rPr>
              <w:t>时</w:t>
            </w:r>
            <w:r>
              <w:rPr>
                <w:rFonts w:ascii="宋体" w:cs="Arial"/>
                <w:sz w:val="22"/>
                <w:highlight w:val="none"/>
              </w:rPr>
              <w:t>(</w:t>
            </w:r>
            <w:r>
              <w:rPr>
                <w:rFonts w:hint="eastAsia" w:ascii="宋体" w:cs="Arial"/>
                <w:sz w:val="22"/>
                <w:highlight w:val="none"/>
              </w:rPr>
              <w:t>北京时间</w:t>
            </w:r>
            <w:r>
              <w:rPr>
                <w:rFonts w:ascii="宋体" w:cs="Arial"/>
                <w:sz w:val="22"/>
                <w:highlight w:val="none"/>
              </w:rPr>
              <w:t>)</w:t>
            </w:r>
          </w:p>
          <w:p>
            <w:pPr>
              <w:rPr>
                <w:rFonts w:ascii="宋体"/>
                <w:sz w:val="22"/>
                <w:highlight w:val="none"/>
              </w:rPr>
            </w:pPr>
            <w:r>
              <w:rPr>
                <w:rFonts w:hint="eastAsia" w:ascii="宋体"/>
                <w:sz w:val="22"/>
                <w:highlight w:val="none"/>
              </w:rPr>
              <w:t>开标地点：</w:t>
            </w:r>
            <w:r>
              <w:rPr>
                <w:rFonts w:hint="eastAsia" w:ascii="宋体" w:hAnsi="宋体" w:eastAsia="宋体"/>
                <w:sz w:val="22"/>
                <w:highlight w:val="none"/>
              </w:rPr>
              <w:t xml:space="preserve">泰顺县公共资源交易中心5楼开评标室（温州市泰顺县罗阳镇新城大道 123号）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7"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开标程序</w:t>
            </w:r>
          </w:p>
        </w:tc>
        <w:tc>
          <w:tcPr>
            <w:tcW w:w="7619" w:type="dxa"/>
            <w:vAlign w:val="center"/>
          </w:tcPr>
          <w:p>
            <w:pPr>
              <w:rPr>
                <w:rFonts w:ascii="宋体"/>
                <w:sz w:val="22"/>
                <w:highlight w:val="none"/>
              </w:rPr>
            </w:pPr>
            <w:r>
              <w:rPr>
                <w:rFonts w:hint="eastAsia" w:ascii="宋体"/>
                <w:sz w:val="22"/>
                <w:highlight w:val="none"/>
              </w:rPr>
              <w:t>（一）开标准备</w:t>
            </w:r>
          </w:p>
          <w:p>
            <w:pPr>
              <w:rPr>
                <w:rFonts w:ascii="宋体"/>
                <w:sz w:val="22"/>
                <w:highlight w:val="none"/>
              </w:rPr>
            </w:pPr>
            <w:r>
              <w:rPr>
                <w:rFonts w:hint="eastAsia" w:ascii="宋体"/>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rPr>
                <w:rFonts w:ascii="宋体"/>
                <w:sz w:val="22"/>
                <w:highlight w:val="none"/>
              </w:rPr>
            </w:pPr>
            <w:r>
              <w:rPr>
                <w:rFonts w:hint="eastAsia" w:ascii="宋体"/>
                <w:sz w:val="22"/>
                <w:highlight w:val="none"/>
              </w:rPr>
              <w:t>2、若磋商供应商在规定时间内无法解密或解密失败，投标无效。</w:t>
            </w:r>
          </w:p>
          <w:p>
            <w:pPr>
              <w:rPr>
                <w:rFonts w:ascii="宋体"/>
                <w:sz w:val="22"/>
                <w:highlight w:val="none"/>
              </w:rPr>
            </w:pPr>
            <w:r>
              <w:rPr>
                <w:rFonts w:hint="eastAsia" w:ascii="宋体"/>
                <w:sz w:val="22"/>
                <w:highlight w:val="none"/>
              </w:rPr>
              <w:t>3、所有二次报价询标流程，均在线上完成，请各供应商务必不要离开电脑太久，并留意手机短信。（请提前检查“政采云”内，关于‘项目采购’的岗位权限是否已勾选上。如有问题，请致电400-881-7190）。</w:t>
            </w:r>
          </w:p>
          <w:p>
            <w:pPr>
              <w:rPr>
                <w:rFonts w:ascii="宋体"/>
                <w:sz w:val="22"/>
                <w:highlight w:val="none"/>
              </w:rPr>
            </w:pPr>
            <w:r>
              <w:rPr>
                <w:rFonts w:hint="eastAsia" w:ascii="宋体"/>
                <w:sz w:val="22"/>
                <w:highlight w:val="none"/>
              </w:rPr>
              <w:t>（二）电子招投标开标及评审程序</w:t>
            </w:r>
          </w:p>
          <w:p>
            <w:pPr>
              <w:rPr>
                <w:rFonts w:ascii="宋体"/>
                <w:sz w:val="22"/>
                <w:highlight w:val="none"/>
              </w:rPr>
            </w:pPr>
            <w:r>
              <w:rPr>
                <w:rFonts w:hint="eastAsia" w:ascii="宋体"/>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rPr>
                <w:rFonts w:ascii="宋体"/>
                <w:sz w:val="22"/>
                <w:highlight w:val="none"/>
              </w:rPr>
            </w:pPr>
            <w:r>
              <w:rPr>
                <w:rFonts w:hint="eastAsia" w:ascii="宋体"/>
                <w:sz w:val="22"/>
                <w:highlight w:val="none"/>
              </w:rPr>
              <w:t>2、投标文件解密结束，开启响应文件，磋商小组对资格和商务技术响应文件进行评审；</w:t>
            </w:r>
          </w:p>
          <w:p>
            <w:pPr>
              <w:rPr>
                <w:rFonts w:ascii="宋体"/>
                <w:sz w:val="22"/>
                <w:highlight w:val="none"/>
              </w:rPr>
            </w:pPr>
            <w:r>
              <w:rPr>
                <w:rFonts w:hint="eastAsia" w:ascii="宋体"/>
                <w:sz w:val="22"/>
                <w:highlight w:val="none"/>
              </w:rPr>
              <w:t>3、供应商按签到的前后顺序决定磋商的顺序，就价格、服务等认为需要磋商的内容进行磋商，供应商逐家回答磋商小组的提问，响应人作出最终承诺和最终报价。</w:t>
            </w:r>
          </w:p>
          <w:p>
            <w:pPr>
              <w:rPr>
                <w:rFonts w:ascii="宋体"/>
                <w:sz w:val="22"/>
                <w:highlight w:val="none"/>
              </w:rPr>
            </w:pPr>
            <w:r>
              <w:rPr>
                <w:rFonts w:hint="eastAsia" w:ascii="宋体"/>
                <w:sz w:val="22"/>
                <w:highlight w:val="none"/>
              </w:rPr>
              <w:t>4、在系统上公开资格和商务技术评审结果；</w:t>
            </w:r>
          </w:p>
          <w:p>
            <w:pPr>
              <w:rPr>
                <w:rFonts w:ascii="宋体"/>
                <w:sz w:val="22"/>
                <w:highlight w:val="none"/>
              </w:rPr>
            </w:pPr>
            <w:r>
              <w:rPr>
                <w:rFonts w:hint="eastAsia" w:ascii="宋体"/>
                <w:sz w:val="22"/>
                <w:highlight w:val="none"/>
              </w:rPr>
              <w:t>5.在系统上录入最终报价情况；</w:t>
            </w:r>
          </w:p>
          <w:p>
            <w:pPr>
              <w:rPr>
                <w:rFonts w:ascii="宋体"/>
                <w:sz w:val="22"/>
                <w:highlight w:val="none"/>
              </w:rPr>
            </w:pPr>
            <w:r>
              <w:rPr>
                <w:rFonts w:hint="eastAsia" w:ascii="宋体"/>
                <w:sz w:val="22"/>
                <w:highlight w:val="none"/>
              </w:rPr>
              <w:t>6.磋商小组对报价情况进行评审；</w:t>
            </w:r>
          </w:p>
          <w:p>
            <w:pPr>
              <w:rPr>
                <w:rFonts w:ascii="宋体"/>
                <w:sz w:val="22"/>
                <w:highlight w:val="none"/>
              </w:rPr>
            </w:pPr>
            <w:r>
              <w:rPr>
                <w:rFonts w:hint="eastAsia" w:ascii="宋体"/>
                <w:sz w:val="22"/>
                <w:highlight w:val="none"/>
              </w:rPr>
              <w:t>7.在系统上公布评审结果。</w:t>
            </w:r>
          </w:p>
          <w:p>
            <w:pPr>
              <w:rPr>
                <w:rFonts w:ascii="宋体"/>
                <w:sz w:val="22"/>
                <w:highlight w:val="none"/>
              </w:rPr>
            </w:pPr>
            <w:r>
              <w:rPr>
                <w:rFonts w:hint="eastAsia" w:ascii="宋体"/>
                <w:b/>
                <w:bCs/>
                <w:sz w:val="22"/>
                <w:highlight w:val="none"/>
              </w:rPr>
              <w:t>特别说明：政采云公司如对电子化开标及评审程序有调整的，按调整后的程序操作。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评审小组的</w:t>
            </w:r>
          </w:p>
          <w:p>
            <w:pPr>
              <w:jc w:val="center"/>
              <w:rPr>
                <w:rFonts w:ascii="宋体" w:cs="Arial"/>
                <w:sz w:val="22"/>
                <w:highlight w:val="none"/>
              </w:rPr>
            </w:pPr>
            <w:r>
              <w:rPr>
                <w:rFonts w:hint="eastAsia" w:ascii="宋体" w:cs="Arial"/>
                <w:sz w:val="22"/>
                <w:highlight w:val="none"/>
              </w:rPr>
              <w:t>组建</w:t>
            </w:r>
          </w:p>
        </w:tc>
        <w:tc>
          <w:tcPr>
            <w:tcW w:w="7619" w:type="dxa"/>
            <w:vAlign w:val="center"/>
          </w:tcPr>
          <w:p>
            <w:pPr>
              <w:rPr>
                <w:rFonts w:ascii="宋体" w:cs="Arial"/>
                <w:sz w:val="22"/>
                <w:highlight w:val="none"/>
              </w:rPr>
            </w:pPr>
            <w:r>
              <w:rPr>
                <w:rFonts w:hint="eastAsia" w:ascii="宋体" w:cs="Arial"/>
                <w:sz w:val="22"/>
                <w:highlight w:val="none"/>
              </w:rPr>
              <w:t>评审小组构成：</w:t>
            </w:r>
            <w:r>
              <w:rPr>
                <w:rFonts w:ascii="宋体" w:cs="Arial"/>
                <w:sz w:val="22"/>
                <w:highlight w:val="none"/>
              </w:rPr>
              <w:t xml:space="preserve"> </w:t>
            </w:r>
            <w:r>
              <w:rPr>
                <w:rFonts w:hint="eastAsia" w:ascii="宋体" w:cs="Arial"/>
                <w:sz w:val="22"/>
                <w:highlight w:val="none"/>
              </w:rPr>
              <w:t>由采购单位代表以及有关技术、经济等方面的专家组成，成员为3人及以上单数，其中技术、经济类专家不得少于总人数的</w:t>
            </w:r>
            <w:r>
              <w:rPr>
                <w:rFonts w:ascii="宋体" w:cs="Arial"/>
                <w:sz w:val="22"/>
                <w:highlight w:val="none"/>
              </w:rPr>
              <w:t>2/3</w:t>
            </w:r>
            <w:r>
              <w:rPr>
                <w:rFonts w:hint="eastAsia" w:ascii="宋体" w:cs="Arial"/>
                <w:sz w:val="22"/>
                <w:highlight w:val="none"/>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7"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adjustRightInd w:val="0"/>
              <w:jc w:val="center"/>
              <w:rPr>
                <w:rFonts w:ascii="宋体"/>
                <w:sz w:val="22"/>
                <w:highlight w:val="none"/>
              </w:rPr>
            </w:pPr>
            <w:r>
              <w:rPr>
                <w:rFonts w:hint="eastAsia" w:ascii="宋体"/>
                <w:sz w:val="22"/>
                <w:highlight w:val="none"/>
              </w:rPr>
              <w:t>政府采购</w:t>
            </w:r>
          </w:p>
          <w:p>
            <w:pPr>
              <w:adjustRightInd w:val="0"/>
              <w:jc w:val="center"/>
              <w:rPr>
                <w:rFonts w:ascii="宋体"/>
                <w:sz w:val="22"/>
                <w:highlight w:val="none"/>
              </w:rPr>
            </w:pPr>
            <w:r>
              <w:rPr>
                <w:rFonts w:hint="eastAsia" w:ascii="宋体"/>
                <w:sz w:val="22"/>
                <w:highlight w:val="none"/>
              </w:rPr>
              <w:t>扶持政策</w:t>
            </w:r>
          </w:p>
        </w:tc>
        <w:tc>
          <w:tcPr>
            <w:tcW w:w="7619" w:type="dxa"/>
            <w:vAlign w:val="center"/>
          </w:tcPr>
          <w:p>
            <w:pPr>
              <w:rPr>
                <w:rFonts w:ascii="宋体"/>
                <w:sz w:val="22"/>
                <w:highlight w:val="none"/>
              </w:rPr>
            </w:pPr>
            <w:r>
              <w:rPr>
                <w:rFonts w:hint="eastAsia" w:ascii="宋体" w:cs="Arial"/>
                <w:sz w:val="22"/>
                <w:highlight w:val="none"/>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供应商信用查询</w:t>
            </w:r>
          </w:p>
        </w:tc>
        <w:tc>
          <w:tcPr>
            <w:tcW w:w="7619" w:type="dxa"/>
            <w:vAlign w:val="center"/>
          </w:tcPr>
          <w:p>
            <w:pPr>
              <w:rPr>
                <w:rFonts w:ascii="宋体" w:cs="Arial"/>
                <w:sz w:val="22"/>
                <w:highlight w:val="none"/>
              </w:rPr>
            </w:pPr>
            <w:r>
              <w:rPr>
                <w:rFonts w:ascii="宋体" w:cs="Arial"/>
                <w:sz w:val="22"/>
                <w:highlight w:val="none"/>
              </w:rPr>
              <w:t>1</w:t>
            </w:r>
            <w:r>
              <w:rPr>
                <w:rFonts w:hint="eastAsia" w:ascii="宋体" w:cs="Arial"/>
                <w:sz w:val="22"/>
                <w:highlight w:val="none"/>
              </w:rPr>
              <w:t>、投标供应商信用信息查询的查询渠道：“信用中国”(</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cs="Arial"/>
                <w:sz w:val="22"/>
                <w:highlight w:val="none"/>
              </w:rPr>
              <w:t>www.creditchina.gov.cn</w:t>
            </w:r>
            <w:r>
              <w:rPr>
                <w:rFonts w:hint="eastAsia" w:ascii="宋体" w:cs="Arial"/>
                <w:sz w:val="22"/>
                <w:highlight w:val="none"/>
              </w:rPr>
              <w:fldChar w:fldCharType="end"/>
            </w:r>
            <w:r>
              <w:rPr>
                <w:rFonts w:hint="eastAsia" w:ascii="宋体" w:cs="Arial"/>
                <w:sz w:val="22"/>
                <w:highlight w:val="none"/>
              </w:rPr>
              <w:t>)；“中国政府采购网”（http://www.ccgp.gov.cn/）；</w:t>
            </w:r>
          </w:p>
          <w:p>
            <w:pPr>
              <w:rPr>
                <w:rFonts w:ascii="宋体" w:cs="Arial"/>
                <w:sz w:val="22"/>
                <w:highlight w:val="none"/>
              </w:rPr>
            </w:pPr>
            <w:r>
              <w:rPr>
                <w:rFonts w:hint="eastAsia" w:ascii="宋体" w:cs="Arial"/>
                <w:sz w:val="22"/>
                <w:highlight w:val="none"/>
              </w:rPr>
              <w:t>2、投标供应商信用信息查询截止时点：本项目投标截止时间。</w:t>
            </w:r>
          </w:p>
          <w:p>
            <w:pPr>
              <w:rPr>
                <w:rFonts w:ascii="宋体" w:cs="Arial"/>
                <w:sz w:val="22"/>
                <w:highlight w:val="none"/>
              </w:rPr>
            </w:pPr>
            <w:r>
              <w:rPr>
                <w:rFonts w:ascii="宋体" w:cs="Arial"/>
                <w:sz w:val="22"/>
                <w:highlight w:val="none"/>
              </w:rPr>
              <w:t>3</w:t>
            </w:r>
            <w:r>
              <w:rPr>
                <w:rFonts w:hint="eastAsia" w:ascii="宋体" w:cs="Arial"/>
                <w:sz w:val="22"/>
                <w:highlight w:val="none"/>
              </w:rPr>
              <w:t>、投标供应商信用信息查询记录和证据留存的具体方式：网页截图打印；</w:t>
            </w:r>
          </w:p>
          <w:p>
            <w:pPr>
              <w:rPr>
                <w:rFonts w:ascii="宋体" w:cs="Arial"/>
                <w:sz w:val="22"/>
                <w:highlight w:val="none"/>
              </w:rPr>
            </w:pPr>
            <w:r>
              <w:rPr>
                <w:rFonts w:ascii="宋体" w:cs="Arial"/>
                <w:sz w:val="22"/>
                <w:highlight w:val="none"/>
              </w:rPr>
              <w:t>4</w:t>
            </w:r>
            <w:r>
              <w:rPr>
                <w:rFonts w:hint="eastAsia" w:ascii="宋体" w:cs="Arial"/>
                <w:sz w:val="22"/>
                <w:highlight w:val="none"/>
              </w:rPr>
              <w:t>、信用信息的使用规则：“信用中国”具有负面记录或受惩黑名单的供应商，或“中国政府采购网”具有严重违法失信行为信息记录的供应商，其投标做无效投标处理；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highlight w:val="none"/>
              </w:rPr>
              <w:t>合同备案</w:t>
            </w:r>
          </w:p>
        </w:tc>
        <w:tc>
          <w:tcPr>
            <w:tcW w:w="7619" w:type="dxa"/>
            <w:vAlign w:val="center"/>
          </w:tcPr>
          <w:p>
            <w:pPr>
              <w:rPr>
                <w:rFonts w:ascii="宋体" w:eastAsia="宋体" w:cs="Arial"/>
                <w:sz w:val="22"/>
                <w:szCs w:val="22"/>
                <w:highlight w:val="none"/>
              </w:rPr>
            </w:pPr>
            <w:r>
              <w:rPr>
                <w:rFonts w:hint="eastAsia" w:ascii="宋体" w:cs="Arial"/>
                <w:sz w:val="22"/>
                <w:highlight w:val="none"/>
              </w:rPr>
              <w:t>1、中标供应商须在发出中标通知书之日起30日历天内与采购单位签订合同。</w:t>
            </w:r>
          </w:p>
          <w:p>
            <w:pPr>
              <w:rPr>
                <w:rFonts w:ascii="宋体" w:cs="Arial"/>
                <w:sz w:val="22"/>
                <w:highlight w:val="none"/>
              </w:rPr>
            </w:pPr>
            <w:r>
              <w:rPr>
                <w:rFonts w:hint="eastAsia" w:ascii="宋体" w:cs="Arial"/>
                <w:sz w:val="22"/>
                <w:highlight w:val="none"/>
              </w:rPr>
              <w:t>2、中标供应商与采购单位签订合同后，2日历天内将合同原件交代理机构备案。</w:t>
            </w:r>
            <w:r>
              <w:rPr>
                <w:rFonts w:hint="eastAsia" w:ascii="宋体" w:cs="Arial"/>
                <w:b/>
                <w:bCs/>
                <w:sz w:val="22"/>
                <w:highlight w:val="none"/>
              </w:rPr>
              <w:t>合同原件扫描件电子版（邮件注明项目名称）发给泰顺县公共资源交易中心</w:t>
            </w:r>
          </w:p>
          <w:p>
            <w:pPr>
              <w:rPr>
                <w:rFonts w:ascii="宋体" w:cs="Arial"/>
                <w:sz w:val="22"/>
                <w:highlight w:val="none"/>
              </w:rPr>
            </w:pPr>
            <w:r>
              <w:rPr>
                <w:rFonts w:hint="eastAsia" w:ascii="宋体" w:cs="Arial"/>
                <w:sz w:val="22"/>
                <w:highlight w:val="none"/>
              </w:rPr>
              <w:t>3、本项目政府采购合同按规定在</w:t>
            </w:r>
            <w:r>
              <w:rPr>
                <w:rFonts w:hint="eastAsia"/>
                <w:sz w:val="22"/>
                <w:highlight w:val="none"/>
              </w:rPr>
              <w:t>浙江政府采购网（http://www.zcygov.cn/）</w:t>
            </w:r>
            <w:r>
              <w:rPr>
                <w:rFonts w:hint="eastAsia" w:ascii="宋体" w:cs="Arial"/>
                <w:sz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sz w:val="22"/>
                <w:highlight w:val="none"/>
              </w:rPr>
            </w:pPr>
            <w:r>
              <w:rPr>
                <w:rFonts w:hint="eastAsia" w:ascii="宋体"/>
                <w:sz w:val="22"/>
                <w:highlight w:val="none"/>
              </w:rPr>
              <w:t>合同履约管理</w:t>
            </w:r>
          </w:p>
        </w:tc>
        <w:tc>
          <w:tcPr>
            <w:tcW w:w="7619" w:type="dxa"/>
            <w:vAlign w:val="center"/>
          </w:tcPr>
          <w:p>
            <w:pPr>
              <w:rPr>
                <w:rFonts w:ascii="宋体" w:cs="Arial"/>
                <w:sz w:val="22"/>
                <w:highlight w:val="none"/>
              </w:rPr>
            </w:pPr>
            <w:r>
              <w:rPr>
                <w:rFonts w:hint="eastAsia" w:ascii="宋体" w:cs="Arial"/>
                <w:sz w:val="22"/>
                <w:highlight w:val="none"/>
              </w:rPr>
              <w:t>合同签订后，采购单位依法加强对合同履约进行管理，并在成交单位供货、项目验收等重要关节，如实填写《合同验收报告》（表附合同条款中），并及时向同级财政部门报告验收过程中遇到的问题。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sz w:val="22"/>
                <w:highlight w:val="none"/>
              </w:rPr>
            </w:pPr>
            <w:r>
              <w:rPr>
                <w:rFonts w:hint="eastAsia" w:ascii="宋体"/>
                <w:sz w:val="22"/>
                <w:highlight w:val="none"/>
              </w:rPr>
              <w:t>免责声明</w:t>
            </w:r>
          </w:p>
        </w:tc>
        <w:tc>
          <w:tcPr>
            <w:tcW w:w="7619" w:type="dxa"/>
            <w:vAlign w:val="center"/>
          </w:tcPr>
          <w:p>
            <w:pPr>
              <w:rPr>
                <w:rFonts w:ascii="宋体" w:cs="Arial"/>
                <w:sz w:val="22"/>
                <w:highlight w:val="none"/>
              </w:rPr>
            </w:pPr>
            <w:r>
              <w:rPr>
                <w:rFonts w:ascii="宋体" w:cs="Arial"/>
                <w:sz w:val="22"/>
                <w:highlight w:val="none"/>
              </w:rPr>
              <w:t>1</w:t>
            </w:r>
            <w:r>
              <w:rPr>
                <w:rFonts w:hint="eastAsia" w:ascii="宋体" w:cs="Arial"/>
                <w:sz w:val="22"/>
                <w:highlight w:val="none"/>
              </w:rPr>
              <w:t>、投标供应商自行承担投标过程中产生的费用。无论何种因素导致采购项目延期开标、废标（流标）、投标供应商未成交、项目终止采购的，采购单位与代理机构均不承担供应商投标费用。</w:t>
            </w:r>
          </w:p>
          <w:p>
            <w:pPr>
              <w:rPr>
                <w:rFonts w:ascii="宋体" w:cs="Arial"/>
                <w:sz w:val="22"/>
                <w:highlight w:val="none"/>
              </w:rPr>
            </w:pPr>
            <w:r>
              <w:rPr>
                <w:rFonts w:ascii="宋体" w:cs="Arial"/>
                <w:sz w:val="22"/>
                <w:highlight w:val="none"/>
              </w:rPr>
              <w:t>2</w:t>
            </w:r>
            <w:r>
              <w:rPr>
                <w:rFonts w:hint="eastAsia" w:ascii="宋体" w:cs="Arial"/>
                <w:sz w:val="22"/>
                <w:highlight w:val="none"/>
              </w:rPr>
              <w:t>、投标供应商在投标、合同履行过程中必须做好安全保障工作，不因项目实施而危及自身及第三方人员、财产安全。若发生任何安全事故，由成交供应商自行承担一切责任并赔偿损失。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vAlign w:val="center"/>
          </w:tcPr>
          <w:p>
            <w:pPr>
              <w:jc w:val="center"/>
              <w:rPr>
                <w:rFonts w:ascii="宋体" w:cs="Arial"/>
                <w:sz w:val="22"/>
                <w:highlight w:val="none"/>
              </w:rPr>
            </w:pPr>
            <w:r>
              <w:rPr>
                <w:rFonts w:hint="eastAsia" w:ascii="宋体" w:cs="Arial"/>
                <w:sz w:val="22"/>
                <w:szCs w:val="22"/>
                <w:highlight w:val="none"/>
              </w:rPr>
              <w:t>注意事项</w:t>
            </w:r>
          </w:p>
        </w:tc>
        <w:tc>
          <w:tcPr>
            <w:tcW w:w="7619" w:type="dxa"/>
            <w:vAlign w:val="center"/>
          </w:tcPr>
          <w:p>
            <w:pPr>
              <w:rPr>
                <w:rFonts w:ascii="宋体" w:cs="Arial"/>
                <w:sz w:val="22"/>
                <w:szCs w:val="22"/>
                <w:highlight w:val="none"/>
              </w:rPr>
            </w:pPr>
            <w:r>
              <w:rPr>
                <w:rFonts w:hint="eastAsia" w:ascii="宋体" w:cs="Arial"/>
                <w:sz w:val="22"/>
                <w:szCs w:val="22"/>
                <w:highlight w:val="none"/>
              </w:rPr>
              <w:t>1、请务必确保投标文件制作客户端为最新版本，旧版本可能导致投标文件解密失败。</w:t>
            </w:r>
          </w:p>
          <w:p>
            <w:pPr>
              <w:rPr>
                <w:rFonts w:ascii="宋体" w:cs="Arial"/>
                <w:sz w:val="22"/>
                <w:highlight w:val="none"/>
              </w:rPr>
            </w:pPr>
            <w:r>
              <w:rPr>
                <w:rFonts w:hint="eastAsia" w:ascii="宋体" w:cs="Arial"/>
                <w:sz w:val="22"/>
                <w:szCs w:val="22"/>
                <w:highlight w:val="none"/>
              </w:rPr>
              <w:t>2、请务必确保投标文件制作时所用的 CA 锁与投标文件解密时的 CA 锁为同一把，否则可能导致投标文件解密失败。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pPr>
              <w:widowControl/>
              <w:numPr>
                <w:ilvl w:val="0"/>
                <w:numId w:val="6"/>
              </w:numPr>
              <w:tabs>
                <w:tab w:val="left" w:pos="432"/>
              </w:tabs>
              <w:ind w:left="420" w:hanging="420"/>
              <w:jc w:val="right"/>
              <w:rPr>
                <w:rFonts w:ascii="宋体" w:eastAsia="Times New Roman"/>
                <w:sz w:val="22"/>
                <w:highlight w:val="none"/>
              </w:rPr>
            </w:pPr>
          </w:p>
        </w:tc>
        <w:tc>
          <w:tcPr>
            <w:tcW w:w="1600" w:type="dxa"/>
            <w:tcBorders>
              <w:bottom w:val="single" w:color="auto" w:sz="12" w:space="0"/>
            </w:tcBorders>
            <w:vAlign w:val="center"/>
          </w:tcPr>
          <w:p>
            <w:pPr>
              <w:jc w:val="center"/>
              <w:rPr>
                <w:rFonts w:hint="eastAsia" w:ascii="宋体" w:cs="Arial"/>
                <w:sz w:val="22"/>
                <w:szCs w:val="22"/>
                <w:highlight w:val="none"/>
              </w:rPr>
            </w:pPr>
            <w:r>
              <w:rPr>
                <w:rStyle w:val="32"/>
                <w:rFonts w:hint="eastAsia" w:ascii="宋体" w:hAnsi="宋体" w:eastAsia="宋体" w:cs="宋体"/>
                <w:color w:val="auto"/>
                <w:sz w:val="22"/>
                <w:highlight w:val="none"/>
                <w:shd w:val="clear" w:color="auto" w:fill="FFFFFF"/>
              </w:rPr>
              <w:t>其他补充事宜</w:t>
            </w:r>
            <w:r>
              <w:rPr>
                <w:rFonts w:hint="eastAsia" w:ascii="宋体" w:hAnsi="宋体" w:eastAsia="宋体" w:cs="宋体"/>
                <w:color w:val="auto"/>
                <w:sz w:val="22"/>
                <w:highlight w:val="none"/>
                <w:shd w:val="clear" w:color="auto" w:fill="FFFFFF"/>
              </w:rPr>
              <w:t> </w:t>
            </w:r>
          </w:p>
        </w:tc>
        <w:tc>
          <w:tcPr>
            <w:tcW w:w="7619" w:type="dxa"/>
            <w:tcBorders>
              <w:bottom w:val="single" w:color="auto" w:sz="12" w:space="0"/>
            </w:tcBorders>
            <w:vAlign w:val="center"/>
          </w:tcPr>
          <w:p>
            <w:pPr>
              <w:rPr>
                <w:rFonts w:ascii="宋体" w:cs="Arial"/>
                <w:color w:val="auto"/>
                <w:sz w:val="22"/>
                <w:szCs w:val="22"/>
                <w:highlight w:val="none"/>
              </w:rPr>
            </w:pPr>
            <w:r>
              <w:rPr>
                <w:rFonts w:hint="eastAsia" w:ascii="宋体" w:cs="Arial"/>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rPr>
                <w:rFonts w:hint="eastAsia" w:ascii="宋体" w:cs="Arial"/>
                <w:sz w:val="22"/>
                <w:szCs w:val="22"/>
                <w:highlight w:val="none"/>
              </w:rPr>
            </w:pPr>
            <w:r>
              <w:rPr>
                <w:rFonts w:hint="eastAsia" w:ascii="宋体" w:cs="Arial"/>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tc>
      </w:tr>
    </w:tbl>
    <w:p>
      <w:pPr>
        <w:rPr>
          <w:rFonts w:ascii="宋体" w:hAnsi="Calibri"/>
          <w:b/>
          <w:bCs/>
          <w:sz w:val="36"/>
          <w:szCs w:val="36"/>
          <w:highlight w:val="none"/>
          <w:lang w:val="zh-CN"/>
        </w:rPr>
      </w:pPr>
      <w:r>
        <w:rPr>
          <w:rFonts w:hint="eastAsia" w:ascii="宋体" w:hAnsi="Calibri"/>
          <w:b/>
          <w:bCs/>
          <w:sz w:val="36"/>
          <w:szCs w:val="36"/>
          <w:highlight w:val="none"/>
          <w:lang w:val="zh-CN"/>
        </w:rPr>
        <w:br w:type="page"/>
      </w:r>
    </w:p>
    <w:p>
      <w:pPr>
        <w:jc w:val="center"/>
        <w:rPr>
          <w:rFonts w:ascii="宋体" w:hAnsi="Calibri"/>
          <w:sz w:val="36"/>
          <w:szCs w:val="36"/>
          <w:highlight w:val="none"/>
          <w:lang w:val="zh-CN"/>
        </w:rPr>
      </w:pPr>
      <w:r>
        <w:rPr>
          <w:rFonts w:hint="eastAsia" w:ascii="宋体" w:hAnsi="Calibri"/>
          <w:b/>
          <w:bCs/>
          <w:sz w:val="36"/>
          <w:szCs w:val="36"/>
          <w:highlight w:val="none"/>
          <w:lang w:val="zh-CN"/>
        </w:rPr>
        <w:t>第二部分 招标内容</w:t>
      </w:r>
    </w:p>
    <w:p>
      <w:pPr>
        <w:autoSpaceDE w:val="0"/>
        <w:autoSpaceDN w:val="0"/>
        <w:adjustRightInd w:val="0"/>
        <w:snapToGrid w:val="0"/>
        <w:spacing w:line="360" w:lineRule="auto"/>
        <w:textAlignment w:val="bottom"/>
        <w:rPr>
          <w:rFonts w:ascii="宋体"/>
          <w:b/>
          <w:bCs/>
          <w:sz w:val="22"/>
          <w:highlight w:val="none"/>
        </w:rPr>
      </w:pPr>
      <w:r>
        <w:rPr>
          <w:rFonts w:hint="eastAsia" w:ascii="宋体"/>
          <w:b/>
          <w:bCs/>
          <w:sz w:val="22"/>
          <w:highlight w:val="none"/>
        </w:rPr>
        <w:t>一、项目背景</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1、为了加强农村公路安全管理，本项目为就</w:t>
      </w:r>
      <w:r>
        <w:rPr>
          <w:rFonts w:hint="eastAsia" w:ascii="宋体" w:hAnsi="宋体" w:eastAsia="宋体" w:cs="宋体"/>
          <w:sz w:val="22"/>
          <w:szCs w:val="22"/>
          <w:highlight w:val="none"/>
          <w:lang w:eastAsia="zh-CN"/>
        </w:rPr>
        <w:t>2024年农村公路路况及桥梁自动化检测（二次）</w:t>
      </w:r>
      <w:r>
        <w:rPr>
          <w:rFonts w:hint="eastAsia" w:ascii="宋体" w:hAnsi="宋体" w:eastAsia="宋体" w:cs="宋体"/>
          <w:sz w:val="22"/>
          <w:szCs w:val="22"/>
          <w:highlight w:val="none"/>
        </w:rPr>
        <w:t>工作中所需的专业技术服务</w:t>
      </w:r>
      <w:r>
        <w:rPr>
          <w:rFonts w:hint="eastAsia" w:ascii="宋体" w:hAnsi="宋体" w:cs="宋体"/>
          <w:sz w:val="22"/>
          <w:szCs w:val="22"/>
          <w:highlight w:val="none"/>
        </w:rPr>
        <w:t>进行</w:t>
      </w:r>
      <w:r>
        <w:rPr>
          <w:rFonts w:hint="eastAsia" w:ascii="宋体" w:hAnsi="宋体" w:eastAsia="宋体" w:cs="宋体"/>
          <w:sz w:val="22"/>
          <w:szCs w:val="22"/>
          <w:highlight w:val="none"/>
        </w:rPr>
        <w:t>招标。</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2、投标单位参加报名后，必须就竞争性磋商文件中的全部服务内容进行投标。</w:t>
      </w:r>
      <w:bookmarkStart w:id="58" w:name="_GoBack"/>
      <w:bookmarkEnd w:id="58"/>
    </w:p>
    <w:p>
      <w:pPr>
        <w:spacing w:line="360" w:lineRule="auto"/>
        <w:ind w:firstLine="495" w:firstLineChars="225"/>
        <w:rPr>
          <w:rFonts w:hint="eastAsia" w:ascii="宋体" w:hAnsi="宋体" w:eastAsia="宋体" w:cs="宋体"/>
          <w:sz w:val="22"/>
          <w:szCs w:val="22"/>
          <w:highlight w:val="none"/>
        </w:rPr>
      </w:pPr>
      <w:r>
        <w:rPr>
          <w:rFonts w:hint="eastAsia" w:ascii="宋体" w:hAnsi="宋体" w:cs="宋体"/>
          <w:sz w:val="22"/>
          <w:szCs w:val="22"/>
          <w:highlight w:val="none"/>
        </w:rPr>
        <w:t>3、本项目实施对象为</w:t>
      </w:r>
      <w:r>
        <w:rPr>
          <w:rFonts w:hint="eastAsia" w:ascii="宋体" w:hAnsi="宋体" w:cs="宋体"/>
          <w:sz w:val="22"/>
          <w:szCs w:val="22"/>
          <w:highlight w:val="none"/>
          <w:lang w:eastAsia="zh-CN"/>
        </w:rPr>
        <w:t>2024年农村公路路况及桥梁自动化检测</w:t>
      </w:r>
      <w:r>
        <w:rPr>
          <w:rFonts w:hint="eastAsia" w:ascii="宋体" w:hAnsi="宋体" w:cs="宋体"/>
          <w:sz w:val="22"/>
          <w:szCs w:val="22"/>
          <w:highlight w:val="none"/>
        </w:rPr>
        <w:t>，</w:t>
      </w:r>
      <w:r>
        <w:rPr>
          <w:rFonts w:hint="eastAsia" w:ascii="宋体" w:hAnsi="宋体" w:eastAsia="宋体" w:cs="宋体"/>
          <w:sz w:val="22"/>
          <w:szCs w:val="22"/>
          <w:highlight w:val="none"/>
        </w:rPr>
        <w:t>检测</w:t>
      </w:r>
      <w:r>
        <w:rPr>
          <w:rFonts w:hint="eastAsia" w:ascii="宋体" w:hAnsi="宋体" w:eastAsia="宋体" w:cs="宋体"/>
          <w:sz w:val="22"/>
          <w:szCs w:val="22"/>
          <w:highlight w:val="none"/>
          <w:lang w:eastAsia="zh-CN"/>
        </w:rPr>
        <w:t>量908.9公里的，桥梁检测约为2200延米</w:t>
      </w:r>
      <w:r>
        <w:rPr>
          <w:rFonts w:hint="eastAsia" w:ascii="宋体" w:hAnsi="宋体" w:eastAsia="宋体" w:cs="宋体"/>
          <w:sz w:val="22"/>
          <w:szCs w:val="22"/>
          <w:highlight w:val="none"/>
        </w:rPr>
        <w:t>。最终根据采购单位要求的检测数量进行检测。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6、建设地点：泰顺县范围内。</w:t>
      </w:r>
    </w:p>
    <w:p>
      <w:pPr>
        <w:spacing w:line="360" w:lineRule="auto"/>
        <w:ind w:firstLine="495" w:firstLineChars="225"/>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7、工期要求：</w:t>
      </w:r>
      <w:r>
        <w:rPr>
          <w:rFonts w:hint="eastAsia" w:ascii="宋体" w:hAnsi="宋体" w:eastAsia="宋体" w:cs="宋体"/>
          <w:sz w:val="22"/>
          <w:szCs w:val="22"/>
          <w:highlight w:val="none"/>
          <w:lang w:val="en-US" w:eastAsia="zh-CN"/>
        </w:rPr>
        <w:t>2024年10月份前完成业主方提供当年度检测内容，2024年11月份前完成检测报告编制并送审。</w:t>
      </w:r>
    </w:p>
    <w:p>
      <w:pPr>
        <w:numPr>
          <w:ilvl w:val="0"/>
          <w:numId w:val="7"/>
        </w:numPr>
        <w:spacing w:line="360" w:lineRule="auto"/>
        <w:rPr>
          <w:rFonts w:ascii="宋体" w:hAnsi="宋体" w:eastAsia="宋体" w:cs="宋体"/>
          <w:b/>
          <w:bCs/>
          <w:sz w:val="22"/>
          <w:szCs w:val="22"/>
          <w:highlight w:val="none"/>
        </w:rPr>
      </w:pPr>
      <w:r>
        <w:rPr>
          <w:rFonts w:hint="eastAsia" w:ascii="宋体" w:hAnsi="宋体" w:eastAsia="宋体" w:cs="宋体"/>
          <w:b/>
          <w:bCs/>
          <w:sz w:val="22"/>
          <w:szCs w:val="22"/>
          <w:highlight w:val="none"/>
        </w:rPr>
        <w:t>检测标准</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中标单位必须严格执行国家、交通运输部和上级行政主管部门有关公路工程及桥梁现行的法规和技术标准、规范、规程，严格按照</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《公路技术状况评定标准》（JTG 5210—2018）</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《公路路基路面现场测试规程》（JTG 3450—2019）</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《公路养护技术规范》（JTG/T 5190—2019）</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《公路工程质量检验评定标准》（JTG F80/1-2017）</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《公路工程技术标准》（JTG B01-2014）</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《公路桥涵设计通用规范》（JTG D60-2015）</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《大跨径混凝土桥梁的试验方法》（1982）</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 xml:space="preserve">《公路钢筋混凝土及预应力混凝土桥涵设计规范》（JTG </w:t>
      </w:r>
      <w:r>
        <w:rPr>
          <w:rFonts w:hAnsi="宋体" w:eastAsia="宋体"/>
          <w:sz w:val="22"/>
          <w:highlight w:val="none"/>
        </w:rPr>
        <w:t>3362</w:t>
      </w:r>
      <w:r>
        <w:rPr>
          <w:rFonts w:hint="eastAsia" w:hAnsi="宋体" w:eastAsia="宋体"/>
          <w:sz w:val="22"/>
          <w:highlight w:val="none"/>
        </w:rPr>
        <w:t>-</w:t>
      </w:r>
      <w:r>
        <w:rPr>
          <w:rFonts w:hAnsi="宋体" w:eastAsia="宋体"/>
          <w:sz w:val="22"/>
          <w:highlight w:val="none"/>
        </w:rPr>
        <w:t>2018</w:t>
      </w:r>
      <w:r>
        <w:rPr>
          <w:rFonts w:hint="eastAsia" w:hAnsi="宋体" w:eastAsia="宋体"/>
          <w:sz w:val="22"/>
          <w:highlight w:val="none"/>
        </w:rPr>
        <w:t>）</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《超声回弹综合法检测混凝土强度技术规范》（CECS02-2017）</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《公路工程质量检验评定标准》（</w:t>
      </w:r>
      <w:r>
        <w:rPr>
          <w:highlight w:val="none"/>
        </w:rPr>
        <w:fldChar w:fldCharType="begin"/>
      </w:r>
      <w:r>
        <w:rPr>
          <w:highlight w:val="none"/>
        </w:rPr>
        <w:instrText xml:space="preserve"> HYPERLINK "http://www.csres.com/detail/169223.html" \t "_blank" </w:instrText>
      </w:r>
      <w:r>
        <w:rPr>
          <w:highlight w:val="none"/>
        </w:rPr>
        <w:fldChar w:fldCharType="separate"/>
      </w:r>
      <w:r>
        <w:rPr>
          <w:rFonts w:hint="eastAsia" w:hAnsi="宋体" w:eastAsia="宋体"/>
          <w:sz w:val="22"/>
          <w:highlight w:val="none"/>
        </w:rPr>
        <w:t>JTG F80/1-</w:t>
      </w:r>
      <w:r>
        <w:rPr>
          <w:rFonts w:hAnsi="宋体" w:eastAsia="宋体"/>
          <w:sz w:val="22"/>
          <w:highlight w:val="none"/>
        </w:rPr>
        <w:t>2017</w:t>
      </w:r>
      <w:r>
        <w:rPr>
          <w:rFonts w:hAnsi="宋体" w:eastAsia="宋体"/>
          <w:sz w:val="22"/>
          <w:highlight w:val="none"/>
        </w:rPr>
        <w:fldChar w:fldCharType="end"/>
      </w:r>
      <w:r>
        <w:rPr>
          <w:rFonts w:hint="eastAsia" w:hAnsi="宋体" w:eastAsia="宋体"/>
          <w:sz w:val="22"/>
          <w:highlight w:val="none"/>
        </w:rPr>
        <w:t>）</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《超声法检测混凝土缺陷技术规程》（CECS 21:2000）</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《回弹法测混凝土抗压强度技术规程》（JGJ/T23-2011）</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《公路旧桥承载能力鉴定方法（试行）》交通部公路局1988</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《工程测量规范》（</w:t>
      </w:r>
      <w:r>
        <w:rPr>
          <w:rFonts w:hint="eastAsia" w:asciiTheme="minorEastAsia" w:hAnsiTheme="minorEastAsia"/>
          <w:color w:val="000000"/>
          <w:sz w:val="22"/>
          <w:szCs w:val="22"/>
          <w:highlight w:val="none"/>
        </w:rPr>
        <w:t>GB50026-2016</w:t>
      </w:r>
      <w:r>
        <w:rPr>
          <w:rFonts w:hint="eastAsia" w:hAnsi="宋体" w:eastAsia="宋体"/>
          <w:sz w:val="22"/>
          <w:highlight w:val="none"/>
        </w:rPr>
        <w:t>）</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《公路桥梁承载能力检测评定规程》（</w:t>
      </w:r>
      <w:r>
        <w:rPr>
          <w:rFonts w:hint="eastAsia" w:asciiTheme="minorEastAsia" w:hAnsiTheme="minorEastAsia"/>
          <w:color w:val="000000"/>
          <w:sz w:val="22"/>
          <w:szCs w:val="22"/>
          <w:highlight w:val="none"/>
        </w:rPr>
        <w:t>JTGT J21-2011</w:t>
      </w:r>
      <w:r>
        <w:rPr>
          <w:rFonts w:hint="eastAsia" w:hAnsi="宋体" w:eastAsia="宋体"/>
          <w:sz w:val="22"/>
          <w:highlight w:val="none"/>
        </w:rPr>
        <w:t>）</w:t>
      </w:r>
    </w:p>
    <w:p>
      <w:pPr>
        <w:pStyle w:val="16"/>
        <w:adjustRightInd w:val="0"/>
        <w:snapToGrid w:val="0"/>
        <w:spacing w:line="360" w:lineRule="auto"/>
        <w:ind w:firstLine="480"/>
        <w:rPr>
          <w:rFonts w:hAnsi="宋体" w:eastAsia="宋体"/>
          <w:sz w:val="22"/>
          <w:highlight w:val="none"/>
        </w:rPr>
      </w:pPr>
      <w:r>
        <w:rPr>
          <w:rFonts w:hint="eastAsia" w:hAnsi="宋体" w:eastAsia="宋体"/>
          <w:sz w:val="22"/>
          <w:highlight w:val="none"/>
        </w:rPr>
        <w:t>等行业技术规范和标准和本项目的技术规范要求开展工作，坚持原则、秉公办事，提供科学、准确的数据和报告。中标单位在合同期限内承担所出具数据真实性、完整性、准确性以及检查检测评定结论的法律责任，发现弄虚作假、欺瞒串通、数据造假等行为一经发现将终止合同，并承担相应法律责任。</w:t>
      </w:r>
    </w:p>
    <w:p>
      <w:pPr>
        <w:numPr>
          <w:ilvl w:val="0"/>
          <w:numId w:val="7"/>
        </w:numPr>
        <w:spacing w:line="360" w:lineRule="auto"/>
        <w:rPr>
          <w:rFonts w:ascii="宋体" w:hAnsi="宋体" w:eastAsia="宋体" w:cs="宋体"/>
          <w:b/>
          <w:bCs/>
          <w:sz w:val="22"/>
          <w:szCs w:val="22"/>
          <w:highlight w:val="none"/>
        </w:rPr>
      </w:pPr>
      <w:r>
        <w:rPr>
          <w:rFonts w:hint="eastAsia" w:ascii="宋体" w:hAnsi="宋体" w:eastAsia="宋体" w:cs="宋体"/>
          <w:b/>
          <w:bCs/>
          <w:sz w:val="22"/>
          <w:szCs w:val="22"/>
          <w:highlight w:val="none"/>
        </w:rPr>
        <w:t>检测人员与设备</w:t>
      </w:r>
    </w:p>
    <w:p>
      <w:pPr>
        <w:spacing w:line="360" w:lineRule="auto"/>
        <w:ind w:firstLine="495" w:firstLineChars="225"/>
        <w:rPr>
          <w:rFonts w:ascii="宋体" w:hAnsi="宋体" w:eastAsia="宋体" w:cs="宋体"/>
          <w:b/>
          <w:bCs/>
          <w:sz w:val="22"/>
          <w:szCs w:val="22"/>
          <w:highlight w:val="none"/>
        </w:rPr>
      </w:pPr>
      <w:r>
        <w:rPr>
          <w:rFonts w:hint="eastAsia" w:ascii="宋体" w:hAnsi="宋体" w:eastAsia="宋体" w:cs="宋体"/>
          <w:sz w:val="22"/>
          <w:szCs w:val="22"/>
          <w:highlight w:val="none"/>
        </w:rPr>
        <w:t>▲</w:t>
      </w:r>
      <w:r>
        <w:rPr>
          <w:rFonts w:ascii="宋体" w:hAnsi="宋体" w:eastAsia="宋体" w:cs="宋体"/>
          <w:b/>
          <w:bCs/>
          <w:sz w:val="22"/>
          <w:szCs w:val="22"/>
          <w:highlight w:val="none"/>
        </w:rPr>
        <w:t>1</w:t>
      </w:r>
      <w:r>
        <w:rPr>
          <w:rFonts w:hint="eastAsia" w:ascii="宋体" w:hAnsi="宋体" w:eastAsia="宋体" w:cs="宋体"/>
          <w:b/>
          <w:bCs/>
          <w:sz w:val="22"/>
          <w:szCs w:val="22"/>
          <w:highlight w:val="none"/>
        </w:rPr>
        <w:t>、中标供应商至少配备</w:t>
      </w:r>
      <w:r>
        <w:rPr>
          <w:rFonts w:hint="eastAsia" w:ascii="宋体" w:hAnsi="宋体" w:eastAsia="宋体" w:cs="宋体"/>
          <w:b/>
          <w:bCs/>
          <w:sz w:val="22"/>
          <w:szCs w:val="22"/>
          <w:highlight w:val="none"/>
          <w:lang w:val="en-US" w:eastAsia="zh-CN"/>
        </w:rPr>
        <w:t>4</w:t>
      </w:r>
      <w:r>
        <w:rPr>
          <w:rFonts w:hint="eastAsia" w:ascii="宋体" w:hAnsi="宋体" w:eastAsia="宋体" w:cs="宋体"/>
          <w:b/>
          <w:bCs/>
          <w:sz w:val="22"/>
          <w:szCs w:val="22"/>
          <w:highlight w:val="none"/>
        </w:rPr>
        <w:t>名符合竞争性磋商文件要求的检测人员，其中桥梁（或桥隧）专业2人，道路（或公路）专业2人。</w:t>
      </w:r>
    </w:p>
    <w:p>
      <w:pPr>
        <w:spacing w:line="360" w:lineRule="auto"/>
        <w:ind w:firstLine="495" w:firstLineChars="225"/>
        <w:rPr>
          <w:rFonts w:ascii="宋体" w:hAnsi="宋体" w:eastAsia="宋体" w:cs="宋体"/>
          <w:sz w:val="22"/>
          <w:szCs w:val="22"/>
          <w:highlight w:val="none"/>
        </w:rPr>
      </w:pPr>
      <w:r>
        <w:rPr>
          <w:rFonts w:ascii="宋体" w:hAnsi="宋体" w:eastAsia="宋体" w:cs="宋体"/>
          <w:sz w:val="22"/>
          <w:szCs w:val="22"/>
          <w:highlight w:val="none"/>
        </w:rPr>
        <w:t>2</w:t>
      </w:r>
      <w:r>
        <w:rPr>
          <w:rFonts w:hint="eastAsia" w:ascii="宋体" w:hAnsi="宋体" w:eastAsia="宋体" w:cs="宋体"/>
          <w:sz w:val="22"/>
          <w:szCs w:val="22"/>
          <w:highlight w:val="none"/>
        </w:rPr>
        <w:t>、</w:t>
      </w:r>
      <w:r>
        <w:rPr>
          <w:rFonts w:ascii="宋体" w:hAnsi="宋体" w:eastAsia="宋体" w:cs="宋体"/>
          <w:sz w:val="22"/>
          <w:szCs w:val="22"/>
          <w:highlight w:val="none"/>
        </w:rPr>
        <w:t>中标单位必须严格按照</w:t>
      </w:r>
      <w:r>
        <w:rPr>
          <w:rFonts w:hint="eastAsia" w:ascii="宋体" w:hAnsi="宋体" w:eastAsia="宋体" w:cs="宋体"/>
          <w:sz w:val="22"/>
          <w:szCs w:val="22"/>
          <w:highlight w:val="none"/>
        </w:rPr>
        <w:t>竞争性磋商文件</w:t>
      </w:r>
      <w:r>
        <w:rPr>
          <w:rFonts w:ascii="宋体" w:hAnsi="宋体" w:eastAsia="宋体" w:cs="宋体"/>
          <w:sz w:val="22"/>
          <w:szCs w:val="22"/>
          <w:highlight w:val="none"/>
        </w:rPr>
        <w:t>规定安排检测人员到项目所在地履行合同，派出人员必须能够适应</w:t>
      </w:r>
      <w:r>
        <w:rPr>
          <w:rFonts w:hint="eastAsia" w:ascii="宋体" w:hAnsi="宋体" w:eastAsia="宋体" w:cs="宋体"/>
          <w:sz w:val="22"/>
          <w:szCs w:val="22"/>
          <w:highlight w:val="none"/>
        </w:rPr>
        <w:t>竞争性磋商文件</w:t>
      </w:r>
      <w:r>
        <w:rPr>
          <w:rFonts w:ascii="宋体" w:hAnsi="宋体" w:eastAsia="宋体" w:cs="宋体"/>
          <w:sz w:val="22"/>
          <w:szCs w:val="22"/>
          <w:highlight w:val="none"/>
        </w:rPr>
        <w:t>规定的服务工作。</w:t>
      </w:r>
    </w:p>
    <w:p>
      <w:pPr>
        <w:spacing w:line="360" w:lineRule="auto"/>
        <w:ind w:firstLine="495" w:firstLineChars="225"/>
        <w:rPr>
          <w:rFonts w:ascii="宋体" w:hAnsi="宋体" w:eastAsia="宋体" w:cs="宋体"/>
          <w:sz w:val="22"/>
          <w:szCs w:val="22"/>
          <w:highlight w:val="none"/>
        </w:rPr>
      </w:pPr>
      <w:r>
        <w:rPr>
          <w:rFonts w:ascii="宋体" w:hAnsi="宋体" w:eastAsia="宋体" w:cs="宋体"/>
          <w:sz w:val="22"/>
          <w:szCs w:val="22"/>
          <w:highlight w:val="none"/>
        </w:rPr>
        <w:t>3</w:t>
      </w:r>
      <w:r>
        <w:rPr>
          <w:rFonts w:hint="eastAsia" w:ascii="宋体" w:hAnsi="宋体" w:eastAsia="宋体" w:cs="宋体"/>
          <w:sz w:val="22"/>
          <w:szCs w:val="22"/>
          <w:highlight w:val="none"/>
        </w:rPr>
        <w:t>、</w:t>
      </w:r>
      <w:r>
        <w:rPr>
          <w:rFonts w:ascii="宋体" w:hAnsi="宋体" w:eastAsia="宋体" w:cs="宋体"/>
          <w:sz w:val="22"/>
          <w:szCs w:val="22"/>
          <w:highlight w:val="none"/>
        </w:rPr>
        <w:t>为了履行检测与咨询服务，中标单位应在</w:t>
      </w:r>
      <w:r>
        <w:rPr>
          <w:rFonts w:hint="eastAsia" w:ascii="宋体" w:hAnsi="宋体" w:eastAsia="宋体" w:cs="宋体"/>
          <w:sz w:val="22"/>
          <w:szCs w:val="22"/>
          <w:highlight w:val="none"/>
        </w:rPr>
        <w:t>项目组织实施时</w:t>
      </w:r>
      <w:r>
        <w:rPr>
          <w:rFonts w:ascii="宋体" w:hAnsi="宋体" w:eastAsia="宋体" w:cs="宋体"/>
          <w:sz w:val="22"/>
          <w:szCs w:val="22"/>
          <w:highlight w:val="none"/>
        </w:rPr>
        <w:t>指定一名授权代表与</w:t>
      </w:r>
      <w:r>
        <w:rPr>
          <w:rFonts w:hint="eastAsia" w:ascii="宋体" w:hAnsi="宋体" w:eastAsia="宋体" w:cs="宋体"/>
          <w:sz w:val="22"/>
          <w:szCs w:val="22"/>
          <w:highlight w:val="none"/>
        </w:rPr>
        <w:t>采购单位</w:t>
      </w:r>
      <w:r>
        <w:rPr>
          <w:rFonts w:ascii="宋体" w:hAnsi="宋体" w:eastAsia="宋体" w:cs="宋体"/>
          <w:sz w:val="22"/>
          <w:szCs w:val="22"/>
          <w:highlight w:val="none"/>
        </w:rPr>
        <w:t>的授权代表建立工作联系。</w:t>
      </w:r>
    </w:p>
    <w:p>
      <w:pPr>
        <w:spacing w:line="360" w:lineRule="auto"/>
        <w:ind w:firstLine="495" w:firstLineChars="225"/>
        <w:rPr>
          <w:rFonts w:ascii="宋体" w:hAnsi="宋体" w:eastAsia="宋体" w:cs="宋体"/>
          <w:sz w:val="22"/>
          <w:szCs w:val="22"/>
          <w:highlight w:val="none"/>
        </w:rPr>
      </w:pPr>
      <w:r>
        <w:rPr>
          <w:rFonts w:ascii="宋体" w:hAnsi="宋体" w:eastAsia="宋体" w:cs="宋体"/>
          <w:sz w:val="22"/>
          <w:szCs w:val="22"/>
          <w:highlight w:val="none"/>
        </w:rPr>
        <w:t>4</w:t>
      </w:r>
      <w:r>
        <w:rPr>
          <w:rFonts w:hint="eastAsia" w:ascii="宋体" w:hAnsi="宋体" w:eastAsia="宋体" w:cs="宋体"/>
          <w:sz w:val="22"/>
          <w:szCs w:val="22"/>
          <w:highlight w:val="none"/>
        </w:rPr>
        <w:t>、</w:t>
      </w:r>
      <w:r>
        <w:rPr>
          <w:rFonts w:ascii="宋体" w:hAnsi="宋体" w:eastAsia="宋体" w:cs="宋体"/>
          <w:sz w:val="22"/>
          <w:szCs w:val="22"/>
          <w:highlight w:val="none"/>
        </w:rPr>
        <w:t>中标单位因工作安排或其他原因，需要更换派驻到项目所在地履行服务的主要人员时，应事先得到</w:t>
      </w:r>
      <w:r>
        <w:rPr>
          <w:rFonts w:hint="eastAsia" w:ascii="宋体" w:hAnsi="宋体" w:eastAsia="宋体" w:cs="宋体"/>
          <w:sz w:val="22"/>
          <w:szCs w:val="22"/>
          <w:highlight w:val="none"/>
        </w:rPr>
        <w:t>采购单位</w:t>
      </w:r>
      <w:r>
        <w:rPr>
          <w:rFonts w:ascii="宋体" w:hAnsi="宋体" w:eastAsia="宋体" w:cs="宋体"/>
          <w:sz w:val="22"/>
          <w:szCs w:val="22"/>
          <w:highlight w:val="none"/>
        </w:rPr>
        <w:t>的同意。</w:t>
      </w:r>
      <w:r>
        <w:rPr>
          <w:rFonts w:hint="eastAsia" w:ascii="宋体" w:hAnsi="宋体" w:eastAsia="宋体" w:cs="宋体"/>
          <w:sz w:val="22"/>
          <w:szCs w:val="22"/>
          <w:highlight w:val="none"/>
        </w:rPr>
        <w:t>采购单位</w:t>
      </w:r>
      <w:r>
        <w:rPr>
          <w:rFonts w:ascii="宋体" w:hAnsi="宋体" w:eastAsia="宋体" w:cs="宋体"/>
          <w:sz w:val="22"/>
          <w:szCs w:val="22"/>
          <w:highlight w:val="none"/>
        </w:rPr>
        <w:t>将在项目实施过程中安排人员对中标单位派出人员与投标承诺人员进行核对确认</w:t>
      </w:r>
      <w:r>
        <w:rPr>
          <w:rFonts w:hint="eastAsia" w:ascii="宋体" w:hAnsi="宋体" w:eastAsia="宋体" w:cs="宋体"/>
          <w:sz w:val="22"/>
          <w:szCs w:val="22"/>
          <w:highlight w:val="none"/>
        </w:rPr>
        <w:t>，并进行中间抽查</w:t>
      </w:r>
      <w:r>
        <w:rPr>
          <w:rFonts w:ascii="宋体" w:hAnsi="宋体" w:eastAsia="宋体" w:cs="宋体"/>
          <w:sz w:val="22"/>
          <w:szCs w:val="22"/>
          <w:highlight w:val="none"/>
        </w:rPr>
        <w:t>。</w:t>
      </w:r>
      <w:r>
        <w:rPr>
          <w:rFonts w:hint="eastAsia" w:ascii="宋体" w:hAnsi="宋体" w:eastAsia="宋体" w:cs="宋体"/>
          <w:sz w:val="22"/>
          <w:szCs w:val="22"/>
          <w:highlight w:val="none"/>
        </w:rPr>
        <w:t>检测</w:t>
      </w:r>
      <w:r>
        <w:rPr>
          <w:rFonts w:ascii="宋体" w:hAnsi="宋体" w:eastAsia="宋体" w:cs="宋体"/>
          <w:sz w:val="22"/>
          <w:szCs w:val="22"/>
          <w:highlight w:val="none"/>
        </w:rPr>
        <w:t>评定工作要</w:t>
      </w:r>
      <w:r>
        <w:rPr>
          <w:rFonts w:hint="eastAsia" w:ascii="宋体" w:hAnsi="宋体" w:eastAsia="宋体" w:cs="宋体"/>
          <w:sz w:val="22"/>
          <w:szCs w:val="22"/>
          <w:highlight w:val="none"/>
        </w:rPr>
        <w:t>在</w:t>
      </w:r>
      <w:r>
        <w:rPr>
          <w:rFonts w:ascii="宋体" w:hAnsi="宋体" w:eastAsia="宋体" w:cs="宋体"/>
          <w:sz w:val="22"/>
          <w:szCs w:val="22"/>
          <w:highlight w:val="none"/>
        </w:rPr>
        <w:t>桥</w:t>
      </w:r>
      <w:r>
        <w:rPr>
          <w:rFonts w:hint="eastAsia" w:ascii="宋体" w:hAnsi="宋体" w:eastAsia="宋体" w:cs="宋体"/>
          <w:sz w:val="22"/>
          <w:szCs w:val="22"/>
          <w:highlight w:val="none"/>
        </w:rPr>
        <w:t>隧、</w:t>
      </w:r>
      <w:r>
        <w:rPr>
          <w:rFonts w:ascii="宋体" w:hAnsi="宋体" w:eastAsia="宋体" w:cs="宋体"/>
          <w:sz w:val="22"/>
          <w:szCs w:val="22"/>
          <w:highlight w:val="none"/>
        </w:rPr>
        <w:t>公路所在</w:t>
      </w:r>
      <w:r>
        <w:rPr>
          <w:rFonts w:hint="eastAsia" w:ascii="宋体" w:hAnsi="宋体" w:eastAsia="宋体" w:cs="宋体"/>
          <w:sz w:val="22"/>
          <w:szCs w:val="22"/>
          <w:highlight w:val="none"/>
        </w:rPr>
        <w:t>地</w:t>
      </w:r>
      <w:r>
        <w:rPr>
          <w:rFonts w:ascii="宋体" w:hAnsi="宋体" w:eastAsia="宋体" w:cs="宋体"/>
          <w:sz w:val="22"/>
          <w:szCs w:val="22"/>
          <w:highlight w:val="none"/>
        </w:rPr>
        <w:t>完成，</w:t>
      </w:r>
      <w:r>
        <w:rPr>
          <w:rFonts w:hint="eastAsia" w:ascii="宋体" w:hAnsi="宋体" w:eastAsia="宋体" w:cs="宋体"/>
          <w:sz w:val="22"/>
          <w:szCs w:val="22"/>
          <w:highlight w:val="none"/>
        </w:rPr>
        <w:t>中标单位应</w:t>
      </w:r>
      <w:r>
        <w:rPr>
          <w:rFonts w:ascii="宋体" w:hAnsi="宋体" w:eastAsia="宋体" w:cs="宋体"/>
          <w:sz w:val="22"/>
          <w:szCs w:val="22"/>
          <w:highlight w:val="none"/>
        </w:rPr>
        <w:t>与所在地</w:t>
      </w:r>
      <w:r>
        <w:rPr>
          <w:rFonts w:hint="eastAsia" w:ascii="宋体" w:hAnsi="宋体" w:eastAsia="宋体" w:cs="宋体"/>
          <w:sz w:val="22"/>
          <w:szCs w:val="22"/>
          <w:highlight w:val="none"/>
        </w:rPr>
        <w:t>采购单位建立良好协调顺畅</w:t>
      </w:r>
      <w:r>
        <w:rPr>
          <w:rFonts w:ascii="宋体" w:hAnsi="宋体" w:eastAsia="宋体" w:cs="宋体"/>
          <w:sz w:val="22"/>
          <w:szCs w:val="22"/>
          <w:highlight w:val="none"/>
        </w:rPr>
        <w:t>沟通</w:t>
      </w:r>
      <w:r>
        <w:rPr>
          <w:rFonts w:hint="eastAsia" w:ascii="宋体" w:hAnsi="宋体" w:eastAsia="宋体" w:cs="宋体"/>
          <w:sz w:val="22"/>
          <w:szCs w:val="22"/>
          <w:highlight w:val="none"/>
        </w:rPr>
        <w:t>机制</w:t>
      </w:r>
      <w:r>
        <w:rPr>
          <w:rFonts w:ascii="宋体" w:hAnsi="宋体" w:eastAsia="宋体" w:cs="宋体"/>
          <w:sz w:val="22"/>
          <w:szCs w:val="22"/>
          <w:highlight w:val="none"/>
        </w:rPr>
        <w:t>，对有争议性的结果要逐一说明情况，并附详细的说明。</w:t>
      </w:r>
    </w:p>
    <w:p>
      <w:pPr>
        <w:spacing w:line="360" w:lineRule="auto"/>
        <w:ind w:firstLine="495" w:firstLineChars="225"/>
        <w:rPr>
          <w:rFonts w:ascii="宋体" w:hAnsi="宋体" w:eastAsia="宋体" w:cs="宋体"/>
          <w:sz w:val="22"/>
          <w:szCs w:val="22"/>
          <w:highlight w:val="none"/>
        </w:rPr>
      </w:pPr>
      <w:r>
        <w:rPr>
          <w:rFonts w:ascii="宋体" w:hAnsi="宋体" w:eastAsia="宋体" w:cs="宋体"/>
          <w:sz w:val="22"/>
          <w:szCs w:val="22"/>
          <w:highlight w:val="none"/>
        </w:rPr>
        <w:t>5</w:t>
      </w:r>
      <w:r>
        <w:rPr>
          <w:rFonts w:hint="eastAsia" w:ascii="宋体" w:hAnsi="宋体" w:eastAsia="宋体" w:cs="宋体"/>
          <w:sz w:val="22"/>
          <w:szCs w:val="22"/>
          <w:highlight w:val="none"/>
        </w:rPr>
        <w:t>、采购单位</w:t>
      </w:r>
      <w:r>
        <w:rPr>
          <w:rFonts w:ascii="宋体" w:hAnsi="宋体" w:eastAsia="宋体" w:cs="宋体"/>
          <w:sz w:val="22"/>
          <w:szCs w:val="22"/>
          <w:highlight w:val="none"/>
        </w:rPr>
        <w:t>有权以书面形式要求中标单位更换不能按照合同的规定履行服务的主要人员。</w:t>
      </w:r>
    </w:p>
    <w:p>
      <w:pPr>
        <w:spacing w:line="360" w:lineRule="auto"/>
        <w:ind w:firstLine="495" w:firstLineChars="225"/>
        <w:rPr>
          <w:rFonts w:ascii="宋体" w:hAnsi="宋体" w:eastAsia="宋体" w:cs="宋体"/>
          <w:sz w:val="22"/>
          <w:szCs w:val="22"/>
          <w:highlight w:val="none"/>
        </w:rPr>
      </w:pPr>
      <w:r>
        <w:rPr>
          <w:rFonts w:ascii="宋体" w:hAnsi="宋体" w:eastAsia="宋体" w:cs="宋体"/>
          <w:sz w:val="22"/>
          <w:szCs w:val="22"/>
          <w:highlight w:val="none"/>
        </w:rPr>
        <w:t>6</w:t>
      </w:r>
      <w:r>
        <w:rPr>
          <w:rFonts w:hint="eastAsia" w:ascii="宋体" w:hAnsi="宋体" w:eastAsia="宋体" w:cs="宋体"/>
          <w:sz w:val="22"/>
          <w:szCs w:val="22"/>
          <w:highlight w:val="none"/>
        </w:rPr>
        <w:t>、</w:t>
      </w:r>
      <w:r>
        <w:rPr>
          <w:rFonts w:ascii="宋体" w:hAnsi="宋体" w:eastAsia="宋体" w:cs="宋体"/>
          <w:sz w:val="22"/>
          <w:szCs w:val="22"/>
          <w:highlight w:val="none"/>
        </w:rPr>
        <w:t>在特殊情况下</w:t>
      </w:r>
      <w:r>
        <w:rPr>
          <w:rFonts w:hint="eastAsia" w:ascii="宋体" w:hAnsi="宋体" w:eastAsia="宋体" w:cs="宋体"/>
          <w:sz w:val="22"/>
          <w:szCs w:val="22"/>
          <w:highlight w:val="none"/>
        </w:rPr>
        <w:t>投标单位</w:t>
      </w:r>
      <w:r>
        <w:rPr>
          <w:rFonts w:ascii="宋体" w:hAnsi="宋体" w:eastAsia="宋体" w:cs="宋体"/>
          <w:sz w:val="22"/>
          <w:szCs w:val="22"/>
          <w:highlight w:val="none"/>
        </w:rPr>
        <w:t>可以同等资历的人员代替，但应事先得到</w:t>
      </w:r>
      <w:r>
        <w:rPr>
          <w:rFonts w:hint="eastAsia" w:ascii="宋体" w:hAnsi="宋体" w:eastAsia="宋体" w:cs="宋体"/>
          <w:sz w:val="22"/>
          <w:szCs w:val="22"/>
          <w:highlight w:val="none"/>
        </w:rPr>
        <w:t>采购单位</w:t>
      </w:r>
      <w:r>
        <w:rPr>
          <w:rFonts w:ascii="宋体" w:hAnsi="宋体" w:eastAsia="宋体" w:cs="宋体"/>
          <w:sz w:val="22"/>
          <w:szCs w:val="22"/>
          <w:highlight w:val="none"/>
        </w:rPr>
        <w:t>的</w:t>
      </w:r>
      <w:r>
        <w:rPr>
          <w:rFonts w:hint="eastAsia" w:ascii="宋体" w:hAnsi="宋体" w:eastAsia="宋体" w:cs="宋体"/>
          <w:sz w:val="22"/>
          <w:szCs w:val="22"/>
          <w:highlight w:val="none"/>
        </w:rPr>
        <w:t>同意</w:t>
      </w:r>
      <w:r>
        <w:rPr>
          <w:rFonts w:ascii="宋体" w:hAnsi="宋体" w:eastAsia="宋体" w:cs="宋体"/>
          <w:sz w:val="22"/>
          <w:szCs w:val="22"/>
          <w:highlight w:val="none"/>
        </w:rPr>
        <w:t>。</w:t>
      </w:r>
    </w:p>
    <w:p>
      <w:pPr>
        <w:spacing w:line="360" w:lineRule="auto"/>
        <w:ind w:firstLine="495" w:firstLineChars="225"/>
        <w:rPr>
          <w:rFonts w:ascii="宋体" w:hAnsi="宋体" w:eastAsia="宋体" w:cs="宋体"/>
          <w:sz w:val="22"/>
          <w:szCs w:val="22"/>
          <w:highlight w:val="none"/>
        </w:rPr>
      </w:pPr>
      <w:r>
        <w:rPr>
          <w:rFonts w:ascii="宋体" w:hAnsi="宋体" w:eastAsia="宋体" w:cs="宋体"/>
          <w:sz w:val="22"/>
          <w:szCs w:val="22"/>
          <w:highlight w:val="none"/>
        </w:rPr>
        <w:t>7</w:t>
      </w:r>
      <w:r>
        <w:rPr>
          <w:rFonts w:hint="eastAsia" w:ascii="宋体" w:hAnsi="宋体" w:eastAsia="宋体" w:cs="宋体"/>
          <w:sz w:val="22"/>
          <w:szCs w:val="22"/>
          <w:highlight w:val="none"/>
        </w:rPr>
        <w:t>、投标单位</w:t>
      </w:r>
      <w:r>
        <w:rPr>
          <w:rFonts w:ascii="宋体" w:hAnsi="宋体" w:eastAsia="宋体" w:cs="宋体"/>
          <w:sz w:val="22"/>
          <w:szCs w:val="22"/>
          <w:highlight w:val="none"/>
        </w:rPr>
        <w:t>中标后主要人员和设备必须按投标书所报情况按合同及</w:t>
      </w:r>
      <w:r>
        <w:rPr>
          <w:rFonts w:hint="eastAsia" w:ascii="宋体" w:hAnsi="宋体" w:eastAsia="宋体" w:cs="宋体"/>
          <w:sz w:val="22"/>
          <w:szCs w:val="22"/>
          <w:highlight w:val="none"/>
        </w:rPr>
        <w:t>采购单位</w:t>
      </w:r>
      <w:r>
        <w:rPr>
          <w:rFonts w:ascii="宋体" w:hAnsi="宋体" w:eastAsia="宋体" w:cs="宋体"/>
          <w:sz w:val="22"/>
          <w:szCs w:val="22"/>
          <w:highlight w:val="none"/>
        </w:rPr>
        <w:t>要求的时间、数量进场，主要人员（包括项目负责人、技术负责人、</w:t>
      </w:r>
      <w:r>
        <w:rPr>
          <w:rFonts w:hint="eastAsia" w:ascii="宋体" w:hAnsi="宋体" w:eastAsia="宋体" w:cs="宋体"/>
          <w:sz w:val="22"/>
          <w:szCs w:val="22"/>
          <w:highlight w:val="none"/>
        </w:rPr>
        <w:t>检测</w:t>
      </w:r>
      <w:r>
        <w:rPr>
          <w:rFonts w:ascii="宋体" w:hAnsi="宋体" w:eastAsia="宋体" w:cs="宋体"/>
          <w:sz w:val="22"/>
          <w:szCs w:val="22"/>
          <w:highlight w:val="none"/>
        </w:rPr>
        <w:t>工程师）未按要求进场，处</w:t>
      </w:r>
      <w:r>
        <w:rPr>
          <w:rFonts w:hint="eastAsia" w:ascii="宋体" w:hAnsi="宋体" w:eastAsia="宋体" w:cs="宋体"/>
          <w:sz w:val="22"/>
          <w:szCs w:val="22"/>
          <w:highlight w:val="none"/>
        </w:rPr>
        <w:t>以相应</w:t>
      </w:r>
      <w:r>
        <w:rPr>
          <w:rFonts w:ascii="宋体" w:hAnsi="宋体" w:eastAsia="宋体" w:cs="宋体"/>
          <w:sz w:val="22"/>
          <w:szCs w:val="22"/>
          <w:highlight w:val="none"/>
        </w:rPr>
        <w:t>的违约金</w:t>
      </w:r>
      <w:r>
        <w:rPr>
          <w:rFonts w:hint="eastAsia" w:ascii="宋体" w:hAnsi="宋体" w:eastAsia="宋体" w:cs="宋体"/>
          <w:sz w:val="22"/>
          <w:szCs w:val="22"/>
          <w:highlight w:val="none"/>
        </w:rPr>
        <w:t>（其中</w:t>
      </w:r>
      <w:r>
        <w:rPr>
          <w:rFonts w:ascii="宋体" w:hAnsi="宋体" w:eastAsia="宋体" w:cs="宋体"/>
          <w:sz w:val="22"/>
          <w:szCs w:val="22"/>
          <w:highlight w:val="none"/>
        </w:rPr>
        <w:t>项目负责人、技术负责人每人</w:t>
      </w:r>
      <w:r>
        <w:rPr>
          <w:rFonts w:hint="eastAsia" w:ascii="宋体" w:hAnsi="宋体" w:eastAsia="宋体" w:cs="宋体"/>
          <w:sz w:val="22"/>
          <w:szCs w:val="22"/>
          <w:highlight w:val="none"/>
        </w:rPr>
        <w:t>500</w:t>
      </w:r>
      <w:r>
        <w:rPr>
          <w:rFonts w:ascii="宋体" w:hAnsi="宋体" w:eastAsia="宋体" w:cs="宋体"/>
          <w:sz w:val="22"/>
          <w:szCs w:val="22"/>
          <w:highlight w:val="none"/>
        </w:rPr>
        <w:t>元</w:t>
      </w:r>
      <w:r>
        <w:rPr>
          <w:rFonts w:hint="eastAsia" w:ascii="宋体" w:hAnsi="宋体" w:eastAsia="宋体" w:cs="宋体"/>
          <w:sz w:val="22"/>
          <w:szCs w:val="22"/>
          <w:highlight w:val="none"/>
        </w:rPr>
        <w:t>/天、检测工程师每人300元/天）</w:t>
      </w:r>
      <w:r>
        <w:rPr>
          <w:rFonts w:ascii="宋体" w:hAnsi="宋体" w:eastAsia="宋体" w:cs="宋体"/>
          <w:sz w:val="22"/>
          <w:szCs w:val="22"/>
          <w:highlight w:val="none"/>
        </w:rPr>
        <w:t>。</w:t>
      </w:r>
      <w:r>
        <w:rPr>
          <w:rFonts w:hint="eastAsia" w:ascii="宋体" w:hAnsi="宋体" w:eastAsia="宋体" w:cs="宋体"/>
          <w:sz w:val="22"/>
          <w:szCs w:val="22"/>
          <w:highlight w:val="none"/>
        </w:rPr>
        <w:t>人员、设备在场证明由采购单位签字、拍照确认，格式另行商量确定。</w:t>
      </w:r>
    </w:p>
    <w:p>
      <w:pPr>
        <w:spacing w:line="360" w:lineRule="auto"/>
        <w:ind w:firstLine="495" w:firstLineChars="225"/>
        <w:rPr>
          <w:rFonts w:ascii="宋体" w:hAnsi="宋体" w:eastAsia="宋体" w:cs="宋体"/>
          <w:sz w:val="22"/>
          <w:szCs w:val="22"/>
          <w:highlight w:val="none"/>
        </w:rPr>
      </w:pPr>
      <w:r>
        <w:rPr>
          <w:rFonts w:ascii="宋体" w:hAnsi="宋体" w:eastAsia="宋体" w:cs="宋体"/>
          <w:sz w:val="22"/>
          <w:szCs w:val="22"/>
          <w:highlight w:val="none"/>
        </w:rPr>
        <w:t>8</w:t>
      </w:r>
      <w:r>
        <w:rPr>
          <w:rFonts w:hint="eastAsia" w:ascii="宋体" w:hAnsi="宋体" w:eastAsia="宋体" w:cs="宋体"/>
          <w:sz w:val="22"/>
          <w:szCs w:val="22"/>
          <w:highlight w:val="none"/>
        </w:rPr>
        <w:t>、项目负责人在合同约定到位天数内，单月累计不到位少于等于10天的，项目采购单位应从当月工程款中扣除相应的违约金，并约谈企业负责人；当月累计不到位多于10天的，项目采购单位应从当月工程款中扣除相应违约金，并报行业监管部门，行业监管部门应约谈企业负责人并责令整改；行业监管部门约谈企业负责人两次的，应上报其上级监管部门，并依据有关规定给予严肃处理。其他关键岗位人员应安合同约定执行。</w:t>
      </w:r>
    </w:p>
    <w:p>
      <w:pPr>
        <w:spacing w:line="360" w:lineRule="auto"/>
        <w:ind w:firstLine="497" w:firstLineChars="225"/>
        <w:rPr>
          <w:rFonts w:ascii="宋体" w:hAnsi="宋体" w:eastAsia="宋体" w:cs="宋体"/>
          <w:b/>
          <w:bCs/>
          <w:sz w:val="22"/>
          <w:szCs w:val="22"/>
          <w:highlight w:val="none"/>
        </w:rPr>
      </w:pPr>
      <w:r>
        <w:rPr>
          <w:rFonts w:hint="eastAsia" w:ascii="宋体" w:hAnsi="宋体" w:eastAsia="宋体" w:cs="宋体"/>
          <w:b/>
          <w:bCs/>
          <w:sz w:val="22"/>
          <w:szCs w:val="22"/>
          <w:highlight w:val="none"/>
        </w:rPr>
        <w:t>▲</w:t>
      </w:r>
      <w:r>
        <w:rPr>
          <w:rFonts w:ascii="宋体" w:hAnsi="宋体" w:eastAsia="宋体" w:cs="宋体"/>
          <w:b/>
          <w:bCs/>
          <w:sz w:val="22"/>
          <w:szCs w:val="22"/>
          <w:highlight w:val="none"/>
        </w:rPr>
        <w:t>9</w:t>
      </w:r>
      <w:r>
        <w:rPr>
          <w:rFonts w:hint="eastAsia" w:ascii="宋体" w:hAnsi="宋体" w:eastAsia="宋体" w:cs="宋体"/>
          <w:b/>
          <w:bCs/>
          <w:sz w:val="22"/>
          <w:szCs w:val="22"/>
          <w:highlight w:val="none"/>
        </w:rPr>
        <w:t>、检测设备应同时具有采购单位认可的，1台满足国标的《多功能路况快速检测设备》（GB/T 26764-2011）的多功能路况快速检测车、1台满足国标的桥梁检测车和2台满足项目要求的安全保障用车等设备（详情后附表）。多功能路况快速检测车需满足以车流速度（非稳态速度）自动检测路面损坏、路面平整度等路况信息的一体化智能检测系统。检测设备应能够分辨1mm及以上的路面裂缝，检测结果应采用计算机自动识别，识别准确率达到90%以上，检测时同时采集公路前方图像，前方图像数据要求能够与检测数据相关联。</w:t>
      </w:r>
    </w:p>
    <w:p>
      <w:pPr>
        <w:spacing w:line="360" w:lineRule="auto"/>
        <w:ind w:firstLine="497" w:firstLineChars="225"/>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▲主要试验检测设备最低数量要求</w:t>
      </w:r>
    </w:p>
    <w:tbl>
      <w:tblPr>
        <w:tblStyle w:val="29"/>
        <w:tblW w:w="88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487"/>
        <w:gridCol w:w="951"/>
        <w:gridCol w:w="1645"/>
        <w:gridCol w:w="16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5" w:type="dxa"/>
            <w:vAlign w:val="center"/>
          </w:tcPr>
          <w:p>
            <w:pPr>
              <w:tabs>
                <w:tab w:val="left" w:pos="2790"/>
              </w:tabs>
              <w:spacing w:line="288"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3487" w:type="dxa"/>
            <w:vAlign w:val="center"/>
          </w:tcPr>
          <w:p>
            <w:pPr>
              <w:tabs>
                <w:tab w:val="left" w:pos="2790"/>
              </w:tabs>
              <w:spacing w:line="288"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机械名称</w:t>
            </w:r>
          </w:p>
        </w:tc>
        <w:tc>
          <w:tcPr>
            <w:tcW w:w="951" w:type="dxa"/>
            <w:vAlign w:val="center"/>
          </w:tcPr>
          <w:p>
            <w:pPr>
              <w:tabs>
                <w:tab w:val="left" w:pos="2790"/>
              </w:tabs>
              <w:spacing w:line="288"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单位</w:t>
            </w:r>
          </w:p>
        </w:tc>
        <w:tc>
          <w:tcPr>
            <w:tcW w:w="1645" w:type="dxa"/>
            <w:vAlign w:val="center"/>
          </w:tcPr>
          <w:p>
            <w:pPr>
              <w:tabs>
                <w:tab w:val="left" w:pos="2790"/>
              </w:tabs>
              <w:spacing w:line="288"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最低数量要求</w:t>
            </w:r>
          </w:p>
        </w:tc>
        <w:tc>
          <w:tcPr>
            <w:tcW w:w="1671" w:type="dxa"/>
            <w:vAlign w:val="center"/>
          </w:tcPr>
          <w:p>
            <w:pPr>
              <w:tabs>
                <w:tab w:val="left" w:pos="2790"/>
              </w:tabs>
              <w:spacing w:line="288"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3487" w:type="dxa"/>
            <w:vAlign w:val="center"/>
          </w:tcPr>
          <w:p>
            <w:pPr>
              <w:tabs>
                <w:tab w:val="left" w:pos="2790"/>
              </w:tabs>
              <w:spacing w:line="288"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非金属超声检测仪</w:t>
            </w:r>
          </w:p>
        </w:tc>
        <w:tc>
          <w:tcPr>
            <w:tcW w:w="951"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套</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w:t>
            </w:r>
          </w:p>
        </w:tc>
        <w:tc>
          <w:tcPr>
            <w:tcW w:w="3487" w:type="dxa"/>
            <w:vAlign w:val="center"/>
          </w:tcPr>
          <w:p>
            <w:pPr>
              <w:tabs>
                <w:tab w:val="left" w:pos="2790"/>
              </w:tabs>
              <w:spacing w:line="288"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混凝土回弹仪</w:t>
            </w:r>
          </w:p>
        </w:tc>
        <w:tc>
          <w:tcPr>
            <w:tcW w:w="951"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套</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3</w:t>
            </w:r>
          </w:p>
        </w:tc>
        <w:tc>
          <w:tcPr>
            <w:tcW w:w="3487" w:type="dxa"/>
            <w:vAlign w:val="center"/>
          </w:tcPr>
          <w:p>
            <w:pPr>
              <w:tabs>
                <w:tab w:val="left" w:pos="2790"/>
              </w:tabs>
              <w:spacing w:line="288"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混凝土碳化深度测量仪</w:t>
            </w:r>
          </w:p>
        </w:tc>
        <w:tc>
          <w:tcPr>
            <w:tcW w:w="951"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套</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4</w:t>
            </w:r>
          </w:p>
        </w:tc>
        <w:tc>
          <w:tcPr>
            <w:tcW w:w="3487" w:type="dxa"/>
            <w:vAlign w:val="center"/>
          </w:tcPr>
          <w:p>
            <w:pPr>
              <w:tabs>
                <w:tab w:val="left" w:pos="2790"/>
              </w:tabs>
              <w:spacing w:line="288"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钢筋保护层厚度测定仪</w:t>
            </w:r>
          </w:p>
        </w:tc>
        <w:tc>
          <w:tcPr>
            <w:tcW w:w="951"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套</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5</w:t>
            </w:r>
          </w:p>
        </w:tc>
        <w:tc>
          <w:tcPr>
            <w:tcW w:w="3487" w:type="dxa"/>
            <w:vAlign w:val="center"/>
          </w:tcPr>
          <w:p>
            <w:pPr>
              <w:tabs>
                <w:tab w:val="left" w:pos="2790"/>
              </w:tabs>
              <w:spacing w:line="288"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多功能表面裂缝宽度观测记录仪</w:t>
            </w:r>
          </w:p>
        </w:tc>
        <w:tc>
          <w:tcPr>
            <w:tcW w:w="951"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套</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6</w:t>
            </w:r>
          </w:p>
        </w:tc>
        <w:tc>
          <w:tcPr>
            <w:tcW w:w="3487" w:type="dxa"/>
            <w:vAlign w:val="center"/>
          </w:tcPr>
          <w:p>
            <w:pPr>
              <w:tabs>
                <w:tab w:val="left" w:pos="2790"/>
              </w:tabs>
              <w:spacing w:line="288" w:lineRule="auto"/>
              <w:jc w:val="left"/>
              <w:rPr>
                <w:rFonts w:hint="eastAsia" w:ascii="宋体" w:hAnsi="宋体" w:eastAsia="宋体" w:cs="宋体"/>
                <w:bCs/>
                <w:szCs w:val="21"/>
                <w:highlight w:val="none"/>
              </w:rPr>
            </w:pPr>
            <w:r>
              <w:rPr>
                <w:rFonts w:hint="eastAsia" w:ascii="宋体" w:hAnsi="宋体" w:eastAsia="宋体" w:cs="宋体"/>
                <w:szCs w:val="21"/>
                <w:highlight w:val="none"/>
              </w:rPr>
              <w:t>裂缝测深仪</w:t>
            </w:r>
          </w:p>
        </w:tc>
        <w:tc>
          <w:tcPr>
            <w:tcW w:w="951"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套</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7</w:t>
            </w:r>
          </w:p>
        </w:tc>
        <w:tc>
          <w:tcPr>
            <w:tcW w:w="3487" w:type="dxa"/>
            <w:vAlign w:val="center"/>
          </w:tcPr>
          <w:p>
            <w:pPr>
              <w:tabs>
                <w:tab w:val="left" w:pos="2790"/>
              </w:tabs>
              <w:spacing w:line="288"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全站仪</w:t>
            </w:r>
          </w:p>
        </w:tc>
        <w:tc>
          <w:tcPr>
            <w:tcW w:w="951"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套</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8</w:t>
            </w:r>
          </w:p>
        </w:tc>
        <w:tc>
          <w:tcPr>
            <w:tcW w:w="3487" w:type="dxa"/>
            <w:vAlign w:val="center"/>
          </w:tcPr>
          <w:p>
            <w:pPr>
              <w:tabs>
                <w:tab w:val="left" w:pos="2790"/>
              </w:tabs>
              <w:spacing w:line="288"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t>激光测距仪</w:t>
            </w:r>
          </w:p>
        </w:tc>
        <w:tc>
          <w:tcPr>
            <w:tcW w:w="951"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套</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9</w:t>
            </w:r>
          </w:p>
        </w:tc>
        <w:tc>
          <w:tcPr>
            <w:tcW w:w="3487" w:type="dxa"/>
            <w:vAlign w:val="center"/>
          </w:tcPr>
          <w:p>
            <w:pPr>
              <w:tabs>
                <w:tab w:val="left" w:pos="2790"/>
              </w:tabs>
              <w:spacing w:line="288" w:lineRule="auto"/>
              <w:jc w:val="left"/>
              <w:rPr>
                <w:rFonts w:hint="eastAsia" w:ascii="宋体" w:hAnsi="宋体" w:eastAsia="宋体" w:cs="宋体"/>
                <w:bCs/>
                <w:szCs w:val="21"/>
                <w:highlight w:val="none"/>
              </w:rPr>
            </w:pPr>
            <w:r>
              <w:rPr>
                <w:rFonts w:hint="eastAsia" w:ascii="宋体" w:hAnsi="宋体" w:eastAsia="宋体" w:cs="宋体"/>
                <w:szCs w:val="21"/>
                <w:highlight w:val="none"/>
              </w:rPr>
              <w:t>桥梁检查车</w:t>
            </w:r>
          </w:p>
        </w:tc>
        <w:tc>
          <w:tcPr>
            <w:tcW w:w="951"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辆</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10</w:t>
            </w:r>
          </w:p>
        </w:tc>
        <w:tc>
          <w:tcPr>
            <w:tcW w:w="3487" w:type="dxa"/>
            <w:vAlign w:val="center"/>
          </w:tcPr>
          <w:p>
            <w:pPr>
              <w:tabs>
                <w:tab w:val="left" w:pos="2790"/>
              </w:tabs>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登高车</w:t>
            </w:r>
          </w:p>
        </w:tc>
        <w:tc>
          <w:tcPr>
            <w:tcW w:w="951"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辆</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11</w:t>
            </w:r>
          </w:p>
        </w:tc>
        <w:tc>
          <w:tcPr>
            <w:tcW w:w="3487" w:type="dxa"/>
            <w:vAlign w:val="center"/>
          </w:tcPr>
          <w:p>
            <w:pPr>
              <w:tabs>
                <w:tab w:val="left" w:pos="2790"/>
              </w:tabs>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多功能路况快速检测设备</w:t>
            </w:r>
          </w:p>
        </w:tc>
        <w:tc>
          <w:tcPr>
            <w:tcW w:w="951" w:type="dxa"/>
            <w:vAlign w:val="center"/>
          </w:tcPr>
          <w:p>
            <w:pPr>
              <w:tabs>
                <w:tab w:val="left" w:pos="2790"/>
              </w:tabs>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辆</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12</w:t>
            </w:r>
          </w:p>
        </w:tc>
        <w:tc>
          <w:tcPr>
            <w:tcW w:w="3487" w:type="dxa"/>
            <w:vAlign w:val="center"/>
          </w:tcPr>
          <w:p>
            <w:pPr>
              <w:tabs>
                <w:tab w:val="left" w:pos="2790"/>
              </w:tabs>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无人机</w:t>
            </w:r>
          </w:p>
        </w:tc>
        <w:tc>
          <w:tcPr>
            <w:tcW w:w="951" w:type="dxa"/>
            <w:vAlign w:val="center"/>
          </w:tcPr>
          <w:p>
            <w:pPr>
              <w:tabs>
                <w:tab w:val="left" w:pos="2790"/>
              </w:tabs>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台</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2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13</w:t>
            </w:r>
          </w:p>
        </w:tc>
        <w:tc>
          <w:tcPr>
            <w:tcW w:w="3487" w:type="dxa"/>
            <w:vAlign w:val="center"/>
          </w:tcPr>
          <w:p>
            <w:pPr>
              <w:tabs>
                <w:tab w:val="left" w:pos="2790"/>
              </w:tabs>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安全保障车</w:t>
            </w:r>
          </w:p>
        </w:tc>
        <w:tc>
          <w:tcPr>
            <w:tcW w:w="951" w:type="dxa"/>
            <w:vAlign w:val="center"/>
          </w:tcPr>
          <w:p>
            <w:pPr>
              <w:tabs>
                <w:tab w:val="left" w:pos="2790"/>
              </w:tabs>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辆</w:t>
            </w:r>
          </w:p>
        </w:tc>
        <w:tc>
          <w:tcPr>
            <w:tcW w:w="1645" w:type="dxa"/>
            <w:vAlign w:val="center"/>
          </w:tcPr>
          <w:p>
            <w:pPr>
              <w:tabs>
                <w:tab w:val="left" w:pos="2790"/>
              </w:tabs>
              <w:spacing w:line="288"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w:t>
            </w:r>
          </w:p>
        </w:tc>
        <w:tc>
          <w:tcPr>
            <w:tcW w:w="1671" w:type="dxa"/>
            <w:vAlign w:val="center"/>
          </w:tcPr>
          <w:p>
            <w:pPr>
              <w:spacing w:line="288"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满足检查要求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9" w:type="dxa"/>
            <w:gridSpan w:val="5"/>
            <w:vAlign w:val="center"/>
          </w:tcPr>
          <w:p>
            <w:pPr>
              <w:spacing w:line="288" w:lineRule="auto"/>
              <w:jc w:val="left"/>
              <w:rPr>
                <w:rFonts w:hint="eastAsia" w:ascii="宋体" w:hAnsi="宋体" w:eastAsia="宋体" w:cs="宋体"/>
                <w:bCs/>
                <w:szCs w:val="21"/>
                <w:highlight w:val="none"/>
              </w:rPr>
            </w:pPr>
            <w:r>
              <w:rPr>
                <w:rFonts w:hint="eastAsia" w:ascii="宋体" w:hAnsi="宋体" w:eastAsia="宋体" w:cs="宋体"/>
                <w:szCs w:val="21"/>
                <w:highlight w:val="none"/>
              </w:rPr>
              <w:t>需提供包括但不限于采购合同或机动车行驶证或设备购买发票等扫描件。如有增加多功能路况快速检测设备则需与表格中提供的生产厂家统一</w:t>
            </w:r>
            <w:r>
              <w:rPr>
                <w:rFonts w:hint="eastAsia" w:ascii="宋体" w:hAnsi="宋体" w:eastAsia="宋体" w:cs="宋体"/>
                <w:sz w:val="22"/>
                <w:szCs w:val="22"/>
                <w:highlight w:val="none"/>
              </w:rPr>
              <w:t>。</w:t>
            </w:r>
          </w:p>
        </w:tc>
      </w:tr>
    </w:tbl>
    <w:p>
      <w:pPr>
        <w:spacing w:line="360" w:lineRule="auto"/>
        <w:ind w:firstLine="495" w:firstLineChars="225"/>
        <w:rPr>
          <w:rFonts w:ascii="宋体" w:hAnsi="宋体" w:eastAsia="宋体" w:cs="宋体"/>
          <w:b/>
          <w:bCs/>
          <w:sz w:val="22"/>
          <w:szCs w:val="22"/>
          <w:highlight w:val="none"/>
        </w:rPr>
      </w:pPr>
      <w:r>
        <w:rPr>
          <w:rFonts w:hint="eastAsia" w:ascii="宋体" w:hAnsi="宋体" w:eastAsia="宋体" w:cs="宋体"/>
          <w:sz w:val="22"/>
          <w:szCs w:val="22"/>
          <w:highlight w:val="none"/>
        </w:rPr>
        <w:t>▲</w:t>
      </w:r>
      <w:r>
        <w:rPr>
          <w:rFonts w:hint="eastAsia" w:ascii="宋体" w:hAnsi="宋体" w:eastAsia="宋体" w:cs="宋体"/>
          <w:b/>
          <w:bCs/>
          <w:sz w:val="22"/>
          <w:szCs w:val="22"/>
          <w:highlight w:val="none"/>
        </w:rPr>
        <w:t>10、项目负责人要求</w:t>
      </w:r>
    </w:p>
    <w:p>
      <w:pPr>
        <w:spacing w:line="360" w:lineRule="auto"/>
        <w:ind w:firstLine="497" w:firstLineChars="225"/>
        <w:rPr>
          <w:rFonts w:ascii="宋体" w:hAnsi="宋体" w:eastAsia="宋体" w:cs="宋体"/>
          <w:b/>
          <w:bCs/>
          <w:sz w:val="22"/>
          <w:szCs w:val="22"/>
          <w:highlight w:val="none"/>
        </w:rPr>
      </w:pPr>
      <w:r>
        <w:rPr>
          <w:rFonts w:hint="eastAsia" w:ascii="宋体" w:hAnsi="宋体" w:eastAsia="宋体" w:cs="宋体"/>
          <w:b/>
          <w:bCs/>
          <w:sz w:val="22"/>
          <w:szCs w:val="22"/>
          <w:highlight w:val="none"/>
        </w:rPr>
        <w:t>具备交通运输部职业资格中心颁发的公路水运工程</w:t>
      </w:r>
      <w:r>
        <w:rPr>
          <w:rFonts w:hint="eastAsia" w:ascii="宋体" w:hAnsi="宋体" w:eastAsia="宋体" w:cs="宋体"/>
          <w:b/>
          <w:bCs/>
          <w:sz w:val="22"/>
          <w:szCs w:val="22"/>
          <w:highlight w:val="none"/>
          <w:lang w:eastAsia="zh-CN"/>
        </w:rPr>
        <w:t>（或桥梁隧道工程专业）</w:t>
      </w:r>
      <w:r>
        <w:rPr>
          <w:rFonts w:hint="eastAsia" w:ascii="宋体" w:hAnsi="宋体" w:eastAsia="宋体" w:cs="宋体"/>
          <w:b/>
          <w:bCs/>
          <w:sz w:val="22"/>
          <w:szCs w:val="22"/>
          <w:highlight w:val="none"/>
        </w:rPr>
        <w:t>试验检测师证书或交通运输部工程质量监督局颁发的公路工程试验检测工程师证书（桥梁隧道工程或道路（公路）工程专业），并具有高级工程师及以上职称；</w:t>
      </w:r>
    </w:p>
    <w:p>
      <w:pPr>
        <w:spacing w:line="360" w:lineRule="auto"/>
        <w:ind w:firstLine="495" w:firstLineChars="225"/>
        <w:rPr>
          <w:rFonts w:ascii="宋体" w:hAnsi="宋体" w:eastAsia="宋体" w:cs="宋体"/>
          <w:b/>
          <w:bCs/>
          <w:sz w:val="22"/>
          <w:szCs w:val="22"/>
          <w:highlight w:val="none"/>
        </w:rPr>
      </w:pPr>
      <w:r>
        <w:rPr>
          <w:rFonts w:hint="eastAsia" w:ascii="宋体" w:hAnsi="宋体" w:eastAsia="宋体" w:cs="宋体"/>
          <w:sz w:val="22"/>
          <w:szCs w:val="22"/>
          <w:highlight w:val="none"/>
        </w:rPr>
        <w:t>▲11、</w:t>
      </w:r>
      <w:r>
        <w:rPr>
          <w:rFonts w:hint="eastAsia" w:ascii="宋体" w:hAnsi="宋体" w:eastAsia="宋体" w:cs="宋体"/>
          <w:b/>
          <w:bCs/>
          <w:sz w:val="22"/>
          <w:szCs w:val="22"/>
          <w:highlight w:val="none"/>
        </w:rPr>
        <w:t>技术负责人要求</w:t>
      </w:r>
    </w:p>
    <w:p>
      <w:pPr>
        <w:spacing w:line="360" w:lineRule="auto"/>
        <w:ind w:firstLine="497" w:firstLineChars="225"/>
        <w:rPr>
          <w:rFonts w:ascii="宋体" w:hAnsi="宋体" w:eastAsia="宋体" w:cs="宋体"/>
          <w:b/>
          <w:bCs/>
          <w:sz w:val="22"/>
          <w:szCs w:val="22"/>
          <w:highlight w:val="none"/>
        </w:rPr>
      </w:pPr>
      <w:r>
        <w:rPr>
          <w:rFonts w:hint="eastAsia" w:ascii="宋体" w:hAnsi="宋体" w:eastAsia="宋体" w:cs="宋体"/>
          <w:b/>
          <w:bCs/>
          <w:sz w:val="22"/>
          <w:szCs w:val="22"/>
          <w:highlight w:val="none"/>
        </w:rPr>
        <w:t>具备交通运输部职业资格中心颁发的公路水运工程</w:t>
      </w:r>
      <w:r>
        <w:rPr>
          <w:rFonts w:hint="eastAsia" w:ascii="宋体" w:hAnsi="宋体" w:eastAsia="宋体" w:cs="宋体"/>
          <w:b/>
          <w:bCs/>
          <w:sz w:val="22"/>
          <w:szCs w:val="22"/>
          <w:highlight w:val="none"/>
          <w:lang w:eastAsia="zh-CN"/>
        </w:rPr>
        <w:t>（或桥梁隧道工程专业）</w:t>
      </w:r>
      <w:r>
        <w:rPr>
          <w:rFonts w:hint="eastAsia" w:ascii="宋体" w:hAnsi="宋体" w:eastAsia="宋体" w:cs="宋体"/>
          <w:b/>
          <w:bCs/>
          <w:sz w:val="22"/>
          <w:szCs w:val="22"/>
          <w:highlight w:val="none"/>
        </w:rPr>
        <w:t>试验检测师证书或交通运输部工程质量监督局颁发的公路工程试验检测工程师证书（桥梁隧道工程或道路（公路）工程专业），并具有高级工程师及以上职称；</w:t>
      </w:r>
    </w:p>
    <w:p>
      <w:pPr>
        <w:spacing w:line="360" w:lineRule="auto"/>
        <w:ind w:firstLine="495" w:firstLineChars="225"/>
        <w:rPr>
          <w:rFonts w:ascii="宋体" w:hAnsi="宋体" w:eastAsia="宋体" w:cs="宋体"/>
          <w:b/>
          <w:bCs/>
          <w:sz w:val="22"/>
          <w:szCs w:val="22"/>
          <w:highlight w:val="none"/>
        </w:rPr>
      </w:pPr>
      <w:r>
        <w:rPr>
          <w:rFonts w:hint="eastAsia" w:ascii="宋体" w:hAnsi="宋体" w:eastAsia="宋体" w:cs="宋体"/>
          <w:sz w:val="22"/>
          <w:szCs w:val="22"/>
          <w:highlight w:val="none"/>
        </w:rPr>
        <w:t>▲12、</w:t>
      </w:r>
      <w:r>
        <w:rPr>
          <w:rFonts w:hint="eastAsia" w:ascii="宋体" w:hAnsi="宋体" w:eastAsia="宋体" w:cs="宋体"/>
          <w:b/>
          <w:bCs/>
          <w:sz w:val="22"/>
          <w:szCs w:val="22"/>
          <w:highlight w:val="none"/>
        </w:rPr>
        <w:t>检测人员要求</w:t>
      </w:r>
    </w:p>
    <w:p>
      <w:pPr>
        <w:spacing w:line="360" w:lineRule="auto"/>
        <w:ind w:firstLine="497" w:firstLineChars="225"/>
        <w:rPr>
          <w:rFonts w:ascii="宋体" w:hAnsi="宋体" w:eastAsia="宋体" w:cs="宋体"/>
          <w:b/>
          <w:bCs/>
          <w:sz w:val="22"/>
          <w:szCs w:val="22"/>
          <w:highlight w:val="none"/>
        </w:rPr>
      </w:pPr>
      <w:r>
        <w:rPr>
          <w:rFonts w:hint="eastAsia" w:ascii="宋体" w:hAnsi="宋体" w:eastAsia="宋体" w:cs="宋体"/>
          <w:b/>
          <w:bCs/>
          <w:sz w:val="22"/>
          <w:szCs w:val="22"/>
          <w:highlight w:val="none"/>
        </w:rPr>
        <w:t>（1）桥梁检测工程师</w:t>
      </w:r>
      <w:r>
        <w:rPr>
          <w:rFonts w:hint="eastAsia" w:ascii="宋体" w:hAnsi="宋体" w:eastAsia="宋体" w:cs="宋体"/>
          <w:b/>
          <w:bCs/>
          <w:sz w:val="22"/>
          <w:szCs w:val="22"/>
          <w:highlight w:val="none"/>
          <w:lang w:eastAsia="zh-CN"/>
        </w:rPr>
        <w:t>（至少</w:t>
      </w:r>
      <w:r>
        <w:rPr>
          <w:rFonts w:hint="eastAsia" w:ascii="宋体" w:hAnsi="宋体" w:eastAsia="宋体" w:cs="宋体"/>
          <w:b/>
          <w:bCs/>
          <w:sz w:val="22"/>
          <w:szCs w:val="22"/>
          <w:highlight w:val="none"/>
          <w:lang w:val="en-US" w:eastAsia="zh-CN"/>
        </w:rPr>
        <w:t>2名</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：具备交通运输部职业资格中心颁发的公路水运工程试验检测师证书或交通运输部工程质量监督局颁发的公路工程试验检测工程师证书（桥梁隧道工程专业），并具有工程师及以上职称；</w:t>
      </w:r>
    </w:p>
    <w:p>
      <w:pPr>
        <w:spacing w:line="360" w:lineRule="auto"/>
        <w:ind w:firstLine="497" w:firstLineChars="225"/>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（2）道路检测工程师</w:t>
      </w:r>
      <w:r>
        <w:rPr>
          <w:rFonts w:hint="eastAsia" w:ascii="宋体" w:hAnsi="宋体" w:eastAsia="宋体" w:cs="宋体"/>
          <w:b/>
          <w:bCs/>
          <w:sz w:val="22"/>
          <w:szCs w:val="22"/>
          <w:highlight w:val="none"/>
          <w:lang w:eastAsia="zh-CN"/>
        </w:rPr>
        <w:t>（至少</w:t>
      </w:r>
      <w:r>
        <w:rPr>
          <w:rFonts w:hint="eastAsia" w:ascii="宋体" w:hAnsi="宋体" w:eastAsia="宋体" w:cs="宋体"/>
          <w:b/>
          <w:bCs/>
          <w:sz w:val="22"/>
          <w:szCs w:val="22"/>
          <w:highlight w:val="none"/>
          <w:lang w:val="en-US" w:eastAsia="zh-CN"/>
        </w:rPr>
        <w:t>2名</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：具备交通运输部职业资格中心颁发的公路水运工程试验检测师证书或交通运输部工程质量监督局颁发的公路工程试验检测工程师证书（道路（公路）工程专业），并具有工程师及以上职称；</w:t>
      </w:r>
    </w:p>
    <w:p>
      <w:pPr>
        <w:spacing w:line="360" w:lineRule="auto"/>
        <w:ind w:firstLine="497" w:firstLineChars="225"/>
        <w:rPr>
          <w:rFonts w:hint="eastAsia" w:ascii="宋体" w:hAnsi="宋体" w:eastAsia="宋体" w:cs="宋体"/>
          <w:b/>
          <w:bCs/>
          <w:sz w:val="22"/>
          <w:szCs w:val="22"/>
          <w:highlight w:val="none"/>
          <w:lang w:eastAsia="zh-CN"/>
        </w:rPr>
      </w:pPr>
      <w:r>
        <w:rPr>
          <w:rFonts w:hint="eastAsia" w:ascii="宋体" w:hAnsi="宋体" w:eastAsia="宋体" w:cs="宋体"/>
          <w:b/>
          <w:bCs/>
          <w:sz w:val="22"/>
          <w:szCs w:val="22"/>
          <w:highlight w:val="none"/>
          <w:lang w:eastAsia="zh-CN"/>
        </w:rPr>
        <w:t>注：以上人员不得兼任。</w:t>
      </w:r>
    </w:p>
    <w:p>
      <w:pPr>
        <w:numPr>
          <w:ilvl w:val="0"/>
          <w:numId w:val="7"/>
        </w:numPr>
        <w:spacing w:line="360" w:lineRule="auto"/>
        <w:rPr>
          <w:rFonts w:ascii="宋体" w:hAnsi="宋体" w:eastAsia="宋体" w:cs="宋体"/>
          <w:b/>
          <w:bCs/>
          <w:sz w:val="22"/>
          <w:szCs w:val="22"/>
          <w:highlight w:val="none"/>
        </w:rPr>
      </w:pPr>
      <w:r>
        <w:rPr>
          <w:rFonts w:hint="eastAsia" w:ascii="宋体" w:hAnsi="宋体" w:eastAsia="宋体" w:cs="宋体"/>
          <w:b/>
          <w:bCs/>
          <w:sz w:val="22"/>
          <w:szCs w:val="22"/>
          <w:highlight w:val="none"/>
        </w:rPr>
        <w:t>报告</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1、中标单位根据中标合同要求需提供以下报告：</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路况检测报告6份，检测报告根据公路技术状况评定标准进行路况评定（PQI、PCI、RQI）及分析。</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桥梁检测报告6份，检测报告根据依据《公路桥涵养护规范》（JTG 5120-2021）的规定，桥梁完好状态等级通过BCI值及分析。</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2、检测报告应以U盘或光碟等形式备份给泰顺县交通运输管理中心。</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3、项目实施过程中或项目竞争性磋商文件规定期限内如采购单位有相关道路、桥梁资料需中标供应商提供或整理收集，中标供应商应予以配合。</w:t>
      </w:r>
    </w:p>
    <w:p>
      <w:pPr>
        <w:numPr>
          <w:ilvl w:val="0"/>
          <w:numId w:val="7"/>
        </w:numPr>
        <w:spacing w:line="360" w:lineRule="auto"/>
        <w:rPr>
          <w:rFonts w:ascii="宋体" w:hAnsi="宋体" w:eastAsia="宋体" w:cs="宋体"/>
          <w:b/>
          <w:bCs/>
          <w:sz w:val="22"/>
          <w:szCs w:val="22"/>
          <w:highlight w:val="none"/>
        </w:rPr>
      </w:pPr>
      <w:r>
        <w:rPr>
          <w:rFonts w:hint="eastAsia" w:ascii="宋体" w:hAnsi="宋体" w:eastAsia="宋体" w:cs="宋体"/>
          <w:b/>
          <w:bCs/>
          <w:sz w:val="22"/>
          <w:szCs w:val="22"/>
          <w:highlight w:val="none"/>
        </w:rPr>
        <w:t>保密及知识产权</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1、中标供应商应当对每宗作业情况建立完整的电子档案，在合同正常终止后全部移交给采购单位保管。</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2、与本项目有关的资料及数据成果中涉及国家秘密的内容，均要求按照《国家保密法》及相关法律法规执行。</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3、中标供应商应当遵守相关保密法律、法规，确保采购单位及被执法单位的信息安全。</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4、本项目中标单位在检测服务期间及合格的检测数据交付后5年时间内，不得将任何资料向第三方泄露，除非征得采购单位的书面同意。</w:t>
      </w:r>
    </w:p>
    <w:p>
      <w:pPr>
        <w:numPr>
          <w:ilvl w:val="0"/>
          <w:numId w:val="7"/>
        </w:numPr>
        <w:spacing w:line="360" w:lineRule="auto"/>
        <w:rPr>
          <w:rFonts w:ascii="宋体" w:hAnsi="宋体" w:eastAsia="宋体" w:cs="宋体"/>
          <w:b/>
          <w:bCs/>
          <w:sz w:val="22"/>
          <w:szCs w:val="22"/>
          <w:highlight w:val="none"/>
        </w:rPr>
      </w:pPr>
      <w:r>
        <w:rPr>
          <w:rFonts w:hint="eastAsia" w:ascii="宋体" w:hAnsi="宋体" w:eastAsia="宋体" w:cs="宋体"/>
          <w:b/>
          <w:bCs/>
          <w:sz w:val="22"/>
          <w:szCs w:val="22"/>
          <w:highlight w:val="none"/>
        </w:rPr>
        <w:t>责任和保障</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1、中标单位的赔偿责任</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中标单位违反合同的规定并造成采购单位经济损失的，应向采购单位赔偿。由于第三方原因造成的任何经济损失，中标单位不承担责任。如果中标单位与采购单位或第三方对有关经济损失共负责任时，应按责任比例计算赔偿。</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本项目中标单位因违反合同的规定，造成采购单位的经济损失时，或因检查成果质量不高，管理不力，造成采购单位对质量不满意时，应根据其所承担责任向采购单位赔偿损失。当对责任的确定有争议时，按关于争端解决的有关规定解决。</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（3）质量违约：主要检测项目的报告资料两次审查不合格或拒不按采购单位要求进行修改完善，将解除承包人的合同，清除出场，并由承包人承担违约责任。</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（4）进度违约：拖期损失偿金人民币500元/周，拖期损失偿金限额为合同价格的10%。</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2、采购单位的赔偿责任</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采购单位因违反合同的规定并造成中标单位经济损失时，应据实向中标单位赔偿经济损失。赔偿金为中标单位的直接经济损失。</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3、赔偿责任的期限</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采购单位或中标单位任何一方向另一方要求的赔偿，都应在赔偿事件发生后的28日之内以书面形式提出索赔。如果该事件具有持续性，则应在事件首次发生后7日之内提出索赔意向，并每隔7日提供一次该事件仍在持续发展的证明材料，直至该事件结束后28日之内提出正式的索赔文件。否则，无论是采购单位还是中标单位均有权对上述索赔不予受理。</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4、赔偿的限额</w:t>
      </w:r>
    </w:p>
    <w:p>
      <w:pPr>
        <w:spacing w:line="360" w:lineRule="auto"/>
        <w:ind w:firstLine="495" w:firstLineChars="225"/>
        <w:rPr>
          <w:rFonts w:ascii="宋体" w:hAnsi="宋体" w:eastAsia="宋体" w:cs="宋体"/>
          <w:sz w:val="24"/>
          <w:szCs w:val="24"/>
          <w:highlight w:val="none"/>
        </w:rPr>
      </w:pPr>
      <w:r>
        <w:rPr>
          <w:rFonts w:hint="eastAsia" w:ascii="宋体" w:hAnsi="宋体" w:eastAsia="宋体" w:cs="宋体"/>
          <w:sz w:val="22"/>
          <w:szCs w:val="22"/>
          <w:highlight w:val="none"/>
        </w:rPr>
        <w:t>本项目中标单位的累计赔偿限额为合同价格的10%。当达到此限额时，采购单位有权单方面终止合同，并没收中标单位的履约担保金。但本合同条件其它条款规定的补偿和由于故意违约而引起的索赔，</w:t>
      </w:r>
      <w:r>
        <w:rPr>
          <w:rFonts w:hint="eastAsia" w:ascii="宋体" w:hAnsi="宋体" w:eastAsia="宋体" w:cs="宋体"/>
          <w:sz w:val="24"/>
          <w:szCs w:val="24"/>
          <w:highlight w:val="none"/>
        </w:rPr>
        <w:t>不受该限额的限制。</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5、保障</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双方可在合同条件中约定，由中标单位按照采购单位认可的形式向采购单位递交履约担保。如果中标单位无正当理由全部或部分不履行本合同时，采购单位有权根据具体情况没收全部或部分履约担保。</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履约担保从签订合同协议书之日起生效，至项目提交正式检测报告之日止。</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6、保险</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中标单位应在合同服务期内，自费办理派驻到项目所在地的人身和自备装备的有关保险，保险时间应随服务时间的延长而顺延，并在出险后自行办理索赔。如果中标单位不办理上述保险，则应对有关风险及后果自负其责。</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（2）采购单位要求的保险:</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人身意外伤害险要求中标单位必须投保，费用包含在报价中，不单独报价。</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中标单位的雇员及装备的保险，要求投标单位必须投保，费用包含在报价中，不单独报价。</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7、安全检测及保通</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在实施和完成本项目合同的整个过程中，中标单位应该：</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（1）充分关注和保障所有在现场工作人员的安全，采取有效措施，使现场和本合同项目的实施保持有条不紊，以免使上述人员的安全受到威胁。</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（2）对于检测机具设备和高空作业设备均应经检查合格才能使用，并具有相应的合格证书或标定证书，且在有效期之内。</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（3）根据本合同的特点，严格执行相关的现行安全规程及操作的具体规定。</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4）在整个检测过程中对中标单位采取的安全措施，采购单位有权监督。如果由于中标单位未能对其负责的上述事项采取各种必要的措施而导致或发生与此有关的人身伤亡、罚款、索赔、损失补偿、诉讼费用及其他一切责任应由中标单位负责。</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（5）中标单位在进行路况及桥梁检测作业时，应在采购单位尽可能协助下，到交警部门、采购单位养护管理部门完善相关手续，并有相应的保证道路畅通的合作协调措施，为此所发生的费用由中标单位自付。</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6）其中为交通安全、保证畅通所需配置的临时交通安全设施，由中标单位采购并承担费用，由此发生的费用包含在合同报价中，不单独报价。中标单位应按照《公路工程施工安全技术规程》（JTJ076—95）、《公路养护安全作业规程》（JTGH30—2015）的有关规定摆放并保管使用。在作业过程中，因中标单位原因造成损坏及丢失的，由其自行负责。为此所发生的全部费用（人员、管理、设施、紧急预案等）均由中标单位自行承担。</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8、事故报告</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如果现场发生重大安全、质量事故，中标单位必须在2小时内将事故详细情况书面速报泰顺县交通运输管理中心。如果现场（包括临时道路）发生重大交通事故，中标单位应及时报告泰顺县交通运输管理中心，此外，应采取措施，负责保护好事故现场。事故报告必须按交通部质量安全报告程序进行报告。</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9、交通通行费</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中标单位为实施本合同项目，在检测路段的公路通行费用，包含在报价中，不单独报价。</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10、环境保护和水土保持</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中标单位为实施本合同项目须遵守国家和地方有关环境保护和水土保持及内河通航的有关法律法规。中标单位实施作业时对内河通航造成影响而引起的责任与费用由其自行承担。</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11、文明检测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中标单位在实施作业过程中应做到：</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作业现场实行秩序化、标准化、规范化管理，落实岗位责任制；检测人员现场作业时应统一穿着反光背心；材料、检测设备应合理安置，不得乱停乱放；严禁破坏及污染正常使用的原有道路及道路设施；保持驻地、作业现场等区域的环境卫生，秩序井然；协调好与作业当地政府及村民的关系，尽量避免发生不文明的行为。由此发生的费用包含在报价中，不单独报价。</w:t>
      </w:r>
    </w:p>
    <w:p>
      <w:pPr>
        <w:numPr>
          <w:ilvl w:val="0"/>
          <w:numId w:val="7"/>
        </w:numPr>
        <w:spacing w:line="360" w:lineRule="auto"/>
        <w:rPr>
          <w:rFonts w:ascii="宋体" w:hAnsi="宋体" w:eastAsia="宋体" w:cs="宋体"/>
          <w:b/>
          <w:bCs/>
          <w:sz w:val="22"/>
          <w:szCs w:val="22"/>
          <w:highlight w:val="none"/>
        </w:rPr>
      </w:pPr>
      <w:r>
        <w:rPr>
          <w:rFonts w:hint="eastAsia" w:ascii="宋体" w:hAnsi="宋体" w:eastAsia="宋体" w:cs="宋体"/>
          <w:b/>
          <w:bCs/>
          <w:sz w:val="22"/>
          <w:szCs w:val="22"/>
          <w:highlight w:val="none"/>
        </w:rPr>
        <w:t>技术规范与相关服务要求</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1、安全、保畅通措施</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安全生产是效益的保证，也是进度的保证，为实施本合同项目需采取的安全保通措施，应在现场常设专职安全员1名。该专职安全员应熟悉本项目的工作类型。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其工作任务，包括制定安全保护与事故预防措施和现场检查，查看所有安全规则与条例的实施情况。前期准备阶段组织有关人员学习安全生产的有关文件和规定，学习道路交通管理法规，做好安全施工的宣传、教育，增强相关人员的安全意识。作业时，检测人员身穿统一工作服，佩戴安全帽、着反光背心，停车检测时，摆放锥筒。使作业人员的安全具有很好的保证。支架作业时，要统一戴安全帽，系安全绳。由安全员现场监督执行。由此发生的费用包含在合同报价中，不单独报价。</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2、交通管制、标志及安全设施</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为交通安全、保证畅通所需采取的交通管制相关费用和配置临时交通安全设施费用，以及在采购单位尽可能协助下到交警部门、养护管理部门办理相关手续等费用，由中标单位承担，包含在合同报价中，不单独报价。中标单位应按照《公路工程施工安全技术规程》（JTJ 076-95）、《公路养护安全作业规程》（JTG H30—2015）的有关规定摆放标志设施并保管使用。为此所发生的全部费用（人员、管理、设施、紧急预案等）均由中标单位自行承担。</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3、人身意外伤害险</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中标供应商必须投保人身意外伤害险，保险额度不少于100万元/人，投保费不单独报价，计入报价中。</w:t>
      </w:r>
    </w:p>
    <w:p>
      <w:pPr>
        <w:numPr>
          <w:ilvl w:val="0"/>
          <w:numId w:val="7"/>
        </w:numPr>
        <w:spacing w:line="360" w:lineRule="auto"/>
        <w:rPr>
          <w:rFonts w:ascii="宋体" w:hAnsi="宋体" w:eastAsia="宋体" w:cs="宋体"/>
          <w:b/>
          <w:bCs/>
          <w:sz w:val="22"/>
          <w:szCs w:val="22"/>
          <w:highlight w:val="none"/>
        </w:rPr>
      </w:pPr>
      <w:r>
        <w:rPr>
          <w:rFonts w:hint="eastAsia" w:ascii="宋体" w:hAnsi="宋体" w:eastAsia="宋体" w:cs="宋体"/>
          <w:b/>
          <w:bCs/>
          <w:sz w:val="22"/>
          <w:szCs w:val="22"/>
          <w:highlight w:val="none"/>
        </w:rPr>
        <w:t>路况技术状况检测评定</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1、检测内容</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本次检测内容为路面平整度及路面破损两项指标。</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2、检测设备要求</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自动检测路面损坏、路面平整度等路况信息的一体化智能检测系统，具体完成工作内容如下：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3、制定检测计划。</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依据 《公路技术状况评定标准》（JTG 5210—2018）、《多功能路况快速检测设备》（GB/T 26764-2011）有关规定，对检测范围内的公路进行路面检测。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（1）路面损坏状况检测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能够利用各种图像传感装置，以车流速度自动检测并存储包含裂缝等损坏信息的路面图像，通过路面图像损坏自动识别分析，获得路面损坏数据。</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①</w:t>
      </w:r>
      <w:r>
        <w:rPr>
          <w:rFonts w:hint="eastAsia" w:ascii="宋体" w:hAnsi="宋体" w:eastAsia="宋体" w:cs="宋体"/>
          <w:sz w:val="22"/>
          <w:szCs w:val="22"/>
          <w:highlight w:val="none"/>
        </w:rPr>
        <w:tab/>
      </w:r>
      <w:r>
        <w:rPr>
          <w:rFonts w:hint="eastAsia" w:ascii="宋体" w:hAnsi="宋体" w:eastAsia="宋体" w:cs="宋体"/>
          <w:sz w:val="22"/>
          <w:szCs w:val="22"/>
          <w:highlight w:val="none"/>
        </w:rPr>
        <w:t>范围</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泰顺县农村公路。</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②检测设备应满足以下要求：</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 xml:space="preserve">ⅰ.路面损坏检测设备采用技术成熟的多功能路况快速检测设备； </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ⅱ.应能检测沥青路面和水泥混凝土路面等不同类型的路面；</w:t>
      </w:r>
    </w:p>
    <w:p>
      <w:pPr>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ⅲ.路面图像应采用纵向连续的检测方式，横向检测宽度应不低于车道宽度的70%；</w:t>
      </w:r>
    </w:p>
    <w:p>
      <w:pPr>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ⅳ.路面图像应是正视图像，能分辨1.0 mm及以上的路面裂缝，路面图像应具有准确的位置信息，检测图像应纹理清晰、亮度均匀，可用于机器自动损坏识别；</w:t>
      </w:r>
    </w:p>
    <w:p>
      <w:pPr>
        <w:spacing w:line="360" w:lineRule="auto"/>
        <w:ind w:firstLine="440" w:firstLineChars="200"/>
        <w:rPr>
          <w:rFonts w:ascii="宋体" w:hAnsi="宋体" w:eastAsia="宋体" w:cs="宋体"/>
          <w:sz w:val="22"/>
          <w:szCs w:val="22"/>
          <w:highlight w:val="none"/>
        </w:rPr>
      </w:pPr>
      <w:r>
        <w:rPr>
          <w:rFonts w:hint="eastAsia" w:ascii="宋体" w:hAnsi="宋体" w:eastAsia="宋体" w:cs="宋体"/>
          <w:sz w:val="22"/>
          <w:szCs w:val="22"/>
          <w:highlight w:val="none"/>
        </w:rPr>
        <w:t>ⅴ.路面原始图像数据应能长期保存。</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③路面损坏识别软件</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ⅰ.检测设备应配备路面裂缝等路面损坏自动识别装置和软件。根据裂缝等损坏的识别结果，计算路面裂缝率，要求如下：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ⅱ.能够自动识别沥青路面的纵向裂缝、横向裂缝、龟裂、块裂、裂缝修补及水泥路面的裂缝、板角断裂、破碎板、裂缝修补等损坏；</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ⅲ.正常路面的裂缝识别准确率应达到90%以上；</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ⅳ.路面裂缝率计算结果及相关数据应以10 m为单位记录，路面原始图像及识别结果标注图应能长期保存。</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（2）路面平整度检测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能够利用激光传感器等各种距离测量装置，以车流速度自动检测并存储路面纵断面高程变化信息，通过纵断面信息处理获得路面平整度数据。</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①范围</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泰顺县内农村公路。</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②检测设备应满足以下要求：</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 xml:space="preserve">ⅰ.应能检测沥青路面、水泥混凝土路面或砂石路面等不同类型的路面平整度； </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ⅱ.检测位置为左或右轮迹带中心线，采样点间距应不大于100 mm，最大检测能力（国际平整度指数IRI）应不小于10 m/km，纵断面高程传感器分辨率应不大于0.5mm；</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ⅲ.检测设备平整度等速重复性试验、不同速度检测性能试验结果的偏差系数Cv应不大于5%，不同路段平整度相关性试验的相关性系数R应不小于0.99。</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ⅳ.条件具备时，可增加弯道、紧急制动或快加速、超低速行驶等特殊条件下的平整度试验内容。</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③路面平整度采集软件应满足以下要求：</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ⅰ.具有设置检测路线、起点桩号、检测方向、采样间距、保存位置和显示方式等参数的功能，能实施检测过程中的里程桩号校准与核对；</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ⅱ.能实时显示并保存路面纵断面高程等原始检测数据及10 m平整度实时计算结果。</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ⅲ.根据交通运输部颁布实施的《公路技术状况评定标准》(JTG H20-2007)进行检测路段的路面技术状况评定，完成相关数据分析并提交检测报告</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ⅳ.检测数据及结果能够直接导入浙江省公路管理局应用的路面系统。</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ⅴ.充分关注和保障所有在工作人员的安全，采取有效措施，使现场和本项目的实施保持有条不紊，以免使上述人员的安全受到威胁。</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ⅵ.如果现场发生重大安全、质量事故，中标单位必须在2小时内将事故详细情况书面速报采购单位。如果现场（包括临时道路）发生重大交通事故，中标单位应及时报告采购单位，此外，应采取措施，负责保护好事故现场。</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④检测设备要求：</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多功能路况快速检测车主要技术性能应满足《多功能路况快速检测设备》(GB/T 26764-2011)技术标准要求，</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4、其它</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检测过程中，采购单位对检测质量将随机进行抽查。提交正式检测报告前，检测方应把病害情况、等级评定等有关问题向采购单位及时汇报，双方进行技术交流，必要时进行方案研讨。</w:t>
      </w:r>
    </w:p>
    <w:p>
      <w:pPr>
        <w:spacing w:line="360" w:lineRule="auto"/>
        <w:ind w:firstLine="495" w:firstLineChars="225"/>
        <w:rPr>
          <w:rFonts w:ascii="宋体" w:eastAsia="宋体" w:cs="Times New Roman"/>
          <w:sz w:val="22"/>
          <w:szCs w:val="22"/>
          <w:highlight w:val="none"/>
        </w:rPr>
      </w:pPr>
      <w:r>
        <w:rPr>
          <w:rFonts w:hint="eastAsia" w:ascii="宋体" w:hAnsi="宋体" w:eastAsia="宋体" w:cs="宋体"/>
          <w:sz w:val="22"/>
          <w:szCs w:val="22"/>
          <w:highlight w:val="none"/>
        </w:rPr>
        <w:t>检测过程中，招标单位将随机不定时派人员现场跟随检测，对检测全过程进行检查督导。路况检测工作在道路所在地完成，要求检测单位加强与采购单位单位沟通，对有争议的评定结果要逐一说明情况，并附详细的病害图片说明。</w:t>
      </w:r>
    </w:p>
    <w:p>
      <w:pPr>
        <w:numPr>
          <w:ilvl w:val="0"/>
          <w:numId w:val="7"/>
        </w:numPr>
        <w:spacing w:line="360" w:lineRule="auto"/>
        <w:rPr>
          <w:rFonts w:ascii="宋体" w:hAnsi="宋体" w:eastAsia="宋体" w:cs="宋体"/>
          <w:b/>
          <w:bCs/>
          <w:sz w:val="22"/>
          <w:szCs w:val="22"/>
          <w:highlight w:val="none"/>
        </w:rPr>
      </w:pPr>
      <w:r>
        <w:rPr>
          <w:rFonts w:hint="eastAsia" w:ascii="宋体" w:hAnsi="宋体" w:eastAsia="宋体" w:cs="宋体"/>
          <w:b/>
          <w:bCs/>
          <w:sz w:val="22"/>
          <w:szCs w:val="22"/>
          <w:highlight w:val="none"/>
        </w:rPr>
        <w:t>桥梁评估及结构检测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1、桥梁基本状况调查</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（1）依据桥梁现存档案资料，必要时结合现场检测手段，调查一下桥梁基本状况：</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①桥梁名称、桥位桩号、下穿通道名、弯斜坡度等；</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②包括桥梁长度、桥梁宽度、车型道宽、桥下净高等；</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③上部结构：梁板、铺装层、台背、泄水孔、伸缩缝、护栏、人行道、路灯等；</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④下部结构：盖梁、桩、墩台、护坡、翼墙、耳墙等。</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⑤每座桥梁至少拍摄两张总体照片：一张桥面正面照片，一张桥梁侧面里面照片。</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⑥最终成果深度要求达到完善检测档案卡片内容的要求。</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（2）全面检查</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按《公路桥涵养护规范》（JTG 5120-2021）要求进行，对桥梁上部结构、下部结构展开全面检查，评定桥梁部件的缺损状况，进行全桥总体技术状况等级评定。</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①桥面上部结构的检查，内容包括：荷载情况，梁板情况，桥面铺装层破损情况，纵横坡是否顺适，有无严重的裂缝、坑槽、波浪、桥头跳车、防水层渗漏；伸缩缝是否异常变形、破损、脱落、漏水，桥面排水情况是否正常，护栏，人行道，照明设施是否完好等。</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②桥梁下部结构的检查，内容包括：支座是否完好，有无断裂、错位及脱空现象；橡胶支座是否老化、开裂，有无过大剪切变形或压缩变形，各夹层钢板是否外漏，橡胶层外凸是否均匀等。支座检测数量为100%，全数普查。墩台及基础的检查，重点检查混凝土结构是否完整，伸缩缝处是否存在渗水等病害。</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③钢筋混凝土和预应力混凝土梁桥的检查，具体内容包括：梁体是否有整体或局部的破坏，梁内是否存在积水；混凝土构件是否开裂、渗水、表面风化、剥落、碳化深度是否过大，钢筋是否锈蚀、有无不良骨料病害等；预应力钢筋部位是否存在顺向裂缝；铰接部位的损坏程度、横向连接构件是否开裂、松脱等。</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④典型缺损和病害的照片及说明：缺损状况的描述采用专业标准术语，说明缺损的部位、类型、性质、范围、数量和程度等。</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（3）桥面纵横向线形检测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采用水准仪及经纬仪（或全站仪）检测桥梁纵横线形。</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（4）混凝土强度检测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采用回弹法检测结构混凝土强度。随即抽样，检测构件数量根据桥梁规模确定。</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混凝土强度采用回弹法进行测试。在测试过程中对所检构件按照单个构件进行评定，现场测试严格按照《回弹法测混凝土抗压强度技术规程》（JGJ/T23-2011）进行。</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（5）混凝土碳化深度检测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重点检查构件表面存在钢筋锈迹的部位。</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（6）钢筋分布状况及混凝土保护层厚度检测</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检测数量与部位通混凝土碳化深度检测部位。</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（7）桥梁技术状况的评定</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依据《公路桥涵养护规范》（JTG 5120-2021）的规定，桥梁完好状态等级通过BCI值进行评定。技术状况指数评定包括：桥面系、上部结构、下部结构和全桥评估。在评定过程中采用先分布再综合的办法评估，根据现场检查结果分别对各部位及全桥综合评估。</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（8）管理养护建议</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养护建议：在检测完成后，根据现场检测情况，针对现有缺损及典型病害分门别类提出处治措施的建议。</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管理建议：根据桥梁技术状况，提出包括限载、限行、进一步进行特殊检查等相关管理建议。</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（9）结构评定报告主要内容</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①工程概况（详述桥梁基本技术参数，建成及时用的情况等）；</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②检测目的；</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③检测依据；</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④检测所有的仪器设备；</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⑤桥梁结构体系与设计图纸的符合性；</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⑥桥梁存在的主要病害现况（包括病害种类、部位、程度及范围等）；</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⑦）桥梁技术状况等级评定；</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⑧桥梁结构混凝土强度、钢筋及保护层情况、碳化深度检测结果、支座检测结果等现场检测结果）；</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⑨桥梁存在的主要问题分析与评价（包括病害种类、程度及其发生的原因、对结构的影响等）；</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⑩提出维护或加固建议。</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⑪附件：桥梁档案卡片、附照片、桥梁技术图纸的补充与测绘资料等。</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2、限载确定</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根据桥梁评定、结构检测成果提出桥梁养护工程（保养、小修、中修、大修、加固、改扩建）等建议，提出限速、限行、限载吨数等建议。</w:t>
      </w:r>
    </w:p>
    <w:p>
      <w:pPr>
        <w:numPr>
          <w:ilvl w:val="0"/>
          <w:numId w:val="7"/>
        </w:numPr>
        <w:spacing w:line="360" w:lineRule="auto"/>
        <w:rPr>
          <w:rFonts w:ascii="宋体" w:hAnsi="宋体" w:eastAsia="宋体" w:cs="宋体"/>
          <w:b/>
          <w:bCs/>
          <w:sz w:val="22"/>
          <w:szCs w:val="22"/>
          <w:highlight w:val="none"/>
        </w:rPr>
      </w:pPr>
      <w:r>
        <w:rPr>
          <w:rFonts w:hint="eastAsia" w:ascii="宋体" w:hAnsi="宋体" w:eastAsia="宋体" w:cs="宋体"/>
          <w:b/>
          <w:bCs/>
          <w:sz w:val="22"/>
          <w:szCs w:val="22"/>
          <w:highlight w:val="none"/>
        </w:rPr>
        <w:t>付款方式</w:t>
      </w:r>
    </w:p>
    <w:p>
      <w:pPr>
        <w:widowControl/>
        <w:numPr>
          <w:ilvl w:val="0"/>
          <w:numId w:val="8"/>
        </w:numPr>
        <w:autoSpaceDE w:val="0"/>
        <w:autoSpaceDN w:val="0"/>
        <w:adjustRightInd w:val="0"/>
        <w:spacing w:line="360" w:lineRule="auto"/>
        <w:ind w:firstLine="638" w:firstLineChars="290"/>
        <w:textAlignment w:val="bottom"/>
        <w:rPr>
          <w:rFonts w:hint="eastAsia" w:ascii="宋体"/>
          <w:sz w:val="22"/>
          <w:highlight w:val="none"/>
        </w:rPr>
      </w:pPr>
      <w:r>
        <w:rPr>
          <w:rFonts w:hint="eastAsia" w:ascii="宋体"/>
          <w:sz w:val="22"/>
          <w:highlight w:val="none"/>
          <w:lang w:eastAsia="zh-CN"/>
        </w:rPr>
        <w:t>合同签订后5个工作日内成交供应商应提供合同总金额1%的履约保证金至采购单位指定账户，供应商以银行、保险公司出具保函形式提交履约保证金的，采购人不得拒收。</w:t>
      </w:r>
    </w:p>
    <w:p>
      <w:pPr>
        <w:widowControl/>
        <w:numPr>
          <w:ilvl w:val="0"/>
          <w:numId w:val="8"/>
        </w:numPr>
        <w:autoSpaceDE w:val="0"/>
        <w:autoSpaceDN w:val="0"/>
        <w:adjustRightInd w:val="0"/>
        <w:spacing w:line="360" w:lineRule="auto"/>
        <w:ind w:firstLine="638" w:firstLineChars="290"/>
        <w:textAlignment w:val="bottom"/>
        <w:rPr>
          <w:rFonts w:ascii="宋体" w:hAnsi="宋体" w:eastAsia="宋体"/>
          <w:sz w:val="22"/>
          <w:highlight w:val="none"/>
        </w:rPr>
      </w:pPr>
      <w:r>
        <w:rPr>
          <w:rFonts w:hint="eastAsia" w:ascii="宋体" w:hAnsi="宋体" w:eastAsia="宋体"/>
          <w:sz w:val="22"/>
          <w:highlight w:val="none"/>
          <w:lang w:eastAsia="zh-CN"/>
        </w:rPr>
        <w:t>本项目为单价合同，</w:t>
      </w:r>
      <w:r>
        <w:rPr>
          <w:rFonts w:hint="eastAsia" w:ascii="宋体" w:hAnsi="宋体" w:eastAsia="宋体"/>
          <w:sz w:val="22"/>
          <w:highlight w:val="none"/>
        </w:rPr>
        <w:t>待当年度项目评审验收后根据实际检测的量支付资金。</w:t>
      </w:r>
    </w:p>
    <w:p>
      <w:pPr>
        <w:widowControl/>
        <w:autoSpaceDE w:val="0"/>
        <w:autoSpaceDN w:val="0"/>
        <w:adjustRightInd w:val="0"/>
        <w:spacing w:line="360" w:lineRule="auto"/>
        <w:ind w:firstLine="638" w:firstLineChars="290"/>
        <w:textAlignment w:val="bottom"/>
        <w:rPr>
          <w:rFonts w:ascii="宋体" w:hAnsi="宋体" w:eastAsia="宋体"/>
          <w:sz w:val="22"/>
          <w:highlight w:val="none"/>
        </w:rPr>
      </w:pPr>
      <w:r>
        <w:rPr>
          <w:rFonts w:hint="eastAsia" w:ascii="宋体" w:hAnsi="宋体" w:eastAsia="宋体"/>
          <w:sz w:val="22"/>
          <w:highlight w:val="none"/>
        </w:rPr>
        <w:t>满足约定支付条件，供应商提交发票后7个工作日内支付项目资金。</w:t>
      </w:r>
    </w:p>
    <w:p>
      <w:pPr>
        <w:numPr>
          <w:ilvl w:val="0"/>
          <w:numId w:val="7"/>
        </w:numPr>
        <w:spacing w:line="360" w:lineRule="auto"/>
        <w:rPr>
          <w:rFonts w:ascii="宋体" w:hAnsi="宋体" w:eastAsia="宋体" w:cs="宋体"/>
          <w:b/>
          <w:bCs/>
          <w:sz w:val="22"/>
          <w:szCs w:val="22"/>
          <w:highlight w:val="none"/>
        </w:rPr>
      </w:pPr>
      <w:r>
        <w:rPr>
          <w:rFonts w:hint="eastAsia" w:ascii="宋体" w:hAnsi="宋体" w:eastAsia="宋体" w:cs="宋体"/>
          <w:b/>
          <w:bCs/>
          <w:sz w:val="22"/>
          <w:szCs w:val="22"/>
          <w:highlight w:val="none"/>
        </w:rPr>
        <w:t>验收标准和方式：</w:t>
      </w:r>
    </w:p>
    <w:p>
      <w:pPr>
        <w:snapToGrid w:val="0"/>
        <w:spacing w:line="360" w:lineRule="auto"/>
        <w:ind w:firstLine="440" w:firstLineChars="200"/>
        <w:rPr>
          <w:rFonts w:ascii="宋体" w:eastAsia="宋体" w:cs="Times New Roman"/>
          <w:sz w:val="22"/>
          <w:szCs w:val="22"/>
          <w:highlight w:val="none"/>
        </w:rPr>
      </w:pPr>
      <w:r>
        <w:rPr>
          <w:rFonts w:hint="eastAsia" w:ascii="宋体" w:eastAsia="宋体" w:cs="Times New Roman"/>
          <w:sz w:val="22"/>
          <w:szCs w:val="22"/>
          <w:highlight w:val="none"/>
        </w:rPr>
        <w:t>采用交通部行业标准验收。</w:t>
      </w:r>
    </w:p>
    <w:p>
      <w:pPr>
        <w:numPr>
          <w:ilvl w:val="0"/>
          <w:numId w:val="7"/>
        </w:numPr>
        <w:spacing w:line="360" w:lineRule="auto"/>
        <w:rPr>
          <w:rFonts w:ascii="宋体" w:hAnsi="宋体" w:eastAsia="宋体" w:cs="宋体"/>
          <w:b/>
          <w:bCs/>
          <w:sz w:val="22"/>
          <w:szCs w:val="22"/>
          <w:highlight w:val="none"/>
        </w:rPr>
      </w:pPr>
      <w:r>
        <w:rPr>
          <w:rFonts w:hint="eastAsia" w:ascii="宋体" w:hAnsi="宋体" w:eastAsia="宋体" w:cs="宋体"/>
          <w:b/>
          <w:bCs/>
          <w:sz w:val="22"/>
          <w:szCs w:val="22"/>
          <w:highlight w:val="none"/>
        </w:rPr>
        <w:t xml:space="preserve">保密及知识产权                                                                                                                                                                                                                                                                                                                                                                                                                                                                                                                                                                                                                                                                                                                                                                                                                                                                                                                                                                                                                                                                                                                                                                                                                                                                                                                                                                                                                                                                                                                                                                                                                                                                                                                                                                                                                                                                                                                                                                                                                                                                                                                                                                                                                                                                                                                                                                                                                                                                                                                                                                                                                                                                                                                                                                                                                                                                                                                                                                                                                                                                                                                                                                                                                                                                                                                                                                                                                                                                                                                                                                                                                                                                                                                                                                                                                                                                                                                                                                                                                                                                                                                                                                                                         </w:t>
      </w:r>
      <w:r>
        <w:rPr>
          <w:rFonts w:hint="eastAsia" w:ascii="宋体" w:hAnsi="宋体" w:eastAsia="宋体" w:cs="宋体"/>
          <w:b/>
          <w:bCs/>
          <w:sz w:val="22"/>
          <w:szCs w:val="22"/>
          <w:highlight w:val="none"/>
        </w:rPr>
        <w:t xml:space="preserve">                                                                                                                                                                                                                                                                                                                                                                                                                                                                                                                                                                                                                                                                                                                                                                                                                                                                                                                                                                                                                                                                                                                                                                                                                                                                                                                                                                                                                                                                                                                                                                                                                                                                                                                                                                                                                                                                                                                                                                                                                                                                                                                                                                                                                                                                                                                                                                                                                                                                                                                                                                                                                                                                                                                                                                                                                                                                                                                                                                                                                                                                                                                                                                                                 </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1、产权：本次项目成果所有权和使用权均属于泰顺县交通运输管理中心。中标供应商不得以任何理由留存，否则承担由此产生的一切法律和经济责任。未经采购单位书面同意，任何单位和个人不得转让和使用本项目成果。</w:t>
      </w:r>
    </w:p>
    <w:p>
      <w:pPr>
        <w:spacing w:line="360" w:lineRule="auto"/>
        <w:ind w:firstLine="495" w:firstLineChars="225"/>
        <w:rPr>
          <w:rFonts w:ascii="宋体" w:hAnsi="宋体" w:eastAsia="宋体" w:cs="宋体"/>
          <w:sz w:val="22"/>
          <w:szCs w:val="22"/>
          <w:highlight w:val="none"/>
        </w:rPr>
      </w:pPr>
      <w:r>
        <w:rPr>
          <w:rFonts w:hint="eastAsia" w:ascii="宋体" w:hAnsi="宋体" w:eastAsia="宋体" w:cs="宋体"/>
          <w:sz w:val="22"/>
          <w:szCs w:val="22"/>
          <w:highlight w:val="none"/>
        </w:rPr>
        <w:t>2、资料档案及保密要求：</w:t>
      </w:r>
    </w:p>
    <w:p>
      <w:pPr>
        <w:snapToGrid w:val="0"/>
        <w:spacing w:line="460" w:lineRule="atLeast"/>
        <w:ind w:firstLine="440" w:firstLineChars="200"/>
        <w:rPr>
          <w:rFonts w:ascii="宋体" w:eastAsia="宋体" w:cs="Times New Roman"/>
          <w:sz w:val="22"/>
          <w:szCs w:val="22"/>
          <w:highlight w:val="none"/>
        </w:rPr>
      </w:pPr>
      <w:r>
        <w:rPr>
          <w:rFonts w:hint="eastAsia" w:ascii="宋体" w:eastAsia="宋体" w:cs="Times New Roman"/>
          <w:sz w:val="22"/>
          <w:szCs w:val="22"/>
          <w:highlight w:val="none"/>
        </w:rPr>
        <w:t>（1）中标供应商应当对每宗作业情况建立完整的电子档案，在合同正常终止后全部移交给采购单位保管。</w:t>
      </w:r>
    </w:p>
    <w:p>
      <w:pPr>
        <w:snapToGrid w:val="0"/>
        <w:spacing w:line="460" w:lineRule="atLeast"/>
        <w:ind w:firstLine="440" w:firstLineChars="200"/>
        <w:rPr>
          <w:rFonts w:ascii="宋体" w:eastAsia="宋体" w:cs="Times New Roman"/>
          <w:sz w:val="22"/>
          <w:szCs w:val="22"/>
          <w:highlight w:val="none"/>
        </w:rPr>
      </w:pPr>
      <w:r>
        <w:rPr>
          <w:rFonts w:hint="eastAsia" w:ascii="宋体" w:eastAsia="宋体" w:cs="Times New Roman"/>
          <w:sz w:val="22"/>
          <w:szCs w:val="22"/>
          <w:highlight w:val="none"/>
        </w:rPr>
        <w:t>（2）与本项目有关的资料及数据成果中涉及国家秘密的内容，均要求按照《国家保密法》及相关法律法规执行。</w:t>
      </w:r>
    </w:p>
    <w:p>
      <w:pPr>
        <w:snapToGrid w:val="0"/>
        <w:spacing w:line="460" w:lineRule="atLeast"/>
        <w:ind w:firstLine="440" w:firstLineChars="200"/>
        <w:rPr>
          <w:rFonts w:ascii="宋体" w:eastAsia="宋体" w:cs="Times New Roman"/>
          <w:sz w:val="22"/>
          <w:szCs w:val="22"/>
          <w:highlight w:val="none"/>
        </w:rPr>
      </w:pPr>
      <w:r>
        <w:rPr>
          <w:rFonts w:hint="eastAsia" w:ascii="宋体" w:eastAsia="宋体" w:cs="Times New Roman"/>
          <w:sz w:val="22"/>
          <w:szCs w:val="22"/>
          <w:highlight w:val="none"/>
        </w:rPr>
        <w:t>（3）中标供应商应当遵守相关保密法律、法规，确保采购单位及被执法单位的信息安全。</w:t>
      </w:r>
    </w:p>
    <w:p>
      <w:pPr>
        <w:snapToGrid w:val="0"/>
        <w:spacing w:line="460" w:lineRule="atLeast"/>
        <w:ind w:firstLine="440" w:firstLineChars="200"/>
        <w:rPr>
          <w:rFonts w:ascii="宋体" w:eastAsia="宋体" w:cs="Times New Roman"/>
          <w:sz w:val="22"/>
          <w:szCs w:val="22"/>
          <w:highlight w:val="none"/>
        </w:rPr>
      </w:pPr>
      <w:r>
        <w:rPr>
          <w:rFonts w:ascii="宋体" w:eastAsia="宋体" w:cs="Times New Roman"/>
          <w:sz w:val="22"/>
          <w:szCs w:val="22"/>
          <w:highlight w:val="none"/>
        </w:rPr>
        <w:t>3</w:t>
      </w:r>
      <w:r>
        <w:rPr>
          <w:rFonts w:hint="eastAsia" w:ascii="宋体" w:eastAsia="宋体" w:cs="Times New Roman"/>
          <w:sz w:val="22"/>
          <w:szCs w:val="22"/>
          <w:highlight w:val="none"/>
        </w:rPr>
        <w:t>、投标单位须将技术（服务）成果送到指定地点，各项技术参数及成果必须满足采购单位的要求。</w:t>
      </w:r>
    </w:p>
    <w:p>
      <w:pPr>
        <w:snapToGrid w:val="0"/>
        <w:spacing w:line="460" w:lineRule="atLeast"/>
        <w:ind w:firstLine="440" w:firstLineChars="200"/>
        <w:rPr>
          <w:rFonts w:ascii="宋体" w:eastAsia="宋体" w:cs="Times New Roman"/>
          <w:sz w:val="22"/>
          <w:szCs w:val="22"/>
          <w:highlight w:val="none"/>
        </w:rPr>
      </w:pPr>
      <w:r>
        <w:rPr>
          <w:rFonts w:ascii="宋体" w:eastAsia="宋体" w:cs="Times New Roman"/>
          <w:sz w:val="22"/>
          <w:szCs w:val="22"/>
          <w:highlight w:val="none"/>
        </w:rPr>
        <w:t>4</w:t>
      </w:r>
      <w:r>
        <w:rPr>
          <w:rFonts w:hint="eastAsia" w:ascii="宋体" w:eastAsia="宋体" w:cs="Times New Roman"/>
          <w:sz w:val="22"/>
          <w:szCs w:val="22"/>
          <w:highlight w:val="none"/>
        </w:rPr>
        <w:t>、验收标准：根据国家现行技术标准，按竞争性磋商文件以及合同规定的验收评定标准等规范，协助采购单位组织验收。</w:t>
      </w:r>
    </w:p>
    <w:p>
      <w:pPr>
        <w:snapToGrid w:val="0"/>
        <w:spacing w:line="460" w:lineRule="atLeast"/>
        <w:ind w:firstLine="440" w:firstLineChars="200"/>
        <w:rPr>
          <w:rFonts w:ascii="宋体" w:eastAsia="宋体" w:cs="Times New Roman"/>
          <w:sz w:val="22"/>
          <w:szCs w:val="22"/>
          <w:highlight w:val="none"/>
        </w:rPr>
      </w:pPr>
      <w:r>
        <w:rPr>
          <w:rFonts w:ascii="宋体" w:eastAsia="宋体" w:cs="Times New Roman"/>
          <w:sz w:val="22"/>
          <w:szCs w:val="22"/>
          <w:highlight w:val="none"/>
        </w:rPr>
        <w:t>5</w:t>
      </w:r>
      <w:r>
        <w:rPr>
          <w:rFonts w:hint="eastAsia" w:ascii="宋体" w:eastAsia="宋体" w:cs="Times New Roman"/>
          <w:sz w:val="22"/>
          <w:szCs w:val="22"/>
          <w:highlight w:val="none"/>
        </w:rPr>
        <w:t>、其他服务承诺：</w:t>
      </w:r>
    </w:p>
    <w:p>
      <w:pPr>
        <w:snapToGrid w:val="0"/>
        <w:spacing w:line="460" w:lineRule="atLeast"/>
        <w:ind w:firstLine="440" w:firstLineChars="200"/>
        <w:rPr>
          <w:rFonts w:ascii="宋体" w:eastAsia="宋体" w:cs="Times New Roman"/>
          <w:sz w:val="22"/>
          <w:szCs w:val="22"/>
          <w:highlight w:val="none"/>
        </w:rPr>
      </w:pPr>
      <w:r>
        <w:rPr>
          <w:rFonts w:hint="eastAsia" w:ascii="宋体" w:eastAsia="宋体" w:cs="Times New Roman"/>
          <w:sz w:val="22"/>
          <w:szCs w:val="22"/>
          <w:highlight w:val="none"/>
        </w:rPr>
        <w:t>在合同执行期间，如服务计划书中的承诺标准低于国家新颁布的技术标准及要求时，则中标供应商应该按照新颁布的标准执行。以上为本项目最低服务要求，投标单位必须满足，在此基础上各投标单位可提供其他更多的服务承诺，并提供详细的服务计划书。</w:t>
      </w:r>
    </w:p>
    <w:p>
      <w:pPr>
        <w:rPr>
          <w:rFonts w:ascii="宋体"/>
          <w:b/>
          <w:bCs/>
          <w:sz w:val="36"/>
          <w:szCs w:val="36"/>
          <w:highlight w:val="none"/>
          <w:lang w:val="zh-CN"/>
        </w:rPr>
      </w:pPr>
      <w:r>
        <w:rPr>
          <w:rFonts w:hint="eastAsia" w:ascii="宋体"/>
          <w:b/>
          <w:bCs/>
          <w:sz w:val="36"/>
          <w:szCs w:val="36"/>
          <w:highlight w:val="none"/>
          <w:lang w:val="zh-CN"/>
        </w:rPr>
        <w:br w:type="page"/>
      </w:r>
    </w:p>
    <w:p>
      <w:pPr>
        <w:pStyle w:val="12"/>
        <w:spacing w:after="0" w:line="360" w:lineRule="auto"/>
        <w:jc w:val="center"/>
        <w:rPr>
          <w:rFonts w:ascii="宋体" w:cs="??_GB2312"/>
          <w:b/>
          <w:sz w:val="32"/>
          <w:szCs w:val="32"/>
          <w:highlight w:val="none"/>
          <w:lang w:val="zh-CN"/>
        </w:rPr>
      </w:pPr>
      <w:r>
        <w:rPr>
          <w:rFonts w:hint="eastAsia" w:ascii="宋体"/>
          <w:b/>
          <w:bCs/>
          <w:sz w:val="36"/>
          <w:szCs w:val="36"/>
          <w:highlight w:val="none"/>
          <w:lang w:val="zh-CN"/>
        </w:rPr>
        <w:t>第三部分   供应商须知</w:t>
      </w:r>
    </w:p>
    <w:p>
      <w:pPr>
        <w:autoSpaceDE w:val="0"/>
        <w:autoSpaceDN w:val="0"/>
        <w:adjustRightInd w:val="0"/>
        <w:spacing w:line="450" w:lineRule="atLeast"/>
        <w:rPr>
          <w:rFonts w:ascii="宋体" w:cs="??_GB2312"/>
          <w:b/>
          <w:sz w:val="22"/>
          <w:highlight w:val="none"/>
          <w:lang w:val="zh-CN"/>
        </w:rPr>
      </w:pPr>
      <w:r>
        <w:rPr>
          <w:rFonts w:hint="eastAsia" w:ascii="宋体" w:hAnsi="宋体" w:cs="??_GB2312"/>
          <w:b/>
          <w:sz w:val="22"/>
          <w:highlight w:val="none"/>
          <w:lang w:val="zh-CN"/>
        </w:rPr>
        <w:t>一、说明</w:t>
      </w:r>
    </w:p>
    <w:p>
      <w:pPr>
        <w:adjustRightInd w:val="0"/>
        <w:spacing w:line="400" w:lineRule="atLeast"/>
        <w:ind w:firstLine="431" w:firstLineChars="196"/>
        <w:rPr>
          <w:rFonts w:ascii="宋体"/>
          <w:sz w:val="22"/>
          <w:highlight w:val="none"/>
        </w:rPr>
      </w:pPr>
      <w:r>
        <w:rPr>
          <w:rFonts w:hint="eastAsia" w:ascii="宋体"/>
          <w:sz w:val="22"/>
          <w:highlight w:val="none"/>
        </w:rPr>
        <w:t>1、</w:t>
      </w:r>
      <w:r>
        <w:rPr>
          <w:rFonts w:hint="eastAsia" w:ascii="宋体"/>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w:t>
      </w:r>
      <w:r>
        <w:rPr>
          <w:rFonts w:ascii="宋体"/>
          <w:sz w:val="22"/>
          <w:highlight w:val="none"/>
          <w:lang w:val="zh-CN"/>
        </w:rPr>
        <w:t>2015</w:t>
      </w:r>
      <w:r>
        <w:rPr>
          <w:rFonts w:hint="eastAsia" w:ascii="宋体"/>
          <w:sz w:val="22"/>
          <w:highlight w:val="none"/>
          <w:lang w:val="zh-CN"/>
        </w:rPr>
        <w:t>〕</w:t>
      </w:r>
      <w:r>
        <w:rPr>
          <w:rFonts w:ascii="宋体"/>
          <w:sz w:val="22"/>
          <w:highlight w:val="none"/>
          <w:lang w:val="zh-CN"/>
        </w:rPr>
        <w:t>124</w:t>
      </w:r>
      <w:r>
        <w:rPr>
          <w:rFonts w:hint="eastAsia" w:ascii="宋体"/>
          <w:sz w:val="22"/>
          <w:highlight w:val="none"/>
          <w:lang w:val="zh-CN"/>
        </w:rPr>
        <w:t>号）及相关法律规章组织和实施。</w:t>
      </w:r>
    </w:p>
    <w:p>
      <w:pPr>
        <w:adjustRightInd w:val="0"/>
        <w:spacing w:line="400" w:lineRule="atLeast"/>
        <w:ind w:firstLine="431" w:firstLineChars="196"/>
        <w:rPr>
          <w:rFonts w:ascii="宋体"/>
          <w:sz w:val="22"/>
          <w:highlight w:val="none"/>
        </w:rPr>
      </w:pPr>
      <w:r>
        <w:rPr>
          <w:rFonts w:hint="eastAsia" w:ascii="宋体"/>
          <w:sz w:val="22"/>
          <w:highlight w:val="none"/>
        </w:rPr>
        <w:t>2、供应商必须对全部内容进行投标报价，只对部分内容进行报价的供应商将按无效投标处理。</w:t>
      </w:r>
    </w:p>
    <w:p>
      <w:pPr>
        <w:adjustRightInd w:val="0"/>
        <w:spacing w:line="400" w:lineRule="atLeast"/>
        <w:ind w:firstLine="431" w:firstLineChars="196"/>
        <w:rPr>
          <w:rFonts w:ascii="宋体"/>
          <w:sz w:val="22"/>
          <w:highlight w:val="none"/>
        </w:rPr>
      </w:pPr>
      <w:r>
        <w:rPr>
          <w:rFonts w:hint="eastAsia" w:ascii="宋体"/>
          <w:sz w:val="22"/>
          <w:highlight w:val="none"/>
        </w:rPr>
        <w:t>3、无论投标过程中的作法和结果如何，供应商自行承担投标活动中所发生的全部费用；采购单位有权选择供应商的供货和服务范围。</w:t>
      </w:r>
    </w:p>
    <w:p>
      <w:pPr>
        <w:adjustRightInd w:val="0"/>
        <w:spacing w:line="400" w:lineRule="atLeast"/>
        <w:ind w:firstLine="431" w:firstLineChars="196"/>
        <w:rPr>
          <w:rFonts w:ascii="宋体"/>
          <w:sz w:val="22"/>
          <w:szCs w:val="22"/>
          <w:highlight w:val="none"/>
        </w:rPr>
      </w:pPr>
      <w:r>
        <w:rPr>
          <w:rFonts w:ascii="宋体"/>
          <w:sz w:val="22"/>
          <w:szCs w:val="22"/>
          <w:highlight w:val="none"/>
        </w:rPr>
        <w:t>4</w:t>
      </w:r>
      <w:r>
        <w:rPr>
          <w:rFonts w:hint="eastAsia" w:ascii="宋体"/>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pPr>
        <w:adjustRightInd w:val="0"/>
        <w:spacing w:line="400" w:lineRule="atLeast"/>
        <w:ind w:firstLine="431" w:firstLineChars="196"/>
        <w:rPr>
          <w:rFonts w:ascii="宋体"/>
          <w:sz w:val="22"/>
          <w:highlight w:val="none"/>
        </w:rPr>
      </w:pPr>
      <w:r>
        <w:rPr>
          <w:rFonts w:hint="eastAsia" w:ascii="宋体"/>
          <w:sz w:val="22"/>
          <w:highlight w:val="none"/>
        </w:rPr>
        <w:t>5、知识产权</w:t>
      </w:r>
    </w:p>
    <w:p>
      <w:pPr>
        <w:adjustRightInd w:val="0"/>
        <w:spacing w:line="400" w:lineRule="atLeast"/>
        <w:ind w:firstLine="431" w:firstLineChars="196"/>
        <w:rPr>
          <w:rFonts w:ascii="宋体"/>
          <w:sz w:val="22"/>
          <w:highlight w:val="none"/>
        </w:rPr>
      </w:pPr>
      <w:r>
        <w:rPr>
          <w:rFonts w:ascii="宋体"/>
          <w:sz w:val="22"/>
          <w:highlight w:val="none"/>
        </w:rPr>
        <w:t>5.1</w:t>
      </w:r>
      <w:r>
        <w:rPr>
          <w:rFonts w:hint="eastAsia" w:ascii="宋体"/>
          <w:sz w:val="22"/>
          <w:highlight w:val="none"/>
        </w:rPr>
        <w:t>供应商应保证，采购单位在中华人民共和国使用货物和服务的任何一部分时，免受第三方提出侵犯其专利权、商标权或其它知识产权的起诉。</w:t>
      </w:r>
    </w:p>
    <w:p>
      <w:pPr>
        <w:adjustRightInd w:val="0"/>
        <w:spacing w:line="400" w:lineRule="atLeast"/>
        <w:ind w:firstLine="431" w:firstLineChars="196"/>
        <w:rPr>
          <w:rFonts w:ascii="宋体"/>
          <w:sz w:val="22"/>
          <w:highlight w:val="none"/>
        </w:rPr>
      </w:pPr>
      <w:r>
        <w:rPr>
          <w:rFonts w:ascii="宋体"/>
          <w:sz w:val="22"/>
          <w:highlight w:val="none"/>
        </w:rPr>
        <w:t>5.2</w:t>
      </w:r>
      <w:r>
        <w:rPr>
          <w:rFonts w:hint="eastAsia" w:ascii="宋体"/>
          <w:sz w:val="22"/>
          <w:highlight w:val="none"/>
        </w:rPr>
        <w:t>投标供应商应对采购单位在使用该产品时所涉及到的专利权负责，不损害采购单位的利益。</w:t>
      </w:r>
    </w:p>
    <w:p>
      <w:pPr>
        <w:adjustRightInd w:val="0"/>
        <w:spacing w:line="400" w:lineRule="atLeast"/>
        <w:ind w:firstLine="431" w:firstLineChars="196"/>
        <w:rPr>
          <w:rFonts w:ascii="宋体"/>
          <w:sz w:val="22"/>
          <w:highlight w:val="none"/>
        </w:rPr>
      </w:pPr>
      <w:r>
        <w:rPr>
          <w:rFonts w:ascii="宋体"/>
          <w:sz w:val="22"/>
          <w:highlight w:val="none"/>
        </w:rPr>
        <w:t>5.3</w:t>
      </w:r>
      <w:r>
        <w:rPr>
          <w:rFonts w:hint="eastAsia" w:ascii="宋体"/>
          <w:sz w:val="22"/>
          <w:highlight w:val="none"/>
        </w:rPr>
        <w:t>报价应包括所有应支付的对专利权和版权、设计或其他知识产权而需要向其他方支付的版税。</w:t>
      </w:r>
    </w:p>
    <w:p>
      <w:pPr>
        <w:adjustRightInd w:val="0"/>
        <w:spacing w:line="400" w:lineRule="atLeast"/>
        <w:ind w:firstLine="431" w:firstLineChars="196"/>
        <w:rPr>
          <w:rFonts w:ascii="宋体"/>
          <w:sz w:val="22"/>
          <w:highlight w:val="none"/>
        </w:rPr>
      </w:pPr>
      <w:r>
        <w:rPr>
          <w:rFonts w:ascii="宋体"/>
          <w:sz w:val="22"/>
          <w:highlight w:val="none"/>
        </w:rPr>
        <w:t>5.4</w:t>
      </w:r>
      <w:r>
        <w:rPr>
          <w:rFonts w:hint="eastAsia" w:ascii="宋体"/>
          <w:sz w:val="22"/>
          <w:highlight w:val="none"/>
        </w:rPr>
        <w:t>投标供应商提供得货物中如使用其他公司的相关专利，应在标书中出示相关授权，如未出示但使用了其他公司的专利，导致供应商中标而引起相关诉讼，由投标供应商承担。</w:t>
      </w:r>
    </w:p>
    <w:p>
      <w:pPr>
        <w:adjustRightInd w:val="0"/>
        <w:spacing w:line="400" w:lineRule="atLeast"/>
        <w:ind w:firstLine="431" w:firstLineChars="196"/>
        <w:rPr>
          <w:rFonts w:ascii="宋体" w:cs="??_GB2312"/>
          <w:sz w:val="22"/>
          <w:highlight w:val="none"/>
          <w:lang w:val="zh-CN"/>
        </w:rPr>
      </w:pPr>
      <w:r>
        <w:rPr>
          <w:rFonts w:hint="eastAsia" w:ascii="宋体" w:hAnsi="宋体" w:cs="??_GB2312"/>
          <w:sz w:val="22"/>
          <w:highlight w:val="none"/>
        </w:rPr>
        <w:t>6、</w:t>
      </w:r>
      <w:r>
        <w:rPr>
          <w:rFonts w:hint="eastAsia" w:ascii="宋体" w:hAnsi="宋体" w:cs="??_GB2312"/>
          <w:sz w:val="22"/>
          <w:highlight w:val="none"/>
          <w:lang w:val="zh-CN"/>
        </w:rPr>
        <w:t>单位负责人为同一人或者存在直接控股、管理关系的不同供应商，不得参加同一合同项下的政府采购活动。如在评标过程中发现供应商间存在上述关系，评委可以对存在上述关系的供应商做无效投标处理。</w:t>
      </w:r>
    </w:p>
    <w:p>
      <w:pPr>
        <w:adjustRightInd w:val="0"/>
        <w:spacing w:line="400" w:lineRule="atLeast"/>
        <w:ind w:firstLine="431" w:firstLineChars="196"/>
        <w:rPr>
          <w:rFonts w:ascii="宋体" w:cs="仿宋_GB2312"/>
          <w:sz w:val="22"/>
          <w:szCs w:val="22"/>
          <w:highlight w:val="none"/>
          <w:lang w:val="zh-CN"/>
        </w:rPr>
      </w:pPr>
      <w:r>
        <w:rPr>
          <w:rFonts w:hint="eastAsia" w:ascii="宋体" w:hAnsi="宋体" w:cs="??_GB2312"/>
          <w:sz w:val="22"/>
          <w:highlight w:val="none"/>
        </w:rPr>
        <w:t>7、</w:t>
      </w:r>
      <w:r>
        <w:rPr>
          <w:rFonts w:hint="eastAsia" w:ascii="宋体" w:hAnsi="宋体" w:cs="仿宋_GB2312"/>
          <w:sz w:val="22"/>
          <w:szCs w:val="22"/>
          <w:highlight w:val="none"/>
          <w:lang w:val="zh-CN"/>
        </w:rPr>
        <w:t>本项目投标文件签章须采用供应商正式公章，不得以投标专用章或业务章、合同章等代替。</w:t>
      </w:r>
    </w:p>
    <w:p>
      <w:pPr>
        <w:adjustRightInd w:val="0"/>
        <w:spacing w:line="400" w:lineRule="atLeast"/>
        <w:ind w:firstLine="431" w:firstLineChars="196"/>
        <w:rPr>
          <w:rFonts w:ascii="宋体" w:cs="仿宋_GB2312"/>
          <w:sz w:val="22"/>
          <w:szCs w:val="22"/>
          <w:highlight w:val="none"/>
          <w:lang w:val="zh-CN"/>
        </w:rPr>
      </w:pPr>
      <w:r>
        <w:rPr>
          <w:rFonts w:hint="eastAsia" w:ascii="宋体" w:hAnsi="宋体" w:cs="??_GB2312"/>
          <w:sz w:val="22"/>
          <w:highlight w:val="none"/>
        </w:rPr>
        <w:t>8</w:t>
      </w:r>
      <w:r>
        <w:rPr>
          <w:rFonts w:hint="eastAsia" w:ascii="宋体" w:hAnsi="宋体" w:cs="??_GB2312"/>
          <w:sz w:val="22"/>
          <w:highlight w:val="none"/>
          <w:lang w:val="zh-CN"/>
        </w:rPr>
        <w:t>、</w:t>
      </w:r>
      <w:r>
        <w:rPr>
          <w:rFonts w:hint="eastAsia" w:ascii="宋体" w:hAnsi="宋体" w:cs="仿宋_GB2312"/>
          <w:sz w:val="22"/>
          <w:szCs w:val="22"/>
          <w:highlight w:val="none"/>
          <w:lang w:val="zh-CN"/>
        </w:rPr>
        <w:t>为采购项目提供整体设计、规范编制或者项目管理、监理、检测等服务的供应商，不得再参加该采购项目的其他采购活动。</w:t>
      </w:r>
    </w:p>
    <w:p>
      <w:pPr>
        <w:autoSpaceDE w:val="0"/>
        <w:autoSpaceDN w:val="0"/>
        <w:adjustRightInd w:val="0"/>
        <w:spacing w:line="400" w:lineRule="atLeast"/>
        <w:ind w:firstLine="442" w:firstLineChars="200"/>
        <w:textAlignment w:val="bottom"/>
        <w:rPr>
          <w:rFonts w:ascii="宋体"/>
          <w:b/>
          <w:sz w:val="22"/>
          <w:highlight w:val="none"/>
        </w:rPr>
      </w:pPr>
      <w:r>
        <w:rPr>
          <w:rFonts w:hint="eastAsia" w:ascii="宋体" w:hAnsi="宋体"/>
          <w:b/>
          <w:sz w:val="22"/>
          <w:highlight w:val="none"/>
        </w:rPr>
        <w:t>▲9、供应商须具有良好的商业信誉：</w:t>
      </w:r>
    </w:p>
    <w:p>
      <w:pPr>
        <w:autoSpaceDE w:val="0"/>
        <w:autoSpaceDN w:val="0"/>
        <w:adjustRightInd w:val="0"/>
        <w:spacing w:line="400" w:lineRule="atLeast"/>
        <w:ind w:firstLine="442" w:firstLineChars="200"/>
        <w:textAlignment w:val="bottom"/>
        <w:rPr>
          <w:rFonts w:ascii="宋体"/>
          <w:b/>
          <w:sz w:val="22"/>
          <w:highlight w:val="none"/>
        </w:rPr>
      </w:pPr>
      <w:r>
        <w:rPr>
          <w:rFonts w:hint="eastAsia" w:ascii="宋体" w:hAnsi="宋体"/>
          <w:b/>
          <w:sz w:val="22"/>
          <w:highlight w:val="none"/>
        </w:rPr>
        <w:t>9.1供应商在全国企业信用信息公示系统网：（</w:t>
      </w:r>
      <w:r>
        <w:rPr>
          <w:rFonts w:ascii="宋体" w:hAnsi="宋体"/>
          <w:b/>
          <w:sz w:val="22"/>
          <w:highlight w:val="none"/>
        </w:rPr>
        <w:t>http://gsxt.saic.gov.cn/</w:t>
      </w:r>
      <w:r>
        <w:rPr>
          <w:rFonts w:hint="eastAsia" w:ascii="宋体" w:hAnsi="宋体"/>
          <w:b/>
          <w:sz w:val="22"/>
          <w:highlight w:val="none"/>
        </w:rPr>
        <w:t>）无严重违法企业记录。</w:t>
      </w:r>
    </w:p>
    <w:p>
      <w:pPr>
        <w:autoSpaceDE w:val="0"/>
        <w:autoSpaceDN w:val="0"/>
        <w:adjustRightInd w:val="0"/>
        <w:spacing w:line="400" w:lineRule="atLeast"/>
        <w:ind w:firstLine="442" w:firstLineChars="200"/>
        <w:textAlignment w:val="bottom"/>
        <w:rPr>
          <w:rFonts w:ascii="宋体"/>
          <w:b/>
          <w:sz w:val="22"/>
          <w:highlight w:val="none"/>
        </w:rPr>
      </w:pPr>
      <w:r>
        <w:rPr>
          <w:rFonts w:hint="eastAsia" w:ascii="宋体" w:hAnsi="宋体"/>
          <w:b/>
          <w:sz w:val="22"/>
          <w:highlight w:val="none"/>
        </w:rPr>
        <w:t>9.2供应商在中国执行信息公开网（</w:t>
      </w:r>
      <w:r>
        <w:rPr>
          <w:rFonts w:ascii="宋体" w:hAnsi="宋体"/>
          <w:b/>
          <w:sz w:val="22"/>
          <w:highlight w:val="none"/>
        </w:rPr>
        <w:t>http://shixin.court.gov.cn/</w:t>
      </w:r>
      <w:r>
        <w:rPr>
          <w:rFonts w:hint="eastAsia" w:ascii="宋体" w:hAnsi="宋体"/>
          <w:b/>
          <w:sz w:val="22"/>
          <w:highlight w:val="none"/>
        </w:rPr>
        <w:t>）无失信信息记录。</w:t>
      </w:r>
    </w:p>
    <w:p>
      <w:pPr>
        <w:autoSpaceDE w:val="0"/>
        <w:autoSpaceDN w:val="0"/>
        <w:adjustRightInd w:val="0"/>
        <w:spacing w:line="400" w:lineRule="atLeast"/>
        <w:ind w:firstLine="442" w:firstLineChars="200"/>
        <w:textAlignment w:val="bottom"/>
        <w:rPr>
          <w:rFonts w:ascii="宋体"/>
          <w:b/>
          <w:sz w:val="22"/>
          <w:highlight w:val="none"/>
        </w:rPr>
      </w:pPr>
      <w:r>
        <w:rPr>
          <w:rFonts w:hint="eastAsia" w:ascii="宋体" w:hAnsi="宋体"/>
          <w:b/>
          <w:sz w:val="22"/>
          <w:highlight w:val="none"/>
        </w:rPr>
        <w:t>9.3供应商在中国政府采购网（</w:t>
      </w:r>
      <w:r>
        <w:rPr>
          <w:rFonts w:ascii="宋体" w:hAnsi="宋体"/>
          <w:b/>
          <w:sz w:val="22"/>
          <w:highlight w:val="none"/>
        </w:rPr>
        <w:t>http://www.ccgp.gov.cn/cr/list</w:t>
      </w:r>
      <w:r>
        <w:rPr>
          <w:rFonts w:hint="eastAsia" w:ascii="宋体" w:hAnsi="宋体"/>
          <w:b/>
          <w:sz w:val="22"/>
          <w:highlight w:val="none"/>
        </w:rPr>
        <w:t>）无严重违法行为记录。</w:t>
      </w:r>
    </w:p>
    <w:p>
      <w:pPr>
        <w:widowControl/>
        <w:snapToGrid w:val="0"/>
        <w:spacing w:line="400" w:lineRule="atLeast"/>
        <w:ind w:firstLine="442" w:firstLineChars="200"/>
        <w:jc w:val="left"/>
        <w:rPr>
          <w:rFonts w:ascii="宋体"/>
          <w:b/>
          <w:sz w:val="22"/>
          <w:highlight w:val="none"/>
        </w:rPr>
      </w:pPr>
      <w:r>
        <w:rPr>
          <w:rFonts w:hint="eastAsia" w:ascii="宋体" w:hAnsi="宋体"/>
          <w:b/>
          <w:sz w:val="22"/>
          <w:highlight w:val="none"/>
        </w:rPr>
        <w:t>9.4未被各级财政部门列入政府采购黑名单或被各级财政部门禁止参加政府采购项目投标。如供应商有上述情形并参与本项目投标的，一经查实，其投标做无效投标处理。</w:t>
      </w:r>
    </w:p>
    <w:p>
      <w:pPr>
        <w:widowControl/>
        <w:snapToGrid w:val="0"/>
        <w:spacing w:line="400" w:lineRule="atLeast"/>
        <w:ind w:firstLine="442" w:firstLineChars="200"/>
        <w:jc w:val="left"/>
        <w:rPr>
          <w:rFonts w:ascii="宋体"/>
          <w:b/>
          <w:sz w:val="22"/>
          <w:highlight w:val="none"/>
        </w:rPr>
      </w:pPr>
      <w:r>
        <w:rPr>
          <w:rFonts w:hint="eastAsia" w:ascii="宋体" w:hAnsi="宋体" w:eastAsia="宋体" w:cs="宋体"/>
          <w:b/>
          <w:sz w:val="22"/>
          <w:highlight w:val="none"/>
        </w:rPr>
        <w:t>▲</w:t>
      </w:r>
      <w:r>
        <w:rPr>
          <w:rFonts w:hint="eastAsia" w:ascii="宋体" w:hAnsi="宋体"/>
          <w:b/>
          <w:sz w:val="22"/>
          <w:highlight w:val="none"/>
        </w:rPr>
        <w:t>10、中标/成交供应商必须通过浙江政府采购网（</w:t>
      </w:r>
      <w:r>
        <w:rPr>
          <w:highlight w:val="none"/>
        </w:rPr>
        <w:fldChar w:fldCharType="begin"/>
      </w:r>
      <w:r>
        <w:rPr>
          <w:highlight w:val="none"/>
        </w:rPr>
        <w:instrText xml:space="preserve"> HYPERLINK "http://www.zjzfcg.gov.cn" </w:instrText>
      </w:r>
      <w:r>
        <w:rPr>
          <w:highlight w:val="none"/>
        </w:rPr>
        <w:fldChar w:fldCharType="separate"/>
      </w:r>
      <w:r>
        <w:rPr>
          <w:rFonts w:ascii="宋体" w:hAnsi="宋体"/>
          <w:b/>
          <w:sz w:val="22"/>
          <w:highlight w:val="none"/>
        </w:rPr>
        <w:t>www.zjzfcg.gov.cn</w:t>
      </w:r>
      <w:r>
        <w:rPr>
          <w:rFonts w:ascii="宋体" w:hAnsi="宋体"/>
          <w:b/>
          <w:sz w:val="22"/>
          <w:highlight w:val="none"/>
        </w:rPr>
        <w:fldChar w:fldCharType="end"/>
      </w:r>
      <w:r>
        <w:rPr>
          <w:rFonts w:hint="eastAsia" w:ascii="宋体" w:hAnsi="宋体"/>
          <w:b/>
          <w:sz w:val="22"/>
          <w:highlight w:val="none"/>
        </w:rPr>
        <w:t>）或各地分网站，向注册所在地或组织采购活动的采购代理机构（包括集中采购机构和社会中介采购代理机构）、采购单位等进行注册申请，按规定审核后，登记加入</w:t>
      </w:r>
      <w:r>
        <w:rPr>
          <w:rFonts w:hint="eastAsia" w:ascii="宋体"/>
          <w:b/>
          <w:sz w:val="22"/>
          <w:highlight w:val="none"/>
        </w:rPr>
        <w:t>“</w:t>
      </w:r>
      <w:r>
        <w:rPr>
          <w:rFonts w:hint="eastAsia" w:ascii="宋体" w:hAnsi="宋体"/>
          <w:b/>
          <w:sz w:val="22"/>
          <w:highlight w:val="none"/>
        </w:rPr>
        <w:t>浙江省政府采购供应商库</w:t>
      </w:r>
      <w:r>
        <w:rPr>
          <w:rFonts w:hint="eastAsia" w:ascii="宋体"/>
          <w:b/>
          <w:sz w:val="22"/>
          <w:highlight w:val="none"/>
        </w:rPr>
        <w:t>”</w:t>
      </w:r>
      <w:r>
        <w:rPr>
          <w:rFonts w:hint="eastAsia" w:ascii="宋体" w:hAnsi="宋体"/>
          <w:b/>
          <w:sz w:val="22"/>
          <w:highlight w:val="none"/>
        </w:rPr>
        <w:t>。</w:t>
      </w:r>
    </w:p>
    <w:p>
      <w:pPr>
        <w:widowControl/>
        <w:snapToGrid w:val="0"/>
        <w:spacing w:line="380" w:lineRule="exact"/>
        <w:ind w:firstLine="442" w:firstLineChars="200"/>
        <w:rPr>
          <w:rFonts w:ascii="宋体" w:hAnsi="宋体"/>
          <w:sz w:val="22"/>
          <w:highlight w:val="none"/>
        </w:rPr>
      </w:pPr>
      <w:r>
        <w:rPr>
          <w:rFonts w:hint="eastAsia" w:ascii="宋体" w:hAnsi="宋体"/>
          <w:b/>
          <w:sz w:val="22"/>
          <w:highlight w:val="none"/>
        </w:rPr>
        <w:t>▲</w:t>
      </w:r>
      <w:r>
        <w:rPr>
          <w:rFonts w:hint="eastAsia" w:ascii="宋体" w:hAnsi="宋体"/>
          <w:b/>
          <w:bCs/>
          <w:sz w:val="22"/>
          <w:highlight w:val="none"/>
        </w:rPr>
        <w:t>11、本项目采用资格后审，符合资格要求的供应商均可在本公告附件下载竞争性磋商文件，并按竞争性磋商文件规定的时间、地点递交响应文件（竞争性磋商文件下载网址：</w:t>
      </w:r>
      <w:r>
        <w:rPr>
          <w:rFonts w:hint="eastAsia" w:hAnsi="宋体"/>
          <w:b/>
          <w:bCs/>
          <w:sz w:val="22"/>
          <w:highlight w:val="none"/>
        </w:rPr>
        <w:t>浙江政府采购网（</w:t>
      </w:r>
      <w:r>
        <w:rPr>
          <w:rFonts w:hint="eastAsia"/>
          <w:b/>
          <w:bCs/>
          <w:highlight w:val="none"/>
        </w:rPr>
        <w:t>http://www.zcygov.cn/</w:t>
      </w:r>
      <w:r>
        <w:rPr>
          <w:rFonts w:hint="eastAsia" w:hAnsi="宋体"/>
          <w:b/>
          <w:bCs/>
          <w:sz w:val="22"/>
          <w:highlight w:val="none"/>
        </w:rPr>
        <w:t>）或</w:t>
      </w:r>
      <w:r>
        <w:rPr>
          <w:rFonts w:hint="eastAsia" w:ascii="宋体" w:hAnsi="宋体"/>
          <w:b/>
          <w:bCs/>
          <w:sz w:val="22"/>
          <w:highlight w:val="none"/>
        </w:rPr>
        <w:t>泰顺县人民政府网 县公共资源交易中心（http://www.ts.gov.cn/col/col1383420/index.html）</w:t>
      </w:r>
      <w:r>
        <w:rPr>
          <w:rFonts w:ascii="宋体" w:hAnsi="宋体"/>
          <w:b/>
          <w:bCs/>
          <w:sz w:val="22"/>
          <w:highlight w:val="none"/>
        </w:rPr>
        <w:t>,</w:t>
      </w:r>
      <w:r>
        <w:rPr>
          <w:rFonts w:hint="eastAsia" w:ascii="宋体" w:hAnsi="宋体"/>
          <w:b/>
          <w:bCs/>
          <w:sz w:val="22"/>
          <w:highlight w:val="none"/>
        </w:rPr>
        <w:t>竞争性磋商文件如有补充更正均见</w:t>
      </w:r>
      <w:r>
        <w:rPr>
          <w:rFonts w:hint="eastAsia" w:hAnsi="宋体"/>
          <w:b/>
          <w:bCs/>
          <w:sz w:val="22"/>
          <w:highlight w:val="none"/>
        </w:rPr>
        <w:t>浙江政府采购网（</w:t>
      </w:r>
      <w:r>
        <w:rPr>
          <w:rFonts w:hint="eastAsia"/>
          <w:b/>
          <w:bCs/>
          <w:highlight w:val="none"/>
        </w:rPr>
        <w:t>http://www.zcygov.cn/</w:t>
      </w:r>
      <w:r>
        <w:rPr>
          <w:rFonts w:hint="eastAsia" w:ascii="宋体" w:hAnsi="宋体"/>
          <w:b/>
          <w:bCs/>
          <w:sz w:val="22"/>
          <w:highlight w:val="none"/>
        </w:rPr>
        <w:t>）</w:t>
      </w:r>
      <w:r>
        <w:rPr>
          <w:rFonts w:hint="eastAsia" w:hAnsi="宋体"/>
          <w:b/>
          <w:bCs/>
          <w:sz w:val="22"/>
          <w:highlight w:val="none"/>
        </w:rPr>
        <w:t>或</w:t>
      </w:r>
      <w:bookmarkStart w:id="0" w:name="_Hlk518910530"/>
      <w:r>
        <w:rPr>
          <w:rFonts w:hint="eastAsia" w:ascii="宋体" w:hAnsi="宋体"/>
          <w:b/>
          <w:bCs/>
          <w:sz w:val="22"/>
          <w:highlight w:val="none"/>
        </w:rPr>
        <w:t>泰顺县人民政府网 县公共资源交易中心（http://www.ts.gov.cn/col/col1383420/index.html）。</w:t>
      </w:r>
      <w:bookmarkEnd w:id="0"/>
      <w:r>
        <w:rPr>
          <w:rFonts w:hint="eastAsia" w:ascii="宋体" w:hAnsi="宋体"/>
          <w:b/>
          <w:bCs/>
          <w:sz w:val="22"/>
          <w:highlight w:val="none"/>
        </w:rPr>
        <w:t>供应商须在投标截止前自行查看是否有补充、更正文件，并按补充、更正文件要求投标，否则责任自负。</w:t>
      </w:r>
    </w:p>
    <w:p>
      <w:pPr>
        <w:autoSpaceDE w:val="0"/>
        <w:autoSpaceDN w:val="0"/>
        <w:adjustRightInd w:val="0"/>
        <w:spacing w:line="400" w:lineRule="atLeast"/>
        <w:ind w:firstLine="440" w:firstLineChars="200"/>
        <w:rPr>
          <w:rFonts w:ascii="宋体" w:hAnsi="宋体" w:cs="??_GB2312"/>
          <w:sz w:val="22"/>
          <w:highlight w:val="none"/>
          <w:lang w:val="zh-CN"/>
        </w:rPr>
      </w:pPr>
      <w:r>
        <w:rPr>
          <w:rFonts w:hint="eastAsia" w:ascii="宋体" w:hAnsi="宋体" w:cs="??_GB2312"/>
          <w:sz w:val="22"/>
          <w:highlight w:val="none"/>
        </w:rPr>
        <w:t>12</w:t>
      </w:r>
      <w:r>
        <w:rPr>
          <w:rFonts w:hint="eastAsia" w:ascii="宋体" w:hAnsi="宋体" w:cs="??_GB2312"/>
          <w:sz w:val="22"/>
          <w:highlight w:val="none"/>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pPr>
        <w:autoSpaceDE w:val="0"/>
        <w:autoSpaceDN w:val="0"/>
        <w:adjustRightInd w:val="0"/>
        <w:spacing w:line="400" w:lineRule="atLeast"/>
        <w:rPr>
          <w:rFonts w:ascii="宋体" w:cs="??_GB2312"/>
          <w:b/>
          <w:sz w:val="22"/>
          <w:highlight w:val="none"/>
          <w:lang w:val="zh-CN"/>
        </w:rPr>
      </w:pPr>
      <w:r>
        <w:rPr>
          <w:rFonts w:hint="eastAsia" w:ascii="宋体" w:hAnsi="宋体" w:cs="??_GB2312"/>
          <w:b/>
          <w:sz w:val="22"/>
          <w:highlight w:val="none"/>
          <w:lang w:val="zh-CN"/>
        </w:rPr>
        <w:t>二、竞争性磋商文件</w:t>
      </w:r>
    </w:p>
    <w:p>
      <w:pPr>
        <w:spacing w:line="400" w:lineRule="atLeast"/>
        <w:ind w:firstLine="420"/>
        <w:rPr>
          <w:rFonts w:ascii="宋体"/>
          <w:sz w:val="22"/>
          <w:highlight w:val="none"/>
        </w:rPr>
      </w:pPr>
      <w:r>
        <w:rPr>
          <w:rFonts w:ascii="宋体" w:hAnsi="宋体" w:cs="??_GB2312"/>
          <w:sz w:val="22"/>
          <w:highlight w:val="none"/>
          <w:lang w:val="zh-CN"/>
        </w:rPr>
        <w:t>1</w:t>
      </w:r>
      <w:r>
        <w:rPr>
          <w:rFonts w:hint="eastAsia" w:ascii="宋体" w:hAnsi="宋体" w:cs="??_GB2312"/>
          <w:sz w:val="22"/>
          <w:highlight w:val="none"/>
          <w:lang w:val="zh-CN"/>
        </w:rPr>
        <w:t>、竞争性磋商文件</w:t>
      </w:r>
    </w:p>
    <w:p>
      <w:pPr>
        <w:autoSpaceDE w:val="0"/>
        <w:autoSpaceDN w:val="0"/>
        <w:adjustRightInd w:val="0"/>
        <w:spacing w:line="400" w:lineRule="atLeast"/>
        <w:ind w:firstLine="420"/>
        <w:rPr>
          <w:rFonts w:ascii="宋体" w:cs="??_GB2312"/>
          <w:sz w:val="22"/>
          <w:highlight w:val="none"/>
          <w:lang w:val="zh-CN"/>
        </w:rPr>
      </w:pPr>
      <w:r>
        <w:rPr>
          <w:rFonts w:ascii="宋体" w:hAnsi="宋体" w:cs="??_GB2312"/>
          <w:sz w:val="22"/>
          <w:highlight w:val="none"/>
          <w:lang w:val="zh-CN"/>
        </w:rPr>
        <w:t>1.1</w:t>
      </w:r>
      <w:r>
        <w:rPr>
          <w:rFonts w:hint="eastAsia" w:ascii="宋体" w:hAnsi="宋体" w:cs="??_GB2312"/>
          <w:sz w:val="22"/>
          <w:highlight w:val="none"/>
          <w:lang w:val="zh-CN"/>
        </w:rPr>
        <w:t>竞争性磋商文件的发放</w:t>
      </w:r>
    </w:p>
    <w:p>
      <w:pPr>
        <w:autoSpaceDE w:val="0"/>
        <w:autoSpaceDN w:val="0"/>
        <w:adjustRightInd w:val="0"/>
        <w:spacing w:line="400" w:lineRule="atLeast"/>
        <w:ind w:firstLine="770" w:firstLineChars="350"/>
        <w:rPr>
          <w:rFonts w:ascii="宋体" w:cs="??_GB2312"/>
          <w:sz w:val="22"/>
          <w:highlight w:val="none"/>
          <w:lang w:val="zh-CN"/>
        </w:rPr>
      </w:pPr>
      <w:r>
        <w:rPr>
          <w:rFonts w:hint="eastAsia" w:ascii="宋体" w:hAnsi="宋体" w:cs="??_GB2312"/>
          <w:sz w:val="22"/>
          <w:highlight w:val="none"/>
          <w:lang w:val="zh-CN"/>
        </w:rPr>
        <w:t>本项目直接</w:t>
      </w:r>
      <w:r>
        <w:rPr>
          <w:rFonts w:ascii="宋体" w:hAnsi="宋体" w:cs="??_GB2312"/>
          <w:sz w:val="22"/>
          <w:highlight w:val="none"/>
          <w:lang w:val="zh-CN"/>
        </w:rPr>
        <w:t>在</w:t>
      </w:r>
      <w:r>
        <w:rPr>
          <w:rFonts w:hint="eastAsia" w:ascii="宋体" w:hAnsi="宋体" w:cs="??_GB2312"/>
          <w:sz w:val="22"/>
          <w:highlight w:val="none"/>
          <w:lang w:val="zh-CN"/>
        </w:rPr>
        <w:t>上</w:t>
      </w:r>
      <w:r>
        <w:rPr>
          <w:rFonts w:hint="eastAsia" w:ascii="宋体" w:hAnsi="宋体" w:cs="??_GB2312"/>
          <w:sz w:val="22"/>
          <w:highlight w:val="none"/>
        </w:rPr>
        <w:t>下载</w:t>
      </w:r>
      <w:r>
        <w:rPr>
          <w:rFonts w:hint="eastAsia" w:ascii="宋体" w:hAnsi="宋体" w:cs="??_GB2312"/>
          <w:sz w:val="22"/>
          <w:highlight w:val="none"/>
          <w:lang w:val="zh-CN"/>
        </w:rPr>
        <w:t>竞争性磋商文件。</w:t>
      </w:r>
    </w:p>
    <w:p>
      <w:pPr>
        <w:autoSpaceDE w:val="0"/>
        <w:autoSpaceDN w:val="0"/>
        <w:adjustRightInd w:val="0"/>
        <w:spacing w:line="400" w:lineRule="atLeast"/>
        <w:ind w:firstLine="431" w:firstLineChars="196"/>
        <w:textAlignment w:val="bottom"/>
        <w:outlineLvl w:val="1"/>
        <w:rPr>
          <w:rFonts w:ascii="宋体"/>
          <w:sz w:val="22"/>
          <w:highlight w:val="none"/>
        </w:rPr>
      </w:pPr>
      <w:r>
        <w:rPr>
          <w:rFonts w:ascii="宋体" w:hAnsi="宋体" w:cs="??_GB2312"/>
          <w:sz w:val="22"/>
          <w:highlight w:val="none"/>
          <w:lang w:val="zh-CN"/>
        </w:rPr>
        <w:t>1.2</w:t>
      </w:r>
      <w:r>
        <w:rPr>
          <w:rFonts w:hint="eastAsia" w:ascii="宋体" w:hAnsi="宋体"/>
          <w:sz w:val="22"/>
          <w:highlight w:val="none"/>
        </w:rPr>
        <w:t>竞争性磋商文件约束力</w:t>
      </w:r>
    </w:p>
    <w:p>
      <w:pPr>
        <w:autoSpaceDE w:val="0"/>
        <w:autoSpaceDN w:val="0"/>
        <w:adjustRightInd w:val="0"/>
        <w:spacing w:line="400" w:lineRule="atLeast"/>
        <w:ind w:firstLine="442" w:firstLineChars="200"/>
        <w:rPr>
          <w:rFonts w:ascii="宋体" w:cs="??_GB2312"/>
          <w:b/>
          <w:sz w:val="22"/>
          <w:highlight w:val="none"/>
          <w:lang w:val="zh-CN"/>
        </w:rPr>
      </w:pPr>
      <w:r>
        <w:rPr>
          <w:rFonts w:hint="eastAsia" w:ascii="宋体" w:hAnsi="宋体" w:cs="??_GB2312"/>
          <w:b/>
          <w:sz w:val="22"/>
          <w:highlight w:val="none"/>
          <w:lang w:val="zh-CN"/>
        </w:rPr>
        <w:t>供应商</w:t>
      </w:r>
      <w:r>
        <w:rPr>
          <w:rFonts w:hint="eastAsia" w:ascii="宋体" w:hAnsi="宋体"/>
          <w:b/>
          <w:sz w:val="22"/>
          <w:highlight w:val="none"/>
        </w:rPr>
        <w:t>一旦网上成功报名和下载了本项目竞争性磋商文件，在质疑期内未提出质疑，并参加投标，即被认为接受了本竞争性磋商文件中所有条款和规定。</w:t>
      </w:r>
    </w:p>
    <w:p>
      <w:pPr>
        <w:autoSpaceDE w:val="0"/>
        <w:autoSpaceDN w:val="0"/>
        <w:adjustRightInd w:val="0"/>
        <w:spacing w:line="400" w:lineRule="atLeast"/>
        <w:ind w:firstLine="440" w:firstLineChars="200"/>
        <w:rPr>
          <w:rFonts w:ascii="宋体" w:cs="??_GB2312"/>
          <w:sz w:val="22"/>
          <w:highlight w:val="none"/>
          <w:lang w:val="zh-CN"/>
        </w:rPr>
      </w:pPr>
      <w:r>
        <w:rPr>
          <w:rFonts w:ascii="宋体" w:hAnsi="宋体" w:cs="??_GB2312"/>
          <w:sz w:val="22"/>
          <w:highlight w:val="none"/>
          <w:lang w:val="zh-CN"/>
        </w:rPr>
        <w:t>2</w:t>
      </w:r>
      <w:r>
        <w:rPr>
          <w:rFonts w:hint="eastAsia" w:ascii="宋体" w:hAnsi="宋体" w:cs="??_GB2312"/>
          <w:sz w:val="22"/>
          <w:highlight w:val="none"/>
          <w:lang w:val="zh-CN"/>
        </w:rPr>
        <w:t>、竞争性磋商文件的澄清</w:t>
      </w:r>
    </w:p>
    <w:p>
      <w:pPr>
        <w:autoSpaceDE w:val="0"/>
        <w:autoSpaceDN w:val="0"/>
        <w:adjustRightInd w:val="0"/>
        <w:spacing w:line="400" w:lineRule="atLeast"/>
        <w:ind w:firstLine="440" w:firstLineChars="200"/>
        <w:rPr>
          <w:rFonts w:ascii="宋体" w:cs="??_GB2312"/>
          <w:sz w:val="22"/>
          <w:highlight w:val="none"/>
          <w:lang w:val="zh-CN"/>
        </w:rPr>
      </w:pPr>
      <w:r>
        <w:rPr>
          <w:rFonts w:hint="eastAsia" w:ascii="宋体" w:hAnsi="宋体" w:cs="??_GB2312"/>
          <w:sz w:val="22"/>
          <w:highlight w:val="none"/>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pPr>
        <w:autoSpaceDE w:val="0"/>
        <w:autoSpaceDN w:val="0"/>
        <w:adjustRightInd w:val="0"/>
        <w:spacing w:line="400" w:lineRule="atLeast"/>
        <w:ind w:firstLine="440" w:firstLineChars="200"/>
        <w:rPr>
          <w:rFonts w:ascii="宋体" w:cs="??_GB2312"/>
          <w:sz w:val="22"/>
          <w:highlight w:val="none"/>
          <w:lang w:val="zh-CN"/>
        </w:rPr>
      </w:pPr>
      <w:r>
        <w:rPr>
          <w:rFonts w:ascii="宋体" w:hAnsi="宋体" w:cs="??_GB2312"/>
          <w:sz w:val="22"/>
          <w:highlight w:val="none"/>
          <w:lang w:val="zh-CN"/>
        </w:rPr>
        <w:t>3</w:t>
      </w:r>
      <w:r>
        <w:rPr>
          <w:rFonts w:hint="eastAsia" w:ascii="宋体" w:hAnsi="宋体" w:cs="??_GB2312"/>
          <w:sz w:val="22"/>
          <w:highlight w:val="none"/>
          <w:lang w:val="zh-CN"/>
        </w:rPr>
        <w:t>、竞争性磋商文件的修改</w:t>
      </w:r>
    </w:p>
    <w:p>
      <w:pPr>
        <w:autoSpaceDE w:val="0"/>
        <w:autoSpaceDN w:val="0"/>
        <w:adjustRightInd w:val="0"/>
        <w:spacing w:line="400" w:lineRule="atLeast"/>
        <w:ind w:firstLine="440" w:firstLineChars="200"/>
        <w:rPr>
          <w:rFonts w:ascii="宋体" w:cs="??_GB2312"/>
          <w:sz w:val="22"/>
          <w:highlight w:val="none"/>
          <w:lang w:val="zh-CN"/>
        </w:rPr>
      </w:pPr>
      <w:r>
        <w:rPr>
          <w:rFonts w:ascii="宋体" w:hAnsi="宋体" w:cs="??_GB2312"/>
          <w:sz w:val="22"/>
          <w:highlight w:val="none"/>
          <w:lang w:val="zh-CN"/>
        </w:rPr>
        <w:t>3.1</w:t>
      </w:r>
      <w:r>
        <w:rPr>
          <w:rFonts w:hint="eastAsia" w:ascii="宋体" w:hAnsi="宋体" w:cs="??_GB2312"/>
          <w:sz w:val="22"/>
          <w:highlight w:val="none"/>
          <w:lang w:val="zh-CN"/>
        </w:rPr>
        <w:t>在投标截止时间前，采购单位或采购机构有权修改竞争性磋商文件，并以书面形式通知供应商。补充文件作为竞争性磋商文件的补充和组成部分，对所有供应商均有约束力。</w:t>
      </w:r>
    </w:p>
    <w:p>
      <w:pPr>
        <w:autoSpaceDE w:val="0"/>
        <w:autoSpaceDN w:val="0"/>
        <w:adjustRightInd w:val="0"/>
        <w:spacing w:line="400" w:lineRule="atLeast"/>
        <w:ind w:firstLine="440" w:firstLineChars="200"/>
        <w:rPr>
          <w:rFonts w:ascii="宋体" w:cs="??_GB2312"/>
          <w:b/>
          <w:sz w:val="22"/>
          <w:highlight w:val="none"/>
          <w:lang w:val="zh-CN"/>
        </w:rPr>
      </w:pPr>
      <w:r>
        <w:rPr>
          <w:rFonts w:ascii="宋体" w:hAnsi="宋体" w:cs="??_GB2312"/>
          <w:sz w:val="22"/>
          <w:highlight w:val="none"/>
          <w:lang w:val="zh-CN"/>
        </w:rPr>
        <w:t>3.2</w:t>
      </w:r>
      <w:r>
        <w:rPr>
          <w:rFonts w:hint="eastAsia" w:ascii="宋体" w:hAnsi="宋体" w:cs="??_GB2312"/>
          <w:sz w:val="22"/>
          <w:highlight w:val="none"/>
          <w:lang w:val="zh-CN"/>
        </w:rPr>
        <w:t>为使供应商有足够的时间按竞争性磋商文件要求修正响应文件，采购单位按相关规定推迟投标截止时间和开标时间，并将此变更通知放至相关网站公示。</w:t>
      </w:r>
    </w:p>
    <w:p>
      <w:pPr>
        <w:autoSpaceDE w:val="0"/>
        <w:autoSpaceDN w:val="0"/>
        <w:adjustRightInd w:val="0"/>
        <w:spacing w:line="400" w:lineRule="atLeast"/>
        <w:rPr>
          <w:rFonts w:ascii="宋体" w:cs="??_GB2312"/>
          <w:b/>
          <w:sz w:val="22"/>
          <w:highlight w:val="none"/>
          <w:lang w:val="zh-CN"/>
        </w:rPr>
      </w:pPr>
      <w:r>
        <w:rPr>
          <w:rFonts w:hint="eastAsia" w:ascii="宋体" w:hAnsi="宋体" w:cs="??_GB2312"/>
          <w:b/>
          <w:sz w:val="22"/>
          <w:highlight w:val="none"/>
        </w:rPr>
        <w:t>三</w:t>
      </w:r>
      <w:r>
        <w:rPr>
          <w:rFonts w:hint="eastAsia" w:ascii="宋体" w:hAnsi="宋体" w:cs="??_GB2312"/>
          <w:b/>
          <w:sz w:val="22"/>
          <w:highlight w:val="none"/>
          <w:lang w:val="zh-CN"/>
        </w:rPr>
        <w:t>、响应文件</w:t>
      </w:r>
    </w:p>
    <w:p>
      <w:pPr>
        <w:autoSpaceDE w:val="0"/>
        <w:autoSpaceDN w:val="0"/>
        <w:adjustRightInd w:val="0"/>
        <w:spacing w:line="400" w:lineRule="atLeast"/>
        <w:ind w:firstLine="440" w:firstLineChars="200"/>
        <w:rPr>
          <w:rFonts w:ascii="宋体" w:cs="??_GB2312"/>
          <w:sz w:val="22"/>
          <w:highlight w:val="none"/>
          <w:lang w:val="zh-CN"/>
        </w:rPr>
      </w:pPr>
      <w:r>
        <w:rPr>
          <w:rFonts w:ascii="宋体" w:hAnsi="宋体" w:cs="??_GB2312"/>
          <w:sz w:val="22"/>
          <w:highlight w:val="none"/>
          <w:lang w:val="zh-CN"/>
        </w:rPr>
        <w:t>1</w:t>
      </w:r>
      <w:r>
        <w:rPr>
          <w:rFonts w:hint="eastAsia" w:ascii="宋体" w:hAnsi="宋体" w:cs="??_GB2312"/>
          <w:sz w:val="22"/>
          <w:highlight w:val="none"/>
          <w:lang w:val="zh-CN"/>
        </w:rPr>
        <w:t>、响应文件</w:t>
      </w:r>
    </w:p>
    <w:p>
      <w:pPr>
        <w:autoSpaceDE w:val="0"/>
        <w:autoSpaceDN w:val="0"/>
        <w:adjustRightInd w:val="0"/>
        <w:snapToGrid w:val="0"/>
        <w:spacing w:line="400" w:lineRule="atLeast"/>
        <w:ind w:firstLine="480" w:firstLineChars="200"/>
        <w:textAlignment w:val="bottom"/>
        <w:rPr>
          <w:rFonts w:ascii="宋体" w:cs="Arial"/>
          <w:sz w:val="22"/>
          <w:szCs w:val="22"/>
          <w:highlight w:val="none"/>
        </w:rPr>
      </w:pPr>
      <w:r>
        <w:rPr>
          <w:rFonts w:ascii="宋体"/>
          <w:sz w:val="24"/>
          <w:highlight w:val="none"/>
        </w:rPr>
        <w:t>1</w:t>
      </w:r>
      <w:r>
        <w:rPr>
          <w:rFonts w:ascii="宋体" w:cs="Arial"/>
          <w:sz w:val="22"/>
          <w:szCs w:val="22"/>
          <w:highlight w:val="none"/>
        </w:rPr>
        <w:t xml:space="preserve">.1 </w:t>
      </w:r>
      <w:r>
        <w:rPr>
          <w:rFonts w:hint="eastAsia" w:ascii="宋体" w:cs="Arial"/>
          <w:sz w:val="22"/>
          <w:szCs w:val="22"/>
          <w:highlight w:val="none"/>
        </w:rPr>
        <w:t>供应商提交的投标文件以及供应商与采购单位就有关投标的所有来往函电均应使用中文。供应商可以提交用其它语言印制的资料，但必须译成中文，在有差异和矛盾时以中文为准。</w:t>
      </w:r>
    </w:p>
    <w:p>
      <w:pPr>
        <w:autoSpaceDE w:val="0"/>
        <w:autoSpaceDN w:val="0"/>
        <w:adjustRightInd w:val="0"/>
        <w:snapToGrid w:val="0"/>
        <w:spacing w:line="400" w:lineRule="atLeast"/>
        <w:ind w:firstLine="440" w:firstLineChars="200"/>
        <w:textAlignment w:val="bottom"/>
        <w:rPr>
          <w:rFonts w:ascii="宋体" w:cs="Arial"/>
          <w:sz w:val="22"/>
          <w:szCs w:val="22"/>
          <w:highlight w:val="none"/>
        </w:rPr>
      </w:pPr>
      <w:r>
        <w:rPr>
          <w:rFonts w:ascii="宋体" w:cs="Arial"/>
          <w:sz w:val="22"/>
          <w:szCs w:val="22"/>
          <w:highlight w:val="none"/>
          <w:lang w:val="zh-CN"/>
        </w:rPr>
        <w:t>1.</w:t>
      </w:r>
      <w:r>
        <w:rPr>
          <w:rFonts w:ascii="宋体" w:cs="Arial"/>
          <w:sz w:val="22"/>
          <w:szCs w:val="22"/>
          <w:highlight w:val="none"/>
        </w:rPr>
        <w:t xml:space="preserve">2 </w:t>
      </w:r>
      <w:r>
        <w:rPr>
          <w:rFonts w:hint="eastAsia" w:ascii="宋体" w:cs="Arial"/>
          <w:sz w:val="22"/>
          <w:szCs w:val="22"/>
          <w:highlight w:val="none"/>
        </w:rPr>
        <w:t>供应商提交的投标文件报价均采用人民币报价。</w:t>
      </w:r>
    </w:p>
    <w:p>
      <w:pPr>
        <w:autoSpaceDE w:val="0"/>
        <w:autoSpaceDN w:val="0"/>
        <w:adjustRightInd w:val="0"/>
        <w:snapToGrid w:val="0"/>
        <w:spacing w:line="400" w:lineRule="atLeast"/>
        <w:ind w:firstLine="440" w:firstLineChars="200"/>
        <w:textAlignment w:val="bottom"/>
        <w:rPr>
          <w:rFonts w:ascii="宋体" w:cs="Arial"/>
          <w:sz w:val="22"/>
          <w:szCs w:val="22"/>
          <w:highlight w:val="none"/>
        </w:rPr>
      </w:pPr>
      <w:r>
        <w:rPr>
          <w:rFonts w:ascii="宋体" w:cs="Arial"/>
          <w:sz w:val="22"/>
          <w:szCs w:val="22"/>
          <w:highlight w:val="none"/>
          <w:lang w:val="zh-CN"/>
        </w:rPr>
        <w:t>1.</w:t>
      </w:r>
      <w:r>
        <w:rPr>
          <w:rFonts w:ascii="宋体" w:cs="Arial"/>
          <w:sz w:val="22"/>
          <w:szCs w:val="22"/>
          <w:highlight w:val="none"/>
        </w:rPr>
        <w:t xml:space="preserve">3 </w:t>
      </w:r>
      <w:r>
        <w:rPr>
          <w:rFonts w:hint="eastAsia" w:ascii="宋体" w:cs="Arial"/>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napToGrid w:val="0"/>
        <w:spacing w:line="400" w:lineRule="atLeast"/>
        <w:ind w:firstLine="440" w:firstLineChars="200"/>
        <w:textAlignment w:val="bottom"/>
        <w:rPr>
          <w:rFonts w:ascii="宋体" w:cs="Arial"/>
          <w:sz w:val="22"/>
          <w:szCs w:val="22"/>
          <w:highlight w:val="none"/>
        </w:rPr>
      </w:pPr>
      <w:r>
        <w:rPr>
          <w:rFonts w:ascii="宋体" w:cs="Arial"/>
          <w:sz w:val="22"/>
          <w:szCs w:val="22"/>
          <w:highlight w:val="none"/>
          <w:lang w:val="zh-CN"/>
        </w:rPr>
        <w:t>1.</w:t>
      </w:r>
      <w:r>
        <w:rPr>
          <w:rFonts w:ascii="宋体" w:cs="Arial"/>
          <w:sz w:val="22"/>
          <w:szCs w:val="22"/>
          <w:highlight w:val="none"/>
        </w:rPr>
        <w:t xml:space="preserve">4 </w:t>
      </w:r>
      <w:r>
        <w:rPr>
          <w:rFonts w:hint="eastAsia" w:ascii="宋体" w:cs="Arial"/>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0" w:firstLineChars="200"/>
        <w:rPr>
          <w:rFonts w:ascii="宋体"/>
          <w:sz w:val="22"/>
          <w:highlight w:val="none"/>
          <w:lang w:val="zh-CN"/>
        </w:rPr>
      </w:pPr>
      <w:r>
        <w:rPr>
          <w:rFonts w:ascii="宋体" w:cs="仿宋_GB2312"/>
          <w:sz w:val="22"/>
          <w:szCs w:val="22"/>
          <w:highlight w:val="none"/>
          <w:lang w:val="zh-CN"/>
        </w:rPr>
        <w:t>1.</w:t>
      </w:r>
      <w:r>
        <w:rPr>
          <w:rFonts w:ascii="宋体" w:cs="仿宋_GB2312"/>
          <w:sz w:val="22"/>
          <w:szCs w:val="22"/>
          <w:highlight w:val="none"/>
        </w:rPr>
        <w:t xml:space="preserve">5 </w:t>
      </w:r>
      <w:r>
        <w:rPr>
          <w:rFonts w:hint="eastAsia" w:ascii="宋体" w:cs="仿宋_GB2312"/>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00" w:lineRule="atLeast"/>
        <w:ind w:firstLine="440" w:firstLineChars="200"/>
        <w:rPr>
          <w:rFonts w:ascii="宋体" w:cs="??_GB2312"/>
          <w:b/>
          <w:sz w:val="22"/>
          <w:highlight w:val="none"/>
          <w:lang w:val="zh-CN"/>
        </w:rPr>
      </w:pPr>
      <w:r>
        <w:rPr>
          <w:rFonts w:ascii="宋体" w:hAnsi="宋体" w:cs="??_GB2312"/>
          <w:sz w:val="22"/>
          <w:highlight w:val="none"/>
          <w:lang w:val="zh-CN"/>
        </w:rPr>
        <w:t>2</w:t>
      </w:r>
      <w:r>
        <w:rPr>
          <w:rFonts w:hint="eastAsia" w:ascii="宋体" w:hAnsi="宋体" w:cs="??_GB2312"/>
          <w:sz w:val="22"/>
          <w:highlight w:val="none"/>
          <w:lang w:val="zh-CN"/>
        </w:rPr>
        <w:t>、响应文件的组成</w:t>
      </w:r>
    </w:p>
    <w:p>
      <w:pPr>
        <w:autoSpaceDE w:val="0"/>
        <w:autoSpaceDN w:val="0"/>
        <w:adjustRightInd w:val="0"/>
        <w:snapToGrid w:val="0"/>
        <w:spacing w:line="400" w:lineRule="atLeast"/>
        <w:ind w:firstLine="442" w:firstLineChars="200"/>
        <w:rPr>
          <w:rFonts w:ascii="宋体"/>
          <w:b/>
          <w:bCs/>
          <w:sz w:val="22"/>
          <w:highlight w:val="none"/>
          <w:lang w:val="zh-CN"/>
        </w:rPr>
      </w:pPr>
      <w:bookmarkStart w:id="1" w:name="_Toc132125985"/>
      <w:bookmarkStart w:id="2" w:name="_Toc132122121"/>
      <w:bookmarkStart w:id="3" w:name="_Toc132123441"/>
      <w:bookmarkStart w:id="4" w:name="_Toc493530208"/>
      <w:bookmarkStart w:id="5" w:name="_Toc132124596"/>
      <w:bookmarkStart w:id="6" w:name="_Toc132125153"/>
      <w:bookmarkStart w:id="7" w:name="_Toc132655778"/>
      <w:bookmarkStart w:id="8" w:name="_Toc132123636"/>
      <w:bookmarkStart w:id="9" w:name="_Toc132123549"/>
      <w:bookmarkStart w:id="10" w:name="_Toc132122418"/>
      <w:bookmarkStart w:id="11" w:name="_Toc132123883"/>
      <w:bookmarkStart w:id="12" w:name="_Toc132125039"/>
      <w:bookmarkStart w:id="13" w:name="_Toc132123840"/>
      <w:bookmarkStart w:id="14" w:name="_Toc132126156"/>
      <w:bookmarkStart w:id="15" w:name="_Toc132125576"/>
      <w:bookmarkStart w:id="16" w:name="_Toc132125097"/>
      <w:r>
        <w:rPr>
          <w:rFonts w:hint="eastAsia" w:ascii="宋体" w:hAnsi="宋体" w:cs="Arial"/>
          <w:b/>
          <w:sz w:val="22"/>
          <w:highlight w:val="none"/>
        </w:rPr>
        <w:t>▲</w:t>
      </w:r>
      <w:r>
        <w:rPr>
          <w:rFonts w:hint="eastAsia" w:ascii="宋体"/>
          <w:b/>
          <w:bCs/>
          <w:sz w:val="22"/>
          <w:highlight w:val="none"/>
        </w:rPr>
        <w:t>投标文件由《资格文件》、《商务技术文件》、《报价文件》三部分组成。《资格文件》和《商务技术文件》不得含报价，否则投标将被拒绝。</w:t>
      </w:r>
    </w:p>
    <w:p>
      <w:pPr>
        <w:autoSpaceDE w:val="0"/>
        <w:autoSpaceDN w:val="0"/>
        <w:adjustRightInd w:val="0"/>
        <w:snapToGrid w:val="0"/>
        <w:spacing w:line="400" w:lineRule="atLeast"/>
        <w:ind w:firstLine="440" w:firstLineChars="200"/>
        <w:rPr>
          <w:rFonts w:ascii="宋体" w:hAnsi="宋体" w:eastAsia="宋体" w:cs="宋体"/>
          <w:b/>
          <w:bCs/>
          <w:sz w:val="22"/>
          <w:szCs w:val="22"/>
          <w:highlight w:val="none"/>
          <w:lang w:val="zh-CN"/>
        </w:rPr>
      </w:pPr>
      <w:bookmarkStart w:id="17" w:name="_Hlk519085152"/>
      <w:r>
        <w:rPr>
          <w:rFonts w:hint="eastAsia" w:ascii="宋体" w:hAnsi="宋体" w:eastAsia="宋体" w:cs="宋体"/>
          <w:sz w:val="22"/>
          <w:szCs w:val="22"/>
          <w:highlight w:val="none"/>
          <w:lang w:val="zh-CN"/>
        </w:rPr>
        <w:t>2.1</w:t>
      </w:r>
      <w:r>
        <w:rPr>
          <w:rFonts w:hint="eastAsia" w:ascii="宋体" w:hAnsi="宋体" w:eastAsia="宋体" w:cs="宋体"/>
          <w:b/>
          <w:bCs/>
          <w:sz w:val="22"/>
          <w:szCs w:val="22"/>
          <w:highlight w:val="none"/>
        </w:rPr>
        <w:t>《报价文件》</w:t>
      </w:r>
      <w:r>
        <w:rPr>
          <w:rFonts w:hint="eastAsia" w:ascii="宋体" w:hAnsi="宋体" w:eastAsia="宋体" w:cs="宋体"/>
          <w:b/>
          <w:bCs/>
          <w:sz w:val="22"/>
          <w:szCs w:val="22"/>
          <w:highlight w:val="none"/>
          <w:lang w:val="zh-CN"/>
        </w:rPr>
        <w:t>组成</w:t>
      </w:r>
    </w:p>
    <w:tbl>
      <w:tblPr>
        <w:tblStyle w:val="2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sz w:val="22"/>
                <w:szCs w:val="22"/>
                <w:highlight w:val="none"/>
                <w:lang w:val="zh-CN"/>
              </w:rPr>
            </w:pPr>
            <w:r>
              <w:rPr>
                <w:rFonts w:hint="eastAsia" w:ascii="宋体" w:hAnsi="宋体" w:eastAsia="宋体" w:cs="宋体"/>
                <w:sz w:val="22"/>
                <w:szCs w:val="22"/>
                <w:highlight w:val="none"/>
                <w:lang w:val="zh-CN"/>
              </w:rPr>
              <w:t>序号</w:t>
            </w:r>
          </w:p>
        </w:tc>
        <w:tc>
          <w:tcPr>
            <w:tcW w:w="8386" w:type="dxa"/>
          </w:tcPr>
          <w:p>
            <w:pPr>
              <w:autoSpaceDE w:val="0"/>
              <w:autoSpaceDN w:val="0"/>
              <w:adjustRightInd w:val="0"/>
              <w:snapToGrid w:val="0"/>
              <w:spacing w:line="400" w:lineRule="atLeast"/>
              <w:rPr>
                <w:rFonts w:ascii="宋体" w:hAnsi="宋体" w:eastAsia="宋体" w:cs="宋体"/>
                <w:sz w:val="22"/>
                <w:szCs w:val="22"/>
                <w:highlight w:val="none"/>
                <w:lang w:val="zh-CN"/>
              </w:rPr>
            </w:pPr>
            <w:r>
              <w:rPr>
                <w:rFonts w:hint="eastAsia" w:ascii="宋体" w:hAnsi="宋体" w:eastAsia="宋体" w:cs="宋体"/>
                <w:sz w:val="22"/>
                <w:szCs w:val="22"/>
                <w:highlight w:val="none"/>
              </w:rPr>
              <w:t>内容（</w:t>
            </w:r>
            <w:r>
              <w:rPr>
                <w:rFonts w:hint="eastAsia" w:ascii="宋体" w:hAnsi="宋体" w:eastAsia="宋体" w:cs="宋体"/>
                <w:b/>
                <w:bCs/>
                <w:sz w:val="22"/>
                <w:szCs w:val="22"/>
                <w:highlight w:val="none"/>
              </w:rPr>
              <w:t>▲序号1-2项供应商必须提供，否则不能通过符合性审查的，责任自负</w:t>
            </w:r>
            <w:r>
              <w:rPr>
                <w:rFonts w:hint="eastAsia" w:ascii="宋体" w:hAnsi="宋体" w:eastAsia="宋体" w:cs="宋体"/>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1.</w:t>
            </w:r>
          </w:p>
        </w:tc>
        <w:tc>
          <w:tcPr>
            <w:tcW w:w="8386" w:type="dxa"/>
          </w:tcPr>
          <w:p>
            <w:pPr>
              <w:autoSpaceDE w:val="0"/>
              <w:autoSpaceDN w:val="0"/>
              <w:adjustRightInd w:val="0"/>
              <w:spacing w:line="400" w:lineRule="atLeast"/>
              <w:textAlignment w:val="bottom"/>
              <w:rPr>
                <w:rFonts w:ascii="宋体" w:hAnsi="宋体" w:eastAsia="宋体" w:cs="宋体"/>
                <w:sz w:val="22"/>
                <w:szCs w:val="22"/>
                <w:highlight w:val="none"/>
              </w:rPr>
            </w:pPr>
            <w:r>
              <w:rPr>
                <w:rFonts w:hint="eastAsia" w:ascii="宋体" w:hAnsi="宋体" w:eastAsia="宋体" w:cs="宋体"/>
                <w:sz w:val="22"/>
                <w:szCs w:val="22"/>
                <w:highlight w:val="none"/>
              </w:rPr>
              <w:t>投标报价一览表（见附件一（一））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2.</w:t>
            </w:r>
          </w:p>
        </w:tc>
        <w:tc>
          <w:tcPr>
            <w:tcW w:w="8386" w:type="dxa"/>
          </w:tcPr>
          <w:p>
            <w:pPr>
              <w:autoSpaceDE w:val="0"/>
              <w:autoSpaceDN w:val="0"/>
              <w:adjustRightInd w:val="0"/>
              <w:spacing w:line="400" w:lineRule="atLeast"/>
              <w:textAlignment w:val="bottom"/>
              <w:rPr>
                <w:rFonts w:ascii="宋体" w:hAnsi="宋体" w:eastAsia="宋体" w:cs="宋体"/>
                <w:sz w:val="22"/>
                <w:szCs w:val="22"/>
                <w:highlight w:val="none"/>
              </w:rPr>
            </w:pPr>
            <w:r>
              <w:rPr>
                <w:rFonts w:hint="eastAsia" w:ascii="宋体" w:hAnsi="宋体" w:eastAsia="宋体" w:cs="宋体"/>
                <w:sz w:val="22"/>
                <w:szCs w:val="22"/>
                <w:highlight w:val="none"/>
              </w:rPr>
              <w:t>投标分项报价表（见附件一（二））</w:t>
            </w:r>
          </w:p>
        </w:tc>
      </w:tr>
    </w:tbl>
    <w:p>
      <w:pPr>
        <w:autoSpaceDE w:val="0"/>
        <w:autoSpaceDN w:val="0"/>
        <w:adjustRightInd w:val="0"/>
        <w:snapToGrid w:val="0"/>
        <w:spacing w:line="400" w:lineRule="atLeast"/>
        <w:ind w:firstLine="440" w:firstLineChars="200"/>
        <w:textAlignment w:val="bottom"/>
        <w:rPr>
          <w:rFonts w:ascii="宋体" w:hAnsi="宋体" w:eastAsia="宋体" w:cs="宋体"/>
          <w:sz w:val="22"/>
          <w:szCs w:val="22"/>
          <w:highlight w:val="none"/>
        </w:rPr>
      </w:pPr>
      <w:r>
        <w:rPr>
          <w:rFonts w:hint="eastAsia" w:ascii="宋体" w:hAnsi="宋体" w:eastAsia="宋体" w:cs="宋体"/>
          <w:sz w:val="22"/>
          <w:szCs w:val="22"/>
          <w:highlight w:val="none"/>
        </w:rPr>
        <w:t>2.2</w:t>
      </w:r>
      <w:r>
        <w:rPr>
          <w:rFonts w:hint="eastAsia" w:ascii="宋体" w:hAnsi="宋体" w:eastAsia="宋体" w:cs="宋体"/>
          <w:b/>
          <w:bCs/>
          <w:sz w:val="22"/>
          <w:szCs w:val="22"/>
          <w:highlight w:val="none"/>
        </w:rPr>
        <w:t>《资格文件》组成</w:t>
      </w:r>
    </w:p>
    <w:tbl>
      <w:tblPr>
        <w:tblStyle w:val="2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序号</w:t>
            </w: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资信部分</w:t>
            </w:r>
            <w:r>
              <w:rPr>
                <w:rFonts w:hint="eastAsia" w:ascii="宋体" w:hAnsi="宋体" w:eastAsia="宋体" w:cs="宋体"/>
                <w:b/>
                <w:bCs/>
                <w:sz w:val="22"/>
                <w:szCs w:val="22"/>
                <w:highlight w:val="none"/>
              </w:rPr>
              <w:t>（▲序号1-9项供应商必须提供，否则不能通过资格审查的，责任自负）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cs="宋体"/>
                <w:sz w:val="22"/>
                <w:szCs w:val="22"/>
                <w:highlight w:val="none"/>
              </w:rPr>
            </w:pPr>
            <w:r>
              <w:rPr>
                <w:rFonts w:hint="eastAsia" w:ascii="宋体" w:hAnsi="宋体" w:eastAsia="宋体" w:cs="宋体"/>
                <w:b/>
                <w:bCs/>
                <w:sz w:val="22"/>
                <w:szCs w:val="22"/>
                <w:highlight w:val="none"/>
              </w:rPr>
              <w:t>特定资格条件：</w:t>
            </w:r>
            <w:r>
              <w:rPr>
                <w:rFonts w:hint="eastAsia" w:ascii="宋体" w:cs="宋体"/>
                <w:b/>
                <w:bCs/>
                <w:kern w:val="28"/>
                <w:sz w:val="22"/>
                <w:highlight w:val="none"/>
              </w:rPr>
              <w:t>投标单位需具有交通主管部门颁发的公路工程试验检测综合甲级资质证书（独立法人单位下属的非独立法人具有检测资质的，视为该独立法人单位具有相应资质）；并取得省级及以上质量技术监督部门颁发的计量认证(CMA认证)证书且认证参数中包含拟承担的实体检测项目（证书范围须包含平整度、公路路面损坏和桥梁试验检测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中小企业相关的证明材料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在政府采购活动中，监狱企业</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残疾人福利性单位视同小型、微型企业。</w:t>
            </w:r>
            <w:r>
              <w:rPr>
                <w:rFonts w:hint="eastAsia" w:ascii="宋体" w:hAnsi="宋体" w:eastAsia="宋体" w:cs="宋体"/>
                <w:color w:val="auto"/>
                <w:sz w:val="22"/>
                <w:szCs w:val="22"/>
                <w:highlight w:val="none"/>
                <w:lang w:eastAsia="zh-CN"/>
              </w:rPr>
              <w:t>）（如有）</w:t>
            </w:r>
            <w:r>
              <w:rPr>
                <w:rFonts w:hint="eastAsia" w:ascii="宋体" w:hAnsi="宋体" w:eastAsia="宋体" w:cs="宋体"/>
                <w:color w:val="auto"/>
                <w:sz w:val="22"/>
                <w:szCs w:val="22"/>
                <w:highlight w:val="none"/>
              </w:rPr>
              <w:t>：</w:t>
            </w:r>
          </w:p>
          <w:p>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中小企业</w:t>
            </w:r>
          </w:p>
          <w:p>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中小企业声明函（见</w:t>
            </w:r>
            <w:r>
              <w:rPr>
                <w:rFonts w:hint="eastAsia" w:ascii="宋体" w:hAnsi="宋体" w:eastAsia="宋体" w:cs="宋体"/>
                <w:color w:val="auto"/>
                <w:sz w:val="22"/>
                <w:szCs w:val="22"/>
                <w:highlight w:val="none"/>
                <w:lang w:val="en-US" w:eastAsia="zh-CN"/>
              </w:rPr>
              <w:t>附件1</w:t>
            </w:r>
            <w:r>
              <w:rPr>
                <w:rFonts w:hint="eastAsia" w:ascii="宋体" w:hAnsi="宋体" w:eastAsia="宋体" w:cs="宋体"/>
                <w:color w:val="auto"/>
                <w:sz w:val="22"/>
                <w:szCs w:val="22"/>
                <w:highlight w:val="none"/>
              </w:rPr>
              <w:t>）</w:t>
            </w:r>
          </w:p>
          <w:p>
            <w:pPr>
              <w:autoSpaceDE w:val="0"/>
              <w:autoSpaceDN w:val="0"/>
              <w:adjustRightInd w:val="0"/>
              <w:snapToGrid w:val="0"/>
              <w:spacing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（2）监狱企业参加政府采购活动时，应当提供由省级以上监狱管理局、戒毒管理局(含新疆生产建设兵团)出具的属于监狱企业的证明文件（原件加盖公章）。</w:t>
            </w:r>
          </w:p>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color w:val="auto"/>
                <w:sz w:val="22"/>
                <w:szCs w:val="22"/>
                <w:highlight w:val="none"/>
              </w:rPr>
              <w:t>（3）残疾人福利性单位声明函</w:t>
            </w:r>
            <w:r>
              <w:rPr>
                <w:rFonts w:hint="eastAsia" w:ascii="宋体" w:hAnsi="宋体" w:eastAsia="宋体" w:cs="宋体"/>
                <w:color w:val="auto"/>
                <w:sz w:val="22"/>
                <w:highlight w:val="none"/>
                <w:lang w:eastAsia="zh-CN"/>
              </w:rPr>
              <w:t>（见附件</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承诺具有健全的财务会计制度（承诺函）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具有履行合同所必需的设备和专业技术能力的承诺函（见附件三）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依法缴纳税收和社会保障资金的承诺函（见附件四）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参加政府采购活动前3年内在经营活动中没有重大违法记录的声明函（见附件五）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供应商“信用中国”(www.creditchina.gov.cn)；“中国政府采购网”（http://www.ccgp.gov.cn/）信用记录网页截图（招标公告发布之日至投标截止时间前均可）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tcPr>
          <w:p>
            <w:pPr>
              <w:numPr>
                <w:ilvl w:val="0"/>
                <w:numId w:val="9"/>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法定代表人身份证明书（见附件六（一））或法定代表人授权书（见附件六（二））</w:t>
            </w:r>
          </w:p>
        </w:tc>
      </w:tr>
    </w:tbl>
    <w:p>
      <w:pPr>
        <w:autoSpaceDE w:val="0"/>
        <w:autoSpaceDN w:val="0"/>
        <w:adjustRightInd w:val="0"/>
        <w:snapToGrid w:val="0"/>
        <w:spacing w:line="400" w:lineRule="atLeast"/>
        <w:ind w:firstLine="440" w:firstLineChars="200"/>
        <w:textAlignment w:val="bottom"/>
        <w:rPr>
          <w:rFonts w:ascii="宋体" w:hAnsi="宋体" w:eastAsia="宋体" w:cs="宋体"/>
          <w:sz w:val="22"/>
          <w:szCs w:val="22"/>
          <w:highlight w:val="none"/>
        </w:rPr>
      </w:pPr>
      <w:r>
        <w:rPr>
          <w:rFonts w:hint="eastAsia" w:ascii="宋体" w:hAnsi="宋体" w:eastAsia="宋体" w:cs="宋体"/>
          <w:sz w:val="22"/>
          <w:szCs w:val="22"/>
          <w:highlight w:val="none"/>
        </w:rPr>
        <w:t>2.3</w:t>
      </w:r>
      <w:r>
        <w:rPr>
          <w:rFonts w:hint="eastAsia" w:ascii="宋体" w:hAnsi="宋体" w:eastAsia="宋体" w:cs="宋体"/>
          <w:b/>
          <w:bCs/>
          <w:sz w:val="22"/>
          <w:szCs w:val="22"/>
          <w:highlight w:val="none"/>
        </w:rPr>
        <w:t>《商务技术文件》组成</w:t>
      </w:r>
    </w:p>
    <w:bookmarkEnd w:id="17"/>
    <w:tbl>
      <w:tblPr>
        <w:tblStyle w:val="2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技术部分</w:t>
            </w:r>
            <w:r>
              <w:rPr>
                <w:rFonts w:hint="eastAsia" w:ascii="宋体" w:hAnsi="宋体" w:eastAsia="宋体" w:cs="宋体"/>
                <w:b/>
                <w:bCs/>
                <w:sz w:val="22"/>
                <w:szCs w:val="22"/>
                <w:highlight w:val="none"/>
              </w:rPr>
              <w:t>（▲序号1-5项供应商必须提供，否则不能通过符合性审查的，责任自负）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投标函（见附件七）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供应商参与政府采购活动投标资格声明（见附件八）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法定代表人诚信投标承诺书（见附件九）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商务偏离表（见附件十（一））、技术偏离表（见附件十（二））（如有偏离须明确列出，如不存在偏离则填写无）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服务期所需工具</w:t>
            </w:r>
            <w:r>
              <w:rPr>
                <w:rFonts w:hint="eastAsia" w:ascii="宋体" w:hAnsi="宋体" w:eastAsia="宋体" w:cs="宋体"/>
                <w:sz w:val="22"/>
                <w:szCs w:val="22"/>
                <w:highlight w:val="none"/>
              </w:rPr>
              <w:t>配置清单</w:t>
            </w:r>
            <w:r>
              <w:rPr>
                <w:rFonts w:hint="eastAsia" w:ascii="宋体" w:hAnsi="宋体" w:eastAsia="宋体" w:cs="宋体"/>
                <w:sz w:val="22"/>
                <w:szCs w:val="22"/>
                <w:highlight w:val="none"/>
                <w:lang w:eastAsia="zh-CN"/>
              </w:rPr>
              <w:t>（含车辆）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距离采购单位最近的服务机构的详细介绍（如负责人，电话，地址，技术力量配备等）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tcPr>
          <w:p>
            <w:pPr>
              <w:numPr>
                <w:ilvl w:val="0"/>
                <w:numId w:val="10"/>
              </w:numPr>
              <w:autoSpaceDE w:val="0"/>
              <w:autoSpaceDN w:val="0"/>
              <w:adjustRightInd w:val="0"/>
              <w:snapToGrid w:val="0"/>
              <w:spacing w:line="400" w:lineRule="atLeast"/>
              <w:rPr>
                <w:rFonts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rPr>
                <w:rFonts w:ascii="宋体" w:hAnsi="宋体" w:eastAsia="宋体" w:cs="宋体"/>
                <w:sz w:val="22"/>
                <w:szCs w:val="22"/>
                <w:highlight w:val="none"/>
              </w:rPr>
            </w:pPr>
            <w:r>
              <w:rPr>
                <w:rFonts w:hint="eastAsia" w:ascii="宋体" w:hAnsi="宋体" w:eastAsia="宋体" w:cs="宋体"/>
                <w:sz w:val="22"/>
                <w:szCs w:val="22"/>
                <w:highlight w:val="none"/>
              </w:rPr>
              <w:t>其它供应商须说明的资料（如有则提供）</w:t>
            </w:r>
          </w:p>
        </w:tc>
      </w:tr>
    </w:tbl>
    <w:p>
      <w:pPr>
        <w:autoSpaceDE w:val="0"/>
        <w:autoSpaceDN w:val="0"/>
        <w:adjustRightInd w:val="0"/>
        <w:spacing w:line="400" w:lineRule="exact"/>
        <w:ind w:firstLine="440" w:firstLineChars="200"/>
        <w:textAlignment w:val="bottom"/>
        <w:rPr>
          <w:rFonts w:ascii="宋体" w:cs="Arial"/>
          <w:sz w:val="22"/>
          <w:highlight w:val="none"/>
        </w:rPr>
      </w:pPr>
      <w:r>
        <w:rPr>
          <w:rFonts w:ascii="宋体" w:hAnsi="宋体" w:cs="Arial"/>
          <w:sz w:val="22"/>
          <w:highlight w:val="none"/>
        </w:rPr>
        <w:t>3</w:t>
      </w:r>
      <w:r>
        <w:rPr>
          <w:rFonts w:hint="eastAsia" w:ascii="宋体" w:hAnsi="宋体" w:cs="Arial"/>
          <w:sz w:val="22"/>
          <w:highlight w:val="none"/>
        </w:rPr>
        <w:t>、投标内容填写说明</w:t>
      </w:r>
    </w:p>
    <w:p>
      <w:pPr>
        <w:autoSpaceDE w:val="0"/>
        <w:autoSpaceDN w:val="0"/>
        <w:adjustRightInd w:val="0"/>
        <w:spacing w:line="400" w:lineRule="exact"/>
        <w:ind w:firstLine="440" w:firstLineChars="200"/>
        <w:textAlignment w:val="bottom"/>
        <w:rPr>
          <w:rFonts w:ascii="宋体" w:cs="Arial"/>
          <w:sz w:val="22"/>
          <w:highlight w:val="none"/>
        </w:rPr>
      </w:pPr>
      <w:r>
        <w:rPr>
          <w:rFonts w:ascii="宋体" w:hAnsi="宋体" w:cs="Arial"/>
          <w:sz w:val="22"/>
          <w:highlight w:val="none"/>
        </w:rPr>
        <w:t>3.1</w:t>
      </w:r>
      <w:r>
        <w:rPr>
          <w:rFonts w:hint="eastAsia" w:ascii="宋体" w:hAnsi="宋体" w:cs="Arial"/>
          <w:sz w:val="22"/>
          <w:highlight w:val="none"/>
        </w:rPr>
        <w:t>响应文件格式</w:t>
      </w:r>
    </w:p>
    <w:p>
      <w:pPr>
        <w:autoSpaceDE w:val="0"/>
        <w:autoSpaceDN w:val="0"/>
        <w:adjustRightInd w:val="0"/>
        <w:spacing w:line="400" w:lineRule="exact"/>
        <w:ind w:firstLine="440" w:firstLineChars="200"/>
        <w:textAlignment w:val="bottom"/>
        <w:rPr>
          <w:rFonts w:ascii="宋体" w:cs="Arial"/>
          <w:sz w:val="22"/>
          <w:highlight w:val="none"/>
        </w:rPr>
      </w:pPr>
      <w:r>
        <w:rPr>
          <w:rFonts w:hint="eastAsia" w:ascii="宋体" w:hAnsi="宋体" w:cs="Arial"/>
          <w:sz w:val="22"/>
          <w:highlight w:val="none"/>
        </w:rPr>
        <w:t>供应商应按照第</w:t>
      </w:r>
      <w:r>
        <w:rPr>
          <w:rFonts w:ascii="宋体" w:hAnsi="宋体" w:cs="Arial"/>
          <w:sz w:val="22"/>
          <w:highlight w:val="none"/>
        </w:rPr>
        <w:t>2</w:t>
      </w:r>
      <w:r>
        <w:rPr>
          <w:rFonts w:hint="eastAsia" w:ascii="宋体" w:hAnsi="宋体" w:cs="Arial"/>
          <w:sz w:val="22"/>
          <w:highlight w:val="none"/>
        </w:rPr>
        <w:t>条所列出的内容及格式逐一按顺序组成响应文件</w:t>
      </w:r>
    </w:p>
    <w:p>
      <w:pPr>
        <w:autoSpaceDE w:val="0"/>
        <w:autoSpaceDN w:val="0"/>
        <w:adjustRightInd w:val="0"/>
        <w:snapToGrid w:val="0"/>
        <w:spacing w:line="400" w:lineRule="exact"/>
        <w:textAlignment w:val="bottom"/>
        <w:rPr>
          <w:rFonts w:ascii="宋体"/>
          <w:sz w:val="22"/>
          <w:highlight w:val="none"/>
        </w:rPr>
      </w:pPr>
      <w:r>
        <w:rPr>
          <w:rFonts w:ascii="宋体" w:hAnsi="宋体"/>
          <w:sz w:val="22"/>
          <w:highlight w:val="none"/>
        </w:rPr>
        <w:t>4</w:t>
      </w:r>
      <w:r>
        <w:rPr>
          <w:rFonts w:hint="eastAsia" w:ascii="宋体" w:hAnsi="宋体"/>
          <w:sz w:val="22"/>
          <w:highlight w:val="none"/>
        </w:rPr>
        <w:t>、投标报价</w:t>
      </w:r>
    </w:p>
    <w:p>
      <w:pPr>
        <w:autoSpaceDE w:val="0"/>
        <w:autoSpaceDN w:val="0"/>
        <w:adjustRightInd w:val="0"/>
        <w:spacing w:line="400" w:lineRule="exact"/>
        <w:ind w:firstLine="440" w:firstLineChars="200"/>
        <w:textAlignment w:val="bottom"/>
        <w:rPr>
          <w:rFonts w:ascii="宋体"/>
          <w:sz w:val="22"/>
          <w:highlight w:val="none"/>
        </w:rPr>
      </w:pPr>
      <w:r>
        <w:rPr>
          <w:rFonts w:ascii="宋体" w:hAnsi="宋体"/>
          <w:sz w:val="22"/>
          <w:highlight w:val="none"/>
        </w:rPr>
        <w:t>4.1</w:t>
      </w:r>
      <w:r>
        <w:rPr>
          <w:rFonts w:hint="eastAsia" w:ascii="宋体" w:hAnsi="宋体"/>
          <w:sz w:val="22"/>
          <w:highlight w:val="none"/>
        </w:rPr>
        <w:t>供应商应按竞争性磋商文件中《投标报价一览表》填写报价总价。</w:t>
      </w:r>
    </w:p>
    <w:p>
      <w:pPr>
        <w:autoSpaceDE w:val="0"/>
        <w:autoSpaceDN w:val="0"/>
        <w:adjustRightInd w:val="0"/>
        <w:snapToGrid w:val="0"/>
        <w:spacing w:line="400" w:lineRule="atLeast"/>
        <w:ind w:firstLine="450"/>
        <w:textAlignment w:val="bottom"/>
        <w:rPr>
          <w:rFonts w:ascii="宋体" w:cs="Arial"/>
          <w:sz w:val="22"/>
          <w:highlight w:val="none"/>
          <w:u w:val="single"/>
        </w:rPr>
      </w:pPr>
      <w:r>
        <w:rPr>
          <w:rFonts w:ascii="宋体" w:hAnsi="宋体"/>
          <w:sz w:val="22"/>
          <w:highlight w:val="none"/>
        </w:rPr>
        <w:t>4.2</w:t>
      </w:r>
      <w:r>
        <w:rPr>
          <w:rFonts w:hint="eastAsia" w:ascii="宋体" w:cs="Arial"/>
          <w:sz w:val="22"/>
          <w:szCs w:val="22"/>
          <w:highlight w:val="none"/>
        </w:rPr>
        <w:t>本次招标只允许有一个报价，有选择的报价将不予接受。</w:t>
      </w:r>
      <w:r>
        <w:rPr>
          <w:rFonts w:hint="eastAsia" w:ascii="宋体" w:hAnsi="宋体"/>
          <w:sz w:val="22"/>
          <w:highlight w:val="none"/>
        </w:rPr>
        <w:t>报价为合同约定的全部费用。供应商应在各自技术和商务占优势的基础上并充分考虑本项目的重要性，提供对采购单位最优惠的报价。</w:t>
      </w:r>
    </w:p>
    <w:p>
      <w:pPr>
        <w:autoSpaceDE w:val="0"/>
        <w:autoSpaceDN w:val="0"/>
        <w:adjustRightInd w:val="0"/>
        <w:spacing w:line="400" w:lineRule="exact"/>
        <w:ind w:firstLine="440" w:firstLineChars="200"/>
        <w:textAlignment w:val="bottom"/>
        <w:rPr>
          <w:rFonts w:ascii="宋体"/>
          <w:sz w:val="22"/>
          <w:highlight w:val="none"/>
        </w:rPr>
      </w:pPr>
      <w:r>
        <w:rPr>
          <w:rFonts w:ascii="宋体" w:hAnsi="宋体"/>
          <w:sz w:val="22"/>
          <w:highlight w:val="none"/>
        </w:rPr>
        <w:t>5</w:t>
      </w:r>
      <w:r>
        <w:rPr>
          <w:rFonts w:hint="eastAsia" w:ascii="宋体" w:hAnsi="宋体"/>
          <w:sz w:val="22"/>
          <w:highlight w:val="none"/>
        </w:rPr>
        <w:t>、采购单位要求分类报价是为了方便评标，但在任何情况下不限制采购单位以其认为最合适的条款签订合同的权利。</w:t>
      </w:r>
    </w:p>
    <w:p>
      <w:pPr>
        <w:autoSpaceDE w:val="0"/>
        <w:autoSpaceDN w:val="0"/>
        <w:adjustRightInd w:val="0"/>
        <w:spacing w:line="400" w:lineRule="exact"/>
        <w:ind w:firstLine="440" w:firstLineChars="200"/>
        <w:textAlignment w:val="bottom"/>
        <w:rPr>
          <w:rFonts w:ascii="宋体"/>
          <w:sz w:val="22"/>
          <w:highlight w:val="none"/>
        </w:rPr>
      </w:pPr>
      <w:r>
        <w:rPr>
          <w:rFonts w:hint="eastAsia" w:ascii="宋体" w:hAnsi="宋体"/>
          <w:sz w:val="22"/>
          <w:highlight w:val="none"/>
        </w:rPr>
        <w:t>6、响应文件的有效期</w:t>
      </w:r>
    </w:p>
    <w:p>
      <w:pPr>
        <w:autoSpaceDE w:val="0"/>
        <w:autoSpaceDN w:val="0"/>
        <w:adjustRightInd w:val="0"/>
        <w:spacing w:line="400" w:lineRule="exact"/>
        <w:ind w:firstLine="440" w:firstLineChars="200"/>
        <w:textAlignment w:val="bottom"/>
        <w:rPr>
          <w:rFonts w:ascii="宋体"/>
          <w:sz w:val="22"/>
          <w:highlight w:val="none"/>
        </w:rPr>
      </w:pPr>
      <w:r>
        <w:rPr>
          <w:rFonts w:hint="eastAsia" w:ascii="宋体" w:hAnsi="宋体"/>
          <w:sz w:val="22"/>
          <w:highlight w:val="none"/>
        </w:rPr>
        <w:t>6</w:t>
      </w:r>
      <w:r>
        <w:rPr>
          <w:rFonts w:ascii="宋体" w:hAnsi="宋体"/>
          <w:sz w:val="22"/>
          <w:highlight w:val="none"/>
        </w:rPr>
        <w:t>.1</w:t>
      </w:r>
      <w:r>
        <w:rPr>
          <w:rFonts w:hint="eastAsia" w:ascii="宋体" w:hAnsi="宋体"/>
          <w:sz w:val="22"/>
          <w:highlight w:val="none"/>
        </w:rPr>
        <w:t>自报价截止时间起</w:t>
      </w:r>
      <w:r>
        <w:rPr>
          <w:rFonts w:ascii="宋体" w:hAnsi="宋体"/>
          <w:sz w:val="22"/>
          <w:highlight w:val="none"/>
        </w:rPr>
        <w:t>90</w:t>
      </w:r>
      <w:r>
        <w:rPr>
          <w:rFonts w:hint="eastAsia" w:ascii="宋体" w:hAnsi="宋体"/>
          <w:sz w:val="22"/>
          <w:highlight w:val="none"/>
        </w:rPr>
        <w:t>天内，响应文件应保持有效。有效期短于这个规定期限的报价将被拒绝。</w:t>
      </w:r>
    </w:p>
    <w:p>
      <w:pPr>
        <w:autoSpaceDE w:val="0"/>
        <w:autoSpaceDN w:val="0"/>
        <w:adjustRightInd w:val="0"/>
        <w:spacing w:line="400" w:lineRule="exact"/>
        <w:ind w:firstLine="440" w:firstLineChars="200"/>
        <w:textAlignment w:val="bottom"/>
        <w:rPr>
          <w:rFonts w:ascii="宋体"/>
          <w:sz w:val="22"/>
          <w:highlight w:val="none"/>
        </w:rPr>
      </w:pPr>
      <w:r>
        <w:rPr>
          <w:rFonts w:hint="eastAsia" w:ascii="宋体" w:hAnsi="宋体"/>
          <w:sz w:val="22"/>
          <w:highlight w:val="none"/>
        </w:rPr>
        <w:t>6</w:t>
      </w:r>
      <w:r>
        <w:rPr>
          <w:rFonts w:ascii="宋体" w:hAnsi="宋体"/>
          <w:sz w:val="22"/>
          <w:highlight w:val="none"/>
        </w:rPr>
        <w:t>.2</w:t>
      </w:r>
      <w:r>
        <w:rPr>
          <w:rFonts w:hint="eastAsia" w:ascii="宋体" w:hAnsi="宋体"/>
          <w:sz w:val="22"/>
          <w:highlight w:val="none"/>
        </w:rPr>
        <w:t>在特殊情况下，采购单位可与供应商协商延长响应文件的有效期，这种要求和答复均应以书面形式进行。</w:t>
      </w:r>
    </w:p>
    <w:p>
      <w:pPr>
        <w:autoSpaceDE w:val="0"/>
        <w:autoSpaceDN w:val="0"/>
        <w:adjustRightInd w:val="0"/>
        <w:spacing w:line="400" w:lineRule="exact"/>
        <w:ind w:firstLine="440" w:firstLineChars="200"/>
        <w:textAlignment w:val="bottom"/>
        <w:rPr>
          <w:rFonts w:ascii="宋体"/>
          <w:sz w:val="22"/>
          <w:highlight w:val="none"/>
        </w:rPr>
      </w:pPr>
      <w:r>
        <w:rPr>
          <w:rFonts w:hint="eastAsia" w:ascii="宋体" w:hAnsi="宋体"/>
          <w:sz w:val="22"/>
          <w:highlight w:val="none"/>
        </w:rPr>
        <w:t>6</w:t>
      </w:r>
      <w:r>
        <w:rPr>
          <w:rFonts w:ascii="宋体" w:hAnsi="宋体"/>
          <w:sz w:val="22"/>
          <w:highlight w:val="none"/>
        </w:rPr>
        <w:t>.3</w:t>
      </w:r>
      <w:r>
        <w:rPr>
          <w:rFonts w:hint="eastAsia" w:ascii="宋体" w:hAnsi="宋体"/>
          <w:sz w:val="22"/>
          <w:highlight w:val="none"/>
        </w:rPr>
        <w:t>供应商可拒绝接受延期要求。同意延长有效期的供应商不能修改响应文件。</w:t>
      </w:r>
    </w:p>
    <w:p>
      <w:pPr>
        <w:autoSpaceDE w:val="0"/>
        <w:autoSpaceDN w:val="0"/>
        <w:adjustRightInd w:val="0"/>
        <w:spacing w:line="400" w:lineRule="exact"/>
        <w:ind w:firstLine="440" w:firstLineChars="200"/>
        <w:textAlignment w:val="bottom"/>
        <w:rPr>
          <w:rFonts w:ascii="宋体"/>
          <w:sz w:val="22"/>
          <w:highlight w:val="none"/>
        </w:rPr>
      </w:pPr>
      <w:r>
        <w:rPr>
          <w:rFonts w:hint="eastAsia" w:ascii="宋体" w:hAnsi="宋体"/>
          <w:sz w:val="22"/>
          <w:highlight w:val="none"/>
        </w:rPr>
        <w:t>7、响应文件的签署和份数</w:t>
      </w:r>
    </w:p>
    <w:p>
      <w:pPr>
        <w:autoSpaceDE w:val="0"/>
        <w:autoSpaceDN w:val="0"/>
        <w:adjustRightInd w:val="0"/>
        <w:spacing w:line="400" w:lineRule="exact"/>
        <w:ind w:firstLine="440" w:firstLineChars="200"/>
        <w:textAlignment w:val="bottom"/>
        <w:rPr>
          <w:rFonts w:ascii="宋体"/>
          <w:sz w:val="22"/>
          <w:highlight w:val="none"/>
        </w:rPr>
      </w:pPr>
      <w:r>
        <w:rPr>
          <w:rFonts w:hint="eastAsia" w:ascii="宋体" w:hAnsi="宋体"/>
          <w:sz w:val="22"/>
          <w:highlight w:val="none"/>
        </w:rPr>
        <w:t>响应文件须由供应商盖章并由法定代表人或法定代表人授权代表签署，供应商应写全称。</w:t>
      </w:r>
    </w:p>
    <w:p>
      <w:pPr>
        <w:autoSpaceDE w:val="0"/>
        <w:autoSpaceDN w:val="0"/>
        <w:adjustRightInd w:val="0"/>
        <w:spacing w:line="400" w:lineRule="exact"/>
        <w:ind w:firstLine="440" w:firstLineChars="200"/>
        <w:textAlignment w:val="bottom"/>
        <w:rPr>
          <w:rFonts w:hAnsi="宋体"/>
          <w:b/>
          <w:bCs/>
          <w:sz w:val="22"/>
          <w:highlight w:val="none"/>
          <w:u w:val="single"/>
        </w:rPr>
      </w:pPr>
      <w:r>
        <w:rPr>
          <w:rFonts w:hint="eastAsia" w:hAnsi="宋体"/>
          <w:sz w:val="22"/>
          <w:highlight w:val="none"/>
        </w:rPr>
        <w:t>7.1响应文件的份数：“电子加密投标文件”：在线上传递交。</w:t>
      </w:r>
    </w:p>
    <w:p>
      <w:pPr>
        <w:autoSpaceDE w:val="0"/>
        <w:autoSpaceDN w:val="0"/>
        <w:adjustRightInd w:val="0"/>
        <w:spacing w:line="400" w:lineRule="exact"/>
        <w:ind w:firstLine="442" w:firstLineChars="200"/>
        <w:textAlignment w:val="bottom"/>
        <w:rPr>
          <w:rFonts w:hAnsi="宋体"/>
          <w:b/>
          <w:bCs/>
          <w:sz w:val="22"/>
          <w:highlight w:val="none"/>
        </w:rPr>
      </w:pPr>
      <w:bookmarkStart w:id="18" w:name="_Toc493530206"/>
      <w:r>
        <w:rPr>
          <w:rFonts w:hint="eastAsia" w:hAnsi="宋体"/>
          <w:b/>
          <w:bCs/>
          <w:sz w:val="22"/>
          <w:highlight w:val="none"/>
        </w:rPr>
        <w:t>四、响应文件的密封与递交</w:t>
      </w:r>
      <w:bookmarkEnd w:id="18"/>
    </w:p>
    <w:p>
      <w:pPr>
        <w:pStyle w:val="65"/>
        <w:adjustRightInd w:val="0"/>
        <w:snapToGrid w:val="0"/>
        <w:spacing w:line="400" w:lineRule="atLeast"/>
        <w:outlineLvl w:val="0"/>
        <w:rPr>
          <w:rFonts w:hAnsi="宋体" w:cs="Arial"/>
          <w:b/>
          <w:bCs/>
          <w:sz w:val="22"/>
          <w:szCs w:val="22"/>
          <w:highlight w:val="none"/>
        </w:rPr>
      </w:pPr>
      <w:bookmarkStart w:id="19" w:name="_Toc132123635"/>
      <w:bookmarkStart w:id="20" w:name="_Toc132125575"/>
      <w:bookmarkStart w:id="21" w:name="_Toc132123839"/>
      <w:bookmarkStart w:id="22" w:name="_Toc132125096"/>
      <w:bookmarkStart w:id="23" w:name="_Toc132123548"/>
      <w:bookmarkStart w:id="24" w:name="_Toc132123882"/>
      <w:bookmarkStart w:id="25" w:name="_Toc132125152"/>
      <w:bookmarkStart w:id="26" w:name="_Toc132126155"/>
      <w:bookmarkStart w:id="27" w:name="_Toc493530207"/>
      <w:bookmarkStart w:id="28" w:name="_Toc132124595"/>
      <w:bookmarkStart w:id="29" w:name="_Toc132122417"/>
      <w:bookmarkStart w:id="30" w:name="_Toc132125984"/>
      <w:bookmarkStart w:id="31" w:name="_Toc132122120"/>
      <w:bookmarkStart w:id="32" w:name="_Toc132655777"/>
      <w:bookmarkStart w:id="33" w:name="_Toc132123440"/>
      <w:bookmarkStart w:id="34" w:name="_Toc132125038"/>
      <w:r>
        <w:rPr>
          <w:rFonts w:hint="eastAsia" w:hAnsi="宋体" w:cs="Arial"/>
          <w:b/>
          <w:bCs/>
          <w:sz w:val="22"/>
          <w:szCs w:val="22"/>
          <w:highlight w:val="none"/>
        </w:rPr>
        <w:t>投标文件的递交</w:t>
      </w:r>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1、投标文件的上传、递交：见《前附表》。</w:t>
      </w:r>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2、“电子加密投标文件”解密和异常情况处理：见《前附表》。</w:t>
      </w:r>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3、投标文件的补充、修改或撤回</w:t>
      </w:r>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3.2投标截止时间后，供应商不得撤回、修改《投标文件》。</w:t>
      </w:r>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4、投标文件的备选方案</w:t>
      </w:r>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4.1供应商不得递交任何的投标备选（替代）方案，否则其投标文件将作无效标处理。</w:t>
      </w:r>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5、投标截止期</w:t>
      </w:r>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5.1供应商应按前附表中规定的时间、地点将投标文件递交给采购单位，采购单位将拒绝接受逾期送达的投标文件。</w:t>
      </w:r>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5.2采购单位可以按本须知规定以补充通知的方式，酌情延长递交投标文件的截止日期。在上述情况下，采购单位与供应商以前在投标截止期方面的全部权利、责任和义务，将适用于延长至新的投标截止期。</w:t>
      </w:r>
    </w:p>
    <w:p>
      <w:pPr>
        <w:pStyle w:val="16"/>
        <w:adjustRightInd w:val="0"/>
        <w:snapToGrid w:val="0"/>
        <w:spacing w:line="400" w:lineRule="exact"/>
        <w:outlineLvl w:val="0"/>
        <w:rPr>
          <w:rFonts w:hAnsi="宋体"/>
          <w:b/>
          <w:sz w:val="22"/>
          <w:highlight w:val="none"/>
        </w:rPr>
      </w:pPr>
      <w:r>
        <w:rPr>
          <w:rFonts w:hint="eastAsia" w:hAnsi="宋体"/>
          <w:b/>
          <w:sz w:val="22"/>
          <w:highlight w:val="none"/>
        </w:rPr>
        <w:t>五、开标和评标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1、开标</w:t>
      </w:r>
    </w:p>
    <w:p>
      <w:pPr>
        <w:pStyle w:val="65"/>
        <w:adjustRightInd w:val="0"/>
        <w:snapToGrid w:val="0"/>
        <w:spacing w:line="400" w:lineRule="atLeast"/>
        <w:ind w:firstLine="433" w:firstLineChars="196"/>
        <w:rPr>
          <w:rFonts w:hAnsi="宋体"/>
          <w:b/>
          <w:bCs/>
          <w:sz w:val="22"/>
          <w:szCs w:val="22"/>
          <w:highlight w:val="none"/>
        </w:rPr>
      </w:pPr>
      <w:r>
        <w:rPr>
          <w:rFonts w:hint="eastAsia" w:hAnsi="宋体"/>
          <w:b/>
          <w:bCs/>
          <w:sz w:val="22"/>
          <w:szCs w:val="22"/>
          <w:highlight w:val="none"/>
        </w:rPr>
        <w:t>（一）开标形式</w:t>
      </w:r>
    </w:p>
    <w:p>
      <w:pPr>
        <w:snapToGrid w:val="0"/>
        <w:spacing w:line="440" w:lineRule="exact"/>
        <w:ind w:firstLine="440" w:firstLineChars="200"/>
        <w:jc w:val="left"/>
        <w:rPr>
          <w:rFonts w:ascii="宋体" w:hAnsi="宋体" w:cs="Arial"/>
          <w:b/>
          <w:kern w:val="0"/>
          <w:sz w:val="22"/>
          <w:highlight w:val="none"/>
        </w:rPr>
      </w:pPr>
      <w:r>
        <w:rPr>
          <w:rFonts w:hint="eastAsia" w:ascii="宋体" w:hAnsi="宋体"/>
          <w:sz w:val="22"/>
          <w:szCs w:val="22"/>
          <w:highlight w:val="none"/>
        </w:rPr>
        <w:t>1.1采</w:t>
      </w:r>
      <w:r>
        <w:rPr>
          <w:rFonts w:hint="eastAsia" w:hAnsi="宋体"/>
          <w:sz w:val="22"/>
          <w:szCs w:val="22"/>
          <w:highlight w:val="none"/>
        </w:rPr>
        <w:t>购组织机构将按照采购文件规定的时间通过“政府采购云平台”组织开标、开启投标文件、磋商，所有供应商均应当准时在线参加。</w:t>
      </w:r>
    </w:p>
    <w:p>
      <w:pPr>
        <w:pStyle w:val="65"/>
        <w:adjustRightInd w:val="0"/>
        <w:snapToGrid w:val="0"/>
        <w:spacing w:line="400" w:lineRule="atLeast"/>
        <w:ind w:firstLine="433" w:firstLineChars="196"/>
        <w:rPr>
          <w:rFonts w:hAnsi="宋体"/>
          <w:b/>
          <w:bCs/>
          <w:sz w:val="22"/>
          <w:szCs w:val="22"/>
          <w:highlight w:val="none"/>
        </w:rPr>
      </w:pPr>
      <w:r>
        <w:rPr>
          <w:rFonts w:hint="eastAsia" w:hAnsi="宋体"/>
          <w:b/>
          <w:bCs/>
          <w:sz w:val="22"/>
          <w:szCs w:val="22"/>
          <w:highlight w:val="none"/>
        </w:rPr>
        <w:t>（二）开标准备</w:t>
      </w:r>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2.1开标的准备工作由采购组织机构负责落实；</w:t>
      </w:r>
    </w:p>
    <w:p>
      <w:pPr>
        <w:widowControl/>
        <w:snapToGrid w:val="0"/>
        <w:spacing w:line="420" w:lineRule="exact"/>
        <w:ind w:firstLine="440" w:firstLineChars="200"/>
        <w:jc w:val="left"/>
        <w:rPr>
          <w:sz w:val="22"/>
          <w:highlight w:val="none"/>
        </w:rPr>
      </w:pPr>
      <w:r>
        <w:rPr>
          <w:rFonts w:hint="eastAsia" w:ascii="宋体" w:hAnsi="宋体"/>
          <w:sz w:val="22"/>
          <w:szCs w:val="22"/>
          <w:highlight w:val="none"/>
        </w:rPr>
        <w:t>2.2</w:t>
      </w:r>
      <w:r>
        <w:rPr>
          <w:rFonts w:hint="eastAsia" w:hAnsi="宋体"/>
          <w:sz w:val="22"/>
          <w:szCs w:val="22"/>
          <w:highlight w:val="none"/>
        </w:rPr>
        <w:t>采购组织机构将按照采购文件规定的时间通过“政府采购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sz w:val="22"/>
          <w:highlight w:val="none"/>
        </w:rPr>
        <w:t>如有需要，采购代理机构将邀请各磋商供应商代表现场出席磋商会议。磋商会议现场谢绝无关人员进入。</w:t>
      </w:r>
    </w:p>
    <w:p>
      <w:pPr>
        <w:pStyle w:val="65"/>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2.3所有二次报价询标流程，均在线上完成，请各供应商务必不要离开电脑太久，并留意手机短信。（请提前检查“政采云”内，关于‘项目采购’的岗位权限是否已勾选上。如有问题，请致电400-881-7190）</w:t>
      </w:r>
    </w:p>
    <w:p>
      <w:pPr>
        <w:snapToGrid w:val="0"/>
        <w:spacing w:line="440" w:lineRule="exact"/>
        <w:ind w:firstLine="440" w:firstLineChars="200"/>
        <w:jc w:val="left"/>
        <w:rPr>
          <w:rFonts w:ascii="宋体" w:hAnsi="宋体"/>
          <w:bCs/>
          <w:sz w:val="22"/>
          <w:highlight w:val="none"/>
        </w:rPr>
      </w:pPr>
      <w:r>
        <w:rPr>
          <w:rFonts w:hint="eastAsia" w:ascii="宋体" w:hAnsi="宋体"/>
          <w:bCs/>
          <w:sz w:val="22"/>
          <w:highlight w:val="none"/>
        </w:rPr>
        <w:t>（三）电子招投标开标及评审程序</w:t>
      </w:r>
    </w:p>
    <w:p>
      <w:pPr>
        <w:spacing w:line="440" w:lineRule="exact"/>
        <w:ind w:firstLine="440" w:firstLineChars="200"/>
        <w:rPr>
          <w:rFonts w:ascii="宋体" w:hAnsi="宋体" w:cs="宋体"/>
          <w:sz w:val="22"/>
          <w:highlight w:val="none"/>
        </w:rPr>
      </w:pPr>
      <w:r>
        <w:rPr>
          <w:rFonts w:hint="eastAsia" w:ascii="宋体" w:hAnsi="宋体"/>
          <w:bCs/>
          <w:sz w:val="22"/>
          <w:highlight w:val="none"/>
        </w:rPr>
        <w:t>3.1磋商会由采购代理机构主持，磋商响应截止时间后，供应商登录政采云平台，用“项目采购-开标评标”功能对电子响应文件进行在线解密，</w:t>
      </w:r>
      <w:r>
        <w:rPr>
          <w:rFonts w:hint="eastAsia" w:ascii="宋体" w:hAnsi="宋体" w:cs="宋体"/>
          <w:sz w:val="22"/>
          <w:highlight w:val="none"/>
        </w:rPr>
        <w:t>各供应商代表在收到解密通知后30分钟内自行完成“电子加密投标文件”的在线解密。</w:t>
      </w:r>
    </w:p>
    <w:p>
      <w:pPr>
        <w:spacing w:line="440" w:lineRule="exact"/>
        <w:ind w:firstLine="440" w:firstLineChars="200"/>
        <w:jc w:val="left"/>
        <w:rPr>
          <w:rFonts w:ascii="宋体" w:hAnsi="宋体"/>
          <w:bCs/>
          <w:sz w:val="22"/>
          <w:highlight w:val="none"/>
        </w:rPr>
      </w:pPr>
      <w:r>
        <w:rPr>
          <w:rFonts w:hint="eastAsia" w:ascii="宋体" w:hAnsi="宋体" w:cs="Arial"/>
          <w:kern w:val="0"/>
          <w:sz w:val="22"/>
          <w:highlight w:val="none"/>
        </w:rPr>
        <w:t>3.2投标文件解密结束，</w:t>
      </w:r>
      <w:r>
        <w:rPr>
          <w:rFonts w:hint="eastAsia" w:ascii="宋体" w:hAnsi="宋体"/>
          <w:bCs/>
          <w:sz w:val="22"/>
          <w:highlight w:val="none"/>
        </w:rPr>
        <w:t>开启响应文件，磋商小组对资格和商务技术响应文件进行评审；</w:t>
      </w:r>
    </w:p>
    <w:p>
      <w:pPr>
        <w:spacing w:line="440" w:lineRule="exact"/>
        <w:ind w:firstLine="440" w:firstLineChars="200"/>
        <w:rPr>
          <w:rFonts w:ascii="宋体" w:hAnsi="宋体"/>
          <w:bCs/>
          <w:sz w:val="22"/>
          <w:highlight w:val="none"/>
        </w:rPr>
      </w:pPr>
      <w:r>
        <w:rPr>
          <w:rFonts w:hint="eastAsia" w:ascii="宋体" w:hAnsi="宋体"/>
          <w:bCs/>
          <w:sz w:val="22"/>
          <w:highlight w:val="none"/>
        </w:rPr>
        <w:t>3.3供应商按签到的前后顺序决定磋商的顺序，就价格、服务等认为需要磋商的内容进行磋商，</w:t>
      </w:r>
      <w:r>
        <w:rPr>
          <w:rFonts w:hint="eastAsia" w:ascii="宋体" w:hAnsi="宋体" w:cs="宋体"/>
          <w:sz w:val="22"/>
          <w:highlight w:val="none"/>
        </w:rPr>
        <w:t>供应商逐家回答磋商小组的提问，</w:t>
      </w:r>
      <w:r>
        <w:rPr>
          <w:rFonts w:hint="eastAsia" w:ascii="宋体" w:hAnsi="宋体"/>
          <w:bCs/>
          <w:sz w:val="22"/>
          <w:highlight w:val="none"/>
        </w:rPr>
        <w:t>响应人作出最终承诺和最终报价。</w:t>
      </w:r>
    </w:p>
    <w:p>
      <w:pPr>
        <w:snapToGrid w:val="0"/>
        <w:spacing w:line="440" w:lineRule="exact"/>
        <w:ind w:firstLine="440" w:firstLineChars="200"/>
        <w:jc w:val="left"/>
        <w:rPr>
          <w:rFonts w:ascii="宋体" w:hAnsi="宋体"/>
          <w:bCs/>
          <w:sz w:val="22"/>
          <w:highlight w:val="none"/>
        </w:rPr>
      </w:pPr>
      <w:r>
        <w:rPr>
          <w:rFonts w:hint="eastAsia" w:ascii="宋体" w:hAnsi="宋体"/>
          <w:bCs/>
          <w:sz w:val="22"/>
          <w:highlight w:val="none"/>
        </w:rPr>
        <w:t>3.4在系统上公开资格和商务技术评审结果；</w:t>
      </w:r>
    </w:p>
    <w:p>
      <w:pPr>
        <w:snapToGrid w:val="0"/>
        <w:spacing w:line="440" w:lineRule="exact"/>
        <w:ind w:firstLine="440" w:firstLineChars="200"/>
        <w:jc w:val="left"/>
        <w:rPr>
          <w:rFonts w:ascii="宋体" w:hAnsi="宋体"/>
          <w:bCs/>
          <w:sz w:val="22"/>
          <w:highlight w:val="none"/>
        </w:rPr>
      </w:pPr>
      <w:r>
        <w:rPr>
          <w:rFonts w:hint="eastAsia" w:ascii="宋体" w:hAnsi="宋体"/>
          <w:bCs/>
          <w:sz w:val="22"/>
          <w:highlight w:val="none"/>
        </w:rPr>
        <w:t>3.5在系统上录入最终报价情况；</w:t>
      </w:r>
    </w:p>
    <w:p>
      <w:pPr>
        <w:snapToGrid w:val="0"/>
        <w:spacing w:line="440" w:lineRule="exact"/>
        <w:ind w:firstLine="440" w:firstLineChars="200"/>
        <w:jc w:val="left"/>
        <w:rPr>
          <w:rFonts w:ascii="宋体" w:hAnsi="宋体"/>
          <w:bCs/>
          <w:sz w:val="22"/>
          <w:highlight w:val="none"/>
        </w:rPr>
      </w:pPr>
      <w:r>
        <w:rPr>
          <w:rFonts w:hint="eastAsia" w:ascii="宋体" w:hAnsi="宋体"/>
          <w:bCs/>
          <w:sz w:val="22"/>
          <w:highlight w:val="none"/>
        </w:rPr>
        <w:t>3.6磋商小组对报价情况进行评审；</w:t>
      </w:r>
    </w:p>
    <w:p>
      <w:pPr>
        <w:snapToGrid w:val="0"/>
        <w:spacing w:line="440" w:lineRule="exact"/>
        <w:ind w:firstLine="440" w:firstLineChars="200"/>
        <w:jc w:val="left"/>
        <w:rPr>
          <w:sz w:val="22"/>
          <w:highlight w:val="none"/>
        </w:rPr>
      </w:pPr>
      <w:r>
        <w:rPr>
          <w:rFonts w:hint="eastAsia" w:ascii="宋体" w:hAnsi="宋体"/>
          <w:bCs/>
          <w:sz w:val="22"/>
          <w:highlight w:val="none"/>
        </w:rPr>
        <w:t>3.7在系统上公布评审结果。</w:t>
      </w:r>
    </w:p>
    <w:p>
      <w:pPr>
        <w:pStyle w:val="16"/>
        <w:adjustRightInd w:val="0"/>
        <w:spacing w:line="400" w:lineRule="exact"/>
        <w:ind w:firstLine="442" w:firstLineChars="200"/>
        <w:rPr>
          <w:rFonts w:hAnsi="宋体" w:cs="宋体"/>
          <w:b/>
          <w:bCs/>
          <w:sz w:val="22"/>
          <w:szCs w:val="22"/>
          <w:highlight w:val="none"/>
        </w:rPr>
      </w:pPr>
      <w:r>
        <w:rPr>
          <w:rFonts w:hint="eastAsia" w:hAnsi="宋体" w:cs="宋体"/>
          <w:b/>
          <w:bCs/>
          <w:sz w:val="22"/>
          <w:szCs w:val="22"/>
          <w:highlight w:val="none"/>
        </w:rPr>
        <w:t>特别说明：政采云公司如对电子化开标及评审程序有调整的，按调整后的程序操作。</w:t>
      </w:r>
    </w:p>
    <w:p>
      <w:pPr>
        <w:pStyle w:val="16"/>
        <w:adjustRightInd w:val="0"/>
        <w:spacing w:line="400" w:lineRule="exact"/>
        <w:ind w:firstLine="440" w:firstLineChars="200"/>
        <w:rPr>
          <w:rFonts w:hAnsi="宋体" w:cs="Arial"/>
          <w:b/>
          <w:bCs/>
          <w:sz w:val="22"/>
          <w:highlight w:val="none"/>
        </w:rPr>
      </w:pPr>
      <w:r>
        <w:rPr>
          <w:rFonts w:hAnsi="宋体" w:cs="Arial"/>
          <w:sz w:val="22"/>
          <w:highlight w:val="none"/>
        </w:rPr>
        <w:t>2</w:t>
      </w:r>
      <w:r>
        <w:rPr>
          <w:rFonts w:hint="eastAsia" w:hAnsi="宋体" w:cs="Arial"/>
          <w:sz w:val="22"/>
          <w:highlight w:val="none"/>
        </w:rPr>
        <w:t>、评标</w:t>
      </w:r>
    </w:p>
    <w:p>
      <w:pPr>
        <w:pStyle w:val="16"/>
        <w:adjustRightInd w:val="0"/>
        <w:spacing w:line="400" w:lineRule="exact"/>
        <w:ind w:firstLine="440" w:firstLineChars="200"/>
        <w:rPr>
          <w:rFonts w:hAnsi="宋体" w:cs="Arial"/>
          <w:b/>
          <w:bCs/>
          <w:sz w:val="22"/>
          <w:highlight w:val="none"/>
        </w:rPr>
      </w:pPr>
      <w:r>
        <w:rPr>
          <w:rFonts w:hAnsi="宋体" w:cs="Arial"/>
          <w:sz w:val="22"/>
          <w:highlight w:val="none"/>
        </w:rPr>
        <w:t>2.1</w:t>
      </w:r>
      <w:r>
        <w:rPr>
          <w:rFonts w:hint="eastAsia" w:hAnsi="宋体" w:cs="Arial"/>
          <w:sz w:val="22"/>
          <w:highlight w:val="none"/>
        </w:rPr>
        <w:t xml:space="preserve"> 评标由采购单位依法组建的竞争性磋商小组负责</w:t>
      </w:r>
      <w:r>
        <w:rPr>
          <w:rFonts w:hint="eastAsia" w:hAnsi="宋体"/>
          <w:sz w:val="22"/>
          <w:highlight w:val="none"/>
        </w:rPr>
        <w:t>，并独立履行下列职责：</w:t>
      </w:r>
    </w:p>
    <w:p>
      <w:pPr>
        <w:spacing w:line="400" w:lineRule="exact"/>
        <w:ind w:firstLine="431" w:firstLineChars="196"/>
        <w:rPr>
          <w:rFonts w:ascii="宋体"/>
          <w:sz w:val="22"/>
          <w:highlight w:val="none"/>
        </w:rPr>
      </w:pPr>
      <w:bookmarkStart w:id="35" w:name="_Toc2500_WPSOffice_Level3"/>
      <w:r>
        <w:rPr>
          <w:rFonts w:ascii="宋体" w:hAnsi="宋体"/>
          <w:sz w:val="22"/>
          <w:highlight w:val="none"/>
        </w:rPr>
        <w:t>1</w:t>
      </w:r>
      <w:r>
        <w:rPr>
          <w:rFonts w:hint="eastAsia" w:ascii="宋体" w:hAnsi="宋体"/>
          <w:sz w:val="22"/>
          <w:highlight w:val="none"/>
        </w:rPr>
        <w:t>）审查投标（响应）文件是否符合竞争性磋商文件要求，并作出评价；</w:t>
      </w:r>
      <w:bookmarkEnd w:id="35"/>
    </w:p>
    <w:p>
      <w:pPr>
        <w:spacing w:line="400" w:lineRule="exact"/>
        <w:ind w:firstLine="440" w:firstLineChars="200"/>
        <w:rPr>
          <w:rFonts w:ascii="宋体"/>
          <w:sz w:val="22"/>
          <w:highlight w:val="none"/>
        </w:rPr>
      </w:pPr>
      <w:bookmarkStart w:id="36" w:name="_Toc20806_WPSOffice_Level3"/>
      <w:r>
        <w:rPr>
          <w:rFonts w:ascii="宋体" w:hAnsi="宋体"/>
          <w:sz w:val="22"/>
          <w:highlight w:val="none"/>
        </w:rPr>
        <w:t>2</w:t>
      </w:r>
      <w:r>
        <w:rPr>
          <w:rFonts w:hint="eastAsia" w:ascii="宋体" w:hAnsi="宋体"/>
          <w:sz w:val="22"/>
          <w:highlight w:val="none"/>
        </w:rPr>
        <w:t>）要求供应商对投标（响应）文件有关事项作出解释或者澄清；</w:t>
      </w:r>
      <w:bookmarkEnd w:id="36"/>
    </w:p>
    <w:p>
      <w:pPr>
        <w:spacing w:line="400" w:lineRule="exact"/>
        <w:ind w:firstLine="440" w:firstLineChars="200"/>
        <w:rPr>
          <w:rFonts w:ascii="宋体"/>
          <w:sz w:val="22"/>
          <w:highlight w:val="none"/>
        </w:rPr>
      </w:pPr>
      <w:bookmarkStart w:id="37" w:name="_Toc12689_WPSOffice_Level3"/>
      <w:r>
        <w:rPr>
          <w:rFonts w:ascii="宋体" w:hAnsi="宋体"/>
          <w:sz w:val="22"/>
          <w:highlight w:val="none"/>
        </w:rPr>
        <w:t>3</w:t>
      </w:r>
      <w:r>
        <w:rPr>
          <w:rFonts w:hint="eastAsia" w:ascii="宋体" w:hAnsi="宋体"/>
          <w:sz w:val="22"/>
          <w:highlight w:val="none"/>
        </w:rPr>
        <w:t>）按照竞争性磋商文件确定的评标办法直接确定中标（成交）供应商；</w:t>
      </w:r>
      <w:bookmarkEnd w:id="37"/>
    </w:p>
    <w:p>
      <w:pPr>
        <w:pStyle w:val="16"/>
        <w:adjustRightInd w:val="0"/>
        <w:spacing w:line="400" w:lineRule="exact"/>
        <w:ind w:firstLine="431" w:firstLineChars="196"/>
        <w:rPr>
          <w:rFonts w:hAnsi="宋体"/>
          <w:b/>
          <w:bCs/>
          <w:sz w:val="22"/>
          <w:highlight w:val="none"/>
        </w:rPr>
      </w:pPr>
      <w:bookmarkStart w:id="38" w:name="_Toc20017_WPSOffice_Level3"/>
      <w:r>
        <w:rPr>
          <w:rFonts w:hAnsi="宋体"/>
          <w:sz w:val="22"/>
          <w:highlight w:val="none"/>
        </w:rPr>
        <w:t>4</w:t>
      </w:r>
      <w:r>
        <w:rPr>
          <w:rFonts w:hint="eastAsia" w:hAnsi="宋体"/>
          <w:sz w:val="22"/>
          <w:highlight w:val="none"/>
        </w:rPr>
        <w:t>）向采购单位或者有关部门报告非法干预评标工作的行为。</w:t>
      </w:r>
      <w:bookmarkEnd w:id="38"/>
    </w:p>
    <w:p>
      <w:pPr>
        <w:spacing w:line="400" w:lineRule="exact"/>
        <w:ind w:firstLine="431" w:firstLineChars="196"/>
        <w:rPr>
          <w:rFonts w:ascii="宋体" w:hAnsi="宋体"/>
          <w:sz w:val="22"/>
          <w:highlight w:val="none"/>
        </w:rPr>
      </w:pPr>
      <w:r>
        <w:rPr>
          <w:rFonts w:ascii="宋体" w:hAnsi="宋体"/>
          <w:sz w:val="22"/>
          <w:highlight w:val="none"/>
        </w:rPr>
        <w:t>2.2</w:t>
      </w:r>
      <w:r>
        <w:rPr>
          <w:rFonts w:hint="eastAsia" w:ascii="宋体" w:hAnsi="宋体"/>
          <w:sz w:val="22"/>
          <w:highlight w:val="none"/>
        </w:rPr>
        <w:t xml:space="preserve"> 评标应当遵循下列工作程序：</w:t>
      </w:r>
    </w:p>
    <w:p>
      <w:pPr>
        <w:spacing w:line="400" w:lineRule="exact"/>
        <w:ind w:firstLine="431" w:firstLineChars="196"/>
        <w:rPr>
          <w:rFonts w:ascii="宋体"/>
          <w:sz w:val="22"/>
          <w:highlight w:val="none"/>
        </w:rPr>
      </w:pPr>
      <w:r>
        <w:rPr>
          <w:rFonts w:ascii="宋体" w:hAnsi="宋体"/>
          <w:sz w:val="22"/>
          <w:highlight w:val="none"/>
        </w:rPr>
        <w:t>1</w:t>
      </w:r>
      <w:r>
        <w:rPr>
          <w:rFonts w:hint="eastAsia" w:ascii="宋体" w:hAnsi="宋体"/>
          <w:sz w:val="22"/>
          <w:highlight w:val="none"/>
        </w:rPr>
        <w:t>）投标（响应）文件初审。初审分为资格性检查和符合性检查。</w:t>
      </w:r>
    </w:p>
    <w:p>
      <w:pPr>
        <w:spacing w:line="400" w:lineRule="exact"/>
        <w:ind w:firstLine="440" w:firstLineChars="200"/>
        <w:rPr>
          <w:rFonts w:ascii="宋体"/>
          <w:sz w:val="22"/>
          <w:highlight w:val="none"/>
        </w:rPr>
      </w:pPr>
      <w:r>
        <w:rPr>
          <w:rFonts w:hint="eastAsia" w:ascii="宋体" w:hAnsi="宋体"/>
          <w:sz w:val="22"/>
          <w:highlight w:val="none"/>
        </w:rPr>
        <w:t>（</w:t>
      </w:r>
      <w:r>
        <w:rPr>
          <w:rFonts w:ascii="宋体" w:hAnsi="宋体"/>
          <w:sz w:val="22"/>
          <w:highlight w:val="none"/>
        </w:rPr>
        <w:t>1)</w:t>
      </w:r>
      <w:r>
        <w:rPr>
          <w:rFonts w:hint="eastAsia" w:ascii="宋体" w:hAnsi="宋体"/>
          <w:sz w:val="22"/>
          <w:highlight w:val="none"/>
        </w:rPr>
        <w:t>资格性检查。由采购单位代表或招标代理机构对供应商资格进行审查。依据法律法规和竞争性磋商文件的规定，对投标（响应）文件中的资格证明文件等进行审查，以确定供应商是否具备投标资格。</w:t>
      </w:r>
    </w:p>
    <w:p>
      <w:pPr>
        <w:spacing w:line="400" w:lineRule="exact"/>
        <w:ind w:firstLine="440" w:firstLineChars="200"/>
        <w:rPr>
          <w:rFonts w:ascii="宋体"/>
          <w:sz w:val="22"/>
          <w:highlight w:val="none"/>
        </w:rPr>
      </w:pPr>
      <w:r>
        <w:rPr>
          <w:rFonts w:hint="eastAsia" w:ascii="宋体" w:hAnsi="宋体"/>
          <w:sz w:val="22"/>
          <w:highlight w:val="none"/>
        </w:rPr>
        <w:t>（</w:t>
      </w:r>
      <w:r>
        <w:rPr>
          <w:rFonts w:ascii="宋体" w:hAnsi="宋体"/>
          <w:sz w:val="22"/>
          <w:highlight w:val="none"/>
        </w:rPr>
        <w:t>2)</w:t>
      </w:r>
      <w:r>
        <w:rPr>
          <w:rFonts w:hint="eastAsia" w:ascii="宋体" w:hAnsi="宋体"/>
          <w:sz w:val="22"/>
          <w:highlight w:val="none"/>
        </w:rPr>
        <w:t>符合性检查。竞争性磋商小组依据竞争性磋商文件的规定，从投标（响应）文件的有效性、完整性和对竞争性磋商文件的响应程度进行审查，以确定是否对竞争性磋商文件的实质性要求作出响应。</w:t>
      </w:r>
    </w:p>
    <w:p>
      <w:pPr>
        <w:spacing w:line="400" w:lineRule="exact"/>
        <w:ind w:firstLine="440"/>
        <w:rPr>
          <w:rFonts w:ascii="宋体"/>
          <w:sz w:val="22"/>
          <w:highlight w:val="none"/>
        </w:rPr>
      </w:pPr>
      <w:r>
        <w:rPr>
          <w:rFonts w:ascii="宋体" w:hAnsi="宋体"/>
          <w:sz w:val="22"/>
          <w:highlight w:val="none"/>
        </w:rPr>
        <w:t>2</w:t>
      </w:r>
      <w:r>
        <w:rPr>
          <w:rFonts w:hint="eastAsia" w:ascii="宋体" w:hAnsi="宋体"/>
          <w:sz w:val="22"/>
          <w:highlight w:val="none"/>
        </w:rPr>
        <w:t>）</w:t>
      </w:r>
      <w:r>
        <w:rPr>
          <w:rFonts w:hint="eastAsia" w:ascii="宋体" w:hAnsi="宋体" w:cs="Arial"/>
          <w:sz w:val="22"/>
          <w:highlight w:val="none"/>
        </w:rPr>
        <w:t>竞争性磋商小组可以根据供应商投标（响应）文件情况，经采购单位确认，调整竞争性磋商文件及采购方案，在统一采购要求的基础上，要求所有有效供应商重新修正投标（响应）文件及进行多轮次报价。</w:t>
      </w:r>
    </w:p>
    <w:p>
      <w:pPr>
        <w:spacing w:line="400" w:lineRule="exact"/>
        <w:ind w:firstLine="440"/>
        <w:rPr>
          <w:rFonts w:ascii="宋体"/>
          <w:sz w:val="22"/>
          <w:highlight w:val="none"/>
        </w:rPr>
      </w:pPr>
      <w:r>
        <w:rPr>
          <w:rFonts w:ascii="宋体" w:hAnsi="宋体"/>
          <w:sz w:val="22"/>
          <w:highlight w:val="none"/>
        </w:rPr>
        <w:t>3</w:t>
      </w:r>
      <w:r>
        <w:rPr>
          <w:rFonts w:hint="eastAsia" w:ascii="宋体" w:hAnsi="宋体"/>
          <w:sz w:val="22"/>
          <w:highlight w:val="none"/>
        </w:rPr>
        <w:t>）比较与评价。按竞争性磋商文件中规定的评标方法和标准，对资格性检查和符合性检查合格的投标（响应）文件进行商务和技术评估，综合比较与评价。</w:t>
      </w:r>
    </w:p>
    <w:p>
      <w:pPr>
        <w:spacing w:line="400" w:lineRule="exact"/>
        <w:ind w:firstLine="440"/>
        <w:rPr>
          <w:rFonts w:ascii="宋体"/>
          <w:sz w:val="22"/>
          <w:highlight w:val="none"/>
        </w:rPr>
      </w:pPr>
      <w:r>
        <w:rPr>
          <w:rFonts w:ascii="宋体" w:hAnsi="宋体"/>
          <w:sz w:val="22"/>
          <w:highlight w:val="none"/>
        </w:rPr>
        <w:t>4</w:t>
      </w:r>
      <w:r>
        <w:rPr>
          <w:rFonts w:hint="eastAsia" w:ascii="宋体" w:hAnsi="宋体"/>
          <w:sz w:val="22"/>
          <w:highlight w:val="none"/>
        </w:rPr>
        <w:t>）推荐中标（成交）供应商候选人名单，并根据采购单位的授权确定中标（成交）供应商。</w:t>
      </w:r>
    </w:p>
    <w:p>
      <w:pPr>
        <w:pStyle w:val="16"/>
        <w:adjustRightInd w:val="0"/>
        <w:snapToGrid w:val="0"/>
        <w:spacing w:line="400" w:lineRule="exact"/>
        <w:ind w:firstLine="435" w:firstLineChars="197"/>
        <w:rPr>
          <w:rFonts w:hAnsi="宋体" w:cs="Arial"/>
          <w:b/>
          <w:bCs/>
          <w:sz w:val="22"/>
          <w:highlight w:val="none"/>
        </w:rPr>
      </w:pPr>
      <w:r>
        <w:rPr>
          <w:rFonts w:hint="eastAsia" w:hAnsi="宋体"/>
          <w:b/>
          <w:bCs/>
          <w:sz w:val="22"/>
          <w:highlight w:val="none"/>
        </w:rPr>
        <w:t>▲</w:t>
      </w:r>
      <w:r>
        <w:rPr>
          <w:rFonts w:hAnsi="宋体"/>
          <w:b/>
          <w:bCs/>
          <w:sz w:val="22"/>
          <w:highlight w:val="none"/>
        </w:rPr>
        <w:t xml:space="preserve">2.3 </w:t>
      </w:r>
      <w:r>
        <w:rPr>
          <w:rFonts w:hint="eastAsia" w:hAnsi="宋体" w:cs="Arial"/>
          <w:b/>
          <w:bCs/>
          <w:sz w:val="22"/>
          <w:highlight w:val="none"/>
        </w:rPr>
        <w:t>供应商存在下列情况之一的，报价无效</w:t>
      </w:r>
      <w:r>
        <w:rPr>
          <w:rFonts w:hAnsi="宋体" w:cs="Arial"/>
          <w:b/>
          <w:bCs/>
          <w:sz w:val="22"/>
          <w:highlight w:val="none"/>
        </w:rPr>
        <w:t>:</w:t>
      </w:r>
    </w:p>
    <w:p>
      <w:pPr>
        <w:pStyle w:val="16"/>
        <w:adjustRightInd w:val="0"/>
        <w:snapToGrid w:val="0"/>
        <w:spacing w:line="400" w:lineRule="exact"/>
        <w:ind w:firstLine="435" w:firstLineChars="197"/>
        <w:rPr>
          <w:rFonts w:hAnsi="宋体" w:cs="Arial"/>
          <w:b/>
          <w:bCs/>
          <w:sz w:val="22"/>
          <w:highlight w:val="none"/>
        </w:rPr>
      </w:pPr>
      <w:r>
        <w:rPr>
          <w:rFonts w:hAnsi="宋体" w:cs="Arial"/>
          <w:b/>
          <w:bCs/>
          <w:sz w:val="22"/>
          <w:highlight w:val="none"/>
        </w:rPr>
        <w:t>1</w:t>
      </w:r>
      <w:r>
        <w:rPr>
          <w:rFonts w:hint="eastAsia" w:hAnsi="宋体" w:cs="Arial"/>
          <w:b/>
          <w:bCs/>
          <w:sz w:val="22"/>
          <w:highlight w:val="none"/>
        </w:rPr>
        <w:t>）响应文件未按竞争性磋商文件要求签署、盖章的；</w:t>
      </w:r>
    </w:p>
    <w:p>
      <w:pPr>
        <w:pStyle w:val="16"/>
        <w:adjustRightInd w:val="0"/>
        <w:snapToGrid w:val="0"/>
        <w:spacing w:line="400" w:lineRule="exact"/>
        <w:ind w:firstLine="435" w:firstLineChars="197"/>
        <w:rPr>
          <w:rFonts w:hAnsi="宋体" w:cs="Arial"/>
          <w:b/>
          <w:bCs/>
          <w:sz w:val="22"/>
          <w:highlight w:val="none"/>
        </w:rPr>
      </w:pPr>
      <w:r>
        <w:rPr>
          <w:rFonts w:hint="eastAsia" w:hAnsi="宋体" w:cs="Arial"/>
          <w:b/>
          <w:bCs/>
          <w:sz w:val="22"/>
          <w:highlight w:val="none"/>
        </w:rPr>
        <w:t>2）不具备竞争性磋商文件中规定的资格要求的；</w:t>
      </w:r>
    </w:p>
    <w:p>
      <w:pPr>
        <w:pStyle w:val="16"/>
        <w:adjustRightInd w:val="0"/>
        <w:snapToGrid w:val="0"/>
        <w:spacing w:line="400" w:lineRule="exact"/>
        <w:ind w:firstLine="435" w:firstLineChars="197"/>
        <w:rPr>
          <w:rFonts w:hAnsi="宋体" w:cs="Arial"/>
          <w:b/>
          <w:bCs/>
          <w:sz w:val="22"/>
          <w:highlight w:val="none"/>
        </w:rPr>
      </w:pPr>
      <w:r>
        <w:rPr>
          <w:rFonts w:hint="eastAsia" w:hAnsi="宋体" w:cs="Arial"/>
          <w:b/>
          <w:bCs/>
          <w:sz w:val="22"/>
          <w:highlight w:val="none"/>
        </w:rPr>
        <w:t>3）最终报价超过竞争性磋商文件中规定的预算金额或者最高限价的；</w:t>
      </w:r>
    </w:p>
    <w:p>
      <w:pPr>
        <w:pStyle w:val="16"/>
        <w:adjustRightInd w:val="0"/>
        <w:snapToGrid w:val="0"/>
        <w:spacing w:line="400" w:lineRule="exact"/>
        <w:ind w:firstLine="435" w:firstLineChars="197"/>
        <w:rPr>
          <w:rFonts w:hAnsi="宋体" w:cs="Arial"/>
          <w:b/>
          <w:bCs/>
          <w:sz w:val="22"/>
          <w:highlight w:val="none"/>
        </w:rPr>
      </w:pPr>
      <w:r>
        <w:rPr>
          <w:rFonts w:hint="eastAsia" w:hAnsi="宋体" w:cs="Arial"/>
          <w:b/>
          <w:bCs/>
          <w:sz w:val="22"/>
          <w:highlight w:val="none"/>
        </w:rPr>
        <w:t>4）响应文件含有采购单位不能接受的附加条件的（包括竞争性磋商文件中明确要求不得偏离的招标要求，存在负偏离的）</w:t>
      </w:r>
      <w:r>
        <w:rPr>
          <w:rFonts w:hAnsi="宋体" w:cs="Arial"/>
          <w:b/>
          <w:bCs/>
          <w:sz w:val="22"/>
          <w:highlight w:val="none"/>
        </w:rPr>
        <w:t>;</w:t>
      </w:r>
    </w:p>
    <w:p>
      <w:pPr>
        <w:pStyle w:val="16"/>
        <w:adjustRightInd w:val="0"/>
        <w:snapToGrid w:val="0"/>
        <w:spacing w:line="400" w:lineRule="exact"/>
        <w:ind w:firstLine="435" w:firstLineChars="197"/>
        <w:rPr>
          <w:rFonts w:hAnsi="宋体" w:cs="Arial"/>
          <w:b/>
          <w:bCs/>
          <w:sz w:val="22"/>
          <w:highlight w:val="none"/>
        </w:rPr>
      </w:pPr>
      <w:r>
        <w:rPr>
          <w:rFonts w:hint="eastAsia" w:hAnsi="宋体" w:cs="Arial"/>
          <w:b/>
          <w:bCs/>
          <w:sz w:val="22"/>
          <w:highlight w:val="none"/>
        </w:rPr>
        <w:t>5）对关键条文的偏离、保留或反对，例如关于付款方式、完工期（服务期）、免费质保期、适用法律法规、标准、税费等其他内容；</w:t>
      </w:r>
    </w:p>
    <w:p>
      <w:pPr>
        <w:pStyle w:val="16"/>
        <w:adjustRightInd w:val="0"/>
        <w:snapToGrid w:val="0"/>
        <w:spacing w:line="400" w:lineRule="exact"/>
        <w:ind w:firstLine="435" w:firstLineChars="197"/>
        <w:rPr>
          <w:rFonts w:hAnsi="宋体" w:cs="Arial"/>
          <w:b/>
          <w:bCs/>
          <w:sz w:val="22"/>
          <w:highlight w:val="none"/>
        </w:rPr>
      </w:pPr>
      <w:r>
        <w:rPr>
          <w:rFonts w:hint="eastAsia" w:hAnsi="宋体" w:cs="Arial"/>
          <w:b/>
          <w:bCs/>
          <w:sz w:val="22"/>
          <w:highlight w:val="none"/>
        </w:rPr>
        <w:t>6）存在串标、抬标或弄虚作假情况的；</w:t>
      </w:r>
    </w:p>
    <w:p>
      <w:pPr>
        <w:pStyle w:val="16"/>
        <w:adjustRightInd w:val="0"/>
        <w:snapToGrid w:val="0"/>
        <w:spacing w:line="400" w:lineRule="exact"/>
        <w:ind w:firstLine="435" w:firstLineChars="197"/>
        <w:rPr>
          <w:rFonts w:hAnsi="宋体" w:cs="Arial"/>
          <w:b/>
          <w:bCs/>
          <w:sz w:val="22"/>
          <w:highlight w:val="none"/>
        </w:rPr>
      </w:pPr>
      <w:r>
        <w:rPr>
          <w:rFonts w:hint="eastAsia" w:hAnsi="宋体" w:cs="Arial"/>
          <w:b/>
          <w:bCs/>
          <w:sz w:val="22"/>
          <w:highlight w:val="none"/>
        </w:rPr>
        <w:t>7）法律、法规和竞争性磋商文件规定的其他无效情形（或出现重大偏差）。</w:t>
      </w:r>
    </w:p>
    <w:p>
      <w:pPr>
        <w:pStyle w:val="16"/>
        <w:adjustRightInd w:val="0"/>
        <w:snapToGrid w:val="0"/>
        <w:spacing w:line="400" w:lineRule="exact"/>
        <w:ind w:firstLine="435" w:firstLineChars="197"/>
        <w:rPr>
          <w:rFonts w:hAnsi="宋体" w:cs="Arial"/>
          <w:b/>
          <w:bCs/>
          <w:sz w:val="22"/>
          <w:highlight w:val="none"/>
        </w:rPr>
      </w:pPr>
      <w:r>
        <w:rPr>
          <w:rFonts w:hint="eastAsia" w:hAnsi="宋体"/>
          <w:b/>
          <w:bCs/>
          <w:sz w:val="22"/>
          <w:highlight w:val="none"/>
        </w:rPr>
        <w:t>▲</w:t>
      </w:r>
      <w:r>
        <w:rPr>
          <w:rFonts w:hAnsi="宋体"/>
          <w:b/>
          <w:bCs/>
          <w:sz w:val="22"/>
          <w:highlight w:val="none"/>
        </w:rPr>
        <w:t xml:space="preserve">2.4 </w:t>
      </w:r>
      <w:r>
        <w:rPr>
          <w:rFonts w:hint="eastAsia" w:hAnsi="宋体" w:cs="Arial"/>
          <w:b/>
          <w:bCs/>
          <w:sz w:val="22"/>
          <w:highlight w:val="none"/>
        </w:rPr>
        <w:t>竞争性磋商评审小组发现响应文件有下列情形之一的属于重大偏差</w:t>
      </w:r>
      <w:r>
        <w:rPr>
          <w:rFonts w:hAnsi="宋体" w:cs="Arial"/>
          <w:b/>
          <w:bCs/>
          <w:sz w:val="22"/>
          <w:highlight w:val="none"/>
        </w:rPr>
        <w:t>(</w:t>
      </w:r>
      <w:r>
        <w:rPr>
          <w:rFonts w:hint="eastAsia" w:hAnsi="宋体" w:cs="Arial"/>
          <w:b/>
          <w:bCs/>
          <w:sz w:val="22"/>
          <w:highlight w:val="none"/>
        </w:rPr>
        <w:t>竞争性磋商评审小组按少数服从多数原则认定</w:t>
      </w:r>
      <w:r>
        <w:rPr>
          <w:rFonts w:hAnsi="宋体" w:cs="Arial"/>
          <w:b/>
          <w:bCs/>
          <w:sz w:val="22"/>
          <w:highlight w:val="none"/>
        </w:rPr>
        <w:t>),</w:t>
      </w:r>
      <w:r>
        <w:rPr>
          <w:rFonts w:hint="eastAsia" w:hAnsi="宋体" w:cs="Arial"/>
          <w:b/>
          <w:bCs/>
          <w:sz w:val="22"/>
          <w:highlight w:val="none"/>
        </w:rPr>
        <w:t>按照无效投标处理：</w:t>
      </w:r>
    </w:p>
    <w:p>
      <w:pPr>
        <w:pStyle w:val="16"/>
        <w:adjustRightInd w:val="0"/>
        <w:snapToGrid w:val="0"/>
        <w:spacing w:line="400" w:lineRule="exact"/>
        <w:ind w:firstLine="435" w:firstLineChars="197"/>
        <w:rPr>
          <w:rFonts w:hAnsi="宋体" w:cs="Arial"/>
          <w:b/>
          <w:bCs/>
          <w:sz w:val="22"/>
          <w:highlight w:val="none"/>
        </w:rPr>
      </w:pPr>
      <w:r>
        <w:rPr>
          <w:rFonts w:hAnsi="宋体" w:cs="Arial"/>
          <w:b/>
          <w:bCs/>
          <w:sz w:val="22"/>
          <w:highlight w:val="none"/>
        </w:rPr>
        <w:t>1</w:t>
      </w:r>
      <w:r>
        <w:rPr>
          <w:rFonts w:hint="eastAsia" w:hAnsi="宋体" w:cs="Arial"/>
          <w:b/>
          <w:bCs/>
          <w:sz w:val="22"/>
          <w:highlight w:val="none"/>
        </w:rPr>
        <w:t>）未按竞争性磋商文件要求编制或字迹模糊、辨认不清的响应文件；</w:t>
      </w:r>
    </w:p>
    <w:p>
      <w:pPr>
        <w:pStyle w:val="16"/>
        <w:adjustRightInd w:val="0"/>
        <w:snapToGrid w:val="0"/>
        <w:spacing w:line="400" w:lineRule="exact"/>
        <w:ind w:firstLine="435" w:firstLineChars="197"/>
        <w:rPr>
          <w:rFonts w:hAnsi="宋体" w:cs="Arial"/>
          <w:b/>
          <w:bCs/>
          <w:sz w:val="22"/>
          <w:highlight w:val="none"/>
        </w:rPr>
      </w:pPr>
      <w:r>
        <w:rPr>
          <w:rFonts w:hAnsi="宋体" w:cs="Arial"/>
          <w:b/>
          <w:bCs/>
          <w:sz w:val="22"/>
          <w:highlight w:val="none"/>
        </w:rPr>
        <w:t>2</w:t>
      </w:r>
      <w:r>
        <w:rPr>
          <w:rFonts w:hint="eastAsia" w:hAnsi="宋体" w:cs="Arial"/>
          <w:b/>
          <w:bCs/>
          <w:sz w:val="22"/>
          <w:highlight w:val="none"/>
        </w:rPr>
        <w:t>）除</w:t>
      </w:r>
      <w:r>
        <w:rPr>
          <w:rFonts w:hAnsi="宋体" w:cs="Arial"/>
          <w:b/>
          <w:bCs/>
          <w:sz w:val="22"/>
          <w:highlight w:val="none"/>
        </w:rPr>
        <w:t>2.3</w:t>
      </w:r>
      <w:r>
        <w:rPr>
          <w:rFonts w:hint="eastAsia" w:hAnsi="宋体" w:cs="Arial"/>
          <w:b/>
          <w:bCs/>
          <w:sz w:val="22"/>
          <w:highlight w:val="none"/>
        </w:rPr>
        <w:t>条款以外，出现其它明显不符合采购要求的响应文件；</w:t>
      </w:r>
    </w:p>
    <w:p>
      <w:pPr>
        <w:pStyle w:val="16"/>
        <w:adjustRightInd w:val="0"/>
        <w:snapToGrid w:val="0"/>
        <w:spacing w:line="400" w:lineRule="exact"/>
        <w:ind w:firstLine="435" w:firstLineChars="197"/>
        <w:rPr>
          <w:rFonts w:hAnsi="宋体" w:cs="Arial"/>
          <w:b/>
          <w:bCs/>
          <w:sz w:val="22"/>
          <w:highlight w:val="none"/>
        </w:rPr>
      </w:pPr>
      <w:r>
        <w:rPr>
          <w:rFonts w:hAnsi="宋体" w:cs="Arial"/>
          <w:b/>
          <w:bCs/>
          <w:sz w:val="22"/>
          <w:highlight w:val="none"/>
        </w:rPr>
        <w:t>3</w:t>
      </w:r>
      <w:r>
        <w:rPr>
          <w:rFonts w:hint="eastAsia" w:hAnsi="宋体" w:cs="Arial"/>
          <w:b/>
          <w:bCs/>
          <w:sz w:val="22"/>
          <w:highlight w:val="none"/>
        </w:rPr>
        <w:t>）除</w:t>
      </w:r>
      <w:r>
        <w:rPr>
          <w:rFonts w:hAnsi="宋体" w:cs="Arial"/>
          <w:b/>
          <w:bCs/>
          <w:sz w:val="22"/>
          <w:highlight w:val="none"/>
        </w:rPr>
        <w:t>2.3</w:t>
      </w:r>
      <w:r>
        <w:rPr>
          <w:rFonts w:hint="eastAsia" w:hAnsi="宋体" w:cs="Arial"/>
          <w:b/>
          <w:bCs/>
          <w:sz w:val="22"/>
          <w:highlight w:val="none"/>
        </w:rPr>
        <w:t>条款以外，出现其它不符合竞争性磋商文件中规定的实质性要求的响应文件，是否为偏离实质性要求由竞争性磋商评审小组认定。</w:t>
      </w:r>
    </w:p>
    <w:p>
      <w:pPr>
        <w:pStyle w:val="16"/>
        <w:adjustRightInd w:val="0"/>
        <w:snapToGrid w:val="0"/>
        <w:spacing w:line="400" w:lineRule="exact"/>
        <w:ind w:firstLine="435" w:firstLineChars="197"/>
        <w:rPr>
          <w:rFonts w:hAnsi="宋体"/>
          <w:b/>
          <w:bCs/>
          <w:sz w:val="22"/>
          <w:highlight w:val="none"/>
        </w:rPr>
      </w:pPr>
      <w:r>
        <w:rPr>
          <w:rFonts w:hint="eastAsia" w:hAnsi="宋体"/>
          <w:b/>
          <w:bCs/>
          <w:sz w:val="22"/>
          <w:highlight w:val="none"/>
        </w:rPr>
        <w:t>▲</w:t>
      </w:r>
      <w:r>
        <w:rPr>
          <w:rFonts w:hAnsi="宋体" w:cs="Arial"/>
          <w:b/>
          <w:bCs/>
          <w:sz w:val="22"/>
          <w:highlight w:val="none"/>
        </w:rPr>
        <w:t>2.5</w:t>
      </w:r>
      <w:r>
        <w:rPr>
          <w:rFonts w:hAnsi="宋体"/>
          <w:b/>
          <w:bCs/>
          <w:sz w:val="22"/>
          <w:highlight w:val="none"/>
        </w:rPr>
        <w:t xml:space="preserve"> </w:t>
      </w:r>
      <w:r>
        <w:rPr>
          <w:rFonts w:hint="eastAsia" w:hAnsi="宋体"/>
          <w:b/>
          <w:bCs/>
          <w:sz w:val="22"/>
          <w:highlight w:val="none"/>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pPr>
        <w:pStyle w:val="16"/>
        <w:adjustRightInd w:val="0"/>
        <w:snapToGrid w:val="0"/>
        <w:spacing w:line="400" w:lineRule="exact"/>
        <w:ind w:firstLine="433" w:firstLineChars="197"/>
        <w:rPr>
          <w:rFonts w:hAnsi="宋体"/>
          <w:bCs/>
          <w:sz w:val="22"/>
          <w:highlight w:val="none"/>
        </w:rPr>
      </w:pPr>
      <w:r>
        <w:rPr>
          <w:rFonts w:hAnsi="宋体" w:cs="Arial"/>
          <w:bCs/>
          <w:sz w:val="22"/>
          <w:highlight w:val="none"/>
        </w:rPr>
        <w:t xml:space="preserve">2.6 </w:t>
      </w:r>
      <w:r>
        <w:rPr>
          <w:rFonts w:hint="eastAsia" w:hAnsi="宋体" w:cs="Arial"/>
          <w:bCs/>
          <w:sz w:val="22"/>
          <w:highlight w:val="none"/>
        </w:rPr>
        <w:t>竞争性磋商评审小组</w:t>
      </w:r>
      <w:r>
        <w:rPr>
          <w:rFonts w:hint="eastAsia" w:hAnsi="宋体"/>
          <w:bCs/>
          <w:sz w:val="22"/>
          <w:highlight w:val="none"/>
        </w:rPr>
        <w:t>在评标中，不得改变竞争性磋商文件中规定的评标标准、方法和成交条件。</w:t>
      </w:r>
    </w:p>
    <w:p>
      <w:pPr>
        <w:pStyle w:val="16"/>
        <w:adjustRightInd w:val="0"/>
        <w:snapToGrid w:val="0"/>
        <w:spacing w:line="400" w:lineRule="exact"/>
        <w:ind w:firstLine="433" w:firstLineChars="197"/>
        <w:rPr>
          <w:rFonts w:hAnsi="宋体"/>
          <w:bCs/>
          <w:sz w:val="22"/>
          <w:highlight w:val="none"/>
        </w:rPr>
      </w:pPr>
      <w:r>
        <w:rPr>
          <w:rFonts w:hAnsi="宋体"/>
          <w:bCs/>
          <w:sz w:val="22"/>
          <w:highlight w:val="none"/>
        </w:rPr>
        <w:t xml:space="preserve">2.7 </w:t>
      </w:r>
      <w:r>
        <w:rPr>
          <w:rFonts w:hint="eastAsia" w:hAnsi="宋体"/>
          <w:bCs/>
          <w:sz w:val="22"/>
          <w:highlight w:val="none"/>
        </w:rPr>
        <w:t>评标时如遇到竞争性磋商文件未规定的特殊情况，由竞争性磋商评审小组按少数服从多数原则集体决定处理。</w:t>
      </w:r>
    </w:p>
    <w:p>
      <w:pPr>
        <w:pStyle w:val="16"/>
        <w:adjustRightInd w:val="0"/>
        <w:snapToGrid w:val="0"/>
        <w:spacing w:line="400" w:lineRule="exact"/>
        <w:ind w:firstLine="433" w:firstLineChars="197"/>
        <w:rPr>
          <w:rFonts w:hAnsi="宋体"/>
          <w:bCs/>
          <w:sz w:val="22"/>
          <w:highlight w:val="none"/>
        </w:rPr>
      </w:pPr>
      <w:r>
        <w:rPr>
          <w:rFonts w:hAnsi="宋体"/>
          <w:bCs/>
          <w:sz w:val="22"/>
          <w:highlight w:val="none"/>
        </w:rPr>
        <w:t>2.8</w:t>
      </w:r>
      <w:r>
        <w:rPr>
          <w:rFonts w:hint="eastAsia" w:hAnsi="宋体"/>
          <w:bCs/>
          <w:sz w:val="22"/>
          <w:highlight w:val="none"/>
        </w:rPr>
        <w:t>竞争性磋商评审小组对未成交的供应商不作解释。同时根据政府采购法实施条例第四十条规定，本项目不对供应商公布详细的评审情况，不公布具体评标细则中小项得分。</w:t>
      </w:r>
    </w:p>
    <w:p>
      <w:pPr>
        <w:pStyle w:val="16"/>
        <w:adjustRightInd w:val="0"/>
        <w:spacing w:line="380" w:lineRule="exact"/>
        <w:ind w:firstLine="442" w:firstLineChars="200"/>
        <w:rPr>
          <w:rFonts w:hAnsi="宋体"/>
          <w:b/>
          <w:bCs/>
          <w:sz w:val="22"/>
          <w:highlight w:val="none"/>
        </w:rPr>
      </w:pPr>
      <w:r>
        <w:rPr>
          <w:rFonts w:hint="eastAsia" w:hAnsi="宋体" w:eastAsia="宋体" w:cs="宋体"/>
          <w:b/>
          <w:bCs/>
          <w:sz w:val="22"/>
          <w:highlight w:val="none"/>
        </w:rPr>
        <w:t>▲</w:t>
      </w:r>
      <w:r>
        <w:rPr>
          <w:rFonts w:hAnsi="宋体"/>
          <w:b/>
          <w:bCs/>
          <w:sz w:val="22"/>
          <w:highlight w:val="none"/>
        </w:rPr>
        <w:t>2.9</w:t>
      </w:r>
      <w:r>
        <w:rPr>
          <w:rFonts w:hint="eastAsia" w:hAnsi="宋体"/>
          <w:b/>
          <w:bCs/>
          <w:sz w:val="22"/>
          <w:highlight w:val="none"/>
        </w:rPr>
        <w:t>、</w:t>
      </w:r>
      <w:r>
        <w:rPr>
          <w:rFonts w:hint="eastAsia" w:hAnsi="宋体" w:cs="Arial"/>
          <w:b/>
          <w:sz w:val="22"/>
          <w:highlight w:val="none"/>
        </w:rPr>
        <w:t>投标截止时有效投标供应商不足三家的，不予开标或评标；评审过程中有效投标供应商不足三家，可以按财政部《关于政府采购竞争性磋商采购方式管理暂行办法有关问题的补充通知【财库〔</w:t>
      </w:r>
      <w:r>
        <w:rPr>
          <w:rFonts w:hAnsi="宋体" w:cs="Arial"/>
          <w:b/>
          <w:sz w:val="22"/>
          <w:highlight w:val="none"/>
        </w:rPr>
        <w:t>2015</w:t>
      </w:r>
      <w:r>
        <w:rPr>
          <w:rFonts w:hint="eastAsia" w:hAnsi="宋体" w:cs="Arial"/>
          <w:b/>
          <w:sz w:val="22"/>
          <w:highlight w:val="none"/>
        </w:rPr>
        <w:t>〕</w:t>
      </w:r>
      <w:r>
        <w:rPr>
          <w:rFonts w:hAnsi="宋体" w:cs="Arial"/>
          <w:b/>
          <w:sz w:val="22"/>
          <w:highlight w:val="none"/>
        </w:rPr>
        <w:t>124</w:t>
      </w:r>
      <w:r>
        <w:rPr>
          <w:rFonts w:hint="eastAsia" w:hAnsi="宋体" w:cs="Arial"/>
          <w:b/>
          <w:sz w:val="22"/>
          <w:highlight w:val="none"/>
        </w:rPr>
        <w:t>号】》文件规定执行。</w:t>
      </w:r>
    </w:p>
    <w:p>
      <w:pPr>
        <w:pStyle w:val="16"/>
        <w:adjustRightInd w:val="0"/>
        <w:snapToGrid w:val="0"/>
        <w:spacing w:line="400" w:lineRule="exact"/>
        <w:ind w:firstLine="433" w:firstLineChars="197"/>
        <w:rPr>
          <w:rFonts w:hAnsi="宋体" w:cs="Arial"/>
          <w:sz w:val="22"/>
          <w:highlight w:val="none"/>
        </w:rPr>
      </w:pPr>
      <w:r>
        <w:rPr>
          <w:rFonts w:hAnsi="宋体" w:cs="Arial"/>
          <w:sz w:val="22"/>
          <w:highlight w:val="none"/>
        </w:rPr>
        <w:t>3</w:t>
      </w:r>
      <w:r>
        <w:rPr>
          <w:rFonts w:hint="eastAsia" w:hAnsi="宋体" w:cs="Arial"/>
          <w:sz w:val="22"/>
          <w:highlight w:val="none"/>
        </w:rPr>
        <w:t>、响应文件的澄清</w:t>
      </w:r>
    </w:p>
    <w:p>
      <w:pPr>
        <w:adjustRightInd w:val="0"/>
        <w:snapToGrid w:val="0"/>
        <w:spacing w:line="400" w:lineRule="exact"/>
        <w:ind w:firstLine="433" w:firstLineChars="197"/>
        <w:rPr>
          <w:rFonts w:ascii="宋体" w:cs="Arial"/>
          <w:sz w:val="22"/>
          <w:highlight w:val="none"/>
        </w:rPr>
      </w:pPr>
      <w:r>
        <w:rPr>
          <w:rFonts w:hint="eastAsia" w:ascii="宋体" w:hAnsi="宋体" w:cs="Arial"/>
          <w:sz w:val="22"/>
          <w:highlight w:val="none"/>
        </w:rPr>
        <w:t>为有利于对响应文件的比较和评议，必要时采购单位及竞争性磋商评审小组可要求供应商对响应文件及合同条款进行澄清，并做出书面答复。书面答复须有授权代表签字并作为报价内容的一部分。</w:t>
      </w:r>
    </w:p>
    <w:p>
      <w:pPr>
        <w:adjustRightInd w:val="0"/>
        <w:snapToGrid w:val="0"/>
        <w:spacing w:line="400" w:lineRule="exact"/>
        <w:ind w:left="414" w:leftChars="197"/>
        <w:rPr>
          <w:rFonts w:ascii="宋体" w:hAnsi="宋体" w:cs="Arial"/>
          <w:b/>
          <w:bCs/>
          <w:sz w:val="22"/>
          <w:highlight w:val="none"/>
        </w:rPr>
      </w:pPr>
      <w:r>
        <w:rPr>
          <w:rFonts w:hint="eastAsia" w:ascii="宋体" w:hAnsi="宋体" w:eastAsia="宋体" w:cs="宋体"/>
          <w:b/>
          <w:bCs/>
          <w:sz w:val="22"/>
          <w:highlight w:val="none"/>
        </w:rPr>
        <w:t>▲</w:t>
      </w:r>
      <w:r>
        <w:rPr>
          <w:rFonts w:ascii="宋体" w:hAnsi="宋体" w:cs="Arial"/>
          <w:b/>
          <w:bCs/>
          <w:sz w:val="22"/>
          <w:highlight w:val="none"/>
        </w:rPr>
        <w:t>4</w:t>
      </w:r>
      <w:r>
        <w:rPr>
          <w:rFonts w:hint="eastAsia" w:ascii="宋体" w:hAnsi="宋体" w:cs="Arial"/>
          <w:b/>
          <w:bCs/>
          <w:sz w:val="22"/>
          <w:highlight w:val="none"/>
        </w:rPr>
        <w:t>、有下列情形之一的，视为供应商相互串通投标：</w:t>
      </w:r>
    </w:p>
    <w:p>
      <w:pPr>
        <w:adjustRightInd w:val="0"/>
        <w:snapToGrid w:val="0"/>
        <w:spacing w:line="400" w:lineRule="exact"/>
        <w:ind w:left="414" w:leftChars="197"/>
        <w:rPr>
          <w:rFonts w:ascii="宋体" w:hAnsi="宋体" w:cs="Arial"/>
          <w:b/>
          <w:bCs/>
          <w:sz w:val="22"/>
          <w:highlight w:val="none"/>
        </w:rPr>
      </w:pPr>
      <w:r>
        <w:rPr>
          <w:rFonts w:ascii="宋体" w:hAnsi="宋体" w:cs="Arial"/>
          <w:b/>
          <w:bCs/>
          <w:sz w:val="22"/>
          <w:highlight w:val="none"/>
        </w:rPr>
        <w:t>4.1</w:t>
      </w:r>
      <w:r>
        <w:rPr>
          <w:rFonts w:hint="eastAsia" w:ascii="宋体" w:hAnsi="宋体" w:cs="Arial"/>
          <w:b/>
          <w:bCs/>
          <w:sz w:val="22"/>
          <w:highlight w:val="none"/>
        </w:rPr>
        <w:t>不同供应商的响应文件由同一单位或者个人编制；</w:t>
      </w:r>
    </w:p>
    <w:p>
      <w:pPr>
        <w:adjustRightInd w:val="0"/>
        <w:snapToGrid w:val="0"/>
        <w:spacing w:line="400" w:lineRule="exact"/>
        <w:ind w:left="414" w:leftChars="197"/>
        <w:rPr>
          <w:rFonts w:ascii="宋体" w:hAnsi="宋体" w:cs="Arial"/>
          <w:b/>
          <w:bCs/>
          <w:sz w:val="22"/>
          <w:highlight w:val="none"/>
        </w:rPr>
      </w:pPr>
      <w:r>
        <w:rPr>
          <w:rFonts w:ascii="宋体" w:hAnsi="宋体" w:cs="Arial"/>
          <w:b/>
          <w:bCs/>
          <w:sz w:val="22"/>
          <w:highlight w:val="none"/>
        </w:rPr>
        <w:t>4.2</w:t>
      </w:r>
      <w:r>
        <w:rPr>
          <w:rFonts w:hint="eastAsia" w:ascii="宋体" w:hAnsi="宋体" w:cs="Arial"/>
          <w:b/>
          <w:bCs/>
          <w:sz w:val="22"/>
          <w:highlight w:val="none"/>
        </w:rPr>
        <w:t>不同供应商委托同一单位或者个人办理投标事宜；</w:t>
      </w:r>
    </w:p>
    <w:p>
      <w:pPr>
        <w:adjustRightInd w:val="0"/>
        <w:snapToGrid w:val="0"/>
        <w:spacing w:line="400" w:lineRule="exact"/>
        <w:ind w:left="414" w:leftChars="197"/>
        <w:rPr>
          <w:rFonts w:ascii="宋体" w:hAnsi="宋体" w:cs="Arial"/>
          <w:b/>
          <w:bCs/>
          <w:sz w:val="22"/>
          <w:highlight w:val="none"/>
        </w:rPr>
      </w:pPr>
      <w:r>
        <w:rPr>
          <w:rFonts w:ascii="宋体" w:hAnsi="宋体" w:cs="Arial"/>
          <w:b/>
          <w:bCs/>
          <w:sz w:val="22"/>
          <w:highlight w:val="none"/>
        </w:rPr>
        <w:t>4.3</w:t>
      </w:r>
      <w:r>
        <w:rPr>
          <w:rFonts w:hint="eastAsia" w:ascii="宋体" w:hAnsi="宋体" w:cs="Arial"/>
          <w:b/>
          <w:bCs/>
          <w:sz w:val="22"/>
          <w:highlight w:val="none"/>
        </w:rPr>
        <w:t>不同供应商的响应文件载明的项目管理成员为同一人；</w:t>
      </w:r>
    </w:p>
    <w:p>
      <w:pPr>
        <w:adjustRightInd w:val="0"/>
        <w:snapToGrid w:val="0"/>
        <w:spacing w:line="400" w:lineRule="exact"/>
        <w:ind w:left="414" w:leftChars="197"/>
        <w:rPr>
          <w:rFonts w:ascii="宋体" w:hAnsi="宋体" w:cs="Arial"/>
          <w:b/>
          <w:bCs/>
          <w:sz w:val="22"/>
          <w:highlight w:val="none"/>
        </w:rPr>
      </w:pPr>
      <w:r>
        <w:rPr>
          <w:rFonts w:ascii="宋体" w:hAnsi="宋体" w:cs="Arial"/>
          <w:b/>
          <w:bCs/>
          <w:sz w:val="22"/>
          <w:highlight w:val="none"/>
        </w:rPr>
        <w:t>4.4</w:t>
      </w:r>
      <w:r>
        <w:rPr>
          <w:rFonts w:hint="eastAsia" w:ascii="宋体" w:hAnsi="宋体" w:cs="Arial"/>
          <w:b/>
          <w:bCs/>
          <w:sz w:val="22"/>
          <w:highlight w:val="none"/>
        </w:rPr>
        <w:t>不同供应商的响应文件异常一致或者投标报价呈规律性差异；</w:t>
      </w:r>
    </w:p>
    <w:p>
      <w:pPr>
        <w:adjustRightInd w:val="0"/>
        <w:snapToGrid w:val="0"/>
        <w:spacing w:line="400" w:lineRule="exact"/>
        <w:ind w:left="414" w:leftChars="197"/>
        <w:rPr>
          <w:rFonts w:ascii="宋体" w:hAnsi="宋体" w:cs="Arial"/>
          <w:b/>
          <w:bCs/>
          <w:sz w:val="22"/>
          <w:highlight w:val="none"/>
        </w:rPr>
      </w:pPr>
      <w:r>
        <w:rPr>
          <w:rFonts w:ascii="宋体" w:hAnsi="宋体" w:cs="Arial"/>
          <w:b/>
          <w:bCs/>
          <w:sz w:val="22"/>
          <w:highlight w:val="none"/>
        </w:rPr>
        <w:t>4.5</w:t>
      </w:r>
      <w:r>
        <w:rPr>
          <w:rFonts w:hint="eastAsia" w:ascii="宋体" w:hAnsi="宋体" w:cs="Arial"/>
          <w:b/>
          <w:bCs/>
          <w:sz w:val="22"/>
          <w:highlight w:val="none"/>
        </w:rPr>
        <w:t>不同供应商的响应文件相互混装；</w:t>
      </w:r>
    </w:p>
    <w:p>
      <w:pPr>
        <w:adjustRightInd w:val="0"/>
        <w:snapToGrid w:val="0"/>
        <w:spacing w:line="400" w:lineRule="exact"/>
        <w:ind w:left="13" w:leftChars="6" w:firstLine="400" w:firstLineChars="181"/>
        <w:rPr>
          <w:rFonts w:ascii="宋体" w:hAnsi="宋体" w:cs="Arial"/>
          <w:b/>
          <w:bCs/>
          <w:sz w:val="22"/>
          <w:highlight w:val="none"/>
        </w:rPr>
      </w:pPr>
      <w:r>
        <w:rPr>
          <w:rFonts w:ascii="宋体" w:hAnsi="宋体" w:cs="Arial"/>
          <w:b/>
          <w:bCs/>
          <w:sz w:val="22"/>
          <w:highlight w:val="none"/>
        </w:rPr>
        <w:t>4.</w:t>
      </w:r>
      <w:r>
        <w:rPr>
          <w:rFonts w:hint="eastAsia" w:ascii="宋体" w:hAnsi="宋体" w:cs="Arial"/>
          <w:b/>
          <w:bCs/>
          <w:sz w:val="22"/>
          <w:highlight w:val="none"/>
        </w:rPr>
        <w:t>6经竞争性磋商评审小组认定供应商进行串通投标的，竞争性磋商评审小组可以对相关供应商做出无效报价处理，并上报政府采购管理部门进行进一步处理。</w:t>
      </w:r>
    </w:p>
    <w:p>
      <w:pPr>
        <w:pStyle w:val="16"/>
        <w:adjustRightInd w:val="0"/>
        <w:snapToGrid w:val="0"/>
        <w:spacing w:line="400" w:lineRule="exact"/>
        <w:ind w:firstLine="433" w:firstLineChars="197"/>
        <w:rPr>
          <w:rFonts w:hAnsi="宋体" w:cs="Arial"/>
          <w:bCs/>
          <w:sz w:val="22"/>
          <w:highlight w:val="none"/>
        </w:rPr>
      </w:pPr>
      <w:r>
        <w:rPr>
          <w:rFonts w:hAnsi="宋体" w:cs="Arial"/>
          <w:bCs/>
          <w:sz w:val="22"/>
          <w:highlight w:val="none"/>
        </w:rPr>
        <w:t>5</w:t>
      </w:r>
      <w:r>
        <w:rPr>
          <w:rFonts w:hint="eastAsia" w:hAnsi="宋体" w:cs="Arial"/>
          <w:bCs/>
          <w:sz w:val="22"/>
          <w:highlight w:val="none"/>
        </w:rPr>
        <w:t>、评标原则</w:t>
      </w:r>
    </w:p>
    <w:p>
      <w:pPr>
        <w:pStyle w:val="16"/>
        <w:adjustRightInd w:val="0"/>
        <w:spacing w:line="400" w:lineRule="exact"/>
        <w:ind w:firstLine="440" w:firstLineChars="200"/>
        <w:rPr>
          <w:rFonts w:hAnsi="宋体" w:cs="Arial"/>
          <w:bCs/>
          <w:sz w:val="22"/>
          <w:highlight w:val="none"/>
        </w:rPr>
      </w:pPr>
      <w:r>
        <w:rPr>
          <w:rFonts w:hint="eastAsia" w:hAnsi="宋体" w:cs="Arial"/>
          <w:bCs/>
          <w:sz w:val="22"/>
          <w:highlight w:val="none"/>
        </w:rPr>
        <w:t>评标办法具体见本竞争性磋商文件第六部分。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16"/>
        <w:adjustRightInd w:val="0"/>
        <w:snapToGrid w:val="0"/>
        <w:spacing w:line="400" w:lineRule="exact"/>
        <w:outlineLvl w:val="0"/>
        <w:rPr>
          <w:rFonts w:hAnsi="宋体"/>
          <w:b/>
          <w:sz w:val="22"/>
          <w:highlight w:val="none"/>
        </w:rPr>
      </w:pPr>
      <w:r>
        <w:rPr>
          <w:rFonts w:hint="eastAsia" w:hAnsi="宋体"/>
          <w:b/>
          <w:sz w:val="22"/>
          <w:highlight w:val="none"/>
        </w:rPr>
        <w:t>六、授予合同</w:t>
      </w:r>
    </w:p>
    <w:p>
      <w:pPr>
        <w:pStyle w:val="16"/>
        <w:adjustRightInd w:val="0"/>
        <w:snapToGrid w:val="0"/>
        <w:spacing w:line="400" w:lineRule="exact"/>
        <w:ind w:firstLine="433" w:firstLineChars="197"/>
        <w:rPr>
          <w:rFonts w:hAnsi="宋体"/>
          <w:bCs/>
          <w:sz w:val="22"/>
          <w:highlight w:val="none"/>
        </w:rPr>
      </w:pPr>
      <w:r>
        <w:rPr>
          <w:rFonts w:hAnsi="宋体"/>
          <w:bCs/>
          <w:sz w:val="22"/>
          <w:highlight w:val="none"/>
        </w:rPr>
        <w:t>1</w:t>
      </w:r>
      <w:r>
        <w:rPr>
          <w:rFonts w:hint="eastAsia" w:hAnsi="宋体"/>
          <w:bCs/>
          <w:sz w:val="22"/>
          <w:highlight w:val="none"/>
        </w:rPr>
        <w:t>、决标</w:t>
      </w:r>
    </w:p>
    <w:p>
      <w:pPr>
        <w:pStyle w:val="16"/>
        <w:adjustRightInd w:val="0"/>
        <w:snapToGrid w:val="0"/>
        <w:spacing w:line="400" w:lineRule="exact"/>
        <w:ind w:firstLine="433" w:firstLineChars="197"/>
        <w:rPr>
          <w:rFonts w:hAnsi="宋体"/>
          <w:bCs/>
          <w:sz w:val="22"/>
          <w:highlight w:val="none"/>
        </w:rPr>
      </w:pPr>
      <w:r>
        <w:rPr>
          <w:rFonts w:hint="eastAsia" w:hAnsi="宋体"/>
          <w:bCs/>
          <w:sz w:val="22"/>
          <w:highlight w:val="none"/>
        </w:rPr>
        <w:t>评标结束后，竞争性磋商评审小组按照竞争性磋商文件确定的评标办法推荐成交供应商。</w:t>
      </w:r>
    </w:p>
    <w:p>
      <w:pPr>
        <w:pStyle w:val="16"/>
        <w:adjustRightInd w:val="0"/>
        <w:snapToGrid w:val="0"/>
        <w:spacing w:line="400" w:lineRule="exact"/>
        <w:ind w:firstLine="433" w:firstLineChars="197"/>
        <w:rPr>
          <w:rFonts w:hAnsi="宋体"/>
          <w:bCs/>
          <w:sz w:val="22"/>
          <w:highlight w:val="none"/>
        </w:rPr>
      </w:pPr>
      <w:r>
        <w:rPr>
          <w:rFonts w:hAnsi="宋体"/>
          <w:bCs/>
          <w:sz w:val="22"/>
          <w:highlight w:val="none"/>
        </w:rPr>
        <w:t>2</w:t>
      </w:r>
      <w:r>
        <w:rPr>
          <w:rFonts w:hint="eastAsia" w:hAnsi="宋体"/>
          <w:bCs/>
          <w:sz w:val="22"/>
          <w:highlight w:val="none"/>
        </w:rPr>
        <w:t>、成交通知书</w:t>
      </w:r>
    </w:p>
    <w:p>
      <w:pPr>
        <w:pStyle w:val="16"/>
        <w:adjustRightInd w:val="0"/>
        <w:snapToGrid w:val="0"/>
        <w:spacing w:line="400" w:lineRule="exact"/>
        <w:ind w:firstLine="433" w:firstLineChars="197"/>
        <w:rPr>
          <w:rFonts w:hAnsi="宋体"/>
          <w:b/>
          <w:bCs/>
          <w:sz w:val="22"/>
          <w:highlight w:val="none"/>
        </w:rPr>
      </w:pPr>
      <w:bookmarkStart w:id="39" w:name="_Toc764_WPSOffice_Level3"/>
      <w:r>
        <w:rPr>
          <w:rFonts w:hAnsi="宋体"/>
          <w:sz w:val="22"/>
          <w:highlight w:val="none"/>
        </w:rPr>
        <w:t>2</w:t>
      </w:r>
      <w:r>
        <w:rPr>
          <w:rFonts w:hint="eastAsia" w:hAnsi="宋体"/>
          <w:sz w:val="22"/>
          <w:highlight w:val="none"/>
        </w:rPr>
        <w:t>.</w:t>
      </w:r>
      <w:bookmarkEnd w:id="39"/>
      <w:r>
        <w:rPr>
          <w:rFonts w:hint="eastAsia" w:hAnsi="宋体"/>
          <w:sz w:val="22"/>
          <w:highlight w:val="none"/>
        </w:rPr>
        <w:t>中标（成交）通知书</w:t>
      </w:r>
    </w:p>
    <w:p>
      <w:pPr>
        <w:spacing w:line="400" w:lineRule="exact"/>
        <w:ind w:firstLine="433" w:firstLineChars="197"/>
        <w:rPr>
          <w:rFonts w:ascii="宋体"/>
          <w:sz w:val="22"/>
          <w:highlight w:val="none"/>
        </w:rPr>
      </w:pPr>
      <w:r>
        <w:rPr>
          <w:rFonts w:ascii="宋体" w:hAnsi="宋体"/>
          <w:sz w:val="22"/>
          <w:highlight w:val="none"/>
        </w:rPr>
        <w:t>2.1</w:t>
      </w:r>
      <w:r>
        <w:rPr>
          <w:rFonts w:hint="eastAsia" w:ascii="宋体" w:hAnsi="宋体"/>
          <w:sz w:val="22"/>
          <w:highlight w:val="none"/>
        </w:rPr>
        <w:t>采购单位依法确认中标（成交）供应商后，代理机构在浙江省政府采购网上公示中标（成交）供应商名单，公示期限为</w:t>
      </w:r>
      <w:r>
        <w:rPr>
          <w:rFonts w:ascii="宋体" w:hAnsi="宋体"/>
          <w:sz w:val="22"/>
          <w:highlight w:val="none"/>
        </w:rPr>
        <w:t>1</w:t>
      </w:r>
      <w:r>
        <w:rPr>
          <w:rFonts w:hint="eastAsia" w:ascii="宋体" w:hAnsi="宋体"/>
          <w:sz w:val="22"/>
          <w:highlight w:val="none"/>
        </w:rPr>
        <w:t>个工作日。同时向中标（成交）供应商发出中标（成交）通知书。</w:t>
      </w:r>
    </w:p>
    <w:p>
      <w:pPr>
        <w:adjustRightInd w:val="0"/>
        <w:snapToGrid w:val="0"/>
        <w:spacing w:line="400" w:lineRule="exact"/>
        <w:ind w:firstLine="433" w:firstLineChars="197"/>
        <w:rPr>
          <w:rFonts w:ascii="宋体"/>
          <w:sz w:val="22"/>
          <w:highlight w:val="none"/>
        </w:rPr>
      </w:pPr>
      <w:r>
        <w:rPr>
          <w:rFonts w:ascii="宋体" w:hAnsi="宋体"/>
          <w:sz w:val="22"/>
          <w:highlight w:val="none"/>
        </w:rPr>
        <w:t>2.2</w:t>
      </w:r>
      <w:r>
        <w:rPr>
          <w:rFonts w:hint="eastAsia" w:ascii="宋体" w:hAnsi="宋体"/>
          <w:sz w:val="22"/>
          <w:highlight w:val="none"/>
        </w:rPr>
        <w:t>中标（成交）通知书对采购单位和中标（成交）供应商具有法律约束力。中标（成交）通知书发出后，采购单位改变中标结果或者中标（成交）供应商放弃中标的，应当承担法律责任。</w:t>
      </w:r>
    </w:p>
    <w:p>
      <w:pPr>
        <w:adjustRightInd w:val="0"/>
        <w:snapToGrid w:val="0"/>
        <w:spacing w:line="400" w:lineRule="exact"/>
        <w:ind w:firstLine="433" w:firstLineChars="197"/>
        <w:rPr>
          <w:rFonts w:ascii="宋体"/>
          <w:sz w:val="22"/>
          <w:highlight w:val="none"/>
        </w:rPr>
      </w:pPr>
      <w:r>
        <w:rPr>
          <w:rFonts w:hint="eastAsia" w:ascii="宋体" w:hAnsi="宋体"/>
          <w:sz w:val="22"/>
          <w:highlight w:val="none"/>
        </w:rPr>
        <w:t>3、成交无效</w:t>
      </w:r>
    </w:p>
    <w:p>
      <w:pPr>
        <w:adjustRightInd w:val="0"/>
        <w:snapToGrid w:val="0"/>
        <w:spacing w:line="400" w:lineRule="exact"/>
        <w:ind w:firstLine="433" w:firstLineChars="197"/>
        <w:rPr>
          <w:rFonts w:ascii="宋体" w:hAnsi="宋体"/>
          <w:sz w:val="22"/>
          <w:highlight w:val="none"/>
        </w:rPr>
      </w:pPr>
      <w:r>
        <w:rPr>
          <w:rFonts w:hint="eastAsia" w:ascii="宋体" w:hAnsi="宋体"/>
          <w:sz w:val="22"/>
          <w:highlight w:val="none"/>
        </w:rPr>
        <w:t>3.1发现中标（成交）供应商资格无效或中标（成交）供应商放弃成交或拒绝与采购单位签订合同的,按相关法律进行处理，原则上重新开展政府采购活动。</w:t>
      </w:r>
    </w:p>
    <w:p>
      <w:pPr>
        <w:adjustRightInd w:val="0"/>
        <w:snapToGrid w:val="0"/>
        <w:spacing w:line="400" w:lineRule="exact"/>
        <w:ind w:firstLine="433" w:firstLineChars="197"/>
        <w:rPr>
          <w:rFonts w:ascii="宋体"/>
          <w:sz w:val="22"/>
          <w:highlight w:val="none"/>
        </w:rPr>
      </w:pPr>
      <w:r>
        <w:rPr>
          <w:rFonts w:hint="eastAsia" w:ascii="宋体" w:hAnsi="宋体"/>
          <w:sz w:val="22"/>
          <w:highlight w:val="none"/>
        </w:rPr>
        <w:t>3.2有《中华人民共和国政府采购法实施条例》第七十一条、第七十二条、第七十三条、第七十四条规定的违法行为之一，由政府采购监管部门依法处理。</w:t>
      </w:r>
    </w:p>
    <w:p>
      <w:pPr>
        <w:pStyle w:val="16"/>
        <w:adjustRightInd w:val="0"/>
        <w:snapToGrid w:val="0"/>
        <w:spacing w:line="400" w:lineRule="exact"/>
        <w:ind w:firstLine="433" w:firstLineChars="197"/>
        <w:rPr>
          <w:rFonts w:hAnsi="宋体"/>
          <w:bCs/>
          <w:sz w:val="22"/>
          <w:highlight w:val="none"/>
        </w:rPr>
      </w:pPr>
      <w:r>
        <w:rPr>
          <w:rFonts w:hAnsi="宋体"/>
          <w:bCs/>
          <w:sz w:val="22"/>
          <w:highlight w:val="none"/>
        </w:rPr>
        <w:t>4</w:t>
      </w:r>
      <w:r>
        <w:rPr>
          <w:rFonts w:hint="eastAsia" w:hAnsi="宋体"/>
          <w:bCs/>
          <w:sz w:val="22"/>
          <w:highlight w:val="none"/>
        </w:rPr>
        <w:t>、签订合同</w:t>
      </w:r>
    </w:p>
    <w:p>
      <w:pPr>
        <w:adjustRightInd w:val="0"/>
        <w:snapToGrid w:val="0"/>
        <w:spacing w:line="400" w:lineRule="exact"/>
        <w:ind w:firstLine="433" w:firstLineChars="197"/>
        <w:rPr>
          <w:rFonts w:ascii="宋体"/>
          <w:sz w:val="22"/>
          <w:highlight w:val="none"/>
        </w:rPr>
      </w:pPr>
      <w:r>
        <w:rPr>
          <w:rFonts w:ascii="宋体" w:hAnsi="宋体"/>
          <w:sz w:val="22"/>
          <w:highlight w:val="none"/>
        </w:rPr>
        <w:t xml:space="preserve">4.1 </w:t>
      </w:r>
      <w:r>
        <w:rPr>
          <w:rFonts w:hint="eastAsia" w:ascii="宋体" w:hAnsi="宋体"/>
          <w:sz w:val="22"/>
          <w:highlight w:val="none"/>
        </w:rPr>
        <w:t>成交供应商须主动联系采购单位或采购机构领取成交通知书。成交供应商应当在成交通知书发出之日起</w:t>
      </w:r>
      <w:r>
        <w:rPr>
          <w:rFonts w:ascii="宋体" w:hAnsi="宋体"/>
          <w:sz w:val="22"/>
          <w:highlight w:val="none"/>
        </w:rPr>
        <w:t>30</w:t>
      </w:r>
      <w:r>
        <w:rPr>
          <w:rFonts w:hint="eastAsia" w:ascii="宋体" w:hAnsi="宋体"/>
          <w:sz w:val="22"/>
          <w:highlight w:val="none"/>
        </w:rPr>
        <w:t>日内与采购单位签订合同。成交供应商未经采购单位许可，在规定时间内未到采购单位处与采购单位签订合同，则视为拒签合同。</w:t>
      </w:r>
    </w:p>
    <w:p>
      <w:pPr>
        <w:adjustRightInd w:val="0"/>
        <w:snapToGrid w:val="0"/>
        <w:spacing w:line="400" w:lineRule="exact"/>
        <w:ind w:firstLine="433" w:firstLineChars="197"/>
        <w:rPr>
          <w:rFonts w:ascii="宋体"/>
          <w:sz w:val="22"/>
          <w:highlight w:val="none"/>
        </w:rPr>
      </w:pPr>
      <w:r>
        <w:rPr>
          <w:rFonts w:ascii="宋体" w:hAnsi="宋体"/>
          <w:sz w:val="22"/>
          <w:highlight w:val="none"/>
        </w:rPr>
        <w:t xml:space="preserve">4.2 </w:t>
      </w:r>
      <w:r>
        <w:rPr>
          <w:rFonts w:hint="eastAsia" w:ascii="宋体" w:hAnsi="宋体"/>
          <w:sz w:val="22"/>
          <w:highlight w:val="none"/>
        </w:rPr>
        <w:t>竞争性磋商文件、成交供应商的响应文件及投标修改文件、评标过程中有关澄清文件及经双方签字的询标纪要（承诺）和成交通知书均作为合同附件。</w:t>
      </w:r>
    </w:p>
    <w:p>
      <w:pPr>
        <w:adjustRightInd w:val="0"/>
        <w:snapToGrid w:val="0"/>
        <w:spacing w:line="400" w:lineRule="exact"/>
        <w:ind w:firstLine="433" w:firstLineChars="197"/>
        <w:rPr>
          <w:rFonts w:ascii="宋体"/>
          <w:sz w:val="22"/>
          <w:highlight w:val="none"/>
        </w:rPr>
      </w:pPr>
      <w:r>
        <w:rPr>
          <w:rFonts w:ascii="宋体" w:hAnsi="宋体"/>
          <w:sz w:val="22"/>
          <w:highlight w:val="none"/>
        </w:rPr>
        <w:t xml:space="preserve">4.3 </w:t>
      </w:r>
      <w:r>
        <w:rPr>
          <w:rFonts w:hint="eastAsia" w:ascii="宋体" w:hAnsi="宋体"/>
          <w:sz w:val="22"/>
          <w:highlight w:val="none"/>
        </w:rPr>
        <w:t>拒签合同的责任</w:t>
      </w:r>
    </w:p>
    <w:p>
      <w:pPr>
        <w:pStyle w:val="16"/>
        <w:adjustRightInd w:val="0"/>
        <w:snapToGrid w:val="0"/>
        <w:spacing w:line="400" w:lineRule="exact"/>
        <w:ind w:firstLine="433" w:firstLineChars="197"/>
        <w:rPr>
          <w:rFonts w:hAnsi="宋体"/>
          <w:bCs/>
          <w:sz w:val="22"/>
          <w:highlight w:val="none"/>
        </w:rPr>
      </w:pPr>
      <w:r>
        <w:rPr>
          <w:rFonts w:hint="eastAsia" w:hAnsi="宋体"/>
          <w:bCs/>
          <w:sz w:val="22"/>
          <w:highlight w:val="none"/>
        </w:rPr>
        <w:t>成交供应商在规定时间内（</w:t>
      </w:r>
      <w:r>
        <w:rPr>
          <w:rFonts w:hAnsi="宋体"/>
          <w:bCs/>
          <w:sz w:val="22"/>
          <w:highlight w:val="none"/>
        </w:rPr>
        <w:t>30</w:t>
      </w:r>
      <w:r>
        <w:rPr>
          <w:rFonts w:hint="eastAsia" w:hAnsi="宋体"/>
          <w:bCs/>
          <w:sz w:val="22"/>
          <w:highlight w:val="none"/>
        </w:rPr>
        <w:t>日历天）借故否认已经承诺的条件、拒签合同，以违约处理，并赔偿采购单位由此造成的直接经济损失；采购单位重新组织采购的，所需费用由原成交供应商承担。</w:t>
      </w:r>
    </w:p>
    <w:p>
      <w:pPr>
        <w:pStyle w:val="16"/>
        <w:adjustRightInd w:val="0"/>
        <w:snapToGrid w:val="0"/>
        <w:spacing w:line="400" w:lineRule="exact"/>
        <w:ind w:firstLine="433" w:firstLineChars="197"/>
        <w:rPr>
          <w:rFonts w:hAnsi="宋体"/>
          <w:bCs/>
          <w:sz w:val="22"/>
          <w:highlight w:val="none"/>
        </w:rPr>
      </w:pPr>
      <w:r>
        <w:rPr>
          <w:rFonts w:hAnsi="宋体"/>
          <w:bCs/>
          <w:sz w:val="22"/>
          <w:highlight w:val="none"/>
        </w:rPr>
        <w:t>5</w:t>
      </w:r>
      <w:r>
        <w:rPr>
          <w:rFonts w:hint="eastAsia" w:hAnsi="宋体"/>
          <w:bCs/>
          <w:sz w:val="22"/>
          <w:highlight w:val="none"/>
        </w:rPr>
        <w:t>、履约保证金</w:t>
      </w:r>
    </w:p>
    <w:p>
      <w:pPr>
        <w:pStyle w:val="16"/>
        <w:adjustRightInd w:val="0"/>
        <w:spacing w:line="400" w:lineRule="exact"/>
        <w:ind w:firstLine="450"/>
        <w:rPr>
          <w:rFonts w:hint="eastAsia" w:ascii="宋体" w:eastAsiaTheme="minorEastAsia"/>
          <w:sz w:val="22"/>
          <w:highlight w:val="none"/>
          <w:lang w:eastAsia="zh-CN"/>
        </w:rPr>
      </w:pPr>
      <w:r>
        <w:rPr>
          <w:rFonts w:hint="eastAsia"/>
          <w:sz w:val="22"/>
          <w:highlight w:val="none"/>
          <w:lang w:eastAsia="zh-CN"/>
        </w:rPr>
        <w:t>合同签订后5个工作日内成交供应商应提供合同总金额1%的履约保证金至采购单位指定账户，供应商以银行、保险公司出具保函形式提交履约保证金的，采购人不得拒收。</w:t>
      </w:r>
    </w:p>
    <w:p>
      <w:pPr>
        <w:pStyle w:val="16"/>
        <w:adjustRightInd w:val="0"/>
        <w:spacing w:line="400" w:lineRule="exact"/>
        <w:ind w:firstLine="450"/>
        <w:rPr>
          <w:rFonts w:hAnsi="宋体" w:cs="Arial"/>
          <w:bCs/>
          <w:sz w:val="22"/>
          <w:highlight w:val="none"/>
        </w:rPr>
      </w:pPr>
      <w:r>
        <w:rPr>
          <w:rFonts w:hAnsi="宋体" w:cs="Arial"/>
          <w:bCs/>
          <w:sz w:val="22"/>
          <w:highlight w:val="none"/>
        </w:rPr>
        <w:t>6</w:t>
      </w:r>
      <w:r>
        <w:rPr>
          <w:rFonts w:hint="eastAsia" w:hAnsi="宋体" w:cs="Arial"/>
          <w:bCs/>
          <w:sz w:val="22"/>
          <w:highlight w:val="none"/>
        </w:rPr>
        <w:t>、招标代理服务咨询费</w:t>
      </w:r>
    </w:p>
    <w:p>
      <w:pPr>
        <w:spacing w:line="400" w:lineRule="exact"/>
        <w:ind w:firstLine="440" w:firstLineChars="200"/>
        <w:rPr>
          <w:rFonts w:ascii="宋体" w:hAnsi="宋体" w:cs="宋体"/>
          <w:sz w:val="22"/>
          <w:highlight w:val="none"/>
        </w:rPr>
      </w:pPr>
      <w:r>
        <w:rPr>
          <w:rFonts w:hint="eastAsia" w:ascii="宋体" w:hAnsi="宋体" w:cs="宋体"/>
          <w:sz w:val="22"/>
          <w:highlight w:val="none"/>
        </w:rPr>
        <w:t>招标代理费向中标（成交）供应商收取，服务费以中标（成交）价计算，按照《国家计委关于印发&lt;招标代理服务收费管理暂行办法&gt;的通知》（计价格[2002]1980号）服务类标准收取</w:t>
      </w:r>
      <w:r>
        <w:rPr>
          <w:rFonts w:hint="eastAsia" w:ascii="宋体" w:hAnsi="宋体" w:cs="宋体"/>
          <w:sz w:val="22"/>
          <w:highlight w:val="none"/>
          <w:lang w:eastAsia="zh-CN"/>
        </w:rPr>
        <w:t>，不足</w:t>
      </w:r>
      <w:r>
        <w:rPr>
          <w:rFonts w:hint="eastAsia" w:ascii="宋体" w:hAnsi="宋体" w:cs="宋体"/>
          <w:sz w:val="22"/>
          <w:highlight w:val="none"/>
          <w:lang w:val="en-US" w:eastAsia="zh-CN"/>
        </w:rPr>
        <w:t>6000元的，按6000元收取</w:t>
      </w:r>
      <w:r>
        <w:rPr>
          <w:rFonts w:hint="eastAsia" w:ascii="宋体" w:hAnsi="宋体" w:cs="宋体"/>
          <w:sz w:val="22"/>
          <w:highlight w:val="none"/>
        </w:rPr>
        <w:t>。</w:t>
      </w:r>
    </w:p>
    <w:p>
      <w:pPr>
        <w:autoSpaceDE w:val="0"/>
        <w:autoSpaceDN w:val="0"/>
        <w:adjustRightInd w:val="0"/>
        <w:snapToGrid w:val="0"/>
        <w:spacing w:line="400" w:lineRule="atLeast"/>
        <w:ind w:firstLine="462" w:firstLineChars="210"/>
        <w:textAlignment w:val="bottom"/>
        <w:rPr>
          <w:rFonts w:ascii="宋体"/>
          <w:sz w:val="22"/>
          <w:highlight w:val="none"/>
        </w:rPr>
      </w:pPr>
      <w:r>
        <w:rPr>
          <w:rFonts w:hint="eastAsia" w:ascii="宋体" w:hAnsi="宋体"/>
          <w:sz w:val="22"/>
          <w:highlight w:val="none"/>
        </w:rPr>
        <w:t>招标代理服务咨询费汇入以下帐号：</w:t>
      </w:r>
    </w:p>
    <w:p>
      <w:pPr>
        <w:autoSpaceDE w:val="0"/>
        <w:autoSpaceDN w:val="0"/>
        <w:adjustRightInd w:val="0"/>
        <w:snapToGrid w:val="0"/>
        <w:spacing w:line="400" w:lineRule="atLeast"/>
        <w:ind w:firstLine="462" w:firstLineChars="210"/>
        <w:textAlignment w:val="bottom"/>
        <w:rPr>
          <w:rFonts w:ascii="宋体" w:eastAsia="宋体"/>
          <w:sz w:val="22"/>
          <w:highlight w:val="none"/>
        </w:rPr>
      </w:pPr>
      <w:r>
        <w:rPr>
          <w:rFonts w:hint="eastAsia" w:ascii="宋体" w:hAnsi="宋体"/>
          <w:sz w:val="22"/>
          <w:highlight w:val="none"/>
        </w:rPr>
        <w:t>开户银行：浙江泰顺农村商业银行股份有限公司关山支行</w:t>
      </w:r>
    </w:p>
    <w:p>
      <w:pPr>
        <w:autoSpaceDE w:val="0"/>
        <w:autoSpaceDN w:val="0"/>
        <w:adjustRightInd w:val="0"/>
        <w:snapToGrid w:val="0"/>
        <w:spacing w:line="400" w:lineRule="atLeast"/>
        <w:ind w:firstLine="462" w:firstLineChars="210"/>
        <w:textAlignment w:val="bottom"/>
        <w:rPr>
          <w:rFonts w:ascii="宋体" w:hAnsi="宋体" w:eastAsia="宋体"/>
          <w:sz w:val="22"/>
          <w:highlight w:val="none"/>
        </w:rPr>
      </w:pPr>
      <w:r>
        <w:rPr>
          <w:rFonts w:hint="eastAsia" w:ascii="宋体" w:hAnsi="宋体"/>
          <w:sz w:val="22"/>
          <w:highlight w:val="none"/>
        </w:rPr>
        <w:t>开户名称：浙江益诚工程咨询有限公司温州分公司</w:t>
      </w:r>
    </w:p>
    <w:p>
      <w:pPr>
        <w:autoSpaceDE w:val="0"/>
        <w:autoSpaceDN w:val="0"/>
        <w:adjustRightInd w:val="0"/>
        <w:snapToGrid w:val="0"/>
        <w:spacing w:line="400" w:lineRule="atLeast"/>
        <w:ind w:firstLine="462" w:firstLineChars="210"/>
        <w:textAlignment w:val="bottom"/>
        <w:rPr>
          <w:rFonts w:ascii="宋体" w:eastAsia="宋体"/>
          <w:sz w:val="22"/>
          <w:highlight w:val="none"/>
        </w:rPr>
      </w:pPr>
      <w:r>
        <w:rPr>
          <w:rFonts w:hint="eastAsia" w:ascii="宋体" w:hAnsi="宋体"/>
          <w:sz w:val="22"/>
          <w:highlight w:val="none"/>
        </w:rPr>
        <w:t>开户帐号：</w:t>
      </w:r>
      <w:r>
        <w:rPr>
          <w:rFonts w:hint="eastAsia" w:ascii="宋体"/>
          <w:sz w:val="22"/>
          <w:highlight w:val="none"/>
        </w:rPr>
        <w:t>201000244279811</w:t>
      </w:r>
    </w:p>
    <w:p>
      <w:pPr>
        <w:adjustRightInd w:val="0"/>
        <w:snapToGrid w:val="0"/>
        <w:spacing w:line="400" w:lineRule="exact"/>
        <w:jc w:val="left"/>
        <w:rPr>
          <w:rFonts w:ascii="宋体" w:hAnsi="宋体" w:cs="宋体"/>
          <w:b/>
          <w:bCs/>
          <w:sz w:val="22"/>
          <w:highlight w:val="none"/>
        </w:rPr>
      </w:pPr>
      <w:r>
        <w:rPr>
          <w:rFonts w:hint="eastAsia" w:ascii="宋体" w:hAnsi="宋体" w:cs="宋体"/>
          <w:b/>
          <w:bCs/>
          <w:sz w:val="22"/>
          <w:highlight w:val="none"/>
        </w:rPr>
        <w:t>七、投诉质疑</w:t>
      </w:r>
    </w:p>
    <w:p>
      <w:pPr>
        <w:pStyle w:val="66"/>
        <w:snapToGrid w:val="0"/>
        <w:spacing w:before="0" w:line="400" w:lineRule="exact"/>
        <w:ind w:firstLine="440"/>
        <w:rPr>
          <w:rFonts w:ascii="宋体" w:hAnsi="宋体" w:cs="宋体"/>
          <w:sz w:val="22"/>
          <w:szCs w:val="22"/>
          <w:highlight w:val="none"/>
        </w:rPr>
      </w:pPr>
      <w:r>
        <w:rPr>
          <w:rFonts w:hint="eastAsia" w:ascii="宋体" w:hAnsi="宋体" w:cs="宋体"/>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pPr>
        <w:pStyle w:val="66"/>
        <w:spacing w:before="0" w:line="400" w:lineRule="exact"/>
        <w:ind w:firstLine="442"/>
        <w:rPr>
          <w:rFonts w:ascii="宋体" w:hAnsi="宋体" w:cs="宋体"/>
          <w:b/>
          <w:sz w:val="22"/>
          <w:szCs w:val="22"/>
          <w:highlight w:val="none"/>
        </w:rPr>
      </w:pPr>
      <w:r>
        <w:rPr>
          <w:rFonts w:hint="eastAsia" w:ascii="宋体" w:hAnsi="宋体" w:cs="宋体"/>
          <w:b/>
          <w:sz w:val="22"/>
          <w:szCs w:val="22"/>
          <w:highlight w:val="none"/>
        </w:rPr>
        <w:t>1、供应商询问</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lang w:val="zh-CN"/>
        </w:rPr>
        <w:t>供应商对政府采购活动事项有疑问的，可以向招标代理机构提出询问，招标代理机构将对供应商依法提出的询问作出答复，但答复的内容不得涉及商业秘密。</w:t>
      </w:r>
    </w:p>
    <w:p>
      <w:pPr>
        <w:pStyle w:val="66"/>
        <w:spacing w:before="0" w:line="400" w:lineRule="exact"/>
        <w:ind w:firstLine="442"/>
        <w:rPr>
          <w:rFonts w:ascii="宋体" w:hAnsi="宋体" w:cs="宋体"/>
          <w:b/>
          <w:sz w:val="22"/>
          <w:szCs w:val="22"/>
          <w:highlight w:val="none"/>
        </w:rPr>
      </w:pPr>
      <w:r>
        <w:rPr>
          <w:rFonts w:hint="eastAsia" w:ascii="宋体" w:hAnsi="宋体" w:cs="宋体"/>
          <w:b/>
          <w:sz w:val="22"/>
          <w:szCs w:val="22"/>
          <w:highlight w:val="none"/>
        </w:rPr>
        <w:t>2、供应商质疑</w:t>
      </w:r>
    </w:p>
    <w:p>
      <w:pPr>
        <w:pStyle w:val="16"/>
        <w:spacing w:line="400" w:lineRule="exact"/>
        <w:ind w:firstLine="420"/>
        <w:rPr>
          <w:rFonts w:hAnsi="宋体" w:cs="宋体"/>
          <w:sz w:val="22"/>
          <w:szCs w:val="22"/>
          <w:highlight w:val="none"/>
          <w:lang w:val="zh-CN"/>
        </w:rPr>
      </w:pPr>
      <w:r>
        <w:rPr>
          <w:rFonts w:hint="eastAsia" w:hAnsi="宋体" w:cs="宋体"/>
          <w:sz w:val="22"/>
          <w:szCs w:val="22"/>
          <w:highlight w:val="none"/>
        </w:rPr>
        <w:t>2.1供应商认为竞争性磋商文件、采购过程和中标、成交结果使自己的权益受到损害的，可以在知道或者应知其权益受到损害之日起七个工作日内，以书面形式向采购单位、采购代理机构提出质疑，</w:t>
      </w:r>
      <w:r>
        <w:rPr>
          <w:rFonts w:hint="eastAsia" w:hAnsi="宋体" w:cs="宋体"/>
          <w:sz w:val="22"/>
          <w:szCs w:val="22"/>
          <w:highlight w:val="none"/>
          <w:lang w:val="zh-CN"/>
        </w:rPr>
        <w:t>否则，不予受理：</w:t>
      </w:r>
    </w:p>
    <w:p>
      <w:pPr>
        <w:pStyle w:val="16"/>
        <w:spacing w:line="400" w:lineRule="exact"/>
        <w:ind w:firstLine="420"/>
        <w:rPr>
          <w:rFonts w:hAnsi="宋体" w:cs="宋体"/>
          <w:sz w:val="22"/>
          <w:szCs w:val="22"/>
          <w:highlight w:val="none"/>
        </w:rPr>
      </w:pPr>
      <w:r>
        <w:rPr>
          <w:rFonts w:hint="eastAsia" w:hAnsi="宋体" w:cs="宋体"/>
          <w:sz w:val="22"/>
          <w:szCs w:val="22"/>
          <w:highlight w:val="none"/>
        </w:rPr>
        <w:t>（1）供应商如认为招标公告信息使自身的合法权益受到损害的，应于自招标公告发布之日起七个工作内以书面形式向招标代理机构提出质疑；</w:t>
      </w:r>
    </w:p>
    <w:p>
      <w:pPr>
        <w:pStyle w:val="16"/>
        <w:spacing w:line="400" w:lineRule="exact"/>
        <w:rPr>
          <w:rFonts w:hAnsi="宋体" w:cs="宋体"/>
          <w:sz w:val="22"/>
          <w:szCs w:val="22"/>
          <w:highlight w:val="none"/>
        </w:rPr>
      </w:pPr>
      <w:r>
        <w:rPr>
          <w:rFonts w:hint="eastAsia" w:hAnsi="宋体" w:cs="宋体"/>
          <w:sz w:val="22"/>
          <w:szCs w:val="22"/>
          <w:highlight w:val="none"/>
        </w:rPr>
        <w:t xml:space="preserve">   （2）</w:t>
      </w:r>
      <w:r>
        <w:rPr>
          <w:rFonts w:hint="eastAsia" w:hAnsi="宋体" w:cs="宋体"/>
          <w:sz w:val="22"/>
          <w:szCs w:val="22"/>
          <w:highlight w:val="none"/>
          <w:lang w:val="zh-CN"/>
        </w:rPr>
        <w:t>对竞争性磋商文件提出质疑的，质疑期限为供应商获得竞争性磋商文件之日或者竞争性磋商文件公告期限届满之日起计算。</w:t>
      </w:r>
    </w:p>
    <w:p>
      <w:pPr>
        <w:autoSpaceDE w:val="0"/>
        <w:autoSpaceDN w:val="0"/>
        <w:spacing w:line="400" w:lineRule="exact"/>
        <w:jc w:val="left"/>
        <w:rPr>
          <w:rFonts w:ascii="宋体" w:hAnsi="宋体" w:cs="宋体"/>
          <w:kern w:val="0"/>
          <w:sz w:val="22"/>
          <w:highlight w:val="none"/>
          <w:lang w:val="zh-CN"/>
        </w:rPr>
      </w:pPr>
      <w:r>
        <w:rPr>
          <w:rFonts w:hint="eastAsia" w:ascii="宋体" w:hAnsi="宋体" w:cs="宋体"/>
          <w:sz w:val="22"/>
          <w:highlight w:val="none"/>
        </w:rPr>
        <w:t xml:space="preserve">   （3）</w:t>
      </w:r>
      <w:r>
        <w:rPr>
          <w:rFonts w:hint="eastAsia" w:ascii="宋体" w:hAnsi="宋体" w:cs="宋体"/>
          <w:kern w:val="0"/>
          <w:sz w:val="22"/>
          <w:highlight w:val="none"/>
          <w:lang w:val="zh-CN"/>
        </w:rPr>
        <w:t>对采购过程提出质疑的，质疑期限为各采购程序环节结束之日起计算。</w:t>
      </w:r>
    </w:p>
    <w:p>
      <w:pPr>
        <w:pStyle w:val="16"/>
        <w:spacing w:line="400" w:lineRule="exact"/>
        <w:rPr>
          <w:rFonts w:hAnsi="宋体" w:cs="宋体"/>
          <w:sz w:val="22"/>
          <w:szCs w:val="22"/>
          <w:highlight w:val="none"/>
        </w:rPr>
      </w:pPr>
      <w:r>
        <w:rPr>
          <w:rFonts w:hint="eastAsia" w:hAnsi="宋体" w:cs="宋体"/>
          <w:sz w:val="22"/>
          <w:szCs w:val="22"/>
          <w:highlight w:val="none"/>
          <w:lang w:val="zh-CN"/>
        </w:rPr>
        <w:t xml:space="preserve">   （4）对采购结果提出质疑的，质疑期限自采购结果公告（包括公示、预公告、结果变更公告等）期限届满之日起计算。</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2.2供应商提交的质疑书需一式三份，由法定代表人签字（或盖章）并加盖单位公章。质疑书至少应包括下列主要内容：</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（1）供应商的名称、地址、邮政编码、联系人、联系电话；</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（2）质疑项目的名称、编号；</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（3）具体、明确的质疑事项和与质疑事项相关的请求；</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（4）事实依据；</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（5）必要的法律依据；</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（6）提出质疑的日期。</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供应商为自然人的，应当由本人签字；供应商为法人或其他组织的，应当由法定代表人、主要负责人，或者其授权代表签字或者盖章，并加盖公章。</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2.3采购单位、采购代理机构应当在收到供应商的书面质疑后七个工作日内作出答复，并以书面形式通知质疑供应商和其他有关供应商，但答复的内容不得涉及商业秘密。</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2.4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路径为：浙江政府服务网-政府采购投诉处理-在线办理。注意：需在线质疑后才可在线投诉，并电话告知相关采购人、代理机构、财政部门。</w:t>
      </w:r>
    </w:p>
    <w:p>
      <w:pPr>
        <w:pStyle w:val="66"/>
        <w:spacing w:before="0" w:line="400" w:lineRule="exact"/>
        <w:ind w:firstLine="0" w:firstLineChars="0"/>
        <w:rPr>
          <w:rFonts w:ascii="宋体" w:hAnsi="宋体" w:cs="宋体"/>
          <w:b/>
          <w:sz w:val="22"/>
          <w:szCs w:val="22"/>
          <w:highlight w:val="none"/>
        </w:rPr>
      </w:pPr>
      <w:r>
        <w:rPr>
          <w:rFonts w:hint="eastAsia" w:ascii="宋体" w:hAnsi="宋体" w:cs="宋体"/>
          <w:b/>
          <w:sz w:val="22"/>
          <w:szCs w:val="22"/>
          <w:highlight w:val="none"/>
        </w:rPr>
        <w:t>3、供应商投诉</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3.1供应商投诉应当提交投诉书和必要的证明材料。供应商投诉的事项不得超出已质疑事项的范围（基于质疑答复内容提出的投诉事项除外）。</w:t>
      </w:r>
    </w:p>
    <w:p>
      <w:pPr>
        <w:pStyle w:val="16"/>
        <w:spacing w:line="400" w:lineRule="exact"/>
        <w:ind w:firstLine="495" w:firstLineChars="225"/>
        <w:rPr>
          <w:rFonts w:hAnsi="宋体" w:cs="宋体"/>
          <w:sz w:val="22"/>
          <w:szCs w:val="22"/>
          <w:highlight w:val="none"/>
        </w:rPr>
      </w:pPr>
      <w:r>
        <w:rPr>
          <w:rFonts w:hint="eastAsia" w:hAnsi="宋体" w:cs="宋体"/>
          <w:sz w:val="22"/>
          <w:szCs w:val="22"/>
          <w:highlight w:val="none"/>
        </w:rPr>
        <w:t>3.2质疑供应商对采购单位、采购代理机构的答复不满意或者采购单位、采购代理机构未在规定的时间内作出答复的，可以在答复期满后十五个工作日内向同级财政部门提出投诉。</w:t>
      </w:r>
    </w:p>
    <w:p>
      <w:pPr>
        <w:pStyle w:val="28"/>
        <w:ind w:firstLine="400"/>
        <w:rPr>
          <w:highlight w:val="none"/>
        </w:rPr>
      </w:pPr>
    </w:p>
    <w:p>
      <w:pPr>
        <w:pStyle w:val="28"/>
        <w:ind w:firstLine="400"/>
        <w:rPr>
          <w:highlight w:val="none"/>
        </w:rPr>
      </w:pPr>
      <w:r>
        <w:rPr>
          <w:rFonts w:hint="eastAsia"/>
          <w:highlight w:val="none"/>
        </w:rPr>
        <w:t>质疑函范本：</w:t>
      </w:r>
    </w:p>
    <w:p>
      <w:pPr>
        <w:pStyle w:val="28"/>
        <w:ind w:firstLine="400"/>
        <w:rPr>
          <w:highlight w:val="none"/>
        </w:rPr>
      </w:pPr>
      <w:r>
        <w:rPr>
          <w:highlight w:val="none"/>
        </w:rPr>
        <w:drawing>
          <wp:inline distT="0" distB="0" distL="114300" distR="114300">
            <wp:extent cx="922020" cy="82677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cstate="print"/>
                    <a:stretch>
                      <a:fillRect/>
                    </a:stretch>
                  </pic:blipFill>
                  <pic:spPr>
                    <a:xfrm>
                      <a:off x="0" y="0"/>
                      <a:ext cx="922020" cy="826770"/>
                    </a:xfrm>
                    <a:prstGeom prst="rect">
                      <a:avLst/>
                    </a:prstGeom>
                    <a:noFill/>
                    <a:ln>
                      <a:noFill/>
                    </a:ln>
                  </pic:spPr>
                </pic:pic>
              </a:graphicData>
            </a:graphic>
          </wp:inline>
        </w:drawing>
      </w:r>
    </w:p>
    <w:p>
      <w:pPr>
        <w:pStyle w:val="28"/>
        <w:ind w:firstLine="400"/>
        <w:rPr>
          <w:highlight w:val="none"/>
        </w:rPr>
      </w:pPr>
      <w:r>
        <w:rPr>
          <w:rFonts w:hint="eastAsia"/>
          <w:highlight w:val="none"/>
        </w:rPr>
        <w:t>投诉书范本：</w:t>
      </w:r>
      <w:r>
        <w:rPr>
          <w:rFonts w:hint="eastAsia"/>
          <w:highlight w:val="none"/>
        </w:rPr>
        <w:object>
          <v:shape id="_x0000_i1025" o:spt="75" type="#_x0000_t75" style="height:65.4pt;width:72.6pt;" o:ole="t" filled="f" o:preferrelative="t" stroked="f" coordsize="21600,21600">
            <v:path/>
            <v:fill on="f" focussize="0,0"/>
            <v:stroke on="f" joinstyle="miter"/>
            <v:imagedata r:id="rId18" o:title=""/>
            <o:lock v:ext="edit" aspectratio="t"/>
            <w10:wrap type="none"/>
            <w10:anchorlock/>
          </v:shape>
          <o:OLEObject Type="Embed" ProgID="Word.Document.8" ShapeID="_x0000_i1025" DrawAspect="Icon" ObjectID="_1468075725" r:id="rId17">
            <o:LockedField>false</o:LockedField>
          </o:OLEObject>
        </w:object>
      </w:r>
    </w:p>
    <w:p>
      <w:pPr>
        <w:tabs>
          <w:tab w:val="left" w:pos="1080"/>
        </w:tabs>
        <w:autoSpaceDE w:val="0"/>
        <w:autoSpaceDN w:val="0"/>
        <w:adjustRightInd w:val="0"/>
        <w:spacing w:line="500" w:lineRule="atLeast"/>
        <w:jc w:val="center"/>
        <w:textAlignment w:val="baseline"/>
        <w:rPr>
          <w:rFonts w:ascii="宋体"/>
          <w:b/>
          <w:bCs/>
          <w:sz w:val="36"/>
          <w:szCs w:val="36"/>
          <w:highlight w:val="none"/>
          <w:lang w:val="zh-CN"/>
        </w:rPr>
      </w:pPr>
    </w:p>
    <w:p>
      <w:pPr>
        <w:rPr>
          <w:rFonts w:ascii="宋体"/>
          <w:b/>
          <w:bCs/>
          <w:sz w:val="36"/>
          <w:szCs w:val="36"/>
          <w:highlight w:val="none"/>
          <w:lang w:val="zh-CN"/>
        </w:rPr>
      </w:pPr>
      <w:r>
        <w:rPr>
          <w:rFonts w:hint="eastAsia" w:ascii="宋体"/>
          <w:b/>
          <w:bCs/>
          <w:sz w:val="36"/>
          <w:szCs w:val="36"/>
          <w:highlight w:val="none"/>
          <w:lang w:val="zh-CN"/>
        </w:rPr>
        <w:br w:type="page"/>
      </w:r>
    </w:p>
    <w:p>
      <w:pPr>
        <w:autoSpaceDE w:val="0"/>
        <w:autoSpaceDN w:val="0"/>
        <w:adjustRightInd w:val="0"/>
        <w:snapToGrid w:val="0"/>
        <w:spacing w:line="400" w:lineRule="exact"/>
        <w:jc w:val="center"/>
        <w:rPr>
          <w:rFonts w:hint="eastAsia" w:ascii="宋体" w:hAnsi="宋体" w:cs="??_GB2312"/>
          <w:b/>
          <w:bCs/>
          <w:sz w:val="32"/>
          <w:szCs w:val="32"/>
          <w:highlight w:val="none"/>
        </w:rPr>
      </w:pPr>
      <w:bookmarkStart w:id="40" w:name="_Toc221356890"/>
      <w:bookmarkStart w:id="41" w:name="_Toc249758715"/>
      <w:bookmarkStart w:id="42" w:name="_Toc262049421"/>
      <w:bookmarkStart w:id="43" w:name="_Toc245191317"/>
      <w:bookmarkStart w:id="44" w:name="_Toc246261268"/>
      <w:bookmarkStart w:id="45" w:name="_Toc249758867"/>
      <w:bookmarkStart w:id="46" w:name="_Toc221356954"/>
      <w:bookmarkStart w:id="47" w:name="_Toc222114882"/>
      <w:bookmarkStart w:id="48" w:name="_Toc239145357"/>
      <w:bookmarkStart w:id="49" w:name="_Toc221374629"/>
      <w:bookmarkStart w:id="50" w:name="_Toc241404205"/>
      <w:bookmarkStart w:id="51" w:name="_Toc262105506"/>
      <w:bookmarkStart w:id="52" w:name="_Toc221423622"/>
      <w:bookmarkStart w:id="53" w:name="_Toc245722284"/>
      <w:bookmarkStart w:id="54" w:name="_Toc434501364"/>
      <w:bookmarkStart w:id="55" w:name="_Toc223716001"/>
      <w:r>
        <w:rPr>
          <w:rFonts w:hint="eastAsia" w:ascii="宋体"/>
          <w:b/>
          <w:bCs/>
          <w:sz w:val="36"/>
          <w:szCs w:val="36"/>
          <w:highlight w:val="none"/>
          <w:lang w:val="zh-CN"/>
        </w:rPr>
        <w:t>第四部分 政府采购政策功能相关说明</w:t>
      </w:r>
    </w:p>
    <w:p>
      <w:pPr>
        <w:autoSpaceDE w:val="0"/>
        <w:autoSpaceDN w:val="0"/>
        <w:adjustRightInd w:val="0"/>
        <w:snapToGrid w:val="0"/>
        <w:spacing w:line="400" w:lineRule="exact"/>
        <w:jc w:val="center"/>
        <w:rPr>
          <w:rFonts w:hint="eastAsia" w:ascii="宋体" w:hAnsi="宋体" w:cs="??_GB2312"/>
          <w:b/>
          <w:bCs/>
          <w:sz w:val="32"/>
          <w:szCs w:val="32"/>
          <w:highlight w:val="none"/>
        </w:rPr>
      </w:pPr>
      <w:r>
        <w:rPr>
          <w:rFonts w:hint="eastAsia" w:ascii="宋体" w:hAnsi="宋体" w:cs="??_GB2312"/>
          <w:b/>
          <w:bCs/>
          <w:sz w:val="32"/>
          <w:szCs w:val="32"/>
          <w:highlight w:val="none"/>
        </w:rPr>
        <w:t xml:space="preserve"> </w:t>
      </w:r>
    </w:p>
    <w:p>
      <w:pPr>
        <w:autoSpaceDE w:val="0"/>
        <w:autoSpaceDN w:val="0"/>
        <w:adjustRightInd w:val="0"/>
        <w:snapToGrid w:val="0"/>
        <w:spacing w:line="400" w:lineRule="exact"/>
        <w:jc w:val="both"/>
        <w:rPr>
          <w:rFonts w:hint="eastAsia" w:ascii="宋体" w:hAnsi="宋体" w:cs="宋体"/>
          <w:sz w:val="22"/>
          <w:highlight w:val="none"/>
        </w:rPr>
      </w:pPr>
      <w:r>
        <w:rPr>
          <w:rFonts w:hint="eastAsia" w:ascii="宋体" w:hAnsi="宋体"/>
          <w:sz w:val="22"/>
          <w:highlight w:val="none"/>
        </w:rPr>
        <w:t>一、小、微企业（含监狱企业、残疾人福利性单位）扶持政策说明</w:t>
      </w:r>
    </w:p>
    <w:p>
      <w:pPr>
        <w:tabs>
          <w:tab w:val="left" w:pos="1069"/>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pPr>
        <w:tabs>
          <w:tab w:val="left" w:pos="1069"/>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pPr>
        <w:tabs>
          <w:tab w:val="left" w:pos="1069"/>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pPr>
        <w:tabs>
          <w:tab w:val="left" w:pos="1069"/>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pPr>
        <w:tabs>
          <w:tab w:val="left" w:pos="1069"/>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（4）财政部、司法部《关于政府采购支持监狱企业发展有关问题的通知》（财库〔2014〕68号）</w:t>
      </w:r>
    </w:p>
    <w:p>
      <w:pPr>
        <w:tabs>
          <w:tab w:val="left" w:pos="1069"/>
        </w:tabs>
        <w:spacing w:line="440" w:lineRule="atLeast"/>
        <w:jc w:val="left"/>
        <w:rPr>
          <w:rFonts w:hint="eastAsia" w:ascii="宋体"/>
          <w:color w:val="auto"/>
          <w:sz w:val="22"/>
          <w:highlight w:val="none"/>
        </w:rPr>
      </w:pPr>
      <w:r>
        <w:rPr>
          <w:rFonts w:hint="eastAsia" w:ascii="宋体"/>
          <w:color w:val="auto"/>
          <w:sz w:val="22"/>
          <w:highlight w:val="none"/>
        </w:rPr>
        <w:t>（5）《财政部民政部中国残疾人联合会关于促进残疾人就业政府采购政策的通知》（财库〔2017〕 141号）</w:t>
      </w:r>
    </w:p>
    <w:p>
      <w:pPr>
        <w:tabs>
          <w:tab w:val="left" w:pos="1069"/>
          <w:tab w:val="left" w:pos="2352"/>
        </w:tabs>
        <w:spacing w:line="440" w:lineRule="atLeast"/>
        <w:jc w:val="left"/>
        <w:rPr>
          <w:rFonts w:hint="eastAsia" w:ascii="宋体"/>
          <w:color w:val="auto"/>
          <w:sz w:val="22"/>
          <w:highlight w:val="none"/>
        </w:rPr>
      </w:pPr>
      <w:r>
        <w:rPr>
          <w:rFonts w:hint="eastAsia" w:ascii="宋体"/>
          <w:color w:val="auto"/>
          <w:sz w:val="22"/>
          <w:highlight w:val="none"/>
        </w:rPr>
        <w:t>（6）</w:t>
      </w:r>
      <w:r>
        <w:rPr>
          <w:rFonts w:hint="eastAsia" w:hAnsi="宋体"/>
          <w:color w:val="auto"/>
          <w:sz w:val="22"/>
          <w:szCs w:val="22"/>
          <w:highlight w:val="none"/>
        </w:rPr>
        <w:t>《关于进一步加大政府采购支持中小企业力度的通知》（财库〔2022〕19号）</w:t>
      </w:r>
    </w:p>
    <w:p>
      <w:pPr>
        <w:tabs>
          <w:tab w:val="left" w:pos="1069"/>
          <w:tab w:val="left" w:pos="2352"/>
        </w:tabs>
        <w:spacing w:line="440" w:lineRule="atLeast"/>
        <w:jc w:val="left"/>
        <w:rPr>
          <w:rFonts w:hAnsi="宋体" w:cs="宋体"/>
          <w:color w:val="auto"/>
          <w:sz w:val="22"/>
          <w:highlight w:val="none"/>
        </w:rPr>
      </w:pPr>
      <w:r>
        <w:rPr>
          <w:rFonts w:hint="eastAsia" w:ascii="宋体"/>
          <w:color w:val="auto"/>
          <w:sz w:val="22"/>
          <w:highlight w:val="none"/>
        </w:rPr>
        <w:t>（</w:t>
      </w:r>
      <w:r>
        <w:rPr>
          <w:rFonts w:hint="eastAsia" w:ascii="宋体"/>
          <w:color w:val="auto"/>
          <w:sz w:val="22"/>
          <w:highlight w:val="none"/>
          <w:lang w:val="en-US" w:eastAsia="zh-CN"/>
        </w:rPr>
        <w:t>7</w:t>
      </w:r>
      <w:r>
        <w:rPr>
          <w:rFonts w:hint="eastAsia" w:ascii="宋体"/>
          <w:color w:val="auto"/>
          <w:sz w:val="22"/>
          <w:highlight w:val="none"/>
        </w:rPr>
        <w:t>）</w:t>
      </w:r>
      <w:r>
        <w:rPr>
          <w:rFonts w:hint="eastAsia" w:hAnsi="宋体" w:cs="宋体"/>
          <w:color w:val="auto"/>
          <w:sz w:val="22"/>
          <w:highlight w:val="none"/>
        </w:rPr>
        <w:t>《浙江省财政厅关于进一步发挥政府采购政策 功能全力推动经济稳进提质的通知》（浙财采监〔2022〕3号）</w:t>
      </w:r>
    </w:p>
    <w:p>
      <w:pPr>
        <w:tabs>
          <w:tab w:val="left" w:pos="1069"/>
          <w:tab w:val="left" w:pos="2352"/>
        </w:tabs>
        <w:spacing w:line="440" w:lineRule="atLeast"/>
        <w:jc w:val="left"/>
        <w:rPr>
          <w:color w:val="auto"/>
          <w:highlight w:val="none"/>
        </w:rPr>
      </w:pPr>
      <w:r>
        <w:rPr>
          <w:rFonts w:hint="eastAsia" w:hAnsi="宋体" w:cs="宋体"/>
          <w:color w:val="auto"/>
          <w:sz w:val="22"/>
          <w:highlight w:val="none"/>
        </w:rPr>
        <w:t>（</w:t>
      </w:r>
      <w:r>
        <w:rPr>
          <w:rFonts w:hint="eastAsia" w:hAnsi="宋体" w:cs="宋体"/>
          <w:color w:val="auto"/>
          <w:sz w:val="22"/>
          <w:highlight w:val="none"/>
          <w:lang w:val="en-US" w:eastAsia="zh-CN"/>
        </w:rPr>
        <w:t>8</w:t>
      </w:r>
      <w:r>
        <w:rPr>
          <w:rFonts w:hint="eastAsia" w:hAnsi="宋体" w:cs="宋体"/>
          <w:color w:val="auto"/>
          <w:sz w:val="22"/>
          <w:highlight w:val="none"/>
        </w:rPr>
        <w:t>）《关于进一步加大政府采购 支持中小企业力度 助力扎实稳住经济 的通知》（浙财采监〔2022〕8号）</w:t>
      </w:r>
    </w:p>
    <w:p>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u w:val="single"/>
        </w:rPr>
        <w:t>本项目对小型和微型企业产品的价格给予</w:t>
      </w:r>
      <w:r>
        <w:rPr>
          <w:rFonts w:hint="eastAsia"/>
          <w:b/>
          <w:bCs/>
          <w:color w:val="auto"/>
          <w:sz w:val="22"/>
          <w:highlight w:val="none"/>
          <w:u w:val="single"/>
        </w:rPr>
        <w:t>扣除10%，按扣除后的价格参与评审，符合</w:t>
      </w:r>
      <w:r>
        <w:rPr>
          <w:rFonts w:hint="eastAsia" w:cs="宋体"/>
          <w:b/>
          <w:bCs/>
          <w:color w:val="auto"/>
          <w:sz w:val="22"/>
          <w:highlight w:val="none"/>
          <w:u w:val="single"/>
        </w:rPr>
        <w:t>要求提供以下</w:t>
      </w:r>
      <w:r>
        <w:rPr>
          <w:rFonts w:hint="eastAsia" w:cs="宋体"/>
          <w:b/>
          <w:bCs/>
          <w:color w:val="auto"/>
          <w:sz w:val="22"/>
          <w:highlight w:val="none"/>
          <w:u w:val="single"/>
          <w:lang w:eastAsia="zh-CN"/>
        </w:rPr>
        <w:t>任一</w:t>
      </w:r>
      <w:r>
        <w:rPr>
          <w:rFonts w:hint="eastAsia" w:cs="宋体"/>
          <w:b/>
          <w:bCs/>
          <w:color w:val="auto"/>
          <w:sz w:val="22"/>
          <w:highlight w:val="none"/>
          <w:u w:val="single"/>
        </w:rPr>
        <w:t>证明材</w:t>
      </w:r>
      <w:r>
        <w:rPr>
          <w:rFonts w:hint="eastAsia" w:ascii="宋体"/>
          <w:b/>
          <w:bCs/>
          <w:color w:val="auto"/>
          <w:sz w:val="22"/>
          <w:highlight w:val="none"/>
          <w:u w:val="single"/>
        </w:rPr>
        <w:t>料（附在</w:t>
      </w:r>
      <w:r>
        <w:rPr>
          <w:rFonts w:hint="eastAsia" w:ascii="宋体" w:cs="宋体"/>
          <w:b/>
          <w:bCs/>
          <w:color w:val="auto"/>
          <w:sz w:val="22"/>
          <w:highlight w:val="none"/>
          <w:u w:val="single"/>
        </w:rPr>
        <w:t>《商务技术文件》</w:t>
      </w:r>
      <w:r>
        <w:rPr>
          <w:rFonts w:hint="eastAsia" w:ascii="宋体"/>
          <w:b/>
          <w:bCs/>
          <w:color w:val="auto"/>
          <w:sz w:val="22"/>
          <w:highlight w:val="none"/>
          <w:u w:val="single"/>
        </w:rPr>
        <w:t>中）</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（1）中小企业：中小企业声明函（原件，加盖供应商公章，格式见附件1）</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w:t>
      </w:r>
      <w:r>
        <w:rPr>
          <w:rFonts w:hint="eastAsia" w:ascii="宋体"/>
          <w:color w:val="auto"/>
          <w:sz w:val="22"/>
          <w:highlight w:val="none"/>
          <w:lang w:val="en-US" w:eastAsia="zh-CN"/>
        </w:rPr>
        <w:t>2</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r>
        <w:rPr>
          <w:rFonts w:hint="eastAsia" w:ascii="宋体"/>
          <w:color w:val="auto"/>
          <w:sz w:val="22"/>
          <w:highlight w:val="none"/>
          <w:lang w:eastAsia="zh-CN"/>
        </w:rPr>
        <w:t>扫描件</w:t>
      </w:r>
      <w:r>
        <w:rPr>
          <w:rFonts w:hint="eastAsia" w:ascii="宋体"/>
          <w:color w:val="auto"/>
          <w:sz w:val="22"/>
          <w:highlight w:val="none"/>
        </w:rPr>
        <w:t>）</w:t>
      </w:r>
    </w:p>
    <w:p>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pPr>
        <w:tabs>
          <w:tab w:val="left" w:pos="2352"/>
        </w:tabs>
        <w:spacing w:line="440" w:lineRule="atLeast"/>
        <w:jc w:val="left"/>
        <w:rPr>
          <w:rFonts w:ascii="宋体"/>
          <w:color w:val="auto"/>
          <w:sz w:val="22"/>
          <w:highlight w:val="none"/>
        </w:rPr>
      </w:pPr>
      <w:r>
        <w:rPr>
          <w:rFonts w:hint="eastAsia" w:ascii="宋体"/>
          <w:b/>
          <w:bCs/>
          <w:color w:val="auto"/>
          <w:sz w:val="22"/>
          <w:highlight w:val="none"/>
          <w:u w:val="single"/>
        </w:rPr>
        <w:t>残疾人福利性单位、监狱企业参加投标视同小微企业。</w:t>
      </w:r>
    </w:p>
    <w:p>
      <w:pPr>
        <w:tabs>
          <w:tab w:val="left" w:pos="2352"/>
        </w:tabs>
        <w:spacing w:line="440" w:lineRule="atLeast"/>
        <w:jc w:val="left"/>
        <w:rPr>
          <w:rFonts w:hint="eastAsia" w:ascii="宋体"/>
          <w:color w:val="auto"/>
          <w:sz w:val="22"/>
          <w:highlight w:val="none"/>
        </w:rPr>
      </w:pPr>
      <w:r>
        <w:rPr>
          <w:rFonts w:hint="eastAsia" w:ascii="宋体"/>
          <w:color w:val="auto"/>
          <w:sz w:val="22"/>
          <w:highlight w:val="none"/>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pPr>
        <w:spacing w:line="440" w:lineRule="atLeast"/>
        <w:jc w:val="left"/>
        <w:rPr>
          <w:rFonts w:ascii="宋体"/>
          <w:color w:val="auto"/>
          <w:sz w:val="22"/>
          <w:highlight w:val="none"/>
        </w:rPr>
      </w:pPr>
      <w:r>
        <w:rPr>
          <w:rFonts w:hint="eastAsia" w:ascii="宋体"/>
          <w:color w:val="auto"/>
          <w:sz w:val="22"/>
          <w:highlight w:val="none"/>
        </w:rPr>
        <w:t>5、本项目采购文件明确采购的标的所属行业为</w:t>
      </w:r>
      <w:r>
        <w:rPr>
          <w:rFonts w:hint="eastAsia" w:ascii="宋体"/>
          <w:b/>
          <w:bCs/>
          <w:color w:val="auto"/>
          <w:sz w:val="22"/>
          <w:highlight w:val="none"/>
          <w:u w:val="single"/>
          <w:lang w:eastAsia="zh-CN"/>
        </w:rPr>
        <w:t>其他未列明行业</w:t>
      </w:r>
      <w:r>
        <w:rPr>
          <w:rFonts w:hint="eastAsia" w:ascii="宋体"/>
          <w:b/>
          <w:bCs/>
          <w:color w:val="auto"/>
          <w:sz w:val="22"/>
          <w:highlight w:val="none"/>
          <w:u w:val="single"/>
          <w:lang w:val="en-US" w:eastAsia="zh-CN"/>
        </w:rPr>
        <w:t>。</w:t>
      </w:r>
    </w:p>
    <w:p>
      <w:pPr>
        <w:spacing w:line="400" w:lineRule="exact"/>
        <w:jc w:val="center"/>
        <w:rPr>
          <w:rFonts w:ascii="宋体" w:hAnsi="宋体"/>
          <w:sz w:val="22"/>
          <w:highlight w:val="none"/>
        </w:rPr>
      </w:pPr>
    </w:p>
    <w:p>
      <w:pPr>
        <w:pStyle w:val="59"/>
        <w:snapToGrid w:val="0"/>
        <w:spacing w:line="360" w:lineRule="auto"/>
        <w:ind w:firstLine="0" w:firstLineChars="0"/>
        <w:rPr>
          <w:rFonts w:cs="宋体"/>
          <w:sz w:val="22"/>
          <w:highlight w:val="none"/>
        </w:rPr>
      </w:pPr>
      <w:r>
        <w:rPr>
          <w:rFonts w:hint="eastAsia" w:ascii="宋体" w:hAnsi="宋体"/>
          <w:sz w:val="22"/>
          <w:highlight w:val="none"/>
        </w:rPr>
        <w:t xml:space="preserve"> </w:t>
      </w:r>
      <w:r>
        <w:rPr>
          <w:rFonts w:hint="eastAsia" w:cs="宋体"/>
          <w:sz w:val="22"/>
          <w:highlight w:val="none"/>
        </w:rPr>
        <w:t>三、信贷政策</w:t>
      </w:r>
    </w:p>
    <w:p>
      <w:pPr>
        <w:keepNext/>
        <w:spacing w:line="360" w:lineRule="auto"/>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1、温州市财政局关于温州市政府采购支持中小企业信用融资的通知（温财采〔2020〕3号）</w:t>
      </w:r>
    </w:p>
    <w:p>
      <w:pPr>
        <w:keepNext/>
        <w:spacing w:line="360" w:lineRule="auto"/>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2、融资合作银行名单及意向银行选择表：</w:t>
      </w:r>
    </w:p>
    <w:tbl>
      <w:tblPr>
        <w:tblStyle w:val="29"/>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4712"/>
        <w:gridCol w:w="1019"/>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41" w:type="dxa"/>
            <w:gridSpan w:val="4"/>
            <w:vAlign w:val="center"/>
          </w:tcPr>
          <w:p>
            <w:pPr>
              <w:jc w:val="center"/>
              <w:rPr>
                <w:rFonts w:ascii="宋体" w:hAnsi="宋体" w:eastAsia="宋体"/>
                <w:bCs/>
                <w:sz w:val="22"/>
                <w:szCs w:val="22"/>
                <w:highlight w:val="none"/>
              </w:rPr>
            </w:pPr>
            <w:r>
              <w:rPr>
                <w:rFonts w:hint="eastAsia" w:ascii="宋体" w:hAnsi="宋体" w:eastAsia="宋体"/>
                <w:bCs/>
                <w:sz w:val="22"/>
                <w:szCs w:val="22"/>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484" w:type="dxa"/>
            <w:vAlign w:val="center"/>
          </w:tcPr>
          <w:p>
            <w:pPr>
              <w:jc w:val="center"/>
              <w:rPr>
                <w:rFonts w:ascii="宋体" w:hAnsi="宋体" w:eastAsia="宋体" w:cs="宋体"/>
                <w:bCs/>
                <w:sz w:val="22"/>
                <w:szCs w:val="22"/>
                <w:highlight w:val="none"/>
              </w:rPr>
            </w:pPr>
            <w:r>
              <w:rPr>
                <w:rFonts w:hint="eastAsia" w:ascii="宋体" w:hAnsi="宋体" w:eastAsia="宋体" w:cs="宋体"/>
                <w:bCs/>
                <w:sz w:val="22"/>
                <w:szCs w:val="22"/>
                <w:highlight w:val="none"/>
              </w:rPr>
              <w:t>银行名称</w:t>
            </w:r>
          </w:p>
        </w:tc>
        <w:tc>
          <w:tcPr>
            <w:tcW w:w="4712" w:type="dxa"/>
            <w:vAlign w:val="center"/>
          </w:tcPr>
          <w:p>
            <w:pPr>
              <w:jc w:val="center"/>
              <w:rPr>
                <w:rFonts w:ascii="宋体" w:hAnsi="宋体" w:eastAsia="宋体" w:cs="宋体"/>
                <w:bCs/>
                <w:sz w:val="22"/>
                <w:szCs w:val="22"/>
                <w:highlight w:val="none"/>
              </w:rPr>
            </w:pPr>
            <w:r>
              <w:rPr>
                <w:rFonts w:hint="eastAsia" w:ascii="宋体" w:hAnsi="宋体" w:eastAsia="宋体" w:cs="宋体"/>
                <w:bCs/>
                <w:sz w:val="22"/>
                <w:szCs w:val="22"/>
                <w:highlight w:val="none"/>
              </w:rPr>
              <w:t>产品特点（不超过120字）</w:t>
            </w:r>
          </w:p>
        </w:tc>
        <w:tc>
          <w:tcPr>
            <w:tcW w:w="1019" w:type="dxa"/>
            <w:vAlign w:val="center"/>
          </w:tcPr>
          <w:p>
            <w:pPr>
              <w:jc w:val="center"/>
              <w:rPr>
                <w:rFonts w:ascii="宋体" w:hAnsi="宋体" w:eastAsia="宋体" w:cs="宋体"/>
                <w:bCs/>
                <w:sz w:val="22"/>
                <w:szCs w:val="22"/>
                <w:highlight w:val="none"/>
              </w:rPr>
            </w:pPr>
            <w:r>
              <w:rPr>
                <w:rFonts w:hint="eastAsia" w:ascii="宋体" w:hAnsi="宋体" w:eastAsia="宋体" w:cs="宋体"/>
                <w:bCs/>
                <w:sz w:val="22"/>
                <w:szCs w:val="22"/>
                <w:highlight w:val="none"/>
              </w:rPr>
              <w:t>经办人</w:t>
            </w:r>
          </w:p>
        </w:tc>
        <w:tc>
          <w:tcPr>
            <w:tcW w:w="1725" w:type="dxa"/>
            <w:vAlign w:val="center"/>
          </w:tcPr>
          <w:p>
            <w:pPr>
              <w:jc w:val="center"/>
              <w:rPr>
                <w:rFonts w:ascii="宋体" w:hAnsi="宋体" w:eastAsia="宋体" w:cs="宋体"/>
                <w:bCs/>
                <w:sz w:val="22"/>
                <w:szCs w:val="22"/>
                <w:highlight w:val="none"/>
              </w:rPr>
            </w:pPr>
            <w:r>
              <w:rPr>
                <w:rFonts w:hint="eastAsia" w:ascii="宋体" w:hAnsi="宋体" w:eastAsia="宋体" w:cs="宋体"/>
                <w:bCs/>
                <w:sz w:val="22"/>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中国工商银行股份有限公司温州分行</w:t>
            </w:r>
          </w:p>
        </w:tc>
        <w:tc>
          <w:tcPr>
            <w:tcW w:w="4712" w:type="dxa"/>
          </w:tcPr>
          <w:p>
            <w:pPr>
              <w:rPr>
                <w:rFonts w:ascii="宋体" w:hAnsi="宋体" w:eastAsia="宋体"/>
                <w:bCs/>
                <w:sz w:val="22"/>
                <w:szCs w:val="22"/>
                <w:highlight w:val="none"/>
              </w:rPr>
            </w:pPr>
            <w:r>
              <w:rPr>
                <w:rFonts w:hint="eastAsia" w:ascii="宋体" w:hAnsi="宋体" w:eastAsia="宋体"/>
                <w:bCs/>
                <w:sz w:val="22"/>
                <w:szCs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9"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王经理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0577-88186626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484" w:type="dxa"/>
            <w:vAlign w:val="center"/>
          </w:tcPr>
          <w:p>
            <w:pPr>
              <w:rPr>
                <w:rFonts w:ascii="宋体" w:hAnsi="宋体" w:eastAsia="宋体"/>
                <w:bCs/>
                <w:sz w:val="22"/>
                <w:szCs w:val="22"/>
                <w:highlight w:val="none"/>
              </w:rPr>
            </w:pPr>
            <w:r>
              <w:rPr>
                <w:rFonts w:hint="eastAsia" w:ascii="宋体" w:hAnsi="宋体" w:eastAsia="宋体" w:cs="宋体"/>
                <w:bCs/>
                <w:sz w:val="22"/>
                <w:szCs w:val="22"/>
                <w:highlight w:val="none"/>
              </w:rPr>
              <w:t>中国建设银行股份有限公司温州分行</w:t>
            </w:r>
          </w:p>
        </w:tc>
        <w:tc>
          <w:tcPr>
            <w:tcW w:w="4712" w:type="dxa"/>
          </w:tcPr>
          <w:p>
            <w:pPr>
              <w:rPr>
                <w:rFonts w:ascii="宋体" w:hAnsi="宋体" w:eastAsia="宋体"/>
                <w:bCs/>
                <w:sz w:val="22"/>
                <w:szCs w:val="22"/>
                <w:highlight w:val="none"/>
              </w:rPr>
            </w:pPr>
            <w:r>
              <w:rPr>
                <w:rFonts w:hint="eastAsia" w:ascii="宋体" w:hAnsi="宋体" w:eastAsia="宋体"/>
                <w:bCs/>
                <w:sz w:val="22"/>
                <w:szCs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9" w:type="dxa"/>
            <w:vAlign w:val="center"/>
          </w:tcPr>
          <w:p>
            <w:pPr>
              <w:rPr>
                <w:rFonts w:ascii="宋体" w:hAnsi="宋体" w:eastAsia="宋体" w:cs="宋体"/>
                <w:bCs/>
                <w:sz w:val="22"/>
                <w:szCs w:val="22"/>
                <w:highlight w:val="none"/>
              </w:rPr>
            </w:pPr>
            <w:r>
              <w:rPr>
                <w:rFonts w:hint="eastAsia" w:ascii="宋体" w:hAnsi="宋体" w:eastAsia="宋体" w:cs="宋体"/>
                <w:bCs/>
                <w:sz w:val="22"/>
                <w:szCs w:val="22"/>
                <w:highlight w:val="none"/>
              </w:rPr>
              <w:t>张经理</w:t>
            </w:r>
          </w:p>
        </w:tc>
        <w:tc>
          <w:tcPr>
            <w:tcW w:w="1725" w:type="dxa"/>
            <w:vAlign w:val="center"/>
          </w:tcPr>
          <w:p>
            <w:pPr>
              <w:rPr>
                <w:rFonts w:ascii="宋体" w:hAnsi="宋体" w:eastAsia="宋体" w:cs="宋体"/>
                <w:bCs/>
                <w:sz w:val="22"/>
                <w:szCs w:val="22"/>
                <w:highlight w:val="none"/>
              </w:rPr>
            </w:pPr>
            <w:r>
              <w:rPr>
                <w:rFonts w:hint="eastAsia" w:ascii="宋体" w:hAnsi="宋体" w:eastAsia="宋体" w:cs="宋体"/>
                <w:bCs/>
                <w:sz w:val="22"/>
                <w:szCs w:val="22"/>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中国邮政储蓄银行股份有限公司温州市分行</w:t>
            </w:r>
          </w:p>
        </w:tc>
        <w:tc>
          <w:tcPr>
            <w:tcW w:w="4712"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郑经理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中国民生银行股份有限公司温州分行</w:t>
            </w:r>
          </w:p>
        </w:tc>
        <w:tc>
          <w:tcPr>
            <w:tcW w:w="4712" w:type="dxa"/>
          </w:tcPr>
          <w:p>
            <w:pPr>
              <w:jc w:val="left"/>
              <w:rPr>
                <w:rFonts w:ascii="宋体" w:hAnsi="宋体" w:eastAsia="宋体"/>
                <w:bCs/>
                <w:sz w:val="22"/>
                <w:szCs w:val="22"/>
                <w:highlight w:val="none"/>
              </w:rPr>
            </w:pPr>
            <w:r>
              <w:rPr>
                <w:rFonts w:hint="eastAsia" w:ascii="宋体" w:hAnsi="宋体" w:eastAsia="宋体" w:cs="宋体"/>
                <w:bCs/>
                <w:sz w:val="22"/>
                <w:szCs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项经理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宁波银行股份有限公司温州分行</w:t>
            </w:r>
          </w:p>
        </w:tc>
        <w:tc>
          <w:tcPr>
            <w:tcW w:w="4712" w:type="dxa"/>
          </w:tcPr>
          <w:p>
            <w:pPr>
              <w:rPr>
                <w:rFonts w:ascii="宋体" w:hAnsi="宋体" w:eastAsia="宋体"/>
                <w:bCs/>
                <w:sz w:val="22"/>
                <w:szCs w:val="22"/>
                <w:highlight w:val="none"/>
              </w:rPr>
            </w:pPr>
            <w:r>
              <w:rPr>
                <w:rFonts w:ascii="宋体" w:hAnsi="宋体" w:eastAsia="宋体" w:cs="宋体"/>
                <w:bCs/>
                <w:sz w:val="22"/>
                <w:szCs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eastAsia="宋体" w:cs="宋体"/>
                <w:bCs/>
                <w:sz w:val="22"/>
                <w:szCs w:val="22"/>
                <w:highlight w:val="none"/>
              </w:rPr>
              <w:t>，最大金额不超过</w:t>
            </w:r>
            <w:r>
              <w:rPr>
                <w:rFonts w:ascii="宋体" w:hAnsi="宋体" w:eastAsia="宋体" w:cs="宋体"/>
                <w:bCs/>
                <w:sz w:val="22"/>
                <w:szCs w:val="22"/>
                <w:highlight w:val="none"/>
              </w:rPr>
              <w:t>2000</w:t>
            </w:r>
            <w:r>
              <w:rPr>
                <w:rFonts w:hint="eastAsia" w:ascii="宋体" w:hAnsi="宋体" w:eastAsia="宋体" w:cs="宋体"/>
                <w:bCs/>
                <w:sz w:val="22"/>
                <w:szCs w:val="22"/>
                <w:highlight w:val="none"/>
              </w:rPr>
              <w:t>万元。</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陈经理</w:t>
            </w:r>
          </w:p>
        </w:tc>
        <w:tc>
          <w:tcPr>
            <w:tcW w:w="1725" w:type="dxa"/>
            <w:vAlign w:val="center"/>
          </w:tcPr>
          <w:p>
            <w:pPr>
              <w:rPr>
                <w:rFonts w:ascii="宋体" w:hAnsi="宋体" w:eastAsia="宋体"/>
                <w:bCs/>
                <w:sz w:val="22"/>
                <w:szCs w:val="22"/>
                <w:highlight w:val="none"/>
              </w:rPr>
            </w:pPr>
            <w:r>
              <w:rPr>
                <w:rFonts w:ascii="宋体" w:hAnsi="宋体" w:eastAsia="宋体"/>
                <w:bCs/>
                <w:sz w:val="22"/>
                <w:szCs w:val="22"/>
                <w:highlight w:val="none"/>
              </w:rPr>
              <w:t>0577－88007377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杭州银行股份有限公司温州分行</w:t>
            </w:r>
          </w:p>
        </w:tc>
        <w:tc>
          <w:tcPr>
            <w:tcW w:w="4712" w:type="dxa"/>
          </w:tcPr>
          <w:p>
            <w:pPr>
              <w:rPr>
                <w:rFonts w:ascii="宋体" w:hAnsi="宋体" w:eastAsia="宋体"/>
                <w:bCs/>
                <w:sz w:val="22"/>
                <w:szCs w:val="22"/>
                <w:highlight w:val="none"/>
              </w:rPr>
            </w:pPr>
            <w:r>
              <w:rPr>
                <w:rFonts w:ascii="宋体" w:hAnsi="宋体" w:eastAsia="宋体"/>
                <w:bCs/>
                <w:sz w:val="22"/>
                <w:szCs w:val="22"/>
                <w:highlight w:val="none"/>
              </w:rPr>
              <w:t>门槛低：</w:t>
            </w:r>
            <w:r>
              <w:rPr>
                <w:rFonts w:hint="eastAsia" w:ascii="宋体" w:hAnsi="宋体" w:eastAsia="宋体"/>
                <w:bCs/>
                <w:sz w:val="22"/>
                <w:szCs w:val="22"/>
                <w:highlight w:val="none"/>
              </w:rPr>
              <w:t>纯</w:t>
            </w:r>
            <w:r>
              <w:rPr>
                <w:rFonts w:ascii="宋体" w:hAnsi="宋体" w:eastAsia="宋体"/>
                <w:bCs/>
                <w:sz w:val="22"/>
                <w:szCs w:val="22"/>
                <w:highlight w:val="none"/>
              </w:rPr>
              <w:t>信用，</w:t>
            </w:r>
            <w:r>
              <w:rPr>
                <w:rFonts w:hint="eastAsia" w:ascii="宋体" w:hAnsi="宋体" w:eastAsia="宋体"/>
                <w:bCs/>
                <w:sz w:val="22"/>
                <w:szCs w:val="22"/>
                <w:highlight w:val="none"/>
              </w:rPr>
              <w:t>平台</w:t>
            </w:r>
            <w:r>
              <w:rPr>
                <w:rFonts w:ascii="宋体" w:hAnsi="宋体" w:eastAsia="宋体"/>
                <w:bCs/>
                <w:sz w:val="22"/>
                <w:szCs w:val="22"/>
                <w:highlight w:val="none"/>
              </w:rPr>
              <w:t>注册入库并取得采购合同即可申请</w:t>
            </w:r>
          </w:p>
          <w:p>
            <w:pPr>
              <w:rPr>
                <w:rFonts w:ascii="宋体" w:hAnsi="宋体" w:eastAsia="宋体"/>
                <w:bCs/>
                <w:sz w:val="22"/>
                <w:szCs w:val="22"/>
                <w:highlight w:val="none"/>
              </w:rPr>
            </w:pPr>
            <w:r>
              <w:rPr>
                <w:rFonts w:hint="eastAsia" w:ascii="宋体" w:hAnsi="宋体" w:eastAsia="宋体"/>
                <w:bCs/>
                <w:sz w:val="22"/>
                <w:szCs w:val="22"/>
                <w:highlight w:val="none"/>
              </w:rPr>
              <w:t>手续简</w:t>
            </w:r>
            <w:r>
              <w:rPr>
                <w:rFonts w:ascii="宋体" w:hAnsi="宋体" w:eastAsia="宋体"/>
                <w:bCs/>
                <w:sz w:val="22"/>
                <w:szCs w:val="22"/>
                <w:highlight w:val="none"/>
              </w:rPr>
              <w:t>：</w:t>
            </w:r>
            <w:r>
              <w:rPr>
                <w:rFonts w:hint="eastAsia" w:ascii="宋体" w:hAnsi="宋体" w:eastAsia="宋体"/>
                <w:bCs/>
                <w:sz w:val="22"/>
                <w:szCs w:val="22"/>
                <w:highlight w:val="none"/>
              </w:rPr>
              <w:t>线上申请</w:t>
            </w:r>
            <w:r>
              <w:rPr>
                <w:rFonts w:ascii="宋体" w:hAnsi="宋体" w:eastAsia="宋体"/>
                <w:bCs/>
                <w:sz w:val="22"/>
                <w:szCs w:val="22"/>
                <w:highlight w:val="none"/>
              </w:rPr>
              <w:t>+</w:t>
            </w:r>
            <w:r>
              <w:rPr>
                <w:rFonts w:hint="eastAsia" w:ascii="宋体" w:hAnsi="宋体" w:eastAsia="宋体"/>
                <w:bCs/>
                <w:sz w:val="22"/>
                <w:szCs w:val="22"/>
                <w:highlight w:val="none"/>
              </w:rPr>
              <w:t>线上</w:t>
            </w:r>
            <w:r>
              <w:rPr>
                <w:rFonts w:ascii="宋体" w:hAnsi="宋体" w:eastAsia="宋体"/>
                <w:bCs/>
                <w:sz w:val="22"/>
                <w:szCs w:val="22"/>
                <w:highlight w:val="none"/>
              </w:rPr>
              <w:t>签约，</w:t>
            </w:r>
            <w:r>
              <w:rPr>
                <w:rFonts w:hint="eastAsia" w:ascii="宋体" w:hAnsi="宋体" w:eastAsia="宋体"/>
                <w:bCs/>
                <w:sz w:val="22"/>
                <w:szCs w:val="22"/>
                <w:highlight w:val="none"/>
              </w:rPr>
              <w:t>足不</w:t>
            </w:r>
            <w:r>
              <w:rPr>
                <w:rFonts w:ascii="宋体" w:hAnsi="宋体" w:eastAsia="宋体"/>
                <w:bCs/>
                <w:sz w:val="22"/>
                <w:szCs w:val="22"/>
                <w:highlight w:val="none"/>
              </w:rPr>
              <w:t>出</w:t>
            </w:r>
            <w:r>
              <w:rPr>
                <w:rFonts w:hint="eastAsia" w:ascii="宋体" w:hAnsi="宋体" w:eastAsia="宋体"/>
                <w:bCs/>
                <w:sz w:val="22"/>
                <w:szCs w:val="22"/>
                <w:highlight w:val="none"/>
              </w:rPr>
              <w:t>户</w:t>
            </w:r>
          </w:p>
          <w:p>
            <w:pPr>
              <w:rPr>
                <w:rFonts w:ascii="宋体" w:hAnsi="宋体" w:eastAsia="宋体"/>
                <w:bCs/>
                <w:sz w:val="22"/>
                <w:szCs w:val="22"/>
                <w:highlight w:val="none"/>
              </w:rPr>
            </w:pPr>
            <w:r>
              <w:rPr>
                <w:rFonts w:hint="eastAsia" w:ascii="宋体" w:hAnsi="宋体" w:eastAsia="宋体"/>
                <w:bCs/>
                <w:sz w:val="22"/>
                <w:szCs w:val="22"/>
                <w:highlight w:val="none"/>
              </w:rPr>
              <w:t>利率</w:t>
            </w:r>
            <w:r>
              <w:rPr>
                <w:rFonts w:ascii="宋体" w:hAnsi="宋体" w:eastAsia="宋体"/>
                <w:bCs/>
                <w:sz w:val="22"/>
                <w:szCs w:val="22"/>
                <w:highlight w:val="none"/>
              </w:rPr>
              <w:t>优：</w:t>
            </w:r>
            <w:r>
              <w:rPr>
                <w:rFonts w:hint="eastAsia" w:ascii="宋体" w:hAnsi="宋体" w:eastAsia="宋体"/>
                <w:bCs/>
                <w:sz w:val="22"/>
                <w:szCs w:val="22"/>
                <w:highlight w:val="none"/>
              </w:rPr>
              <w:t>按</w:t>
            </w:r>
            <w:r>
              <w:rPr>
                <w:rFonts w:ascii="宋体" w:hAnsi="宋体" w:eastAsia="宋体"/>
                <w:bCs/>
                <w:sz w:val="22"/>
                <w:szCs w:val="22"/>
                <w:highlight w:val="none"/>
              </w:rPr>
              <w:t>优于一般中小企业</w:t>
            </w:r>
            <w:r>
              <w:rPr>
                <w:rFonts w:hint="eastAsia" w:ascii="宋体" w:hAnsi="宋体" w:eastAsia="宋体"/>
                <w:bCs/>
                <w:sz w:val="22"/>
                <w:szCs w:val="22"/>
                <w:highlight w:val="none"/>
              </w:rPr>
              <w:t>贷款</w:t>
            </w:r>
            <w:r>
              <w:rPr>
                <w:rFonts w:ascii="宋体" w:hAnsi="宋体" w:eastAsia="宋体"/>
                <w:bCs/>
                <w:sz w:val="22"/>
                <w:szCs w:val="22"/>
                <w:highlight w:val="none"/>
              </w:rPr>
              <w:t>利率执行</w:t>
            </w:r>
          </w:p>
          <w:p>
            <w:pPr>
              <w:rPr>
                <w:rFonts w:ascii="宋体" w:hAnsi="宋体" w:eastAsia="宋体"/>
                <w:bCs/>
                <w:sz w:val="22"/>
                <w:szCs w:val="22"/>
                <w:highlight w:val="none"/>
              </w:rPr>
            </w:pPr>
            <w:r>
              <w:rPr>
                <w:rFonts w:hint="eastAsia" w:ascii="宋体" w:hAnsi="宋体" w:eastAsia="宋体"/>
                <w:bCs/>
                <w:sz w:val="22"/>
                <w:szCs w:val="22"/>
                <w:highlight w:val="none"/>
              </w:rPr>
              <w:t>额度高</w:t>
            </w:r>
            <w:r>
              <w:rPr>
                <w:rFonts w:ascii="宋体" w:hAnsi="宋体" w:eastAsia="宋体"/>
                <w:bCs/>
                <w:sz w:val="22"/>
                <w:szCs w:val="22"/>
                <w:highlight w:val="none"/>
              </w:rPr>
              <w:t>：</w:t>
            </w:r>
            <w:r>
              <w:rPr>
                <w:rFonts w:hint="eastAsia" w:ascii="宋体" w:hAnsi="宋体" w:eastAsia="宋体"/>
                <w:bCs/>
                <w:sz w:val="22"/>
                <w:szCs w:val="22"/>
                <w:highlight w:val="none"/>
              </w:rPr>
              <w:t>最高为</w:t>
            </w:r>
            <w:r>
              <w:rPr>
                <w:rFonts w:ascii="宋体" w:hAnsi="宋体" w:eastAsia="宋体"/>
                <w:bCs/>
                <w:sz w:val="22"/>
                <w:szCs w:val="22"/>
                <w:highlight w:val="none"/>
              </w:rPr>
              <w:t>合同金额的80%</w:t>
            </w:r>
          </w:p>
        </w:tc>
        <w:tc>
          <w:tcPr>
            <w:tcW w:w="1019" w:type="dxa"/>
            <w:vAlign w:val="center"/>
          </w:tcPr>
          <w:p>
            <w:pPr>
              <w:rPr>
                <w:rFonts w:ascii="宋体" w:hAnsi="宋体" w:eastAsia="宋体"/>
                <w:bCs/>
                <w:sz w:val="22"/>
                <w:szCs w:val="22"/>
                <w:highlight w:val="none"/>
              </w:rPr>
            </w:pPr>
            <w:r>
              <w:rPr>
                <w:rFonts w:ascii="宋体" w:hAnsi="宋体" w:eastAsia="宋体"/>
                <w:bCs/>
                <w:sz w:val="22"/>
                <w:szCs w:val="22"/>
                <w:highlight w:val="none"/>
              </w:rPr>
              <w:t>叶</w:t>
            </w:r>
            <w:r>
              <w:rPr>
                <w:rFonts w:hint="eastAsia" w:ascii="宋体" w:hAnsi="宋体" w:eastAsia="宋体"/>
                <w:bCs/>
                <w:sz w:val="22"/>
                <w:szCs w:val="22"/>
                <w:highlight w:val="none"/>
              </w:rPr>
              <w:t>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0577-</w:t>
            </w:r>
            <w:r>
              <w:rPr>
                <w:rFonts w:ascii="宋体" w:hAnsi="宋体" w:eastAsia="宋体"/>
                <w:bCs/>
                <w:sz w:val="22"/>
                <w:szCs w:val="22"/>
                <w:highlight w:val="none"/>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招商银行股份有限公司温州分行</w:t>
            </w:r>
          </w:p>
        </w:tc>
        <w:tc>
          <w:tcPr>
            <w:tcW w:w="4712" w:type="dxa"/>
          </w:tcPr>
          <w:p>
            <w:pPr>
              <w:rPr>
                <w:rFonts w:ascii="宋体" w:hAnsi="宋体" w:eastAsia="宋体"/>
                <w:bCs/>
                <w:sz w:val="22"/>
                <w:szCs w:val="22"/>
                <w:highlight w:val="none"/>
              </w:rPr>
            </w:pPr>
            <w:r>
              <w:rPr>
                <w:rFonts w:hint="eastAsia" w:ascii="宋体" w:hAnsi="宋体" w:eastAsia="宋体"/>
                <w:bCs/>
                <w:sz w:val="22"/>
                <w:szCs w:val="22"/>
                <w:highlight w:val="none"/>
              </w:rPr>
              <w:t>政采贷是招商银行针对政府采购招投标中标供应商，以政府采购合同项下未来应收账款为第一还款来源的融资业务，无需抵质押物。额度最高可达2</w:t>
            </w:r>
            <w:r>
              <w:rPr>
                <w:rFonts w:ascii="宋体" w:hAnsi="宋体" w:eastAsia="宋体"/>
                <w:bCs/>
                <w:sz w:val="22"/>
                <w:szCs w:val="22"/>
                <w:highlight w:val="none"/>
              </w:rPr>
              <w:t>000</w:t>
            </w:r>
            <w:r>
              <w:rPr>
                <w:rFonts w:hint="eastAsia" w:ascii="宋体" w:hAnsi="宋体" w:eastAsia="宋体"/>
                <w:bCs/>
                <w:sz w:val="22"/>
                <w:szCs w:val="22"/>
                <w:highlight w:val="none"/>
              </w:rPr>
              <w:t>万，同时可开通自助贷款直通功能，自助贷款额度最高可达1</w:t>
            </w:r>
            <w:r>
              <w:rPr>
                <w:rFonts w:ascii="宋体" w:hAnsi="宋体" w:eastAsia="宋体"/>
                <w:bCs/>
                <w:sz w:val="22"/>
                <w:szCs w:val="22"/>
                <w:highlight w:val="none"/>
              </w:rPr>
              <w:t>000</w:t>
            </w:r>
            <w:r>
              <w:rPr>
                <w:rFonts w:hint="eastAsia" w:ascii="宋体" w:hAnsi="宋体" w:eastAsia="宋体"/>
                <w:bCs/>
                <w:sz w:val="22"/>
                <w:szCs w:val="22"/>
                <w:highlight w:val="none"/>
              </w:rPr>
              <w:t>万，支持线上申请、随借随还。</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陈经理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0577-8</w:t>
            </w:r>
            <w:r>
              <w:rPr>
                <w:rFonts w:ascii="宋体" w:hAnsi="宋体" w:eastAsia="宋体"/>
                <w:bCs/>
                <w:sz w:val="22"/>
                <w:szCs w:val="22"/>
                <w:highlight w:val="none"/>
              </w:rPr>
              <w:t>8056876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兴业银行股份有限公司温州分行</w:t>
            </w:r>
          </w:p>
        </w:tc>
        <w:tc>
          <w:tcPr>
            <w:tcW w:w="4712" w:type="dxa"/>
            <w:vAlign w:val="center"/>
          </w:tcPr>
          <w:p>
            <w:pPr>
              <w:rPr>
                <w:rFonts w:ascii="宋体" w:hAnsi="宋体" w:eastAsia="宋体" w:cs="宋体"/>
                <w:bCs/>
                <w:sz w:val="22"/>
                <w:szCs w:val="22"/>
                <w:highlight w:val="none"/>
              </w:rPr>
            </w:pPr>
            <w:r>
              <w:rPr>
                <w:rFonts w:hint="eastAsia" w:ascii="宋体" w:hAnsi="宋体" w:eastAsia="宋体" w:cs="宋体"/>
                <w:bCs/>
                <w:sz w:val="22"/>
                <w:szCs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张经理</w:t>
            </w:r>
          </w:p>
          <w:p>
            <w:pPr>
              <w:rPr>
                <w:rFonts w:ascii="宋体" w:hAnsi="宋体" w:eastAsia="宋体"/>
                <w:bCs/>
                <w:sz w:val="22"/>
                <w:szCs w:val="22"/>
                <w:highlight w:val="none"/>
              </w:rPr>
            </w:pPr>
            <w:r>
              <w:rPr>
                <w:rFonts w:hint="eastAsia" w:ascii="宋体" w:hAnsi="宋体" w:eastAsia="宋体"/>
                <w:bCs/>
                <w:sz w:val="22"/>
                <w:szCs w:val="22"/>
                <w:highlight w:val="none"/>
              </w:rPr>
              <w:t>陈经理</w:t>
            </w:r>
          </w:p>
        </w:tc>
        <w:tc>
          <w:tcPr>
            <w:tcW w:w="1725" w:type="dxa"/>
            <w:vAlign w:val="center"/>
          </w:tcPr>
          <w:p>
            <w:pPr>
              <w:spacing w:line="360" w:lineRule="auto"/>
              <w:rPr>
                <w:rFonts w:ascii="宋体" w:hAnsi="宋体" w:eastAsia="宋体"/>
                <w:bCs/>
                <w:sz w:val="22"/>
                <w:szCs w:val="22"/>
                <w:highlight w:val="none"/>
              </w:rPr>
            </w:pPr>
            <w:r>
              <w:rPr>
                <w:rFonts w:hint="eastAsia" w:ascii="宋体" w:hAnsi="宋体" w:eastAsia="宋体"/>
                <w:bCs/>
                <w:sz w:val="22"/>
                <w:szCs w:val="22"/>
                <w:highlight w:val="none"/>
              </w:rPr>
              <w:t>0577-</w:t>
            </w:r>
            <w:r>
              <w:rPr>
                <w:rFonts w:ascii="宋体" w:hAnsi="宋体" w:eastAsia="宋体"/>
                <w:bCs/>
                <w:sz w:val="22"/>
                <w:szCs w:val="22"/>
                <w:highlight w:val="none"/>
              </w:rPr>
              <w:t>88369368</w:t>
            </w:r>
            <w:r>
              <w:rPr>
                <w:rFonts w:hint="eastAsia" w:ascii="宋体" w:hAnsi="宋体" w:eastAsia="宋体"/>
                <w:bCs/>
                <w:sz w:val="22"/>
                <w:szCs w:val="22"/>
                <w:highlight w:val="none"/>
              </w:rPr>
              <w:t>/13857713118</w:t>
            </w:r>
          </w:p>
          <w:p>
            <w:pPr>
              <w:spacing w:line="360" w:lineRule="auto"/>
              <w:rPr>
                <w:rFonts w:ascii="宋体" w:hAnsi="宋体" w:eastAsia="宋体"/>
                <w:bCs/>
                <w:sz w:val="22"/>
                <w:szCs w:val="22"/>
                <w:highlight w:val="none"/>
              </w:rPr>
            </w:pPr>
            <w:r>
              <w:rPr>
                <w:rFonts w:hint="eastAsia" w:ascii="宋体" w:hAnsi="宋体" w:eastAsia="宋体"/>
                <w:bCs/>
                <w:sz w:val="22"/>
                <w:szCs w:val="22"/>
                <w:highlight w:val="none"/>
              </w:rPr>
              <w:t>0577-56969696-1146506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温州银行股份有限公司温州分行</w:t>
            </w:r>
          </w:p>
        </w:tc>
        <w:tc>
          <w:tcPr>
            <w:tcW w:w="4712" w:type="dxa"/>
          </w:tcPr>
          <w:p>
            <w:pPr>
              <w:rPr>
                <w:rFonts w:ascii="宋体" w:hAnsi="宋体" w:eastAsia="宋体" w:cs="宋体"/>
                <w:bCs/>
                <w:sz w:val="22"/>
                <w:szCs w:val="22"/>
                <w:highlight w:val="none"/>
              </w:rPr>
            </w:pPr>
            <w:r>
              <w:rPr>
                <w:rFonts w:hint="eastAsia" w:ascii="宋体" w:hAnsi="宋体" w:eastAsia="宋体" w:cs="宋体"/>
                <w:bCs/>
                <w:sz w:val="22"/>
                <w:szCs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9" w:type="dxa"/>
            <w:vAlign w:val="center"/>
          </w:tcPr>
          <w:p>
            <w:pPr>
              <w:rPr>
                <w:rFonts w:ascii="宋体" w:hAnsi="宋体" w:eastAsia="宋体" w:cs="宋体"/>
                <w:bCs/>
                <w:sz w:val="22"/>
                <w:szCs w:val="22"/>
                <w:highlight w:val="none"/>
              </w:rPr>
            </w:pPr>
            <w:r>
              <w:rPr>
                <w:rFonts w:hint="eastAsia" w:ascii="宋体" w:hAnsi="宋体" w:eastAsia="宋体" w:cs="宋体"/>
                <w:bCs/>
                <w:sz w:val="22"/>
                <w:szCs w:val="22"/>
                <w:highlight w:val="none"/>
              </w:rPr>
              <w:t>陈经理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温州银行股份有限公司鹿城分行</w:t>
            </w:r>
          </w:p>
        </w:tc>
        <w:tc>
          <w:tcPr>
            <w:tcW w:w="4712" w:type="dxa"/>
          </w:tcPr>
          <w:p>
            <w:pPr>
              <w:rPr>
                <w:rFonts w:ascii="宋体" w:hAnsi="宋体" w:eastAsia="宋体"/>
                <w:bCs/>
                <w:sz w:val="22"/>
                <w:szCs w:val="22"/>
                <w:highlight w:val="none"/>
              </w:rPr>
            </w:pPr>
            <w:r>
              <w:rPr>
                <w:rFonts w:hint="eastAsia" w:ascii="宋体" w:hAnsi="宋体" w:eastAsia="宋体"/>
                <w:bCs/>
                <w:sz w:val="22"/>
                <w:szCs w:val="22"/>
                <w:highlight w:val="none"/>
              </w:rPr>
              <w:t>政采</w:t>
            </w:r>
            <w:r>
              <w:rPr>
                <w:rFonts w:ascii="宋体" w:hAnsi="宋体" w:eastAsia="宋体"/>
                <w:bCs/>
                <w:sz w:val="22"/>
                <w:szCs w:val="22"/>
                <w:highlight w:val="none"/>
              </w:rPr>
              <w:t>订单贷：</w:t>
            </w:r>
            <w:r>
              <w:rPr>
                <w:rFonts w:hint="eastAsia" w:ascii="宋体" w:hAnsi="宋体" w:eastAsia="宋体"/>
                <w:bCs/>
                <w:sz w:val="22"/>
                <w:szCs w:val="22"/>
                <w:highlight w:val="none"/>
              </w:rPr>
              <w:t>1、面向政府采购项目供应商，满足供应商资金周转需求，凭中标通知书即可申请，2、秒知额高，最高可贷500万元，单笔业务金额可贷中标金额的80%，</w:t>
            </w:r>
          </w:p>
          <w:p>
            <w:pPr>
              <w:ind w:left="5"/>
              <w:rPr>
                <w:rFonts w:ascii="宋体" w:hAnsi="宋体" w:eastAsia="宋体"/>
                <w:bCs/>
                <w:sz w:val="22"/>
                <w:szCs w:val="22"/>
                <w:highlight w:val="none"/>
              </w:rPr>
            </w:pPr>
            <w:r>
              <w:rPr>
                <w:rFonts w:hint="eastAsia" w:ascii="宋体" w:hAnsi="宋体" w:eastAsia="宋体"/>
                <w:bCs/>
                <w:sz w:val="22"/>
                <w:szCs w:val="22"/>
                <w:highlight w:val="none"/>
              </w:rPr>
              <w:t>最长期限可贷1年。信保贷：1、额度最高可达500万元</w:t>
            </w:r>
          </w:p>
          <w:p>
            <w:pPr>
              <w:rPr>
                <w:rFonts w:ascii="宋体" w:hAnsi="宋体" w:eastAsia="宋体"/>
                <w:bCs/>
                <w:sz w:val="22"/>
                <w:szCs w:val="22"/>
                <w:highlight w:val="none"/>
              </w:rPr>
            </w:pPr>
            <w:r>
              <w:rPr>
                <w:rFonts w:hint="eastAsia" w:ascii="宋体" w:hAnsi="宋体" w:eastAsia="宋体"/>
                <w:bCs/>
                <w:sz w:val="22"/>
                <w:szCs w:val="22"/>
                <w:highlight w:val="none"/>
              </w:rPr>
              <w:t>2、担保灵活，信用贷款3、贷款年利率至少可享受本单位一般性中小企业信用贷款利率基础上下浮10%</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戴经理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交通银行股份有限公司温州分行</w:t>
            </w:r>
          </w:p>
        </w:tc>
        <w:tc>
          <w:tcPr>
            <w:tcW w:w="4712" w:type="dxa"/>
          </w:tcPr>
          <w:p>
            <w:pPr>
              <w:autoSpaceDE w:val="0"/>
              <w:autoSpaceDN w:val="0"/>
              <w:adjustRightInd w:val="0"/>
              <w:jc w:val="left"/>
              <w:rPr>
                <w:rFonts w:ascii="宋体" w:hAnsi="宋体" w:eastAsia="宋体" w:cs="宋体"/>
                <w:bCs/>
                <w:sz w:val="22"/>
                <w:szCs w:val="22"/>
                <w:highlight w:val="none"/>
              </w:rPr>
            </w:pPr>
            <w:r>
              <w:rPr>
                <w:rFonts w:hint="eastAsia" w:ascii="宋体" w:hAnsi="宋体" w:eastAsia="宋体" w:cs="宋体"/>
                <w:bCs/>
                <w:sz w:val="22"/>
                <w:szCs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9"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缪经理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84" w:type="dxa"/>
            <w:vAlign w:val="center"/>
          </w:tcPr>
          <w:p>
            <w:pPr>
              <w:spacing w:line="360" w:lineRule="auto"/>
              <w:rPr>
                <w:rFonts w:ascii="宋体" w:hAnsi="宋体" w:eastAsia="宋体" w:cs="宋体"/>
                <w:bCs/>
                <w:sz w:val="22"/>
                <w:szCs w:val="22"/>
                <w:highlight w:val="none"/>
              </w:rPr>
            </w:pPr>
            <w:r>
              <w:rPr>
                <w:rFonts w:hint="eastAsia" w:ascii="宋体" w:hAnsi="宋体" w:eastAsia="宋体" w:cs="宋体"/>
                <w:bCs/>
                <w:sz w:val="22"/>
                <w:szCs w:val="22"/>
                <w:highlight w:val="none"/>
              </w:rPr>
              <w:t>上海浦东发展银行股份有限公司温州分行</w:t>
            </w:r>
          </w:p>
        </w:tc>
        <w:tc>
          <w:tcPr>
            <w:tcW w:w="4712" w:type="dxa"/>
          </w:tcPr>
          <w:p>
            <w:pPr>
              <w:jc w:val="left"/>
              <w:rPr>
                <w:rFonts w:ascii="宋体" w:hAnsi="宋体" w:eastAsia="宋体" w:cs="宋体"/>
                <w:bCs/>
                <w:sz w:val="22"/>
                <w:szCs w:val="22"/>
                <w:highlight w:val="none"/>
              </w:rPr>
            </w:pPr>
            <w:r>
              <w:rPr>
                <w:rFonts w:hint="eastAsia" w:ascii="宋体" w:hAnsi="宋体" w:eastAsia="宋体" w:cs="宋体"/>
                <w:bCs/>
                <w:sz w:val="22"/>
                <w:szCs w:val="22"/>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rFonts w:ascii="宋体" w:hAnsi="宋体" w:eastAsia="宋体"/>
                <w:bCs/>
                <w:sz w:val="22"/>
                <w:szCs w:val="22"/>
                <w:highlight w:val="none"/>
              </w:rPr>
            </w:pPr>
            <w:r>
              <w:rPr>
                <w:rFonts w:hint="eastAsia" w:ascii="宋体" w:hAnsi="宋体" w:eastAsia="宋体" w:cs="宋体"/>
                <w:bCs/>
                <w:sz w:val="22"/>
                <w:szCs w:val="22"/>
                <w:highlight w:val="none"/>
              </w:rPr>
              <w:t>所需材料：企业基础证件、相关中标文件（中标通知书、采购合同等）、其他必要文件</w:t>
            </w:r>
          </w:p>
        </w:tc>
        <w:tc>
          <w:tcPr>
            <w:tcW w:w="1019" w:type="dxa"/>
            <w:vAlign w:val="center"/>
          </w:tcPr>
          <w:p>
            <w:pPr>
              <w:rPr>
                <w:rFonts w:ascii="宋体" w:hAnsi="宋体" w:eastAsia="宋体" w:cs="宋体"/>
                <w:bCs/>
                <w:sz w:val="22"/>
                <w:szCs w:val="22"/>
                <w:highlight w:val="none"/>
              </w:rPr>
            </w:pPr>
            <w:r>
              <w:rPr>
                <w:rFonts w:hint="eastAsia" w:ascii="宋体" w:hAnsi="宋体" w:eastAsia="宋体" w:cs="宋体"/>
                <w:bCs/>
                <w:sz w:val="22"/>
                <w:szCs w:val="22"/>
                <w:highlight w:val="none"/>
              </w:rPr>
              <w:t>叶经理</w:t>
            </w:r>
          </w:p>
        </w:tc>
        <w:tc>
          <w:tcPr>
            <w:tcW w:w="1725" w:type="dxa"/>
            <w:vAlign w:val="center"/>
          </w:tcPr>
          <w:p>
            <w:pPr>
              <w:rPr>
                <w:rFonts w:ascii="宋体" w:hAnsi="宋体" w:eastAsia="宋体"/>
                <w:bCs/>
                <w:sz w:val="22"/>
                <w:szCs w:val="22"/>
                <w:highlight w:val="none"/>
              </w:rPr>
            </w:pPr>
            <w:r>
              <w:rPr>
                <w:rFonts w:hint="eastAsia" w:ascii="宋体" w:hAnsi="宋体" w:eastAsia="宋体"/>
                <w:bCs/>
                <w:sz w:val="22"/>
                <w:szCs w:val="22"/>
                <w:highlight w:val="none"/>
              </w:rPr>
              <w:t>0577-55570829</w:t>
            </w:r>
          </w:p>
        </w:tc>
      </w:tr>
    </w:tbl>
    <w:p>
      <w:pPr>
        <w:jc w:val="center"/>
        <w:rPr>
          <w:rFonts w:eastAsia="宋体"/>
          <w:sz w:val="36"/>
          <w:szCs w:val="36"/>
          <w:highlight w:val="none"/>
        </w:rPr>
      </w:pPr>
    </w:p>
    <w:p>
      <w:pPr>
        <w:jc w:val="center"/>
        <w:rPr>
          <w:rFonts w:eastAsia="宋体"/>
          <w:sz w:val="36"/>
          <w:szCs w:val="36"/>
          <w:highlight w:val="none"/>
        </w:rPr>
      </w:pPr>
    </w:p>
    <w:p>
      <w:pPr>
        <w:rPr>
          <w:rFonts w:eastAsia="宋体"/>
          <w:sz w:val="28"/>
          <w:szCs w:val="36"/>
          <w:highlight w:val="none"/>
        </w:rPr>
      </w:pPr>
      <w:r>
        <w:rPr>
          <w:rFonts w:hint="eastAsia" w:eastAsia="宋体"/>
          <w:sz w:val="28"/>
          <w:szCs w:val="36"/>
          <w:highlight w:val="none"/>
        </w:rPr>
        <w:br w:type="page"/>
      </w:r>
    </w:p>
    <w:p>
      <w:pPr>
        <w:jc w:val="center"/>
        <w:rPr>
          <w:rFonts w:eastAsia="宋体"/>
          <w:sz w:val="28"/>
          <w:szCs w:val="36"/>
          <w:highlight w:val="none"/>
        </w:rPr>
      </w:pPr>
      <w:r>
        <w:rPr>
          <w:rFonts w:hint="eastAsia" w:eastAsia="宋体"/>
          <w:sz w:val="28"/>
          <w:szCs w:val="36"/>
          <w:highlight w:val="none"/>
        </w:rPr>
        <w:t>温州市政府采购信用融资意向银行选择表</w:t>
      </w:r>
    </w:p>
    <w:p>
      <w:pPr>
        <w:jc w:val="center"/>
        <w:rPr>
          <w:rFonts w:eastAsia="宋体"/>
          <w:sz w:val="28"/>
          <w:szCs w:val="36"/>
          <w:highlight w:val="none"/>
        </w:rPr>
      </w:pPr>
      <w:r>
        <w:rPr>
          <w:rFonts w:hint="eastAsia" w:eastAsia="宋体"/>
          <w:sz w:val="24"/>
          <w:szCs w:val="32"/>
          <w:highlight w:val="none"/>
        </w:rPr>
        <w:t>（温州市供应商填写）</w:t>
      </w:r>
    </w:p>
    <w:tbl>
      <w:tblPr>
        <w:tblStyle w:val="29"/>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571"/>
        <w:gridCol w:w="1607"/>
        <w:gridCol w:w="965"/>
        <w:gridCol w:w="1767"/>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pPr>
              <w:spacing w:line="360" w:lineRule="auto"/>
              <w:jc w:val="center"/>
              <w:rPr>
                <w:rFonts w:ascii="宋体" w:eastAsia="宋体" w:cs="宋体"/>
                <w:sz w:val="22"/>
                <w:szCs w:val="28"/>
                <w:highlight w:val="none"/>
              </w:rPr>
            </w:pPr>
            <w:r>
              <w:rPr>
                <w:rFonts w:hint="eastAsia" w:ascii="宋体" w:eastAsia="宋体" w:cs="宋体"/>
                <w:sz w:val="22"/>
                <w:szCs w:val="28"/>
                <w:highlight w:val="none"/>
              </w:rPr>
              <w:t>企业名称</w:t>
            </w:r>
          </w:p>
        </w:tc>
        <w:tc>
          <w:tcPr>
            <w:tcW w:w="7770" w:type="dxa"/>
            <w:gridSpan w:val="5"/>
            <w:vAlign w:val="center"/>
          </w:tcPr>
          <w:p>
            <w:pPr>
              <w:spacing w:line="360" w:lineRule="auto"/>
              <w:jc w:val="center"/>
              <w:rPr>
                <w:rFonts w:ascii="宋体" w:eastAsia="宋体" w:cs="宋体"/>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pPr>
              <w:spacing w:line="360" w:lineRule="auto"/>
              <w:jc w:val="center"/>
              <w:rPr>
                <w:rFonts w:ascii="宋体" w:eastAsia="宋体" w:cs="宋体"/>
                <w:sz w:val="22"/>
                <w:szCs w:val="28"/>
                <w:highlight w:val="none"/>
              </w:rPr>
            </w:pPr>
            <w:r>
              <w:rPr>
                <w:rFonts w:hint="eastAsia" w:ascii="宋体" w:eastAsia="宋体" w:cs="宋体"/>
                <w:sz w:val="22"/>
                <w:szCs w:val="28"/>
                <w:highlight w:val="none"/>
              </w:rPr>
              <w:t>企业注册地</w:t>
            </w:r>
          </w:p>
        </w:tc>
        <w:tc>
          <w:tcPr>
            <w:tcW w:w="4178" w:type="dxa"/>
            <w:gridSpan w:val="2"/>
            <w:vAlign w:val="center"/>
          </w:tcPr>
          <w:p>
            <w:pPr>
              <w:spacing w:line="360" w:lineRule="auto"/>
              <w:jc w:val="center"/>
              <w:rPr>
                <w:rFonts w:ascii="宋体" w:eastAsia="宋体" w:cs="宋体"/>
                <w:sz w:val="22"/>
                <w:szCs w:val="28"/>
                <w:highlight w:val="none"/>
              </w:rPr>
            </w:pPr>
          </w:p>
        </w:tc>
        <w:tc>
          <w:tcPr>
            <w:tcW w:w="2732" w:type="dxa"/>
            <w:gridSpan w:val="2"/>
            <w:vAlign w:val="center"/>
          </w:tcPr>
          <w:p>
            <w:pPr>
              <w:spacing w:line="360" w:lineRule="auto"/>
              <w:jc w:val="center"/>
              <w:rPr>
                <w:rFonts w:ascii="宋体" w:eastAsia="宋体" w:cs="宋体"/>
                <w:sz w:val="22"/>
                <w:szCs w:val="28"/>
                <w:highlight w:val="none"/>
              </w:rPr>
            </w:pPr>
            <w:r>
              <w:rPr>
                <w:rFonts w:hint="eastAsia" w:ascii="宋体" w:eastAsia="宋体" w:cs="宋体"/>
                <w:sz w:val="22"/>
                <w:szCs w:val="28"/>
                <w:highlight w:val="none"/>
              </w:rPr>
              <w:t>是否有融资意向</w:t>
            </w:r>
          </w:p>
        </w:tc>
        <w:tc>
          <w:tcPr>
            <w:tcW w:w="860" w:type="dxa"/>
            <w:vAlign w:val="center"/>
          </w:tcPr>
          <w:p>
            <w:pPr>
              <w:spacing w:line="360" w:lineRule="auto"/>
              <w:jc w:val="center"/>
              <w:rPr>
                <w:rFonts w:ascii="宋体" w:eastAsia="宋体" w:cs="宋体"/>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91" w:type="dxa"/>
            <w:vAlign w:val="center"/>
          </w:tcPr>
          <w:p>
            <w:pPr>
              <w:spacing w:line="360" w:lineRule="auto"/>
              <w:jc w:val="center"/>
              <w:rPr>
                <w:rFonts w:ascii="宋体" w:eastAsia="宋体" w:cs="宋体"/>
                <w:sz w:val="22"/>
                <w:szCs w:val="28"/>
                <w:highlight w:val="none"/>
              </w:rPr>
            </w:pPr>
            <w:r>
              <w:rPr>
                <w:rFonts w:hint="eastAsia" w:ascii="宋体" w:eastAsia="宋体" w:cs="宋体"/>
                <w:sz w:val="22"/>
                <w:szCs w:val="28"/>
                <w:highlight w:val="none"/>
              </w:rPr>
              <w:t>融资联系人</w:t>
            </w:r>
          </w:p>
        </w:tc>
        <w:tc>
          <w:tcPr>
            <w:tcW w:w="2571" w:type="dxa"/>
            <w:vAlign w:val="center"/>
          </w:tcPr>
          <w:p>
            <w:pPr>
              <w:spacing w:line="360" w:lineRule="auto"/>
              <w:jc w:val="center"/>
              <w:rPr>
                <w:rFonts w:ascii="宋体" w:eastAsia="宋体" w:cs="宋体"/>
                <w:sz w:val="22"/>
                <w:szCs w:val="28"/>
                <w:highlight w:val="none"/>
              </w:rPr>
            </w:pPr>
          </w:p>
        </w:tc>
        <w:tc>
          <w:tcPr>
            <w:tcW w:w="2571" w:type="dxa"/>
            <w:gridSpan w:val="2"/>
            <w:vAlign w:val="center"/>
          </w:tcPr>
          <w:p>
            <w:pPr>
              <w:spacing w:line="360" w:lineRule="auto"/>
              <w:jc w:val="center"/>
              <w:rPr>
                <w:rFonts w:ascii="宋体" w:eastAsia="宋体" w:cs="宋体"/>
                <w:sz w:val="22"/>
                <w:szCs w:val="28"/>
                <w:highlight w:val="none"/>
              </w:rPr>
            </w:pPr>
            <w:r>
              <w:rPr>
                <w:rFonts w:hint="eastAsia" w:ascii="宋体" w:eastAsia="宋体" w:cs="宋体"/>
                <w:sz w:val="22"/>
                <w:szCs w:val="28"/>
                <w:highlight w:val="none"/>
              </w:rPr>
              <w:t>联系方式</w:t>
            </w:r>
          </w:p>
        </w:tc>
        <w:tc>
          <w:tcPr>
            <w:tcW w:w="2628" w:type="dxa"/>
            <w:gridSpan w:val="2"/>
            <w:vAlign w:val="center"/>
          </w:tcPr>
          <w:p>
            <w:pPr>
              <w:spacing w:line="360" w:lineRule="auto"/>
              <w:jc w:val="center"/>
              <w:rPr>
                <w:rFonts w:ascii="宋体" w:eastAsia="宋体" w:cs="宋体"/>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4" w:type="dxa"/>
            <w:gridSpan w:val="4"/>
            <w:vAlign w:val="center"/>
          </w:tcPr>
          <w:p>
            <w:pPr>
              <w:spacing w:line="360" w:lineRule="auto"/>
              <w:jc w:val="center"/>
              <w:rPr>
                <w:rFonts w:ascii="宋体" w:eastAsia="宋体" w:cs="宋体"/>
                <w:sz w:val="24"/>
                <w:szCs w:val="30"/>
                <w:highlight w:val="none"/>
              </w:rPr>
            </w:pPr>
            <w:r>
              <w:rPr>
                <w:rFonts w:hint="eastAsia" w:ascii="宋体" w:eastAsia="宋体" w:cs="宋体"/>
                <w:sz w:val="24"/>
                <w:szCs w:val="30"/>
                <w:highlight w:val="none"/>
              </w:rPr>
              <w:t>温州市政府采购信用融资合作银行</w:t>
            </w:r>
          </w:p>
        </w:tc>
        <w:tc>
          <w:tcPr>
            <w:tcW w:w="2628" w:type="dxa"/>
            <w:gridSpan w:val="2"/>
          </w:tcPr>
          <w:p>
            <w:pPr>
              <w:spacing w:line="360" w:lineRule="auto"/>
              <w:jc w:val="center"/>
              <w:rPr>
                <w:rFonts w:ascii="宋体" w:eastAsia="宋体" w:cs="宋体"/>
                <w:sz w:val="24"/>
                <w:szCs w:val="30"/>
                <w:highlight w:val="none"/>
              </w:rPr>
            </w:pPr>
            <w:r>
              <w:rPr>
                <w:rFonts w:hint="eastAsia" w:ascii="宋体" w:eastAsia="宋体" w:cs="宋体"/>
                <w:sz w:val="24"/>
                <w:szCs w:val="30"/>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温州银行股份有限公司温州分行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温州银行股份有限公司鹿城分行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中国工商银行股份有限公司温州分行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中国建设银行股份有限公司温州分行</w:t>
            </w:r>
          </w:p>
        </w:tc>
        <w:tc>
          <w:tcPr>
            <w:tcW w:w="2628" w:type="dxa"/>
            <w:gridSpan w:val="2"/>
          </w:tcPr>
          <w:p>
            <w:pPr>
              <w:spacing w:line="360" w:lineRule="auto"/>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中国邮政储蓄银行股份有限公司温州市分行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中国民生银行股份有限公司温州分行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宁波银行股份有限公司温州分行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杭州银行股份有限公司温州分行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招商银行股份有限公司温州分行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兴业银行股份有限公司温州分行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交通银行股份有限公司温州分行</w:t>
            </w:r>
          </w:p>
        </w:tc>
        <w:tc>
          <w:tcPr>
            <w:tcW w:w="2628" w:type="dxa"/>
            <w:gridSpan w:val="2"/>
          </w:tcPr>
          <w:p>
            <w:pPr>
              <w:spacing w:line="360" w:lineRule="auto"/>
              <w:jc w:val="left"/>
              <w:rPr>
                <w:rFonts w:ascii="宋体" w:eastAsia="宋体" w:cs="宋体"/>
                <w:sz w:val="24"/>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pPr>
              <w:spacing w:line="360" w:lineRule="auto"/>
              <w:rPr>
                <w:rFonts w:ascii="宋体" w:eastAsia="宋体" w:cs="宋体"/>
                <w:sz w:val="24"/>
                <w:szCs w:val="30"/>
                <w:highlight w:val="none"/>
              </w:rPr>
            </w:pPr>
            <w:r>
              <w:rPr>
                <w:rFonts w:hint="eastAsia" w:ascii="宋体" w:eastAsia="宋体" w:cs="宋体"/>
                <w:sz w:val="24"/>
                <w:szCs w:val="30"/>
                <w:highlight w:val="none"/>
              </w:rPr>
              <w:t>上海浦东发展银行股份有限公司温州分行</w:t>
            </w:r>
          </w:p>
        </w:tc>
        <w:tc>
          <w:tcPr>
            <w:tcW w:w="2628" w:type="dxa"/>
            <w:gridSpan w:val="2"/>
          </w:tcPr>
          <w:p>
            <w:pPr>
              <w:spacing w:line="360" w:lineRule="auto"/>
              <w:jc w:val="left"/>
              <w:rPr>
                <w:rFonts w:ascii="宋体" w:eastAsia="宋体" w:cs="宋体"/>
                <w:sz w:val="24"/>
                <w:szCs w:val="30"/>
                <w:highlight w:val="none"/>
              </w:rPr>
            </w:pPr>
          </w:p>
        </w:tc>
      </w:tr>
    </w:tbl>
    <w:p>
      <w:pPr>
        <w:spacing w:line="276" w:lineRule="auto"/>
        <w:rPr>
          <w:rFonts w:ascii="宋体" w:eastAsia="宋体"/>
          <w:highlight w:val="none"/>
        </w:rPr>
      </w:pPr>
      <w:r>
        <w:rPr>
          <w:rFonts w:hint="eastAsia" w:ascii="宋体" w:eastAsia="宋体"/>
          <w:highlight w:val="none"/>
        </w:rPr>
        <w:t>注：1、本表填写对象为注册地在温州市域内的供应商。</w:t>
      </w:r>
    </w:p>
    <w:p>
      <w:pPr>
        <w:pStyle w:val="12"/>
        <w:rPr>
          <w:rFonts w:ascii="宋体"/>
          <w:b/>
          <w:sz w:val="22"/>
          <w:highlight w:val="none"/>
        </w:rPr>
      </w:pPr>
      <w:r>
        <w:rPr>
          <w:rFonts w:hint="eastAsia" w:ascii="宋体"/>
          <w:highlight w:val="none"/>
        </w:rPr>
        <w:t>2、财政部门根据企业自行选择，将本表及企业相关信息推送至相对应的融资意向银行经办人。</w:t>
      </w:r>
    </w:p>
    <w:p>
      <w:pPr>
        <w:rPr>
          <w:rFonts w:ascii="宋体"/>
          <w:sz w:val="36"/>
          <w:szCs w:val="36"/>
          <w:highlight w:val="none"/>
          <w:lang w:val="zh-CN"/>
        </w:rPr>
      </w:pPr>
      <w:r>
        <w:rPr>
          <w:rFonts w:hint="eastAsia" w:ascii="宋体"/>
          <w:sz w:val="36"/>
          <w:szCs w:val="36"/>
          <w:highlight w:val="none"/>
          <w:lang w:val="zh-CN"/>
        </w:rPr>
        <w:br w:type="page"/>
      </w:r>
    </w:p>
    <w:p>
      <w:pPr>
        <w:pStyle w:val="26"/>
        <w:spacing w:line="400" w:lineRule="exact"/>
        <w:ind w:firstLine="210"/>
        <w:rPr>
          <w:rFonts w:ascii="宋体" w:hAnsi="Times New Roman"/>
          <w:kern w:val="2"/>
          <w:sz w:val="36"/>
          <w:szCs w:val="36"/>
          <w:highlight w:val="none"/>
        </w:rPr>
      </w:pPr>
      <w:r>
        <w:rPr>
          <w:rFonts w:hint="eastAsia" w:ascii="宋体" w:hAnsi="Times New Roman"/>
          <w:kern w:val="2"/>
          <w:sz w:val="36"/>
          <w:szCs w:val="36"/>
          <w:highlight w:val="none"/>
          <w:lang w:val="zh-CN"/>
        </w:rPr>
        <w:t xml:space="preserve">第五部分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hint="eastAsia" w:ascii="宋体" w:hAnsi="Times New Roman"/>
          <w:kern w:val="2"/>
          <w:sz w:val="36"/>
          <w:szCs w:val="36"/>
          <w:highlight w:val="none"/>
        </w:rPr>
        <w:t>合同格式（参考格式）</w:t>
      </w:r>
    </w:p>
    <w:p>
      <w:pPr>
        <w:spacing w:line="360" w:lineRule="atLeast"/>
        <w:rPr>
          <w:rFonts w:ascii="宋体"/>
          <w:sz w:val="24"/>
          <w:highlight w:val="none"/>
        </w:rPr>
      </w:pPr>
      <w:bookmarkStart w:id="56" w:name="_Hlk519085278"/>
      <w:r>
        <w:rPr>
          <w:rFonts w:hint="eastAsia" w:ascii="宋体" w:hAnsi="宋体"/>
          <w:sz w:val="24"/>
          <w:highlight w:val="none"/>
        </w:rPr>
        <w:t>采购单位：泰顺县交通运输管理中心</w:t>
      </w:r>
      <w:r>
        <w:rPr>
          <w:rFonts w:hint="eastAsia" w:ascii="宋体"/>
          <w:sz w:val="24"/>
          <w:highlight w:val="none"/>
        </w:rPr>
        <w:t xml:space="preserve">          </w:t>
      </w:r>
      <w:r>
        <w:rPr>
          <w:rFonts w:hint="eastAsia" w:ascii="宋体" w:hAnsi="宋体"/>
          <w:sz w:val="24"/>
          <w:highlight w:val="none"/>
        </w:rPr>
        <w:t>（以下简称甲方）</w:t>
      </w:r>
    </w:p>
    <w:p>
      <w:pPr>
        <w:spacing w:line="360" w:lineRule="atLeast"/>
        <w:rPr>
          <w:rFonts w:ascii="宋体"/>
          <w:sz w:val="24"/>
          <w:highlight w:val="none"/>
        </w:rPr>
      </w:pPr>
      <w:r>
        <w:rPr>
          <w:rFonts w:hint="eastAsia" w:ascii="宋体" w:hAnsi="宋体"/>
          <w:sz w:val="24"/>
          <w:highlight w:val="none"/>
        </w:rPr>
        <w:t>中标供应商：</w:t>
      </w:r>
      <w:r>
        <w:rPr>
          <w:rFonts w:hint="eastAsia" w:ascii="宋体"/>
          <w:sz w:val="24"/>
          <w:highlight w:val="none"/>
        </w:rPr>
        <w:t xml:space="preserve">                       </w:t>
      </w:r>
      <w:r>
        <w:rPr>
          <w:rFonts w:hint="eastAsia" w:ascii="宋体"/>
          <w:sz w:val="24"/>
          <w:highlight w:val="none"/>
          <w:lang w:val="en-US" w:eastAsia="zh-CN"/>
        </w:rPr>
        <w:t xml:space="preserve">      </w:t>
      </w:r>
      <w:r>
        <w:rPr>
          <w:rFonts w:hint="eastAsia" w:ascii="宋体"/>
          <w:sz w:val="24"/>
          <w:highlight w:val="none"/>
        </w:rPr>
        <w:t xml:space="preserve"> </w:t>
      </w:r>
      <w:r>
        <w:rPr>
          <w:rFonts w:hint="eastAsia" w:ascii="宋体" w:hAnsi="宋体"/>
          <w:sz w:val="24"/>
          <w:highlight w:val="none"/>
        </w:rPr>
        <w:t>（以下简称乙方）</w:t>
      </w:r>
    </w:p>
    <w:p>
      <w:pPr>
        <w:pStyle w:val="16"/>
        <w:snapToGrid w:val="0"/>
        <w:spacing w:line="440" w:lineRule="atLeast"/>
        <w:ind w:firstLine="482"/>
        <w:rPr>
          <w:rFonts w:hAnsi="宋体"/>
          <w:sz w:val="22"/>
          <w:szCs w:val="22"/>
          <w:highlight w:val="none"/>
        </w:rPr>
      </w:pPr>
      <w:r>
        <w:rPr>
          <w:rFonts w:hint="eastAsia" w:hAnsi="宋体"/>
          <w:sz w:val="22"/>
          <w:szCs w:val="22"/>
          <w:highlight w:val="none"/>
        </w:rPr>
        <w:t>根据《农村公路路况及桥梁自动化检测》中标通知书，甲方将农村公路路况及桥梁自动化检测承包给乙方，为了明确甲、乙双方的权利和义务，履行各自的职责，高效优质地完成工作任务，按照有关规定，经甲乙双方在平等、自愿的基础上共同协商一致，现签订合同。</w:t>
      </w:r>
    </w:p>
    <w:p>
      <w:pPr>
        <w:pStyle w:val="16"/>
        <w:snapToGrid w:val="0"/>
        <w:spacing w:line="440" w:lineRule="atLeast"/>
        <w:ind w:firstLine="442" w:firstLineChars="200"/>
        <w:rPr>
          <w:rFonts w:hAnsi="宋体"/>
          <w:b/>
          <w:bCs/>
          <w:sz w:val="22"/>
          <w:szCs w:val="22"/>
          <w:highlight w:val="none"/>
        </w:rPr>
      </w:pPr>
      <w:r>
        <w:rPr>
          <w:rFonts w:hint="eastAsia" w:hAnsi="宋体"/>
          <w:b/>
          <w:bCs/>
          <w:sz w:val="22"/>
          <w:szCs w:val="22"/>
          <w:highlight w:val="none"/>
        </w:rPr>
        <w:t>第一条  项目名称</w:t>
      </w:r>
    </w:p>
    <w:p>
      <w:pPr>
        <w:pStyle w:val="16"/>
        <w:snapToGrid w:val="0"/>
        <w:spacing w:line="454" w:lineRule="atLeast"/>
        <w:ind w:firstLine="440" w:firstLineChars="200"/>
        <w:rPr>
          <w:rFonts w:hAnsi="宋体"/>
          <w:sz w:val="22"/>
          <w:szCs w:val="22"/>
          <w:highlight w:val="none"/>
        </w:rPr>
      </w:pPr>
      <w:r>
        <w:rPr>
          <w:rFonts w:hint="eastAsia" w:hAnsi="宋体"/>
          <w:sz w:val="22"/>
          <w:szCs w:val="22"/>
          <w:highlight w:val="none"/>
        </w:rPr>
        <w:t>农村公路路况及桥梁自动化检测</w:t>
      </w:r>
    </w:p>
    <w:p>
      <w:pPr>
        <w:pStyle w:val="16"/>
        <w:snapToGrid w:val="0"/>
        <w:spacing w:line="454" w:lineRule="atLeast"/>
        <w:ind w:firstLine="442" w:firstLineChars="200"/>
        <w:rPr>
          <w:rFonts w:hAnsi="宋体"/>
          <w:b/>
          <w:bCs/>
          <w:sz w:val="22"/>
          <w:szCs w:val="22"/>
          <w:highlight w:val="none"/>
        </w:rPr>
      </w:pPr>
      <w:r>
        <w:rPr>
          <w:rFonts w:hint="eastAsia" w:hAnsi="宋体"/>
          <w:b/>
          <w:bCs/>
          <w:sz w:val="22"/>
          <w:szCs w:val="22"/>
          <w:highlight w:val="none"/>
        </w:rPr>
        <w:t>第二条  采购要求</w:t>
      </w:r>
    </w:p>
    <w:p>
      <w:pPr>
        <w:pStyle w:val="16"/>
        <w:snapToGrid w:val="0"/>
        <w:spacing w:line="454" w:lineRule="atLeast"/>
        <w:ind w:firstLine="440" w:firstLineChars="200"/>
        <w:rPr>
          <w:rFonts w:hAnsi="宋体"/>
          <w:sz w:val="22"/>
          <w:szCs w:val="22"/>
          <w:highlight w:val="none"/>
        </w:rPr>
      </w:pPr>
      <w:r>
        <w:rPr>
          <w:rFonts w:hint="eastAsia" w:hAnsi="宋体"/>
          <w:sz w:val="22"/>
          <w:szCs w:val="22"/>
          <w:highlight w:val="none"/>
        </w:rPr>
        <w:t>根据招标文件要求</w:t>
      </w:r>
    </w:p>
    <w:p>
      <w:pPr>
        <w:pStyle w:val="16"/>
        <w:snapToGrid w:val="0"/>
        <w:spacing w:line="454" w:lineRule="atLeast"/>
        <w:ind w:firstLine="442" w:firstLineChars="200"/>
        <w:rPr>
          <w:rFonts w:hAnsi="宋体"/>
          <w:b/>
          <w:bCs/>
          <w:sz w:val="22"/>
          <w:szCs w:val="22"/>
          <w:highlight w:val="none"/>
        </w:rPr>
      </w:pPr>
      <w:r>
        <w:rPr>
          <w:rFonts w:hint="eastAsia" w:hAnsi="宋体"/>
          <w:b/>
          <w:bCs/>
          <w:sz w:val="22"/>
          <w:szCs w:val="22"/>
          <w:highlight w:val="none"/>
        </w:rPr>
        <w:t>第三条  质量标准和要求</w:t>
      </w:r>
    </w:p>
    <w:p>
      <w:pPr>
        <w:snapToGrid w:val="0"/>
        <w:spacing w:line="454" w:lineRule="atLeast"/>
        <w:ind w:firstLine="420"/>
        <w:rPr>
          <w:rFonts w:ascii="宋体" w:hAnsi="宋体"/>
          <w:sz w:val="22"/>
          <w:szCs w:val="22"/>
          <w:highlight w:val="none"/>
        </w:rPr>
      </w:pPr>
      <w:r>
        <w:rPr>
          <w:rFonts w:hint="eastAsia" w:ascii="宋体" w:hAnsi="宋体"/>
          <w:sz w:val="22"/>
          <w:szCs w:val="22"/>
          <w:highlight w:val="none"/>
        </w:rPr>
        <w:t xml:space="preserve"> </w:t>
      </w:r>
      <w:r>
        <w:rPr>
          <w:rFonts w:hint="eastAsia" w:hAnsi="宋体"/>
          <w:sz w:val="22"/>
          <w:szCs w:val="22"/>
          <w:highlight w:val="none"/>
        </w:rPr>
        <w:t>乙方</w:t>
      </w:r>
      <w:r>
        <w:rPr>
          <w:rFonts w:hint="eastAsia" w:ascii="宋体" w:hAnsi="宋体"/>
          <w:sz w:val="22"/>
          <w:szCs w:val="22"/>
          <w:highlight w:val="none"/>
        </w:rPr>
        <w:t>保证本合同中所供应的服务标准按照国家法律法规、行业标准及竞争性磋商文件要求。</w:t>
      </w:r>
    </w:p>
    <w:p>
      <w:pPr>
        <w:snapToGrid w:val="0"/>
        <w:spacing w:line="454" w:lineRule="atLeast"/>
        <w:ind w:firstLine="442" w:firstLineChars="200"/>
        <w:rPr>
          <w:rFonts w:ascii="宋体" w:hAnsi="宋体"/>
          <w:b/>
          <w:bCs/>
          <w:sz w:val="22"/>
          <w:szCs w:val="22"/>
          <w:highlight w:val="none"/>
        </w:rPr>
      </w:pPr>
      <w:r>
        <w:rPr>
          <w:rFonts w:hint="eastAsia" w:hAnsi="宋体"/>
          <w:b/>
          <w:bCs/>
          <w:sz w:val="22"/>
          <w:szCs w:val="22"/>
          <w:highlight w:val="none"/>
        </w:rPr>
        <w:t xml:space="preserve">第四条  </w:t>
      </w:r>
      <w:r>
        <w:rPr>
          <w:rFonts w:hint="eastAsia" w:ascii="宋体" w:hAnsi="宋体"/>
          <w:b/>
          <w:bCs/>
          <w:sz w:val="22"/>
          <w:szCs w:val="22"/>
          <w:highlight w:val="none"/>
        </w:rPr>
        <w:t>工期要求</w:t>
      </w:r>
    </w:p>
    <w:p>
      <w:pPr>
        <w:spacing w:line="360" w:lineRule="auto"/>
        <w:ind w:firstLine="495" w:firstLineChars="225"/>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2024年10月份前完成业主方提供当年度检测内容，2024年11月份前完成检测报告编制并送审。</w:t>
      </w:r>
    </w:p>
    <w:p>
      <w:pPr>
        <w:pStyle w:val="16"/>
        <w:numPr>
          <w:ilvl w:val="0"/>
          <w:numId w:val="11"/>
        </w:numPr>
        <w:snapToGrid w:val="0"/>
        <w:spacing w:line="440" w:lineRule="atLeast"/>
        <w:ind w:left="-62" w:leftChars="0" w:firstLine="482" w:firstLineChars="0"/>
        <w:rPr>
          <w:rFonts w:hAnsi="宋体" w:cs="仿宋_GB2312"/>
          <w:b/>
          <w:bCs/>
          <w:sz w:val="22"/>
          <w:szCs w:val="22"/>
          <w:highlight w:val="none"/>
        </w:rPr>
      </w:pPr>
      <w:r>
        <w:rPr>
          <w:rFonts w:hint="eastAsia" w:hAnsi="宋体" w:cs="仿宋_GB2312"/>
          <w:b/>
          <w:bCs/>
          <w:sz w:val="22"/>
          <w:szCs w:val="22"/>
          <w:highlight w:val="none"/>
        </w:rPr>
        <w:t>验收</w:t>
      </w:r>
    </w:p>
    <w:p>
      <w:pPr>
        <w:adjustRightInd w:val="0"/>
        <w:spacing w:line="400" w:lineRule="atLeast"/>
        <w:ind w:firstLine="440" w:firstLineChars="200"/>
        <w:rPr>
          <w:rFonts w:ascii="宋体"/>
          <w:sz w:val="22"/>
          <w:highlight w:val="none"/>
        </w:rPr>
      </w:pPr>
      <w:r>
        <w:rPr>
          <w:rFonts w:hint="eastAsia" w:ascii="宋体"/>
          <w:sz w:val="22"/>
          <w:highlight w:val="none"/>
        </w:rPr>
        <w:t>1、由甲方负责进行验收。</w:t>
      </w:r>
    </w:p>
    <w:p>
      <w:pPr>
        <w:adjustRightInd w:val="0"/>
        <w:spacing w:line="400" w:lineRule="atLeast"/>
        <w:ind w:firstLine="440" w:firstLineChars="200"/>
        <w:rPr>
          <w:rFonts w:ascii="宋体"/>
          <w:sz w:val="22"/>
          <w:highlight w:val="none"/>
        </w:rPr>
      </w:pPr>
      <w:r>
        <w:rPr>
          <w:rFonts w:hint="eastAsia" w:ascii="宋体"/>
          <w:sz w:val="22"/>
          <w:highlight w:val="none"/>
        </w:rPr>
        <w:t>2、甲方在乙方出具的成果后对服务进行检查验收，如果发现成果数量不足或有质量、技术等问题，乙方应负责根据合同及甲方的要求采取补足或更换等处理措施，并承担由此发生的一切损失和费用。</w:t>
      </w:r>
    </w:p>
    <w:p>
      <w:pPr>
        <w:adjustRightInd w:val="0"/>
        <w:spacing w:line="400" w:lineRule="atLeast"/>
        <w:ind w:firstLine="440" w:firstLineChars="200"/>
        <w:rPr>
          <w:rFonts w:ascii="宋体"/>
          <w:sz w:val="22"/>
          <w:highlight w:val="none"/>
        </w:rPr>
      </w:pPr>
      <w:r>
        <w:rPr>
          <w:rFonts w:hint="eastAsia" w:ascii="宋体"/>
          <w:sz w:val="22"/>
          <w:highlight w:val="none"/>
        </w:rPr>
        <w:t>3、乙方必须按规定程序和安全文明服务有关要求进行实施，承担服务过程中的各种意外，其责任由乙方承担，甲方不承担任何责任。</w:t>
      </w:r>
    </w:p>
    <w:p>
      <w:pPr>
        <w:pStyle w:val="16"/>
        <w:snapToGrid w:val="0"/>
        <w:spacing w:line="440" w:lineRule="atLeast"/>
        <w:ind w:firstLine="442" w:firstLineChars="200"/>
        <w:rPr>
          <w:rFonts w:hAnsi="宋体" w:cs="仿宋_GB2312"/>
          <w:b/>
          <w:bCs/>
          <w:sz w:val="22"/>
          <w:szCs w:val="22"/>
          <w:highlight w:val="none"/>
        </w:rPr>
      </w:pPr>
      <w:r>
        <w:rPr>
          <w:rFonts w:hint="eastAsia" w:hAnsi="宋体" w:cs="仿宋_GB2312"/>
          <w:b/>
          <w:bCs/>
          <w:sz w:val="22"/>
          <w:szCs w:val="22"/>
          <w:highlight w:val="none"/>
        </w:rPr>
        <w:t>第六条  售后服务</w:t>
      </w:r>
    </w:p>
    <w:p>
      <w:pPr>
        <w:pStyle w:val="16"/>
        <w:snapToGrid w:val="0"/>
        <w:spacing w:line="440" w:lineRule="atLeast"/>
        <w:ind w:firstLine="440" w:firstLineChars="200"/>
        <w:rPr>
          <w:rFonts w:hAnsi="宋体" w:cs="仿宋_GB2312"/>
          <w:sz w:val="22"/>
          <w:szCs w:val="22"/>
          <w:highlight w:val="none"/>
        </w:rPr>
      </w:pPr>
      <w:r>
        <w:rPr>
          <w:rFonts w:hint="eastAsia" w:hAnsi="宋体" w:cs="仿宋_GB2312"/>
          <w:sz w:val="22"/>
          <w:szCs w:val="22"/>
          <w:highlight w:val="none"/>
        </w:rPr>
        <w:t xml:space="preserve"> 乙方承诺售后服务按照投标承诺的服务计划实施。</w:t>
      </w:r>
    </w:p>
    <w:p>
      <w:pPr>
        <w:pStyle w:val="16"/>
        <w:snapToGrid w:val="0"/>
        <w:spacing w:line="440" w:lineRule="atLeast"/>
        <w:ind w:firstLine="442" w:firstLineChars="200"/>
        <w:rPr>
          <w:rFonts w:hAnsi="宋体" w:cs="仿宋_GB2312"/>
          <w:b/>
          <w:bCs/>
          <w:sz w:val="22"/>
          <w:szCs w:val="22"/>
          <w:highlight w:val="none"/>
        </w:rPr>
      </w:pPr>
      <w:r>
        <w:rPr>
          <w:rFonts w:hint="eastAsia" w:hAnsi="宋体" w:cs="仿宋_GB2312"/>
          <w:b/>
          <w:bCs/>
          <w:sz w:val="22"/>
          <w:szCs w:val="22"/>
          <w:highlight w:val="none"/>
        </w:rPr>
        <w:t>第七条  履约保证金</w:t>
      </w:r>
    </w:p>
    <w:p>
      <w:pPr>
        <w:pStyle w:val="16"/>
        <w:snapToGrid w:val="0"/>
        <w:spacing w:line="440" w:lineRule="atLeast"/>
        <w:ind w:firstLine="482"/>
        <w:rPr>
          <w:sz w:val="22"/>
          <w:highlight w:val="none"/>
        </w:rPr>
      </w:pPr>
      <w:r>
        <w:rPr>
          <w:rFonts w:hint="eastAsia"/>
          <w:sz w:val="22"/>
          <w:highlight w:val="none"/>
        </w:rPr>
        <w:t>合同签订后5个工作日内成交供应商应提供合同总金额1%的履约保证金或履约保函至采购单位，待项目全部验收合格后无息退还。</w:t>
      </w:r>
    </w:p>
    <w:p>
      <w:pPr>
        <w:pStyle w:val="16"/>
        <w:numPr>
          <w:ilvl w:val="0"/>
          <w:numId w:val="12"/>
        </w:numPr>
        <w:snapToGrid w:val="0"/>
        <w:spacing w:line="440" w:lineRule="atLeast"/>
        <w:ind w:firstLine="482"/>
        <w:rPr>
          <w:rFonts w:hAnsi="宋体" w:cs="仿宋_GB2312"/>
          <w:b/>
          <w:bCs/>
          <w:sz w:val="22"/>
          <w:szCs w:val="22"/>
          <w:highlight w:val="none"/>
        </w:rPr>
      </w:pPr>
      <w:r>
        <w:rPr>
          <w:rFonts w:hint="eastAsia" w:hAnsi="宋体" w:cs="仿宋_GB2312"/>
          <w:b/>
          <w:bCs/>
          <w:sz w:val="22"/>
          <w:szCs w:val="22"/>
          <w:highlight w:val="none"/>
        </w:rPr>
        <w:t xml:space="preserve"> 付款方式</w:t>
      </w:r>
    </w:p>
    <w:p>
      <w:pPr>
        <w:widowControl/>
        <w:autoSpaceDE w:val="0"/>
        <w:autoSpaceDN w:val="0"/>
        <w:adjustRightInd w:val="0"/>
        <w:spacing w:line="360" w:lineRule="auto"/>
        <w:ind w:firstLine="638" w:firstLineChars="290"/>
        <w:textAlignment w:val="bottom"/>
        <w:rPr>
          <w:rFonts w:ascii="宋体" w:hAnsi="宋体" w:eastAsia="宋体"/>
          <w:sz w:val="22"/>
          <w:highlight w:val="none"/>
        </w:rPr>
      </w:pPr>
      <w:r>
        <w:rPr>
          <w:rFonts w:hint="eastAsia" w:ascii="宋体" w:hAnsi="宋体" w:eastAsia="宋体"/>
          <w:sz w:val="22"/>
          <w:highlight w:val="none"/>
        </w:rPr>
        <w:t>待当年度项目评审验收合格后根据实际检测的量支付资金。</w:t>
      </w:r>
    </w:p>
    <w:p>
      <w:pPr>
        <w:widowControl/>
        <w:autoSpaceDE w:val="0"/>
        <w:autoSpaceDN w:val="0"/>
        <w:adjustRightInd w:val="0"/>
        <w:spacing w:line="360" w:lineRule="auto"/>
        <w:ind w:firstLine="638" w:firstLineChars="290"/>
        <w:textAlignment w:val="bottom"/>
        <w:rPr>
          <w:highlight w:val="none"/>
        </w:rPr>
      </w:pPr>
      <w:r>
        <w:rPr>
          <w:rFonts w:hint="eastAsia" w:ascii="宋体" w:hAnsi="宋体" w:eastAsia="宋体"/>
          <w:sz w:val="22"/>
          <w:highlight w:val="none"/>
        </w:rPr>
        <w:t>满足合同约定支付条件，供应商提交发票后7个工作日内支付项目资金。</w:t>
      </w:r>
    </w:p>
    <w:p>
      <w:pPr>
        <w:pStyle w:val="16"/>
        <w:numPr>
          <w:ilvl w:val="0"/>
          <w:numId w:val="12"/>
        </w:numPr>
        <w:snapToGrid w:val="0"/>
        <w:spacing w:line="440" w:lineRule="atLeast"/>
        <w:ind w:firstLine="482"/>
        <w:rPr>
          <w:rFonts w:hAnsi="宋体" w:cs="仿宋_GB2312"/>
          <w:b/>
          <w:bCs/>
          <w:sz w:val="22"/>
          <w:szCs w:val="22"/>
          <w:highlight w:val="none"/>
        </w:rPr>
      </w:pPr>
      <w:r>
        <w:rPr>
          <w:rFonts w:hint="eastAsia" w:hAnsi="宋体" w:cs="仿宋_GB2312"/>
          <w:b/>
          <w:bCs/>
          <w:sz w:val="22"/>
          <w:szCs w:val="22"/>
          <w:highlight w:val="none"/>
        </w:rPr>
        <w:t>质量保证</w:t>
      </w:r>
    </w:p>
    <w:p>
      <w:pPr>
        <w:pStyle w:val="16"/>
        <w:snapToGrid w:val="0"/>
        <w:spacing w:line="454" w:lineRule="atLeast"/>
        <w:ind w:firstLine="440" w:firstLineChars="200"/>
        <w:rPr>
          <w:rFonts w:hAnsi="宋体"/>
          <w:sz w:val="22"/>
          <w:szCs w:val="22"/>
          <w:highlight w:val="none"/>
        </w:rPr>
      </w:pPr>
      <w:r>
        <w:rPr>
          <w:rFonts w:hint="eastAsia" w:hAnsi="宋体"/>
          <w:sz w:val="22"/>
          <w:szCs w:val="22"/>
          <w:highlight w:val="none"/>
        </w:rPr>
        <w:t>根据招标文件要求</w:t>
      </w:r>
    </w:p>
    <w:p>
      <w:pPr>
        <w:pStyle w:val="16"/>
        <w:snapToGrid w:val="0"/>
        <w:spacing w:line="440" w:lineRule="atLeast"/>
        <w:ind w:firstLine="442" w:firstLineChars="200"/>
        <w:rPr>
          <w:rFonts w:hAnsi="宋体" w:cs="仿宋_GB2312"/>
          <w:b/>
          <w:bCs/>
          <w:sz w:val="22"/>
          <w:szCs w:val="22"/>
          <w:highlight w:val="none"/>
        </w:rPr>
      </w:pPr>
      <w:r>
        <w:rPr>
          <w:rFonts w:hint="eastAsia" w:hAnsi="宋体" w:cs="仿宋_GB2312"/>
          <w:b/>
          <w:bCs/>
          <w:sz w:val="22"/>
          <w:szCs w:val="22"/>
          <w:highlight w:val="none"/>
        </w:rPr>
        <w:t>第十条  不可抗力</w:t>
      </w:r>
    </w:p>
    <w:p>
      <w:pPr>
        <w:pStyle w:val="16"/>
        <w:snapToGrid w:val="0"/>
        <w:spacing w:line="440" w:lineRule="atLeast"/>
        <w:ind w:firstLine="440" w:firstLineChars="200"/>
        <w:rPr>
          <w:rFonts w:hAnsi="宋体" w:cs="仿宋_GB2312"/>
          <w:sz w:val="22"/>
          <w:szCs w:val="22"/>
          <w:highlight w:val="none"/>
        </w:rPr>
      </w:pPr>
      <w:r>
        <w:rPr>
          <w:rFonts w:hint="eastAsia" w:hAnsi="宋体" w:cs="仿宋_GB2312"/>
          <w:sz w:val="22"/>
          <w:szCs w:val="22"/>
          <w:highlight w:val="none"/>
        </w:rPr>
        <w:t>1、如果合同各方因不可抗力而导致合同实施延误或不能履行合同义务的话，不应该承担误期赔偿或不能履行合同义务的责任。</w:t>
      </w:r>
    </w:p>
    <w:p>
      <w:pPr>
        <w:pStyle w:val="16"/>
        <w:snapToGrid w:val="0"/>
        <w:spacing w:line="440" w:lineRule="atLeast"/>
        <w:ind w:firstLine="440" w:firstLineChars="200"/>
        <w:rPr>
          <w:rFonts w:hAnsi="宋体" w:cs="仿宋_GB2312"/>
          <w:sz w:val="22"/>
          <w:szCs w:val="22"/>
          <w:highlight w:val="none"/>
        </w:rPr>
      </w:pPr>
      <w:r>
        <w:rPr>
          <w:rFonts w:hint="eastAsia" w:hAnsi="宋体" w:cs="仿宋_GB2312"/>
          <w:sz w:val="22"/>
          <w:szCs w:val="22"/>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pPr>
        <w:pStyle w:val="16"/>
        <w:snapToGrid w:val="0"/>
        <w:spacing w:line="440" w:lineRule="atLeast"/>
        <w:ind w:firstLine="440" w:firstLineChars="200"/>
        <w:rPr>
          <w:rFonts w:hAnsi="宋体" w:cs="仿宋_GB2312"/>
          <w:sz w:val="22"/>
          <w:szCs w:val="22"/>
          <w:highlight w:val="none"/>
        </w:rPr>
      </w:pPr>
      <w:r>
        <w:rPr>
          <w:rFonts w:hint="eastAsia" w:hAnsi="宋体" w:cs="仿宋_GB2312"/>
          <w:sz w:val="22"/>
          <w:szCs w:val="22"/>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16"/>
        <w:snapToGrid w:val="0"/>
        <w:spacing w:line="440" w:lineRule="atLeast"/>
        <w:ind w:firstLine="442" w:firstLineChars="200"/>
        <w:rPr>
          <w:rFonts w:hAnsi="宋体" w:cs="仿宋_GB2312"/>
          <w:sz w:val="22"/>
          <w:szCs w:val="22"/>
          <w:highlight w:val="none"/>
        </w:rPr>
      </w:pPr>
      <w:r>
        <w:rPr>
          <w:rFonts w:hint="eastAsia" w:hAnsi="宋体" w:cs="仿宋_GB2312"/>
          <w:b/>
          <w:bCs/>
          <w:sz w:val="22"/>
          <w:szCs w:val="22"/>
          <w:highlight w:val="none"/>
        </w:rPr>
        <w:t>第十一条：争议的解决</w:t>
      </w:r>
    </w:p>
    <w:p>
      <w:pPr>
        <w:pStyle w:val="16"/>
        <w:snapToGrid w:val="0"/>
        <w:spacing w:line="440" w:lineRule="atLeast"/>
        <w:ind w:firstLine="440" w:firstLineChars="200"/>
        <w:rPr>
          <w:rFonts w:hAnsi="宋体" w:cs="仿宋_GB2312"/>
          <w:sz w:val="22"/>
          <w:szCs w:val="22"/>
          <w:highlight w:val="none"/>
        </w:rPr>
      </w:pPr>
      <w:r>
        <w:rPr>
          <w:rFonts w:hint="eastAsia" w:hAnsi="宋体" w:cs="仿宋_GB2312"/>
          <w:sz w:val="22"/>
          <w:szCs w:val="22"/>
          <w:highlight w:val="none"/>
        </w:rPr>
        <w:t>在发生所供商品的质量、售后服务等问题时，甲方有权直接向乙方索赔，签订必要的书面处理合同。协商不能解决的，任何一方有权在合同签约地选择仲裁或诉讼的途径解决。</w:t>
      </w:r>
    </w:p>
    <w:p>
      <w:pPr>
        <w:pStyle w:val="16"/>
        <w:snapToGrid w:val="0"/>
        <w:spacing w:line="440" w:lineRule="atLeast"/>
        <w:ind w:firstLine="482"/>
        <w:rPr>
          <w:rFonts w:hAnsi="宋体"/>
          <w:b/>
          <w:bCs/>
          <w:sz w:val="22"/>
          <w:szCs w:val="22"/>
          <w:highlight w:val="none"/>
        </w:rPr>
      </w:pPr>
      <w:r>
        <w:rPr>
          <w:rFonts w:hint="eastAsia" w:hAnsi="宋体"/>
          <w:b/>
          <w:bCs/>
          <w:sz w:val="22"/>
          <w:szCs w:val="22"/>
          <w:highlight w:val="none"/>
        </w:rPr>
        <w:t>第十二条  违约处理</w:t>
      </w:r>
    </w:p>
    <w:p>
      <w:pPr>
        <w:pStyle w:val="16"/>
        <w:snapToGrid w:val="0"/>
        <w:spacing w:line="440" w:lineRule="atLeast"/>
        <w:ind w:firstLine="482"/>
        <w:rPr>
          <w:rFonts w:hAnsi="宋体"/>
          <w:sz w:val="22"/>
          <w:szCs w:val="22"/>
          <w:highlight w:val="none"/>
        </w:rPr>
      </w:pPr>
      <w:r>
        <w:rPr>
          <w:rFonts w:hint="eastAsia" w:hAnsi="宋体"/>
          <w:sz w:val="22"/>
          <w:szCs w:val="22"/>
          <w:highlight w:val="none"/>
        </w:rPr>
        <w:t>1、在甲方对乙方违约而采取的任何补救措施不受影响的情况下，甲方可在下列情况下向乙方发出书面通知书，提出终止部分或全部合同。</w:t>
      </w:r>
    </w:p>
    <w:p>
      <w:pPr>
        <w:pStyle w:val="16"/>
        <w:snapToGrid w:val="0"/>
        <w:spacing w:line="440" w:lineRule="atLeast"/>
        <w:ind w:firstLine="482"/>
        <w:rPr>
          <w:rFonts w:hAnsi="宋体"/>
          <w:sz w:val="22"/>
          <w:szCs w:val="22"/>
          <w:highlight w:val="none"/>
        </w:rPr>
      </w:pPr>
      <w:r>
        <w:rPr>
          <w:rFonts w:hint="eastAsia" w:hAnsi="宋体"/>
          <w:sz w:val="22"/>
          <w:szCs w:val="22"/>
          <w:highlight w:val="none"/>
        </w:rPr>
        <w:t>1.1乙方提供的产品质量、配置不符合国家规定和承诺的标准；</w:t>
      </w:r>
    </w:p>
    <w:p>
      <w:pPr>
        <w:pStyle w:val="16"/>
        <w:snapToGrid w:val="0"/>
        <w:spacing w:line="440" w:lineRule="atLeast"/>
        <w:ind w:firstLine="440" w:firstLineChars="200"/>
        <w:rPr>
          <w:rFonts w:hAnsi="宋体"/>
          <w:sz w:val="22"/>
          <w:szCs w:val="22"/>
          <w:highlight w:val="none"/>
        </w:rPr>
      </w:pPr>
      <w:r>
        <w:rPr>
          <w:rFonts w:hint="eastAsia" w:hAnsi="宋体"/>
          <w:sz w:val="22"/>
          <w:szCs w:val="22"/>
          <w:highlight w:val="none"/>
        </w:rPr>
        <w:t>1.2乙方没有按承诺的时间供货、维修或提供其他服务；</w:t>
      </w:r>
    </w:p>
    <w:p>
      <w:pPr>
        <w:pStyle w:val="16"/>
        <w:snapToGrid w:val="0"/>
        <w:spacing w:line="440" w:lineRule="atLeast"/>
        <w:ind w:firstLine="440" w:firstLineChars="200"/>
        <w:rPr>
          <w:rFonts w:hAnsi="宋体"/>
          <w:sz w:val="22"/>
          <w:szCs w:val="22"/>
          <w:highlight w:val="none"/>
        </w:rPr>
      </w:pPr>
      <w:r>
        <w:rPr>
          <w:rFonts w:hint="eastAsia" w:hAnsi="宋体"/>
          <w:sz w:val="22"/>
          <w:szCs w:val="22"/>
          <w:highlight w:val="none"/>
        </w:rPr>
        <w:t>1.3乙方没有按承诺的价格或优惠率签订合同并供货；</w:t>
      </w:r>
    </w:p>
    <w:p>
      <w:pPr>
        <w:pStyle w:val="16"/>
        <w:snapToGrid w:val="0"/>
        <w:spacing w:line="440" w:lineRule="atLeast"/>
        <w:ind w:firstLine="482"/>
        <w:rPr>
          <w:rFonts w:hAnsi="宋体"/>
          <w:sz w:val="22"/>
          <w:szCs w:val="22"/>
          <w:highlight w:val="none"/>
        </w:rPr>
      </w:pPr>
      <w:r>
        <w:rPr>
          <w:rFonts w:hint="eastAsia" w:hAnsi="宋体"/>
          <w:sz w:val="22"/>
          <w:szCs w:val="22"/>
          <w:highlight w:val="none"/>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pStyle w:val="16"/>
        <w:snapToGrid w:val="0"/>
        <w:spacing w:line="440" w:lineRule="atLeast"/>
        <w:ind w:firstLine="482"/>
        <w:rPr>
          <w:rFonts w:hAnsi="宋体"/>
          <w:b/>
          <w:bCs/>
          <w:sz w:val="22"/>
          <w:szCs w:val="22"/>
          <w:highlight w:val="none"/>
        </w:rPr>
      </w:pPr>
      <w:r>
        <w:rPr>
          <w:rFonts w:hint="eastAsia" w:hAnsi="宋体"/>
          <w:b/>
          <w:bCs/>
          <w:sz w:val="22"/>
          <w:szCs w:val="22"/>
          <w:highlight w:val="none"/>
        </w:rPr>
        <w:t>第十三条  合同转让和分包</w:t>
      </w:r>
    </w:p>
    <w:p>
      <w:pPr>
        <w:pStyle w:val="16"/>
        <w:snapToGrid w:val="0"/>
        <w:spacing w:line="440" w:lineRule="atLeast"/>
        <w:ind w:firstLine="482"/>
        <w:rPr>
          <w:rFonts w:hAnsi="宋体"/>
          <w:sz w:val="22"/>
          <w:szCs w:val="22"/>
          <w:highlight w:val="none"/>
        </w:rPr>
      </w:pPr>
      <w:r>
        <w:rPr>
          <w:rFonts w:hint="eastAsia" w:hAnsi="宋体"/>
          <w:sz w:val="22"/>
          <w:szCs w:val="22"/>
          <w:highlight w:val="none"/>
        </w:rPr>
        <w:t xml:space="preserve"> 除甲方事先书面同意外，乙方不得转让和分包其应履行的合同义务。</w:t>
      </w:r>
    </w:p>
    <w:p>
      <w:pPr>
        <w:pStyle w:val="16"/>
        <w:snapToGrid w:val="0"/>
        <w:spacing w:line="440" w:lineRule="atLeast"/>
        <w:ind w:firstLine="482"/>
        <w:rPr>
          <w:rFonts w:hAnsi="宋体"/>
          <w:b/>
          <w:bCs/>
          <w:sz w:val="22"/>
          <w:szCs w:val="22"/>
          <w:highlight w:val="none"/>
        </w:rPr>
      </w:pPr>
      <w:r>
        <w:rPr>
          <w:rFonts w:hint="eastAsia" w:hAnsi="宋体"/>
          <w:b/>
          <w:bCs/>
          <w:sz w:val="22"/>
          <w:szCs w:val="22"/>
          <w:highlight w:val="none"/>
        </w:rPr>
        <w:t>第十四条  合同生效及终止</w:t>
      </w:r>
    </w:p>
    <w:p>
      <w:pPr>
        <w:pStyle w:val="16"/>
        <w:snapToGrid w:val="0"/>
        <w:spacing w:line="440" w:lineRule="atLeast"/>
        <w:ind w:firstLine="482"/>
        <w:rPr>
          <w:rFonts w:hAnsi="宋体"/>
          <w:sz w:val="22"/>
          <w:szCs w:val="22"/>
          <w:highlight w:val="none"/>
        </w:rPr>
      </w:pPr>
      <w:r>
        <w:rPr>
          <w:rFonts w:hint="eastAsia" w:hAnsi="宋体"/>
          <w:sz w:val="22"/>
          <w:szCs w:val="22"/>
          <w:highlight w:val="none"/>
        </w:rPr>
        <w:t>1、本合同经双方法定代表人或授权代表签署，甲方与乙方加盖印章后生效。</w:t>
      </w:r>
    </w:p>
    <w:p>
      <w:pPr>
        <w:pStyle w:val="16"/>
        <w:snapToGrid w:val="0"/>
        <w:spacing w:line="440" w:lineRule="atLeast"/>
        <w:ind w:firstLine="482"/>
        <w:rPr>
          <w:rFonts w:hAnsi="宋体"/>
          <w:sz w:val="22"/>
          <w:szCs w:val="22"/>
          <w:highlight w:val="none"/>
        </w:rPr>
      </w:pPr>
      <w:r>
        <w:rPr>
          <w:rFonts w:hint="eastAsia" w:hAnsi="宋体"/>
          <w:sz w:val="22"/>
          <w:szCs w:val="22"/>
          <w:highlight w:val="none"/>
        </w:rPr>
        <w:t>2、合同终止：本合同出现以下情况时终止。</w:t>
      </w:r>
    </w:p>
    <w:p>
      <w:pPr>
        <w:pStyle w:val="16"/>
        <w:snapToGrid w:val="0"/>
        <w:spacing w:line="440" w:lineRule="atLeast"/>
        <w:ind w:firstLine="701" w:firstLineChars="319"/>
        <w:rPr>
          <w:rFonts w:hAnsi="宋体"/>
          <w:sz w:val="22"/>
          <w:szCs w:val="22"/>
          <w:highlight w:val="none"/>
        </w:rPr>
      </w:pPr>
      <w:r>
        <w:rPr>
          <w:rFonts w:hint="eastAsia" w:hAnsi="宋体"/>
          <w:sz w:val="22"/>
          <w:szCs w:val="22"/>
          <w:highlight w:val="none"/>
        </w:rPr>
        <w:t>2.1期限届满时自行终止。</w:t>
      </w:r>
    </w:p>
    <w:p>
      <w:pPr>
        <w:pStyle w:val="16"/>
        <w:snapToGrid w:val="0"/>
        <w:spacing w:line="440" w:lineRule="atLeast"/>
        <w:ind w:firstLine="701" w:firstLineChars="319"/>
        <w:rPr>
          <w:rFonts w:hAnsi="宋体"/>
          <w:sz w:val="22"/>
          <w:szCs w:val="22"/>
          <w:highlight w:val="none"/>
        </w:rPr>
      </w:pPr>
      <w:r>
        <w:rPr>
          <w:rFonts w:hint="eastAsia" w:hAnsi="宋体"/>
          <w:sz w:val="22"/>
          <w:szCs w:val="22"/>
          <w:highlight w:val="none"/>
        </w:rPr>
        <w:t>2.2有以下行为之一的：</w:t>
      </w:r>
    </w:p>
    <w:p>
      <w:pPr>
        <w:pStyle w:val="16"/>
        <w:snapToGrid w:val="0"/>
        <w:spacing w:line="440" w:lineRule="atLeast"/>
        <w:ind w:firstLine="440" w:firstLineChars="200"/>
        <w:rPr>
          <w:rFonts w:hAnsi="宋体"/>
          <w:sz w:val="22"/>
          <w:szCs w:val="22"/>
          <w:highlight w:val="none"/>
        </w:rPr>
      </w:pPr>
      <w:r>
        <w:rPr>
          <w:rFonts w:hint="eastAsia" w:hAnsi="宋体"/>
          <w:sz w:val="22"/>
          <w:szCs w:val="22"/>
          <w:highlight w:val="none"/>
        </w:rPr>
        <w:t>（1）违反管理规定，造成重大伤亡或重大损失。</w:t>
      </w:r>
    </w:p>
    <w:p>
      <w:pPr>
        <w:pStyle w:val="16"/>
        <w:snapToGrid w:val="0"/>
        <w:spacing w:line="440" w:lineRule="atLeast"/>
        <w:ind w:firstLine="482"/>
        <w:rPr>
          <w:rFonts w:hAnsi="宋体"/>
          <w:sz w:val="22"/>
          <w:szCs w:val="22"/>
          <w:highlight w:val="none"/>
        </w:rPr>
      </w:pPr>
      <w:r>
        <w:rPr>
          <w:rFonts w:hint="eastAsia" w:hAnsi="宋体"/>
          <w:sz w:val="22"/>
          <w:szCs w:val="22"/>
          <w:highlight w:val="none"/>
        </w:rPr>
        <w:t>（2）因管理不善造成恶劣影响。</w:t>
      </w:r>
    </w:p>
    <w:p>
      <w:pPr>
        <w:pStyle w:val="16"/>
        <w:snapToGrid w:val="0"/>
        <w:spacing w:line="440" w:lineRule="atLeast"/>
        <w:ind w:firstLine="482"/>
        <w:rPr>
          <w:rFonts w:hAnsi="宋体"/>
          <w:sz w:val="22"/>
          <w:szCs w:val="22"/>
          <w:highlight w:val="none"/>
        </w:rPr>
      </w:pPr>
      <w:r>
        <w:rPr>
          <w:rFonts w:hint="eastAsia" w:hAnsi="宋体"/>
          <w:sz w:val="22"/>
          <w:szCs w:val="22"/>
          <w:highlight w:val="none"/>
        </w:rPr>
        <w:t>（3）擅自将合同转包给第三者。</w:t>
      </w:r>
    </w:p>
    <w:p>
      <w:pPr>
        <w:pStyle w:val="16"/>
        <w:snapToGrid w:val="0"/>
        <w:spacing w:line="440" w:lineRule="atLeast"/>
        <w:ind w:firstLine="482"/>
        <w:rPr>
          <w:rFonts w:hAnsi="宋体" w:cs="仿宋_GB2312"/>
          <w:sz w:val="22"/>
          <w:szCs w:val="22"/>
          <w:highlight w:val="none"/>
        </w:rPr>
      </w:pPr>
      <w:r>
        <w:rPr>
          <w:rFonts w:hint="eastAsia" w:hAnsi="宋体" w:cs="仿宋_GB2312"/>
          <w:sz w:val="22"/>
          <w:szCs w:val="22"/>
          <w:highlight w:val="none"/>
        </w:rPr>
        <w:t>（4）违反劳动法或其他相关法律法规，造成恶劣影响。</w:t>
      </w:r>
    </w:p>
    <w:p>
      <w:pPr>
        <w:pStyle w:val="16"/>
        <w:snapToGrid w:val="0"/>
        <w:spacing w:line="440" w:lineRule="atLeast"/>
        <w:ind w:firstLine="482"/>
        <w:rPr>
          <w:rFonts w:hAnsi="宋体" w:cs="仿宋_GB2312"/>
          <w:sz w:val="22"/>
          <w:szCs w:val="22"/>
          <w:highlight w:val="none"/>
        </w:rPr>
      </w:pPr>
      <w:r>
        <w:rPr>
          <w:rFonts w:hint="eastAsia" w:hAnsi="宋体" w:cs="仿宋_GB2312"/>
          <w:sz w:val="22"/>
          <w:szCs w:val="22"/>
          <w:highlight w:val="none"/>
        </w:rPr>
        <w:t>（5）弄虚作假及其他不正当行为。</w:t>
      </w:r>
    </w:p>
    <w:p>
      <w:pPr>
        <w:pStyle w:val="16"/>
        <w:snapToGrid w:val="0"/>
        <w:spacing w:line="440" w:lineRule="atLeast"/>
        <w:ind w:firstLine="482"/>
        <w:rPr>
          <w:rFonts w:hAnsi="宋体" w:cs="仿宋_GB2312"/>
          <w:sz w:val="22"/>
          <w:szCs w:val="22"/>
          <w:highlight w:val="none"/>
        </w:rPr>
      </w:pPr>
      <w:r>
        <w:rPr>
          <w:rFonts w:hint="eastAsia" w:hAnsi="宋体" w:cs="仿宋_GB2312"/>
          <w:sz w:val="22"/>
          <w:szCs w:val="22"/>
          <w:highlight w:val="none"/>
        </w:rPr>
        <w:t>3、法律规定的终止事由。</w:t>
      </w:r>
    </w:p>
    <w:p>
      <w:pPr>
        <w:pStyle w:val="16"/>
        <w:snapToGrid w:val="0"/>
        <w:spacing w:line="440" w:lineRule="atLeast"/>
        <w:ind w:firstLine="482"/>
        <w:rPr>
          <w:rFonts w:hAnsi="宋体" w:cs="仿宋_GB2312"/>
          <w:sz w:val="22"/>
          <w:szCs w:val="22"/>
          <w:highlight w:val="none"/>
        </w:rPr>
      </w:pPr>
      <w:r>
        <w:rPr>
          <w:rFonts w:hint="eastAsia" w:hAnsi="宋体" w:cs="仿宋_GB2312"/>
          <w:sz w:val="22"/>
          <w:szCs w:val="22"/>
          <w:highlight w:val="none"/>
        </w:rPr>
        <w:t>4、本合同一式陆份，双方各贰份，泰顺县公共资源交易中心执壹份，浙江益诚工程咨询有限公司执壹份。</w:t>
      </w:r>
    </w:p>
    <w:p>
      <w:pPr>
        <w:pStyle w:val="16"/>
        <w:snapToGrid w:val="0"/>
        <w:spacing w:line="440" w:lineRule="atLeast"/>
        <w:ind w:firstLine="482"/>
        <w:rPr>
          <w:rFonts w:hAnsi="宋体" w:cs="仿宋_GB2312"/>
          <w:b/>
          <w:bCs/>
          <w:sz w:val="22"/>
          <w:szCs w:val="22"/>
          <w:highlight w:val="none"/>
        </w:rPr>
      </w:pPr>
      <w:r>
        <w:rPr>
          <w:rFonts w:hint="eastAsia" w:hAnsi="宋体" w:cs="仿宋_GB2312"/>
          <w:b/>
          <w:bCs/>
          <w:sz w:val="22"/>
          <w:szCs w:val="22"/>
          <w:highlight w:val="none"/>
        </w:rPr>
        <w:t>第十五条  合同的解释</w:t>
      </w:r>
    </w:p>
    <w:p>
      <w:pPr>
        <w:pStyle w:val="16"/>
        <w:snapToGrid w:val="0"/>
        <w:spacing w:line="440" w:lineRule="atLeast"/>
        <w:ind w:firstLine="482"/>
        <w:rPr>
          <w:rFonts w:hAnsi="宋体" w:cs="仿宋_GB2312"/>
          <w:sz w:val="22"/>
          <w:szCs w:val="22"/>
          <w:highlight w:val="none"/>
        </w:rPr>
      </w:pPr>
      <w:r>
        <w:rPr>
          <w:rFonts w:hint="eastAsia" w:hAnsi="宋体" w:cs="仿宋_GB2312"/>
          <w:sz w:val="22"/>
          <w:szCs w:val="22"/>
          <w:highlight w:val="none"/>
        </w:rPr>
        <w:t>本合同的解释权在泰顺县交通运输管理中心。</w:t>
      </w:r>
    </w:p>
    <w:p>
      <w:pPr>
        <w:pStyle w:val="16"/>
        <w:snapToGrid w:val="0"/>
        <w:spacing w:line="440" w:lineRule="atLeast"/>
        <w:ind w:firstLine="482"/>
        <w:rPr>
          <w:rFonts w:hAnsi="宋体" w:cs="仿宋_GB2312"/>
          <w:b/>
          <w:bCs/>
          <w:sz w:val="22"/>
          <w:szCs w:val="22"/>
          <w:highlight w:val="none"/>
        </w:rPr>
      </w:pPr>
      <w:r>
        <w:rPr>
          <w:rFonts w:hint="eastAsia" w:hAnsi="宋体" w:cs="仿宋_GB2312"/>
          <w:b/>
          <w:bCs/>
          <w:sz w:val="22"/>
          <w:szCs w:val="22"/>
          <w:highlight w:val="none"/>
        </w:rPr>
        <w:t xml:space="preserve"> 第十六条  </w:t>
      </w:r>
      <w:r>
        <w:rPr>
          <w:rFonts w:hint="eastAsia" w:hAnsi="宋体"/>
          <w:b/>
          <w:bCs/>
          <w:sz w:val="22"/>
          <w:szCs w:val="22"/>
          <w:highlight w:val="none"/>
        </w:rPr>
        <w:t>合同附件</w:t>
      </w:r>
    </w:p>
    <w:p>
      <w:pPr>
        <w:snapToGrid w:val="0"/>
        <w:spacing w:line="454" w:lineRule="atLeast"/>
        <w:rPr>
          <w:rFonts w:ascii="宋体" w:hAnsi="宋体"/>
          <w:sz w:val="22"/>
          <w:szCs w:val="22"/>
          <w:highlight w:val="none"/>
        </w:rPr>
      </w:pPr>
      <w:r>
        <w:rPr>
          <w:rFonts w:hint="eastAsia" w:ascii="宋体" w:hAnsi="宋体"/>
          <w:sz w:val="22"/>
          <w:szCs w:val="22"/>
          <w:highlight w:val="none"/>
        </w:rPr>
        <w:t xml:space="preserve"> 下列文件与本合同具有同等法律效力：</w:t>
      </w:r>
    </w:p>
    <w:p>
      <w:pPr>
        <w:snapToGrid w:val="0"/>
        <w:spacing w:line="454" w:lineRule="atLeast"/>
        <w:ind w:firstLine="431" w:firstLineChars="196"/>
        <w:rPr>
          <w:rFonts w:ascii="宋体" w:hAnsi="宋体"/>
          <w:sz w:val="22"/>
          <w:szCs w:val="22"/>
          <w:highlight w:val="none"/>
        </w:rPr>
      </w:pPr>
      <w:r>
        <w:rPr>
          <w:rFonts w:hint="eastAsia" w:ascii="宋体" w:hAnsi="宋体"/>
          <w:sz w:val="22"/>
          <w:szCs w:val="22"/>
          <w:highlight w:val="none"/>
        </w:rPr>
        <w:t>1、采购代理机构的招标文件与招标补充文件；</w:t>
      </w:r>
    </w:p>
    <w:p>
      <w:pPr>
        <w:snapToGrid w:val="0"/>
        <w:spacing w:line="454" w:lineRule="atLeast"/>
        <w:ind w:firstLine="431" w:firstLineChars="196"/>
        <w:rPr>
          <w:rFonts w:ascii="宋体" w:hAnsi="宋体"/>
          <w:sz w:val="22"/>
          <w:szCs w:val="22"/>
          <w:highlight w:val="none"/>
        </w:rPr>
      </w:pPr>
      <w:r>
        <w:rPr>
          <w:rFonts w:hint="eastAsia" w:ascii="宋体" w:hAnsi="宋体"/>
          <w:sz w:val="22"/>
          <w:szCs w:val="22"/>
          <w:highlight w:val="none"/>
        </w:rPr>
        <w:t>2、</w:t>
      </w:r>
      <w:r>
        <w:rPr>
          <w:rFonts w:hint="eastAsia" w:hAnsi="宋体"/>
          <w:sz w:val="22"/>
          <w:szCs w:val="22"/>
          <w:highlight w:val="none"/>
        </w:rPr>
        <w:t>乙方</w:t>
      </w:r>
      <w:r>
        <w:rPr>
          <w:rFonts w:hint="eastAsia" w:ascii="宋体" w:hAnsi="宋体"/>
          <w:sz w:val="22"/>
          <w:szCs w:val="22"/>
          <w:highlight w:val="none"/>
        </w:rPr>
        <w:t>投标文件；</w:t>
      </w:r>
    </w:p>
    <w:p>
      <w:pPr>
        <w:pStyle w:val="16"/>
        <w:snapToGrid w:val="0"/>
        <w:spacing w:line="454" w:lineRule="atLeast"/>
        <w:ind w:firstLine="323" w:firstLineChars="147"/>
        <w:rPr>
          <w:rFonts w:hAnsi="宋体"/>
          <w:sz w:val="22"/>
          <w:szCs w:val="22"/>
          <w:highlight w:val="none"/>
        </w:rPr>
      </w:pPr>
      <w:r>
        <w:rPr>
          <w:rFonts w:hint="eastAsia" w:hAnsi="宋体"/>
          <w:sz w:val="22"/>
          <w:szCs w:val="22"/>
          <w:highlight w:val="none"/>
        </w:rPr>
        <w:t xml:space="preserve"> 3、询标纪要和承诺书。</w:t>
      </w:r>
    </w:p>
    <w:p>
      <w:pPr>
        <w:snapToGrid w:val="0"/>
        <w:spacing w:line="454" w:lineRule="atLeast"/>
        <w:ind w:firstLine="440" w:firstLineChars="200"/>
        <w:rPr>
          <w:rFonts w:ascii="宋体" w:hAnsi="宋体"/>
          <w:sz w:val="22"/>
          <w:szCs w:val="22"/>
          <w:highlight w:val="none"/>
        </w:rPr>
      </w:pPr>
      <w:r>
        <w:rPr>
          <w:rFonts w:hint="eastAsia" w:ascii="宋体" w:hAnsi="宋体"/>
          <w:sz w:val="22"/>
          <w:szCs w:val="22"/>
          <w:highlight w:val="none"/>
        </w:rPr>
        <w:t>4、中标通知书</w:t>
      </w:r>
    </w:p>
    <w:p>
      <w:pPr>
        <w:pStyle w:val="16"/>
        <w:snapToGrid w:val="0"/>
        <w:spacing w:line="440" w:lineRule="atLeast"/>
        <w:ind w:firstLine="482"/>
        <w:rPr>
          <w:rFonts w:hAnsi="宋体" w:cs="仿宋_GB2312"/>
          <w:sz w:val="22"/>
          <w:szCs w:val="22"/>
          <w:highlight w:val="none"/>
        </w:rPr>
      </w:pPr>
    </w:p>
    <w:p>
      <w:pPr>
        <w:pStyle w:val="16"/>
        <w:snapToGrid w:val="0"/>
        <w:spacing w:line="400" w:lineRule="atLeast"/>
        <w:ind w:firstLine="482"/>
        <w:rPr>
          <w:rFonts w:hAnsi="宋体"/>
          <w:sz w:val="22"/>
          <w:szCs w:val="22"/>
          <w:highlight w:val="none"/>
        </w:rPr>
      </w:pPr>
    </w:p>
    <w:p>
      <w:pPr>
        <w:pStyle w:val="16"/>
        <w:snapToGrid w:val="0"/>
        <w:spacing w:line="400" w:lineRule="atLeast"/>
        <w:ind w:firstLine="482"/>
        <w:rPr>
          <w:rFonts w:hAnsi="宋体"/>
          <w:sz w:val="22"/>
          <w:szCs w:val="22"/>
          <w:highlight w:val="none"/>
        </w:rPr>
      </w:pPr>
      <w:r>
        <w:rPr>
          <w:rFonts w:hint="eastAsia" w:hAnsi="宋体"/>
          <w:sz w:val="22"/>
          <w:szCs w:val="22"/>
          <w:highlight w:val="none"/>
        </w:rPr>
        <w:t>甲    方：（印章）                    乙    方：（印章）</w:t>
      </w:r>
    </w:p>
    <w:p>
      <w:pPr>
        <w:pStyle w:val="16"/>
        <w:snapToGrid w:val="0"/>
        <w:spacing w:line="400" w:lineRule="atLeast"/>
        <w:ind w:firstLine="482"/>
        <w:rPr>
          <w:rFonts w:hAnsi="宋体"/>
          <w:sz w:val="22"/>
          <w:szCs w:val="22"/>
          <w:highlight w:val="none"/>
        </w:rPr>
      </w:pPr>
      <w:r>
        <w:rPr>
          <w:rFonts w:hint="eastAsia" w:hAnsi="宋体"/>
          <w:sz w:val="22"/>
          <w:szCs w:val="22"/>
          <w:highlight w:val="none"/>
        </w:rPr>
        <w:t>全权代表：（签字）                    全权代表：（签字）</w:t>
      </w:r>
    </w:p>
    <w:p>
      <w:pPr>
        <w:pStyle w:val="16"/>
        <w:snapToGrid w:val="0"/>
        <w:spacing w:line="400" w:lineRule="atLeast"/>
        <w:ind w:firstLine="482"/>
        <w:rPr>
          <w:rFonts w:hAnsi="宋体"/>
          <w:sz w:val="22"/>
          <w:szCs w:val="22"/>
          <w:highlight w:val="none"/>
        </w:rPr>
      </w:pPr>
      <w:r>
        <w:rPr>
          <w:rFonts w:hint="eastAsia" w:hAnsi="宋体"/>
          <w:sz w:val="22"/>
          <w:szCs w:val="22"/>
          <w:highlight w:val="none"/>
        </w:rPr>
        <w:t>地    址：                            地    址：</w:t>
      </w:r>
    </w:p>
    <w:p>
      <w:pPr>
        <w:pStyle w:val="16"/>
        <w:snapToGrid w:val="0"/>
        <w:spacing w:line="400" w:lineRule="atLeast"/>
        <w:ind w:firstLine="482"/>
        <w:rPr>
          <w:rFonts w:hAnsi="宋体"/>
          <w:sz w:val="22"/>
          <w:szCs w:val="22"/>
          <w:highlight w:val="none"/>
        </w:rPr>
      </w:pPr>
      <w:r>
        <w:rPr>
          <w:rFonts w:hint="eastAsia" w:hAnsi="宋体"/>
          <w:sz w:val="22"/>
          <w:szCs w:val="22"/>
          <w:highlight w:val="none"/>
        </w:rPr>
        <w:t>邮政编码：                            邮政编码：</w:t>
      </w:r>
    </w:p>
    <w:p>
      <w:pPr>
        <w:pStyle w:val="16"/>
        <w:snapToGrid w:val="0"/>
        <w:spacing w:line="400" w:lineRule="atLeast"/>
        <w:ind w:firstLine="482"/>
        <w:rPr>
          <w:rFonts w:hAnsi="宋体"/>
          <w:sz w:val="22"/>
          <w:szCs w:val="22"/>
          <w:highlight w:val="none"/>
        </w:rPr>
      </w:pPr>
      <w:r>
        <w:rPr>
          <w:rFonts w:hint="eastAsia" w:hAnsi="宋体"/>
          <w:sz w:val="22"/>
          <w:szCs w:val="22"/>
          <w:highlight w:val="none"/>
        </w:rPr>
        <w:t>电    话：                            电    话：</w:t>
      </w:r>
    </w:p>
    <w:p>
      <w:pPr>
        <w:pStyle w:val="16"/>
        <w:snapToGrid w:val="0"/>
        <w:spacing w:line="400" w:lineRule="atLeast"/>
        <w:ind w:firstLine="482"/>
        <w:rPr>
          <w:rFonts w:hAnsi="宋体"/>
          <w:sz w:val="22"/>
          <w:szCs w:val="22"/>
          <w:highlight w:val="none"/>
        </w:rPr>
      </w:pPr>
      <w:r>
        <w:rPr>
          <w:rFonts w:hint="eastAsia" w:hAnsi="宋体"/>
          <w:sz w:val="22"/>
          <w:szCs w:val="22"/>
          <w:highlight w:val="none"/>
        </w:rPr>
        <w:t>传    真：                            传    真：</w:t>
      </w:r>
    </w:p>
    <w:p>
      <w:pPr>
        <w:pStyle w:val="16"/>
        <w:snapToGrid w:val="0"/>
        <w:spacing w:line="400" w:lineRule="atLeast"/>
        <w:ind w:firstLine="482"/>
        <w:rPr>
          <w:rFonts w:hAnsi="宋体"/>
          <w:sz w:val="22"/>
          <w:szCs w:val="22"/>
          <w:highlight w:val="none"/>
        </w:rPr>
      </w:pPr>
      <w:r>
        <w:rPr>
          <w:rFonts w:hint="eastAsia" w:hAnsi="宋体"/>
          <w:sz w:val="22"/>
          <w:szCs w:val="22"/>
          <w:highlight w:val="none"/>
        </w:rPr>
        <w:t>开户银行：                            开户银行：</w:t>
      </w:r>
    </w:p>
    <w:p>
      <w:pPr>
        <w:pStyle w:val="16"/>
        <w:snapToGrid w:val="0"/>
        <w:spacing w:line="400" w:lineRule="atLeast"/>
        <w:ind w:firstLine="482"/>
        <w:rPr>
          <w:rFonts w:hAnsi="宋体"/>
          <w:sz w:val="22"/>
          <w:szCs w:val="22"/>
          <w:highlight w:val="none"/>
        </w:rPr>
      </w:pPr>
      <w:r>
        <w:rPr>
          <w:rFonts w:hint="eastAsia" w:hAnsi="宋体"/>
          <w:sz w:val="22"/>
          <w:szCs w:val="22"/>
          <w:highlight w:val="none"/>
        </w:rPr>
        <w:t>帐    号：                            帐    号：</w:t>
      </w:r>
    </w:p>
    <w:p>
      <w:pPr>
        <w:pStyle w:val="16"/>
        <w:snapToGrid w:val="0"/>
        <w:spacing w:line="400" w:lineRule="atLeast"/>
        <w:ind w:firstLine="482"/>
        <w:rPr>
          <w:rFonts w:hAnsi="宋体"/>
          <w:sz w:val="22"/>
          <w:szCs w:val="22"/>
          <w:highlight w:val="none"/>
        </w:rPr>
      </w:pPr>
      <w:r>
        <w:rPr>
          <w:rFonts w:hint="eastAsia" w:hAnsi="宋体"/>
          <w:sz w:val="22"/>
          <w:szCs w:val="22"/>
          <w:highlight w:val="none"/>
        </w:rPr>
        <w:t>时    间：                            时    间：</w:t>
      </w:r>
    </w:p>
    <w:p>
      <w:pPr>
        <w:rPr>
          <w:b/>
          <w:bCs/>
          <w:sz w:val="36"/>
          <w:szCs w:val="36"/>
          <w:highlight w:val="none"/>
        </w:rPr>
      </w:pPr>
      <w:r>
        <w:rPr>
          <w:rFonts w:hint="eastAsia"/>
          <w:b/>
          <w:bCs/>
          <w:sz w:val="36"/>
          <w:szCs w:val="36"/>
          <w:highlight w:val="none"/>
        </w:rPr>
        <w:br w:type="page"/>
      </w:r>
    </w:p>
    <w:p>
      <w:pPr>
        <w:pStyle w:val="16"/>
        <w:adjustRightInd w:val="0"/>
        <w:snapToGrid w:val="0"/>
        <w:spacing w:line="400" w:lineRule="exact"/>
        <w:jc w:val="center"/>
        <w:rPr>
          <w:rFonts w:hAnsi="Times New Roman"/>
          <w:b/>
          <w:bCs/>
          <w:sz w:val="36"/>
          <w:szCs w:val="36"/>
          <w:highlight w:val="none"/>
        </w:rPr>
      </w:pPr>
      <w:r>
        <w:rPr>
          <w:rFonts w:hint="eastAsia" w:hAnsi="Times New Roman"/>
          <w:b/>
          <w:bCs/>
          <w:sz w:val="36"/>
          <w:szCs w:val="36"/>
          <w:highlight w:val="none"/>
        </w:rPr>
        <w:t>第六部分 投标文件格式</w:t>
      </w:r>
    </w:p>
    <w:p>
      <w:pPr>
        <w:pStyle w:val="16"/>
        <w:adjustRightInd w:val="0"/>
        <w:snapToGrid w:val="0"/>
        <w:spacing w:line="400" w:lineRule="exact"/>
        <w:jc w:val="center"/>
        <w:rPr>
          <w:rFonts w:hAnsi="Times New Roman"/>
          <w:sz w:val="28"/>
          <w:szCs w:val="28"/>
          <w:highlight w:val="none"/>
        </w:rPr>
      </w:pPr>
      <w:r>
        <w:rPr>
          <w:rFonts w:hint="eastAsia" w:hAnsi="Times New Roman"/>
          <w:sz w:val="28"/>
          <w:szCs w:val="28"/>
          <w:highlight w:val="none"/>
        </w:rPr>
        <w:t>（未提供格式的由投标供应商自拟）</w:t>
      </w:r>
    </w:p>
    <w:bookmarkEnd w:id="56"/>
    <w:p>
      <w:pPr>
        <w:pStyle w:val="16"/>
        <w:adjustRightInd w:val="0"/>
        <w:snapToGrid w:val="0"/>
        <w:spacing w:line="340" w:lineRule="atLeast"/>
        <w:rPr>
          <w:rFonts w:hAnsi="宋体"/>
          <w:sz w:val="32"/>
          <w:szCs w:val="32"/>
          <w:highlight w:val="none"/>
        </w:rPr>
      </w:pPr>
      <w:r>
        <w:rPr>
          <w:rFonts w:hint="eastAsia" w:hAnsi="宋体"/>
          <w:b/>
          <w:bCs/>
          <w:sz w:val="32"/>
          <w:szCs w:val="32"/>
          <w:highlight w:val="none"/>
        </w:rPr>
        <w:t>附件一（一）</w:t>
      </w:r>
      <w:r>
        <w:rPr>
          <w:rFonts w:hint="eastAsia" w:hAnsi="宋体"/>
          <w:sz w:val="32"/>
          <w:szCs w:val="32"/>
          <w:highlight w:val="none"/>
        </w:rPr>
        <w:t xml:space="preserve">      </w:t>
      </w:r>
    </w:p>
    <w:p>
      <w:pPr>
        <w:jc w:val="center"/>
        <w:rPr>
          <w:rFonts w:ascii="宋体"/>
          <w:sz w:val="36"/>
          <w:szCs w:val="36"/>
          <w:highlight w:val="none"/>
          <w:lang w:val="zh-CN"/>
        </w:rPr>
      </w:pPr>
      <w:r>
        <w:rPr>
          <w:rFonts w:hint="eastAsia" w:ascii="宋体"/>
          <w:sz w:val="36"/>
          <w:szCs w:val="36"/>
          <w:highlight w:val="none"/>
          <w:lang w:val="zh-CN"/>
        </w:rPr>
        <w:t>投标报价一览表</w:t>
      </w:r>
    </w:p>
    <w:p>
      <w:pPr>
        <w:wordWrap w:val="0"/>
        <w:spacing w:line="400" w:lineRule="exact"/>
        <w:ind w:right="420"/>
        <w:rPr>
          <w:sz w:val="22"/>
          <w:szCs w:val="22"/>
          <w:highlight w:val="none"/>
        </w:rPr>
      </w:pPr>
      <w:r>
        <w:rPr>
          <w:rFonts w:hint="eastAsia"/>
          <w:sz w:val="22"/>
          <w:szCs w:val="22"/>
          <w:highlight w:val="none"/>
        </w:rPr>
        <w:t xml:space="preserve">项目名称：  </w:t>
      </w:r>
      <w:r>
        <w:rPr>
          <w:sz w:val="22"/>
          <w:szCs w:val="22"/>
          <w:highlight w:val="none"/>
        </w:rPr>
        <w:t xml:space="preserve">                                                  </w:t>
      </w:r>
      <w:r>
        <w:rPr>
          <w:rFonts w:hint="eastAsia"/>
          <w:sz w:val="22"/>
          <w:szCs w:val="22"/>
          <w:highlight w:val="none"/>
        </w:rPr>
        <w:t>项目</w:t>
      </w:r>
      <w:r>
        <w:rPr>
          <w:sz w:val="22"/>
          <w:szCs w:val="22"/>
          <w:highlight w:val="none"/>
        </w:rPr>
        <w:t>编号：</w:t>
      </w:r>
    </w:p>
    <w:tbl>
      <w:tblPr>
        <w:tblStyle w:val="29"/>
        <w:tblW w:w="9552" w:type="dxa"/>
        <w:jc w:val="center"/>
        <w:tblLayout w:type="fixed"/>
        <w:tblCellMar>
          <w:top w:w="0" w:type="dxa"/>
          <w:left w:w="108" w:type="dxa"/>
          <w:bottom w:w="0" w:type="dxa"/>
          <w:right w:w="108" w:type="dxa"/>
        </w:tblCellMar>
      </w:tblPr>
      <w:tblGrid>
        <w:gridCol w:w="2091"/>
        <w:gridCol w:w="5538"/>
        <w:gridCol w:w="1923"/>
      </w:tblGrid>
      <w:tr>
        <w:tblPrEx>
          <w:tblCellMar>
            <w:top w:w="0" w:type="dxa"/>
            <w:left w:w="108" w:type="dxa"/>
            <w:bottom w:w="0" w:type="dxa"/>
            <w:right w:w="108" w:type="dxa"/>
          </w:tblCellMar>
        </w:tblPrEx>
        <w:trPr>
          <w:trHeight w:val="916" w:hRule="atLeast"/>
          <w:jc w:val="center"/>
        </w:trPr>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2"/>
                <w:highlight w:val="none"/>
              </w:rPr>
            </w:pPr>
            <w:r>
              <w:rPr>
                <w:rFonts w:hint="eastAsia" w:ascii="宋体" w:hAnsi="宋体"/>
                <w:sz w:val="22"/>
                <w:szCs w:val="22"/>
                <w:highlight w:val="none"/>
              </w:rPr>
              <w:t>项目名称</w:t>
            </w:r>
          </w:p>
        </w:tc>
        <w:tc>
          <w:tcPr>
            <w:tcW w:w="553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olor w:val="FF0000"/>
                <w:sz w:val="22"/>
                <w:szCs w:val="22"/>
                <w:highlight w:val="none"/>
              </w:rPr>
            </w:pPr>
            <w:r>
              <w:rPr>
                <w:rFonts w:hint="eastAsia" w:ascii="宋体" w:hAnsi="宋体" w:eastAsia="宋体" w:cs="宋体"/>
                <w:kern w:val="0"/>
                <w:sz w:val="22"/>
                <w:szCs w:val="22"/>
                <w:highlight w:val="none"/>
              </w:rPr>
              <w:t>投标报价（总价）</w:t>
            </w:r>
          </w:p>
        </w:tc>
        <w:tc>
          <w:tcPr>
            <w:tcW w:w="1923"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2"/>
                <w:szCs w:val="22"/>
                <w:highlight w:val="none"/>
              </w:rPr>
            </w:pPr>
            <w:r>
              <w:rPr>
                <w:rFonts w:hint="eastAsia" w:ascii="宋体" w:hAnsi="宋体" w:eastAsia="宋体"/>
                <w:sz w:val="22"/>
                <w:szCs w:val="22"/>
                <w:highlight w:val="none"/>
              </w:rPr>
              <w:t>采购预算（元）</w:t>
            </w:r>
          </w:p>
        </w:tc>
      </w:tr>
      <w:tr>
        <w:tblPrEx>
          <w:tblCellMar>
            <w:top w:w="0" w:type="dxa"/>
            <w:left w:w="108" w:type="dxa"/>
            <w:bottom w:w="0" w:type="dxa"/>
            <w:right w:w="108" w:type="dxa"/>
          </w:tblCellMar>
        </w:tblPrEx>
        <w:trPr>
          <w:trHeight w:val="1554" w:hRule="atLeast"/>
          <w:jc w:val="center"/>
        </w:trPr>
        <w:tc>
          <w:tcPr>
            <w:tcW w:w="20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sz w:val="22"/>
                <w:szCs w:val="22"/>
                <w:highlight w:val="none"/>
                <w:lang w:eastAsia="zh-CN"/>
              </w:rPr>
            </w:pPr>
            <w:r>
              <w:rPr>
                <w:rFonts w:hint="eastAsia" w:ascii="宋体" w:hAnsi="宋体"/>
                <w:sz w:val="22"/>
                <w:szCs w:val="22"/>
                <w:highlight w:val="none"/>
                <w:lang w:eastAsia="zh-CN"/>
              </w:rPr>
              <w:t>2024年农村公路路况及桥梁自动化检测（二次）</w:t>
            </w:r>
          </w:p>
        </w:tc>
        <w:tc>
          <w:tcPr>
            <w:tcW w:w="5538" w:type="dxa"/>
            <w:tcBorders>
              <w:top w:val="single" w:color="auto" w:sz="4" w:space="0"/>
              <w:left w:val="single" w:color="auto" w:sz="4" w:space="0"/>
              <w:bottom w:val="single" w:color="auto" w:sz="4" w:space="0"/>
              <w:right w:val="single" w:color="auto" w:sz="8" w:space="0"/>
            </w:tcBorders>
            <w:vAlign w:val="center"/>
          </w:tcPr>
          <w:p>
            <w:pPr>
              <w:jc w:val="left"/>
              <w:rPr>
                <w:rFonts w:ascii="宋体" w:hAnsi="宋体"/>
                <w:sz w:val="22"/>
                <w:szCs w:val="22"/>
                <w:highlight w:val="none"/>
              </w:rPr>
            </w:pPr>
            <w:r>
              <w:rPr>
                <w:rFonts w:hint="eastAsia" w:ascii="宋体" w:hAnsi="宋体"/>
                <w:sz w:val="22"/>
                <w:szCs w:val="22"/>
                <w:highlight w:val="none"/>
              </w:rPr>
              <w:t>小写:</w:t>
            </w:r>
          </w:p>
          <w:p>
            <w:pPr>
              <w:jc w:val="left"/>
              <w:rPr>
                <w:rFonts w:ascii="宋体" w:hAnsi="宋体"/>
                <w:sz w:val="22"/>
                <w:szCs w:val="22"/>
                <w:highlight w:val="none"/>
              </w:rPr>
            </w:pPr>
          </w:p>
          <w:p>
            <w:pPr>
              <w:jc w:val="left"/>
              <w:rPr>
                <w:rFonts w:ascii="宋体" w:hAnsi="宋体"/>
                <w:color w:val="FF0000"/>
                <w:sz w:val="22"/>
                <w:szCs w:val="22"/>
                <w:highlight w:val="none"/>
              </w:rPr>
            </w:pPr>
            <w:r>
              <w:rPr>
                <w:rFonts w:hint="eastAsia" w:ascii="宋体" w:hAnsi="宋体"/>
                <w:sz w:val="22"/>
                <w:szCs w:val="22"/>
                <w:highlight w:val="none"/>
              </w:rPr>
              <w:t>大写：</w:t>
            </w:r>
          </w:p>
        </w:tc>
        <w:tc>
          <w:tcPr>
            <w:tcW w:w="1923"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eastAsiaTheme="minorEastAsia"/>
                <w:sz w:val="22"/>
                <w:szCs w:val="22"/>
                <w:highlight w:val="none"/>
                <w:lang w:val="en-US" w:eastAsia="zh-CN"/>
              </w:rPr>
            </w:pPr>
            <w:r>
              <w:rPr>
                <w:rFonts w:hint="eastAsia" w:ascii="宋体" w:hAnsi="宋体"/>
                <w:sz w:val="22"/>
                <w:szCs w:val="22"/>
                <w:highlight w:val="none"/>
                <w:lang w:val="en-US" w:eastAsia="zh-CN"/>
              </w:rPr>
              <w:t>722785</w:t>
            </w:r>
          </w:p>
        </w:tc>
      </w:tr>
    </w:tbl>
    <w:p>
      <w:pPr>
        <w:autoSpaceDE w:val="0"/>
        <w:autoSpaceDN w:val="0"/>
        <w:adjustRightInd w:val="0"/>
        <w:spacing w:line="440" w:lineRule="atLeast"/>
        <w:ind w:firstLine="442" w:firstLineChars="200"/>
        <w:rPr>
          <w:rFonts w:ascii="宋体" w:hAnsi="宋体" w:cs="仿宋_GB2312"/>
          <w:b/>
          <w:bCs/>
          <w:sz w:val="22"/>
          <w:highlight w:val="none"/>
        </w:rPr>
      </w:pPr>
    </w:p>
    <w:p>
      <w:pPr>
        <w:autoSpaceDE w:val="0"/>
        <w:autoSpaceDN w:val="0"/>
        <w:adjustRightInd w:val="0"/>
        <w:spacing w:line="440" w:lineRule="atLeast"/>
        <w:rPr>
          <w:rFonts w:ascii="宋体" w:hAnsi="宋体" w:cs="仿宋_GB2312"/>
          <w:b/>
          <w:bCs/>
          <w:sz w:val="22"/>
          <w:highlight w:val="none"/>
        </w:rPr>
      </w:pPr>
      <w:r>
        <w:rPr>
          <w:rFonts w:hint="eastAsia" w:ascii="宋体" w:hAnsi="宋体" w:cs="仿宋_GB2312"/>
          <w:b/>
          <w:bCs/>
          <w:sz w:val="22"/>
          <w:highlight w:val="none"/>
        </w:rPr>
        <w:t>▲注:</w:t>
      </w:r>
    </w:p>
    <w:p>
      <w:pPr>
        <w:autoSpaceDE w:val="0"/>
        <w:autoSpaceDN w:val="0"/>
        <w:adjustRightInd w:val="0"/>
        <w:spacing w:line="440" w:lineRule="atLeast"/>
        <w:ind w:firstLine="420"/>
        <w:rPr>
          <w:rFonts w:ascii="宋体" w:hAnsi="宋体" w:eastAsia="宋体" w:cs="仿宋_GB2312"/>
          <w:b/>
          <w:bCs/>
          <w:sz w:val="22"/>
          <w:szCs w:val="22"/>
          <w:highlight w:val="none"/>
        </w:rPr>
      </w:pPr>
      <w:r>
        <w:rPr>
          <w:rFonts w:hint="eastAsia" w:ascii="宋体" w:hAnsi="宋体" w:eastAsia="宋体" w:cs="仿宋_GB2312"/>
          <w:b/>
          <w:bCs/>
          <w:sz w:val="22"/>
          <w:szCs w:val="22"/>
          <w:highlight w:val="none"/>
        </w:rPr>
        <w:t>1、不提供此表格的将视为没有实质性响应招标文件。</w:t>
      </w:r>
    </w:p>
    <w:p>
      <w:pPr>
        <w:autoSpaceDE w:val="0"/>
        <w:autoSpaceDN w:val="0"/>
        <w:adjustRightInd w:val="0"/>
        <w:spacing w:line="440" w:lineRule="atLeast"/>
        <w:ind w:firstLine="420"/>
        <w:rPr>
          <w:rFonts w:ascii="宋体" w:hAnsi="宋体" w:eastAsia="宋体" w:cs="仿宋_GB2312"/>
          <w:b/>
          <w:bCs/>
          <w:sz w:val="22"/>
          <w:szCs w:val="22"/>
          <w:highlight w:val="none"/>
        </w:rPr>
      </w:pPr>
      <w:r>
        <w:rPr>
          <w:rFonts w:hint="eastAsia" w:ascii="宋体" w:hAnsi="宋体" w:eastAsia="宋体" w:cs="仿宋_GB2312"/>
          <w:b/>
          <w:bCs/>
          <w:sz w:val="22"/>
          <w:szCs w:val="22"/>
          <w:highlight w:val="none"/>
        </w:rPr>
        <w:t xml:space="preserve">2、报价一经涂改，应在涂改处加盖单位公章或者由法定代表人或授权委托人签字，否则其投标作无效标处理。 </w:t>
      </w:r>
    </w:p>
    <w:p>
      <w:pPr>
        <w:autoSpaceDE w:val="0"/>
        <w:autoSpaceDN w:val="0"/>
        <w:adjustRightInd w:val="0"/>
        <w:spacing w:line="440" w:lineRule="atLeast"/>
        <w:ind w:firstLine="420"/>
        <w:rPr>
          <w:rFonts w:ascii="宋体" w:hAnsi="宋体" w:eastAsia="宋体" w:cs="仿宋_GB2312"/>
          <w:b/>
          <w:bCs/>
          <w:sz w:val="22"/>
          <w:szCs w:val="22"/>
          <w:highlight w:val="none"/>
        </w:rPr>
      </w:pPr>
      <w:r>
        <w:rPr>
          <w:rFonts w:hint="eastAsia" w:ascii="宋体" w:hAnsi="宋体" w:eastAsia="宋体" w:cs="仿宋_GB2312"/>
          <w:b/>
          <w:bCs/>
          <w:sz w:val="22"/>
          <w:szCs w:val="22"/>
          <w:highlight w:val="none"/>
        </w:rPr>
        <w:t>3、投标总价含设备费、运输安装费、规费、税费、保险费、验收费用、代理费等完成本项目的所有费用。</w:t>
      </w:r>
    </w:p>
    <w:p>
      <w:pPr>
        <w:autoSpaceDE w:val="0"/>
        <w:autoSpaceDN w:val="0"/>
        <w:adjustRightInd w:val="0"/>
        <w:spacing w:line="440" w:lineRule="atLeast"/>
        <w:ind w:firstLine="420" w:firstLineChars="200"/>
        <w:rPr>
          <w:sz w:val="24"/>
          <w:highlight w:val="none"/>
        </w:rPr>
      </w:pPr>
      <w:r>
        <w:rPr>
          <w:rFonts w:hint="eastAsia"/>
          <w:szCs w:val="21"/>
          <w:highlight w:val="none"/>
        </w:rPr>
        <w:t xml:space="preserve">      </w:t>
      </w:r>
    </w:p>
    <w:p>
      <w:pPr>
        <w:autoSpaceDE w:val="0"/>
        <w:autoSpaceDN w:val="0"/>
        <w:adjustRightInd w:val="0"/>
        <w:spacing w:line="440" w:lineRule="atLeast"/>
        <w:rPr>
          <w:rFonts w:ascii="宋体" w:hAnsi="宋体" w:cs="仿宋_GB2312"/>
          <w:sz w:val="22"/>
          <w:highlight w:val="none"/>
        </w:rPr>
      </w:pPr>
    </w:p>
    <w:p>
      <w:pPr>
        <w:autoSpaceDE w:val="0"/>
        <w:autoSpaceDN w:val="0"/>
        <w:adjustRightInd w:val="0"/>
        <w:spacing w:line="440" w:lineRule="atLeast"/>
        <w:jc w:val="left"/>
        <w:rPr>
          <w:rFonts w:ascii="宋体" w:cs="仿宋_GB2312"/>
          <w:sz w:val="22"/>
          <w:highlight w:val="none"/>
        </w:rPr>
      </w:pPr>
      <w:r>
        <w:rPr>
          <w:rFonts w:hint="eastAsia" w:ascii="宋体" w:hAnsi="宋体" w:cs="仿宋_GB2312"/>
          <w:sz w:val="22"/>
          <w:highlight w:val="none"/>
        </w:rPr>
        <w:t>供应商全称（盖章）：</w:t>
      </w:r>
    </w:p>
    <w:p>
      <w:pPr>
        <w:autoSpaceDE w:val="0"/>
        <w:autoSpaceDN w:val="0"/>
        <w:adjustRightInd w:val="0"/>
        <w:spacing w:line="440" w:lineRule="atLeast"/>
        <w:jc w:val="left"/>
        <w:rPr>
          <w:rFonts w:ascii="宋体" w:cs="仿宋_GB2312"/>
          <w:sz w:val="22"/>
          <w:highlight w:val="none"/>
        </w:rPr>
      </w:pPr>
      <w:r>
        <w:rPr>
          <w:rFonts w:hint="eastAsia" w:ascii="宋体" w:hAnsi="宋体" w:cs="仿宋_GB2312"/>
          <w:sz w:val="22"/>
          <w:highlight w:val="none"/>
        </w:rPr>
        <w:t>法定代表人（签字或盖章）或授权代表（签字）：</w:t>
      </w:r>
      <w:r>
        <w:rPr>
          <w:rFonts w:ascii="宋体" w:hAnsi="宋体" w:cs="仿宋_GB2312"/>
          <w:sz w:val="22"/>
          <w:highlight w:val="none"/>
        </w:rPr>
        <w:tab/>
      </w:r>
    </w:p>
    <w:p>
      <w:pPr>
        <w:pStyle w:val="16"/>
        <w:adjustRightInd w:val="0"/>
        <w:snapToGrid w:val="0"/>
        <w:spacing w:line="400" w:lineRule="exact"/>
        <w:jc w:val="left"/>
        <w:rPr>
          <w:rFonts w:hAnsi="宋体"/>
          <w:b/>
          <w:bCs/>
          <w:sz w:val="32"/>
          <w:szCs w:val="32"/>
          <w:highlight w:val="none"/>
        </w:rPr>
      </w:pPr>
      <w:r>
        <w:rPr>
          <w:rFonts w:hint="eastAsia" w:hAnsi="宋体" w:cs="仿宋_GB2312"/>
          <w:sz w:val="22"/>
          <w:highlight w:val="none"/>
        </w:rPr>
        <w:t>日期：</w:t>
      </w:r>
      <w:r>
        <w:rPr>
          <w:rFonts w:hint="eastAsia" w:hAnsi="宋体"/>
          <w:b/>
          <w:sz w:val="32"/>
          <w:szCs w:val="32"/>
          <w:highlight w:val="none"/>
        </w:rPr>
        <w:br w:type="page"/>
      </w:r>
    </w:p>
    <w:p>
      <w:pPr>
        <w:pStyle w:val="16"/>
        <w:adjustRightInd w:val="0"/>
        <w:snapToGrid w:val="0"/>
        <w:spacing w:line="460" w:lineRule="atLeast"/>
        <w:jc w:val="left"/>
        <w:rPr>
          <w:rFonts w:hint="eastAsia" w:hAnsi="宋体"/>
          <w:sz w:val="32"/>
          <w:szCs w:val="32"/>
          <w:highlight w:val="none"/>
        </w:rPr>
      </w:pPr>
      <w:r>
        <w:rPr>
          <w:rFonts w:hint="eastAsia" w:hAnsi="宋体"/>
          <w:b/>
          <w:bCs/>
          <w:sz w:val="32"/>
          <w:szCs w:val="32"/>
          <w:highlight w:val="none"/>
        </w:rPr>
        <w:t>附件一（</w:t>
      </w:r>
      <w:r>
        <w:rPr>
          <w:rFonts w:hint="eastAsia" w:hAnsi="宋体"/>
          <w:b/>
          <w:bCs/>
          <w:sz w:val="32"/>
          <w:szCs w:val="32"/>
          <w:highlight w:val="none"/>
          <w:lang w:eastAsia="zh-CN"/>
        </w:rPr>
        <w:t>二</w:t>
      </w:r>
      <w:r>
        <w:rPr>
          <w:rFonts w:hint="eastAsia" w:hAnsi="宋体"/>
          <w:b/>
          <w:bCs/>
          <w:sz w:val="32"/>
          <w:szCs w:val="32"/>
          <w:highlight w:val="none"/>
        </w:rPr>
        <w:t>）</w:t>
      </w:r>
      <w:r>
        <w:rPr>
          <w:rFonts w:hint="eastAsia" w:hAnsi="宋体"/>
          <w:sz w:val="32"/>
          <w:szCs w:val="32"/>
          <w:highlight w:val="none"/>
        </w:rPr>
        <w:t xml:space="preserve"> </w:t>
      </w:r>
    </w:p>
    <w:p>
      <w:pPr>
        <w:pStyle w:val="16"/>
        <w:adjustRightInd w:val="0"/>
        <w:snapToGrid w:val="0"/>
        <w:spacing w:line="460" w:lineRule="atLeast"/>
        <w:jc w:val="center"/>
        <w:rPr>
          <w:rFonts w:hAnsi="Times New Roman"/>
          <w:sz w:val="36"/>
          <w:szCs w:val="36"/>
          <w:highlight w:val="none"/>
        </w:rPr>
      </w:pPr>
      <w:r>
        <w:rPr>
          <w:rFonts w:hint="eastAsia" w:hAnsi="Times New Roman"/>
          <w:b/>
          <w:bCs/>
          <w:sz w:val="36"/>
          <w:szCs w:val="36"/>
          <w:highlight w:val="none"/>
        </w:rPr>
        <w:t>投标分项报价表（一）</w:t>
      </w:r>
    </w:p>
    <w:p>
      <w:pPr>
        <w:pStyle w:val="16"/>
        <w:tabs>
          <w:tab w:val="left" w:pos="900"/>
        </w:tabs>
        <w:spacing w:before="120" w:after="120"/>
        <w:rPr>
          <w:rFonts w:hAnsi="宋体"/>
          <w:color w:val="000000"/>
          <w:highlight w:val="none"/>
        </w:rPr>
      </w:pPr>
      <w:r>
        <w:rPr>
          <w:rFonts w:hint="eastAsia" w:hAnsi="宋体"/>
          <w:color w:val="000000"/>
          <w:highlight w:val="none"/>
        </w:rPr>
        <w:t>供应商</w:t>
      </w:r>
      <w:r>
        <w:rPr>
          <w:rFonts w:hAnsi="宋体"/>
          <w:color w:val="000000"/>
          <w:highlight w:val="none"/>
        </w:rPr>
        <w:t xml:space="preserve">名称：        </w:t>
      </w:r>
    </w:p>
    <w:tbl>
      <w:tblPr>
        <w:tblStyle w:val="29"/>
        <w:tblW w:w="9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124"/>
        <w:gridCol w:w="1305"/>
        <w:gridCol w:w="2805"/>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5" w:type="dxa"/>
          </w:tcPr>
          <w:p>
            <w:pPr>
              <w:jc w:val="center"/>
              <w:rPr>
                <w:rFonts w:ascii="宋体" w:hAnsi="宋体"/>
                <w:b/>
                <w:bCs/>
                <w:color w:val="000000"/>
                <w:szCs w:val="21"/>
                <w:highlight w:val="none"/>
              </w:rPr>
            </w:pPr>
            <w:r>
              <w:rPr>
                <w:rFonts w:hint="eastAsia" w:ascii="宋体" w:hAnsi="宋体"/>
                <w:b/>
                <w:bCs/>
                <w:color w:val="000000"/>
                <w:szCs w:val="21"/>
                <w:highlight w:val="none"/>
              </w:rPr>
              <w:t>序号</w:t>
            </w:r>
          </w:p>
        </w:tc>
        <w:tc>
          <w:tcPr>
            <w:tcW w:w="2124" w:type="dxa"/>
            <w:vAlign w:val="center"/>
          </w:tcPr>
          <w:p>
            <w:pPr>
              <w:spacing w:line="360" w:lineRule="auto"/>
              <w:jc w:val="center"/>
              <w:rPr>
                <w:rFonts w:ascii="宋体" w:hAnsi="宋体"/>
                <w:color w:val="000000"/>
                <w:szCs w:val="21"/>
                <w:highlight w:val="none"/>
              </w:rPr>
            </w:pPr>
            <w:r>
              <w:rPr>
                <w:rFonts w:hint="eastAsia" w:ascii="宋体" w:hAnsi="宋体"/>
                <w:b/>
                <w:bCs/>
                <w:color w:val="000000"/>
                <w:szCs w:val="21"/>
                <w:highlight w:val="none"/>
              </w:rPr>
              <w:t>项目</w:t>
            </w:r>
          </w:p>
        </w:tc>
        <w:tc>
          <w:tcPr>
            <w:tcW w:w="1305" w:type="dxa"/>
            <w:vAlign w:val="center"/>
          </w:tcPr>
          <w:p>
            <w:pPr>
              <w:spacing w:line="360" w:lineRule="auto"/>
              <w:jc w:val="center"/>
              <w:rPr>
                <w:rFonts w:ascii="宋体" w:hAnsi="宋体"/>
                <w:b/>
                <w:bCs/>
                <w:color w:val="000000"/>
                <w:szCs w:val="21"/>
                <w:highlight w:val="none"/>
              </w:rPr>
            </w:pPr>
            <w:r>
              <w:rPr>
                <w:rFonts w:hint="eastAsia" w:ascii="宋体" w:hAnsi="宋体"/>
                <w:b/>
                <w:bCs/>
                <w:color w:val="000000"/>
                <w:szCs w:val="21"/>
                <w:highlight w:val="none"/>
              </w:rPr>
              <w:t>数量</w:t>
            </w:r>
          </w:p>
        </w:tc>
        <w:tc>
          <w:tcPr>
            <w:tcW w:w="2805" w:type="dxa"/>
            <w:vAlign w:val="center"/>
          </w:tcPr>
          <w:p>
            <w:pPr>
              <w:spacing w:line="360" w:lineRule="auto"/>
              <w:jc w:val="center"/>
              <w:rPr>
                <w:rFonts w:ascii="宋体" w:hAnsi="宋体"/>
                <w:color w:val="000000"/>
                <w:szCs w:val="21"/>
                <w:highlight w:val="none"/>
              </w:rPr>
            </w:pPr>
            <w:r>
              <w:rPr>
                <w:rFonts w:hint="eastAsia" w:ascii="宋体" w:hAnsi="宋体"/>
                <w:b/>
                <w:bCs/>
                <w:color w:val="000000"/>
                <w:szCs w:val="21"/>
                <w:highlight w:val="none"/>
              </w:rPr>
              <w:t>投标单价（</w:t>
            </w:r>
            <w:r>
              <w:rPr>
                <w:rFonts w:hint="eastAsia" w:ascii="宋体" w:hAnsi="宋体"/>
                <w:b/>
                <w:color w:val="000000"/>
                <w:szCs w:val="21"/>
                <w:highlight w:val="none"/>
              </w:rPr>
              <w:t>元</w:t>
            </w:r>
            <w:r>
              <w:rPr>
                <w:rFonts w:hint="eastAsia" w:ascii="宋体" w:hAnsi="宋体"/>
                <w:b/>
                <w:bCs/>
                <w:color w:val="000000"/>
                <w:szCs w:val="21"/>
                <w:highlight w:val="none"/>
              </w:rPr>
              <w:t>）/公里</w:t>
            </w:r>
          </w:p>
        </w:tc>
        <w:tc>
          <w:tcPr>
            <w:tcW w:w="2850" w:type="dxa"/>
            <w:vAlign w:val="center"/>
          </w:tcPr>
          <w:p>
            <w:pPr>
              <w:spacing w:line="360" w:lineRule="auto"/>
              <w:jc w:val="center"/>
              <w:rPr>
                <w:rFonts w:hint="eastAsia" w:ascii="宋体" w:hAnsi="宋体" w:eastAsiaTheme="minorEastAsia"/>
                <w:b/>
                <w:bCs/>
                <w:color w:val="000000"/>
                <w:szCs w:val="21"/>
                <w:highlight w:val="none"/>
                <w:lang w:eastAsia="zh-CN"/>
              </w:rPr>
            </w:pPr>
            <w:r>
              <w:rPr>
                <w:rFonts w:hint="eastAsia" w:ascii="宋体" w:hAnsi="宋体"/>
                <w:b/>
                <w:bCs/>
                <w:color w:val="000000"/>
                <w:szCs w:val="21"/>
                <w:highlight w:val="none"/>
                <w:lang w:eastAsia="zh-CN"/>
              </w:rPr>
              <w:t>单价限价</w:t>
            </w:r>
            <w:r>
              <w:rPr>
                <w:rFonts w:hint="eastAsia" w:ascii="宋体" w:hAnsi="宋体"/>
                <w:b/>
                <w:bCs/>
                <w:color w:val="000000"/>
                <w:szCs w:val="21"/>
                <w:highlight w:val="none"/>
              </w:rPr>
              <w:t>（</w:t>
            </w:r>
            <w:r>
              <w:rPr>
                <w:rFonts w:hint="eastAsia" w:ascii="宋体" w:hAnsi="宋体"/>
                <w:b/>
                <w:color w:val="000000"/>
                <w:szCs w:val="21"/>
                <w:highlight w:val="none"/>
              </w:rPr>
              <w:t>元</w:t>
            </w:r>
            <w:r>
              <w:rPr>
                <w:rFonts w:hint="eastAsia" w:ascii="宋体" w:hAnsi="宋体"/>
                <w:b/>
                <w:bCs/>
                <w:color w:val="000000"/>
                <w:szCs w:val="21"/>
                <w:highlight w:val="none"/>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85" w:type="dxa"/>
            <w:vAlign w:val="center"/>
          </w:tcPr>
          <w:p>
            <w:pPr>
              <w:spacing w:line="360" w:lineRule="auto"/>
              <w:jc w:val="center"/>
              <w:rPr>
                <w:rFonts w:ascii="宋体" w:hAnsi="宋体"/>
                <w:color w:val="000000"/>
                <w:szCs w:val="21"/>
                <w:highlight w:val="none"/>
              </w:rPr>
            </w:pPr>
            <w:r>
              <w:rPr>
                <w:rFonts w:ascii="宋体" w:hAnsi="宋体"/>
                <w:color w:val="000000"/>
                <w:szCs w:val="21"/>
                <w:highlight w:val="none"/>
              </w:rPr>
              <w:t>1</w:t>
            </w:r>
          </w:p>
        </w:tc>
        <w:tc>
          <w:tcPr>
            <w:tcW w:w="2124" w:type="dxa"/>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路况检测</w:t>
            </w:r>
          </w:p>
        </w:tc>
        <w:tc>
          <w:tcPr>
            <w:tcW w:w="1305" w:type="dxa"/>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lang w:val="en-US" w:eastAsia="zh-CN"/>
              </w:rPr>
              <w:t>908.9</w:t>
            </w:r>
            <w:r>
              <w:rPr>
                <w:rFonts w:hint="eastAsia" w:ascii="宋体" w:hAnsi="宋体"/>
                <w:color w:val="000000"/>
                <w:szCs w:val="21"/>
                <w:highlight w:val="none"/>
              </w:rPr>
              <w:t>公里</w:t>
            </w:r>
          </w:p>
        </w:tc>
        <w:tc>
          <w:tcPr>
            <w:tcW w:w="2805" w:type="dxa"/>
            <w:vAlign w:val="center"/>
          </w:tcPr>
          <w:p>
            <w:pPr>
              <w:spacing w:line="360" w:lineRule="auto"/>
              <w:jc w:val="center"/>
              <w:rPr>
                <w:rFonts w:ascii="宋体" w:hAnsi="宋体"/>
                <w:color w:val="000000"/>
                <w:szCs w:val="21"/>
                <w:highlight w:val="none"/>
              </w:rPr>
            </w:pPr>
          </w:p>
        </w:tc>
        <w:tc>
          <w:tcPr>
            <w:tcW w:w="2850" w:type="dxa"/>
            <w:vAlign w:val="center"/>
          </w:tcPr>
          <w:p>
            <w:pPr>
              <w:spacing w:line="360" w:lineRule="auto"/>
              <w:jc w:val="center"/>
              <w:rPr>
                <w:rFonts w:hint="default"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650</w:t>
            </w:r>
          </w:p>
        </w:tc>
      </w:tr>
    </w:tbl>
    <w:p>
      <w:pPr>
        <w:pStyle w:val="16"/>
        <w:spacing w:line="460" w:lineRule="atLeast"/>
        <w:rPr>
          <w:rFonts w:hAnsi="宋体"/>
          <w:sz w:val="22"/>
          <w:szCs w:val="22"/>
          <w:highlight w:val="none"/>
        </w:rPr>
      </w:pPr>
    </w:p>
    <w:p>
      <w:pPr>
        <w:pStyle w:val="16"/>
        <w:adjustRightInd w:val="0"/>
        <w:snapToGrid w:val="0"/>
        <w:spacing w:line="460" w:lineRule="atLeast"/>
        <w:jc w:val="center"/>
        <w:rPr>
          <w:rFonts w:hAnsi="Times New Roman"/>
          <w:sz w:val="36"/>
          <w:szCs w:val="36"/>
          <w:highlight w:val="none"/>
        </w:rPr>
      </w:pPr>
      <w:r>
        <w:rPr>
          <w:rFonts w:hAnsi="宋体"/>
          <w:b/>
          <w:bCs/>
          <w:sz w:val="32"/>
          <w:szCs w:val="32"/>
          <w:highlight w:val="none"/>
        </w:rPr>
        <w:tab/>
      </w:r>
      <w:r>
        <w:rPr>
          <w:rFonts w:hint="eastAsia" w:hAnsi="Times New Roman"/>
          <w:b/>
          <w:bCs/>
          <w:sz w:val="36"/>
          <w:szCs w:val="36"/>
          <w:highlight w:val="none"/>
        </w:rPr>
        <w:t>投标分项报价表（二）</w:t>
      </w:r>
    </w:p>
    <w:p>
      <w:pPr>
        <w:pStyle w:val="16"/>
        <w:tabs>
          <w:tab w:val="left" w:pos="900"/>
        </w:tabs>
        <w:spacing w:before="120" w:after="120"/>
        <w:rPr>
          <w:rFonts w:hAnsi="宋体"/>
          <w:color w:val="000000"/>
          <w:highlight w:val="none"/>
        </w:rPr>
      </w:pPr>
      <w:r>
        <w:rPr>
          <w:rFonts w:hint="eastAsia" w:hAnsi="宋体"/>
          <w:color w:val="000000"/>
          <w:highlight w:val="none"/>
        </w:rPr>
        <w:t>供应商</w:t>
      </w:r>
      <w:r>
        <w:rPr>
          <w:rFonts w:hAnsi="宋体"/>
          <w:color w:val="000000"/>
          <w:highlight w:val="none"/>
        </w:rPr>
        <w:t xml:space="preserve">名称：        </w:t>
      </w:r>
    </w:p>
    <w:tbl>
      <w:tblPr>
        <w:tblStyle w:val="2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154"/>
        <w:gridCol w:w="1290"/>
        <w:gridCol w:w="2805"/>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5" w:type="dxa"/>
          </w:tcPr>
          <w:p>
            <w:pPr>
              <w:jc w:val="center"/>
              <w:rPr>
                <w:rFonts w:ascii="宋体" w:hAnsi="宋体"/>
                <w:b/>
                <w:bCs/>
                <w:color w:val="000000"/>
                <w:szCs w:val="21"/>
                <w:highlight w:val="none"/>
              </w:rPr>
            </w:pPr>
            <w:r>
              <w:rPr>
                <w:rFonts w:hint="eastAsia" w:ascii="宋体" w:hAnsi="宋体"/>
                <w:b/>
                <w:bCs/>
                <w:color w:val="000000"/>
                <w:szCs w:val="21"/>
                <w:highlight w:val="none"/>
              </w:rPr>
              <w:t>序号</w:t>
            </w:r>
          </w:p>
        </w:tc>
        <w:tc>
          <w:tcPr>
            <w:tcW w:w="2154" w:type="dxa"/>
            <w:vAlign w:val="center"/>
          </w:tcPr>
          <w:p>
            <w:pPr>
              <w:spacing w:line="360" w:lineRule="auto"/>
              <w:jc w:val="center"/>
              <w:rPr>
                <w:rFonts w:ascii="宋体" w:hAnsi="宋体"/>
                <w:color w:val="000000"/>
                <w:szCs w:val="21"/>
                <w:highlight w:val="none"/>
              </w:rPr>
            </w:pPr>
            <w:r>
              <w:rPr>
                <w:rFonts w:hint="eastAsia" w:ascii="宋体" w:hAnsi="宋体"/>
                <w:b/>
                <w:bCs/>
                <w:color w:val="000000"/>
                <w:szCs w:val="21"/>
                <w:highlight w:val="none"/>
              </w:rPr>
              <w:t>项目</w:t>
            </w:r>
          </w:p>
        </w:tc>
        <w:tc>
          <w:tcPr>
            <w:tcW w:w="1290" w:type="dxa"/>
            <w:vAlign w:val="center"/>
          </w:tcPr>
          <w:p>
            <w:pPr>
              <w:spacing w:line="360" w:lineRule="auto"/>
              <w:jc w:val="center"/>
              <w:rPr>
                <w:rFonts w:ascii="宋体" w:hAnsi="宋体"/>
                <w:b/>
                <w:bCs/>
                <w:color w:val="000000"/>
                <w:szCs w:val="21"/>
                <w:highlight w:val="none"/>
              </w:rPr>
            </w:pPr>
            <w:r>
              <w:rPr>
                <w:rFonts w:hint="eastAsia" w:ascii="宋体" w:hAnsi="宋体"/>
                <w:b/>
                <w:bCs/>
                <w:color w:val="000000"/>
                <w:szCs w:val="21"/>
                <w:highlight w:val="none"/>
              </w:rPr>
              <w:t>数量</w:t>
            </w:r>
          </w:p>
        </w:tc>
        <w:tc>
          <w:tcPr>
            <w:tcW w:w="2805" w:type="dxa"/>
            <w:vAlign w:val="center"/>
          </w:tcPr>
          <w:p>
            <w:pPr>
              <w:spacing w:line="360" w:lineRule="auto"/>
              <w:jc w:val="center"/>
              <w:rPr>
                <w:rFonts w:ascii="宋体" w:hAnsi="宋体"/>
                <w:color w:val="000000"/>
                <w:szCs w:val="21"/>
                <w:highlight w:val="none"/>
              </w:rPr>
            </w:pPr>
            <w:r>
              <w:rPr>
                <w:rFonts w:hint="eastAsia" w:ascii="宋体" w:hAnsi="宋体"/>
                <w:b/>
                <w:bCs/>
                <w:color w:val="000000"/>
                <w:szCs w:val="21"/>
                <w:highlight w:val="none"/>
              </w:rPr>
              <w:t>投标单价（</w:t>
            </w:r>
            <w:r>
              <w:rPr>
                <w:rFonts w:hint="eastAsia" w:ascii="宋体" w:hAnsi="宋体"/>
                <w:b/>
                <w:color w:val="000000"/>
                <w:szCs w:val="21"/>
                <w:highlight w:val="none"/>
              </w:rPr>
              <w:t>元</w:t>
            </w:r>
            <w:r>
              <w:rPr>
                <w:rFonts w:hint="eastAsia" w:ascii="宋体" w:hAnsi="宋体"/>
                <w:b/>
                <w:bCs/>
                <w:color w:val="000000"/>
                <w:szCs w:val="21"/>
                <w:highlight w:val="none"/>
              </w:rPr>
              <w:t>）/延米</w:t>
            </w:r>
          </w:p>
        </w:tc>
        <w:tc>
          <w:tcPr>
            <w:tcW w:w="2820" w:type="dxa"/>
            <w:vAlign w:val="center"/>
          </w:tcPr>
          <w:p>
            <w:pPr>
              <w:spacing w:line="360" w:lineRule="auto"/>
              <w:jc w:val="center"/>
              <w:rPr>
                <w:rFonts w:hint="eastAsia" w:ascii="宋体" w:hAnsi="宋体"/>
                <w:b/>
                <w:bCs/>
                <w:color w:val="000000"/>
                <w:szCs w:val="21"/>
                <w:highlight w:val="none"/>
              </w:rPr>
            </w:pPr>
            <w:r>
              <w:rPr>
                <w:rFonts w:hint="eastAsia" w:ascii="宋体" w:hAnsi="宋体"/>
                <w:b/>
                <w:bCs/>
                <w:color w:val="000000"/>
                <w:szCs w:val="21"/>
                <w:highlight w:val="none"/>
                <w:lang w:eastAsia="zh-CN"/>
              </w:rPr>
              <w:t>单价限价</w:t>
            </w:r>
            <w:r>
              <w:rPr>
                <w:rFonts w:hint="eastAsia" w:ascii="宋体" w:hAnsi="宋体"/>
                <w:b/>
                <w:bCs/>
                <w:color w:val="000000"/>
                <w:szCs w:val="21"/>
                <w:highlight w:val="none"/>
              </w:rPr>
              <w:t>（</w:t>
            </w:r>
            <w:r>
              <w:rPr>
                <w:rFonts w:hint="eastAsia" w:ascii="宋体" w:hAnsi="宋体"/>
                <w:b/>
                <w:color w:val="000000"/>
                <w:szCs w:val="21"/>
                <w:highlight w:val="none"/>
              </w:rPr>
              <w:t>元</w:t>
            </w:r>
            <w:r>
              <w:rPr>
                <w:rFonts w:hint="eastAsia" w:ascii="宋体" w:hAnsi="宋体"/>
                <w:b/>
                <w:bCs/>
                <w:color w:val="000000"/>
                <w:szCs w:val="21"/>
                <w:highlight w:val="none"/>
              </w:rPr>
              <w:t>）/延米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85" w:type="dxa"/>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2</w:t>
            </w:r>
          </w:p>
        </w:tc>
        <w:tc>
          <w:tcPr>
            <w:tcW w:w="2154" w:type="dxa"/>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rPr>
              <w:t>桥梁检测</w:t>
            </w:r>
          </w:p>
        </w:tc>
        <w:tc>
          <w:tcPr>
            <w:tcW w:w="1290" w:type="dxa"/>
            <w:vAlign w:val="center"/>
          </w:tcPr>
          <w:p>
            <w:pPr>
              <w:spacing w:line="360" w:lineRule="auto"/>
              <w:jc w:val="center"/>
              <w:rPr>
                <w:rFonts w:ascii="宋体" w:hAnsi="宋体"/>
                <w:color w:val="000000"/>
                <w:szCs w:val="21"/>
                <w:highlight w:val="none"/>
              </w:rPr>
            </w:pPr>
            <w:r>
              <w:rPr>
                <w:rFonts w:hint="eastAsia" w:ascii="宋体" w:hAnsi="宋体"/>
                <w:color w:val="000000"/>
                <w:szCs w:val="21"/>
                <w:highlight w:val="none"/>
                <w:lang w:val="en-US" w:eastAsia="zh-CN"/>
              </w:rPr>
              <w:t>2200延米</w:t>
            </w:r>
          </w:p>
        </w:tc>
        <w:tc>
          <w:tcPr>
            <w:tcW w:w="2805" w:type="dxa"/>
            <w:vAlign w:val="center"/>
          </w:tcPr>
          <w:p>
            <w:pPr>
              <w:spacing w:line="360" w:lineRule="auto"/>
              <w:jc w:val="center"/>
              <w:rPr>
                <w:rFonts w:ascii="宋体" w:hAnsi="宋体"/>
                <w:color w:val="000000"/>
                <w:szCs w:val="21"/>
                <w:highlight w:val="none"/>
              </w:rPr>
            </w:pPr>
          </w:p>
        </w:tc>
        <w:tc>
          <w:tcPr>
            <w:tcW w:w="2820" w:type="dxa"/>
            <w:vAlign w:val="center"/>
          </w:tcPr>
          <w:p>
            <w:pPr>
              <w:spacing w:line="360" w:lineRule="auto"/>
              <w:jc w:val="center"/>
              <w:rPr>
                <w:rFonts w:hint="default"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60</w:t>
            </w:r>
          </w:p>
        </w:tc>
      </w:tr>
    </w:tbl>
    <w:p>
      <w:pPr>
        <w:spacing w:line="360" w:lineRule="auto"/>
        <w:jc w:val="left"/>
        <w:rPr>
          <w:rFonts w:ascii="宋体" w:hAnsi="宋体" w:cs="宋体"/>
          <w:b/>
          <w:bCs/>
          <w:sz w:val="22"/>
          <w:highlight w:val="none"/>
          <w:u w:val="single"/>
        </w:rPr>
      </w:pPr>
    </w:p>
    <w:p>
      <w:pPr>
        <w:spacing w:line="360" w:lineRule="auto"/>
        <w:jc w:val="left"/>
        <w:rPr>
          <w:rFonts w:ascii="宋体" w:hAnsi="宋体"/>
          <w:b/>
          <w:bCs/>
          <w:sz w:val="22"/>
          <w:highlight w:val="none"/>
          <w:u w:val="single"/>
        </w:rPr>
      </w:pPr>
      <w:r>
        <w:rPr>
          <w:rFonts w:hint="eastAsia" w:ascii="宋体" w:hAnsi="宋体" w:cs="宋体"/>
          <w:b/>
          <w:bCs/>
          <w:sz w:val="22"/>
          <w:highlight w:val="none"/>
          <w:u w:val="single"/>
        </w:rPr>
        <w:t>▲</w:t>
      </w:r>
      <w:r>
        <w:rPr>
          <w:rFonts w:hint="eastAsia" w:ascii="宋体" w:hAnsi="宋体"/>
          <w:b/>
          <w:bCs/>
          <w:sz w:val="22"/>
          <w:highlight w:val="none"/>
          <w:u w:val="single"/>
        </w:rPr>
        <w:t>备注：</w:t>
      </w:r>
    </w:p>
    <w:p>
      <w:pPr>
        <w:spacing w:line="360" w:lineRule="auto"/>
        <w:ind w:firstLine="420"/>
        <w:rPr>
          <w:rFonts w:ascii="宋体" w:hAnsi="宋体"/>
          <w:b/>
          <w:bCs/>
          <w:sz w:val="22"/>
          <w:highlight w:val="none"/>
          <w:u w:val="single"/>
        </w:rPr>
      </w:pPr>
      <w:r>
        <w:rPr>
          <w:rFonts w:hint="eastAsia" w:ascii="宋体" w:hAnsi="宋体"/>
          <w:b/>
          <w:bCs/>
          <w:sz w:val="22"/>
          <w:highlight w:val="none"/>
          <w:u w:val="single"/>
        </w:rPr>
        <w:t>1. 不提供此表格的将视为没有实质性响应招标文件。</w:t>
      </w:r>
    </w:p>
    <w:p>
      <w:pPr>
        <w:spacing w:line="360" w:lineRule="auto"/>
        <w:ind w:firstLine="420"/>
        <w:rPr>
          <w:rFonts w:ascii="宋体" w:hAnsi="宋体"/>
          <w:b/>
          <w:bCs/>
          <w:sz w:val="22"/>
          <w:highlight w:val="none"/>
          <w:u w:val="single"/>
        </w:rPr>
      </w:pPr>
      <w:r>
        <w:rPr>
          <w:rFonts w:hint="eastAsia" w:ascii="宋体" w:hAnsi="宋体"/>
          <w:b/>
          <w:bCs/>
          <w:sz w:val="22"/>
          <w:highlight w:val="none"/>
          <w:u w:val="single"/>
        </w:rPr>
        <w:t>2. 以上表格的合计金额需与投标报价应与附件一（一）“报价一览表”中的投标报价相一致。</w:t>
      </w:r>
    </w:p>
    <w:p>
      <w:pPr>
        <w:spacing w:line="360" w:lineRule="auto"/>
        <w:ind w:firstLine="420"/>
        <w:rPr>
          <w:rFonts w:ascii="宋体" w:hAnsi="宋体"/>
          <w:b/>
          <w:bCs/>
          <w:sz w:val="22"/>
          <w:highlight w:val="none"/>
          <w:u w:val="single"/>
        </w:rPr>
      </w:pPr>
      <w:r>
        <w:rPr>
          <w:rFonts w:hint="eastAsia" w:ascii="宋体" w:hAnsi="宋体"/>
          <w:b/>
          <w:bCs/>
          <w:sz w:val="22"/>
          <w:highlight w:val="none"/>
          <w:u w:val="single"/>
        </w:rPr>
        <w:t>3.表中数量为暂估量，最终根据采购单位要求的检测数量进行检测。</w:t>
      </w:r>
    </w:p>
    <w:p>
      <w:pPr>
        <w:pStyle w:val="16"/>
        <w:spacing w:line="460" w:lineRule="atLeast"/>
        <w:ind w:firstLine="770" w:firstLineChars="350"/>
        <w:rPr>
          <w:rFonts w:hAnsi="宋体"/>
          <w:sz w:val="22"/>
          <w:szCs w:val="22"/>
          <w:highlight w:val="none"/>
        </w:rPr>
      </w:pPr>
    </w:p>
    <w:p>
      <w:pPr>
        <w:pStyle w:val="16"/>
        <w:spacing w:line="460" w:lineRule="atLeast"/>
        <w:ind w:firstLine="770" w:firstLineChars="350"/>
        <w:rPr>
          <w:rFonts w:hAnsi="宋体"/>
          <w:sz w:val="22"/>
          <w:szCs w:val="22"/>
          <w:highlight w:val="none"/>
        </w:rPr>
      </w:pPr>
      <w:r>
        <w:rPr>
          <w:rFonts w:hint="eastAsia" w:hAnsi="宋体"/>
          <w:sz w:val="22"/>
          <w:szCs w:val="22"/>
          <w:highlight w:val="none"/>
        </w:rPr>
        <w:t>投标供应商（盖章）：</w:t>
      </w:r>
    </w:p>
    <w:p>
      <w:pPr>
        <w:pStyle w:val="16"/>
        <w:spacing w:line="460" w:lineRule="atLeast"/>
        <w:ind w:firstLine="770" w:firstLineChars="350"/>
        <w:rPr>
          <w:rFonts w:hAnsi="宋体"/>
          <w:sz w:val="22"/>
          <w:szCs w:val="22"/>
          <w:highlight w:val="none"/>
        </w:rPr>
      </w:pPr>
      <w:r>
        <w:rPr>
          <w:rFonts w:hint="eastAsia" w:hAnsi="宋体"/>
          <w:sz w:val="22"/>
          <w:szCs w:val="22"/>
          <w:highlight w:val="none"/>
        </w:rPr>
        <w:t>法定代表人（签字或盖章）或授权代表（签字或盖章）：</w:t>
      </w:r>
    </w:p>
    <w:p>
      <w:pPr>
        <w:pStyle w:val="16"/>
        <w:spacing w:line="460" w:lineRule="atLeast"/>
        <w:ind w:firstLine="770" w:firstLineChars="350"/>
        <w:rPr>
          <w:rFonts w:hAnsi="宋体"/>
          <w:sz w:val="22"/>
          <w:szCs w:val="22"/>
          <w:highlight w:val="none"/>
        </w:rPr>
      </w:pPr>
      <w:r>
        <w:rPr>
          <w:rFonts w:hint="eastAsia" w:hAnsi="宋体"/>
          <w:sz w:val="22"/>
          <w:szCs w:val="22"/>
          <w:highlight w:val="none"/>
        </w:rPr>
        <w:t>日期：</w:t>
      </w:r>
    </w:p>
    <w:p>
      <w:pPr>
        <w:autoSpaceDE w:val="0"/>
        <w:autoSpaceDN w:val="0"/>
        <w:adjustRightInd w:val="0"/>
        <w:spacing w:line="440" w:lineRule="atLeast"/>
        <w:rPr>
          <w:rFonts w:ascii="宋体" w:hAnsi="宋体"/>
          <w:b/>
          <w:sz w:val="32"/>
          <w:szCs w:val="32"/>
          <w:highlight w:val="none"/>
        </w:rPr>
      </w:pPr>
    </w:p>
    <w:p>
      <w:pPr>
        <w:rPr>
          <w:rFonts w:hint="eastAsia" w:hAnsi="宋体"/>
          <w:b/>
          <w:bCs/>
          <w:sz w:val="32"/>
          <w:szCs w:val="32"/>
          <w:highlight w:val="none"/>
        </w:rPr>
      </w:pPr>
      <w:r>
        <w:rPr>
          <w:rFonts w:hint="eastAsia" w:hAnsi="宋体"/>
          <w:b/>
          <w:bCs/>
          <w:sz w:val="32"/>
          <w:szCs w:val="32"/>
          <w:highlight w:val="none"/>
        </w:rPr>
        <w:br w:type="page"/>
      </w:r>
    </w:p>
    <w:p>
      <w:pPr>
        <w:pStyle w:val="16"/>
        <w:adjustRightInd w:val="0"/>
        <w:snapToGrid w:val="0"/>
        <w:spacing w:line="460" w:lineRule="atLeast"/>
        <w:rPr>
          <w:rFonts w:hAnsi="宋体"/>
          <w:b/>
          <w:bCs/>
          <w:sz w:val="32"/>
          <w:szCs w:val="32"/>
          <w:highlight w:val="none"/>
        </w:rPr>
      </w:pPr>
      <w:r>
        <w:rPr>
          <w:rFonts w:hint="eastAsia" w:hAnsi="宋体"/>
          <w:b/>
          <w:bCs/>
          <w:sz w:val="32"/>
          <w:szCs w:val="32"/>
          <w:highlight w:val="none"/>
        </w:rPr>
        <w:t>附件二</w:t>
      </w:r>
    </w:p>
    <w:p>
      <w:pPr>
        <w:snapToGrid w:val="0"/>
        <w:spacing w:line="400" w:lineRule="atLeast"/>
        <w:jc w:val="left"/>
        <w:rPr>
          <w:rFonts w:ascii="宋体" w:hAnsi="宋体"/>
          <w:b/>
          <w:sz w:val="22"/>
          <w:highlight w:val="none"/>
        </w:rPr>
      </w:pPr>
      <w:r>
        <w:rPr>
          <w:rFonts w:hint="eastAsia" w:ascii="宋体" w:hAnsi="宋体"/>
          <w:b/>
          <w:sz w:val="22"/>
          <w:highlight w:val="none"/>
        </w:rPr>
        <w:t>附件</w:t>
      </w:r>
      <w:r>
        <w:rPr>
          <w:rFonts w:hint="eastAsia" w:ascii="宋体" w:hAnsi="宋体"/>
          <w:b/>
          <w:sz w:val="22"/>
          <w:highlight w:val="none"/>
          <w:lang w:val="en-US" w:eastAsia="zh-CN"/>
        </w:rPr>
        <w:t>1</w:t>
      </w:r>
      <w:r>
        <w:rPr>
          <w:rFonts w:hint="eastAsia" w:ascii="宋体" w:hAnsi="宋体"/>
          <w:b/>
          <w:sz w:val="22"/>
          <w:highlight w:val="none"/>
        </w:rPr>
        <w:t>：</w:t>
      </w:r>
    </w:p>
    <w:p>
      <w:pPr>
        <w:snapToGrid w:val="0"/>
        <w:spacing w:line="400" w:lineRule="atLeast"/>
        <w:jc w:val="center"/>
        <w:rPr>
          <w:rFonts w:hint="eastAsia" w:ascii="宋体" w:hAnsi="宋体" w:eastAsia="宋体" w:cs="宋体"/>
          <w:b/>
          <w:bCs/>
          <w:color w:val="000000"/>
          <w:sz w:val="34"/>
          <w:szCs w:val="34"/>
          <w:highlight w:val="none"/>
        </w:rPr>
      </w:pPr>
    </w:p>
    <w:p>
      <w:pPr>
        <w:snapToGrid w:val="0"/>
        <w:spacing w:line="400" w:lineRule="atLeast"/>
        <w:jc w:val="center"/>
        <w:rPr>
          <w:rFonts w:eastAsia="宋体"/>
          <w:sz w:val="22"/>
          <w:highlight w:val="none"/>
          <w:u w:val="single"/>
        </w:rPr>
      </w:pPr>
      <w:r>
        <w:rPr>
          <w:rFonts w:hint="eastAsia" w:ascii="宋体" w:hAnsi="宋体" w:eastAsia="宋体" w:cs="宋体"/>
          <w:b/>
          <w:bCs/>
          <w:color w:val="000000"/>
          <w:sz w:val="34"/>
          <w:szCs w:val="34"/>
          <w:highlight w:val="none"/>
        </w:rPr>
        <w:t>中小企业声明函（服务）</w:t>
      </w:r>
    </w:p>
    <w:p>
      <w:pPr>
        <w:jc w:val="center"/>
        <w:rPr>
          <w:sz w:val="22"/>
          <w:highlight w:val="none"/>
        </w:rPr>
      </w:pPr>
    </w:p>
    <w:p>
      <w:pPr>
        <w:pStyle w:val="13"/>
      </w:pPr>
    </w:p>
    <w:p>
      <w:pPr>
        <w:spacing w:line="440" w:lineRule="atLeast"/>
        <w:ind w:firstLine="420"/>
        <w:jc w:val="left"/>
        <w:rPr>
          <w:rFonts w:ascii="宋体" w:hAnsi="宋体" w:cs="宋体"/>
          <w:sz w:val="22"/>
          <w:highlight w:val="none"/>
        </w:rPr>
      </w:pPr>
      <w:r>
        <w:rPr>
          <w:rFonts w:hint="eastAsia" w:ascii="宋体" w:hAnsi="宋体" w:cs="宋体"/>
          <w:sz w:val="22"/>
          <w:highlight w:val="none"/>
        </w:rPr>
        <w:t>本公司（联合体）郑重声明，根据《政府采购促进中小企业发展管理办法》（财库﹝2020﹞46 号）的规定，本公司（联合体）参加</w:t>
      </w:r>
      <w:r>
        <w:rPr>
          <w:rFonts w:hint="eastAsia" w:ascii="宋体" w:hAnsi="宋体" w:cs="宋体"/>
          <w:sz w:val="22"/>
          <w:highlight w:val="none"/>
          <w:u w:val="single"/>
        </w:rPr>
        <w:t>（单位名称）</w:t>
      </w:r>
      <w:r>
        <w:rPr>
          <w:rFonts w:hint="eastAsia" w:ascii="宋体" w:hAnsi="宋体" w:cs="宋体"/>
          <w:sz w:val="22"/>
          <w:highlight w:val="none"/>
        </w:rPr>
        <w:t>的</w:t>
      </w:r>
      <w:r>
        <w:rPr>
          <w:rFonts w:hint="eastAsia" w:ascii="宋体" w:hAnsi="宋体" w:cs="宋体"/>
          <w:sz w:val="22"/>
          <w:highlight w:val="none"/>
          <w:u w:val="single"/>
        </w:rPr>
        <w:t>（项目名称）</w:t>
      </w:r>
      <w:r>
        <w:rPr>
          <w:rFonts w:hint="eastAsia" w:ascii="宋体" w:hAnsi="宋体" w:cs="宋体"/>
          <w:sz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atLeast"/>
        <w:ind w:firstLine="420"/>
        <w:jc w:val="left"/>
        <w:rPr>
          <w:rFonts w:ascii="宋体" w:hAnsi="宋体" w:cs="宋体"/>
          <w:sz w:val="22"/>
          <w:highlight w:val="none"/>
        </w:rPr>
      </w:pPr>
      <w:r>
        <w:rPr>
          <w:rFonts w:hint="eastAsia" w:ascii="宋体" w:hAnsi="宋体" w:cs="宋体"/>
          <w:sz w:val="22"/>
          <w:highlight w:val="none"/>
        </w:rPr>
        <w:t>1.</w:t>
      </w:r>
      <w:r>
        <w:rPr>
          <w:rFonts w:hint="eastAsia" w:ascii="宋体" w:hAnsi="宋体" w:cs="宋体"/>
          <w:sz w:val="22"/>
          <w:highlight w:val="none"/>
          <w:u w:val="single"/>
        </w:rPr>
        <w:t xml:space="preserve"> （标的名称） </w:t>
      </w:r>
      <w:r>
        <w:rPr>
          <w:rFonts w:hint="eastAsia" w:ascii="宋体" w:hAnsi="宋体" w:cs="宋体"/>
          <w:sz w:val="22"/>
          <w:highlight w:val="none"/>
        </w:rPr>
        <w:t>，属于</w:t>
      </w:r>
      <w:r>
        <w:rPr>
          <w:rFonts w:hint="eastAsia" w:ascii="宋体" w:hAnsi="宋体" w:cs="宋体"/>
          <w:sz w:val="22"/>
          <w:highlight w:val="none"/>
          <w:u w:val="single"/>
        </w:rPr>
        <w:t>（采购文件中明确的所属行业）</w:t>
      </w:r>
      <w:r>
        <w:rPr>
          <w:rFonts w:hint="eastAsia" w:ascii="宋体" w:hAnsi="宋体" w:cs="宋体"/>
          <w:sz w:val="22"/>
          <w:highlight w:val="none"/>
        </w:rPr>
        <w:t>；承建（承接）企业为</w:t>
      </w:r>
      <w:r>
        <w:rPr>
          <w:rFonts w:hint="eastAsia" w:ascii="宋体" w:hAnsi="宋体" w:cs="宋体"/>
          <w:sz w:val="22"/>
          <w:highlight w:val="none"/>
          <w:u w:val="single"/>
        </w:rPr>
        <w:t>（企业名称）</w:t>
      </w:r>
      <w:r>
        <w:rPr>
          <w:rFonts w:hint="eastAsia" w:ascii="宋体" w:hAnsi="宋体" w:cs="宋体"/>
          <w:sz w:val="22"/>
          <w:highlight w:val="none"/>
        </w:rPr>
        <w:t>，从业人员</w:t>
      </w:r>
      <w:r>
        <w:rPr>
          <w:rFonts w:hint="eastAsia" w:ascii="宋体" w:hAnsi="宋体" w:cs="宋体"/>
          <w:sz w:val="22"/>
          <w:highlight w:val="none"/>
          <w:u w:val="single"/>
        </w:rPr>
        <w:t xml:space="preserve">     </w:t>
      </w:r>
      <w:r>
        <w:rPr>
          <w:rFonts w:hint="eastAsia" w:ascii="宋体" w:hAnsi="宋体" w:cs="宋体"/>
          <w:sz w:val="22"/>
          <w:highlight w:val="none"/>
        </w:rPr>
        <w:t>人，营业收入为</w:t>
      </w:r>
      <w:r>
        <w:rPr>
          <w:rFonts w:hint="eastAsia" w:ascii="宋体" w:hAnsi="宋体" w:cs="宋体"/>
          <w:sz w:val="22"/>
          <w:highlight w:val="none"/>
          <w:u w:val="single"/>
        </w:rPr>
        <w:t xml:space="preserve">     </w:t>
      </w:r>
      <w:r>
        <w:rPr>
          <w:rFonts w:hint="eastAsia" w:ascii="宋体" w:hAnsi="宋体" w:cs="宋体"/>
          <w:sz w:val="22"/>
          <w:highlight w:val="none"/>
        </w:rPr>
        <w:t>万元，资产总额为</w:t>
      </w:r>
      <w:r>
        <w:rPr>
          <w:rFonts w:hint="eastAsia" w:ascii="宋体" w:hAnsi="宋体" w:cs="宋体"/>
          <w:sz w:val="22"/>
          <w:highlight w:val="none"/>
          <w:u w:val="single"/>
        </w:rPr>
        <w:t xml:space="preserve">     </w:t>
      </w:r>
      <w:r>
        <w:rPr>
          <w:rFonts w:hint="eastAsia" w:ascii="宋体" w:hAnsi="宋体" w:cs="宋体"/>
          <w:sz w:val="22"/>
          <w:highlight w:val="none"/>
        </w:rPr>
        <w:t>万元，属于</w:t>
      </w:r>
      <w:r>
        <w:rPr>
          <w:rFonts w:hint="eastAsia" w:ascii="宋体" w:hAnsi="宋体" w:cs="宋体"/>
          <w:sz w:val="22"/>
          <w:highlight w:val="none"/>
          <w:u w:val="single"/>
        </w:rPr>
        <w:t>（中型企业、小型企业、微型企业）</w:t>
      </w:r>
      <w:r>
        <w:rPr>
          <w:rFonts w:hint="eastAsia" w:ascii="宋体" w:hAnsi="宋体" w:cs="宋体"/>
          <w:sz w:val="22"/>
          <w:highlight w:val="none"/>
        </w:rPr>
        <w:t xml:space="preserve">； </w:t>
      </w:r>
    </w:p>
    <w:p>
      <w:pPr>
        <w:spacing w:line="440" w:lineRule="atLeast"/>
        <w:ind w:firstLine="420"/>
        <w:jc w:val="left"/>
        <w:rPr>
          <w:rFonts w:ascii="宋体" w:hAnsi="宋体" w:cs="宋体"/>
          <w:sz w:val="22"/>
          <w:highlight w:val="none"/>
        </w:rPr>
      </w:pPr>
      <w:r>
        <w:rPr>
          <w:rFonts w:hint="eastAsia" w:ascii="宋体" w:hAnsi="宋体" w:cs="宋体"/>
          <w:sz w:val="22"/>
          <w:highlight w:val="none"/>
        </w:rPr>
        <w:t>2.</w:t>
      </w:r>
      <w:r>
        <w:rPr>
          <w:rFonts w:hint="eastAsia" w:ascii="宋体" w:hAnsi="宋体" w:cs="宋体"/>
          <w:sz w:val="22"/>
          <w:highlight w:val="none"/>
          <w:u w:val="single"/>
        </w:rPr>
        <w:t xml:space="preserve"> （标的名称） </w:t>
      </w:r>
      <w:r>
        <w:rPr>
          <w:rFonts w:hint="eastAsia" w:ascii="宋体" w:hAnsi="宋体" w:cs="宋体"/>
          <w:sz w:val="22"/>
          <w:highlight w:val="none"/>
        </w:rPr>
        <w:t>，属于</w:t>
      </w:r>
      <w:r>
        <w:rPr>
          <w:rFonts w:hint="eastAsia" w:ascii="宋体" w:hAnsi="宋体" w:cs="宋体"/>
          <w:sz w:val="22"/>
          <w:highlight w:val="none"/>
          <w:u w:val="single"/>
        </w:rPr>
        <w:t>（采购文件中明确的所属行业）；</w:t>
      </w:r>
      <w:r>
        <w:rPr>
          <w:rFonts w:hint="eastAsia" w:ascii="宋体" w:hAnsi="宋体" w:cs="宋体"/>
          <w:sz w:val="22"/>
          <w:highlight w:val="none"/>
        </w:rPr>
        <w:t>承建（承接）企业为</w:t>
      </w:r>
      <w:r>
        <w:rPr>
          <w:rFonts w:hint="eastAsia" w:ascii="宋体" w:hAnsi="宋体" w:cs="宋体"/>
          <w:sz w:val="22"/>
          <w:highlight w:val="none"/>
          <w:u w:val="single"/>
        </w:rPr>
        <w:t>（企业名称）</w:t>
      </w:r>
      <w:r>
        <w:rPr>
          <w:rFonts w:hint="eastAsia" w:ascii="宋体" w:hAnsi="宋体" w:cs="宋体"/>
          <w:sz w:val="22"/>
          <w:highlight w:val="none"/>
        </w:rPr>
        <w:t>，从业人员</w:t>
      </w:r>
      <w:r>
        <w:rPr>
          <w:rFonts w:hint="eastAsia" w:ascii="宋体" w:hAnsi="宋体" w:cs="宋体"/>
          <w:sz w:val="22"/>
          <w:highlight w:val="none"/>
          <w:u w:val="single"/>
        </w:rPr>
        <w:t xml:space="preserve">     </w:t>
      </w:r>
      <w:r>
        <w:rPr>
          <w:rFonts w:hint="eastAsia" w:ascii="宋体" w:hAnsi="宋体" w:cs="宋体"/>
          <w:sz w:val="22"/>
          <w:highlight w:val="none"/>
        </w:rPr>
        <w:t>人，营业收入为</w:t>
      </w:r>
      <w:r>
        <w:rPr>
          <w:rFonts w:hint="eastAsia" w:ascii="宋体" w:hAnsi="宋体" w:cs="宋体"/>
          <w:sz w:val="22"/>
          <w:highlight w:val="none"/>
          <w:u w:val="single"/>
        </w:rPr>
        <w:t xml:space="preserve">     </w:t>
      </w:r>
      <w:r>
        <w:rPr>
          <w:rFonts w:hint="eastAsia" w:ascii="宋体" w:hAnsi="宋体" w:cs="宋体"/>
          <w:sz w:val="22"/>
          <w:highlight w:val="none"/>
        </w:rPr>
        <w:t>万元，资产总额为</w:t>
      </w:r>
      <w:r>
        <w:rPr>
          <w:rFonts w:hint="eastAsia" w:ascii="宋体" w:hAnsi="宋体" w:cs="宋体"/>
          <w:sz w:val="22"/>
          <w:highlight w:val="none"/>
          <w:u w:val="single"/>
        </w:rPr>
        <w:t xml:space="preserve">     </w:t>
      </w:r>
      <w:r>
        <w:rPr>
          <w:rFonts w:hint="eastAsia" w:ascii="宋体" w:hAnsi="宋体" w:cs="宋体"/>
          <w:sz w:val="22"/>
          <w:highlight w:val="none"/>
        </w:rPr>
        <w:t>万元，属于</w:t>
      </w:r>
      <w:r>
        <w:rPr>
          <w:rFonts w:hint="eastAsia" w:ascii="宋体" w:hAnsi="宋体" w:cs="宋体"/>
          <w:sz w:val="22"/>
          <w:highlight w:val="none"/>
          <w:u w:val="single"/>
        </w:rPr>
        <w:t>（中型企业、小型企业、微型企业）</w:t>
      </w:r>
      <w:r>
        <w:rPr>
          <w:rFonts w:hint="eastAsia" w:ascii="宋体" w:hAnsi="宋体" w:cs="宋体"/>
          <w:sz w:val="22"/>
          <w:highlight w:val="none"/>
        </w:rPr>
        <w:t xml:space="preserve">； </w:t>
      </w:r>
    </w:p>
    <w:p>
      <w:pPr>
        <w:spacing w:line="440" w:lineRule="atLeast"/>
        <w:ind w:firstLine="420"/>
        <w:jc w:val="left"/>
        <w:rPr>
          <w:rFonts w:ascii="宋体" w:hAnsi="宋体" w:cs="宋体"/>
          <w:sz w:val="22"/>
          <w:highlight w:val="none"/>
        </w:rPr>
      </w:pPr>
      <w:r>
        <w:rPr>
          <w:rFonts w:hint="eastAsia" w:ascii="宋体" w:hAnsi="宋体" w:cs="宋体"/>
          <w:sz w:val="22"/>
          <w:highlight w:val="none"/>
        </w:rPr>
        <w:t>……</w:t>
      </w:r>
    </w:p>
    <w:p>
      <w:pPr>
        <w:spacing w:line="440" w:lineRule="atLeast"/>
        <w:ind w:firstLine="420"/>
        <w:jc w:val="left"/>
        <w:rPr>
          <w:rFonts w:ascii="宋体" w:hAnsi="宋体" w:cs="宋体"/>
          <w:sz w:val="22"/>
          <w:highlight w:val="none"/>
        </w:rPr>
      </w:pPr>
      <w:r>
        <w:rPr>
          <w:rFonts w:hint="eastAsia" w:ascii="宋体" w:hAnsi="宋体" w:cs="宋体"/>
          <w:sz w:val="22"/>
          <w:highlight w:val="none"/>
        </w:rPr>
        <w:t>以上企业，不属于大企业的分支机构，不存在控股股东为大企业的情形，也不存在与大企业的负责人为同一人的情形。</w:t>
      </w:r>
    </w:p>
    <w:p>
      <w:pPr>
        <w:spacing w:line="440" w:lineRule="atLeast"/>
        <w:ind w:firstLine="420"/>
        <w:jc w:val="left"/>
        <w:rPr>
          <w:rFonts w:ascii="宋体" w:hAnsi="宋体" w:cs="宋体"/>
          <w:sz w:val="22"/>
          <w:highlight w:val="none"/>
        </w:rPr>
      </w:pPr>
      <w:r>
        <w:rPr>
          <w:rFonts w:hint="eastAsia" w:ascii="宋体" w:hAnsi="宋体" w:cs="宋体"/>
          <w:sz w:val="22"/>
          <w:highlight w:val="none"/>
        </w:rPr>
        <w:t>本企业对上述声明内容的真实性负责。如有虚假，将依法承担相应责任</w:t>
      </w:r>
    </w:p>
    <w:p>
      <w:pPr>
        <w:spacing w:line="440" w:lineRule="atLeast"/>
        <w:ind w:left="5040" w:firstLine="420"/>
        <w:jc w:val="left"/>
        <w:rPr>
          <w:rFonts w:ascii="宋体" w:hAnsi="宋体" w:cs="宋体"/>
          <w:sz w:val="22"/>
          <w:highlight w:val="none"/>
        </w:rPr>
      </w:pPr>
    </w:p>
    <w:p>
      <w:pPr>
        <w:spacing w:line="440" w:lineRule="atLeast"/>
        <w:ind w:left="5040" w:firstLine="420"/>
        <w:jc w:val="left"/>
        <w:rPr>
          <w:rFonts w:ascii="宋体" w:hAnsi="宋体" w:cs="宋体"/>
          <w:sz w:val="22"/>
          <w:highlight w:val="none"/>
        </w:rPr>
      </w:pPr>
    </w:p>
    <w:p>
      <w:pPr>
        <w:spacing w:line="440" w:lineRule="atLeast"/>
        <w:ind w:left="5040" w:firstLine="420"/>
        <w:jc w:val="left"/>
        <w:rPr>
          <w:rFonts w:ascii="宋体" w:hAnsi="宋体" w:cs="宋体"/>
          <w:sz w:val="22"/>
          <w:highlight w:val="none"/>
        </w:rPr>
      </w:pPr>
      <w:r>
        <w:rPr>
          <w:rFonts w:hint="eastAsia" w:ascii="宋体" w:hAnsi="宋体" w:cs="宋体"/>
          <w:sz w:val="22"/>
          <w:highlight w:val="none"/>
        </w:rPr>
        <w:t xml:space="preserve">企业名称（盖章）： </w:t>
      </w:r>
    </w:p>
    <w:p>
      <w:pPr>
        <w:spacing w:line="440" w:lineRule="atLeast"/>
        <w:ind w:left="5040" w:firstLine="420"/>
        <w:jc w:val="left"/>
        <w:rPr>
          <w:rFonts w:ascii="宋体" w:hAnsi="宋体" w:cs="宋体"/>
          <w:sz w:val="22"/>
          <w:highlight w:val="none"/>
        </w:rPr>
      </w:pPr>
      <w:r>
        <w:rPr>
          <w:rFonts w:hint="eastAsia" w:ascii="宋体" w:hAnsi="宋体" w:cs="宋体"/>
          <w:sz w:val="22"/>
          <w:highlight w:val="none"/>
        </w:rPr>
        <w:t xml:space="preserve">日 期： </w:t>
      </w:r>
    </w:p>
    <w:p>
      <w:pPr>
        <w:spacing w:line="440" w:lineRule="atLeast"/>
        <w:jc w:val="left"/>
        <w:rPr>
          <w:rFonts w:ascii="宋体" w:hAnsi="宋体" w:cs="宋体"/>
          <w:sz w:val="22"/>
          <w:highlight w:val="none"/>
        </w:rPr>
      </w:pPr>
    </w:p>
    <w:p>
      <w:pPr>
        <w:spacing w:line="440" w:lineRule="atLeast"/>
        <w:jc w:val="left"/>
        <w:rPr>
          <w:rFonts w:ascii="宋体" w:hAnsi="宋体" w:cs="宋体"/>
          <w:sz w:val="22"/>
          <w:highlight w:val="none"/>
        </w:rPr>
      </w:pPr>
      <w:r>
        <w:rPr>
          <w:rFonts w:hint="eastAsia" w:ascii="宋体" w:hAnsi="宋体" w:cs="宋体"/>
          <w:sz w:val="22"/>
          <w:highlight w:val="none"/>
        </w:rPr>
        <w:t>注：从业人员、营业收入、资产总额填报上一年度数据，无上一年度数据的新成立企业可不填报。</w:t>
      </w:r>
    </w:p>
    <w:p>
      <w:pPr>
        <w:snapToGrid w:val="0"/>
        <w:spacing w:line="360" w:lineRule="auto"/>
        <w:ind w:firstLine="420" w:firstLineChars="200"/>
        <w:rPr>
          <w:highlight w:val="none"/>
        </w:rPr>
      </w:pPr>
    </w:p>
    <w:p>
      <w:pPr>
        <w:spacing w:line="276" w:lineRule="auto"/>
        <w:rPr>
          <w:rFonts w:hint="eastAsia" w:ascii="仿宋" w:hAnsi="仿宋" w:eastAsia="仿宋" w:cs="Times New Roman"/>
          <w:color w:val="000000" w:themeColor="text1"/>
          <w:szCs w:val="21"/>
          <w:lang w:eastAsia="zh-CN"/>
          <w14:textFill>
            <w14:solidFill>
              <w14:schemeClr w14:val="tx1"/>
            </w14:solidFill>
          </w14:textFill>
        </w:rPr>
      </w:pPr>
    </w:p>
    <w:p>
      <w:pPr>
        <w:rPr>
          <w:rFonts w:hint="eastAsia"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br w:type="page"/>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填写说明：</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2、各行业划型标准为：</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（1）农、林、牧、渔业。营业收入</w:t>
      </w:r>
      <w:r>
        <w:rPr>
          <w:rFonts w:ascii="仿宋" w:hAnsi="仿宋" w:eastAsia="仿宋" w:cs="Times New Roman"/>
          <w:color w:val="000000" w:themeColor="text1"/>
          <w:szCs w:val="21"/>
          <w:lang w:eastAsia="zh-CN"/>
          <w14:textFill>
            <w14:solidFill>
              <w14:schemeClr w14:val="tx1"/>
            </w14:solidFill>
          </w14:textFill>
        </w:rPr>
        <w:t>20000万元以下的为中小微型企业。其中，营业收入500万元及以上的为中型企业，营业收入50万元及以上的为小型企业，营业收入50万元以下的为微型企业。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（2）工业。从业人员</w:t>
      </w:r>
      <w:r>
        <w:rPr>
          <w:rFonts w:ascii="仿宋" w:hAnsi="仿宋" w:eastAsia="仿宋" w:cs="Times New Roman"/>
          <w:color w:val="000000" w:themeColor="text1"/>
          <w:szCs w:val="21"/>
          <w:lang w:eastAsia="zh-CN"/>
          <w14:textFill>
            <w14:solidFill>
              <w14:schemeClr w14:val="tx1"/>
            </w14:solidFill>
          </w14:textFill>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（3）建筑业。营业收入</w:t>
      </w:r>
      <w:r>
        <w:rPr>
          <w:rFonts w:ascii="仿宋" w:hAnsi="仿宋" w:eastAsia="仿宋" w:cs="Times New Roman"/>
          <w:color w:val="000000" w:themeColor="text1"/>
          <w:szCs w:val="21"/>
          <w:lang w:eastAsia="zh-CN"/>
          <w14:textFill>
            <w14:solidFill>
              <w14:schemeClr w14:val="tx1"/>
            </w14:solidFill>
          </w14:textFill>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（4）批发业。从业人员</w:t>
      </w:r>
      <w:r>
        <w:rPr>
          <w:rFonts w:ascii="仿宋" w:hAnsi="仿宋" w:eastAsia="仿宋" w:cs="Times New Roman"/>
          <w:color w:val="000000" w:themeColor="text1"/>
          <w:szCs w:val="21"/>
          <w:lang w:eastAsia="zh-CN"/>
          <w14:textFill>
            <w14:solidFill>
              <w14:schemeClr w14:val="tx1"/>
            </w14:solidFill>
          </w14:textFill>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（5）零售业。从业人员</w:t>
      </w:r>
      <w:r>
        <w:rPr>
          <w:rFonts w:ascii="仿宋" w:hAnsi="仿宋" w:eastAsia="仿宋" w:cs="Times New Roman"/>
          <w:color w:val="000000" w:themeColor="text1"/>
          <w:szCs w:val="21"/>
          <w:lang w:eastAsia="zh-CN"/>
          <w14:textFill>
            <w14:solidFill>
              <w14:schemeClr w14:val="tx1"/>
            </w14:solidFill>
          </w14:textFill>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（6）交通运输业。从业人员</w:t>
      </w:r>
      <w:r>
        <w:rPr>
          <w:rFonts w:ascii="仿宋" w:hAnsi="仿宋" w:eastAsia="仿宋" w:cs="Times New Roman"/>
          <w:color w:val="000000" w:themeColor="text1"/>
          <w:szCs w:val="21"/>
          <w:lang w:eastAsia="zh-CN"/>
          <w14:textFill>
            <w14:solidFill>
              <w14:schemeClr w14:val="tx1"/>
            </w14:solidFill>
          </w14:textFill>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（7）仓储业。从业人员</w:t>
      </w:r>
      <w:r>
        <w:rPr>
          <w:rFonts w:ascii="仿宋" w:hAnsi="仿宋" w:eastAsia="仿宋" w:cs="Times New Roman"/>
          <w:color w:val="000000" w:themeColor="text1"/>
          <w:szCs w:val="21"/>
          <w:lang w:eastAsia="zh-CN"/>
          <w14:textFill>
            <w14:solidFill>
              <w14:schemeClr w14:val="tx1"/>
            </w14:solidFill>
          </w14:textFill>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（8）邮政业。从业人员</w:t>
      </w:r>
      <w:r>
        <w:rPr>
          <w:rFonts w:ascii="仿宋" w:hAnsi="仿宋" w:eastAsia="仿宋" w:cs="Times New Roman"/>
          <w:color w:val="000000" w:themeColor="text1"/>
          <w:szCs w:val="21"/>
          <w:lang w:eastAsia="zh-CN"/>
          <w14:textFill>
            <w14:solidFill>
              <w14:schemeClr w14:val="tx1"/>
            </w14:solidFill>
          </w14:textFill>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（9）住宿业。从业人员</w:t>
      </w:r>
      <w:r>
        <w:rPr>
          <w:rFonts w:ascii="仿宋" w:hAnsi="仿宋" w:eastAsia="仿宋" w:cs="Times New Roman"/>
          <w:color w:val="000000" w:themeColor="text1"/>
          <w:szCs w:val="21"/>
          <w:lang w:eastAsia="zh-CN"/>
          <w14:textFill>
            <w14:solidFill>
              <w14:schemeClr w14:val="tx1"/>
            </w14:solidFill>
          </w14:textFill>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（10）餐饮业。从业人员</w:t>
      </w:r>
      <w:r>
        <w:rPr>
          <w:rFonts w:ascii="仿宋" w:hAnsi="仿宋" w:eastAsia="仿宋" w:cs="Times New Roman"/>
          <w:color w:val="000000" w:themeColor="text1"/>
          <w:szCs w:val="21"/>
          <w:lang w:eastAsia="zh-CN"/>
          <w14:textFill>
            <w14:solidFill>
              <w14:schemeClr w14:val="tx1"/>
            </w14:solidFill>
          </w14:textFill>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（11）信息传输业。从业人员</w:t>
      </w:r>
      <w:r>
        <w:rPr>
          <w:rFonts w:ascii="仿宋" w:hAnsi="仿宋" w:eastAsia="仿宋" w:cs="Times New Roman"/>
          <w:color w:val="000000" w:themeColor="text1"/>
          <w:szCs w:val="21"/>
          <w:lang w:eastAsia="zh-CN"/>
          <w14:textFill>
            <w14:solidFill>
              <w14:schemeClr w14:val="tx1"/>
            </w14:solidFill>
          </w14:textFill>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（12）软件和信息技术服务业。从业人员</w:t>
      </w:r>
      <w:r>
        <w:rPr>
          <w:rFonts w:ascii="仿宋" w:hAnsi="仿宋" w:eastAsia="仿宋" w:cs="Times New Roman"/>
          <w:color w:val="000000" w:themeColor="text1"/>
          <w:szCs w:val="21"/>
          <w:lang w:eastAsia="zh-CN"/>
          <w14:textFill>
            <w14:solidFill>
              <w14:schemeClr w14:val="tx1"/>
            </w14:solidFill>
          </w14:textFill>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（13）房地产开发经营。营业收入</w:t>
      </w:r>
      <w:r>
        <w:rPr>
          <w:rFonts w:ascii="仿宋" w:hAnsi="仿宋" w:eastAsia="仿宋" w:cs="Times New Roman"/>
          <w:color w:val="000000" w:themeColor="text1"/>
          <w:szCs w:val="21"/>
          <w:lang w:eastAsia="zh-CN"/>
          <w14:textFill>
            <w14:solidFill>
              <w14:schemeClr w14:val="tx1"/>
            </w14:solidFill>
          </w14:textFill>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（14）物业管理。从业人员</w:t>
      </w:r>
      <w:r>
        <w:rPr>
          <w:rFonts w:ascii="仿宋" w:hAnsi="仿宋" w:eastAsia="仿宋" w:cs="Times New Roman"/>
          <w:color w:val="000000" w:themeColor="text1"/>
          <w:szCs w:val="21"/>
          <w:lang w:eastAsia="zh-CN"/>
          <w14:textFill>
            <w14:solidFill>
              <w14:schemeClr w14:val="tx1"/>
            </w14:solidFill>
          </w14:textFill>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（15）租赁和商务服务业。从业人员</w:t>
      </w:r>
      <w:r>
        <w:rPr>
          <w:rFonts w:ascii="仿宋" w:hAnsi="仿宋" w:eastAsia="仿宋" w:cs="Times New Roman"/>
          <w:color w:val="000000" w:themeColor="text1"/>
          <w:szCs w:val="21"/>
          <w:lang w:eastAsia="zh-CN"/>
          <w14:textFill>
            <w14:solidFill>
              <w14:schemeClr w14:val="tx1"/>
            </w14:solidFill>
          </w14:textFill>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（16）其他未列明行业。从业人员</w:t>
      </w:r>
      <w:r>
        <w:rPr>
          <w:rFonts w:ascii="仿宋" w:hAnsi="仿宋" w:eastAsia="仿宋" w:cs="Times New Roman"/>
          <w:color w:val="000000" w:themeColor="text1"/>
          <w:szCs w:val="21"/>
          <w:lang w:eastAsia="zh-CN"/>
          <w14:textFill>
            <w14:solidFill>
              <w14:schemeClr w14:val="tx1"/>
            </w14:solidFill>
          </w14:textFill>
        </w:rPr>
        <w:t>300人以下的为中小微型企业。其中，从业人员100人及以上的为中型企业；从业人员10人及以上的为小型企业；从业人员10人以下的为微型企业。</w:t>
      </w:r>
    </w:p>
    <w:p>
      <w:pPr>
        <w:pStyle w:val="15"/>
        <w:spacing w:line="276" w:lineRule="auto"/>
        <w:ind w:left="440"/>
        <w:rPr>
          <w:rFonts w:ascii="仿宋" w:hAnsi="仿宋" w:eastAsia="仿宋"/>
          <w:color w:val="000000" w:themeColor="text1"/>
          <w:sz w:val="2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3、中型企业标准上限即为大型企业标准的下限。</w:t>
      </w:r>
    </w:p>
    <w:p>
      <w:pPr>
        <w:snapToGrid w:val="0"/>
        <w:spacing w:line="400" w:lineRule="atLeast"/>
        <w:jc w:val="left"/>
        <w:rPr>
          <w:rFonts w:ascii="宋体" w:hAnsi="宋体"/>
          <w:b/>
          <w:sz w:val="22"/>
          <w:highlight w:val="none"/>
        </w:rPr>
      </w:pPr>
    </w:p>
    <w:p>
      <w:pPr>
        <w:snapToGrid w:val="0"/>
        <w:spacing w:line="400" w:lineRule="atLeast"/>
        <w:jc w:val="left"/>
        <w:rPr>
          <w:rFonts w:ascii="宋体" w:hAnsi="宋体"/>
          <w:b/>
          <w:sz w:val="22"/>
          <w:highlight w:val="none"/>
        </w:rPr>
      </w:pPr>
    </w:p>
    <w:p>
      <w:pPr>
        <w:rPr>
          <w:rFonts w:hint="eastAsia" w:ascii="宋体" w:hAnsi="宋体"/>
          <w:b/>
          <w:sz w:val="22"/>
          <w:highlight w:val="none"/>
        </w:rPr>
      </w:pPr>
      <w:r>
        <w:rPr>
          <w:rFonts w:hint="eastAsia" w:ascii="宋体" w:hAnsi="宋体"/>
          <w:b/>
          <w:sz w:val="22"/>
          <w:highlight w:val="none"/>
        </w:rPr>
        <w:br w:type="page"/>
      </w:r>
    </w:p>
    <w:p>
      <w:pPr>
        <w:snapToGrid w:val="0"/>
        <w:spacing w:line="400" w:lineRule="atLeast"/>
        <w:jc w:val="left"/>
        <w:rPr>
          <w:rFonts w:ascii="宋体" w:hAnsi="宋体"/>
          <w:b/>
          <w:sz w:val="22"/>
          <w:highlight w:val="none"/>
        </w:rPr>
      </w:pPr>
      <w:r>
        <w:rPr>
          <w:rFonts w:hint="eastAsia" w:ascii="宋体" w:hAnsi="宋体"/>
          <w:b/>
          <w:sz w:val="22"/>
          <w:highlight w:val="none"/>
        </w:rPr>
        <w:t>附件2：</w:t>
      </w:r>
    </w:p>
    <w:p>
      <w:pPr>
        <w:snapToGrid w:val="0"/>
        <w:spacing w:line="400" w:lineRule="atLeast"/>
        <w:jc w:val="center"/>
        <w:rPr>
          <w:rFonts w:ascii="宋体" w:hAnsi="宋体" w:eastAsia="宋体" w:cs="宋体"/>
          <w:b/>
          <w:bCs/>
          <w:color w:val="000000"/>
          <w:sz w:val="34"/>
          <w:szCs w:val="34"/>
          <w:highlight w:val="none"/>
        </w:rPr>
      </w:pPr>
      <w:r>
        <w:rPr>
          <w:rFonts w:hint="eastAsia" w:ascii="宋体" w:hAnsi="宋体" w:eastAsia="宋体" w:cs="宋体"/>
          <w:b/>
          <w:bCs/>
          <w:color w:val="000000"/>
          <w:sz w:val="34"/>
          <w:szCs w:val="34"/>
          <w:highlight w:val="none"/>
        </w:rPr>
        <w:t>残疾人福利性单位声明函</w:t>
      </w:r>
    </w:p>
    <w:p>
      <w:pPr>
        <w:snapToGrid w:val="0"/>
        <w:spacing w:line="360" w:lineRule="auto"/>
        <w:ind w:firstLine="440" w:firstLineChars="200"/>
        <w:rPr>
          <w:sz w:val="22"/>
          <w:highlight w:val="none"/>
        </w:rPr>
      </w:pPr>
    </w:p>
    <w:p>
      <w:pPr>
        <w:snapToGrid w:val="0"/>
        <w:spacing w:line="360" w:lineRule="auto"/>
        <w:ind w:firstLine="440" w:firstLineChars="200"/>
        <w:rPr>
          <w:sz w:val="22"/>
          <w:highlight w:val="none"/>
        </w:rPr>
      </w:pPr>
      <w:r>
        <w:rPr>
          <w:rFonts w:hint="eastAsia"/>
          <w:sz w:val="22"/>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0" w:firstLineChars="200"/>
        <w:rPr>
          <w:sz w:val="22"/>
          <w:highlight w:val="none"/>
        </w:rPr>
      </w:pPr>
      <w:r>
        <w:rPr>
          <w:rFonts w:hint="eastAsia"/>
          <w:sz w:val="22"/>
          <w:highlight w:val="none"/>
        </w:rPr>
        <w:t>本单位对上述声明的真实性负责。如有虚假，将依法承担相应责任。</w:t>
      </w:r>
    </w:p>
    <w:p>
      <w:pPr>
        <w:snapToGrid w:val="0"/>
        <w:spacing w:line="360" w:lineRule="auto"/>
        <w:ind w:firstLine="440" w:firstLineChars="200"/>
        <w:rPr>
          <w:sz w:val="22"/>
          <w:highlight w:val="none"/>
        </w:rPr>
      </w:pPr>
    </w:p>
    <w:p>
      <w:pPr>
        <w:tabs>
          <w:tab w:val="left" w:pos="4860"/>
        </w:tabs>
        <w:snapToGrid w:val="0"/>
        <w:spacing w:line="360" w:lineRule="auto"/>
        <w:ind w:right="1560" w:firstLine="440" w:firstLineChars="200"/>
        <w:rPr>
          <w:sz w:val="22"/>
          <w:highlight w:val="none"/>
        </w:rPr>
      </w:pPr>
      <w:r>
        <w:rPr>
          <w:rFonts w:hint="eastAsia"/>
          <w:sz w:val="22"/>
          <w:highlight w:val="none"/>
        </w:rPr>
        <w:t xml:space="preserve">       单位名称（盖章）：</w:t>
      </w:r>
    </w:p>
    <w:p>
      <w:pPr>
        <w:tabs>
          <w:tab w:val="left" w:pos="4860"/>
        </w:tabs>
        <w:snapToGrid w:val="0"/>
        <w:spacing w:line="360" w:lineRule="auto"/>
        <w:ind w:right="1560" w:firstLine="440" w:firstLineChars="200"/>
        <w:rPr>
          <w:sz w:val="22"/>
          <w:highlight w:val="none"/>
        </w:rPr>
      </w:pPr>
      <w:r>
        <w:rPr>
          <w:rFonts w:hint="eastAsia"/>
          <w:sz w:val="22"/>
          <w:highlight w:val="none"/>
        </w:rPr>
        <w:t xml:space="preserve">       日  期：</w:t>
      </w:r>
    </w:p>
    <w:p>
      <w:pPr>
        <w:pStyle w:val="59"/>
        <w:snapToGrid w:val="0"/>
        <w:spacing w:line="360" w:lineRule="auto"/>
        <w:ind w:left="360" w:firstLine="0" w:firstLineChars="0"/>
        <w:rPr>
          <w:rFonts w:cs="宋体"/>
          <w:sz w:val="22"/>
          <w:highlight w:val="none"/>
        </w:rPr>
      </w:pPr>
    </w:p>
    <w:p>
      <w:pPr>
        <w:pStyle w:val="12"/>
        <w:spacing w:line="480" w:lineRule="exact"/>
        <w:rPr>
          <w:rFonts w:ascii="宋体" w:hAnsi="宋体" w:eastAsia="宋体" w:cs="Times New Roman"/>
          <w:sz w:val="22"/>
          <w:highlight w:val="none"/>
        </w:rPr>
      </w:pPr>
      <w:r>
        <w:rPr>
          <w:rFonts w:hint="eastAsia" w:ascii="宋体" w:hAnsi="宋体" w:eastAsia="宋体" w:cs="Times New Roman"/>
          <w:sz w:val="22"/>
          <w:highlight w:val="none"/>
        </w:rPr>
        <w:t>二、节能、环保产品优先（强制）采购政策说明</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1、政策依据</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（一）《国务院办公厅关于建立政府强制采购节能产品制度的通知》(国办发[2007]51号)</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（二）财政部、发展改革委发布的《节能产品政府采购实施意见》(财库[2004]185号)</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（三）财政部、原环保总局印发的《环境标志产品政府采购实施的意见》（财库[2006]90号）</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（四）《关于调整优化节能产品、环境标志产品政府采购执行机制的通知》（财库〔2019〕9号）</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（五）《关于印发节能产品政府采购品目清单的通知》（财库〔2019〕19号）</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（六）《关于印发环境标志产品政府采购品目清单的通知》（财库〔2019〕18号）</w:t>
      </w:r>
    </w:p>
    <w:p>
      <w:pPr>
        <w:keepNext/>
        <w:spacing w:line="360" w:lineRule="auto"/>
        <w:ind w:firstLine="440" w:firstLineChars="200"/>
        <w:jc w:val="left"/>
        <w:outlineLvl w:val="0"/>
        <w:rPr>
          <w:rFonts w:ascii="宋体" w:hAnsi="宋体" w:eastAsia="宋体" w:cs="微软雅黑"/>
          <w:sz w:val="22"/>
          <w:szCs w:val="22"/>
          <w:highlight w:val="none"/>
        </w:rPr>
      </w:pPr>
      <w:r>
        <w:rPr>
          <w:rFonts w:hint="eastAsia" w:ascii="宋体" w:hAnsi="宋体" w:eastAsia="宋体" w:cs="微软雅黑"/>
          <w:sz w:val="22"/>
          <w:szCs w:val="22"/>
          <w:highlight w:val="none"/>
        </w:rPr>
        <w:t>（七）《市场监管总局关于发布参与实施政府采购节能产品、环境标志产品认证机构名录的公告》（2019年第16号）</w:t>
      </w:r>
    </w:p>
    <w:p>
      <w:pPr>
        <w:pStyle w:val="59"/>
        <w:snapToGrid w:val="0"/>
        <w:spacing w:line="360" w:lineRule="auto"/>
        <w:ind w:firstLine="0" w:firstLineChars="0"/>
        <w:rPr>
          <w:rFonts w:hint="eastAsia" w:ascii="宋体" w:hAnsi="宋体" w:eastAsia="宋体" w:cs="微软雅黑"/>
          <w:sz w:val="22"/>
          <w:szCs w:val="22"/>
          <w:highlight w:val="none"/>
        </w:rPr>
      </w:pPr>
      <w:r>
        <w:rPr>
          <w:rFonts w:hint="eastAsia" w:ascii="宋体" w:hAnsi="宋体" w:eastAsia="宋体" w:cs="微软雅黑"/>
          <w:sz w:val="22"/>
          <w:szCs w:val="22"/>
          <w:highlight w:val="none"/>
        </w:rPr>
        <w:t>2、供应商投标货物属于节能、环保优先（强制）采购范围的，须提供相关证明材料。</w:t>
      </w:r>
    </w:p>
    <w:p>
      <w:pPr>
        <w:pStyle w:val="59"/>
        <w:snapToGrid w:val="0"/>
        <w:spacing w:line="360" w:lineRule="auto"/>
        <w:ind w:firstLine="0" w:firstLineChars="0"/>
        <w:rPr>
          <w:rFonts w:hint="eastAsia" w:ascii="宋体" w:hAnsi="宋体" w:eastAsia="宋体" w:cs="微软雅黑"/>
          <w:sz w:val="22"/>
          <w:szCs w:val="22"/>
          <w:highlight w:val="none"/>
        </w:rPr>
      </w:pPr>
    </w:p>
    <w:p>
      <w:pPr>
        <w:pStyle w:val="59"/>
        <w:snapToGrid w:val="0"/>
        <w:spacing w:line="360" w:lineRule="auto"/>
        <w:ind w:firstLine="0" w:firstLineChars="0"/>
        <w:rPr>
          <w:rFonts w:cs="宋体"/>
          <w:sz w:val="22"/>
        </w:rPr>
        <w:sectPr>
          <w:headerReference r:id="rId7" w:type="default"/>
          <w:footerReference r:id="rId8" w:type="default"/>
          <w:pgSz w:w="11906" w:h="16838"/>
          <w:pgMar w:top="1440" w:right="1106" w:bottom="1440" w:left="1622" w:header="720" w:footer="720" w:gutter="0"/>
          <w:cols w:space="720" w:num="1"/>
          <w:docGrid w:type="lines" w:linePitch="312" w:charSpace="0"/>
        </w:sectPr>
      </w:pPr>
      <w:r>
        <w:rPr>
          <w:rFonts w:hint="eastAsia" w:cs="宋体"/>
          <w:sz w:val="22"/>
        </w:rPr>
        <w:t>三、根据《江省财政厅关于进一步加大政府采购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pPr>
        <w:jc w:val="left"/>
        <w:rPr>
          <w:rFonts w:ascii="宋体" w:hAnsi="宋体"/>
          <w:b/>
          <w:sz w:val="32"/>
          <w:szCs w:val="32"/>
          <w:highlight w:val="none"/>
        </w:rPr>
      </w:pPr>
      <w:r>
        <w:rPr>
          <w:rFonts w:hint="eastAsia" w:ascii="宋体" w:hAnsi="宋体"/>
          <w:b/>
          <w:sz w:val="32"/>
          <w:szCs w:val="32"/>
          <w:highlight w:val="none"/>
        </w:rPr>
        <w:t>附件三</w:t>
      </w:r>
    </w:p>
    <w:p>
      <w:pPr>
        <w:jc w:val="center"/>
        <w:rPr>
          <w:rFonts w:ascii="宋体"/>
          <w:sz w:val="36"/>
          <w:szCs w:val="36"/>
          <w:highlight w:val="none"/>
          <w:lang w:val="zh-CN"/>
        </w:rPr>
      </w:pPr>
    </w:p>
    <w:p>
      <w:pPr>
        <w:jc w:val="center"/>
        <w:rPr>
          <w:rFonts w:ascii="宋体"/>
          <w:sz w:val="36"/>
          <w:szCs w:val="36"/>
          <w:highlight w:val="none"/>
          <w:lang w:val="zh-CN"/>
        </w:rPr>
      </w:pPr>
    </w:p>
    <w:p>
      <w:pPr>
        <w:jc w:val="center"/>
        <w:rPr>
          <w:rFonts w:ascii="宋体"/>
          <w:sz w:val="36"/>
          <w:szCs w:val="36"/>
          <w:highlight w:val="none"/>
          <w:lang w:val="zh-CN"/>
        </w:rPr>
      </w:pPr>
      <w:r>
        <w:rPr>
          <w:rFonts w:hint="eastAsia" w:ascii="宋体"/>
          <w:sz w:val="36"/>
          <w:szCs w:val="36"/>
          <w:highlight w:val="none"/>
          <w:lang w:val="zh-CN"/>
        </w:rPr>
        <w:t>具有履行合同所必需的设备和专业技术能力的承诺函</w:t>
      </w:r>
    </w:p>
    <w:p>
      <w:pPr>
        <w:jc w:val="left"/>
        <w:rPr>
          <w:rFonts w:ascii="宋体" w:hAnsi="宋体"/>
          <w:sz w:val="22"/>
          <w:highlight w:val="none"/>
          <w:u w:val="single"/>
        </w:rPr>
      </w:pPr>
    </w:p>
    <w:p>
      <w:pPr>
        <w:jc w:val="left"/>
        <w:rPr>
          <w:rFonts w:ascii="宋体" w:hAnsi="宋体"/>
          <w:sz w:val="22"/>
          <w:highlight w:val="none"/>
          <w:u w:val="single"/>
        </w:rPr>
      </w:pPr>
    </w:p>
    <w:p>
      <w:pPr>
        <w:jc w:val="left"/>
        <w:rPr>
          <w:rFonts w:ascii="宋体" w:hAnsi="宋体"/>
          <w:sz w:val="22"/>
          <w:highlight w:val="none"/>
          <w:u w:val="single"/>
        </w:rPr>
      </w:pPr>
      <w:r>
        <w:rPr>
          <w:rFonts w:hint="eastAsia" w:ascii="宋体" w:hAnsi="宋体"/>
          <w:sz w:val="22"/>
          <w:highlight w:val="none"/>
          <w:u w:val="single"/>
        </w:rPr>
        <w:t>泰顺县交通运输管理中心、浙江益诚工程咨询有限公司：</w:t>
      </w:r>
    </w:p>
    <w:p>
      <w:pPr>
        <w:widowControl/>
        <w:snapToGrid w:val="0"/>
        <w:spacing w:line="460" w:lineRule="exact"/>
        <w:ind w:firstLine="440" w:firstLineChars="200"/>
        <w:jc w:val="left"/>
        <w:rPr>
          <w:rFonts w:ascii="宋体" w:hAnsi="宋体" w:cs="Courier New"/>
          <w:sz w:val="22"/>
          <w:highlight w:val="none"/>
        </w:rPr>
      </w:pP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我方</w:t>
      </w:r>
      <w:r>
        <w:rPr>
          <w:rFonts w:hint="eastAsia" w:ascii="宋体" w:hAnsi="宋体" w:cs="黑体"/>
          <w:sz w:val="22"/>
          <w:highlight w:val="none"/>
          <w:u w:val="single"/>
          <w:lang w:val="zh-CN"/>
        </w:rPr>
        <w:t xml:space="preserve"> （投标供应商）</w:t>
      </w:r>
      <w:r>
        <w:rPr>
          <w:rFonts w:hint="eastAsia" w:ascii="宋体" w:hAnsi="宋体" w:cs="黑体"/>
          <w:sz w:val="22"/>
          <w:highlight w:val="none"/>
          <w:u w:val="single"/>
        </w:rPr>
        <w:t xml:space="preserve">  </w:t>
      </w:r>
      <w:r>
        <w:rPr>
          <w:rFonts w:hint="eastAsia" w:ascii="宋体" w:hAnsi="宋体" w:cs="黑体"/>
          <w:sz w:val="22"/>
          <w:highlight w:val="none"/>
          <w:lang w:val="zh-CN"/>
        </w:rPr>
        <w:t>承诺具有履行合同所必需的设备、人员和专业技术能力。如有虚假，采购单位可取消我方任何资格（投标/中标/签订合同），我方对此无任何异议。</w:t>
      </w:r>
    </w:p>
    <w:p>
      <w:pPr>
        <w:spacing w:line="460" w:lineRule="exact"/>
        <w:ind w:firstLine="440" w:firstLineChars="200"/>
        <w:rPr>
          <w:rFonts w:ascii="宋体" w:hAnsi="宋体" w:cs="黑体"/>
          <w:sz w:val="22"/>
          <w:highlight w:val="none"/>
          <w:lang w:val="zh-CN"/>
        </w:rPr>
      </w:pP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特此承诺！</w:t>
      </w:r>
    </w:p>
    <w:p>
      <w:pPr>
        <w:spacing w:line="460" w:lineRule="exact"/>
        <w:ind w:firstLine="440" w:firstLineChars="200"/>
        <w:rPr>
          <w:rFonts w:ascii="宋体" w:hAnsi="宋体" w:cs="黑体"/>
          <w:sz w:val="22"/>
          <w:highlight w:val="none"/>
          <w:lang w:val="zh-CN"/>
        </w:rPr>
      </w:pPr>
    </w:p>
    <w:p>
      <w:pPr>
        <w:spacing w:line="460" w:lineRule="exact"/>
        <w:ind w:firstLine="440" w:firstLineChars="200"/>
        <w:rPr>
          <w:rFonts w:ascii="宋体" w:hAnsi="宋体" w:cs="黑体"/>
          <w:sz w:val="22"/>
          <w:highlight w:val="none"/>
          <w:lang w:val="zh-CN"/>
        </w:rPr>
      </w:pPr>
    </w:p>
    <w:p>
      <w:pPr>
        <w:spacing w:line="460" w:lineRule="exact"/>
        <w:ind w:firstLine="440" w:firstLineChars="200"/>
        <w:rPr>
          <w:rFonts w:ascii="宋体" w:hAnsi="宋体" w:cs="黑体"/>
          <w:sz w:val="22"/>
          <w:highlight w:val="none"/>
          <w:lang w:val="zh-CN"/>
        </w:rPr>
      </w:pP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供应商全称：（盖章）</w:t>
      </w: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法定代表人（签字或盖章）或授权代表（签字）：</w:t>
      </w: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日期：</w:t>
      </w:r>
    </w:p>
    <w:p>
      <w:pPr>
        <w:autoSpaceDE w:val="0"/>
        <w:autoSpaceDN w:val="0"/>
        <w:adjustRightInd w:val="0"/>
        <w:spacing w:line="440" w:lineRule="atLeast"/>
        <w:rPr>
          <w:rFonts w:hAnsi="宋体"/>
          <w:b/>
          <w:bCs/>
          <w:sz w:val="32"/>
          <w:szCs w:val="32"/>
          <w:highlight w:val="none"/>
        </w:rPr>
      </w:pPr>
    </w:p>
    <w:p>
      <w:pPr>
        <w:autoSpaceDE w:val="0"/>
        <w:autoSpaceDN w:val="0"/>
        <w:adjustRightInd w:val="0"/>
        <w:spacing w:line="440" w:lineRule="atLeast"/>
        <w:rPr>
          <w:rFonts w:hAnsi="宋体"/>
          <w:b/>
          <w:bCs/>
          <w:sz w:val="32"/>
          <w:szCs w:val="32"/>
          <w:highlight w:val="none"/>
        </w:rPr>
      </w:pPr>
    </w:p>
    <w:p>
      <w:pPr>
        <w:autoSpaceDE w:val="0"/>
        <w:autoSpaceDN w:val="0"/>
        <w:adjustRightInd w:val="0"/>
        <w:spacing w:line="440" w:lineRule="atLeast"/>
        <w:rPr>
          <w:rFonts w:hAnsi="宋体"/>
          <w:b/>
          <w:bCs/>
          <w:sz w:val="32"/>
          <w:szCs w:val="32"/>
          <w:highlight w:val="none"/>
        </w:rPr>
      </w:pPr>
    </w:p>
    <w:p>
      <w:pPr>
        <w:autoSpaceDE w:val="0"/>
        <w:autoSpaceDN w:val="0"/>
        <w:adjustRightInd w:val="0"/>
        <w:spacing w:line="440" w:lineRule="atLeast"/>
        <w:rPr>
          <w:rFonts w:hAnsi="宋体"/>
          <w:b/>
          <w:bCs/>
          <w:sz w:val="32"/>
          <w:szCs w:val="32"/>
          <w:highlight w:val="none"/>
        </w:rPr>
      </w:pPr>
    </w:p>
    <w:p>
      <w:pPr>
        <w:autoSpaceDE w:val="0"/>
        <w:autoSpaceDN w:val="0"/>
        <w:adjustRightInd w:val="0"/>
        <w:spacing w:line="440" w:lineRule="atLeast"/>
        <w:rPr>
          <w:rFonts w:hAnsi="宋体"/>
          <w:b/>
          <w:bCs/>
          <w:sz w:val="32"/>
          <w:szCs w:val="32"/>
          <w:highlight w:val="none"/>
        </w:rPr>
      </w:pPr>
    </w:p>
    <w:p>
      <w:pPr>
        <w:spacing w:line="440" w:lineRule="exact"/>
        <w:jc w:val="left"/>
        <w:rPr>
          <w:rFonts w:ascii="宋体" w:hAnsi="宋体" w:eastAsia="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附件四</w:t>
      </w:r>
    </w:p>
    <w:p>
      <w:pPr>
        <w:jc w:val="center"/>
        <w:rPr>
          <w:rFonts w:ascii="宋体"/>
          <w:sz w:val="36"/>
          <w:szCs w:val="36"/>
          <w:highlight w:val="none"/>
          <w:lang w:val="zh-CN"/>
        </w:rPr>
      </w:pPr>
    </w:p>
    <w:p>
      <w:pPr>
        <w:jc w:val="center"/>
        <w:rPr>
          <w:rFonts w:ascii="宋体"/>
          <w:sz w:val="36"/>
          <w:szCs w:val="36"/>
          <w:highlight w:val="none"/>
          <w:lang w:val="zh-CN"/>
        </w:rPr>
      </w:pPr>
    </w:p>
    <w:p>
      <w:pPr>
        <w:jc w:val="center"/>
        <w:rPr>
          <w:rFonts w:ascii="宋体"/>
          <w:sz w:val="36"/>
          <w:szCs w:val="36"/>
          <w:highlight w:val="none"/>
        </w:rPr>
      </w:pPr>
      <w:r>
        <w:rPr>
          <w:rFonts w:hint="eastAsia" w:ascii="宋体"/>
          <w:sz w:val="36"/>
          <w:szCs w:val="36"/>
          <w:highlight w:val="none"/>
        </w:rPr>
        <w:t>依法缴纳税收和社会保障资金的承诺函</w:t>
      </w:r>
    </w:p>
    <w:p>
      <w:pPr>
        <w:spacing w:line="360" w:lineRule="auto"/>
        <w:rPr>
          <w:rFonts w:ascii="仿宋" w:hAnsi="仿宋" w:eastAsia="仿宋" w:cs="Arial"/>
          <w:b/>
          <w:w w:val="90"/>
          <w:sz w:val="28"/>
          <w:highlight w:val="none"/>
          <w:u w:val="single"/>
        </w:rPr>
      </w:pPr>
    </w:p>
    <w:p>
      <w:pPr>
        <w:spacing w:line="360" w:lineRule="auto"/>
        <w:rPr>
          <w:rFonts w:ascii="宋体" w:hAnsi="宋体"/>
          <w:sz w:val="22"/>
          <w:highlight w:val="none"/>
          <w:u w:val="single"/>
        </w:rPr>
      </w:pPr>
      <w:r>
        <w:rPr>
          <w:rFonts w:hint="eastAsia" w:ascii="宋体" w:hAnsi="宋体"/>
          <w:sz w:val="22"/>
          <w:highlight w:val="none"/>
          <w:u w:val="single"/>
        </w:rPr>
        <w:t>泰顺县交通运输管理中心、浙江益诚工程咨询有限公司：</w:t>
      </w:r>
    </w:p>
    <w:p>
      <w:pPr>
        <w:spacing w:line="360" w:lineRule="auto"/>
        <w:rPr>
          <w:rFonts w:ascii="仿宋" w:hAnsi="仿宋" w:eastAsia="仿宋" w:cs="Arial"/>
          <w:sz w:val="32"/>
          <w:szCs w:val="28"/>
          <w:highlight w:val="none"/>
        </w:rPr>
      </w:pPr>
    </w:p>
    <w:p>
      <w:pPr>
        <w:spacing w:line="460" w:lineRule="exact"/>
        <w:ind w:firstLine="440" w:firstLineChars="200"/>
        <w:rPr>
          <w:rFonts w:ascii="宋体" w:hAnsi="宋体" w:cs="黑体"/>
          <w:sz w:val="22"/>
          <w:highlight w:val="none"/>
        </w:rPr>
      </w:pPr>
      <w:r>
        <w:rPr>
          <w:rFonts w:hint="eastAsia" w:ascii="宋体" w:hAnsi="宋体" w:cs="黑体"/>
          <w:sz w:val="22"/>
          <w:highlight w:val="none"/>
        </w:rPr>
        <w:t>我公司郑重声明，我公司严格依法缴纳税收和社会保障资金，本文件中所提供的相关材料均真实有效，不存在虚假、造假行为。如有违反，愿承担一切责任。</w:t>
      </w:r>
    </w:p>
    <w:p>
      <w:pPr>
        <w:spacing w:line="360" w:lineRule="auto"/>
        <w:rPr>
          <w:rFonts w:ascii="宋体" w:hAnsi="宋体"/>
          <w:sz w:val="22"/>
          <w:highlight w:val="none"/>
        </w:rPr>
      </w:pPr>
    </w:p>
    <w:p>
      <w:pPr>
        <w:spacing w:line="360" w:lineRule="auto"/>
        <w:ind w:firstLine="440" w:firstLineChars="200"/>
        <w:rPr>
          <w:rFonts w:ascii="宋体" w:hAnsi="宋体"/>
          <w:sz w:val="22"/>
          <w:highlight w:val="none"/>
        </w:rPr>
      </w:pPr>
      <w:r>
        <w:rPr>
          <w:rFonts w:hint="eastAsia" w:ascii="宋体" w:hAnsi="宋体"/>
          <w:sz w:val="22"/>
          <w:highlight w:val="none"/>
        </w:rPr>
        <w:t>特此承诺！</w:t>
      </w:r>
    </w:p>
    <w:p>
      <w:pPr>
        <w:spacing w:line="360" w:lineRule="auto"/>
        <w:ind w:firstLine="420" w:firstLineChars="200"/>
        <w:rPr>
          <w:rFonts w:ascii="仿宋" w:hAnsi="仿宋" w:eastAsia="仿宋" w:cs="Arial"/>
          <w:highlight w:val="none"/>
        </w:rPr>
      </w:pPr>
    </w:p>
    <w:p>
      <w:pPr>
        <w:spacing w:line="360" w:lineRule="auto"/>
        <w:ind w:firstLine="420" w:firstLineChars="200"/>
        <w:rPr>
          <w:rFonts w:ascii="仿宋" w:hAnsi="仿宋" w:eastAsia="仿宋" w:cs="Arial"/>
          <w:highlight w:val="none"/>
        </w:rPr>
      </w:pPr>
    </w:p>
    <w:p>
      <w:pPr>
        <w:spacing w:line="360" w:lineRule="auto"/>
        <w:ind w:firstLine="420" w:firstLineChars="200"/>
        <w:rPr>
          <w:rFonts w:ascii="仿宋" w:hAnsi="仿宋" w:eastAsia="仿宋" w:cs="Arial"/>
          <w:highlight w:val="none"/>
        </w:rPr>
      </w:pPr>
    </w:p>
    <w:p>
      <w:pPr>
        <w:pStyle w:val="16"/>
        <w:spacing w:line="460" w:lineRule="atLeast"/>
        <w:ind w:firstLine="770" w:firstLineChars="350"/>
        <w:rPr>
          <w:rFonts w:hAnsi="宋体"/>
          <w:sz w:val="22"/>
          <w:szCs w:val="22"/>
          <w:highlight w:val="none"/>
        </w:rPr>
      </w:pPr>
      <w:r>
        <w:rPr>
          <w:rFonts w:hint="eastAsia" w:hAnsi="宋体"/>
          <w:sz w:val="22"/>
          <w:szCs w:val="22"/>
          <w:highlight w:val="none"/>
        </w:rPr>
        <w:t>供应商全称（盖章）：</w:t>
      </w:r>
    </w:p>
    <w:p>
      <w:pPr>
        <w:pStyle w:val="16"/>
        <w:spacing w:line="460" w:lineRule="atLeast"/>
        <w:ind w:firstLine="770" w:firstLineChars="350"/>
        <w:rPr>
          <w:rFonts w:hAnsi="宋体"/>
          <w:sz w:val="22"/>
          <w:szCs w:val="22"/>
          <w:highlight w:val="none"/>
        </w:rPr>
      </w:pPr>
      <w:r>
        <w:rPr>
          <w:rFonts w:hint="eastAsia" w:hAnsi="宋体"/>
          <w:sz w:val="22"/>
          <w:szCs w:val="22"/>
          <w:highlight w:val="none"/>
        </w:rPr>
        <w:t>法定代表人（签字或盖章）或授权代表（签字或盖章）：</w:t>
      </w:r>
    </w:p>
    <w:p>
      <w:pPr>
        <w:pStyle w:val="16"/>
        <w:spacing w:line="460" w:lineRule="atLeast"/>
        <w:ind w:firstLine="770" w:firstLineChars="350"/>
        <w:rPr>
          <w:rFonts w:hAnsi="宋体"/>
          <w:sz w:val="22"/>
          <w:szCs w:val="22"/>
          <w:highlight w:val="none"/>
        </w:rPr>
      </w:pPr>
      <w:r>
        <w:rPr>
          <w:rFonts w:hint="eastAsia" w:hAnsi="宋体"/>
          <w:sz w:val="22"/>
          <w:szCs w:val="22"/>
          <w:highlight w:val="none"/>
        </w:rPr>
        <w:t>日期：</w:t>
      </w:r>
    </w:p>
    <w:p>
      <w:pPr>
        <w:pStyle w:val="16"/>
        <w:spacing w:line="460" w:lineRule="atLeast"/>
        <w:ind w:firstLine="773" w:firstLineChars="350"/>
        <w:rPr>
          <w:rFonts w:hAnsi="宋体"/>
          <w:b/>
          <w:bCs/>
          <w:sz w:val="22"/>
          <w:szCs w:val="22"/>
          <w:highlight w:val="none"/>
        </w:rPr>
      </w:pPr>
    </w:p>
    <w:p>
      <w:pPr>
        <w:pStyle w:val="16"/>
        <w:spacing w:line="460" w:lineRule="atLeast"/>
        <w:ind w:firstLine="773" w:firstLineChars="350"/>
        <w:rPr>
          <w:rFonts w:hAnsi="宋体"/>
          <w:b/>
          <w:bCs/>
          <w:sz w:val="22"/>
          <w:szCs w:val="22"/>
          <w:highlight w:val="none"/>
        </w:rPr>
      </w:pPr>
    </w:p>
    <w:p>
      <w:pPr>
        <w:spacing w:line="440" w:lineRule="exact"/>
        <w:jc w:val="left"/>
        <w:rPr>
          <w:rFonts w:hAnsi="宋体"/>
          <w:b/>
          <w:bCs/>
          <w:sz w:val="22"/>
          <w:highlight w:val="none"/>
        </w:rPr>
      </w:pPr>
      <w:r>
        <w:rPr>
          <w:rFonts w:hint="eastAsia" w:hAnsi="宋体" w:cs="仿宋_GB2312"/>
          <w:b/>
          <w:sz w:val="22"/>
          <w:highlight w:val="none"/>
          <w:lang w:val="zh-CN"/>
        </w:rPr>
        <w:t>▲备注</w:t>
      </w:r>
      <w:r>
        <w:rPr>
          <w:rFonts w:hint="eastAsia" w:hAnsi="宋体"/>
          <w:b/>
          <w:bCs/>
          <w:sz w:val="22"/>
          <w:highlight w:val="none"/>
        </w:rPr>
        <w:t>：承诺函后附依法缴纳税收的证明材料、依法缴纳社保的证明材料（新成立单位，应提供情况说明）</w:t>
      </w:r>
    </w:p>
    <w:p>
      <w:pPr>
        <w:autoSpaceDE w:val="0"/>
        <w:autoSpaceDN w:val="0"/>
        <w:adjustRightInd w:val="0"/>
        <w:spacing w:line="440" w:lineRule="atLeast"/>
        <w:rPr>
          <w:rFonts w:hAnsi="宋体"/>
          <w:b/>
          <w:bCs/>
          <w:sz w:val="32"/>
          <w:szCs w:val="32"/>
          <w:highlight w:val="none"/>
        </w:rPr>
      </w:pPr>
    </w:p>
    <w:p>
      <w:pPr>
        <w:pStyle w:val="12"/>
        <w:rPr>
          <w:rFonts w:hAnsi="宋体"/>
          <w:b/>
          <w:bCs/>
          <w:sz w:val="32"/>
          <w:szCs w:val="32"/>
          <w:highlight w:val="none"/>
        </w:rPr>
      </w:pPr>
    </w:p>
    <w:p>
      <w:pPr>
        <w:pStyle w:val="12"/>
        <w:rPr>
          <w:rFonts w:hAnsi="宋体"/>
          <w:b/>
          <w:bCs/>
          <w:sz w:val="32"/>
          <w:szCs w:val="32"/>
          <w:highlight w:val="none"/>
        </w:rPr>
      </w:pPr>
    </w:p>
    <w:p>
      <w:pPr>
        <w:pStyle w:val="12"/>
        <w:rPr>
          <w:rFonts w:hAnsi="宋体"/>
          <w:b/>
          <w:bCs/>
          <w:sz w:val="32"/>
          <w:szCs w:val="32"/>
          <w:highlight w:val="none"/>
        </w:rPr>
      </w:pPr>
    </w:p>
    <w:p>
      <w:pPr>
        <w:pStyle w:val="12"/>
        <w:rPr>
          <w:rFonts w:hAnsi="宋体"/>
          <w:b/>
          <w:bCs/>
          <w:sz w:val="32"/>
          <w:szCs w:val="32"/>
          <w:highlight w:val="none"/>
        </w:rPr>
      </w:pPr>
    </w:p>
    <w:p>
      <w:pPr>
        <w:spacing w:line="440" w:lineRule="exact"/>
        <w:jc w:val="left"/>
        <w:rPr>
          <w:rFonts w:ascii="宋体" w:hAnsi="宋体" w:eastAsia="宋体"/>
          <w:b/>
          <w:sz w:val="32"/>
          <w:szCs w:val="32"/>
          <w:highlight w:val="none"/>
        </w:rPr>
      </w:pPr>
      <w:r>
        <w:rPr>
          <w:rFonts w:hint="eastAsia" w:ascii="宋体" w:hAnsi="宋体"/>
          <w:b/>
          <w:sz w:val="32"/>
          <w:szCs w:val="32"/>
          <w:highlight w:val="none"/>
        </w:rPr>
        <w:t>附件五</w:t>
      </w:r>
    </w:p>
    <w:p>
      <w:pPr>
        <w:jc w:val="center"/>
        <w:rPr>
          <w:rFonts w:ascii="宋体"/>
          <w:sz w:val="36"/>
          <w:szCs w:val="36"/>
          <w:highlight w:val="none"/>
          <w:lang w:val="zh-CN"/>
        </w:rPr>
      </w:pPr>
    </w:p>
    <w:p>
      <w:pPr>
        <w:jc w:val="center"/>
        <w:rPr>
          <w:rFonts w:ascii="宋体"/>
          <w:sz w:val="36"/>
          <w:szCs w:val="36"/>
          <w:highlight w:val="none"/>
          <w:lang w:val="zh-CN"/>
        </w:rPr>
      </w:pPr>
      <w:r>
        <w:rPr>
          <w:rFonts w:hint="eastAsia" w:ascii="宋体"/>
          <w:sz w:val="36"/>
          <w:szCs w:val="36"/>
          <w:highlight w:val="none"/>
          <w:lang w:val="zh-CN"/>
        </w:rPr>
        <w:t>参加政府采购活动前3年内</w:t>
      </w:r>
    </w:p>
    <w:p>
      <w:pPr>
        <w:jc w:val="center"/>
        <w:rPr>
          <w:rFonts w:ascii="宋体"/>
          <w:sz w:val="36"/>
          <w:szCs w:val="36"/>
          <w:highlight w:val="none"/>
          <w:lang w:val="zh-CN"/>
        </w:rPr>
      </w:pPr>
      <w:r>
        <w:rPr>
          <w:rFonts w:hint="eastAsia" w:ascii="宋体"/>
          <w:sz w:val="36"/>
          <w:szCs w:val="36"/>
          <w:highlight w:val="none"/>
          <w:lang w:val="zh-CN"/>
        </w:rPr>
        <w:t>在经营活动中没有重大违法记录的声明函</w:t>
      </w:r>
    </w:p>
    <w:p>
      <w:pPr>
        <w:jc w:val="left"/>
        <w:rPr>
          <w:rFonts w:ascii="宋体" w:hAnsi="宋体"/>
          <w:sz w:val="22"/>
          <w:highlight w:val="none"/>
          <w:u w:val="single"/>
        </w:rPr>
      </w:pPr>
    </w:p>
    <w:p>
      <w:pPr>
        <w:jc w:val="left"/>
        <w:rPr>
          <w:rFonts w:ascii="宋体" w:hAnsi="宋体"/>
          <w:sz w:val="22"/>
          <w:highlight w:val="none"/>
          <w:u w:val="single"/>
        </w:rPr>
      </w:pPr>
    </w:p>
    <w:p>
      <w:pPr>
        <w:jc w:val="left"/>
        <w:rPr>
          <w:rFonts w:ascii="宋体" w:hAnsi="宋体"/>
          <w:sz w:val="22"/>
          <w:highlight w:val="none"/>
          <w:u w:val="single"/>
        </w:rPr>
      </w:pPr>
    </w:p>
    <w:p>
      <w:pPr>
        <w:jc w:val="left"/>
        <w:rPr>
          <w:rFonts w:ascii="宋体" w:hAnsi="宋体"/>
          <w:sz w:val="22"/>
          <w:highlight w:val="none"/>
          <w:u w:val="single"/>
        </w:rPr>
      </w:pPr>
      <w:r>
        <w:rPr>
          <w:rFonts w:hint="eastAsia" w:ascii="宋体" w:hAnsi="宋体"/>
          <w:sz w:val="22"/>
          <w:highlight w:val="none"/>
          <w:u w:val="single"/>
        </w:rPr>
        <w:t>泰顺县交通运输管理中心、浙江益诚工程咨询有限公司：</w:t>
      </w:r>
    </w:p>
    <w:p>
      <w:pPr>
        <w:jc w:val="center"/>
        <w:rPr>
          <w:rFonts w:ascii="宋体" w:hAnsi="宋体"/>
          <w:sz w:val="22"/>
          <w:highlight w:val="none"/>
          <w:u w:val="single"/>
        </w:rPr>
      </w:pPr>
    </w:p>
    <w:p>
      <w:pPr>
        <w:jc w:val="center"/>
        <w:rPr>
          <w:rFonts w:ascii="宋体" w:hAnsi="宋体"/>
          <w:sz w:val="22"/>
          <w:highlight w:val="none"/>
          <w:u w:val="single"/>
        </w:rPr>
      </w:pP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我方</w:t>
      </w:r>
      <w:r>
        <w:rPr>
          <w:rFonts w:hint="eastAsia" w:ascii="宋体" w:hAnsi="宋体" w:cs="黑体"/>
          <w:sz w:val="22"/>
          <w:highlight w:val="none"/>
          <w:u w:val="single"/>
          <w:lang w:val="zh-CN"/>
        </w:rPr>
        <w:t xml:space="preserve"> （投标供应商）</w:t>
      </w:r>
      <w:r>
        <w:rPr>
          <w:rFonts w:hint="eastAsia" w:ascii="宋体" w:hAnsi="宋体" w:cs="黑体"/>
          <w:sz w:val="22"/>
          <w:highlight w:val="none"/>
          <w:u w:val="single"/>
        </w:rPr>
        <w:t xml:space="preserve">  </w:t>
      </w:r>
      <w:r>
        <w:rPr>
          <w:rFonts w:hint="eastAsia" w:ascii="宋体" w:hAnsi="宋体" w:cs="黑体"/>
          <w:sz w:val="22"/>
          <w:highlight w:val="none"/>
          <w:lang w:val="zh-CN"/>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中标/签订合同），我方对此无任何异议。</w:t>
      </w:r>
    </w:p>
    <w:p>
      <w:pPr>
        <w:spacing w:line="460" w:lineRule="exact"/>
        <w:ind w:firstLine="440" w:firstLineChars="200"/>
        <w:rPr>
          <w:rFonts w:ascii="宋体" w:hAnsi="宋体" w:cs="黑体"/>
          <w:sz w:val="22"/>
          <w:highlight w:val="none"/>
          <w:lang w:val="zh-CN"/>
        </w:rPr>
      </w:pP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特此承诺！</w:t>
      </w:r>
    </w:p>
    <w:p>
      <w:pPr>
        <w:spacing w:line="460" w:lineRule="exact"/>
        <w:ind w:firstLine="440" w:firstLineChars="200"/>
        <w:rPr>
          <w:rFonts w:ascii="宋体" w:hAnsi="宋体" w:cs="黑体"/>
          <w:sz w:val="22"/>
          <w:highlight w:val="none"/>
          <w:lang w:val="zh-CN"/>
        </w:rPr>
      </w:pP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供应商全称：（盖章）</w:t>
      </w: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法定代表人（签字或盖章）或授权代表（签字）：</w:t>
      </w:r>
    </w:p>
    <w:p>
      <w:pPr>
        <w:spacing w:line="460" w:lineRule="exact"/>
        <w:ind w:firstLine="440" w:firstLineChars="200"/>
        <w:rPr>
          <w:rFonts w:ascii="宋体" w:hAnsi="宋体" w:cs="黑体"/>
          <w:sz w:val="22"/>
          <w:highlight w:val="none"/>
          <w:lang w:val="zh-CN"/>
        </w:rPr>
      </w:pPr>
      <w:r>
        <w:rPr>
          <w:rFonts w:hint="eastAsia" w:ascii="宋体" w:hAnsi="宋体" w:cs="黑体"/>
          <w:sz w:val="22"/>
          <w:highlight w:val="none"/>
          <w:lang w:val="zh-CN"/>
        </w:rPr>
        <w:t>日期：</w:t>
      </w:r>
    </w:p>
    <w:p>
      <w:pPr>
        <w:jc w:val="center"/>
        <w:rPr>
          <w:rFonts w:ascii="宋体"/>
          <w:sz w:val="36"/>
          <w:szCs w:val="36"/>
          <w:highlight w:val="none"/>
          <w:lang w:val="zh-CN"/>
        </w:rPr>
      </w:pPr>
    </w:p>
    <w:p>
      <w:pPr>
        <w:pStyle w:val="16"/>
        <w:adjustRightInd w:val="0"/>
        <w:snapToGrid w:val="0"/>
        <w:spacing w:line="340" w:lineRule="atLeast"/>
        <w:rPr>
          <w:rFonts w:hAnsi="宋体"/>
          <w:b/>
          <w:sz w:val="32"/>
          <w:szCs w:val="32"/>
          <w:highlight w:val="none"/>
        </w:rPr>
      </w:pPr>
    </w:p>
    <w:p>
      <w:pPr>
        <w:pStyle w:val="16"/>
        <w:adjustRightInd w:val="0"/>
        <w:snapToGrid w:val="0"/>
        <w:spacing w:line="340" w:lineRule="atLeast"/>
        <w:rPr>
          <w:rFonts w:hAnsi="宋体"/>
          <w:b/>
          <w:sz w:val="32"/>
          <w:szCs w:val="32"/>
          <w:highlight w:val="none"/>
        </w:rPr>
      </w:pPr>
    </w:p>
    <w:p>
      <w:pPr>
        <w:pStyle w:val="16"/>
        <w:adjustRightInd w:val="0"/>
        <w:snapToGrid w:val="0"/>
        <w:spacing w:line="340" w:lineRule="atLeast"/>
        <w:rPr>
          <w:rFonts w:hAnsi="宋体"/>
          <w:b/>
          <w:sz w:val="32"/>
          <w:szCs w:val="32"/>
          <w:highlight w:val="none"/>
        </w:rPr>
      </w:pPr>
    </w:p>
    <w:p>
      <w:pPr>
        <w:autoSpaceDE w:val="0"/>
        <w:autoSpaceDN w:val="0"/>
        <w:adjustRightInd w:val="0"/>
        <w:jc w:val="left"/>
        <w:outlineLvl w:val="0"/>
        <w:rPr>
          <w:rFonts w:ascii="宋体"/>
          <w:b/>
          <w:bCs/>
          <w:sz w:val="32"/>
          <w:szCs w:val="32"/>
          <w:highlight w:val="none"/>
        </w:rPr>
      </w:pPr>
      <w:r>
        <w:rPr>
          <w:rFonts w:hint="eastAsia" w:hAnsi="宋体"/>
          <w:b/>
          <w:sz w:val="32"/>
          <w:szCs w:val="32"/>
          <w:highlight w:val="none"/>
        </w:rPr>
        <w:br w:type="page"/>
      </w:r>
      <w:r>
        <w:rPr>
          <w:rFonts w:hint="eastAsia" w:ascii="宋体" w:hAnsi="宋体"/>
          <w:b/>
          <w:bCs/>
          <w:sz w:val="32"/>
          <w:szCs w:val="32"/>
          <w:highlight w:val="none"/>
        </w:rPr>
        <w:t>附件六（一）</w:t>
      </w:r>
    </w:p>
    <w:p>
      <w:pPr>
        <w:spacing w:line="480" w:lineRule="auto"/>
        <w:jc w:val="center"/>
        <w:rPr>
          <w:rFonts w:ascii="宋体" w:hAnsi="宋体" w:cs="仿宋_GB2312"/>
          <w:sz w:val="36"/>
          <w:szCs w:val="36"/>
          <w:highlight w:val="none"/>
        </w:rPr>
      </w:pPr>
      <w:r>
        <w:rPr>
          <w:rFonts w:hint="eastAsia" w:ascii="宋体" w:hAnsi="宋体" w:cs="仿宋_GB2312"/>
          <w:sz w:val="36"/>
          <w:szCs w:val="36"/>
          <w:highlight w:val="none"/>
        </w:rPr>
        <w:t>法定代表人身份证明书</w:t>
      </w:r>
    </w:p>
    <w:p>
      <w:pPr>
        <w:spacing w:line="480" w:lineRule="auto"/>
        <w:jc w:val="center"/>
        <w:rPr>
          <w:rFonts w:ascii="宋体" w:hAnsi="宋体" w:cs="宋体"/>
          <w:sz w:val="30"/>
          <w:highlight w:val="none"/>
        </w:rPr>
      </w:pPr>
    </w:p>
    <w:p>
      <w:pPr>
        <w:spacing w:line="360" w:lineRule="auto"/>
        <w:ind w:firstLine="612"/>
        <w:rPr>
          <w:rFonts w:ascii="宋体" w:hAnsi="宋体" w:cs="宋体"/>
          <w:sz w:val="24"/>
          <w:highlight w:val="none"/>
        </w:rPr>
      </w:pPr>
      <w:r>
        <w:rPr>
          <w:rFonts w:hint="eastAsia" w:ascii="宋体" w:hAnsi="宋体" w:cs="宋体"/>
          <w:sz w:val="24"/>
          <w:highlight w:val="none"/>
        </w:rPr>
        <w:t>单位名称：</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p>
    <w:p>
      <w:pPr>
        <w:spacing w:line="360" w:lineRule="auto"/>
        <w:ind w:firstLine="612"/>
        <w:rPr>
          <w:rFonts w:ascii="宋体" w:hAnsi="宋体" w:cs="宋体"/>
          <w:sz w:val="24"/>
          <w:highlight w:val="none"/>
        </w:rPr>
      </w:pPr>
    </w:p>
    <w:p>
      <w:pPr>
        <w:spacing w:line="360" w:lineRule="auto"/>
        <w:ind w:firstLine="610"/>
        <w:rPr>
          <w:rFonts w:ascii="宋体" w:hAnsi="宋体" w:cs="宋体"/>
          <w:sz w:val="24"/>
          <w:highlight w:val="none"/>
          <w:u w:val="single"/>
        </w:rPr>
      </w:pPr>
      <w:r>
        <w:rPr>
          <w:rFonts w:hint="eastAsia" w:ascii="宋体" w:hAnsi="宋体" w:cs="宋体"/>
          <w:sz w:val="24"/>
          <w:highlight w:val="none"/>
        </w:rPr>
        <w:t>单位性质：</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p>
    <w:p>
      <w:pPr>
        <w:spacing w:line="360" w:lineRule="auto"/>
        <w:ind w:firstLine="610"/>
        <w:rPr>
          <w:rFonts w:ascii="宋体" w:hAnsi="宋体" w:cs="宋体"/>
          <w:sz w:val="24"/>
          <w:highlight w:val="none"/>
        </w:rPr>
      </w:pPr>
    </w:p>
    <w:p>
      <w:pPr>
        <w:spacing w:line="360" w:lineRule="auto"/>
        <w:ind w:firstLine="61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p>
    <w:p>
      <w:pPr>
        <w:spacing w:line="360" w:lineRule="auto"/>
        <w:ind w:firstLine="610"/>
        <w:rPr>
          <w:rFonts w:ascii="宋体" w:hAnsi="宋体" w:cs="宋体"/>
          <w:sz w:val="24"/>
          <w:highlight w:val="none"/>
        </w:rPr>
      </w:pPr>
    </w:p>
    <w:p>
      <w:pPr>
        <w:spacing w:line="360" w:lineRule="auto"/>
        <w:ind w:firstLine="610"/>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ind w:firstLine="610"/>
        <w:rPr>
          <w:rFonts w:ascii="宋体" w:hAnsi="宋体" w:cs="宋体"/>
          <w:sz w:val="24"/>
          <w:highlight w:val="none"/>
        </w:rPr>
      </w:pPr>
    </w:p>
    <w:p>
      <w:pPr>
        <w:spacing w:line="360" w:lineRule="auto"/>
        <w:ind w:firstLine="610"/>
        <w:rPr>
          <w:rFonts w:ascii="宋体" w:hAnsi="宋体" w:cs="宋体"/>
          <w:sz w:val="24"/>
          <w:highlight w:val="none"/>
          <w:u w:val="single"/>
        </w:rPr>
      </w:pPr>
      <w:r>
        <w:rPr>
          <w:rFonts w:hint="eastAsia" w:ascii="宋体" w:hAnsi="宋体" w:cs="宋体"/>
          <w:sz w:val="24"/>
          <w:highlight w:val="none"/>
        </w:rPr>
        <w:t>经营期限：</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p>
    <w:p>
      <w:pPr>
        <w:spacing w:line="360" w:lineRule="auto"/>
        <w:ind w:firstLine="610"/>
        <w:rPr>
          <w:rFonts w:ascii="宋体" w:hAnsi="宋体" w:cs="宋体"/>
          <w:sz w:val="24"/>
          <w:highlight w:val="none"/>
        </w:rPr>
      </w:pPr>
    </w:p>
    <w:p>
      <w:pPr>
        <w:spacing w:line="360" w:lineRule="auto"/>
        <w:ind w:firstLine="610"/>
        <w:rPr>
          <w:rFonts w:ascii="宋体" w:hAnsi="宋体" w:cs="宋体"/>
          <w:sz w:val="24"/>
          <w:highlight w:val="none"/>
          <w:u w:val="singl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p>
    <w:p>
      <w:pPr>
        <w:spacing w:line="360" w:lineRule="auto"/>
        <w:ind w:firstLine="610"/>
        <w:rPr>
          <w:rFonts w:ascii="宋体" w:hAnsi="宋体" w:cs="宋体"/>
          <w:sz w:val="24"/>
          <w:highlight w:val="none"/>
        </w:rPr>
      </w:pPr>
    </w:p>
    <w:p>
      <w:pPr>
        <w:spacing w:line="360" w:lineRule="auto"/>
        <w:ind w:firstLine="61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（投标供应商单位名称）         </w:t>
      </w:r>
      <w:r>
        <w:rPr>
          <w:rFonts w:hint="eastAsia" w:ascii="宋体" w:hAnsi="宋体" w:cs="宋体"/>
          <w:sz w:val="24"/>
          <w:highlight w:val="none"/>
        </w:rPr>
        <w:t>的法定代表人。</w:t>
      </w:r>
    </w:p>
    <w:p>
      <w:pPr>
        <w:spacing w:line="360" w:lineRule="auto"/>
        <w:rPr>
          <w:rFonts w:ascii="宋体" w:hAnsi="宋体" w:cs="宋体"/>
          <w:sz w:val="24"/>
          <w:highlight w:val="none"/>
        </w:rPr>
      </w:pPr>
    </w:p>
    <w:tbl>
      <w:tblPr>
        <w:tblStyle w:val="2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pPr>
              <w:snapToGrid w:val="0"/>
              <w:jc w:val="center"/>
              <w:rPr>
                <w:rFonts w:ascii="宋体"/>
                <w:sz w:val="24"/>
                <w:highlight w:val="none"/>
              </w:rPr>
            </w:pPr>
          </w:p>
          <w:p>
            <w:pPr>
              <w:snapToGrid w:val="0"/>
              <w:rPr>
                <w:rFonts w:ascii="宋体"/>
                <w:sz w:val="24"/>
                <w:highlight w:val="none"/>
              </w:rPr>
            </w:pPr>
          </w:p>
          <w:p>
            <w:pPr>
              <w:snapToGrid w:val="0"/>
              <w:jc w:val="center"/>
              <w:rPr>
                <w:rFonts w:ascii="宋体"/>
                <w:sz w:val="24"/>
                <w:highlight w:val="none"/>
              </w:rPr>
            </w:pPr>
          </w:p>
          <w:p>
            <w:pPr>
              <w:snapToGrid w:val="0"/>
              <w:ind w:firstLine="2520" w:firstLineChars="1050"/>
              <w:rPr>
                <w:rFonts w:ascii="宋体"/>
                <w:sz w:val="24"/>
                <w:highlight w:val="none"/>
              </w:rPr>
            </w:pPr>
            <w:r>
              <w:rPr>
                <w:rFonts w:ascii="宋体"/>
                <w:sz w:val="24"/>
                <w:highlight w:val="none"/>
              </w:rPr>
              <w:t>身份证复印件粘贴处</w:t>
            </w:r>
          </w:p>
          <w:p>
            <w:pPr>
              <w:snapToGrid w:val="0"/>
              <w:rPr>
                <w:rFonts w:ascii="宋体"/>
                <w:sz w:val="24"/>
                <w:highlight w:val="none"/>
              </w:rPr>
            </w:pPr>
          </w:p>
          <w:p>
            <w:pPr>
              <w:tabs>
                <w:tab w:val="left" w:pos="720"/>
                <w:tab w:val="left" w:pos="900"/>
              </w:tabs>
              <w:spacing w:line="360" w:lineRule="auto"/>
              <w:rPr>
                <w:rFonts w:ascii="宋体" w:hAnsi="宋体" w:cs="宋体"/>
                <w:sz w:val="24"/>
                <w:highlight w:val="none"/>
              </w:rPr>
            </w:pPr>
            <w:r>
              <w:rPr>
                <w:rFonts w:ascii="宋体"/>
                <w:sz w:val="24"/>
                <w:highlight w:val="none"/>
              </w:rPr>
              <w:t xml:space="preserve">                                 </w:t>
            </w:r>
          </w:p>
          <w:p>
            <w:pPr>
              <w:tabs>
                <w:tab w:val="left" w:pos="720"/>
                <w:tab w:val="left" w:pos="900"/>
              </w:tabs>
              <w:spacing w:line="360" w:lineRule="auto"/>
              <w:rPr>
                <w:rFonts w:ascii="宋体" w:hAnsi="宋体" w:cs="宋体"/>
                <w:sz w:val="24"/>
                <w:highlight w:val="none"/>
              </w:rPr>
            </w:pPr>
            <w:r>
              <w:rPr>
                <w:rFonts w:ascii="宋体" w:hAnsi="宋体" w:cs="宋体"/>
                <w:sz w:val="24"/>
                <w:highlight w:val="none"/>
              </w:rPr>
              <w:t xml:space="preserve">                                         </w:t>
            </w:r>
            <w:r>
              <w:rPr>
                <w:rFonts w:ascii="宋体"/>
                <w:sz w:val="24"/>
                <w:highlight w:val="none"/>
              </w:rPr>
              <w:t>（二代身份证需双面复印）</w:t>
            </w:r>
          </w:p>
        </w:tc>
      </w:tr>
    </w:tbl>
    <w:p>
      <w:pPr>
        <w:spacing w:line="360" w:lineRule="auto"/>
        <w:ind w:firstLine="610"/>
        <w:rPr>
          <w:rFonts w:ascii="宋体" w:hAnsi="宋体" w:cs="宋体"/>
          <w:sz w:val="24"/>
          <w:highlight w:val="none"/>
        </w:rPr>
      </w:pPr>
      <w:r>
        <w:rPr>
          <w:rFonts w:hint="eastAsia" w:ascii="宋体" w:hAnsi="宋体" w:cs="宋体"/>
          <w:sz w:val="24"/>
          <w:highlight w:val="none"/>
        </w:rPr>
        <w:t>特此证明。</w:t>
      </w:r>
    </w:p>
    <w:p>
      <w:pPr>
        <w:adjustRightInd w:val="0"/>
        <w:snapToGrid w:val="0"/>
        <w:spacing w:line="400" w:lineRule="exact"/>
        <w:rPr>
          <w:rFonts w:ascii="宋体" w:hAnsi="宋体" w:cs="Courier New"/>
          <w:b/>
          <w:kern w:val="0"/>
          <w:sz w:val="22"/>
          <w:highlight w:val="none"/>
          <w:u w:val="single"/>
        </w:rPr>
      </w:pPr>
    </w:p>
    <w:p>
      <w:pPr>
        <w:adjustRightInd w:val="0"/>
        <w:snapToGrid w:val="0"/>
        <w:spacing w:line="400" w:lineRule="exact"/>
        <w:rPr>
          <w:rFonts w:ascii="宋体" w:hAnsi="宋体" w:cs="Courier New"/>
          <w:b/>
          <w:kern w:val="0"/>
          <w:sz w:val="22"/>
          <w:highlight w:val="none"/>
          <w:u w:val="single"/>
        </w:rPr>
      </w:pPr>
    </w:p>
    <w:p>
      <w:pPr>
        <w:adjustRightInd w:val="0"/>
        <w:snapToGrid w:val="0"/>
        <w:spacing w:line="400" w:lineRule="exact"/>
        <w:rPr>
          <w:rFonts w:ascii="宋体" w:hAnsi="宋体" w:cs="Courier New"/>
          <w:b/>
          <w:kern w:val="0"/>
          <w:sz w:val="22"/>
          <w:highlight w:val="none"/>
          <w:u w:val="single"/>
        </w:rPr>
      </w:pPr>
    </w:p>
    <w:p>
      <w:pPr>
        <w:adjustRightInd w:val="0"/>
        <w:snapToGrid w:val="0"/>
        <w:spacing w:line="400" w:lineRule="exact"/>
        <w:rPr>
          <w:rFonts w:ascii="宋体" w:hAnsi="宋体" w:cs="Courier New"/>
          <w:b/>
          <w:kern w:val="0"/>
          <w:sz w:val="22"/>
          <w:highlight w:val="none"/>
          <w:u w:val="single"/>
        </w:rPr>
      </w:pPr>
    </w:p>
    <w:p>
      <w:pPr>
        <w:autoSpaceDE w:val="0"/>
        <w:autoSpaceDN w:val="0"/>
        <w:adjustRightInd w:val="0"/>
        <w:spacing w:line="440" w:lineRule="atLeast"/>
        <w:rPr>
          <w:rFonts w:ascii="宋体" w:hAnsi="宋体" w:cs="Courier New"/>
          <w:b/>
          <w:kern w:val="0"/>
          <w:sz w:val="22"/>
          <w:highlight w:val="none"/>
        </w:rPr>
      </w:pPr>
      <w:r>
        <w:rPr>
          <w:rFonts w:hint="eastAsia" w:ascii="宋体" w:hAnsi="宋体" w:cs="Courier New"/>
          <w:b/>
          <w:kern w:val="0"/>
          <w:sz w:val="22"/>
          <w:highlight w:val="none"/>
        </w:rPr>
        <w:t xml:space="preserve"> ▲法定代表人参加投标，不提供此表格的将视为没有实质性响应招标文件。</w:t>
      </w:r>
    </w:p>
    <w:p>
      <w:pPr>
        <w:tabs>
          <w:tab w:val="left" w:pos="1080"/>
        </w:tabs>
        <w:autoSpaceDE w:val="0"/>
        <w:autoSpaceDN w:val="0"/>
        <w:adjustRightInd w:val="0"/>
        <w:spacing w:line="440" w:lineRule="atLeast"/>
        <w:jc w:val="left"/>
        <w:rPr>
          <w:rFonts w:ascii="宋体" w:hAnsi="宋体"/>
          <w:b/>
          <w:sz w:val="32"/>
          <w:szCs w:val="32"/>
          <w:highlight w:val="none"/>
        </w:rPr>
      </w:pPr>
      <w:r>
        <w:rPr>
          <w:rFonts w:hint="eastAsia" w:ascii="宋体" w:hAnsi="宋体"/>
          <w:b/>
          <w:sz w:val="32"/>
          <w:szCs w:val="32"/>
          <w:highlight w:val="none"/>
        </w:rPr>
        <w:t>附件六（二）</w:t>
      </w:r>
    </w:p>
    <w:p>
      <w:pPr>
        <w:tabs>
          <w:tab w:val="left" w:pos="1080"/>
        </w:tabs>
        <w:autoSpaceDE w:val="0"/>
        <w:autoSpaceDN w:val="0"/>
        <w:adjustRightInd w:val="0"/>
        <w:spacing w:line="440" w:lineRule="atLeast"/>
        <w:jc w:val="center"/>
        <w:rPr>
          <w:rFonts w:ascii="宋体"/>
          <w:sz w:val="36"/>
          <w:szCs w:val="36"/>
          <w:highlight w:val="none"/>
        </w:rPr>
      </w:pPr>
      <w:r>
        <w:rPr>
          <w:rFonts w:hint="eastAsia" w:ascii="宋体"/>
          <w:sz w:val="36"/>
          <w:szCs w:val="36"/>
          <w:highlight w:val="none"/>
        </w:rPr>
        <w:t>法定代表人授权书</w:t>
      </w:r>
    </w:p>
    <w:p>
      <w:pPr>
        <w:spacing w:line="480" w:lineRule="auto"/>
        <w:rPr>
          <w:rFonts w:ascii="宋体" w:hAnsi="宋体"/>
          <w:sz w:val="22"/>
          <w:highlight w:val="none"/>
        </w:rPr>
      </w:pPr>
      <w:r>
        <w:rPr>
          <w:rFonts w:hint="eastAsia" w:ascii="宋体" w:hAnsi="宋体"/>
          <w:sz w:val="22"/>
          <w:highlight w:val="none"/>
          <w:u w:val="single"/>
        </w:rPr>
        <w:t>（采购单位名称）</w:t>
      </w:r>
      <w:r>
        <w:rPr>
          <w:rFonts w:hint="eastAsia" w:ascii="宋体" w:hAnsi="宋体"/>
          <w:sz w:val="22"/>
          <w:highlight w:val="none"/>
          <w:lang w:val="zh-CN"/>
        </w:rPr>
        <w:t>：</w:t>
      </w:r>
    </w:p>
    <w:p>
      <w:pPr>
        <w:spacing w:line="480" w:lineRule="auto"/>
        <w:ind w:firstLine="440" w:firstLineChars="200"/>
        <w:rPr>
          <w:rFonts w:ascii="宋体" w:hAnsi="宋体"/>
          <w:sz w:val="22"/>
          <w:highlight w:val="none"/>
        </w:rPr>
      </w:pPr>
      <w:r>
        <w:rPr>
          <w:rFonts w:hint="eastAsia" w:ascii="宋体" w:hAnsi="宋体"/>
          <w:sz w:val="22"/>
          <w:highlight w:val="none"/>
        </w:rPr>
        <w:t>本授权委托书声明：我</w:t>
      </w:r>
      <w:r>
        <w:rPr>
          <w:rFonts w:hint="eastAsia" w:ascii="宋体" w:hAnsi="宋体"/>
          <w:sz w:val="22"/>
          <w:highlight w:val="none"/>
          <w:u w:val="single"/>
        </w:rPr>
        <w:t xml:space="preserve">   （法定代表人姓名）   </w:t>
      </w:r>
      <w:r>
        <w:rPr>
          <w:rFonts w:hint="eastAsia" w:ascii="宋体" w:hAnsi="宋体"/>
          <w:sz w:val="22"/>
          <w:highlight w:val="none"/>
        </w:rPr>
        <w:t>系</w:t>
      </w:r>
      <w:r>
        <w:rPr>
          <w:rFonts w:hint="eastAsia" w:ascii="宋体" w:hAnsi="宋体"/>
          <w:sz w:val="22"/>
          <w:highlight w:val="none"/>
          <w:u w:val="single"/>
        </w:rPr>
        <w:t xml:space="preserve">   （供 应 商 名 称）  </w:t>
      </w:r>
      <w:r>
        <w:rPr>
          <w:rFonts w:hint="eastAsia" w:ascii="宋体" w:hAnsi="宋体"/>
          <w:sz w:val="22"/>
          <w:highlight w:val="none"/>
        </w:rPr>
        <w:t>的法定代表人，现授权委托</w:t>
      </w:r>
      <w:r>
        <w:rPr>
          <w:rFonts w:hint="eastAsia" w:ascii="宋体" w:hAnsi="宋体"/>
          <w:sz w:val="22"/>
          <w:highlight w:val="none"/>
          <w:u w:val="single"/>
        </w:rPr>
        <w:t xml:space="preserve">  （单 位 名 称）   </w:t>
      </w:r>
      <w:r>
        <w:rPr>
          <w:rFonts w:hint="eastAsia" w:ascii="宋体" w:hAnsi="宋体"/>
          <w:sz w:val="22"/>
          <w:highlight w:val="none"/>
        </w:rPr>
        <w:t>的</w:t>
      </w:r>
      <w:r>
        <w:rPr>
          <w:rFonts w:hint="eastAsia" w:ascii="宋体" w:hAnsi="宋体"/>
          <w:sz w:val="22"/>
          <w:highlight w:val="none"/>
          <w:u w:val="single"/>
        </w:rPr>
        <w:t xml:space="preserve">  （授权代表姓名）  </w:t>
      </w:r>
      <w:r>
        <w:rPr>
          <w:rFonts w:hint="eastAsia" w:ascii="宋体" w:hAnsi="宋体"/>
          <w:sz w:val="22"/>
          <w:highlight w:val="none"/>
        </w:rPr>
        <w:t>为我公司法定代表人授权代表，参加贵处组织的</w:t>
      </w:r>
      <w:r>
        <w:rPr>
          <w:rFonts w:hint="eastAsia" w:ascii="宋体" w:hAnsi="宋体"/>
          <w:sz w:val="22"/>
          <w:highlight w:val="none"/>
          <w:u w:val="single"/>
        </w:rPr>
        <w:t xml:space="preserve">  （招标项目名称，括号中填写项目编号）  </w:t>
      </w:r>
      <w:r>
        <w:rPr>
          <w:rFonts w:hint="eastAsia" w:ascii="宋体" w:hAnsi="宋体"/>
          <w:sz w:val="22"/>
          <w:highlight w:val="none"/>
        </w:rPr>
        <w:t>项目投标，全权处理本次招投标活动中的一切事宜，我承认授权代表全权代表我所签署的本项目的响应文件的内容。</w:t>
      </w:r>
    </w:p>
    <w:p>
      <w:pPr>
        <w:spacing w:line="480" w:lineRule="auto"/>
        <w:ind w:firstLine="440" w:firstLineChars="200"/>
        <w:rPr>
          <w:rFonts w:ascii="宋体" w:hAnsi="宋体"/>
          <w:sz w:val="22"/>
          <w:highlight w:val="none"/>
        </w:rPr>
      </w:pPr>
      <w:r>
        <w:rPr>
          <w:rFonts w:hint="eastAsia" w:ascii="宋体" w:hAnsi="宋体"/>
          <w:sz w:val="22"/>
          <w:highlight w:val="none"/>
        </w:rPr>
        <w:t>授权代表无转授权，特此授权</w:t>
      </w:r>
    </w:p>
    <w:p>
      <w:pPr>
        <w:spacing w:line="480" w:lineRule="auto"/>
        <w:ind w:left="2100" w:leftChars="1000" w:firstLine="440" w:firstLineChars="200"/>
        <w:rPr>
          <w:rFonts w:ascii="宋体" w:hAnsi="宋体"/>
          <w:sz w:val="22"/>
          <w:highlight w:val="none"/>
          <w:u w:val="single"/>
        </w:rPr>
      </w:pPr>
      <w:r>
        <w:rPr>
          <w:rFonts w:hint="eastAsia" w:ascii="宋体" w:hAnsi="宋体"/>
          <w:sz w:val="22"/>
          <w:highlight w:val="none"/>
        </w:rPr>
        <w:t>授权代表：</w:t>
      </w:r>
      <w:r>
        <w:rPr>
          <w:rFonts w:hint="eastAsia" w:ascii="宋体" w:hAnsi="宋体"/>
          <w:sz w:val="22"/>
          <w:highlight w:val="none"/>
          <w:u w:val="single"/>
        </w:rPr>
        <w:t xml:space="preserve">   （手写签字）  </w:t>
      </w:r>
      <w:r>
        <w:rPr>
          <w:rFonts w:hint="eastAsia" w:ascii="宋体" w:hAnsi="宋体"/>
          <w:sz w:val="22"/>
          <w:highlight w:val="none"/>
        </w:rPr>
        <w:t xml:space="preserve"> 性别 ：</w:t>
      </w:r>
      <w:r>
        <w:rPr>
          <w:rFonts w:hint="eastAsia" w:ascii="宋体" w:hAnsi="宋体"/>
          <w:sz w:val="22"/>
          <w:highlight w:val="none"/>
          <w:u w:val="single"/>
        </w:rPr>
        <w:t xml:space="preserve">                    </w:t>
      </w:r>
      <w:r>
        <w:rPr>
          <w:rFonts w:ascii="宋体" w:hAnsi="宋体"/>
          <w:sz w:val="22"/>
          <w:highlight w:val="none"/>
          <w:u w:val="single"/>
        </w:rPr>
        <w:t xml:space="preserve">    </w:t>
      </w:r>
    </w:p>
    <w:p>
      <w:pPr>
        <w:spacing w:line="480" w:lineRule="auto"/>
        <w:ind w:left="2100" w:leftChars="1000" w:firstLine="440" w:firstLineChars="200"/>
        <w:rPr>
          <w:rFonts w:ascii="宋体" w:hAnsi="宋体"/>
          <w:sz w:val="22"/>
          <w:highlight w:val="none"/>
          <w:u w:val="single"/>
        </w:rPr>
      </w:pPr>
      <w:r>
        <w:rPr>
          <w:rFonts w:hint="eastAsia" w:ascii="宋体" w:hAnsi="宋体"/>
          <w:sz w:val="22"/>
          <w:highlight w:val="none"/>
        </w:rPr>
        <w:t>职务：</w:t>
      </w:r>
      <w:r>
        <w:rPr>
          <w:rFonts w:hint="eastAsia" w:ascii="宋体" w:hAnsi="宋体"/>
          <w:sz w:val="22"/>
          <w:highlight w:val="none"/>
          <w:u w:val="single"/>
        </w:rPr>
        <w:t xml:space="preserve">                  </w:t>
      </w:r>
      <w:r>
        <w:rPr>
          <w:rFonts w:hint="eastAsia" w:ascii="宋体" w:hAnsi="宋体"/>
          <w:sz w:val="22"/>
          <w:highlight w:val="none"/>
        </w:rPr>
        <w:t>年龄：</w:t>
      </w:r>
      <w:r>
        <w:rPr>
          <w:rFonts w:hint="eastAsia" w:ascii="宋体" w:hAnsi="宋体"/>
          <w:sz w:val="22"/>
          <w:highlight w:val="none"/>
          <w:u w:val="single"/>
        </w:rPr>
        <w:t xml:space="preserve">                  </w:t>
      </w:r>
      <w:r>
        <w:rPr>
          <w:rFonts w:ascii="宋体" w:hAnsi="宋体"/>
          <w:sz w:val="22"/>
          <w:highlight w:val="none"/>
          <w:u w:val="single"/>
        </w:rPr>
        <w:t xml:space="preserve">           </w:t>
      </w:r>
    </w:p>
    <w:p>
      <w:pPr>
        <w:spacing w:line="480" w:lineRule="auto"/>
        <w:ind w:left="2100" w:leftChars="1000" w:firstLine="440" w:firstLineChars="200"/>
        <w:rPr>
          <w:rFonts w:ascii="宋体" w:hAnsi="宋体"/>
          <w:sz w:val="22"/>
          <w:highlight w:val="none"/>
          <w:u w:val="single"/>
        </w:rPr>
      </w:pPr>
      <w:r>
        <w:rPr>
          <w:rFonts w:hint="eastAsia" w:ascii="宋体" w:hAnsi="宋体"/>
          <w:sz w:val="22"/>
          <w:highlight w:val="none"/>
        </w:rPr>
        <w:t>详细通讯地址：</w:t>
      </w:r>
      <w:r>
        <w:rPr>
          <w:rFonts w:hint="eastAsia" w:ascii="宋体" w:hAnsi="宋体"/>
          <w:sz w:val="22"/>
          <w:highlight w:val="none"/>
          <w:u w:val="single"/>
        </w:rPr>
        <w:t xml:space="preserve">                  </w:t>
      </w:r>
      <w:r>
        <w:rPr>
          <w:rFonts w:hint="eastAsia" w:ascii="宋体" w:hAnsi="宋体"/>
          <w:sz w:val="22"/>
          <w:highlight w:val="none"/>
        </w:rPr>
        <w:t xml:space="preserve"> 邮政编码：</w:t>
      </w:r>
      <w:r>
        <w:rPr>
          <w:rFonts w:hint="eastAsia" w:ascii="宋体" w:hAnsi="宋体"/>
          <w:sz w:val="22"/>
          <w:highlight w:val="none"/>
          <w:u w:val="single"/>
        </w:rPr>
        <w:t xml:space="preserve">         </w:t>
      </w:r>
      <w:r>
        <w:rPr>
          <w:rFonts w:ascii="宋体" w:hAnsi="宋体"/>
          <w:sz w:val="22"/>
          <w:highlight w:val="none"/>
          <w:u w:val="single"/>
        </w:rPr>
        <w:t xml:space="preserve">       </w:t>
      </w:r>
    </w:p>
    <w:p>
      <w:pPr>
        <w:spacing w:line="480" w:lineRule="auto"/>
        <w:ind w:left="1" w:firstLine="2510" w:firstLineChars="1141"/>
        <w:rPr>
          <w:rFonts w:ascii="宋体" w:hAnsi="宋体"/>
          <w:sz w:val="22"/>
          <w:highlight w:val="none"/>
          <w:u w:val="single"/>
        </w:rPr>
      </w:pPr>
      <w:r>
        <w:rPr>
          <w:rFonts w:hint="eastAsia" w:ascii="宋体" w:hAnsi="宋体"/>
          <w:sz w:val="22"/>
          <w:highlight w:val="none"/>
        </w:rPr>
        <w:t>电话：</w:t>
      </w:r>
      <w:r>
        <w:rPr>
          <w:rFonts w:hint="eastAsia" w:ascii="宋体" w:hAnsi="宋体"/>
          <w:sz w:val="22"/>
          <w:highlight w:val="none"/>
          <w:u w:val="single"/>
        </w:rPr>
        <w:t xml:space="preserve">                   </w:t>
      </w:r>
      <w:r>
        <w:rPr>
          <w:rFonts w:hint="eastAsia" w:ascii="宋体" w:hAnsi="宋体"/>
          <w:sz w:val="22"/>
          <w:highlight w:val="none"/>
        </w:rPr>
        <w:t xml:space="preserve"> 传真：</w:t>
      </w:r>
      <w:r>
        <w:rPr>
          <w:rFonts w:hint="eastAsia" w:ascii="宋体" w:hAnsi="宋体"/>
          <w:sz w:val="22"/>
          <w:highlight w:val="none"/>
          <w:u w:val="single"/>
        </w:rPr>
        <w:t xml:space="preserve">                  </w:t>
      </w:r>
      <w:r>
        <w:rPr>
          <w:rFonts w:ascii="宋体" w:hAnsi="宋体"/>
          <w:sz w:val="22"/>
          <w:highlight w:val="none"/>
          <w:u w:val="single"/>
        </w:rPr>
        <w:t xml:space="preserve">          </w:t>
      </w:r>
    </w:p>
    <w:p>
      <w:pPr>
        <w:spacing w:line="480" w:lineRule="auto"/>
        <w:ind w:left="1" w:firstLine="422" w:firstLineChars="192"/>
        <w:rPr>
          <w:rFonts w:ascii="宋体" w:hAnsi="宋体"/>
          <w:sz w:val="22"/>
          <w:highlight w:val="none"/>
        </w:rPr>
      </w:pPr>
      <w:r>
        <w:rPr>
          <w:rFonts w:hint="eastAsia" w:ascii="宋体" w:hAnsi="宋体"/>
          <w:sz w:val="22"/>
          <w:highlight w:val="none"/>
        </w:rPr>
        <w:t xml:space="preserve">                   供应商：</w:t>
      </w:r>
      <w:r>
        <w:rPr>
          <w:rFonts w:hint="eastAsia" w:ascii="宋体" w:hAnsi="宋体"/>
          <w:sz w:val="22"/>
          <w:highlight w:val="none"/>
          <w:u w:val="single"/>
        </w:rPr>
        <w:t xml:space="preserve">                                     </w:t>
      </w:r>
      <w:r>
        <w:rPr>
          <w:rFonts w:ascii="宋体" w:hAnsi="宋体"/>
          <w:sz w:val="22"/>
          <w:highlight w:val="none"/>
          <w:u w:val="single"/>
        </w:rPr>
        <w:t xml:space="preserve"> </w:t>
      </w:r>
      <w:r>
        <w:rPr>
          <w:rFonts w:hint="eastAsia" w:ascii="宋体" w:hAnsi="宋体"/>
          <w:sz w:val="22"/>
          <w:highlight w:val="none"/>
          <w:u w:val="single"/>
        </w:rPr>
        <w:t xml:space="preserve"> </w:t>
      </w:r>
      <w:r>
        <w:rPr>
          <w:rFonts w:ascii="宋体" w:hAnsi="宋体"/>
          <w:sz w:val="22"/>
          <w:highlight w:val="none"/>
          <w:u w:val="single"/>
        </w:rPr>
        <w:t xml:space="preserve">     </w:t>
      </w:r>
      <w:r>
        <w:rPr>
          <w:rFonts w:hint="eastAsia" w:ascii="宋体" w:hAnsi="宋体"/>
          <w:sz w:val="22"/>
          <w:highlight w:val="none"/>
          <w:u w:val="single"/>
        </w:rPr>
        <w:t>（盖章）</w:t>
      </w:r>
    </w:p>
    <w:p>
      <w:pPr>
        <w:spacing w:line="480" w:lineRule="auto"/>
        <w:ind w:left="2100" w:right="440"/>
        <w:jc w:val="right"/>
        <w:rPr>
          <w:rFonts w:ascii="宋体" w:hAnsi="宋体"/>
          <w:b/>
          <w:sz w:val="22"/>
          <w:highlight w:val="none"/>
        </w:rPr>
      </w:pPr>
      <w:r>
        <w:rPr>
          <w:rFonts w:hint="eastAsia" w:ascii="宋体" w:hAnsi="宋体"/>
          <w:sz w:val="22"/>
          <w:highlight w:val="none"/>
        </w:rPr>
        <w:t xml:space="preserve">   法定代表人：</w:t>
      </w:r>
      <w:r>
        <w:rPr>
          <w:rFonts w:hint="eastAsia" w:ascii="宋体" w:hAnsi="宋体"/>
          <w:sz w:val="22"/>
          <w:highlight w:val="none"/>
          <w:u w:val="single"/>
        </w:rPr>
        <w:t xml:space="preserve">                                 </w:t>
      </w:r>
      <w:r>
        <w:rPr>
          <w:rFonts w:ascii="宋体" w:hAnsi="宋体"/>
          <w:sz w:val="22"/>
          <w:highlight w:val="none"/>
          <w:u w:val="single"/>
        </w:rPr>
        <w:t xml:space="preserve"> </w:t>
      </w:r>
      <w:r>
        <w:rPr>
          <w:rFonts w:hint="eastAsia" w:ascii="宋体" w:hAnsi="宋体"/>
          <w:sz w:val="22"/>
          <w:highlight w:val="none"/>
          <w:u w:val="single"/>
        </w:rPr>
        <w:t>（签字或盖章</w:t>
      </w:r>
      <w:r>
        <w:rPr>
          <w:rFonts w:ascii="宋体" w:hAnsi="宋体"/>
          <w:sz w:val="22"/>
          <w:highlight w:val="none"/>
          <w:u w:val="single"/>
        </w:rPr>
        <w:t>）</w:t>
      </w:r>
      <w:r>
        <w:rPr>
          <w:rFonts w:hint="eastAsia" w:ascii="宋体" w:hAnsi="宋体"/>
          <w:sz w:val="22"/>
          <w:highlight w:val="none"/>
        </w:rPr>
        <w:t>授权委托日期：</w:t>
      </w:r>
      <w:r>
        <w:rPr>
          <w:rFonts w:hint="eastAsia" w:ascii="宋体" w:hAnsi="宋体"/>
          <w:sz w:val="22"/>
          <w:highlight w:val="none"/>
          <w:u w:val="single"/>
        </w:rPr>
        <w:t xml:space="preserve">     </w:t>
      </w:r>
      <w:r>
        <w:rPr>
          <w:rFonts w:hint="eastAsia" w:ascii="宋体" w:hAnsi="宋体"/>
          <w:sz w:val="22"/>
          <w:highlight w:val="none"/>
        </w:rPr>
        <w:t xml:space="preserve">年 </w:t>
      </w:r>
      <w:r>
        <w:rPr>
          <w:rFonts w:hint="eastAsia" w:ascii="宋体" w:hAnsi="宋体"/>
          <w:sz w:val="22"/>
          <w:highlight w:val="none"/>
          <w:u w:val="single"/>
        </w:rPr>
        <w:t xml:space="preserve">    </w:t>
      </w:r>
      <w:r>
        <w:rPr>
          <w:rFonts w:hint="eastAsia" w:ascii="宋体" w:hAnsi="宋体"/>
          <w:sz w:val="22"/>
          <w:highlight w:val="none"/>
        </w:rPr>
        <w:t>月</w:t>
      </w:r>
      <w:r>
        <w:rPr>
          <w:rFonts w:hint="eastAsia" w:ascii="宋体" w:hAnsi="宋体"/>
          <w:sz w:val="22"/>
          <w:highlight w:val="none"/>
          <w:u w:val="single"/>
        </w:rPr>
        <w:t xml:space="preserve">     </w:t>
      </w:r>
      <w:r>
        <w:rPr>
          <w:rFonts w:hint="eastAsia" w:ascii="宋体" w:hAnsi="宋体"/>
          <w:sz w:val="22"/>
          <w:highlight w:val="none"/>
        </w:rPr>
        <w:t>日</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pPr>
              <w:autoSpaceDE w:val="0"/>
              <w:autoSpaceDN w:val="0"/>
              <w:adjustRightInd w:val="0"/>
              <w:spacing w:line="440" w:lineRule="atLeast"/>
              <w:jc w:val="center"/>
              <w:rPr>
                <w:rFonts w:ascii="宋体" w:hAnsi="宋体" w:cs="仿宋_GB2312"/>
                <w:b/>
                <w:bCs/>
                <w:sz w:val="36"/>
                <w:szCs w:val="36"/>
                <w:highlight w:val="none"/>
              </w:rPr>
            </w:pPr>
            <w:r>
              <w:rPr>
                <w:rFonts w:ascii="宋体" w:hAnsi="宋体" w:cs="仿宋_GB2312"/>
                <w:b/>
                <w:bCs/>
                <w:sz w:val="36"/>
                <w:szCs w:val="36"/>
                <w:highlight w:val="none"/>
              </w:rPr>
              <w:t>黏贴授权代表身份证复印件或影印件（正反面）</w:t>
            </w:r>
          </w:p>
          <w:p>
            <w:pPr>
              <w:autoSpaceDE w:val="0"/>
              <w:autoSpaceDN w:val="0"/>
              <w:adjustRightInd w:val="0"/>
              <w:spacing w:line="440" w:lineRule="atLeast"/>
              <w:jc w:val="center"/>
              <w:rPr>
                <w:rFonts w:ascii="宋体" w:hAnsi="宋体" w:cs="仿宋_GB2312"/>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pPr>
              <w:autoSpaceDE w:val="0"/>
              <w:autoSpaceDN w:val="0"/>
              <w:adjustRightInd w:val="0"/>
              <w:spacing w:line="440" w:lineRule="atLeast"/>
              <w:jc w:val="center"/>
              <w:rPr>
                <w:rFonts w:ascii="宋体" w:hAnsi="宋体" w:cs="仿宋_GB2312"/>
                <w:b/>
                <w:bCs/>
                <w:sz w:val="36"/>
                <w:szCs w:val="36"/>
                <w:highlight w:val="none"/>
              </w:rPr>
            </w:pPr>
            <w:r>
              <w:rPr>
                <w:rFonts w:ascii="宋体" w:hAnsi="宋体" w:cs="仿宋_GB2312"/>
                <w:b/>
                <w:bCs/>
                <w:sz w:val="36"/>
                <w:szCs w:val="36"/>
                <w:highlight w:val="none"/>
              </w:rPr>
              <w:t>黏贴法人身份证复印件或影印件（正反面）</w:t>
            </w:r>
          </w:p>
          <w:p>
            <w:pPr>
              <w:autoSpaceDE w:val="0"/>
              <w:autoSpaceDN w:val="0"/>
              <w:adjustRightInd w:val="0"/>
              <w:spacing w:line="440" w:lineRule="atLeast"/>
              <w:jc w:val="center"/>
              <w:rPr>
                <w:rFonts w:ascii="宋体" w:hAnsi="宋体" w:cs="仿宋_GB2312"/>
                <w:bCs/>
                <w:sz w:val="36"/>
                <w:szCs w:val="36"/>
                <w:highlight w:val="none"/>
              </w:rPr>
            </w:pPr>
          </w:p>
        </w:tc>
      </w:tr>
    </w:tbl>
    <w:p>
      <w:pPr>
        <w:autoSpaceDE w:val="0"/>
        <w:autoSpaceDN w:val="0"/>
        <w:adjustRightInd w:val="0"/>
        <w:spacing w:line="440" w:lineRule="atLeast"/>
        <w:jc w:val="center"/>
        <w:rPr>
          <w:rFonts w:ascii="宋体" w:hAnsi="宋体" w:cs="仿宋_GB2312"/>
          <w:sz w:val="36"/>
          <w:szCs w:val="36"/>
          <w:highlight w:val="none"/>
        </w:rPr>
      </w:pPr>
    </w:p>
    <w:p>
      <w:pPr>
        <w:autoSpaceDE w:val="0"/>
        <w:autoSpaceDN w:val="0"/>
        <w:adjustRightInd w:val="0"/>
        <w:spacing w:line="440" w:lineRule="atLeast"/>
        <w:jc w:val="center"/>
        <w:rPr>
          <w:rFonts w:ascii="宋体" w:hAnsi="宋体" w:cs="仿宋_GB2312"/>
          <w:sz w:val="36"/>
          <w:szCs w:val="36"/>
          <w:highlight w:val="none"/>
          <w:lang w:val="zh-CN"/>
        </w:rPr>
      </w:pPr>
    </w:p>
    <w:p>
      <w:pPr>
        <w:adjustRightInd w:val="0"/>
        <w:snapToGrid w:val="0"/>
        <w:spacing w:line="400" w:lineRule="exact"/>
        <w:rPr>
          <w:rFonts w:ascii="宋体" w:hAnsi="Courier New" w:cs="Courier New"/>
          <w:b/>
          <w:bCs/>
          <w:kern w:val="0"/>
          <w:sz w:val="22"/>
          <w:highlight w:val="none"/>
        </w:rPr>
      </w:pPr>
      <w:r>
        <w:rPr>
          <w:rFonts w:hint="eastAsia" w:ascii="宋体" w:hAnsi="宋体" w:cs="Courier New"/>
          <w:b/>
          <w:kern w:val="0"/>
          <w:sz w:val="22"/>
          <w:highlight w:val="none"/>
        </w:rPr>
        <w:t>▲授权委托人参加投标，不提供此表格的将视为没有实质性响应招标文件。</w:t>
      </w:r>
    </w:p>
    <w:p>
      <w:pPr>
        <w:rPr>
          <w:rFonts w:hAnsi="宋体"/>
          <w:b/>
          <w:sz w:val="32"/>
          <w:szCs w:val="32"/>
          <w:highlight w:val="none"/>
        </w:rPr>
      </w:pPr>
      <w:r>
        <w:rPr>
          <w:rFonts w:hint="eastAsia" w:hAnsi="宋体"/>
          <w:b/>
          <w:sz w:val="32"/>
          <w:szCs w:val="32"/>
          <w:highlight w:val="none"/>
        </w:rPr>
        <w:t xml:space="preserve">附件七                </w:t>
      </w:r>
    </w:p>
    <w:p>
      <w:pPr>
        <w:pStyle w:val="16"/>
        <w:adjustRightInd w:val="0"/>
        <w:snapToGrid w:val="0"/>
        <w:spacing w:line="340" w:lineRule="atLeast"/>
        <w:rPr>
          <w:rFonts w:hAnsi="宋体"/>
          <w:b/>
          <w:sz w:val="32"/>
          <w:szCs w:val="32"/>
          <w:highlight w:val="none"/>
        </w:rPr>
      </w:pPr>
      <w:r>
        <w:rPr>
          <w:rFonts w:hint="eastAsia" w:hAnsi="宋体"/>
          <w:b/>
          <w:sz w:val="32"/>
          <w:szCs w:val="32"/>
          <w:highlight w:val="none"/>
        </w:rPr>
        <w:t xml:space="preserve">        </w:t>
      </w:r>
    </w:p>
    <w:p>
      <w:pPr>
        <w:pStyle w:val="16"/>
        <w:adjustRightInd w:val="0"/>
        <w:snapToGrid w:val="0"/>
        <w:spacing w:line="460" w:lineRule="atLeast"/>
        <w:jc w:val="center"/>
        <w:rPr>
          <w:rFonts w:hAnsi="Times New Roman"/>
          <w:sz w:val="36"/>
          <w:szCs w:val="36"/>
          <w:highlight w:val="none"/>
        </w:rPr>
      </w:pPr>
      <w:r>
        <w:rPr>
          <w:rFonts w:hint="eastAsia" w:hAnsi="Times New Roman"/>
          <w:sz w:val="36"/>
          <w:szCs w:val="36"/>
          <w:highlight w:val="none"/>
        </w:rPr>
        <w:t>投  标  函</w:t>
      </w:r>
    </w:p>
    <w:p>
      <w:pPr>
        <w:pStyle w:val="16"/>
        <w:adjustRightInd w:val="0"/>
        <w:snapToGrid w:val="0"/>
        <w:spacing w:line="340" w:lineRule="atLeast"/>
        <w:rPr>
          <w:rFonts w:hAnsi="宋体"/>
          <w:sz w:val="22"/>
          <w:szCs w:val="22"/>
          <w:highlight w:val="none"/>
        </w:rPr>
      </w:pPr>
      <w:r>
        <w:rPr>
          <w:rFonts w:hint="eastAsia" w:hAnsi="宋体"/>
          <w:sz w:val="22"/>
          <w:szCs w:val="22"/>
          <w:highlight w:val="none"/>
          <w:u w:val="single"/>
        </w:rPr>
        <w:t>泰顺县交通运输管理中心</w:t>
      </w:r>
      <w:r>
        <w:rPr>
          <w:rFonts w:hint="eastAsia" w:hAnsi="宋体"/>
          <w:sz w:val="22"/>
          <w:szCs w:val="22"/>
          <w:highlight w:val="none"/>
        </w:rPr>
        <w:t>：</w:t>
      </w:r>
    </w:p>
    <w:p>
      <w:pPr>
        <w:autoSpaceDE w:val="0"/>
        <w:autoSpaceDN w:val="0"/>
        <w:adjustRightInd w:val="0"/>
        <w:spacing w:line="440" w:lineRule="atLeast"/>
        <w:rPr>
          <w:rFonts w:ascii="宋体" w:cs="仿宋_GB2312"/>
          <w:sz w:val="22"/>
          <w:szCs w:val="22"/>
          <w:highlight w:val="none"/>
          <w:lang w:val="zh-CN"/>
        </w:rPr>
      </w:pPr>
      <w:r>
        <w:rPr>
          <w:rFonts w:hint="eastAsia" w:hAnsi="宋体"/>
          <w:sz w:val="22"/>
          <w:szCs w:val="22"/>
          <w:highlight w:val="none"/>
        </w:rPr>
        <w:t xml:space="preserve"> </w:t>
      </w:r>
      <w:r>
        <w:rPr>
          <w:rFonts w:ascii="宋体" w:cs="仿宋_GB2312"/>
          <w:sz w:val="22"/>
          <w:szCs w:val="22"/>
          <w:highlight w:val="none"/>
          <w:lang w:val="zh-CN"/>
        </w:rPr>
        <w:t xml:space="preserve">  </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（供应商全称）授权</w:t>
      </w:r>
      <w:r>
        <w:rPr>
          <w:rFonts w:ascii="宋体" w:cs="仿宋_GB2312"/>
          <w:sz w:val="22"/>
          <w:szCs w:val="22"/>
          <w:highlight w:val="none"/>
          <w:u w:val="single"/>
          <w:lang w:val="zh-CN"/>
        </w:rPr>
        <w:t xml:space="preserve">              </w:t>
      </w:r>
      <w:r>
        <w:rPr>
          <w:rFonts w:ascii="宋体" w:cs="仿宋_GB2312"/>
          <w:sz w:val="22"/>
          <w:szCs w:val="22"/>
          <w:highlight w:val="none"/>
          <w:lang w:val="zh-CN"/>
        </w:rPr>
        <w:t xml:space="preserve"> </w:t>
      </w:r>
      <w:r>
        <w:rPr>
          <w:rFonts w:hint="eastAsia" w:ascii="宋体" w:cs="仿宋_GB2312"/>
          <w:sz w:val="22"/>
          <w:szCs w:val="22"/>
          <w:highlight w:val="none"/>
          <w:lang w:val="zh-CN"/>
        </w:rPr>
        <w:t>（授权代表名称）</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（职务、职称）为授权代表，参加贵方组织的</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（招标项目名称）（括号内填投标编号）招标的有关活动，为此：并对</w:t>
      </w:r>
      <w:r>
        <w:rPr>
          <w:rFonts w:hint="eastAsia" w:ascii="宋体" w:cs="仿宋_GB2312"/>
          <w:sz w:val="22"/>
          <w:szCs w:val="22"/>
          <w:highlight w:val="none"/>
          <w:u w:val="single"/>
          <w:lang w:val="zh-CN"/>
        </w:rPr>
        <w:t xml:space="preserve">            </w:t>
      </w:r>
      <w:r>
        <w:rPr>
          <w:rFonts w:hint="eastAsia" w:ascii="宋体" w:cs="仿宋_GB2312"/>
          <w:sz w:val="22"/>
          <w:szCs w:val="22"/>
          <w:highlight w:val="none"/>
          <w:lang w:val="zh-CN"/>
        </w:rPr>
        <w:t>项目（招标项目名称）进行投标。</w:t>
      </w:r>
      <w:r>
        <w:rPr>
          <w:rFonts w:ascii="宋体" w:cs="仿宋_GB2312"/>
          <w:sz w:val="22"/>
          <w:szCs w:val="22"/>
          <w:highlight w:val="none"/>
          <w:lang w:val="zh-CN"/>
        </w:rPr>
        <w:t xml:space="preserve">   </w:t>
      </w:r>
    </w:p>
    <w:p>
      <w:pPr>
        <w:autoSpaceDE w:val="0"/>
        <w:autoSpaceDN w:val="0"/>
        <w:adjustRightInd w:val="0"/>
        <w:spacing w:line="400" w:lineRule="exact"/>
        <w:ind w:firstLine="440" w:firstLineChars="200"/>
        <w:rPr>
          <w:rFonts w:ascii="宋体"/>
          <w:sz w:val="22"/>
          <w:highlight w:val="none"/>
          <w:lang w:val="zh-CN"/>
        </w:rPr>
      </w:pPr>
      <w:r>
        <w:rPr>
          <w:rFonts w:hint="eastAsia" w:ascii="宋体"/>
          <w:sz w:val="22"/>
          <w:highlight w:val="none"/>
          <w:lang w:val="zh-CN"/>
        </w:rPr>
        <w:t>“电子加密投标文件”：在线上传递交。</w:t>
      </w:r>
    </w:p>
    <w:p>
      <w:pPr>
        <w:autoSpaceDE w:val="0"/>
        <w:autoSpaceDN w:val="0"/>
        <w:adjustRightInd w:val="0"/>
        <w:spacing w:line="400" w:lineRule="exact"/>
        <w:ind w:firstLine="440" w:firstLineChars="200"/>
        <w:rPr>
          <w:rFonts w:ascii="宋体"/>
          <w:sz w:val="22"/>
          <w:highlight w:val="none"/>
          <w:lang w:val="zh-CN"/>
        </w:rPr>
      </w:pPr>
      <w:r>
        <w:rPr>
          <w:rFonts w:hint="eastAsia" w:ascii="宋体"/>
          <w:sz w:val="22"/>
          <w:highlight w:val="none"/>
          <w:lang w:val="zh-CN"/>
        </w:rPr>
        <w:t>2、保证遵守招标文件中的有关规定和收费标准。</w:t>
      </w:r>
    </w:p>
    <w:p>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lang w:val="zh-CN"/>
        </w:rPr>
        <w:t>3</w:t>
      </w:r>
      <w:r>
        <w:rPr>
          <w:rFonts w:hint="eastAsia" w:ascii="宋体"/>
          <w:sz w:val="22"/>
          <w:highlight w:val="none"/>
          <w:lang w:val="zh-CN"/>
        </w:rPr>
        <w:t>、保证忠实地执行采购单位、</w:t>
      </w:r>
      <w:r>
        <w:rPr>
          <w:rFonts w:hint="eastAsia" w:ascii="宋体" w:cs="??_GB2312"/>
          <w:sz w:val="22"/>
          <w:highlight w:val="none"/>
          <w:lang w:val="zh-CN"/>
        </w:rPr>
        <w:t>中标（成交）供应商</w:t>
      </w:r>
      <w:r>
        <w:rPr>
          <w:rFonts w:hint="eastAsia" w:ascii="宋体"/>
          <w:sz w:val="22"/>
          <w:highlight w:val="none"/>
          <w:lang w:val="zh-CN"/>
        </w:rPr>
        <w:t>双方所签的合同，并承担合同规定的责任义务。</w:t>
      </w:r>
    </w:p>
    <w:p>
      <w:pPr>
        <w:pStyle w:val="16"/>
        <w:snapToGrid w:val="0"/>
        <w:spacing w:line="410" w:lineRule="atLeast"/>
        <w:ind w:firstLine="440" w:firstLineChars="200"/>
        <w:rPr>
          <w:rFonts w:hAnsi="宋体"/>
          <w:b/>
          <w:bCs/>
          <w:sz w:val="22"/>
          <w:highlight w:val="none"/>
        </w:rPr>
      </w:pPr>
      <w:r>
        <w:rPr>
          <w:rFonts w:cs="??_GB2312"/>
          <w:sz w:val="22"/>
          <w:highlight w:val="none"/>
          <w:lang w:val="zh-CN"/>
        </w:rPr>
        <w:t>4</w:t>
      </w:r>
      <w:r>
        <w:rPr>
          <w:rFonts w:hint="eastAsia" w:cs="??_GB2312"/>
          <w:sz w:val="22"/>
          <w:highlight w:val="none"/>
          <w:lang w:val="zh-CN"/>
        </w:rPr>
        <w:t>、</w:t>
      </w:r>
      <w:r>
        <w:rPr>
          <w:rFonts w:hint="eastAsia"/>
          <w:sz w:val="22"/>
          <w:highlight w:val="none"/>
          <w:lang w:val="zh-CN"/>
        </w:rPr>
        <w:t>我方对完工期承诺如下</w:t>
      </w:r>
      <w:r>
        <w:rPr>
          <w:rFonts w:hint="eastAsia"/>
          <w:b/>
          <w:bCs/>
          <w:sz w:val="22"/>
          <w:highlight w:val="none"/>
          <w:lang w:val="zh-CN"/>
        </w:rPr>
        <w:t>：</w:t>
      </w:r>
      <w:r>
        <w:rPr>
          <w:rFonts w:hint="eastAsia" w:hAnsi="宋体"/>
          <w:b/>
          <w:bCs/>
          <w:sz w:val="22"/>
          <w:highlight w:val="none"/>
        </w:rPr>
        <w:t>▲按招标文件规定期限交货并通过采购单位验收，逾期采购单位有权拒绝供货。</w:t>
      </w:r>
    </w:p>
    <w:p>
      <w:pPr>
        <w:autoSpaceDE w:val="0"/>
        <w:autoSpaceDN w:val="0"/>
        <w:adjustRightInd w:val="0"/>
        <w:spacing w:line="440" w:lineRule="atLeast"/>
        <w:ind w:firstLine="450"/>
        <w:rPr>
          <w:rFonts w:ascii="宋体"/>
          <w:sz w:val="22"/>
          <w:highlight w:val="none"/>
          <w:lang w:val="zh-CN"/>
        </w:rPr>
      </w:pPr>
      <w:r>
        <w:rPr>
          <w:rFonts w:ascii="宋体"/>
          <w:sz w:val="22"/>
          <w:highlight w:val="none"/>
          <w:lang w:val="zh-CN"/>
        </w:rPr>
        <w:t>5</w:t>
      </w:r>
      <w:r>
        <w:rPr>
          <w:rFonts w:hint="eastAsia" w:ascii="宋体"/>
          <w:sz w:val="22"/>
          <w:highlight w:val="none"/>
          <w:lang w:val="zh-CN"/>
        </w:rPr>
        <w:t>、供应商已详细审查全部招标文件，包括招标文件补充文件（如果有的话）。我方完全理解并同意放弃对这方面有不明及误解的权力。如果招标文件有相互矛盾之处，我方同意按采购单位的理解处理。</w:t>
      </w:r>
    </w:p>
    <w:p>
      <w:pPr>
        <w:spacing w:line="340" w:lineRule="exact"/>
        <w:ind w:firstLine="442" w:firstLineChars="201"/>
        <w:rPr>
          <w:rFonts w:ascii="宋体"/>
          <w:sz w:val="22"/>
          <w:highlight w:val="none"/>
        </w:rPr>
      </w:pPr>
      <w:r>
        <w:rPr>
          <w:rFonts w:ascii="宋体"/>
          <w:sz w:val="22"/>
          <w:highlight w:val="none"/>
        </w:rPr>
        <w:t>6</w:t>
      </w:r>
      <w:r>
        <w:rPr>
          <w:rFonts w:hint="eastAsia" w:ascii="宋体"/>
          <w:sz w:val="22"/>
          <w:highlight w:val="none"/>
        </w:rPr>
        <w:t>、利益冲突：近三年内直至目前，我公司与本项目的采购单位、招标代理机构没有任何的隶属关系。</w:t>
      </w:r>
    </w:p>
    <w:p>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rPr>
        <w:t>7</w:t>
      </w:r>
      <w:r>
        <w:rPr>
          <w:rFonts w:hint="eastAsia" w:ascii="宋体"/>
          <w:sz w:val="22"/>
          <w:highlight w:val="none"/>
        </w:rPr>
        <w:t>、我公司没有被各级、各地财政监管部门限制参加政府采购活动，且在限制期内。</w:t>
      </w:r>
    </w:p>
    <w:p>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lang w:val="zh-CN"/>
        </w:rPr>
        <w:t>8</w:t>
      </w:r>
      <w:r>
        <w:rPr>
          <w:rFonts w:hint="eastAsia" w:ascii="宋体"/>
          <w:sz w:val="22"/>
          <w:highlight w:val="none"/>
          <w:lang w:val="zh-CN"/>
        </w:rPr>
        <w:t>、愿意向贵方提供任何与该项投标有关的数据、情况和技术资料，完全理解贵方不一定接受最低价的投标或收到的任何投标。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lang w:val="zh-CN"/>
        </w:rPr>
        <w:t>9</w:t>
      </w:r>
      <w:r>
        <w:rPr>
          <w:rFonts w:hint="eastAsia" w:ascii="宋体"/>
          <w:sz w:val="22"/>
          <w:highlight w:val="none"/>
          <w:lang w:val="zh-CN"/>
        </w:rPr>
        <w:t>、本投标自开标之日起</w:t>
      </w:r>
      <w:r>
        <w:rPr>
          <w:rFonts w:ascii="宋体"/>
          <w:sz w:val="22"/>
          <w:highlight w:val="none"/>
          <w:lang w:val="zh-CN"/>
        </w:rPr>
        <w:t>90</w:t>
      </w:r>
      <w:r>
        <w:rPr>
          <w:rFonts w:hint="eastAsia" w:ascii="宋体"/>
          <w:sz w:val="22"/>
          <w:highlight w:val="none"/>
          <w:lang w:val="zh-CN"/>
        </w:rPr>
        <w:t>天内有效。</w:t>
      </w:r>
    </w:p>
    <w:p>
      <w:pPr>
        <w:autoSpaceDE w:val="0"/>
        <w:autoSpaceDN w:val="0"/>
        <w:adjustRightInd w:val="0"/>
        <w:spacing w:line="440" w:lineRule="atLeast"/>
        <w:ind w:firstLine="442" w:firstLineChars="201"/>
        <w:rPr>
          <w:rFonts w:ascii="宋体"/>
          <w:sz w:val="22"/>
          <w:highlight w:val="none"/>
          <w:lang w:val="zh-CN"/>
        </w:rPr>
      </w:pPr>
      <w:r>
        <w:rPr>
          <w:rFonts w:ascii="宋体"/>
          <w:sz w:val="22"/>
          <w:highlight w:val="none"/>
          <w:lang w:val="zh-CN"/>
        </w:rPr>
        <w:t>10</w:t>
      </w:r>
      <w:r>
        <w:rPr>
          <w:rFonts w:hint="eastAsia" w:ascii="宋体"/>
          <w:sz w:val="22"/>
          <w:highlight w:val="none"/>
          <w:lang w:val="zh-CN"/>
        </w:rPr>
        <w:t>、与本投标有关的一切往来通讯请寄：</w:t>
      </w:r>
    </w:p>
    <w:p>
      <w:pPr>
        <w:autoSpaceDE w:val="0"/>
        <w:autoSpaceDN w:val="0"/>
        <w:adjustRightInd w:val="0"/>
        <w:spacing w:line="440" w:lineRule="atLeast"/>
        <w:ind w:firstLine="585" w:firstLineChars="266"/>
        <w:rPr>
          <w:rFonts w:ascii="宋体" w:cs="仿宋_GB2312"/>
          <w:sz w:val="22"/>
          <w:szCs w:val="22"/>
          <w:highlight w:val="none"/>
          <w:u w:val="single"/>
          <w:lang w:val="zh-CN"/>
        </w:rPr>
      </w:pPr>
      <w:r>
        <w:rPr>
          <w:rFonts w:hint="eastAsia" w:ascii="宋体" w:cs="仿宋_GB2312"/>
          <w:sz w:val="22"/>
          <w:szCs w:val="22"/>
          <w:highlight w:val="none"/>
          <w:lang w:val="zh-CN"/>
        </w:rPr>
        <w:t>地址：</w:t>
      </w:r>
      <w:r>
        <w:rPr>
          <w:rFonts w:ascii="宋体" w:cs="仿宋_GB2312"/>
          <w:sz w:val="22"/>
          <w:szCs w:val="22"/>
          <w:highlight w:val="none"/>
          <w:u w:val="single"/>
          <w:lang w:val="zh-CN"/>
        </w:rPr>
        <w:t xml:space="preserve">                                 </w:t>
      </w:r>
    </w:p>
    <w:p>
      <w:pPr>
        <w:autoSpaceDE w:val="0"/>
        <w:autoSpaceDN w:val="0"/>
        <w:adjustRightInd w:val="0"/>
        <w:spacing w:line="440" w:lineRule="atLeast"/>
        <w:ind w:firstLine="585" w:firstLineChars="266"/>
        <w:rPr>
          <w:rFonts w:ascii="宋体" w:cs="仿宋_GB2312"/>
          <w:sz w:val="22"/>
          <w:szCs w:val="22"/>
          <w:highlight w:val="none"/>
          <w:lang w:val="zh-CN"/>
        </w:rPr>
      </w:pPr>
      <w:r>
        <w:rPr>
          <w:rFonts w:hint="eastAsia" w:ascii="宋体" w:cs="仿宋_GB2312"/>
          <w:sz w:val="22"/>
          <w:szCs w:val="22"/>
          <w:highlight w:val="none"/>
          <w:lang w:val="zh-CN"/>
        </w:rPr>
        <w:t>邮编：</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电话：</w:t>
      </w:r>
      <w:r>
        <w:rPr>
          <w:rFonts w:ascii="宋体" w:cs="仿宋_GB2312"/>
          <w:sz w:val="22"/>
          <w:szCs w:val="22"/>
          <w:highlight w:val="none"/>
          <w:u w:val="single"/>
          <w:lang w:val="zh-CN"/>
        </w:rPr>
        <w:t xml:space="preserve">                 </w:t>
      </w:r>
      <w:r>
        <w:rPr>
          <w:rFonts w:hint="eastAsia" w:ascii="宋体" w:cs="仿宋_GB2312"/>
          <w:sz w:val="22"/>
          <w:szCs w:val="22"/>
          <w:highlight w:val="none"/>
          <w:lang w:val="zh-CN"/>
        </w:rPr>
        <w:t>传真：</w:t>
      </w:r>
      <w:r>
        <w:rPr>
          <w:rFonts w:ascii="宋体" w:cs="仿宋_GB2312"/>
          <w:sz w:val="22"/>
          <w:szCs w:val="22"/>
          <w:highlight w:val="none"/>
          <w:u w:val="single"/>
          <w:lang w:val="zh-CN"/>
        </w:rPr>
        <w:t xml:space="preserve">                 </w:t>
      </w:r>
    </w:p>
    <w:p>
      <w:pPr>
        <w:autoSpaceDE w:val="0"/>
        <w:autoSpaceDN w:val="0"/>
        <w:adjustRightInd w:val="0"/>
        <w:spacing w:line="440" w:lineRule="atLeast"/>
        <w:rPr>
          <w:rFonts w:ascii="宋体" w:cs="仿宋_GB2312"/>
          <w:sz w:val="22"/>
          <w:szCs w:val="22"/>
          <w:highlight w:val="none"/>
          <w:lang w:val="zh-CN"/>
        </w:rPr>
      </w:pPr>
    </w:p>
    <w:p>
      <w:pPr>
        <w:autoSpaceDE w:val="0"/>
        <w:autoSpaceDN w:val="0"/>
        <w:adjustRightInd w:val="0"/>
        <w:spacing w:line="440" w:lineRule="atLeast"/>
        <w:rPr>
          <w:rFonts w:ascii="宋体" w:cs="仿宋_GB2312"/>
          <w:sz w:val="22"/>
          <w:szCs w:val="22"/>
          <w:highlight w:val="none"/>
          <w:lang w:val="zh-CN"/>
        </w:rPr>
      </w:pPr>
      <w:r>
        <w:rPr>
          <w:rFonts w:hint="eastAsia" w:ascii="宋体" w:cs="仿宋_GB2312"/>
          <w:sz w:val="22"/>
          <w:szCs w:val="22"/>
          <w:highlight w:val="none"/>
          <w:lang w:val="zh-CN"/>
        </w:rPr>
        <w:t>供应商全称（盖章）：</w:t>
      </w:r>
    </w:p>
    <w:p>
      <w:pPr>
        <w:autoSpaceDE w:val="0"/>
        <w:autoSpaceDN w:val="0"/>
        <w:adjustRightInd w:val="0"/>
        <w:spacing w:line="440" w:lineRule="atLeast"/>
        <w:rPr>
          <w:rFonts w:ascii="宋体" w:cs="仿宋_GB2312"/>
          <w:sz w:val="22"/>
          <w:szCs w:val="22"/>
          <w:highlight w:val="none"/>
          <w:lang w:val="zh-CN"/>
        </w:rPr>
      </w:pPr>
      <w:r>
        <w:rPr>
          <w:rFonts w:hint="eastAsia" w:ascii="宋体" w:cs="仿宋_GB2312"/>
          <w:sz w:val="22"/>
          <w:szCs w:val="22"/>
          <w:highlight w:val="none"/>
          <w:lang w:val="zh-CN"/>
        </w:rPr>
        <w:t>法定代表人（签字或盖章）：</w:t>
      </w:r>
    </w:p>
    <w:p>
      <w:pPr>
        <w:autoSpaceDE w:val="0"/>
        <w:autoSpaceDN w:val="0"/>
        <w:adjustRightInd w:val="0"/>
        <w:spacing w:line="440" w:lineRule="atLeast"/>
        <w:rPr>
          <w:rFonts w:ascii="宋体" w:cs="仿宋_GB2312"/>
          <w:sz w:val="22"/>
          <w:szCs w:val="22"/>
          <w:highlight w:val="none"/>
          <w:lang w:val="zh-CN"/>
        </w:rPr>
      </w:pPr>
      <w:r>
        <w:rPr>
          <w:rFonts w:hint="eastAsia" w:ascii="宋体" w:cs="仿宋_GB2312"/>
          <w:sz w:val="22"/>
          <w:szCs w:val="22"/>
          <w:highlight w:val="none"/>
          <w:lang w:val="zh-CN"/>
        </w:rPr>
        <w:t>日期：</w:t>
      </w:r>
    </w:p>
    <w:p>
      <w:pPr>
        <w:autoSpaceDE w:val="0"/>
        <w:autoSpaceDN w:val="0"/>
        <w:adjustRightInd w:val="0"/>
        <w:spacing w:line="440" w:lineRule="atLeast"/>
        <w:ind w:firstLine="627" w:firstLineChars="285"/>
        <w:rPr>
          <w:rFonts w:ascii="宋体" w:cs="仿宋_GB2312"/>
          <w:sz w:val="22"/>
          <w:szCs w:val="22"/>
          <w:highlight w:val="none"/>
          <w:lang w:val="zh-CN"/>
        </w:rPr>
      </w:pPr>
    </w:p>
    <w:p>
      <w:pPr>
        <w:spacing w:line="360" w:lineRule="auto"/>
        <w:ind w:firstLine="442" w:firstLineChars="200"/>
        <w:rPr>
          <w:rFonts w:ascii="宋体" w:hAnsi="宋体"/>
          <w:szCs w:val="21"/>
          <w:highlight w:val="none"/>
        </w:rPr>
      </w:pPr>
      <w:r>
        <w:rPr>
          <w:rFonts w:hint="eastAsia" w:ascii="宋体" w:hAnsi="宋体" w:eastAsia="宋体" w:cs="宋体"/>
          <w:b/>
          <w:bCs/>
          <w:kern w:val="0"/>
          <w:sz w:val="22"/>
          <w:szCs w:val="22"/>
          <w:highlight w:val="none"/>
        </w:rPr>
        <w:t>▲备注：不提供本函做无效投标处理。</w:t>
      </w:r>
    </w:p>
    <w:p>
      <w:pPr>
        <w:pStyle w:val="16"/>
        <w:adjustRightInd w:val="0"/>
        <w:snapToGrid w:val="0"/>
        <w:spacing w:line="400" w:lineRule="exact"/>
        <w:rPr>
          <w:rFonts w:hAnsi="宋体"/>
          <w:sz w:val="32"/>
          <w:szCs w:val="32"/>
          <w:highlight w:val="none"/>
        </w:rPr>
      </w:pPr>
      <w:r>
        <w:rPr>
          <w:rFonts w:hint="eastAsia" w:hAnsi="宋体"/>
          <w:b/>
          <w:sz w:val="32"/>
          <w:szCs w:val="32"/>
          <w:highlight w:val="none"/>
        </w:rPr>
        <w:br w:type="page"/>
      </w:r>
      <w:r>
        <w:rPr>
          <w:rFonts w:hint="eastAsia" w:hAnsi="宋体"/>
          <w:b/>
          <w:sz w:val="32"/>
          <w:szCs w:val="32"/>
          <w:highlight w:val="none"/>
        </w:rPr>
        <w:t>附件八</w:t>
      </w:r>
      <w:r>
        <w:rPr>
          <w:rFonts w:hint="eastAsia" w:hAnsi="宋体"/>
          <w:sz w:val="32"/>
          <w:szCs w:val="32"/>
          <w:highlight w:val="none"/>
        </w:rPr>
        <w:t xml:space="preserve"> </w:t>
      </w:r>
    </w:p>
    <w:p>
      <w:pPr>
        <w:pStyle w:val="16"/>
        <w:adjustRightInd w:val="0"/>
        <w:snapToGrid w:val="0"/>
        <w:spacing w:line="360" w:lineRule="exact"/>
        <w:jc w:val="center"/>
        <w:rPr>
          <w:rFonts w:hAnsi="Times New Roman"/>
          <w:sz w:val="36"/>
          <w:szCs w:val="36"/>
          <w:highlight w:val="none"/>
        </w:rPr>
      </w:pPr>
      <w:r>
        <w:rPr>
          <w:rFonts w:hint="eastAsia" w:hAnsi="Times New Roman"/>
          <w:sz w:val="36"/>
          <w:szCs w:val="36"/>
          <w:highlight w:val="none"/>
        </w:rPr>
        <w:t>供应商参与政府采购活动投标资格声明函</w:t>
      </w:r>
    </w:p>
    <w:tbl>
      <w:tblPr>
        <w:tblStyle w:val="2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6"/>
              <w:adjustRightInd w:val="0"/>
              <w:snapToGrid w:val="0"/>
              <w:spacing w:line="400" w:lineRule="exact"/>
              <w:rPr>
                <w:rFonts w:hAnsi="宋体"/>
                <w:bCs/>
                <w:sz w:val="22"/>
                <w:szCs w:val="22"/>
                <w:highlight w:val="none"/>
              </w:rPr>
            </w:pPr>
            <w:r>
              <w:rPr>
                <w:rFonts w:hAnsi="宋体"/>
                <w:bCs/>
                <w:sz w:val="22"/>
                <w:szCs w:val="22"/>
                <w:highlight w:val="none"/>
              </w:rPr>
              <w:t>项目名称</w:t>
            </w:r>
          </w:p>
        </w:tc>
        <w:tc>
          <w:tcPr>
            <w:tcW w:w="8019" w:type="dxa"/>
          </w:tcPr>
          <w:p>
            <w:pPr>
              <w:pStyle w:val="16"/>
              <w:adjustRightInd w:val="0"/>
              <w:snapToGrid w:val="0"/>
              <w:spacing w:line="400" w:lineRule="exact"/>
              <w:rPr>
                <w:rFonts w:hAnsi="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6"/>
              <w:adjustRightInd w:val="0"/>
              <w:snapToGrid w:val="0"/>
              <w:spacing w:line="400" w:lineRule="exact"/>
              <w:rPr>
                <w:rFonts w:hAnsi="宋体"/>
                <w:bCs/>
                <w:sz w:val="22"/>
                <w:szCs w:val="22"/>
                <w:highlight w:val="none"/>
              </w:rPr>
            </w:pPr>
            <w:r>
              <w:rPr>
                <w:rFonts w:hAnsi="宋体"/>
                <w:bCs/>
                <w:sz w:val="22"/>
                <w:szCs w:val="22"/>
                <w:highlight w:val="none"/>
              </w:rPr>
              <w:t>项目采购编号</w:t>
            </w:r>
          </w:p>
        </w:tc>
        <w:tc>
          <w:tcPr>
            <w:tcW w:w="8019" w:type="dxa"/>
          </w:tcPr>
          <w:p>
            <w:pPr>
              <w:pStyle w:val="16"/>
              <w:adjustRightInd w:val="0"/>
              <w:snapToGrid w:val="0"/>
              <w:spacing w:line="400" w:lineRule="exact"/>
              <w:rPr>
                <w:rFonts w:hAnsi="宋体"/>
                <w:bCs/>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pStyle w:val="16"/>
              <w:adjustRightInd w:val="0"/>
              <w:snapToGrid w:val="0"/>
              <w:spacing w:line="400" w:lineRule="exact"/>
              <w:rPr>
                <w:rFonts w:hAnsi="宋体"/>
                <w:bCs/>
                <w:sz w:val="22"/>
                <w:szCs w:val="22"/>
                <w:highlight w:val="none"/>
              </w:rPr>
            </w:pPr>
            <w:r>
              <w:rPr>
                <w:rFonts w:hAnsi="宋体"/>
                <w:bCs/>
                <w:sz w:val="22"/>
                <w:szCs w:val="22"/>
                <w:highlight w:val="none"/>
              </w:rPr>
              <w:t>时    间</w:t>
            </w:r>
          </w:p>
        </w:tc>
        <w:tc>
          <w:tcPr>
            <w:tcW w:w="8019" w:type="dxa"/>
          </w:tcPr>
          <w:p>
            <w:pPr>
              <w:pStyle w:val="16"/>
              <w:adjustRightInd w:val="0"/>
              <w:snapToGrid w:val="0"/>
              <w:spacing w:line="400" w:lineRule="exact"/>
              <w:rPr>
                <w:rFonts w:hAnsi="宋体"/>
                <w:bCs/>
                <w:sz w:val="22"/>
                <w:szCs w:val="22"/>
                <w:highlight w:val="none"/>
              </w:rPr>
            </w:pPr>
            <w:r>
              <w:rPr>
                <w:rFonts w:hAnsi="宋体"/>
                <w:bCs/>
                <w:sz w:val="22"/>
                <w:szCs w:val="22"/>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pPr>
              <w:pStyle w:val="16"/>
              <w:ind w:firstLine="440" w:firstLineChars="200"/>
              <w:rPr>
                <w:rFonts w:hAnsi="宋体"/>
                <w:sz w:val="22"/>
                <w:szCs w:val="22"/>
                <w:highlight w:val="none"/>
              </w:rPr>
            </w:pPr>
            <w:r>
              <w:rPr>
                <w:rFonts w:hAnsi="宋体"/>
                <w:sz w:val="22"/>
                <w:szCs w:val="22"/>
                <w:highlight w:val="none"/>
              </w:rPr>
              <w:t>1、根据政府采购法第二十二条规定，我单位满足以下条件，并已经在技术资信部分响应文件中提供了相应的证明材料：</w:t>
            </w:r>
          </w:p>
          <w:p>
            <w:pPr>
              <w:pStyle w:val="16"/>
              <w:ind w:firstLine="440" w:firstLineChars="200"/>
              <w:rPr>
                <w:rFonts w:hAnsi="宋体"/>
                <w:sz w:val="22"/>
                <w:szCs w:val="22"/>
                <w:highlight w:val="none"/>
              </w:rPr>
            </w:pPr>
            <w:r>
              <w:rPr>
                <w:rFonts w:hAnsi="宋体"/>
                <w:sz w:val="22"/>
                <w:szCs w:val="22"/>
                <w:highlight w:val="none"/>
              </w:rPr>
              <w:t xml:space="preserve">（一）具有独立承担民事责任的能力； </w:t>
            </w:r>
          </w:p>
          <w:p>
            <w:pPr>
              <w:pStyle w:val="16"/>
              <w:ind w:firstLine="440" w:firstLineChars="200"/>
              <w:rPr>
                <w:rFonts w:hAnsi="宋体"/>
                <w:sz w:val="22"/>
                <w:szCs w:val="22"/>
                <w:highlight w:val="none"/>
              </w:rPr>
            </w:pPr>
            <w:r>
              <w:rPr>
                <w:rFonts w:hAnsi="宋体"/>
                <w:sz w:val="22"/>
                <w:szCs w:val="22"/>
                <w:highlight w:val="none"/>
              </w:rPr>
              <w:t xml:space="preserve">　　（二）具有良好的商业信誉和健全的财务会计制度； </w:t>
            </w:r>
          </w:p>
          <w:p>
            <w:pPr>
              <w:pStyle w:val="16"/>
              <w:ind w:firstLine="440" w:firstLineChars="200"/>
              <w:rPr>
                <w:rFonts w:hAnsi="宋体"/>
                <w:sz w:val="22"/>
                <w:szCs w:val="22"/>
                <w:highlight w:val="none"/>
              </w:rPr>
            </w:pPr>
            <w:r>
              <w:rPr>
                <w:rFonts w:hAnsi="宋体"/>
                <w:sz w:val="22"/>
                <w:szCs w:val="22"/>
                <w:highlight w:val="none"/>
              </w:rPr>
              <w:t xml:space="preserve">　　（三）具有履行合同所必需的设备和专业技术能力； </w:t>
            </w:r>
          </w:p>
          <w:p>
            <w:pPr>
              <w:pStyle w:val="16"/>
              <w:ind w:firstLine="440" w:firstLineChars="200"/>
              <w:rPr>
                <w:rFonts w:hAnsi="宋体"/>
                <w:sz w:val="22"/>
                <w:szCs w:val="22"/>
                <w:highlight w:val="none"/>
              </w:rPr>
            </w:pPr>
            <w:r>
              <w:rPr>
                <w:rFonts w:hAnsi="宋体"/>
                <w:sz w:val="22"/>
                <w:szCs w:val="22"/>
                <w:highlight w:val="none"/>
              </w:rPr>
              <w:t xml:space="preserve">　　（四）有依法缴纳税收和社会保障资金的良好记录； </w:t>
            </w:r>
          </w:p>
          <w:p>
            <w:pPr>
              <w:pStyle w:val="16"/>
              <w:ind w:firstLine="440" w:firstLineChars="200"/>
              <w:rPr>
                <w:rFonts w:hAnsi="宋体"/>
                <w:sz w:val="22"/>
                <w:szCs w:val="22"/>
                <w:highlight w:val="none"/>
              </w:rPr>
            </w:pPr>
            <w:r>
              <w:rPr>
                <w:rFonts w:hAnsi="宋体"/>
                <w:sz w:val="22"/>
                <w:szCs w:val="22"/>
                <w:highlight w:val="none"/>
              </w:rPr>
              <w:t xml:space="preserve">　　（五）参加政府采购活动前三年内，在经营活动中没有重大违法记录； </w:t>
            </w:r>
          </w:p>
          <w:p>
            <w:pPr>
              <w:pStyle w:val="16"/>
              <w:ind w:firstLine="440" w:firstLineChars="200"/>
              <w:rPr>
                <w:rFonts w:hAnsi="宋体"/>
                <w:sz w:val="22"/>
                <w:szCs w:val="22"/>
                <w:highlight w:val="none"/>
              </w:rPr>
            </w:pPr>
            <w:r>
              <w:rPr>
                <w:rFonts w:hAnsi="宋体"/>
                <w:sz w:val="22"/>
                <w:szCs w:val="22"/>
                <w:highlight w:val="none"/>
              </w:rPr>
              <w:t xml:space="preserve">　　（六）法律、行政法规规定的其他条件。 </w:t>
            </w:r>
          </w:p>
          <w:p>
            <w:pPr>
              <w:pStyle w:val="16"/>
              <w:ind w:firstLine="440" w:firstLineChars="200"/>
              <w:rPr>
                <w:rFonts w:hAnsi="宋体"/>
                <w:sz w:val="22"/>
                <w:szCs w:val="22"/>
                <w:highlight w:val="none"/>
              </w:rPr>
            </w:pPr>
            <w:r>
              <w:rPr>
                <w:rFonts w:hAnsi="宋体"/>
                <w:sz w:val="22"/>
                <w:szCs w:val="22"/>
                <w:highlight w:val="none"/>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pPr>
              <w:pStyle w:val="16"/>
              <w:ind w:firstLine="440" w:firstLineChars="200"/>
              <w:rPr>
                <w:rFonts w:hAnsi="宋体"/>
                <w:sz w:val="22"/>
                <w:szCs w:val="22"/>
                <w:highlight w:val="none"/>
              </w:rPr>
            </w:pPr>
            <w:r>
              <w:rPr>
                <w:rFonts w:hAnsi="宋体"/>
                <w:sz w:val="22"/>
                <w:szCs w:val="22"/>
                <w:highlight w:val="none"/>
              </w:rPr>
              <w:t>3、我单位没有被各地、各级财政部门限制参加政府采购活动，且在限制期内：</w:t>
            </w:r>
          </w:p>
          <w:p>
            <w:pPr>
              <w:pStyle w:val="16"/>
              <w:snapToGrid w:val="0"/>
              <w:spacing w:line="400" w:lineRule="exact"/>
              <w:ind w:firstLine="440" w:firstLineChars="200"/>
              <w:rPr>
                <w:rFonts w:hAnsi="宋体"/>
                <w:sz w:val="22"/>
                <w:szCs w:val="22"/>
                <w:highlight w:val="none"/>
                <w:u w:val="single"/>
              </w:rPr>
            </w:pPr>
            <w:r>
              <w:rPr>
                <w:rFonts w:hAnsi="宋体"/>
                <w:sz w:val="22"/>
                <w:szCs w:val="22"/>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Ansi="宋体"/>
                <w:sz w:val="22"/>
                <w:szCs w:val="22"/>
                <w:highlight w:val="none"/>
                <w:u w:val="single"/>
              </w:rPr>
              <w:t xml:space="preserve">                                                                                  </w:t>
            </w:r>
          </w:p>
          <w:p>
            <w:pPr>
              <w:pStyle w:val="16"/>
              <w:snapToGrid w:val="0"/>
              <w:spacing w:line="400" w:lineRule="exact"/>
              <w:ind w:firstLine="440" w:firstLineChars="200"/>
              <w:rPr>
                <w:rFonts w:hAnsi="宋体"/>
                <w:sz w:val="22"/>
                <w:szCs w:val="22"/>
                <w:highlight w:val="none"/>
              </w:rPr>
            </w:pPr>
            <w:r>
              <w:rPr>
                <w:rFonts w:hAnsi="宋体"/>
                <w:sz w:val="22"/>
                <w:szCs w:val="22"/>
                <w:highlight w:val="none"/>
                <w:u w:val="single"/>
              </w:rPr>
              <w:t>5、我单位符合本项目特定资格条件：                         的要求，并在</w:t>
            </w:r>
            <w:r>
              <w:rPr>
                <w:rFonts w:hAnsi="宋体"/>
                <w:sz w:val="22"/>
                <w:szCs w:val="22"/>
                <w:highlight w:val="none"/>
              </w:rPr>
              <w:t>技术资信部分响应文件中提供了相应的证明材料</w:t>
            </w:r>
            <w:r>
              <w:rPr>
                <w:rFonts w:hAnsi="宋体"/>
                <w:sz w:val="22"/>
                <w:szCs w:val="22"/>
                <w:highlight w:val="none"/>
                <w:u w:val="single"/>
              </w:rPr>
              <w:t>（招标文件文件没有要求特定资格条件的，本条款空格处可以空白）</w:t>
            </w:r>
          </w:p>
          <w:p>
            <w:pPr>
              <w:tabs>
                <w:tab w:val="center" w:pos="4483"/>
              </w:tabs>
              <w:adjustRightInd w:val="0"/>
              <w:spacing w:line="360" w:lineRule="auto"/>
              <w:ind w:firstLine="440" w:firstLineChars="200"/>
              <w:rPr>
                <w:rFonts w:ascii="宋体"/>
                <w:bCs/>
                <w:sz w:val="22"/>
                <w:highlight w:val="none"/>
              </w:rPr>
            </w:pPr>
            <w:r>
              <w:rPr>
                <w:rFonts w:ascii="宋体" w:hAnsi="宋体" w:cs="宋体"/>
                <w:bCs/>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6"/>
              <w:adjustRightInd w:val="0"/>
              <w:snapToGrid w:val="0"/>
              <w:spacing w:line="400" w:lineRule="exact"/>
              <w:rPr>
                <w:rFonts w:hAnsi="宋体"/>
                <w:bCs/>
                <w:sz w:val="22"/>
                <w:szCs w:val="22"/>
                <w:highlight w:val="none"/>
              </w:rPr>
            </w:pPr>
            <w:r>
              <w:rPr>
                <w:rFonts w:hAnsi="宋体"/>
                <w:bCs/>
                <w:sz w:val="22"/>
                <w:szCs w:val="22"/>
                <w:highlight w:val="none"/>
              </w:rPr>
              <w:t>供应商名称（加盖公章）：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6"/>
              <w:adjustRightInd w:val="0"/>
              <w:snapToGrid w:val="0"/>
              <w:spacing w:line="400" w:lineRule="exact"/>
              <w:rPr>
                <w:rFonts w:hAnsi="宋体"/>
                <w:bCs/>
                <w:sz w:val="22"/>
                <w:szCs w:val="22"/>
                <w:highlight w:val="none"/>
              </w:rPr>
            </w:pPr>
            <w:r>
              <w:rPr>
                <w:rFonts w:hAnsi="宋体"/>
                <w:bCs/>
                <w:sz w:val="22"/>
                <w:szCs w:val="22"/>
                <w:highlight w:val="none"/>
              </w:rPr>
              <w:t>法定代表人（签字或盖章）或</w:t>
            </w:r>
            <w:r>
              <w:rPr>
                <w:rFonts w:hAnsi="宋体"/>
                <w:bCs/>
                <w:sz w:val="22"/>
                <w:szCs w:val="22"/>
                <w:highlight w:val="none"/>
                <w:lang w:val="zh-CN"/>
              </w:rPr>
              <w:t>授权代表（</w:t>
            </w:r>
            <w:r>
              <w:rPr>
                <w:rFonts w:hAnsi="宋体"/>
                <w:bCs/>
                <w:sz w:val="22"/>
                <w:szCs w:val="22"/>
                <w:highlight w:val="none"/>
              </w:rPr>
              <w:t>签字或盖章</w:t>
            </w:r>
            <w:r>
              <w:rPr>
                <w:rFonts w:hAnsi="宋体"/>
                <w:bCs/>
                <w:sz w:val="22"/>
                <w:szCs w:val="22"/>
                <w:highlight w:val="none"/>
                <w:lang w:val="zh-CN"/>
              </w:rPr>
              <w:t>）</w:t>
            </w:r>
            <w:r>
              <w:rPr>
                <w:rFonts w:hAnsi="宋体"/>
                <w:bCs/>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pPr>
              <w:pStyle w:val="16"/>
              <w:adjustRightInd w:val="0"/>
              <w:snapToGrid w:val="0"/>
              <w:spacing w:line="400" w:lineRule="exact"/>
              <w:rPr>
                <w:rFonts w:hAnsi="宋体"/>
                <w:bCs/>
                <w:sz w:val="22"/>
                <w:szCs w:val="22"/>
                <w:highlight w:val="none"/>
              </w:rPr>
            </w:pPr>
            <w:r>
              <w:rPr>
                <w:rFonts w:hAnsi="宋体"/>
                <w:bCs/>
                <w:sz w:val="22"/>
                <w:szCs w:val="22"/>
                <w:highlight w:val="none"/>
              </w:rPr>
              <w:t>签署日期：</w:t>
            </w:r>
          </w:p>
        </w:tc>
      </w:tr>
    </w:tbl>
    <w:p>
      <w:pPr>
        <w:autoSpaceDE w:val="0"/>
        <w:autoSpaceDN w:val="0"/>
        <w:adjustRightInd w:val="0"/>
        <w:spacing w:line="440" w:lineRule="atLeast"/>
        <w:rPr>
          <w:rFonts w:hAnsi="宋体"/>
          <w:sz w:val="22"/>
          <w:highlight w:val="none"/>
        </w:rPr>
      </w:pPr>
      <w:r>
        <w:rPr>
          <w:rFonts w:hint="eastAsia" w:hAnsi="宋体"/>
          <w:b/>
          <w:sz w:val="22"/>
          <w:highlight w:val="none"/>
        </w:rPr>
        <w:t>备注：▲投标供应商必须按要求提供本声明，不提供按无效标处理</w:t>
      </w:r>
      <w:r>
        <w:rPr>
          <w:rFonts w:hint="eastAsia" w:hAnsi="宋体"/>
          <w:sz w:val="22"/>
          <w:highlight w:val="none"/>
        </w:rPr>
        <w:t>。</w:t>
      </w:r>
    </w:p>
    <w:p>
      <w:pPr>
        <w:autoSpaceDE w:val="0"/>
        <w:autoSpaceDN w:val="0"/>
        <w:adjustRightInd w:val="0"/>
        <w:spacing w:line="440" w:lineRule="atLeast"/>
        <w:rPr>
          <w:rFonts w:hAnsi="宋体"/>
          <w:sz w:val="22"/>
          <w:highlight w:val="none"/>
          <w:u w:val="single"/>
        </w:rPr>
      </w:pPr>
    </w:p>
    <w:p>
      <w:pPr>
        <w:autoSpaceDE w:val="0"/>
        <w:autoSpaceDN w:val="0"/>
        <w:adjustRightInd w:val="0"/>
        <w:spacing w:line="440" w:lineRule="atLeast"/>
        <w:rPr>
          <w:rFonts w:hAnsi="宋体"/>
          <w:sz w:val="22"/>
          <w:highlight w:val="none"/>
          <w:u w:val="single"/>
        </w:rPr>
      </w:pPr>
    </w:p>
    <w:p>
      <w:pPr>
        <w:spacing w:line="360" w:lineRule="auto"/>
        <w:rPr>
          <w:rFonts w:ascii="宋体" w:hAnsi="宋体"/>
          <w:b/>
          <w:sz w:val="32"/>
          <w:szCs w:val="32"/>
          <w:highlight w:val="none"/>
        </w:rPr>
      </w:pPr>
    </w:p>
    <w:p>
      <w:pPr>
        <w:spacing w:line="440" w:lineRule="exact"/>
        <w:jc w:val="left"/>
        <w:rPr>
          <w:rFonts w:eastAsia="宋体"/>
          <w:highlight w:val="none"/>
        </w:rPr>
      </w:pPr>
      <w:r>
        <w:rPr>
          <w:rFonts w:hint="eastAsia" w:ascii="宋体" w:hAnsi="宋体"/>
          <w:b/>
          <w:sz w:val="32"/>
          <w:szCs w:val="32"/>
          <w:highlight w:val="none"/>
        </w:rPr>
        <w:t>附件九</w:t>
      </w:r>
    </w:p>
    <w:p>
      <w:pPr>
        <w:pStyle w:val="16"/>
        <w:spacing w:line="460" w:lineRule="atLeast"/>
        <w:ind w:firstLine="773" w:firstLineChars="350"/>
        <w:rPr>
          <w:rFonts w:hAnsi="宋体"/>
          <w:b/>
          <w:bCs/>
          <w:sz w:val="22"/>
          <w:szCs w:val="22"/>
          <w:highlight w:val="none"/>
          <w:u w:val="single"/>
        </w:rPr>
      </w:pPr>
    </w:p>
    <w:p>
      <w:pPr>
        <w:spacing w:line="360" w:lineRule="auto"/>
        <w:jc w:val="center"/>
        <w:rPr>
          <w:rFonts w:ascii="宋体"/>
          <w:sz w:val="36"/>
          <w:szCs w:val="36"/>
          <w:highlight w:val="none"/>
        </w:rPr>
      </w:pPr>
      <w:r>
        <w:rPr>
          <w:rFonts w:hint="eastAsia" w:ascii="宋体"/>
          <w:sz w:val="36"/>
          <w:szCs w:val="36"/>
          <w:highlight w:val="none"/>
        </w:rPr>
        <w:t>法定代表人诚信投标承诺书</w:t>
      </w:r>
    </w:p>
    <w:p>
      <w:pPr>
        <w:spacing w:line="360" w:lineRule="auto"/>
        <w:rPr>
          <w:rFonts w:ascii="宋体" w:hAnsi="宋体"/>
          <w:sz w:val="22"/>
          <w:highlight w:val="none"/>
        </w:rPr>
      </w:pPr>
      <w:r>
        <w:rPr>
          <w:rFonts w:hint="eastAsia" w:ascii="宋体" w:hAnsi="宋体"/>
          <w:sz w:val="22"/>
          <w:highlight w:val="none"/>
        </w:rPr>
        <w:t>本人以企业法定代表人的身份郑重承诺：</w:t>
      </w:r>
    </w:p>
    <w:p>
      <w:pPr>
        <w:spacing w:line="360" w:lineRule="auto"/>
        <w:ind w:firstLine="420"/>
        <w:rPr>
          <w:rFonts w:ascii="宋体" w:hAnsi="宋体"/>
          <w:sz w:val="22"/>
          <w:highlight w:val="none"/>
        </w:rPr>
      </w:pPr>
      <w:r>
        <w:rPr>
          <w:rFonts w:hint="eastAsia" w:ascii="宋体" w:hAnsi="宋体"/>
          <w:sz w:val="22"/>
          <w:highlight w:val="none"/>
        </w:rPr>
        <w:t>将遵循公开、公平、公正和诚信信用的原则参加</w:t>
      </w:r>
      <w:r>
        <w:rPr>
          <w:rFonts w:hint="eastAsia" w:ascii="宋体" w:hAnsi="宋体"/>
          <w:sz w:val="22"/>
          <w:highlight w:val="none"/>
          <w:u w:val="single"/>
        </w:rPr>
        <w:t xml:space="preserve">                  项目（项目编号： ）</w:t>
      </w:r>
      <w:r>
        <w:rPr>
          <w:rFonts w:hint="eastAsia" w:ascii="宋体" w:hAnsi="宋体"/>
          <w:sz w:val="22"/>
          <w:highlight w:val="none"/>
        </w:rPr>
        <w:t>的投标；</w:t>
      </w:r>
    </w:p>
    <w:p>
      <w:pPr>
        <w:spacing w:line="360" w:lineRule="auto"/>
        <w:ind w:firstLine="420"/>
        <w:rPr>
          <w:rFonts w:ascii="宋体" w:hAnsi="宋体"/>
          <w:sz w:val="22"/>
          <w:highlight w:val="none"/>
        </w:rPr>
      </w:pPr>
      <w:r>
        <w:rPr>
          <w:rFonts w:hint="eastAsia" w:ascii="宋体" w:hAnsi="宋体"/>
          <w:sz w:val="22"/>
          <w:highlight w:val="none"/>
        </w:rPr>
        <w:t>一、杜绝以收取管理费等形式的一切挂靠、违法转包、分包行为；并选派有丰富经验、无不</w:t>
      </w:r>
    </w:p>
    <w:p>
      <w:pPr>
        <w:spacing w:line="360" w:lineRule="auto"/>
        <w:rPr>
          <w:rFonts w:ascii="宋体" w:hAnsi="宋体"/>
          <w:sz w:val="22"/>
          <w:highlight w:val="none"/>
        </w:rPr>
      </w:pPr>
      <w:r>
        <w:rPr>
          <w:rFonts w:hint="eastAsia" w:ascii="宋体" w:hAnsi="宋体"/>
          <w:sz w:val="22"/>
          <w:highlight w:val="none"/>
        </w:rPr>
        <w:t>良行为记录的在项目管理人员、技术人员，严格按招标文件文件、响应文件及合同等要求保证</w:t>
      </w:r>
    </w:p>
    <w:p>
      <w:pPr>
        <w:spacing w:line="360" w:lineRule="auto"/>
        <w:rPr>
          <w:rFonts w:ascii="宋体" w:hAnsi="宋体"/>
          <w:sz w:val="22"/>
          <w:highlight w:val="none"/>
        </w:rPr>
      </w:pPr>
      <w:r>
        <w:rPr>
          <w:rFonts w:hint="eastAsia" w:ascii="宋体" w:hAnsi="宋体"/>
          <w:sz w:val="22"/>
          <w:highlight w:val="none"/>
        </w:rPr>
        <w:t>拟派人员的到岗率。</w:t>
      </w:r>
    </w:p>
    <w:p>
      <w:pPr>
        <w:spacing w:line="360" w:lineRule="auto"/>
        <w:ind w:firstLine="420"/>
        <w:rPr>
          <w:rFonts w:ascii="宋体" w:hAnsi="宋体"/>
          <w:sz w:val="22"/>
          <w:highlight w:val="none"/>
        </w:rPr>
      </w:pPr>
      <w:r>
        <w:rPr>
          <w:rFonts w:hint="eastAsia" w:ascii="宋体" w:hAnsi="宋体"/>
          <w:sz w:val="22"/>
          <w:highlight w:val="none"/>
        </w:rPr>
        <w:t>二、响应文件所提供的一切材料都是真实、有效、合法的。</w:t>
      </w:r>
    </w:p>
    <w:p>
      <w:pPr>
        <w:spacing w:line="360" w:lineRule="auto"/>
        <w:ind w:firstLine="420"/>
        <w:rPr>
          <w:rFonts w:ascii="宋体" w:hAnsi="宋体"/>
          <w:sz w:val="22"/>
          <w:highlight w:val="none"/>
        </w:rPr>
      </w:pPr>
      <w:r>
        <w:rPr>
          <w:rFonts w:hint="eastAsia" w:ascii="宋体" w:hAnsi="宋体"/>
          <w:sz w:val="22"/>
          <w:highlight w:val="none"/>
        </w:rPr>
        <w:t>三、不与其他供应商相互串通投标报价，不排挤其他供应商的公平竞争，不损害采购单位或其他供应商的合法权益。</w:t>
      </w:r>
    </w:p>
    <w:p>
      <w:pPr>
        <w:spacing w:line="360" w:lineRule="auto"/>
        <w:ind w:firstLine="420"/>
        <w:rPr>
          <w:rFonts w:ascii="宋体" w:hAnsi="宋体"/>
          <w:sz w:val="22"/>
          <w:highlight w:val="none"/>
        </w:rPr>
      </w:pPr>
      <w:r>
        <w:rPr>
          <w:rFonts w:hint="eastAsia" w:ascii="宋体" w:hAnsi="宋体"/>
          <w:sz w:val="22"/>
          <w:highlight w:val="none"/>
        </w:rPr>
        <w:t>四、不与采购单位或招标代理机构串通投标，不损害国家利益，社会公共利益或其他人的合法权益。</w:t>
      </w:r>
    </w:p>
    <w:p>
      <w:pPr>
        <w:spacing w:line="360" w:lineRule="auto"/>
        <w:ind w:firstLine="420"/>
        <w:rPr>
          <w:rFonts w:ascii="宋体" w:hAnsi="宋体"/>
          <w:sz w:val="22"/>
          <w:highlight w:val="none"/>
        </w:rPr>
      </w:pPr>
      <w:r>
        <w:rPr>
          <w:rFonts w:hint="eastAsia" w:ascii="宋体" w:hAnsi="宋体"/>
          <w:sz w:val="22"/>
          <w:highlight w:val="none"/>
        </w:rPr>
        <w:t>五、不向采购单位或者评委成员行贿以牟取中标。</w:t>
      </w:r>
    </w:p>
    <w:p>
      <w:pPr>
        <w:spacing w:line="360" w:lineRule="auto"/>
        <w:ind w:firstLine="420"/>
        <w:rPr>
          <w:rFonts w:ascii="宋体" w:hAnsi="宋体"/>
          <w:sz w:val="22"/>
          <w:highlight w:val="none"/>
        </w:rPr>
      </w:pPr>
      <w:r>
        <w:rPr>
          <w:rFonts w:hint="eastAsia" w:ascii="宋体" w:hAnsi="宋体"/>
          <w:sz w:val="22"/>
          <w:highlight w:val="none"/>
        </w:rPr>
        <w:t>六、不以其他人名义投标或者以其他方式弄虚作假，骗取中标。</w:t>
      </w:r>
    </w:p>
    <w:p>
      <w:pPr>
        <w:spacing w:line="360" w:lineRule="auto"/>
        <w:ind w:firstLine="420"/>
        <w:rPr>
          <w:rFonts w:ascii="宋体" w:hAnsi="宋体"/>
          <w:sz w:val="22"/>
          <w:highlight w:val="none"/>
        </w:rPr>
      </w:pPr>
      <w:r>
        <w:rPr>
          <w:rFonts w:hint="eastAsia" w:ascii="宋体" w:hAnsi="宋体"/>
          <w:sz w:val="22"/>
          <w:highlight w:val="none"/>
        </w:rPr>
        <w:t>七、不在开标后进行虚假恶意投诉。</w:t>
      </w:r>
    </w:p>
    <w:p>
      <w:pPr>
        <w:spacing w:line="360" w:lineRule="auto"/>
        <w:ind w:firstLine="420"/>
        <w:rPr>
          <w:rFonts w:ascii="宋体" w:hAnsi="宋体"/>
          <w:sz w:val="22"/>
          <w:highlight w:val="none"/>
        </w:rPr>
      </w:pPr>
      <w:r>
        <w:rPr>
          <w:rFonts w:hint="eastAsia" w:ascii="宋体" w:hAnsi="宋体"/>
          <w:sz w:val="22"/>
          <w:highlight w:val="none"/>
        </w:rPr>
        <w:t>八、我单位没有被政府机关列入失信被执行人名单、重大税收违法案件当事人名单、政府采</w:t>
      </w:r>
    </w:p>
    <w:p>
      <w:pPr>
        <w:spacing w:line="360" w:lineRule="auto"/>
        <w:rPr>
          <w:rFonts w:ascii="宋体" w:hAnsi="宋体"/>
          <w:sz w:val="22"/>
          <w:highlight w:val="none"/>
        </w:rPr>
      </w:pPr>
      <w:r>
        <w:rPr>
          <w:rFonts w:hint="eastAsia" w:ascii="宋体" w:hAnsi="宋体"/>
          <w:sz w:val="22"/>
          <w:highlight w:val="none"/>
        </w:rPr>
        <w:t>购严重违法失信行为记录名单及其他不符合《中华人民共和国政府采购法》第二十二条规定条件</w:t>
      </w:r>
    </w:p>
    <w:p>
      <w:pPr>
        <w:spacing w:line="360" w:lineRule="auto"/>
        <w:rPr>
          <w:rFonts w:ascii="宋体" w:hAnsi="宋体"/>
          <w:sz w:val="22"/>
          <w:highlight w:val="none"/>
        </w:rPr>
      </w:pPr>
      <w:r>
        <w:rPr>
          <w:rFonts w:hint="eastAsia" w:ascii="宋体" w:hAnsi="宋体"/>
          <w:sz w:val="22"/>
          <w:highlight w:val="none"/>
        </w:rPr>
        <w:t>的情形：</w:t>
      </w:r>
    </w:p>
    <w:p>
      <w:pPr>
        <w:spacing w:line="360" w:lineRule="auto"/>
        <w:ind w:firstLine="420"/>
        <w:rPr>
          <w:rFonts w:ascii="宋体" w:hAnsi="宋体"/>
          <w:sz w:val="22"/>
          <w:highlight w:val="none"/>
        </w:rPr>
      </w:pPr>
      <w:r>
        <w:rPr>
          <w:rFonts w:hint="eastAsia" w:ascii="宋体" w:hAnsi="宋体"/>
          <w:sz w:val="22"/>
          <w:highlight w:val="none"/>
        </w:rPr>
        <w:t>九、没有被各地、各级财政部门禁止参加政府采购活动，且在限制期限内：</w:t>
      </w:r>
    </w:p>
    <w:p>
      <w:pPr>
        <w:spacing w:line="360" w:lineRule="auto"/>
        <w:ind w:firstLine="420"/>
        <w:rPr>
          <w:rFonts w:ascii="宋体" w:hAnsi="宋体"/>
          <w:sz w:val="22"/>
          <w:highlight w:val="none"/>
        </w:rPr>
      </w:pPr>
      <w:r>
        <w:rPr>
          <w:rFonts w:hint="eastAsia" w:ascii="宋体" w:hAnsi="宋体"/>
          <w:sz w:val="22"/>
          <w:highlight w:val="none"/>
        </w:rPr>
        <w:t>十、参与本项目政府采购活动 3 年内没有重大违法记录情况。</w:t>
      </w:r>
    </w:p>
    <w:p>
      <w:pPr>
        <w:spacing w:line="360" w:lineRule="auto"/>
        <w:ind w:firstLine="420"/>
        <w:rPr>
          <w:rFonts w:ascii="宋体" w:hAnsi="宋体"/>
          <w:sz w:val="22"/>
          <w:highlight w:val="none"/>
        </w:rPr>
      </w:pPr>
      <w:r>
        <w:rPr>
          <w:rFonts w:hint="eastAsia" w:ascii="宋体" w:hAnsi="宋体"/>
          <w:sz w:val="22"/>
          <w:highlight w:val="none"/>
        </w:rPr>
        <w:t>本公司若有违反本承诺内容的行为，愿意承担法律责任，包括不限于：愿意接受相关行政主</w:t>
      </w:r>
    </w:p>
    <w:p>
      <w:pPr>
        <w:spacing w:line="360" w:lineRule="auto"/>
        <w:rPr>
          <w:rFonts w:ascii="宋体" w:hAnsi="宋体"/>
          <w:sz w:val="22"/>
          <w:highlight w:val="none"/>
        </w:rPr>
      </w:pPr>
      <w:r>
        <w:rPr>
          <w:rFonts w:hint="eastAsia" w:ascii="宋体" w:hAnsi="宋体"/>
          <w:sz w:val="22"/>
          <w:highlight w:val="none"/>
        </w:rPr>
        <w:t>管部门作出的处罚；给采购单位造成损失的，依法承担相应的赔偿责任。</w:t>
      </w:r>
    </w:p>
    <w:p>
      <w:pPr>
        <w:spacing w:line="360" w:lineRule="auto"/>
        <w:ind w:left="5040"/>
        <w:rPr>
          <w:rFonts w:ascii="宋体" w:hAnsi="宋体"/>
          <w:sz w:val="22"/>
          <w:highlight w:val="none"/>
        </w:rPr>
      </w:pPr>
      <w:r>
        <w:rPr>
          <w:rFonts w:hint="eastAsia" w:ascii="宋体" w:hAnsi="宋体"/>
          <w:sz w:val="22"/>
          <w:highlight w:val="none"/>
        </w:rPr>
        <w:t>法定代表人（签字或盖章）：</w:t>
      </w:r>
    </w:p>
    <w:p>
      <w:pPr>
        <w:spacing w:line="360" w:lineRule="auto"/>
        <w:ind w:left="4620" w:firstLine="420"/>
        <w:rPr>
          <w:rFonts w:ascii="宋体" w:hAnsi="宋体"/>
          <w:sz w:val="22"/>
          <w:highlight w:val="none"/>
        </w:rPr>
      </w:pPr>
      <w:r>
        <w:rPr>
          <w:rFonts w:hint="eastAsia" w:ascii="宋体" w:hAnsi="宋体"/>
          <w:sz w:val="22"/>
          <w:highlight w:val="none"/>
        </w:rPr>
        <w:t>投标供应商（盖章）</w:t>
      </w:r>
    </w:p>
    <w:p>
      <w:pPr>
        <w:spacing w:line="360" w:lineRule="auto"/>
        <w:ind w:left="4620" w:firstLine="440" w:firstLineChars="200"/>
        <w:rPr>
          <w:rFonts w:ascii="宋体" w:hAnsi="宋体"/>
          <w:sz w:val="22"/>
          <w:highlight w:val="none"/>
        </w:rPr>
      </w:pPr>
      <w:r>
        <w:rPr>
          <w:rFonts w:hint="eastAsia" w:ascii="宋体" w:hAnsi="宋体"/>
          <w:sz w:val="22"/>
          <w:highlight w:val="none"/>
        </w:rPr>
        <w:t>承诺书签署日期：</w:t>
      </w:r>
      <w:r>
        <w:rPr>
          <w:rFonts w:ascii="宋体" w:hAnsi="宋体"/>
          <w:sz w:val="22"/>
          <w:highlight w:val="none"/>
        </w:rPr>
        <w:t xml:space="preserve"> </w:t>
      </w:r>
    </w:p>
    <w:p>
      <w:pPr>
        <w:spacing w:line="360" w:lineRule="auto"/>
        <w:rPr>
          <w:rFonts w:ascii="宋体" w:hAnsi="宋体"/>
          <w:b/>
          <w:sz w:val="22"/>
          <w:highlight w:val="none"/>
        </w:rPr>
      </w:pPr>
      <w:r>
        <w:rPr>
          <w:rFonts w:hint="eastAsia" w:ascii="宋体" w:hAnsi="宋体"/>
          <w:b/>
          <w:sz w:val="22"/>
          <w:highlight w:val="none"/>
        </w:rPr>
        <w:t>备注：▲投标供应商必须提供本承诺书，不提供按无效投标处理。</w:t>
      </w:r>
    </w:p>
    <w:p>
      <w:pPr>
        <w:spacing w:line="440" w:lineRule="exact"/>
        <w:jc w:val="left"/>
        <w:rPr>
          <w:rFonts w:ascii="宋体" w:hAnsi="宋体"/>
          <w:b/>
          <w:sz w:val="32"/>
          <w:szCs w:val="32"/>
          <w:highlight w:val="none"/>
        </w:rPr>
      </w:pPr>
    </w:p>
    <w:p>
      <w:pPr>
        <w:autoSpaceDE w:val="0"/>
        <w:autoSpaceDN w:val="0"/>
        <w:adjustRightInd w:val="0"/>
        <w:spacing w:line="440" w:lineRule="atLeast"/>
        <w:rPr>
          <w:rFonts w:ascii="宋体" w:hAnsi="宋体" w:cs="仿宋_GB2312"/>
          <w:b/>
          <w:bCs/>
          <w:sz w:val="32"/>
          <w:szCs w:val="32"/>
          <w:highlight w:val="none"/>
        </w:rPr>
      </w:pPr>
      <w:r>
        <w:rPr>
          <w:rFonts w:ascii="宋体" w:hAnsi="宋体"/>
          <w:b/>
          <w:sz w:val="32"/>
          <w:szCs w:val="32"/>
          <w:highlight w:val="none"/>
        </w:rPr>
        <w:br w:type="page"/>
      </w:r>
      <w:r>
        <w:rPr>
          <w:rFonts w:hint="eastAsia" w:ascii="宋体" w:hAnsi="宋体" w:cs="仿宋_GB2312"/>
          <w:b/>
          <w:bCs/>
          <w:sz w:val="32"/>
          <w:szCs w:val="32"/>
          <w:highlight w:val="none"/>
        </w:rPr>
        <w:t>附件</w:t>
      </w:r>
      <w:r>
        <w:rPr>
          <w:rFonts w:hint="eastAsia" w:ascii="宋体" w:hAnsi="宋体"/>
          <w:b/>
          <w:sz w:val="32"/>
          <w:szCs w:val="32"/>
          <w:highlight w:val="none"/>
          <w:lang w:val="zh-CN"/>
        </w:rPr>
        <w:t>十</w:t>
      </w:r>
      <w:r>
        <w:rPr>
          <w:rFonts w:hint="eastAsia" w:ascii="宋体" w:hAnsi="宋体"/>
          <w:b/>
          <w:sz w:val="32"/>
          <w:szCs w:val="32"/>
          <w:highlight w:val="none"/>
        </w:rPr>
        <w:t>（</w:t>
      </w:r>
      <w:r>
        <w:rPr>
          <w:rFonts w:hint="eastAsia" w:ascii="宋体" w:hAnsi="宋体"/>
          <w:b/>
          <w:sz w:val="32"/>
          <w:szCs w:val="32"/>
          <w:highlight w:val="none"/>
          <w:lang w:val="zh-CN"/>
        </w:rPr>
        <w:t>一</w:t>
      </w:r>
      <w:r>
        <w:rPr>
          <w:rFonts w:hint="eastAsia" w:ascii="宋体" w:hAnsi="宋体"/>
          <w:b/>
          <w:sz w:val="32"/>
          <w:szCs w:val="32"/>
          <w:highlight w:val="none"/>
        </w:rPr>
        <w:t>）</w:t>
      </w:r>
    </w:p>
    <w:p>
      <w:pPr>
        <w:spacing w:line="360" w:lineRule="auto"/>
        <w:jc w:val="center"/>
        <w:rPr>
          <w:rFonts w:ascii="宋体" w:hAnsi="宋体"/>
          <w:sz w:val="36"/>
          <w:szCs w:val="36"/>
          <w:highlight w:val="none"/>
        </w:rPr>
      </w:pPr>
      <w:r>
        <w:rPr>
          <w:rFonts w:hint="eastAsia" w:ascii="宋体" w:hAnsi="宋体"/>
          <w:sz w:val="36"/>
          <w:szCs w:val="36"/>
          <w:highlight w:val="none"/>
        </w:rPr>
        <w:t>商 务 偏 离 表</w:t>
      </w:r>
      <w:r>
        <w:rPr>
          <w:rFonts w:hint="eastAsia" w:ascii="宋体"/>
          <w:b/>
          <w:bCs/>
          <w:sz w:val="36"/>
          <w:szCs w:val="36"/>
          <w:highlight w:val="none"/>
        </w:rPr>
        <w:t xml:space="preserve"> </w:t>
      </w:r>
    </w:p>
    <w:tbl>
      <w:tblPr>
        <w:tblStyle w:val="29"/>
        <w:tblW w:w="0" w:type="auto"/>
        <w:tblInd w:w="0" w:type="dxa"/>
        <w:tblLayout w:type="fixed"/>
        <w:tblCellMar>
          <w:top w:w="0" w:type="dxa"/>
          <w:left w:w="108" w:type="dxa"/>
          <w:bottom w:w="0" w:type="dxa"/>
          <w:right w:w="108" w:type="dxa"/>
        </w:tblCellMar>
      </w:tblPr>
      <w:tblGrid>
        <w:gridCol w:w="900"/>
        <w:gridCol w:w="1800"/>
        <w:gridCol w:w="2664"/>
        <w:gridCol w:w="2110"/>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内   容</w:t>
            </w:r>
          </w:p>
        </w:tc>
        <w:tc>
          <w:tcPr>
            <w:tcW w:w="2664"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招标文件规范要求</w:t>
            </w:r>
          </w:p>
        </w:tc>
        <w:tc>
          <w:tcPr>
            <w:tcW w:w="211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投标文件对应规范</w:t>
            </w:r>
          </w:p>
        </w:tc>
        <w:tc>
          <w:tcPr>
            <w:tcW w:w="2126"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备 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664"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1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126"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bl>
    <w:p>
      <w:pPr>
        <w:spacing w:line="360" w:lineRule="auto"/>
        <w:ind w:left="4620" w:hanging="4620"/>
        <w:jc w:val="left"/>
        <w:rPr>
          <w:rFonts w:ascii="宋体"/>
          <w:b/>
          <w:bCs/>
          <w:sz w:val="24"/>
          <w:highlight w:val="none"/>
        </w:rPr>
      </w:pPr>
      <w:r>
        <w:rPr>
          <w:rFonts w:hint="eastAsia" w:ascii="宋体" w:hAnsi="宋体"/>
          <w:sz w:val="22"/>
          <w:highlight w:val="none"/>
        </w:rPr>
        <w:t>供应商全称（盖章）：</w:t>
      </w:r>
      <w:r>
        <w:rPr>
          <w:rFonts w:hint="eastAsia" w:ascii="宋体" w:hAnsi="宋体"/>
          <w:sz w:val="22"/>
          <w:highlight w:val="none"/>
          <w:u w:val="single"/>
        </w:rPr>
        <w:t xml:space="preserve"> </w:t>
      </w:r>
      <w:r>
        <w:rPr>
          <w:rFonts w:hint="eastAsia" w:ascii="宋体"/>
          <w:b/>
          <w:bCs/>
          <w:sz w:val="24"/>
          <w:highlight w:val="none"/>
          <w:u w:val="single"/>
        </w:rPr>
        <w:t xml:space="preserve">                </w:t>
      </w:r>
      <w:r>
        <w:rPr>
          <w:rFonts w:hint="eastAsia" w:ascii="宋体"/>
          <w:b/>
          <w:bCs/>
          <w:sz w:val="32"/>
          <w:szCs w:val="32"/>
          <w:highlight w:val="none"/>
          <w:u w:val="single"/>
        </w:rPr>
        <w:t xml:space="preserve"> </w:t>
      </w:r>
    </w:p>
    <w:p>
      <w:pPr>
        <w:autoSpaceDE w:val="0"/>
        <w:autoSpaceDN w:val="0"/>
        <w:adjustRightInd w:val="0"/>
        <w:spacing w:line="440" w:lineRule="atLeast"/>
        <w:rPr>
          <w:rFonts w:ascii="宋体" w:hAnsi="宋体" w:cs="仿宋_GB2312"/>
          <w:b/>
          <w:bCs/>
          <w:sz w:val="32"/>
          <w:szCs w:val="32"/>
          <w:highlight w:val="none"/>
        </w:rPr>
      </w:pPr>
      <w:r>
        <w:rPr>
          <w:rFonts w:hint="eastAsia" w:ascii="宋体" w:hAnsi="宋体" w:cs="仿宋_GB2312"/>
          <w:b/>
          <w:bCs/>
          <w:sz w:val="32"/>
          <w:szCs w:val="32"/>
          <w:highlight w:val="none"/>
        </w:rPr>
        <w:t>附件</w:t>
      </w:r>
      <w:r>
        <w:rPr>
          <w:rFonts w:hint="eastAsia" w:ascii="宋体" w:hAnsi="宋体"/>
          <w:b/>
          <w:sz w:val="32"/>
          <w:szCs w:val="32"/>
          <w:highlight w:val="none"/>
          <w:lang w:val="zh-CN"/>
        </w:rPr>
        <w:t>十</w:t>
      </w:r>
      <w:r>
        <w:rPr>
          <w:rFonts w:hint="eastAsia" w:ascii="宋体" w:hAnsi="宋体"/>
          <w:b/>
          <w:sz w:val="32"/>
          <w:szCs w:val="32"/>
          <w:highlight w:val="none"/>
        </w:rPr>
        <w:t>（</w:t>
      </w:r>
      <w:r>
        <w:rPr>
          <w:rFonts w:hint="eastAsia" w:ascii="宋体" w:hAnsi="宋体"/>
          <w:b/>
          <w:sz w:val="32"/>
          <w:szCs w:val="32"/>
          <w:highlight w:val="none"/>
          <w:lang w:val="zh-CN"/>
        </w:rPr>
        <w:t>二</w:t>
      </w:r>
      <w:r>
        <w:rPr>
          <w:rFonts w:hint="eastAsia" w:ascii="宋体" w:hAnsi="宋体"/>
          <w:b/>
          <w:sz w:val="32"/>
          <w:szCs w:val="32"/>
          <w:highlight w:val="none"/>
        </w:rPr>
        <w:t>）</w:t>
      </w:r>
    </w:p>
    <w:p>
      <w:pPr>
        <w:spacing w:line="360" w:lineRule="auto"/>
        <w:jc w:val="center"/>
        <w:rPr>
          <w:rFonts w:ascii="宋体" w:hAnsi="宋体"/>
          <w:sz w:val="36"/>
          <w:szCs w:val="36"/>
          <w:highlight w:val="none"/>
        </w:rPr>
      </w:pPr>
      <w:r>
        <w:rPr>
          <w:rFonts w:hint="eastAsia" w:ascii="宋体" w:hAnsi="宋体"/>
          <w:sz w:val="36"/>
          <w:szCs w:val="36"/>
          <w:highlight w:val="none"/>
        </w:rPr>
        <w:t>技术偏离表</w:t>
      </w:r>
    </w:p>
    <w:tbl>
      <w:tblPr>
        <w:tblStyle w:val="29"/>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序 号</w:t>
            </w:r>
          </w:p>
        </w:tc>
        <w:tc>
          <w:tcPr>
            <w:tcW w:w="1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内     容</w:t>
            </w:r>
          </w:p>
        </w:tc>
        <w:tc>
          <w:tcPr>
            <w:tcW w:w="23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招标文件规范要求</w:t>
            </w:r>
          </w:p>
        </w:tc>
        <w:tc>
          <w:tcPr>
            <w:tcW w:w="20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投标文件对应规范</w:t>
            </w:r>
          </w:p>
        </w:tc>
        <w:tc>
          <w:tcPr>
            <w:tcW w:w="2800" w:type="dxa"/>
            <w:tcBorders>
              <w:top w:val="single" w:color="auto" w:sz="6" w:space="0"/>
              <w:left w:val="nil"/>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sz w:val="22"/>
                <w:highlight w:val="none"/>
              </w:rPr>
            </w:pPr>
            <w:r>
              <w:rPr>
                <w:rFonts w:ascii="宋体" w:hAnsi="宋体"/>
                <w:sz w:val="22"/>
                <w:highlight w:val="none"/>
              </w:rPr>
              <w:t>备 注</w:t>
            </w: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r>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1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3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0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c>
          <w:tcPr>
            <w:tcW w:w="2800" w:type="dxa"/>
            <w:tcBorders>
              <w:top w:val="single" w:color="auto" w:sz="6" w:space="0"/>
              <w:left w:val="nil"/>
              <w:bottom w:val="single" w:color="auto" w:sz="6" w:space="0"/>
              <w:right w:val="single" w:color="auto" w:sz="6" w:space="0"/>
            </w:tcBorders>
          </w:tcPr>
          <w:p>
            <w:pPr>
              <w:autoSpaceDE w:val="0"/>
              <w:autoSpaceDN w:val="0"/>
              <w:adjustRightInd w:val="0"/>
              <w:spacing w:line="440" w:lineRule="atLeast"/>
              <w:jc w:val="center"/>
              <w:rPr>
                <w:rFonts w:ascii="宋体" w:cs="宋体"/>
                <w:b/>
                <w:bCs/>
                <w:sz w:val="24"/>
                <w:highlight w:val="none"/>
              </w:rPr>
            </w:pPr>
          </w:p>
        </w:tc>
      </w:tr>
    </w:tbl>
    <w:p>
      <w:pPr>
        <w:pStyle w:val="16"/>
        <w:adjustRightInd w:val="0"/>
        <w:snapToGrid w:val="0"/>
        <w:spacing w:line="400" w:lineRule="exact"/>
        <w:rPr>
          <w:b/>
          <w:bCs/>
          <w:sz w:val="24"/>
          <w:szCs w:val="24"/>
          <w:highlight w:val="none"/>
          <w:u w:val="single"/>
        </w:rPr>
      </w:pPr>
      <w:r>
        <w:rPr>
          <w:rFonts w:hint="eastAsia" w:hAnsi="宋体"/>
          <w:sz w:val="22"/>
          <w:highlight w:val="none"/>
        </w:rPr>
        <w:t xml:space="preserve">供应商全称（盖章）： </w:t>
      </w:r>
      <w:r>
        <w:rPr>
          <w:rFonts w:hint="eastAsia"/>
          <w:b/>
          <w:bCs/>
          <w:sz w:val="24"/>
          <w:szCs w:val="24"/>
          <w:highlight w:val="none"/>
          <w:u w:val="single"/>
        </w:rPr>
        <w:t xml:space="preserve">    </w:t>
      </w:r>
    </w:p>
    <w:p>
      <w:pPr>
        <w:pStyle w:val="16"/>
        <w:adjustRightInd w:val="0"/>
        <w:snapToGrid w:val="0"/>
        <w:spacing w:line="400" w:lineRule="exact"/>
        <w:rPr>
          <w:rFonts w:hAnsi="宋体"/>
          <w:b/>
          <w:sz w:val="22"/>
          <w:szCs w:val="22"/>
          <w:highlight w:val="none"/>
          <w:u w:val="single"/>
        </w:rPr>
      </w:pPr>
    </w:p>
    <w:p>
      <w:pPr>
        <w:pStyle w:val="16"/>
        <w:adjustRightInd w:val="0"/>
        <w:snapToGrid w:val="0"/>
        <w:spacing w:line="400" w:lineRule="exact"/>
        <w:rPr>
          <w:b/>
          <w:bCs/>
          <w:sz w:val="22"/>
          <w:szCs w:val="22"/>
          <w:highlight w:val="none"/>
        </w:rPr>
      </w:pPr>
      <w:r>
        <w:rPr>
          <w:rFonts w:hint="eastAsia" w:hAnsi="宋体"/>
          <w:b/>
          <w:sz w:val="22"/>
          <w:szCs w:val="22"/>
          <w:highlight w:val="none"/>
        </w:rPr>
        <w:t>▲不提供此表格的将视为没有实质性响应招标文件。</w:t>
      </w:r>
    </w:p>
    <w:p>
      <w:pPr>
        <w:widowControl/>
        <w:jc w:val="left"/>
        <w:rPr>
          <w:rFonts w:ascii="宋体" w:hAnsi="宋体" w:cs="仿宋_GB2312"/>
          <w:sz w:val="32"/>
          <w:szCs w:val="32"/>
          <w:highlight w:val="none"/>
        </w:rPr>
        <w:sectPr>
          <w:headerReference r:id="rId9" w:type="default"/>
          <w:footerReference r:id="rId10" w:type="default"/>
          <w:pgSz w:w="11906" w:h="16838"/>
          <w:pgMar w:top="1440" w:right="1106" w:bottom="1440" w:left="1622" w:header="720" w:footer="720" w:gutter="0"/>
          <w:cols w:space="720" w:num="1"/>
          <w:docGrid w:type="lines" w:linePitch="312" w:charSpace="0"/>
        </w:sectPr>
      </w:pPr>
    </w:p>
    <w:p>
      <w:pPr>
        <w:rPr>
          <w:sz w:val="36"/>
          <w:szCs w:val="36"/>
          <w:highlight w:val="none"/>
        </w:rPr>
      </w:pPr>
      <w:r>
        <w:rPr>
          <w:rFonts w:hint="eastAsia" w:ascii="宋体" w:hAnsi="宋体"/>
          <w:b/>
          <w:bCs/>
          <w:sz w:val="32"/>
          <w:szCs w:val="32"/>
          <w:highlight w:val="none"/>
        </w:rPr>
        <w:t>附件十</w:t>
      </w:r>
      <w:r>
        <w:rPr>
          <w:rFonts w:hint="eastAsia" w:hAnsi="宋体"/>
          <w:b/>
          <w:bCs/>
          <w:sz w:val="32"/>
          <w:szCs w:val="32"/>
          <w:highlight w:val="none"/>
        </w:rPr>
        <w:t>一</w:t>
      </w:r>
    </w:p>
    <w:p>
      <w:pPr>
        <w:pStyle w:val="16"/>
        <w:spacing w:line="440" w:lineRule="atLeast"/>
        <w:jc w:val="center"/>
        <w:rPr>
          <w:rFonts w:hAnsi="Times New Roman"/>
          <w:sz w:val="36"/>
          <w:szCs w:val="36"/>
          <w:highlight w:val="none"/>
        </w:rPr>
      </w:pPr>
    </w:p>
    <w:p>
      <w:pPr>
        <w:pStyle w:val="16"/>
        <w:spacing w:line="440" w:lineRule="atLeast"/>
        <w:jc w:val="center"/>
        <w:rPr>
          <w:rFonts w:hAnsi="Times New Roman"/>
          <w:sz w:val="36"/>
          <w:szCs w:val="36"/>
          <w:highlight w:val="none"/>
        </w:rPr>
      </w:pPr>
    </w:p>
    <w:p>
      <w:pPr>
        <w:pStyle w:val="16"/>
        <w:spacing w:line="440" w:lineRule="atLeast"/>
        <w:jc w:val="center"/>
        <w:rPr>
          <w:rFonts w:hAnsi="Times New Roman"/>
          <w:sz w:val="36"/>
          <w:szCs w:val="36"/>
          <w:highlight w:val="none"/>
        </w:rPr>
      </w:pPr>
      <w:r>
        <w:rPr>
          <w:rFonts w:hint="eastAsia" w:hAnsi="Times New Roman"/>
          <w:sz w:val="36"/>
          <w:szCs w:val="36"/>
          <w:highlight w:val="none"/>
        </w:rPr>
        <w:t>投标供应商认为有必要提供的其他材料或证明</w:t>
      </w:r>
    </w:p>
    <w:p>
      <w:pPr>
        <w:rPr>
          <w:highlight w:val="none"/>
        </w:rPr>
      </w:pPr>
    </w:p>
    <w:p>
      <w:pPr>
        <w:rPr>
          <w:highlight w:val="none"/>
        </w:rPr>
      </w:pPr>
    </w:p>
    <w:p>
      <w:pPr>
        <w:pStyle w:val="16"/>
        <w:adjustRightInd w:val="0"/>
        <w:snapToGrid w:val="0"/>
        <w:spacing w:line="400" w:lineRule="exact"/>
        <w:rPr>
          <w:rFonts w:ascii="Times New Roman" w:hAnsi="宋体"/>
          <w:sz w:val="22"/>
          <w:szCs w:val="22"/>
          <w:highlight w:val="none"/>
        </w:rPr>
      </w:pPr>
      <w:r>
        <w:rPr>
          <w:rFonts w:ascii="Times New Roman" w:hAnsi="宋体"/>
          <w:sz w:val="22"/>
          <w:szCs w:val="22"/>
          <w:highlight w:val="none"/>
        </w:rPr>
        <w:t xml:space="preserve"> </w:t>
      </w:r>
    </w:p>
    <w:p>
      <w:pPr>
        <w:autoSpaceDE w:val="0"/>
        <w:autoSpaceDN w:val="0"/>
        <w:adjustRightInd w:val="0"/>
        <w:snapToGrid w:val="0"/>
        <w:spacing w:line="360" w:lineRule="atLeast"/>
        <w:jc w:val="center"/>
        <w:textAlignment w:val="bottom"/>
        <w:rPr>
          <w:rFonts w:hAnsi="宋体" w:cs="宋体"/>
          <w:b/>
          <w:bCs/>
          <w:sz w:val="24"/>
          <w:highlight w:val="none"/>
        </w:rPr>
      </w:pPr>
      <w:r>
        <w:rPr>
          <w:rFonts w:hAnsi="宋体"/>
          <w:b/>
          <w:bCs/>
          <w:sz w:val="24"/>
          <w:highlight w:val="none"/>
        </w:rPr>
        <w:t xml:space="preserve"> </w:t>
      </w:r>
    </w:p>
    <w:p>
      <w:pPr>
        <w:widowControl/>
        <w:jc w:val="left"/>
        <w:rPr>
          <w:rFonts w:ascii="宋体" w:hAnsi="宋体"/>
          <w:b/>
          <w:bCs/>
          <w:sz w:val="32"/>
          <w:szCs w:val="32"/>
          <w:highlight w:val="none"/>
        </w:rPr>
        <w:sectPr>
          <w:headerReference r:id="rId11" w:type="default"/>
          <w:footerReference r:id="rId12" w:type="default"/>
          <w:pgSz w:w="11907" w:h="16840"/>
          <w:pgMar w:top="1440" w:right="1106" w:bottom="1440" w:left="1157" w:header="720" w:footer="720" w:gutter="0"/>
          <w:cols w:space="720" w:num="1"/>
          <w:docGrid w:type="lines" w:linePitch="312" w:charSpace="0"/>
        </w:sectPr>
      </w:pPr>
    </w:p>
    <w:p>
      <w:pPr>
        <w:spacing w:line="440" w:lineRule="exact"/>
        <w:jc w:val="left"/>
        <w:rPr>
          <w:rFonts w:ascii="宋体" w:hAnsi="宋体" w:eastAsia="宋体"/>
          <w:b/>
          <w:bCs/>
          <w:sz w:val="32"/>
          <w:szCs w:val="32"/>
          <w:highlight w:val="none"/>
        </w:rPr>
      </w:pPr>
      <w:r>
        <w:rPr>
          <w:rFonts w:hint="eastAsia" w:ascii="宋体" w:hAnsi="宋体"/>
          <w:b/>
          <w:bCs/>
          <w:sz w:val="32"/>
          <w:szCs w:val="32"/>
          <w:highlight w:val="none"/>
        </w:rPr>
        <w:t>附件十二</w:t>
      </w:r>
    </w:p>
    <w:p>
      <w:pPr>
        <w:spacing w:line="440" w:lineRule="exact"/>
        <w:jc w:val="center"/>
        <w:rPr>
          <w:rFonts w:ascii="宋体" w:hAnsi="宋体"/>
          <w:b/>
          <w:bCs/>
          <w:sz w:val="32"/>
          <w:szCs w:val="32"/>
          <w:highlight w:val="none"/>
        </w:rPr>
      </w:pPr>
      <w:r>
        <w:rPr>
          <w:rFonts w:hint="eastAsia" w:ascii="宋体" w:hAnsi="宋体"/>
          <w:b/>
          <w:bCs/>
          <w:sz w:val="32"/>
          <w:szCs w:val="32"/>
          <w:highlight w:val="none"/>
        </w:rPr>
        <w:t>评分对应表（参考）</w:t>
      </w:r>
      <w:r>
        <w:rPr>
          <w:rFonts w:hint="eastAsia" w:ascii="宋体" w:hAnsi="宋体"/>
          <w:b/>
          <w:bCs/>
          <w:szCs w:val="21"/>
          <w:highlight w:val="none"/>
        </w:rPr>
        <w:t>置于目录处</w:t>
      </w:r>
    </w:p>
    <w:p>
      <w:pPr>
        <w:spacing w:line="440" w:lineRule="exact"/>
        <w:ind w:firstLine="360"/>
        <w:jc w:val="right"/>
        <w:rPr>
          <w:rFonts w:ascii="宋体" w:hAnsi="宋体"/>
          <w:b/>
          <w:bCs/>
          <w:sz w:val="24"/>
          <w:highlight w:val="none"/>
        </w:rPr>
      </w:pPr>
      <w:r>
        <w:rPr>
          <w:rFonts w:hint="eastAsia" w:ascii="宋体" w:hAnsi="宋体"/>
          <w:b/>
          <w:bCs/>
          <w:sz w:val="24"/>
          <w:highlight w:val="none"/>
        </w:rPr>
        <w:t xml:space="preserve">                                  </w:t>
      </w:r>
    </w:p>
    <w:p>
      <w:pPr>
        <w:spacing w:line="440" w:lineRule="exact"/>
        <w:rPr>
          <w:rFonts w:ascii="宋体" w:hAnsi="宋体"/>
          <w:b/>
          <w:bCs/>
          <w:sz w:val="24"/>
          <w:highlight w:val="none"/>
        </w:rPr>
      </w:pPr>
      <w:r>
        <w:rPr>
          <w:rFonts w:hint="eastAsia" w:ascii="宋体" w:hAnsi="宋体"/>
          <w:b/>
          <w:bCs/>
          <w:sz w:val="24"/>
          <w:highlight w:val="none"/>
        </w:rPr>
        <w:t>供应商名称：                                     项目编号：</w:t>
      </w:r>
    </w:p>
    <w:tbl>
      <w:tblPr>
        <w:tblStyle w:val="29"/>
        <w:tblW w:w="10801" w:type="dxa"/>
        <w:jc w:val="center"/>
        <w:tblLayout w:type="fixed"/>
        <w:tblCellMar>
          <w:top w:w="0" w:type="dxa"/>
          <w:left w:w="108" w:type="dxa"/>
          <w:bottom w:w="0" w:type="dxa"/>
          <w:right w:w="108" w:type="dxa"/>
        </w:tblCellMar>
      </w:tblPr>
      <w:tblGrid>
        <w:gridCol w:w="832"/>
        <w:gridCol w:w="1828"/>
        <w:gridCol w:w="4052"/>
        <w:gridCol w:w="1511"/>
        <w:gridCol w:w="2578"/>
      </w:tblGrid>
      <w:tr>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序号</w:t>
            </w:r>
          </w:p>
        </w:tc>
        <w:tc>
          <w:tcPr>
            <w:tcW w:w="1828" w:type="dxa"/>
            <w:tcBorders>
              <w:top w:val="single" w:color="000000" w:sz="4" w:space="0"/>
              <w:left w:val="nil"/>
              <w:bottom w:val="single" w:color="000000" w:sz="4" w:space="0"/>
              <w:right w:val="single" w:color="000000" w:sz="4" w:space="0"/>
            </w:tcBorders>
            <w:vAlign w:val="center"/>
          </w:tcPr>
          <w:p>
            <w:pPr>
              <w:pStyle w:val="24"/>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评审内容</w:t>
            </w:r>
          </w:p>
        </w:tc>
        <w:tc>
          <w:tcPr>
            <w:tcW w:w="4052" w:type="dxa"/>
            <w:tcBorders>
              <w:top w:val="single" w:color="000000" w:sz="4" w:space="0"/>
              <w:left w:val="nil"/>
              <w:bottom w:val="single" w:color="000000" w:sz="4" w:space="0"/>
              <w:right w:val="single" w:color="000000" w:sz="4" w:space="0"/>
            </w:tcBorders>
            <w:vAlign w:val="center"/>
          </w:tcPr>
          <w:p>
            <w:pPr>
              <w:pStyle w:val="24"/>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评分标准</w:t>
            </w:r>
          </w:p>
        </w:tc>
        <w:tc>
          <w:tcPr>
            <w:tcW w:w="1511" w:type="dxa"/>
            <w:tcBorders>
              <w:top w:val="single" w:color="000000" w:sz="4" w:space="0"/>
              <w:left w:val="nil"/>
              <w:bottom w:val="single" w:color="000000" w:sz="4" w:space="0"/>
              <w:right w:val="single" w:color="000000" w:sz="4" w:space="0"/>
            </w:tcBorders>
            <w:vAlign w:val="center"/>
          </w:tcPr>
          <w:p>
            <w:pPr>
              <w:pStyle w:val="24"/>
              <w:ind w:firstLine="0" w:firstLineChars="0"/>
              <w:jc w:val="center"/>
              <w:rPr>
                <w:rFonts w:ascii="宋体" w:hAnsi="宋体"/>
                <w:b/>
                <w:bCs/>
                <w:color w:val="auto"/>
                <w:sz w:val="22"/>
                <w:szCs w:val="22"/>
                <w:highlight w:val="none"/>
              </w:rPr>
            </w:pPr>
            <w:r>
              <w:rPr>
                <w:rFonts w:hint="eastAsia" w:ascii="宋体" w:hAnsi="宋体"/>
                <w:b/>
                <w:bCs/>
                <w:color w:val="auto"/>
                <w:sz w:val="22"/>
                <w:szCs w:val="22"/>
                <w:highlight w:val="none"/>
              </w:rPr>
              <w:t>自评分</w:t>
            </w:r>
          </w:p>
        </w:tc>
        <w:tc>
          <w:tcPr>
            <w:tcW w:w="2578" w:type="dxa"/>
            <w:tcBorders>
              <w:top w:val="single" w:color="000000" w:sz="4" w:space="0"/>
              <w:left w:val="nil"/>
              <w:bottom w:val="single" w:color="000000" w:sz="4" w:space="0"/>
              <w:right w:val="single" w:color="000000" w:sz="4" w:space="0"/>
            </w:tcBorders>
            <w:vAlign w:val="center"/>
          </w:tcPr>
          <w:p>
            <w:pPr>
              <w:pStyle w:val="24"/>
              <w:ind w:firstLine="0" w:firstLineChars="0"/>
              <w:jc w:val="center"/>
              <w:rPr>
                <w:rFonts w:ascii="宋体" w:hAnsi="宋体"/>
                <w:b/>
                <w:bCs/>
                <w:color w:val="auto"/>
                <w:sz w:val="22"/>
                <w:szCs w:val="22"/>
                <w:highlight w:val="none"/>
              </w:rPr>
            </w:pPr>
            <w:r>
              <w:rPr>
                <w:rFonts w:ascii="宋体" w:hAnsi="宋体"/>
                <w:b/>
                <w:bCs/>
                <w:color w:val="auto"/>
                <w:sz w:val="22"/>
                <w:szCs w:val="22"/>
                <w:highlight w:val="none"/>
              </w:rPr>
              <w:t>页码</w:t>
            </w:r>
          </w:p>
        </w:tc>
      </w:tr>
      <w:tr>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ascii="宋体" w:hAnsi="宋体"/>
                <w:color w:val="auto"/>
                <w:sz w:val="22"/>
                <w:szCs w:val="22"/>
                <w:highlight w:val="none"/>
              </w:rPr>
            </w:pPr>
            <w:r>
              <w:rPr>
                <w:rFonts w:ascii="宋体" w:hAnsi="宋体"/>
                <w:color w:val="auto"/>
                <w:sz w:val="22"/>
                <w:szCs w:val="22"/>
                <w:highlight w:val="none"/>
              </w:rPr>
              <w:t>一</w:t>
            </w:r>
          </w:p>
        </w:tc>
        <w:tc>
          <w:tcPr>
            <w:tcW w:w="1828" w:type="dxa"/>
            <w:tcBorders>
              <w:top w:val="single" w:color="000000" w:sz="4" w:space="0"/>
              <w:left w:val="nil"/>
              <w:bottom w:val="single" w:color="000000" w:sz="4" w:space="0"/>
              <w:right w:val="single" w:color="000000" w:sz="4" w:space="0"/>
            </w:tcBorders>
            <w:vAlign w:val="center"/>
          </w:tcPr>
          <w:p>
            <w:pPr>
              <w:pStyle w:val="24"/>
              <w:ind w:firstLine="0" w:firstLineChars="0"/>
              <w:jc w:val="center"/>
              <w:rPr>
                <w:rFonts w:ascii="宋体" w:hAnsi="宋体"/>
                <w:color w:val="auto"/>
                <w:sz w:val="22"/>
                <w:szCs w:val="22"/>
                <w:highlight w:val="none"/>
              </w:rPr>
            </w:pPr>
            <w:r>
              <w:rPr>
                <w:rFonts w:ascii="宋体" w:hAnsi="宋体"/>
                <w:color w:val="auto"/>
                <w:sz w:val="22"/>
                <w:szCs w:val="22"/>
                <w:highlight w:val="none"/>
              </w:rPr>
              <w:t>技术分</w:t>
            </w:r>
          </w:p>
        </w:tc>
        <w:tc>
          <w:tcPr>
            <w:tcW w:w="4052"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pStyle w:val="24"/>
              <w:ind w:firstLine="0" w:firstLineChars="0"/>
              <w:jc w:val="center"/>
              <w:rPr>
                <w:rFonts w:ascii="宋体" w:hAnsi="宋体"/>
                <w:color w:val="auto"/>
                <w:sz w:val="22"/>
                <w:szCs w:val="22"/>
                <w:highlight w:val="none"/>
              </w:rPr>
            </w:pPr>
            <w:r>
              <w:rPr>
                <w:rFonts w:ascii="宋体" w:hAnsi="宋体"/>
                <w:color w:val="auto"/>
                <w:sz w:val="22"/>
                <w:highlight w:val="none"/>
              </w:rPr>
              <w:t>详见</w:t>
            </w:r>
            <w:r>
              <w:rPr>
                <w:rFonts w:hint="eastAsia" w:ascii="宋体" w:hAnsi="宋体"/>
                <w:color w:val="auto"/>
                <w:sz w:val="22"/>
                <w:highlight w:val="none"/>
              </w:rPr>
              <w:t>投标</w:t>
            </w:r>
            <w:r>
              <w:rPr>
                <w:rFonts w:ascii="宋体" w:hAnsi="宋体"/>
                <w:color w:val="auto"/>
                <w:sz w:val="22"/>
                <w:highlight w:val="none"/>
              </w:rPr>
              <w:t>文件第几页</w:t>
            </w:r>
          </w:p>
        </w:tc>
      </w:tr>
      <w:tr>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r>
              <w:rPr>
                <w:rFonts w:ascii="宋体" w:hAnsi="宋体"/>
                <w:sz w:val="22"/>
                <w:highlight w:val="none"/>
              </w:rPr>
              <w:t>1</w:t>
            </w: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highlight w:val="none"/>
              </w:rPr>
            </w:pPr>
          </w:p>
        </w:tc>
        <w:tc>
          <w:tcPr>
            <w:tcW w:w="4052" w:type="dxa"/>
            <w:tcBorders>
              <w:top w:val="single" w:color="000000" w:sz="4" w:space="0"/>
              <w:left w:val="nil"/>
              <w:bottom w:val="nil"/>
              <w:right w:val="single" w:color="000000" w:sz="4" w:space="0"/>
            </w:tcBorders>
            <w:vAlign w:val="center"/>
          </w:tcPr>
          <w:p>
            <w:pPr>
              <w:pStyle w:val="24"/>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pPr>
              <w:pStyle w:val="24"/>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pPr>
              <w:jc w:val="center"/>
              <w:rPr>
                <w:rFonts w:ascii="宋体" w:hAnsi="宋体"/>
                <w:sz w:val="22"/>
                <w:highlight w:val="none"/>
              </w:rPr>
            </w:pPr>
            <w:r>
              <w:rPr>
                <w:rFonts w:ascii="宋体" w:hAnsi="宋体"/>
                <w:sz w:val="22"/>
                <w:highlight w:val="none"/>
              </w:rPr>
              <w:t>……</w:t>
            </w:r>
          </w:p>
        </w:tc>
      </w:tr>
      <w:tr>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r>
              <w:rPr>
                <w:rFonts w:ascii="宋体" w:hAnsi="宋体"/>
                <w:sz w:val="22"/>
                <w:highlight w:val="none"/>
              </w:rPr>
              <w:t>2</w:t>
            </w: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highlight w:val="none"/>
              </w:rPr>
            </w:pPr>
          </w:p>
        </w:tc>
        <w:tc>
          <w:tcPr>
            <w:tcW w:w="4052" w:type="dxa"/>
            <w:tcBorders>
              <w:top w:val="single" w:color="000000" w:sz="4" w:space="0"/>
              <w:left w:val="nil"/>
              <w:bottom w:val="nil"/>
              <w:right w:val="single" w:color="000000" w:sz="4" w:space="0"/>
            </w:tcBorders>
            <w:vAlign w:val="center"/>
          </w:tcPr>
          <w:p>
            <w:pPr>
              <w:pStyle w:val="24"/>
              <w:ind w:firstLine="480"/>
              <w:jc w:val="center"/>
              <w:rPr>
                <w:color w:val="auto"/>
                <w:highlight w:val="none"/>
              </w:rPr>
            </w:pPr>
          </w:p>
        </w:tc>
        <w:tc>
          <w:tcPr>
            <w:tcW w:w="1511" w:type="dxa"/>
            <w:tcBorders>
              <w:top w:val="single" w:color="000000" w:sz="4" w:space="0"/>
              <w:left w:val="nil"/>
              <w:bottom w:val="nil"/>
              <w:right w:val="single" w:color="000000" w:sz="4" w:space="0"/>
            </w:tcBorders>
            <w:vAlign w:val="center"/>
          </w:tcPr>
          <w:p>
            <w:pPr>
              <w:pStyle w:val="24"/>
              <w:ind w:firstLine="480"/>
              <w:jc w:val="center"/>
              <w:rPr>
                <w:color w:val="auto"/>
                <w:highlight w:val="none"/>
              </w:rPr>
            </w:pPr>
          </w:p>
        </w:tc>
        <w:tc>
          <w:tcPr>
            <w:tcW w:w="2578" w:type="dxa"/>
            <w:tcBorders>
              <w:top w:val="single" w:color="000000" w:sz="4" w:space="0"/>
              <w:left w:val="nil"/>
              <w:bottom w:val="nil"/>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r>
              <w:rPr>
                <w:rFonts w:ascii="宋体" w:hAnsi="宋体"/>
                <w:sz w:val="22"/>
                <w:highlight w:val="none"/>
              </w:rPr>
              <w:t>……</w:t>
            </w:r>
          </w:p>
        </w:tc>
        <w:tc>
          <w:tcPr>
            <w:tcW w:w="1828" w:type="dxa"/>
            <w:tcBorders>
              <w:top w:val="nil"/>
              <w:left w:val="nil"/>
              <w:bottom w:val="single" w:color="000000" w:sz="4" w:space="0"/>
              <w:right w:val="single" w:color="000000" w:sz="4" w:space="0"/>
            </w:tcBorders>
            <w:vAlign w:val="center"/>
          </w:tcPr>
          <w:p>
            <w:pPr>
              <w:widowControl/>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p>
        </w:tc>
        <w:tc>
          <w:tcPr>
            <w:tcW w:w="182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2"/>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2"/>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sz w:val="24"/>
                <w:highlight w:val="none"/>
              </w:rPr>
            </w:pPr>
          </w:p>
        </w:tc>
        <w:tc>
          <w:tcPr>
            <w:tcW w:w="1828" w:type="dxa"/>
            <w:tcBorders>
              <w:top w:val="nil"/>
              <w:left w:val="nil"/>
              <w:bottom w:val="single" w:color="000000" w:sz="4" w:space="0"/>
              <w:right w:val="single" w:color="000000" w:sz="4" w:space="0"/>
            </w:tcBorders>
            <w:vAlign w:val="center"/>
          </w:tcPr>
          <w:p>
            <w:pPr>
              <w:widowControl/>
              <w:jc w:val="center"/>
              <w:rPr>
                <w:rFonts w:ascii="宋体" w:hAnsi="宋体" w:cs="宋体"/>
                <w:sz w:val="24"/>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sz w:val="24"/>
                <w:highlight w:val="none"/>
              </w:rPr>
            </w:pPr>
          </w:p>
        </w:tc>
        <w:tc>
          <w:tcPr>
            <w:tcW w:w="1828" w:type="dxa"/>
            <w:tcBorders>
              <w:top w:val="nil"/>
              <w:left w:val="nil"/>
              <w:bottom w:val="single" w:color="000000" w:sz="4" w:space="0"/>
              <w:right w:val="single" w:color="000000" w:sz="4" w:space="0"/>
            </w:tcBorders>
            <w:vAlign w:val="center"/>
          </w:tcPr>
          <w:p>
            <w:pPr>
              <w:jc w:val="center"/>
              <w:rPr>
                <w:rFonts w:ascii="宋体" w:hAnsi="宋体" w:cs="宋体"/>
                <w:sz w:val="24"/>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r>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z w:val="24"/>
                <w:highlight w:val="none"/>
              </w:rPr>
            </w:pPr>
          </w:p>
        </w:tc>
        <w:tc>
          <w:tcPr>
            <w:tcW w:w="1828"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highlight w:val="none"/>
              </w:rPr>
            </w:pPr>
          </w:p>
        </w:tc>
        <w:tc>
          <w:tcPr>
            <w:tcW w:w="4052"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1511" w:type="dxa"/>
            <w:tcBorders>
              <w:top w:val="single" w:color="000000" w:sz="4" w:space="0"/>
              <w:left w:val="nil"/>
              <w:bottom w:val="single" w:color="000000" w:sz="4" w:space="0"/>
              <w:right w:val="single" w:color="000000" w:sz="4" w:space="0"/>
            </w:tcBorders>
            <w:vAlign w:val="center"/>
          </w:tcPr>
          <w:p>
            <w:pPr>
              <w:pStyle w:val="24"/>
              <w:ind w:firstLine="480"/>
              <w:jc w:val="center"/>
              <w:rPr>
                <w:color w:val="auto"/>
                <w:highlight w:val="none"/>
              </w:rPr>
            </w:pPr>
          </w:p>
        </w:tc>
        <w:tc>
          <w:tcPr>
            <w:tcW w:w="2578" w:type="dxa"/>
            <w:tcBorders>
              <w:top w:val="single" w:color="000000" w:sz="4" w:space="0"/>
              <w:left w:val="nil"/>
              <w:bottom w:val="single" w:color="000000" w:sz="4" w:space="0"/>
              <w:right w:val="single" w:color="000000" w:sz="4" w:space="0"/>
            </w:tcBorders>
            <w:vAlign w:val="center"/>
          </w:tcPr>
          <w:p>
            <w:pPr>
              <w:jc w:val="center"/>
              <w:rPr>
                <w:highlight w:val="none"/>
              </w:rPr>
            </w:pPr>
          </w:p>
        </w:tc>
      </w:tr>
    </w:tbl>
    <w:p>
      <w:pPr>
        <w:spacing w:before="50" w:after="50"/>
        <w:ind w:firstLine="600"/>
        <w:rPr>
          <w:rFonts w:ascii="宋体" w:hAnsi="宋体"/>
          <w:b/>
          <w:bCs/>
          <w:sz w:val="24"/>
          <w:highlight w:val="none"/>
        </w:rPr>
      </w:pPr>
      <w:r>
        <w:rPr>
          <w:rFonts w:hint="eastAsia" w:ascii="宋体" w:hAnsi="宋体"/>
          <w:b/>
          <w:bCs/>
          <w:sz w:val="24"/>
          <w:highlight w:val="none"/>
        </w:rPr>
        <w:t>注：评分对应表主要用于作为专家评分的一个参考及查阅依据。</w:t>
      </w:r>
    </w:p>
    <w:p>
      <w:pPr>
        <w:tabs>
          <w:tab w:val="left" w:pos="1080"/>
        </w:tabs>
        <w:autoSpaceDE w:val="0"/>
        <w:autoSpaceDN w:val="0"/>
        <w:adjustRightInd w:val="0"/>
        <w:spacing w:line="500" w:lineRule="atLeast"/>
        <w:jc w:val="center"/>
        <w:textAlignment w:val="baseline"/>
        <w:rPr>
          <w:rFonts w:ascii="宋体"/>
          <w:b/>
          <w:bCs/>
          <w:sz w:val="36"/>
          <w:szCs w:val="36"/>
          <w:highlight w:val="none"/>
          <w:lang w:val="zh-CN"/>
        </w:rPr>
      </w:pPr>
      <w:r>
        <w:rPr>
          <w:rFonts w:hint="eastAsia" w:ascii="宋体" w:hAnsi="Calibri"/>
          <w:b/>
          <w:bCs/>
          <w:sz w:val="36"/>
          <w:szCs w:val="36"/>
          <w:highlight w:val="none"/>
          <w:lang w:val="zh-CN"/>
        </w:rPr>
        <w:br w:type="page"/>
      </w:r>
      <w:r>
        <w:rPr>
          <w:rFonts w:hint="eastAsia" w:ascii="宋体"/>
          <w:b/>
          <w:bCs/>
          <w:sz w:val="36"/>
          <w:szCs w:val="36"/>
          <w:highlight w:val="none"/>
          <w:lang w:val="zh-CN"/>
        </w:rPr>
        <w:t>第七部分   评标办法</w:t>
      </w:r>
    </w:p>
    <w:p>
      <w:pPr>
        <w:adjustRightInd w:val="0"/>
        <w:snapToGrid w:val="0"/>
        <w:spacing w:line="400" w:lineRule="exact"/>
        <w:ind w:firstLine="420"/>
        <w:rPr>
          <w:rFonts w:ascii="宋体" w:hAnsi="宋体"/>
          <w:sz w:val="22"/>
          <w:szCs w:val="22"/>
          <w:highlight w:val="none"/>
        </w:rPr>
      </w:pPr>
      <w:r>
        <w:rPr>
          <w:rFonts w:hint="eastAsia" w:ascii="宋体" w:hAnsi="宋体"/>
          <w:sz w:val="22"/>
          <w:szCs w:val="22"/>
          <w:highlight w:val="none"/>
        </w:rPr>
        <w:t>根据《中华人民共和国政府采购法》等有关政府采购法规，结合本次所要采购服务的实际，按照公平、公正、科学、择优的原则选择成交单位，特制定本评标办法。</w:t>
      </w:r>
    </w:p>
    <w:p>
      <w:pPr>
        <w:adjustRightInd w:val="0"/>
        <w:snapToGrid w:val="0"/>
        <w:spacing w:line="400" w:lineRule="exact"/>
        <w:jc w:val="center"/>
        <w:rPr>
          <w:rFonts w:ascii="宋体" w:hAnsi="宋体"/>
          <w:b/>
          <w:sz w:val="22"/>
          <w:szCs w:val="22"/>
          <w:highlight w:val="none"/>
        </w:rPr>
      </w:pPr>
      <w:r>
        <w:rPr>
          <w:rFonts w:hint="eastAsia" w:ascii="宋体" w:hAnsi="宋体"/>
          <w:b/>
          <w:sz w:val="22"/>
          <w:szCs w:val="22"/>
          <w:highlight w:val="none"/>
        </w:rPr>
        <w:t>一、总则</w:t>
      </w:r>
    </w:p>
    <w:p>
      <w:pPr>
        <w:adjustRightInd w:val="0"/>
        <w:snapToGrid w:val="0"/>
        <w:spacing w:line="400" w:lineRule="exact"/>
        <w:ind w:firstLine="420"/>
        <w:rPr>
          <w:rFonts w:ascii="宋体" w:hAnsi="宋体"/>
          <w:sz w:val="22"/>
          <w:szCs w:val="22"/>
          <w:highlight w:val="none"/>
        </w:rPr>
      </w:pPr>
      <w:r>
        <w:rPr>
          <w:rFonts w:hint="eastAsia" w:ascii="宋体" w:hAnsi="宋体" w:eastAsia="宋体" w:cs="Times New Roman"/>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响应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响应文件将被拒绝</w:t>
      </w:r>
      <w:r>
        <w:rPr>
          <w:rFonts w:hint="eastAsia" w:ascii="宋体" w:hAnsi="宋体"/>
          <w:sz w:val="22"/>
          <w:szCs w:val="22"/>
          <w:highlight w:val="none"/>
        </w:rPr>
        <w:t>。</w:t>
      </w:r>
    </w:p>
    <w:p>
      <w:pPr>
        <w:adjustRightInd w:val="0"/>
        <w:snapToGrid w:val="0"/>
        <w:spacing w:line="400" w:lineRule="exact"/>
        <w:jc w:val="center"/>
        <w:rPr>
          <w:rFonts w:ascii="宋体" w:hAnsi="宋体"/>
          <w:b/>
          <w:sz w:val="22"/>
          <w:szCs w:val="22"/>
          <w:highlight w:val="none"/>
        </w:rPr>
      </w:pPr>
      <w:r>
        <w:rPr>
          <w:rFonts w:hint="eastAsia" w:ascii="宋体" w:hAnsi="宋体"/>
          <w:b/>
          <w:sz w:val="22"/>
          <w:szCs w:val="22"/>
          <w:highlight w:val="none"/>
        </w:rPr>
        <w:t>二、评审组织</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评审工作由采购单位依法组建的竞争性磋商小组负责，竞争性磋商小组由采购单位代表以及评审专家库中随机抽取的有关技术、经济专家共同组成。评</w:t>
      </w:r>
      <w:r>
        <w:rPr>
          <w:rFonts w:ascii="宋体" w:hAnsi="宋体" w:eastAsia="宋体" w:cs="Times New Roman"/>
          <w:sz w:val="22"/>
          <w:szCs w:val="22"/>
          <w:highlight w:val="none"/>
        </w:rPr>
        <w:t>标</w:t>
      </w:r>
      <w:r>
        <w:rPr>
          <w:rFonts w:hint="eastAsia" w:ascii="宋体" w:hAnsi="宋体" w:eastAsia="宋体" w:cs="Times New Roman"/>
          <w:sz w:val="22"/>
          <w:szCs w:val="22"/>
          <w:highlight w:val="none"/>
        </w:rPr>
        <w:t>全过程由采购管理部门全程监督</w:t>
      </w:r>
      <w:r>
        <w:rPr>
          <w:rFonts w:ascii="宋体" w:hAnsi="宋体" w:eastAsia="宋体" w:cs="Times New Roman"/>
          <w:sz w:val="22"/>
          <w:szCs w:val="22"/>
          <w:highlight w:val="none"/>
        </w:rPr>
        <w:t>整个开标、评标和定标过程。</w:t>
      </w:r>
    </w:p>
    <w:p>
      <w:pPr>
        <w:adjustRightInd w:val="0"/>
        <w:snapToGrid w:val="0"/>
        <w:spacing w:line="400" w:lineRule="exact"/>
        <w:jc w:val="center"/>
        <w:rPr>
          <w:rFonts w:ascii="宋体" w:hAnsi="宋体"/>
          <w:b/>
          <w:sz w:val="22"/>
          <w:szCs w:val="22"/>
          <w:highlight w:val="none"/>
        </w:rPr>
      </w:pPr>
      <w:r>
        <w:rPr>
          <w:rFonts w:hint="eastAsia" w:ascii="宋体" w:hAnsi="宋体"/>
          <w:b/>
          <w:sz w:val="22"/>
          <w:szCs w:val="22"/>
          <w:highlight w:val="none"/>
        </w:rPr>
        <w:t>三、</w:t>
      </w:r>
      <w:r>
        <w:rPr>
          <w:rFonts w:hint="eastAsia" w:ascii="宋体" w:hAnsi="宋体" w:eastAsia="宋体" w:cs="Times New Roman"/>
          <w:b/>
          <w:sz w:val="22"/>
          <w:szCs w:val="22"/>
          <w:highlight w:val="none"/>
        </w:rPr>
        <w:t>响应文件递交截止、磋商程序、磋商原则和方式</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1、</w:t>
      </w:r>
      <w:r>
        <w:rPr>
          <w:rFonts w:hint="eastAsia" w:ascii="宋体"/>
          <w:sz w:val="22"/>
          <w:highlight w:val="none"/>
        </w:rPr>
        <w:t>开标准备</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1.1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1.2若磋商供应商在规定时间内无法解密或解密失败，</w:t>
      </w:r>
      <w:r>
        <w:rPr>
          <w:rFonts w:hint="eastAsia" w:ascii="宋体" w:hAnsi="宋体"/>
          <w:kern w:val="0"/>
          <w:sz w:val="22"/>
          <w:highlight w:val="none"/>
        </w:rPr>
        <w:t>投标无效。</w:t>
      </w:r>
      <w:r>
        <w:rPr>
          <w:rFonts w:hint="eastAsia" w:ascii="宋体" w:hAnsi="宋体" w:eastAsia="宋体" w:cs="Times New Roman"/>
          <w:sz w:val="22"/>
          <w:szCs w:val="22"/>
          <w:highlight w:val="none"/>
        </w:rPr>
        <w:t>。</w:t>
      </w:r>
    </w:p>
    <w:p>
      <w:pPr>
        <w:adjustRightInd w:val="0"/>
        <w:snapToGrid w:val="0"/>
        <w:spacing w:line="400" w:lineRule="exact"/>
        <w:ind w:firstLine="420"/>
        <w:rPr>
          <w:highlight w:val="none"/>
        </w:rPr>
      </w:pPr>
      <w:r>
        <w:rPr>
          <w:rFonts w:hint="eastAsia" w:ascii="宋体" w:hAnsi="宋体" w:eastAsia="宋体" w:cs="Times New Roman"/>
          <w:sz w:val="22"/>
          <w:szCs w:val="22"/>
          <w:highlight w:val="none"/>
        </w:rPr>
        <w:t>1.3所有二次报价询标流程，均在线上完成，请各供应商务必不要离开电脑太久，并留意手机短信。（请提前检查“政采云”内，关于‘项目采购’的岗位权限是否已勾选上。如有问题，请致电400-881-7190）。</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2、电子招投标开标及评审程序</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2.2投标文件解密结束，开启响应文件，磋商小组对资格和商务技术响应文件进行评审；</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2.3供应商按签到的前后顺序决定磋商的顺序，就价格、服务等认为需要磋商的内容进行磋商，供应商逐家回答磋商小组的提问，响应人作出最终承诺和最终报价。</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2.4在系统上公开资格和商务技术评审结果；</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2.5在系统上录入最终报价情况；</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2.6磋商小组对报价情况进行评审；</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2.7在系统上公布评审结果。</w:t>
      </w:r>
    </w:p>
    <w:p>
      <w:pPr>
        <w:adjustRightInd w:val="0"/>
        <w:snapToGrid w:val="0"/>
        <w:spacing w:line="400" w:lineRule="exact"/>
        <w:ind w:firstLine="420"/>
        <w:rPr>
          <w:rFonts w:ascii="宋体" w:hAnsi="宋体" w:eastAsia="宋体" w:cs="Times New Roman"/>
          <w:b/>
          <w:bCs/>
          <w:sz w:val="22"/>
          <w:szCs w:val="22"/>
          <w:highlight w:val="none"/>
        </w:rPr>
      </w:pPr>
      <w:r>
        <w:rPr>
          <w:rFonts w:hint="eastAsia" w:ascii="宋体" w:hAnsi="宋体" w:eastAsia="宋体" w:cs="Times New Roman"/>
          <w:b/>
          <w:bCs/>
          <w:sz w:val="22"/>
          <w:szCs w:val="22"/>
          <w:highlight w:val="none"/>
        </w:rPr>
        <w:t>特别说明：政采云公司如对电子化开标及评审程序有调整的，按调整后的程序操作。</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3、本次采购是根据竞争性磋商采购方式进行，各供应商第一次报价不公开。</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3.1如竞争性磋商小组认为竞争性磋商文件能够详细列明采购标的的技术、服务要求的，评审结束后，竞争性磋商小组可以直接对供应商进行打分评价。</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单位代表确认。</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3.3对竞争性磋商文件作出的实质性变动是竞争性磋商文件的有效组成部分，竞争性磋商小组应当及时以书面形式同时通知所有参加磋商的供应商。</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3.4供应商应当按照竞争性磋商文件的变动情况和竞争性磋商小组的要求重新提交响应文件，并由其法定代表人或授权代表签字或者加盖公章。由授权代表签字的，应当附法定代表人授权书。</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4、评审原则和方法</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4.1竞争性磋商小组负责审查响应文件是否符合竞争性磋商文件的要求，并作出评价。竞争性磋商小组认为必要时，可向供应商进行质疑。竞争性磋商小组有权决定全部或部分供应商响应文件无效。</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4.2竞争性磋商小组将综合分析合格供应商的各项指标，而不是以单项指标的优劣评选出成交的供应商。</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4.3经磋商确定最终采购需求和提交最后报价的供应商后，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4.4本次评审采用综合评分法，竞争性磋商小组根据竞争性磋商文件制定的评审办法对供应商进行评审排序，将综合得分第一名的供应商向采购单位推荐其为成交供应商。</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5、响应文件的澄清</w:t>
      </w:r>
    </w:p>
    <w:p>
      <w:pPr>
        <w:adjustRightInd w:val="0"/>
        <w:snapToGrid w:val="0"/>
        <w:spacing w:line="400" w:lineRule="exact"/>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5.1、为有利于对响应文件的比较和评议，必要时采购单位可要求供应商对响应文件进行澄清，并作出书面答复。书面答复须有供应商授权代表签字并作为响应文件内容的一部分。</w:t>
      </w:r>
    </w:p>
    <w:p>
      <w:pPr>
        <w:adjustRightInd w:val="0"/>
        <w:snapToGrid w:val="0"/>
        <w:spacing w:line="400" w:lineRule="exact"/>
        <w:jc w:val="center"/>
        <w:rPr>
          <w:rFonts w:ascii="宋体" w:hAnsi="宋体"/>
          <w:sz w:val="22"/>
          <w:szCs w:val="22"/>
          <w:highlight w:val="none"/>
        </w:rPr>
      </w:pPr>
      <w:r>
        <w:rPr>
          <w:rFonts w:hint="eastAsia" w:ascii="宋体" w:hAnsi="宋体"/>
          <w:b/>
          <w:sz w:val="22"/>
          <w:szCs w:val="22"/>
          <w:highlight w:val="none"/>
        </w:rPr>
        <w:t>四、评审细则</w:t>
      </w:r>
    </w:p>
    <w:p>
      <w:pPr>
        <w:adjustRightInd w:val="0"/>
        <w:snapToGrid w:val="0"/>
        <w:spacing w:line="400" w:lineRule="exact"/>
        <w:rPr>
          <w:rFonts w:ascii="宋体" w:hAnsi="宋体"/>
          <w:sz w:val="22"/>
          <w:szCs w:val="22"/>
          <w:highlight w:val="none"/>
        </w:rPr>
      </w:pPr>
      <w:r>
        <w:rPr>
          <w:rFonts w:hint="eastAsia" w:ascii="宋体" w:hAnsi="宋体"/>
          <w:sz w:val="22"/>
          <w:szCs w:val="22"/>
          <w:highlight w:val="none"/>
        </w:rPr>
        <w:t>（一）商务报价评分（30分）</w:t>
      </w:r>
    </w:p>
    <w:p>
      <w:pPr>
        <w:pStyle w:val="16"/>
        <w:adjustRightInd w:val="0"/>
        <w:snapToGrid w:val="0"/>
        <w:spacing w:line="420" w:lineRule="exact"/>
        <w:ind w:firstLine="440" w:firstLineChars="200"/>
        <w:rPr>
          <w:rFonts w:hAnsi="宋体"/>
          <w:sz w:val="22"/>
          <w:szCs w:val="22"/>
          <w:highlight w:val="none"/>
        </w:rPr>
      </w:pPr>
      <w:r>
        <w:rPr>
          <w:rFonts w:hint="eastAsia" w:hAnsi="宋体" w:cs="Arial"/>
          <w:kern w:val="0"/>
          <w:sz w:val="22"/>
          <w:highlight w:val="none"/>
        </w:rPr>
        <w:t>1、</w:t>
      </w:r>
      <w:r>
        <w:rPr>
          <w:rFonts w:hint="eastAsia" w:hAnsi="宋体" w:eastAsia="宋体" w:cs="Arial"/>
          <w:kern w:val="0"/>
          <w:sz w:val="22"/>
          <w:highlight w:val="none"/>
        </w:rPr>
        <w:t>以满足竞争性磋商文件要求且最后报价最低的有效供应商的价格为磋商基准价，得满分</w:t>
      </w:r>
      <w:r>
        <w:rPr>
          <w:rFonts w:hint="eastAsia" w:hAnsi="宋体"/>
          <w:sz w:val="22"/>
          <w:szCs w:val="22"/>
          <w:highlight w:val="none"/>
        </w:rPr>
        <w:t>为30分；商</w:t>
      </w:r>
      <w:r>
        <w:rPr>
          <w:rFonts w:hint="eastAsia" w:hAnsi="宋体" w:eastAsia="宋体" w:cs="Arial"/>
          <w:kern w:val="0"/>
          <w:sz w:val="22"/>
          <w:highlight w:val="none"/>
        </w:rPr>
        <w:t>务报价评分结算公式为：</w:t>
      </w:r>
    </w:p>
    <w:p>
      <w:pPr>
        <w:adjustRightInd w:val="0"/>
        <w:snapToGrid w:val="0"/>
        <w:spacing w:line="400" w:lineRule="exact"/>
        <w:ind w:firstLine="420"/>
        <w:rPr>
          <w:rFonts w:ascii="宋体" w:hAnsi="宋体" w:eastAsia="宋体" w:cs="Arial"/>
          <w:kern w:val="0"/>
          <w:sz w:val="22"/>
          <w:highlight w:val="none"/>
        </w:rPr>
      </w:pPr>
      <w:r>
        <w:rPr>
          <w:rFonts w:hint="eastAsia" w:ascii="宋体" w:hAnsi="宋体" w:eastAsia="宋体" w:cs="Arial"/>
          <w:kern w:val="0"/>
          <w:sz w:val="22"/>
          <w:highlight w:val="none"/>
        </w:rPr>
        <w:t>磋商报价得分=（磋商基准价/最后磋商报价</w:t>
      </w:r>
      <w:r>
        <w:rPr>
          <w:rFonts w:hint="eastAsia" w:ascii="宋体" w:hAnsi="宋体"/>
          <w:sz w:val="22"/>
          <w:szCs w:val="22"/>
          <w:highlight w:val="none"/>
        </w:rPr>
        <w:t>）×30%×10</w:t>
      </w:r>
      <w:r>
        <w:rPr>
          <w:rFonts w:hint="eastAsia" w:ascii="宋体" w:hAnsi="宋体" w:eastAsia="宋体" w:cs="Arial"/>
          <w:kern w:val="0"/>
          <w:sz w:val="22"/>
          <w:highlight w:val="none"/>
        </w:rPr>
        <w:t>0。</w:t>
      </w:r>
    </w:p>
    <w:p>
      <w:pPr>
        <w:adjustRightInd w:val="0"/>
        <w:snapToGrid w:val="0"/>
        <w:spacing w:line="400" w:lineRule="exact"/>
        <w:ind w:firstLine="420"/>
        <w:rPr>
          <w:rFonts w:ascii="宋体" w:hAnsi="宋体"/>
          <w:sz w:val="22"/>
          <w:highlight w:val="none"/>
        </w:rPr>
      </w:pPr>
      <w:r>
        <w:rPr>
          <w:rFonts w:hint="eastAsia" w:ascii="宋体" w:hAnsi="宋体"/>
          <w:sz w:val="22"/>
          <w:highlight w:val="none"/>
        </w:rPr>
        <w:t>2、如果投标供应商的报价均超出采购预算（最高限价）且采购单位确认不能支付的情况，</w:t>
      </w:r>
    </w:p>
    <w:p>
      <w:pPr>
        <w:adjustRightInd w:val="0"/>
        <w:snapToGrid w:val="0"/>
        <w:spacing w:line="400" w:lineRule="exact"/>
        <w:rPr>
          <w:rFonts w:ascii="宋体" w:hAnsi="宋体"/>
          <w:sz w:val="22"/>
          <w:highlight w:val="none"/>
        </w:rPr>
      </w:pPr>
      <w:r>
        <w:rPr>
          <w:rFonts w:hint="eastAsia" w:ascii="宋体" w:hAnsi="宋体"/>
          <w:sz w:val="22"/>
          <w:highlight w:val="none"/>
        </w:rPr>
        <w:t>本次招标做流（废）标处理。如果仅仅某些（个）投标供应商投标报价超出预算（最高限价）的，则拒绝接受其投标报价，该投标供应商投标按无效投标处理。</w:t>
      </w:r>
    </w:p>
    <w:p>
      <w:pPr>
        <w:pStyle w:val="16"/>
        <w:adjustRightInd w:val="0"/>
        <w:snapToGrid w:val="0"/>
        <w:spacing w:line="420" w:lineRule="exact"/>
        <w:ind w:firstLine="440" w:firstLineChars="200"/>
        <w:rPr>
          <w:rFonts w:hint="eastAsia" w:ascii="宋体" w:hAnsi="宋体"/>
          <w:sz w:val="22"/>
          <w:szCs w:val="22"/>
          <w:highlight w:val="none"/>
        </w:rPr>
      </w:pPr>
      <w:r>
        <w:rPr>
          <w:rFonts w:hint="eastAsia" w:ascii="宋体" w:hAnsi="宋体" w:eastAsia="宋体" w:cs="Arial"/>
          <w:kern w:val="0"/>
          <w:sz w:val="22"/>
          <w:highlight w:val="none"/>
          <w:lang w:val="en-US" w:eastAsia="zh-CN"/>
        </w:rPr>
        <w:t>3、本项目根据《政府采购促进中小企业发展暂行办法》（财库﹝2020﹞46 号）财政部、司法部《关于政府采购支持监狱企业发展有关问题的通知》（财库〔2014〕68号）</w:t>
      </w:r>
      <w:r>
        <w:rPr>
          <w:rFonts w:hint="eastAsia"/>
          <w:color w:val="auto"/>
          <w:sz w:val="22"/>
          <w:szCs w:val="22"/>
          <w:highlight w:val="none"/>
        </w:rPr>
        <w:t>《关于进一步加大政府采购支持中小企业力度的通知》（财库〔2022〕19号）；《浙江省财政厅关于进一步发挥政府采购政策 功能全力推动经济稳进提质的通知》（浙财采监〔2022〕3号）；的规定</w:t>
      </w:r>
      <w:r>
        <w:rPr>
          <w:rFonts w:hint="eastAsia" w:ascii="宋体" w:hAnsi="宋体" w:eastAsia="宋体" w:cs="Arial"/>
          <w:kern w:val="0"/>
          <w:sz w:val="22"/>
          <w:highlight w:val="none"/>
          <w:lang w:val="en-US" w:eastAsia="zh-CN"/>
        </w:rPr>
        <w:t>等相关规定：对小微企业（含监狱企业、残疾人福利性单位）投标产品给予10%的评标价格扣除。（说明：标价格折扣计算以元人民币为单位，保留两位小数，第三位四舍五入进位。 ）</w:t>
      </w:r>
    </w:p>
    <w:p>
      <w:pPr>
        <w:adjustRightInd w:val="0"/>
        <w:snapToGrid w:val="0"/>
        <w:spacing w:line="400" w:lineRule="exact"/>
        <w:rPr>
          <w:rFonts w:ascii="宋体" w:hAnsi="宋体"/>
          <w:sz w:val="22"/>
          <w:szCs w:val="22"/>
          <w:highlight w:val="none"/>
        </w:rPr>
      </w:pPr>
      <w:r>
        <w:rPr>
          <w:rFonts w:hint="eastAsia" w:ascii="宋体" w:hAnsi="宋体"/>
          <w:sz w:val="22"/>
          <w:szCs w:val="22"/>
          <w:highlight w:val="none"/>
        </w:rPr>
        <w:t>（二）技术资信分评分（70分）</w:t>
      </w:r>
    </w:p>
    <w:p>
      <w:pPr>
        <w:widowControl/>
        <w:spacing w:line="400" w:lineRule="exact"/>
        <w:ind w:firstLine="440"/>
        <w:rPr>
          <w:highlight w:val="none"/>
        </w:rPr>
      </w:pPr>
      <w:r>
        <w:rPr>
          <w:rFonts w:hint="eastAsia" w:ascii="宋体" w:hAnsi="宋体" w:cs="Arial"/>
          <w:kern w:val="0"/>
          <w:sz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2位）。</w:t>
      </w:r>
    </w:p>
    <w:tbl>
      <w:tblPr>
        <w:tblStyle w:val="29"/>
        <w:tblW w:w="96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661"/>
        <w:gridCol w:w="6278"/>
        <w:gridCol w:w="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769" w:type="dxa"/>
            <w:vAlign w:val="center"/>
          </w:tcPr>
          <w:p>
            <w:pPr>
              <w:jc w:val="center"/>
              <w:rPr>
                <w:rFonts w:ascii="宋体" w:hAnsi="宋体" w:eastAsia="宋体" w:cs="宋体"/>
                <w:sz w:val="22"/>
                <w:szCs w:val="22"/>
                <w:highlight w:val="none"/>
              </w:rPr>
            </w:pPr>
            <w:bookmarkStart w:id="57" w:name="_Hlk519086023"/>
            <w:r>
              <w:rPr>
                <w:rFonts w:hint="eastAsia" w:ascii="宋体" w:hAnsi="宋体" w:eastAsia="宋体" w:cs="宋体"/>
                <w:sz w:val="22"/>
                <w:szCs w:val="22"/>
                <w:highlight w:val="none"/>
              </w:rPr>
              <w:t>序号</w:t>
            </w:r>
          </w:p>
        </w:tc>
        <w:tc>
          <w:tcPr>
            <w:tcW w:w="1661"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评分项目</w:t>
            </w:r>
          </w:p>
        </w:tc>
        <w:tc>
          <w:tcPr>
            <w:tcW w:w="6278" w:type="dxa"/>
            <w:vAlign w:val="center"/>
          </w:tcPr>
          <w:p>
            <w:pPr>
              <w:ind w:hanging="498"/>
              <w:jc w:val="center"/>
              <w:rPr>
                <w:rFonts w:ascii="宋体" w:hAnsi="宋体" w:eastAsia="宋体" w:cs="宋体"/>
                <w:sz w:val="22"/>
                <w:szCs w:val="22"/>
                <w:highlight w:val="none"/>
              </w:rPr>
            </w:pPr>
            <w:r>
              <w:rPr>
                <w:rFonts w:hint="eastAsia" w:ascii="宋体" w:hAnsi="宋体" w:eastAsia="宋体" w:cs="宋体"/>
                <w:sz w:val="22"/>
                <w:szCs w:val="22"/>
                <w:highlight w:val="none"/>
              </w:rPr>
              <w:t>评审细则</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769" w:type="dxa"/>
            <w:vMerge w:val="restart"/>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1</w:t>
            </w:r>
          </w:p>
        </w:tc>
        <w:tc>
          <w:tcPr>
            <w:tcW w:w="1661" w:type="dxa"/>
            <w:vMerge w:val="restart"/>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综合实力</w:t>
            </w:r>
          </w:p>
        </w:tc>
        <w:tc>
          <w:tcPr>
            <w:tcW w:w="6278" w:type="dxa"/>
            <w:vAlign w:val="center"/>
          </w:tcPr>
          <w:p>
            <w:pPr>
              <w:rPr>
                <w:rFonts w:ascii="宋体" w:hAnsi="宋体" w:eastAsia="宋体" w:cs="宋体"/>
                <w:sz w:val="22"/>
                <w:szCs w:val="22"/>
                <w:highlight w:val="none"/>
              </w:rPr>
            </w:pPr>
            <w:r>
              <w:rPr>
                <w:rFonts w:hint="eastAsia" w:ascii="宋体" w:hAnsi="宋体" w:eastAsia="宋体" w:cs="宋体"/>
                <w:sz w:val="22"/>
                <w:szCs w:val="22"/>
                <w:highlight w:val="none"/>
              </w:rPr>
              <w:t>1、具有ISO9001质量管理体系认证且在有效期内的得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769" w:type="dxa"/>
            <w:vMerge w:val="continue"/>
            <w:vAlign w:val="center"/>
          </w:tcPr>
          <w:p>
            <w:pPr>
              <w:jc w:val="center"/>
              <w:rPr>
                <w:rFonts w:ascii="宋体" w:hAnsi="宋体" w:eastAsia="宋体" w:cs="宋体"/>
                <w:sz w:val="22"/>
                <w:szCs w:val="22"/>
                <w:highlight w:val="none"/>
              </w:rPr>
            </w:pPr>
          </w:p>
        </w:tc>
        <w:tc>
          <w:tcPr>
            <w:tcW w:w="1661" w:type="dxa"/>
            <w:vMerge w:val="continue"/>
            <w:vAlign w:val="center"/>
          </w:tcPr>
          <w:p>
            <w:pPr>
              <w:jc w:val="center"/>
              <w:rPr>
                <w:rFonts w:ascii="宋体" w:hAnsi="宋体" w:eastAsia="宋体" w:cs="宋体"/>
                <w:sz w:val="22"/>
                <w:szCs w:val="22"/>
                <w:highlight w:val="none"/>
              </w:rPr>
            </w:pPr>
          </w:p>
        </w:tc>
        <w:tc>
          <w:tcPr>
            <w:tcW w:w="6278" w:type="dxa"/>
            <w:vAlign w:val="center"/>
          </w:tcPr>
          <w:p>
            <w:pPr>
              <w:rPr>
                <w:rFonts w:ascii="宋体" w:hAnsi="宋体" w:eastAsia="宋体" w:cs="宋体"/>
                <w:b/>
                <w:sz w:val="22"/>
                <w:szCs w:val="22"/>
                <w:highlight w:val="none"/>
              </w:rPr>
            </w:pPr>
            <w:r>
              <w:rPr>
                <w:rFonts w:hint="eastAsia" w:ascii="宋体" w:hAnsi="宋体" w:eastAsia="宋体" w:cs="宋体"/>
                <w:sz w:val="22"/>
                <w:szCs w:val="22"/>
                <w:highlight w:val="none"/>
              </w:rPr>
              <w:t>2、根据浙江省交通运输厅公布的有效期内最新一年的公路水运工程试验检测信用评价结果进行打分，AA级及以上的得</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分，A级的得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分，其他信用级别不得分，附评价结果相关复印件或打印件，否则不得分。</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769" w:type="dxa"/>
            <w:vMerge w:val="continue"/>
            <w:vAlign w:val="center"/>
          </w:tcPr>
          <w:p>
            <w:pPr>
              <w:jc w:val="center"/>
              <w:rPr>
                <w:rFonts w:ascii="宋体" w:hAnsi="宋体" w:eastAsia="宋体" w:cs="宋体"/>
                <w:sz w:val="22"/>
                <w:szCs w:val="22"/>
                <w:highlight w:val="none"/>
              </w:rPr>
            </w:pPr>
          </w:p>
        </w:tc>
        <w:tc>
          <w:tcPr>
            <w:tcW w:w="1661" w:type="dxa"/>
            <w:vMerge w:val="continue"/>
            <w:vAlign w:val="center"/>
          </w:tcPr>
          <w:p>
            <w:pPr>
              <w:jc w:val="center"/>
              <w:rPr>
                <w:rFonts w:ascii="宋体" w:hAnsi="宋体" w:eastAsia="宋体" w:cs="宋体"/>
                <w:sz w:val="22"/>
                <w:szCs w:val="22"/>
                <w:highlight w:val="none"/>
              </w:rPr>
            </w:pPr>
          </w:p>
        </w:tc>
        <w:tc>
          <w:tcPr>
            <w:tcW w:w="7263" w:type="dxa"/>
            <w:gridSpan w:val="2"/>
            <w:vAlign w:val="center"/>
          </w:tcPr>
          <w:p>
            <w:pPr>
              <w:jc w:val="left"/>
              <w:rPr>
                <w:rFonts w:ascii="宋体" w:hAnsi="宋体" w:eastAsia="宋体" w:cs="宋体"/>
                <w:sz w:val="22"/>
                <w:szCs w:val="22"/>
                <w:highlight w:val="none"/>
              </w:rPr>
            </w:pPr>
            <w:r>
              <w:rPr>
                <w:rFonts w:hint="eastAsia" w:ascii="宋体" w:hAnsi="宋体" w:eastAsia="宋体" w:cs="宋体"/>
                <w:b/>
                <w:bCs/>
                <w:sz w:val="22"/>
                <w:szCs w:val="22"/>
                <w:highlight w:val="none"/>
              </w:rPr>
              <w:t>注：</w:t>
            </w:r>
            <w:r>
              <w:rPr>
                <w:rFonts w:hint="eastAsia" w:ascii="宋体" w:hAnsi="宋体" w:eastAsia="宋体" w:cs="宋体"/>
                <w:b/>
                <w:sz w:val="22"/>
                <w:szCs w:val="22"/>
                <w:highlight w:val="none"/>
              </w:rPr>
              <w:t>以上资料需提供向相关证明材料加盖公章，</w:t>
            </w:r>
            <w:r>
              <w:rPr>
                <w:rFonts w:hint="eastAsia" w:ascii="宋体" w:hAnsi="宋体" w:eastAsia="宋体" w:cs="宋体"/>
                <w:b/>
                <w:sz w:val="22"/>
                <w:szCs w:val="22"/>
                <w:highlight w:val="none"/>
                <w:lang w:eastAsia="zh-CN"/>
              </w:rPr>
              <w:t>未</w:t>
            </w:r>
            <w:r>
              <w:rPr>
                <w:rFonts w:hint="eastAsia" w:ascii="宋体" w:hAnsi="宋体" w:eastAsia="宋体" w:cs="宋体"/>
                <w:b/>
                <w:sz w:val="22"/>
                <w:szCs w:val="22"/>
                <w:highlight w:val="none"/>
              </w:rPr>
              <w:t>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769" w:type="dxa"/>
            <w:vMerge w:val="restart"/>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2</w:t>
            </w:r>
          </w:p>
        </w:tc>
        <w:tc>
          <w:tcPr>
            <w:tcW w:w="1661" w:type="dxa"/>
            <w:vMerge w:val="restart"/>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人员配置</w:t>
            </w:r>
          </w:p>
        </w:tc>
        <w:tc>
          <w:tcPr>
            <w:tcW w:w="6278" w:type="dxa"/>
            <w:vAlign w:val="center"/>
          </w:tcPr>
          <w:p>
            <w:pPr>
              <w:rPr>
                <w:rFonts w:ascii="宋体" w:hAnsi="宋体" w:eastAsia="宋体" w:cs="宋体"/>
                <w:sz w:val="22"/>
                <w:szCs w:val="22"/>
                <w:highlight w:val="none"/>
              </w:rPr>
            </w:pPr>
            <w:r>
              <w:rPr>
                <w:rFonts w:hint="eastAsia" w:ascii="宋体" w:hAnsi="宋体" w:eastAsia="宋体" w:cs="宋体"/>
                <w:sz w:val="22"/>
                <w:szCs w:val="22"/>
                <w:highlight w:val="none"/>
              </w:rPr>
              <w:t>1、在满足竞争性磋商文件的要求下，项目负责人担任过类似项目（包含桥梁及路况检测）的项目负责人的每个业绩得1分。同一服务续签合同（续签服务期必须满一年及以上）的，按同等有效业绩计算。本项最高得4分。</w:t>
            </w:r>
          </w:p>
          <w:p>
            <w:pPr>
              <w:rPr>
                <w:rFonts w:ascii="宋体" w:hAnsi="宋体" w:eastAsia="宋体" w:cs="宋体"/>
                <w:sz w:val="22"/>
                <w:szCs w:val="22"/>
                <w:highlight w:val="none"/>
              </w:rPr>
            </w:pPr>
            <w:r>
              <w:rPr>
                <w:rFonts w:hint="eastAsia" w:ascii="宋体" w:hAnsi="宋体" w:eastAsia="宋体" w:cs="宋体"/>
                <w:b/>
                <w:bCs/>
                <w:sz w:val="22"/>
                <w:szCs w:val="22"/>
                <w:highlight w:val="none"/>
              </w:rPr>
              <w:t>注：</w:t>
            </w:r>
            <w:r>
              <w:rPr>
                <w:rFonts w:hint="eastAsia" w:ascii="宋体" w:hAnsi="宋体" w:eastAsia="宋体" w:cs="宋体"/>
                <w:b/>
                <w:sz w:val="22"/>
                <w:szCs w:val="22"/>
                <w:highlight w:val="none"/>
              </w:rPr>
              <w:t>在合同（或中标通知书）中需体现名字和任职，如合同（或中标通知书）未体现名字和任职，则需提供采购单位出具的能体现名字和任职的业绩证明材料。未提供或不符合要求的不得分。</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769" w:type="dxa"/>
            <w:vMerge w:val="continue"/>
            <w:vAlign w:val="center"/>
          </w:tcPr>
          <w:p>
            <w:pPr>
              <w:jc w:val="center"/>
              <w:rPr>
                <w:rFonts w:ascii="宋体" w:hAnsi="宋体" w:eastAsia="宋体" w:cs="宋体"/>
                <w:sz w:val="22"/>
                <w:szCs w:val="22"/>
                <w:highlight w:val="none"/>
              </w:rPr>
            </w:pPr>
          </w:p>
        </w:tc>
        <w:tc>
          <w:tcPr>
            <w:tcW w:w="1661" w:type="dxa"/>
            <w:vMerge w:val="continue"/>
            <w:vAlign w:val="center"/>
          </w:tcPr>
          <w:p>
            <w:pPr>
              <w:jc w:val="center"/>
              <w:rPr>
                <w:rFonts w:ascii="宋体" w:hAnsi="宋体" w:eastAsia="宋体" w:cs="宋体"/>
                <w:sz w:val="22"/>
                <w:szCs w:val="22"/>
                <w:highlight w:val="none"/>
              </w:rPr>
            </w:pPr>
          </w:p>
        </w:tc>
        <w:tc>
          <w:tcPr>
            <w:tcW w:w="6278" w:type="dxa"/>
            <w:vAlign w:val="center"/>
          </w:tcPr>
          <w:p>
            <w:pPr>
              <w:rPr>
                <w:rFonts w:ascii="宋体" w:hAnsi="宋体" w:eastAsia="宋体" w:cs="宋体"/>
                <w:sz w:val="22"/>
                <w:szCs w:val="22"/>
                <w:highlight w:val="none"/>
              </w:rPr>
            </w:pPr>
            <w:r>
              <w:rPr>
                <w:rFonts w:hint="eastAsia" w:ascii="宋体" w:hAnsi="宋体" w:eastAsia="宋体" w:cs="宋体"/>
                <w:sz w:val="22"/>
                <w:szCs w:val="22"/>
                <w:highlight w:val="none"/>
              </w:rPr>
              <w:t>2、在满足竞争性磋商文件的要求下，每增加一名符合竞争性磋商文件要求的检测人员加</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分，最多得4分。</w:t>
            </w:r>
          </w:p>
          <w:p>
            <w:pPr>
              <w:rPr>
                <w:rFonts w:ascii="宋体" w:hAnsi="宋体" w:eastAsia="宋体" w:cs="宋体"/>
                <w:sz w:val="22"/>
                <w:szCs w:val="22"/>
                <w:highlight w:val="none"/>
              </w:rPr>
            </w:pPr>
            <w:r>
              <w:rPr>
                <w:rFonts w:hint="eastAsia" w:ascii="宋体" w:hAnsi="宋体" w:eastAsia="宋体" w:cs="宋体"/>
                <w:b/>
                <w:bCs/>
                <w:sz w:val="22"/>
                <w:szCs w:val="22"/>
                <w:highlight w:val="none"/>
              </w:rPr>
              <w:t>注：</w:t>
            </w:r>
            <w:r>
              <w:rPr>
                <w:rFonts w:hint="eastAsia" w:ascii="宋体" w:hAnsi="宋体" w:eastAsia="宋体" w:cs="宋体"/>
                <w:b/>
                <w:sz w:val="22"/>
                <w:szCs w:val="22"/>
                <w:highlight w:val="none"/>
              </w:rPr>
              <w:t>需提供相关证书复印件加盖公章，不提供不得分。</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69" w:type="dxa"/>
            <w:vMerge w:val="restart"/>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3</w:t>
            </w:r>
          </w:p>
        </w:tc>
        <w:tc>
          <w:tcPr>
            <w:tcW w:w="1661" w:type="dxa"/>
            <w:vMerge w:val="restart"/>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拟投入的设备配备情况</w:t>
            </w:r>
          </w:p>
        </w:tc>
        <w:tc>
          <w:tcPr>
            <w:tcW w:w="6278" w:type="dxa"/>
            <w:vAlign w:val="center"/>
          </w:tcPr>
          <w:p>
            <w:pPr>
              <w:rPr>
                <w:rFonts w:ascii="宋体" w:hAnsi="宋体" w:eastAsia="宋体" w:cs="宋体"/>
                <w:sz w:val="22"/>
                <w:szCs w:val="22"/>
                <w:highlight w:val="none"/>
              </w:rPr>
            </w:pPr>
            <w:r>
              <w:rPr>
                <w:rFonts w:hint="eastAsia" w:ascii="宋体" w:hAnsi="宋体" w:eastAsia="宋体" w:cs="宋体"/>
                <w:sz w:val="22"/>
                <w:szCs w:val="22"/>
                <w:highlight w:val="none"/>
              </w:rPr>
              <w:t>1、供应商所承诺的投入该项目的多功能路况快速检测设备在满足竞争性磋商文件的要求下（1台）每增加1台得3分，最多得12分。</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769" w:type="dxa"/>
            <w:vMerge w:val="continue"/>
            <w:vAlign w:val="center"/>
          </w:tcPr>
          <w:p>
            <w:pPr>
              <w:jc w:val="center"/>
              <w:rPr>
                <w:rFonts w:ascii="宋体" w:hAnsi="宋体" w:eastAsia="宋体" w:cs="宋体"/>
                <w:sz w:val="22"/>
                <w:szCs w:val="22"/>
                <w:highlight w:val="none"/>
              </w:rPr>
            </w:pPr>
          </w:p>
        </w:tc>
        <w:tc>
          <w:tcPr>
            <w:tcW w:w="1661" w:type="dxa"/>
            <w:vMerge w:val="continue"/>
            <w:vAlign w:val="center"/>
          </w:tcPr>
          <w:p>
            <w:pPr>
              <w:jc w:val="center"/>
              <w:rPr>
                <w:rFonts w:ascii="宋体" w:hAnsi="宋体" w:eastAsia="宋体" w:cs="宋体"/>
                <w:sz w:val="22"/>
                <w:szCs w:val="22"/>
                <w:highlight w:val="none"/>
              </w:rPr>
            </w:pPr>
          </w:p>
        </w:tc>
        <w:tc>
          <w:tcPr>
            <w:tcW w:w="6278" w:type="dxa"/>
            <w:vAlign w:val="center"/>
          </w:tcPr>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、供应商所承诺的投入该项目的安全保障用车（2台）在满足竞争性磋商文件的要求下每增加1台得2分，最多得</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769" w:type="dxa"/>
            <w:vMerge w:val="continue"/>
            <w:vAlign w:val="center"/>
          </w:tcPr>
          <w:p>
            <w:pPr>
              <w:jc w:val="center"/>
              <w:rPr>
                <w:rFonts w:ascii="宋体" w:hAnsi="宋体" w:eastAsia="宋体" w:cs="宋体"/>
                <w:sz w:val="22"/>
                <w:szCs w:val="22"/>
                <w:highlight w:val="none"/>
              </w:rPr>
            </w:pPr>
          </w:p>
        </w:tc>
        <w:tc>
          <w:tcPr>
            <w:tcW w:w="1661" w:type="dxa"/>
            <w:vMerge w:val="continue"/>
            <w:vAlign w:val="center"/>
          </w:tcPr>
          <w:p>
            <w:pPr>
              <w:jc w:val="center"/>
              <w:rPr>
                <w:rFonts w:ascii="宋体" w:hAnsi="宋体" w:eastAsia="宋体" w:cs="宋体"/>
                <w:sz w:val="22"/>
                <w:szCs w:val="22"/>
                <w:highlight w:val="none"/>
              </w:rPr>
            </w:pPr>
          </w:p>
        </w:tc>
        <w:tc>
          <w:tcPr>
            <w:tcW w:w="7263" w:type="dxa"/>
            <w:gridSpan w:val="2"/>
            <w:vAlign w:val="center"/>
          </w:tcPr>
          <w:p>
            <w:pPr>
              <w:jc w:val="left"/>
              <w:rPr>
                <w:rFonts w:ascii="宋体" w:hAnsi="宋体" w:eastAsia="宋体" w:cs="宋体"/>
                <w:b/>
                <w:sz w:val="22"/>
                <w:szCs w:val="22"/>
                <w:highlight w:val="none"/>
              </w:rPr>
            </w:pPr>
            <w:r>
              <w:rPr>
                <w:rFonts w:hint="eastAsia" w:ascii="宋体" w:hAnsi="宋体" w:eastAsia="宋体" w:cs="宋体"/>
                <w:b/>
                <w:sz w:val="22"/>
                <w:szCs w:val="22"/>
                <w:highlight w:val="none"/>
              </w:rPr>
              <w:t>注：以上设备需提供相关证明材料复印件加盖公章，否则不得分。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769"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4</w:t>
            </w:r>
          </w:p>
        </w:tc>
        <w:tc>
          <w:tcPr>
            <w:tcW w:w="1661"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业绩</w:t>
            </w:r>
          </w:p>
        </w:tc>
        <w:tc>
          <w:tcPr>
            <w:tcW w:w="6278" w:type="dxa"/>
            <w:vAlign w:val="center"/>
          </w:tcPr>
          <w:p>
            <w:pPr>
              <w:rPr>
                <w:rFonts w:ascii="宋体" w:hAnsi="宋体" w:eastAsia="宋体" w:cs="宋体"/>
                <w:sz w:val="22"/>
                <w:szCs w:val="22"/>
                <w:highlight w:val="none"/>
              </w:rPr>
            </w:pPr>
            <w:r>
              <w:rPr>
                <w:rFonts w:hint="eastAsia" w:ascii="宋体" w:hAnsi="宋体" w:eastAsia="宋体" w:cs="宋体"/>
                <w:sz w:val="22"/>
                <w:szCs w:val="22"/>
                <w:highlight w:val="none"/>
              </w:rPr>
              <w:t>承担过类似项目（包含路况检测及桥梁检测）业绩，每个得1分，最高得</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分。同一服务续签合同（续签服务期必须满一年及以上）的，按同等有效业绩计算。</w:t>
            </w:r>
          </w:p>
          <w:p>
            <w:pPr>
              <w:rPr>
                <w:rFonts w:ascii="宋体" w:hAnsi="宋体" w:eastAsia="宋体" w:cs="宋体"/>
                <w:sz w:val="22"/>
                <w:szCs w:val="22"/>
                <w:highlight w:val="none"/>
              </w:rPr>
            </w:pPr>
            <w:r>
              <w:rPr>
                <w:rFonts w:hint="eastAsia" w:ascii="宋体" w:hAnsi="宋体" w:eastAsia="宋体" w:cs="宋体"/>
                <w:b/>
                <w:sz w:val="22"/>
                <w:szCs w:val="22"/>
                <w:highlight w:val="none"/>
              </w:rPr>
              <w:t>注：需提供同时具有桥梁和路况项目的合同协议书（或委托书）、中标通知书（如有），否则不得分。</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jc w:val="center"/>
        </w:trPr>
        <w:tc>
          <w:tcPr>
            <w:tcW w:w="769"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5</w:t>
            </w:r>
          </w:p>
        </w:tc>
        <w:tc>
          <w:tcPr>
            <w:tcW w:w="1661"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对项目特点、重点、难点理解</w:t>
            </w:r>
          </w:p>
        </w:tc>
        <w:tc>
          <w:tcPr>
            <w:tcW w:w="6278" w:type="dxa"/>
            <w:vAlign w:val="center"/>
          </w:tcPr>
          <w:p>
            <w:pPr>
              <w:widowControl/>
              <w:rPr>
                <w:rFonts w:ascii="宋体" w:hAnsi="宋体" w:eastAsia="宋体" w:cs="宋体"/>
                <w:sz w:val="22"/>
                <w:szCs w:val="22"/>
                <w:highlight w:val="none"/>
              </w:rPr>
            </w:pPr>
            <w:r>
              <w:rPr>
                <w:rFonts w:hint="eastAsia" w:ascii="宋体" w:hAnsi="宋体" w:eastAsia="宋体" w:cs="宋体"/>
                <w:sz w:val="22"/>
                <w:szCs w:val="22"/>
                <w:highlight w:val="none"/>
              </w:rPr>
              <w:t>根据供应商所提供的响应文件中对本项目的特点、重点、难点理解及关键技术对策措施情况进行打分：</w:t>
            </w:r>
          </w:p>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对本项目的特点、重点、难点理解情况透彻得8分；</w:t>
            </w:r>
          </w:p>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对本项目的特点、重点、难点理解情况较为透彻得5分；</w:t>
            </w:r>
          </w:p>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对本项目的特点、重点、难点理解情况不透彻得3分。</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769"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6</w:t>
            </w:r>
          </w:p>
        </w:tc>
        <w:tc>
          <w:tcPr>
            <w:tcW w:w="1661"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对项目关键节点、技术采取的对策措施</w:t>
            </w:r>
          </w:p>
        </w:tc>
        <w:tc>
          <w:tcPr>
            <w:tcW w:w="6278" w:type="dxa"/>
            <w:vAlign w:val="center"/>
          </w:tcPr>
          <w:p>
            <w:pPr>
              <w:widowControl/>
              <w:rPr>
                <w:rFonts w:ascii="宋体" w:hAnsi="宋体" w:eastAsia="宋体" w:cs="宋体"/>
                <w:sz w:val="22"/>
                <w:szCs w:val="22"/>
                <w:highlight w:val="none"/>
              </w:rPr>
            </w:pPr>
            <w:r>
              <w:rPr>
                <w:rFonts w:hint="eastAsia" w:ascii="宋体" w:hAnsi="宋体" w:eastAsia="宋体" w:cs="宋体"/>
                <w:sz w:val="22"/>
                <w:szCs w:val="22"/>
                <w:highlight w:val="none"/>
              </w:rPr>
              <w:t>根据供应商所提供的响应文件中对本项目的关键节点、技术采取的对策措施进行分档打分：</w:t>
            </w:r>
          </w:p>
          <w:p>
            <w:pPr>
              <w:widowControl/>
              <w:rPr>
                <w:rFonts w:ascii="宋体" w:hAnsi="宋体" w:eastAsia="宋体" w:cs="宋体"/>
                <w:sz w:val="22"/>
                <w:szCs w:val="22"/>
                <w:highlight w:val="none"/>
              </w:rPr>
            </w:pPr>
            <w:r>
              <w:rPr>
                <w:rFonts w:hint="eastAsia" w:ascii="宋体" w:hAnsi="宋体" w:eastAsia="宋体" w:cs="宋体"/>
                <w:sz w:val="22"/>
                <w:szCs w:val="22"/>
                <w:highlight w:val="none"/>
              </w:rPr>
              <w:t>对本项目的关键节点、技术采取的对策措施得当得6分；</w:t>
            </w:r>
          </w:p>
          <w:p>
            <w:pPr>
              <w:widowControl/>
              <w:rPr>
                <w:rFonts w:ascii="宋体" w:hAnsi="宋体" w:eastAsia="宋体" w:cs="宋体"/>
                <w:sz w:val="22"/>
                <w:szCs w:val="22"/>
                <w:highlight w:val="none"/>
              </w:rPr>
            </w:pPr>
            <w:r>
              <w:rPr>
                <w:rFonts w:hint="eastAsia" w:ascii="宋体" w:hAnsi="宋体" w:eastAsia="宋体" w:cs="宋体"/>
                <w:sz w:val="22"/>
                <w:szCs w:val="22"/>
                <w:highlight w:val="none"/>
              </w:rPr>
              <w:t>对本项目的关键节点、技术采取的对策措施较为得当得4分；</w:t>
            </w:r>
          </w:p>
          <w:p>
            <w:pPr>
              <w:widowControl/>
              <w:rPr>
                <w:rFonts w:ascii="宋体" w:hAnsi="宋体" w:eastAsia="宋体" w:cs="宋体"/>
                <w:sz w:val="22"/>
                <w:szCs w:val="22"/>
                <w:highlight w:val="none"/>
              </w:rPr>
            </w:pPr>
            <w:r>
              <w:rPr>
                <w:rFonts w:hint="eastAsia" w:ascii="宋体" w:hAnsi="宋体" w:eastAsia="宋体" w:cs="宋体"/>
                <w:sz w:val="22"/>
                <w:szCs w:val="22"/>
                <w:highlight w:val="none"/>
              </w:rPr>
              <w:t>对本项目的关键节点、技术采取的对策措施不得当得2分。</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atLeast"/>
          <w:jc w:val="center"/>
        </w:trPr>
        <w:tc>
          <w:tcPr>
            <w:tcW w:w="769"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7</w:t>
            </w:r>
          </w:p>
        </w:tc>
        <w:tc>
          <w:tcPr>
            <w:tcW w:w="1661"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项目组织机构及工作进度计划</w:t>
            </w:r>
          </w:p>
        </w:tc>
        <w:tc>
          <w:tcPr>
            <w:tcW w:w="6278" w:type="dxa"/>
            <w:vAlign w:val="center"/>
          </w:tcPr>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根据供应商所提供的响应文件中的项目组织机构及工作进度计划进行打分：</w:t>
            </w:r>
          </w:p>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项目组织机构及进度安排合理、科学的得6分；</w:t>
            </w:r>
          </w:p>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项目组织机构及进度安排较为合理、科学的得4分；</w:t>
            </w:r>
          </w:p>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项目组织机构及进度安排不合理、科学的得2分。</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jc w:val="center"/>
        </w:trPr>
        <w:tc>
          <w:tcPr>
            <w:tcW w:w="769"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8</w:t>
            </w:r>
          </w:p>
        </w:tc>
        <w:tc>
          <w:tcPr>
            <w:tcW w:w="1661"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外业检测期间交通组织安全管理及应急预案</w:t>
            </w:r>
          </w:p>
        </w:tc>
        <w:tc>
          <w:tcPr>
            <w:tcW w:w="6278" w:type="dxa"/>
            <w:vAlign w:val="center"/>
          </w:tcPr>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根据供应商所提供的响应文件中的外业检测期间交通组织安全管理及应急预案进行打分：</w:t>
            </w:r>
          </w:p>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应急保障方案科学合理，针对性和操作性强的得8分；</w:t>
            </w:r>
          </w:p>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应急保障方案较为科学合理的得5分；</w:t>
            </w:r>
          </w:p>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应急保障方案一般的得3分。</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769"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9</w:t>
            </w:r>
          </w:p>
        </w:tc>
        <w:tc>
          <w:tcPr>
            <w:tcW w:w="1661"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质量保证体系及售后服务</w:t>
            </w:r>
          </w:p>
        </w:tc>
        <w:tc>
          <w:tcPr>
            <w:tcW w:w="6278" w:type="dxa"/>
            <w:vAlign w:val="center"/>
          </w:tcPr>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根据投标单位所提供的售后服务方案（售后服务机构、售后服务体系及售后服务承诺等）进行打分：</w:t>
            </w:r>
          </w:p>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售后服务方案完整、合理、科学的得8分；</w:t>
            </w:r>
          </w:p>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售后服务方案较为完整、合理、科学的得5分。</w:t>
            </w:r>
          </w:p>
          <w:p>
            <w:pPr>
              <w:widowControl/>
              <w:jc w:val="left"/>
              <w:rPr>
                <w:rFonts w:ascii="宋体" w:hAnsi="宋体" w:eastAsia="宋体" w:cs="宋体"/>
                <w:sz w:val="22"/>
                <w:szCs w:val="22"/>
                <w:highlight w:val="none"/>
              </w:rPr>
            </w:pPr>
            <w:r>
              <w:rPr>
                <w:rFonts w:hint="eastAsia" w:ascii="宋体" w:hAnsi="宋体" w:eastAsia="宋体" w:cs="宋体"/>
                <w:sz w:val="22"/>
                <w:szCs w:val="22"/>
                <w:highlight w:val="none"/>
              </w:rPr>
              <w:t>售后服务方案基本完整、合理、科学的得3分。</w:t>
            </w:r>
          </w:p>
        </w:tc>
        <w:tc>
          <w:tcPr>
            <w:tcW w:w="985" w:type="dxa"/>
            <w:vAlign w:val="center"/>
          </w:tcPr>
          <w:p>
            <w:pPr>
              <w:jc w:val="center"/>
              <w:rPr>
                <w:rFonts w:ascii="宋体" w:hAnsi="宋体" w:eastAsia="宋体" w:cs="宋体"/>
                <w:sz w:val="22"/>
                <w:szCs w:val="22"/>
                <w:highlight w:val="none"/>
              </w:rPr>
            </w:pPr>
            <w:r>
              <w:rPr>
                <w:rFonts w:hint="eastAsia" w:ascii="宋体" w:hAnsi="宋体" w:eastAsia="宋体" w:cs="宋体"/>
                <w:sz w:val="22"/>
                <w:szCs w:val="22"/>
                <w:highlight w:val="none"/>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9693" w:type="dxa"/>
            <w:gridSpan w:val="4"/>
            <w:vAlign w:val="center"/>
          </w:tcPr>
          <w:p>
            <w:pPr>
              <w:jc w:val="left"/>
              <w:rPr>
                <w:rFonts w:ascii="宋体" w:hAnsi="宋体" w:eastAsia="宋体" w:cs="宋体"/>
                <w:sz w:val="22"/>
                <w:szCs w:val="22"/>
                <w:highlight w:val="none"/>
              </w:rPr>
            </w:pPr>
            <w:r>
              <w:rPr>
                <w:rFonts w:hint="eastAsia" w:ascii="宋体" w:hAnsi="宋体" w:eastAsia="宋体" w:cs="宋体"/>
                <w:b/>
                <w:bCs/>
                <w:sz w:val="22"/>
                <w:szCs w:val="22"/>
                <w:highlight w:val="none"/>
              </w:rPr>
              <w:t>注：以上评分细则未提供的不得分。</w:t>
            </w:r>
          </w:p>
        </w:tc>
      </w:tr>
      <w:bookmarkEnd w:id="57"/>
    </w:tbl>
    <w:p>
      <w:pPr>
        <w:jc w:val="center"/>
        <w:rPr>
          <w:rFonts w:ascii="宋体" w:hAnsi="宋体"/>
          <w:b/>
          <w:sz w:val="22"/>
          <w:szCs w:val="22"/>
          <w:highlight w:val="none"/>
        </w:rPr>
      </w:pPr>
      <w:r>
        <w:rPr>
          <w:rFonts w:hint="eastAsia" w:ascii="宋体" w:hAnsi="宋体"/>
          <w:b/>
          <w:sz w:val="22"/>
          <w:szCs w:val="22"/>
          <w:highlight w:val="none"/>
        </w:rPr>
        <w:t>五、说明</w:t>
      </w:r>
    </w:p>
    <w:p>
      <w:pPr>
        <w:ind w:firstLine="420"/>
        <w:rPr>
          <w:rFonts w:ascii="宋体" w:hAnsi="宋体" w:eastAsia="宋体" w:cs="Times New Roman"/>
          <w:sz w:val="22"/>
          <w:szCs w:val="22"/>
          <w:highlight w:val="none"/>
        </w:rPr>
      </w:pPr>
      <w:r>
        <w:rPr>
          <w:rFonts w:hint="eastAsia" w:ascii="宋体" w:hAnsi="宋体"/>
          <w:sz w:val="22"/>
          <w:szCs w:val="22"/>
          <w:highlight w:val="none"/>
        </w:rPr>
        <w:t>1</w:t>
      </w:r>
      <w:r>
        <w:rPr>
          <w:rFonts w:hint="eastAsia" w:ascii="宋体" w:hAnsi="宋体" w:eastAsia="宋体" w:cs="Times New Roman"/>
          <w:sz w:val="22"/>
          <w:szCs w:val="22"/>
          <w:highlight w:val="none"/>
        </w:rPr>
        <w:t>、竞争性磋商小组推荐综合得分第一名的供应商为成交供应商，（如果得分相同，以报价低的优先；报价也相同，以抽签决定，并编写采购报告。）</w:t>
      </w:r>
    </w:p>
    <w:p>
      <w:pPr>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2、所有分值计算保留小数点后二位，小数点后三位四舍五入。</w:t>
      </w:r>
    </w:p>
    <w:p>
      <w:pPr>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3、最终得分为技术及资信分与商务分之和。</w:t>
      </w:r>
    </w:p>
    <w:p>
      <w:pPr>
        <w:ind w:firstLine="420"/>
        <w:rPr>
          <w:rFonts w:ascii="宋体" w:hAnsi="宋体" w:eastAsia="宋体" w:cs="Times New Roman"/>
          <w:sz w:val="22"/>
          <w:szCs w:val="22"/>
          <w:highlight w:val="none"/>
        </w:rPr>
      </w:pPr>
      <w:r>
        <w:rPr>
          <w:rFonts w:hint="eastAsia" w:ascii="宋体" w:hAnsi="宋体" w:eastAsia="宋体" w:cs="Times New Roman"/>
          <w:sz w:val="22"/>
          <w:szCs w:val="22"/>
          <w:highlight w:val="none"/>
        </w:rPr>
        <w:t>参见本竞争性磋商文件第三部分：“供应商须知”中的相关内容，未尽事宜按有关法律规定处理。</w:t>
      </w:r>
    </w:p>
    <w:sectPr>
      <w:headerReference r:id="rId13" w:type="default"/>
      <w:footerReference r:id="rId14"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Zp6cdzwEAAKoDAAAOAAAAAAAAAAEAIAAAAB4BAABkcnMv&#10;ZTJvRG9jLnhtbFBLBQYAAAAABgAGAFkBAABf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2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2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Eq6DocxAgAAUwQAAA4AAAAAAAAAAQAgAAAAIQ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2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Nq0/0oxAgAAUwQAAA4AAAAAAAAAAQAgAAAAIQ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6607"/>
    <w:multiLevelType w:val="singleLevel"/>
    <w:tmpl w:val="B7FC6607"/>
    <w:lvl w:ilvl="0" w:tentative="0">
      <w:start w:val="1"/>
      <w:numFmt w:val="decimal"/>
      <w:pStyle w:val="8"/>
      <w:lvlText w:val="%1."/>
      <w:lvlJc w:val="left"/>
      <w:pPr>
        <w:tabs>
          <w:tab w:val="left" w:pos="780"/>
        </w:tabs>
        <w:ind w:left="780" w:hanging="360"/>
      </w:pPr>
    </w:lvl>
  </w:abstractNum>
  <w:abstractNum w:abstractNumId="1">
    <w:nsid w:val="CCA3C9A5"/>
    <w:multiLevelType w:val="singleLevel"/>
    <w:tmpl w:val="CCA3C9A5"/>
    <w:lvl w:ilvl="0" w:tentative="0">
      <w:start w:val="1"/>
      <w:numFmt w:val="decimal"/>
      <w:suff w:val="nothing"/>
      <w:lvlText w:val="%1、"/>
      <w:lvlJc w:val="left"/>
    </w:lvl>
  </w:abstractNum>
  <w:abstractNum w:abstractNumId="2">
    <w:nsid w:val="00000016"/>
    <w:multiLevelType w:val="singleLevel"/>
    <w:tmpl w:val="00000016"/>
    <w:lvl w:ilvl="0" w:tentative="0">
      <w:start w:val="1"/>
      <w:numFmt w:val="decimal"/>
      <w:suff w:val="nothing"/>
      <w:lvlText w:val="（%1）"/>
      <w:lvlJc w:val="left"/>
    </w:lvl>
  </w:abstractNum>
  <w:abstractNum w:abstractNumId="3">
    <w:nsid w:val="0DE158B7"/>
    <w:multiLevelType w:val="singleLevel"/>
    <w:tmpl w:val="0DE158B7"/>
    <w:lvl w:ilvl="0" w:tentative="0">
      <w:start w:val="5"/>
      <w:numFmt w:val="chineseCounting"/>
      <w:suff w:val="space"/>
      <w:lvlText w:val="第%1条"/>
      <w:lvlJc w:val="left"/>
      <w:pPr>
        <w:ind w:left="-62"/>
      </w:pPr>
      <w:rPr>
        <w:rFonts w:hint="eastAsia"/>
        <w:b/>
        <w:bCs/>
      </w:rPr>
    </w:lvl>
  </w:abstractNum>
  <w:abstractNum w:abstractNumId="4">
    <w:nsid w:val="299320C1"/>
    <w:multiLevelType w:val="multilevel"/>
    <w:tmpl w:val="299320C1"/>
    <w:lvl w:ilvl="0" w:tentative="0">
      <w:start w:val="1"/>
      <w:numFmt w:val="decimal"/>
      <w:pStyle w:val="88"/>
      <w:lvlText w:val="图%1"/>
      <w:lvlJc w:val="left"/>
      <w:pPr>
        <w:ind w:left="420" w:hanging="420"/>
      </w:pPr>
      <w:rPr>
        <w:rFonts w:hint="eastAsia" w:ascii="黑体" w:hAnsi="黑体" w:eastAsia="黑体"/>
        <w:b/>
        <w:bCs w:val="0"/>
        <w:i w:val="0"/>
        <w:iCs w:val="0"/>
        <w: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01B9C13"/>
    <w:multiLevelType w:val="singleLevel"/>
    <w:tmpl w:val="501B9C13"/>
    <w:lvl w:ilvl="0" w:tentative="0">
      <w:start w:val="8"/>
      <w:numFmt w:val="chineseCounting"/>
      <w:suff w:val="space"/>
      <w:lvlText w:val="第%1条"/>
      <w:lvlJc w:val="left"/>
      <w:rPr>
        <w:rFonts w:hint="eastAsia"/>
      </w:rPr>
    </w:lvl>
  </w:abstractNum>
  <w:abstractNum w:abstractNumId="7">
    <w:nsid w:val="56F8A7F3"/>
    <w:multiLevelType w:val="singleLevel"/>
    <w:tmpl w:val="56F8A7F3"/>
    <w:lvl w:ilvl="0" w:tentative="0">
      <w:start w:val="1"/>
      <w:numFmt w:val="chineseCounting"/>
      <w:suff w:val="nothing"/>
      <w:lvlText w:val="%1、"/>
      <w:lvlJc w:val="left"/>
      <w:pPr>
        <w:ind w:left="210"/>
      </w:pPr>
    </w:lvl>
  </w:abstractNum>
  <w:abstractNum w:abstractNumId="8">
    <w:nsid w:val="56FB16F3"/>
    <w:multiLevelType w:val="multilevel"/>
    <w:tmpl w:val="56FB16F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6A4D50DB"/>
    <w:multiLevelType w:val="multilevel"/>
    <w:tmpl w:val="6A4D50DB"/>
    <w:lvl w:ilvl="0" w:tentative="0">
      <w:start w:val="1"/>
      <w:numFmt w:val="decimal"/>
      <w:pStyle w:val="91"/>
      <w:lvlText w:val="表%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AF5237"/>
    <w:multiLevelType w:val="multilevel"/>
    <w:tmpl w:val="6FAF5237"/>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num w:numId="1">
    <w:abstractNumId w:val="10"/>
  </w:num>
  <w:num w:numId="2">
    <w:abstractNumId w:val="8"/>
  </w:num>
  <w:num w:numId="3">
    <w:abstractNumId w:val="0"/>
  </w:num>
  <w:num w:numId="4">
    <w:abstractNumId w:val="4"/>
  </w:num>
  <w:num w:numId="5">
    <w:abstractNumId w:val="9"/>
  </w:num>
  <w:num w:numId="6">
    <w:abstractNumId w:val="2"/>
  </w:num>
  <w:num w:numId="7">
    <w:abstractNumId w:val="7"/>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0Zjk1MTFjMjE2NmRkZmRiNWY1YmRlY2Q3YWU4ZTEifQ=="/>
  </w:docVars>
  <w:rsids>
    <w:rsidRoot w:val="00AD123C"/>
    <w:rsid w:val="00002479"/>
    <w:rsid w:val="00006656"/>
    <w:rsid w:val="00006E75"/>
    <w:rsid w:val="0001168D"/>
    <w:rsid w:val="00012FAF"/>
    <w:rsid w:val="00014C31"/>
    <w:rsid w:val="00015927"/>
    <w:rsid w:val="00016E85"/>
    <w:rsid w:val="00041696"/>
    <w:rsid w:val="000455BF"/>
    <w:rsid w:val="0004614B"/>
    <w:rsid w:val="0005282B"/>
    <w:rsid w:val="0005481F"/>
    <w:rsid w:val="000733A6"/>
    <w:rsid w:val="000748B8"/>
    <w:rsid w:val="00080857"/>
    <w:rsid w:val="000854B1"/>
    <w:rsid w:val="000859C4"/>
    <w:rsid w:val="000866F7"/>
    <w:rsid w:val="000A1DC7"/>
    <w:rsid w:val="000A6476"/>
    <w:rsid w:val="000B78EC"/>
    <w:rsid w:val="000D1F68"/>
    <w:rsid w:val="000D2A4E"/>
    <w:rsid w:val="000E116D"/>
    <w:rsid w:val="000E377B"/>
    <w:rsid w:val="000E65BE"/>
    <w:rsid w:val="000F5476"/>
    <w:rsid w:val="001028B3"/>
    <w:rsid w:val="00140E0E"/>
    <w:rsid w:val="00150CD0"/>
    <w:rsid w:val="00164AE8"/>
    <w:rsid w:val="00167C8F"/>
    <w:rsid w:val="0018710F"/>
    <w:rsid w:val="001939C9"/>
    <w:rsid w:val="00195D91"/>
    <w:rsid w:val="001A4185"/>
    <w:rsid w:val="001A63E6"/>
    <w:rsid w:val="001B07E2"/>
    <w:rsid w:val="001B26AA"/>
    <w:rsid w:val="001B693D"/>
    <w:rsid w:val="001C15EC"/>
    <w:rsid w:val="001D5555"/>
    <w:rsid w:val="001D5F83"/>
    <w:rsid w:val="001F5946"/>
    <w:rsid w:val="002042D8"/>
    <w:rsid w:val="00204811"/>
    <w:rsid w:val="00210514"/>
    <w:rsid w:val="0021226C"/>
    <w:rsid w:val="00212A0A"/>
    <w:rsid w:val="00216F0A"/>
    <w:rsid w:val="00237149"/>
    <w:rsid w:val="00254ED5"/>
    <w:rsid w:val="002562A8"/>
    <w:rsid w:val="00256365"/>
    <w:rsid w:val="0026382A"/>
    <w:rsid w:val="00271B5D"/>
    <w:rsid w:val="0028146F"/>
    <w:rsid w:val="002826A8"/>
    <w:rsid w:val="00295AB6"/>
    <w:rsid w:val="00297F4B"/>
    <w:rsid w:val="002A2186"/>
    <w:rsid w:val="002A35B3"/>
    <w:rsid w:val="002A5BE5"/>
    <w:rsid w:val="002A5E20"/>
    <w:rsid w:val="002B1359"/>
    <w:rsid w:val="002B1D1A"/>
    <w:rsid w:val="002C3ABC"/>
    <w:rsid w:val="002C7FCE"/>
    <w:rsid w:val="002D4910"/>
    <w:rsid w:val="002E30F7"/>
    <w:rsid w:val="003100E0"/>
    <w:rsid w:val="00310B37"/>
    <w:rsid w:val="0031268C"/>
    <w:rsid w:val="003144F5"/>
    <w:rsid w:val="00333B8F"/>
    <w:rsid w:val="003479AC"/>
    <w:rsid w:val="00355A35"/>
    <w:rsid w:val="0036769A"/>
    <w:rsid w:val="00374062"/>
    <w:rsid w:val="00376369"/>
    <w:rsid w:val="00377FB7"/>
    <w:rsid w:val="0039159D"/>
    <w:rsid w:val="003956EF"/>
    <w:rsid w:val="00396B27"/>
    <w:rsid w:val="003A2466"/>
    <w:rsid w:val="003B40A1"/>
    <w:rsid w:val="003B45B1"/>
    <w:rsid w:val="003C36D1"/>
    <w:rsid w:val="003E277A"/>
    <w:rsid w:val="003E2E64"/>
    <w:rsid w:val="003E5811"/>
    <w:rsid w:val="00400537"/>
    <w:rsid w:val="004005B7"/>
    <w:rsid w:val="00410DE6"/>
    <w:rsid w:val="00413BF1"/>
    <w:rsid w:val="00414010"/>
    <w:rsid w:val="004147CC"/>
    <w:rsid w:val="0041503D"/>
    <w:rsid w:val="004214C9"/>
    <w:rsid w:val="00430037"/>
    <w:rsid w:val="00431DF9"/>
    <w:rsid w:val="00432088"/>
    <w:rsid w:val="00435B13"/>
    <w:rsid w:val="00442E20"/>
    <w:rsid w:val="00444FD9"/>
    <w:rsid w:val="00452FE8"/>
    <w:rsid w:val="004541B6"/>
    <w:rsid w:val="00454B1B"/>
    <w:rsid w:val="00454FF9"/>
    <w:rsid w:val="00457FAF"/>
    <w:rsid w:val="00464EF5"/>
    <w:rsid w:val="004676EB"/>
    <w:rsid w:val="0047210E"/>
    <w:rsid w:val="00475399"/>
    <w:rsid w:val="00477B25"/>
    <w:rsid w:val="004851A8"/>
    <w:rsid w:val="00495314"/>
    <w:rsid w:val="004A7431"/>
    <w:rsid w:val="004B5C0A"/>
    <w:rsid w:val="004C7FDA"/>
    <w:rsid w:val="004D461D"/>
    <w:rsid w:val="004E2C49"/>
    <w:rsid w:val="004E495C"/>
    <w:rsid w:val="004F0CF2"/>
    <w:rsid w:val="004F2785"/>
    <w:rsid w:val="00500C8C"/>
    <w:rsid w:val="00503DD9"/>
    <w:rsid w:val="005108FC"/>
    <w:rsid w:val="0051583C"/>
    <w:rsid w:val="005266CB"/>
    <w:rsid w:val="00534C60"/>
    <w:rsid w:val="00534E15"/>
    <w:rsid w:val="00540CFA"/>
    <w:rsid w:val="0054589F"/>
    <w:rsid w:val="005512C8"/>
    <w:rsid w:val="00554F78"/>
    <w:rsid w:val="00555A7E"/>
    <w:rsid w:val="00562AE2"/>
    <w:rsid w:val="00567E9B"/>
    <w:rsid w:val="00572170"/>
    <w:rsid w:val="00573683"/>
    <w:rsid w:val="00581A22"/>
    <w:rsid w:val="00587E08"/>
    <w:rsid w:val="00591E24"/>
    <w:rsid w:val="00595CD3"/>
    <w:rsid w:val="005A2A9A"/>
    <w:rsid w:val="005A4ED6"/>
    <w:rsid w:val="005B354C"/>
    <w:rsid w:val="005B384D"/>
    <w:rsid w:val="005B3EF9"/>
    <w:rsid w:val="005B7647"/>
    <w:rsid w:val="005C0CA4"/>
    <w:rsid w:val="005C2268"/>
    <w:rsid w:val="005C3318"/>
    <w:rsid w:val="005D1474"/>
    <w:rsid w:val="005D1896"/>
    <w:rsid w:val="005D40E8"/>
    <w:rsid w:val="005D44F2"/>
    <w:rsid w:val="005D613F"/>
    <w:rsid w:val="005E12FE"/>
    <w:rsid w:val="005E28B7"/>
    <w:rsid w:val="005E489C"/>
    <w:rsid w:val="005F39F9"/>
    <w:rsid w:val="005F7499"/>
    <w:rsid w:val="00602396"/>
    <w:rsid w:val="006106F8"/>
    <w:rsid w:val="00611969"/>
    <w:rsid w:val="006149CA"/>
    <w:rsid w:val="00617783"/>
    <w:rsid w:val="00617901"/>
    <w:rsid w:val="00623141"/>
    <w:rsid w:val="00624F59"/>
    <w:rsid w:val="006258EC"/>
    <w:rsid w:val="00632C93"/>
    <w:rsid w:val="0063315B"/>
    <w:rsid w:val="00640C31"/>
    <w:rsid w:val="006427F6"/>
    <w:rsid w:val="00650A2F"/>
    <w:rsid w:val="0065176A"/>
    <w:rsid w:val="006517AB"/>
    <w:rsid w:val="006630C7"/>
    <w:rsid w:val="006677CE"/>
    <w:rsid w:val="006729B7"/>
    <w:rsid w:val="00675C81"/>
    <w:rsid w:val="006804B0"/>
    <w:rsid w:val="006836A3"/>
    <w:rsid w:val="0069058E"/>
    <w:rsid w:val="006A1BC7"/>
    <w:rsid w:val="006A4F61"/>
    <w:rsid w:val="006A7B2B"/>
    <w:rsid w:val="006B0994"/>
    <w:rsid w:val="006B1740"/>
    <w:rsid w:val="006D0D40"/>
    <w:rsid w:val="006D4EB5"/>
    <w:rsid w:val="006D6CDF"/>
    <w:rsid w:val="006E51BD"/>
    <w:rsid w:val="006E5498"/>
    <w:rsid w:val="006F1027"/>
    <w:rsid w:val="006F63F9"/>
    <w:rsid w:val="00700B5E"/>
    <w:rsid w:val="00704D3D"/>
    <w:rsid w:val="007135C8"/>
    <w:rsid w:val="00717979"/>
    <w:rsid w:val="007211DA"/>
    <w:rsid w:val="0073240C"/>
    <w:rsid w:val="00740FC6"/>
    <w:rsid w:val="007419C8"/>
    <w:rsid w:val="00752CD4"/>
    <w:rsid w:val="00753DD1"/>
    <w:rsid w:val="00756DFA"/>
    <w:rsid w:val="00756DFD"/>
    <w:rsid w:val="00756E83"/>
    <w:rsid w:val="007640E4"/>
    <w:rsid w:val="0076451C"/>
    <w:rsid w:val="0079025D"/>
    <w:rsid w:val="007B3D34"/>
    <w:rsid w:val="007B6AED"/>
    <w:rsid w:val="007C6EDD"/>
    <w:rsid w:val="007E6080"/>
    <w:rsid w:val="007E743B"/>
    <w:rsid w:val="008033A8"/>
    <w:rsid w:val="00810FDB"/>
    <w:rsid w:val="00812589"/>
    <w:rsid w:val="00813EC1"/>
    <w:rsid w:val="00817CD8"/>
    <w:rsid w:val="00817D84"/>
    <w:rsid w:val="008302B5"/>
    <w:rsid w:val="00830418"/>
    <w:rsid w:val="008326E6"/>
    <w:rsid w:val="00833906"/>
    <w:rsid w:val="00841F63"/>
    <w:rsid w:val="008451B8"/>
    <w:rsid w:val="00846168"/>
    <w:rsid w:val="00861570"/>
    <w:rsid w:val="00867E91"/>
    <w:rsid w:val="0087044E"/>
    <w:rsid w:val="0087139A"/>
    <w:rsid w:val="008726C7"/>
    <w:rsid w:val="00893AD8"/>
    <w:rsid w:val="00896358"/>
    <w:rsid w:val="008B7068"/>
    <w:rsid w:val="008C1F35"/>
    <w:rsid w:val="008C28FC"/>
    <w:rsid w:val="008C3A24"/>
    <w:rsid w:val="008C5C3B"/>
    <w:rsid w:val="008C7B03"/>
    <w:rsid w:val="008D3FE6"/>
    <w:rsid w:val="008D519A"/>
    <w:rsid w:val="008D547B"/>
    <w:rsid w:val="008F0330"/>
    <w:rsid w:val="008F786D"/>
    <w:rsid w:val="00916F6D"/>
    <w:rsid w:val="009237D6"/>
    <w:rsid w:val="00935391"/>
    <w:rsid w:val="0095158A"/>
    <w:rsid w:val="00962B28"/>
    <w:rsid w:val="009634A8"/>
    <w:rsid w:val="0099104D"/>
    <w:rsid w:val="0099384C"/>
    <w:rsid w:val="009945D5"/>
    <w:rsid w:val="009B30C5"/>
    <w:rsid w:val="009C1772"/>
    <w:rsid w:val="009D4C98"/>
    <w:rsid w:val="009D57BA"/>
    <w:rsid w:val="009D69F3"/>
    <w:rsid w:val="009D7949"/>
    <w:rsid w:val="009E31C0"/>
    <w:rsid w:val="009F662F"/>
    <w:rsid w:val="00A17EE1"/>
    <w:rsid w:val="00A2134A"/>
    <w:rsid w:val="00A215AB"/>
    <w:rsid w:val="00A21A4F"/>
    <w:rsid w:val="00A270F7"/>
    <w:rsid w:val="00A306D4"/>
    <w:rsid w:val="00A30D57"/>
    <w:rsid w:val="00A367AF"/>
    <w:rsid w:val="00A418EB"/>
    <w:rsid w:val="00A67E84"/>
    <w:rsid w:val="00A70820"/>
    <w:rsid w:val="00A83D4E"/>
    <w:rsid w:val="00A87F63"/>
    <w:rsid w:val="00A96B41"/>
    <w:rsid w:val="00AA561B"/>
    <w:rsid w:val="00AA57EA"/>
    <w:rsid w:val="00AA7982"/>
    <w:rsid w:val="00AA7D02"/>
    <w:rsid w:val="00AB06AB"/>
    <w:rsid w:val="00AD123C"/>
    <w:rsid w:val="00AD56FF"/>
    <w:rsid w:val="00AD783C"/>
    <w:rsid w:val="00AF061E"/>
    <w:rsid w:val="00AF1E6D"/>
    <w:rsid w:val="00AF5356"/>
    <w:rsid w:val="00AF7076"/>
    <w:rsid w:val="00B01117"/>
    <w:rsid w:val="00B058C9"/>
    <w:rsid w:val="00B172CF"/>
    <w:rsid w:val="00B21EB5"/>
    <w:rsid w:val="00B23CD9"/>
    <w:rsid w:val="00B24EA7"/>
    <w:rsid w:val="00B352F6"/>
    <w:rsid w:val="00B359F2"/>
    <w:rsid w:val="00B37447"/>
    <w:rsid w:val="00B414E3"/>
    <w:rsid w:val="00B42312"/>
    <w:rsid w:val="00B4701E"/>
    <w:rsid w:val="00B47ADF"/>
    <w:rsid w:val="00B64D90"/>
    <w:rsid w:val="00B71454"/>
    <w:rsid w:val="00B77137"/>
    <w:rsid w:val="00B80838"/>
    <w:rsid w:val="00B83D17"/>
    <w:rsid w:val="00B87AB7"/>
    <w:rsid w:val="00B90255"/>
    <w:rsid w:val="00B949D9"/>
    <w:rsid w:val="00BA7A2C"/>
    <w:rsid w:val="00BB2DD5"/>
    <w:rsid w:val="00BB3293"/>
    <w:rsid w:val="00BC4A7A"/>
    <w:rsid w:val="00BC5C88"/>
    <w:rsid w:val="00BD0F01"/>
    <w:rsid w:val="00BD6188"/>
    <w:rsid w:val="00BE30B7"/>
    <w:rsid w:val="00BE7BFE"/>
    <w:rsid w:val="00BF46B2"/>
    <w:rsid w:val="00C018A5"/>
    <w:rsid w:val="00C02BA8"/>
    <w:rsid w:val="00C03AF4"/>
    <w:rsid w:val="00C0742E"/>
    <w:rsid w:val="00C10E7A"/>
    <w:rsid w:val="00C114C4"/>
    <w:rsid w:val="00C12E72"/>
    <w:rsid w:val="00C137EF"/>
    <w:rsid w:val="00C13F39"/>
    <w:rsid w:val="00C26A70"/>
    <w:rsid w:val="00C43D34"/>
    <w:rsid w:val="00C4625E"/>
    <w:rsid w:val="00C87510"/>
    <w:rsid w:val="00C90EE7"/>
    <w:rsid w:val="00C93522"/>
    <w:rsid w:val="00CA0517"/>
    <w:rsid w:val="00CA1277"/>
    <w:rsid w:val="00CA46C2"/>
    <w:rsid w:val="00CB13E2"/>
    <w:rsid w:val="00CB336C"/>
    <w:rsid w:val="00CC1EFE"/>
    <w:rsid w:val="00CC447D"/>
    <w:rsid w:val="00CC487A"/>
    <w:rsid w:val="00CD0952"/>
    <w:rsid w:val="00CD23D9"/>
    <w:rsid w:val="00CD79BA"/>
    <w:rsid w:val="00CF0119"/>
    <w:rsid w:val="00CF4419"/>
    <w:rsid w:val="00CF4DE4"/>
    <w:rsid w:val="00CF64F0"/>
    <w:rsid w:val="00D05A88"/>
    <w:rsid w:val="00D06CF7"/>
    <w:rsid w:val="00D13E66"/>
    <w:rsid w:val="00D162CF"/>
    <w:rsid w:val="00D22AE0"/>
    <w:rsid w:val="00D26F90"/>
    <w:rsid w:val="00D27265"/>
    <w:rsid w:val="00D358AB"/>
    <w:rsid w:val="00D36C28"/>
    <w:rsid w:val="00D42264"/>
    <w:rsid w:val="00D46336"/>
    <w:rsid w:val="00D46B98"/>
    <w:rsid w:val="00D539ED"/>
    <w:rsid w:val="00D63185"/>
    <w:rsid w:val="00D742FE"/>
    <w:rsid w:val="00D74E69"/>
    <w:rsid w:val="00D83457"/>
    <w:rsid w:val="00D84E08"/>
    <w:rsid w:val="00D862FC"/>
    <w:rsid w:val="00D97C08"/>
    <w:rsid w:val="00DA1E5B"/>
    <w:rsid w:val="00DA2399"/>
    <w:rsid w:val="00DE25B0"/>
    <w:rsid w:val="00DF1CD0"/>
    <w:rsid w:val="00DF6F09"/>
    <w:rsid w:val="00E012AA"/>
    <w:rsid w:val="00E03307"/>
    <w:rsid w:val="00E2482A"/>
    <w:rsid w:val="00E307D9"/>
    <w:rsid w:val="00E3636F"/>
    <w:rsid w:val="00E4399C"/>
    <w:rsid w:val="00E46A16"/>
    <w:rsid w:val="00E46A4A"/>
    <w:rsid w:val="00E6139A"/>
    <w:rsid w:val="00E7430A"/>
    <w:rsid w:val="00E762B6"/>
    <w:rsid w:val="00E76B7C"/>
    <w:rsid w:val="00E80C6F"/>
    <w:rsid w:val="00E91D49"/>
    <w:rsid w:val="00E93DDA"/>
    <w:rsid w:val="00E93FDD"/>
    <w:rsid w:val="00EA6208"/>
    <w:rsid w:val="00ED04A5"/>
    <w:rsid w:val="00ED33BE"/>
    <w:rsid w:val="00ED4631"/>
    <w:rsid w:val="00ED697F"/>
    <w:rsid w:val="00EE0B12"/>
    <w:rsid w:val="00EF1725"/>
    <w:rsid w:val="00F108A2"/>
    <w:rsid w:val="00F11242"/>
    <w:rsid w:val="00F13B84"/>
    <w:rsid w:val="00F14725"/>
    <w:rsid w:val="00F15718"/>
    <w:rsid w:val="00F3112D"/>
    <w:rsid w:val="00F331C4"/>
    <w:rsid w:val="00F34C4C"/>
    <w:rsid w:val="00F3767E"/>
    <w:rsid w:val="00F37AA4"/>
    <w:rsid w:val="00F5364D"/>
    <w:rsid w:val="00F55A88"/>
    <w:rsid w:val="00F60542"/>
    <w:rsid w:val="00F614BD"/>
    <w:rsid w:val="00F7124E"/>
    <w:rsid w:val="00F72543"/>
    <w:rsid w:val="00F746E3"/>
    <w:rsid w:val="00F840E5"/>
    <w:rsid w:val="00F8466F"/>
    <w:rsid w:val="00F90FEA"/>
    <w:rsid w:val="00F916AA"/>
    <w:rsid w:val="00FB17FF"/>
    <w:rsid w:val="00FC1F2A"/>
    <w:rsid w:val="00FD116B"/>
    <w:rsid w:val="00FD19B5"/>
    <w:rsid w:val="00FD7754"/>
    <w:rsid w:val="00FF0FC7"/>
    <w:rsid w:val="00FF35B6"/>
    <w:rsid w:val="00FF5555"/>
    <w:rsid w:val="00FF6CF3"/>
    <w:rsid w:val="011661C8"/>
    <w:rsid w:val="01243755"/>
    <w:rsid w:val="0125460F"/>
    <w:rsid w:val="01294748"/>
    <w:rsid w:val="012D40FB"/>
    <w:rsid w:val="01466323"/>
    <w:rsid w:val="016A347B"/>
    <w:rsid w:val="018956BE"/>
    <w:rsid w:val="01AD6B33"/>
    <w:rsid w:val="01C21E02"/>
    <w:rsid w:val="01DE7BAE"/>
    <w:rsid w:val="02071FAC"/>
    <w:rsid w:val="020871DD"/>
    <w:rsid w:val="0210580B"/>
    <w:rsid w:val="023B1CCF"/>
    <w:rsid w:val="023B4DEC"/>
    <w:rsid w:val="024E6DB1"/>
    <w:rsid w:val="02507945"/>
    <w:rsid w:val="02510D8D"/>
    <w:rsid w:val="0254538A"/>
    <w:rsid w:val="02672FE9"/>
    <w:rsid w:val="026A1E41"/>
    <w:rsid w:val="027642BB"/>
    <w:rsid w:val="028E2EA4"/>
    <w:rsid w:val="02970D2B"/>
    <w:rsid w:val="02B44793"/>
    <w:rsid w:val="02E15B78"/>
    <w:rsid w:val="02E1742E"/>
    <w:rsid w:val="02EB5541"/>
    <w:rsid w:val="02F23FB1"/>
    <w:rsid w:val="03195159"/>
    <w:rsid w:val="031F63BF"/>
    <w:rsid w:val="03265180"/>
    <w:rsid w:val="03345AEF"/>
    <w:rsid w:val="03452566"/>
    <w:rsid w:val="034A5176"/>
    <w:rsid w:val="03724AB0"/>
    <w:rsid w:val="03774D25"/>
    <w:rsid w:val="03AB47B9"/>
    <w:rsid w:val="03B12173"/>
    <w:rsid w:val="03B46D44"/>
    <w:rsid w:val="03C81EB9"/>
    <w:rsid w:val="03D75F1C"/>
    <w:rsid w:val="03D9591F"/>
    <w:rsid w:val="03E34AEF"/>
    <w:rsid w:val="03F153F7"/>
    <w:rsid w:val="040408BE"/>
    <w:rsid w:val="04344B81"/>
    <w:rsid w:val="0463723E"/>
    <w:rsid w:val="046A3F2A"/>
    <w:rsid w:val="04A46316"/>
    <w:rsid w:val="04B14D67"/>
    <w:rsid w:val="04B31786"/>
    <w:rsid w:val="04BD0DFC"/>
    <w:rsid w:val="04C91AEC"/>
    <w:rsid w:val="04E5578A"/>
    <w:rsid w:val="04E67A8F"/>
    <w:rsid w:val="04F432ED"/>
    <w:rsid w:val="04F512AE"/>
    <w:rsid w:val="04FA6940"/>
    <w:rsid w:val="0512539C"/>
    <w:rsid w:val="051D5B1F"/>
    <w:rsid w:val="054371AB"/>
    <w:rsid w:val="05470C58"/>
    <w:rsid w:val="054A784B"/>
    <w:rsid w:val="054B2DFC"/>
    <w:rsid w:val="055A0FC0"/>
    <w:rsid w:val="0560458D"/>
    <w:rsid w:val="05690F54"/>
    <w:rsid w:val="05793C8D"/>
    <w:rsid w:val="057D2A61"/>
    <w:rsid w:val="058546E3"/>
    <w:rsid w:val="058922BB"/>
    <w:rsid w:val="058A3138"/>
    <w:rsid w:val="05932892"/>
    <w:rsid w:val="059573DB"/>
    <w:rsid w:val="05AA54F0"/>
    <w:rsid w:val="05B60993"/>
    <w:rsid w:val="05C217A3"/>
    <w:rsid w:val="05CA686F"/>
    <w:rsid w:val="05D53026"/>
    <w:rsid w:val="05D835C3"/>
    <w:rsid w:val="05DB6A9D"/>
    <w:rsid w:val="05DF4635"/>
    <w:rsid w:val="05E2242D"/>
    <w:rsid w:val="06040449"/>
    <w:rsid w:val="062067FE"/>
    <w:rsid w:val="062874C0"/>
    <w:rsid w:val="062C7D30"/>
    <w:rsid w:val="063517AC"/>
    <w:rsid w:val="064224FE"/>
    <w:rsid w:val="064C78AE"/>
    <w:rsid w:val="064F0456"/>
    <w:rsid w:val="06542C51"/>
    <w:rsid w:val="0686195B"/>
    <w:rsid w:val="06A40375"/>
    <w:rsid w:val="06C96B53"/>
    <w:rsid w:val="06D21BAA"/>
    <w:rsid w:val="06DA76A6"/>
    <w:rsid w:val="06F85F55"/>
    <w:rsid w:val="070044A0"/>
    <w:rsid w:val="071A1A15"/>
    <w:rsid w:val="0736260C"/>
    <w:rsid w:val="073A4D43"/>
    <w:rsid w:val="07465C79"/>
    <w:rsid w:val="074E1FF0"/>
    <w:rsid w:val="079C0106"/>
    <w:rsid w:val="07A82060"/>
    <w:rsid w:val="07B151DF"/>
    <w:rsid w:val="07BD4721"/>
    <w:rsid w:val="07BE7067"/>
    <w:rsid w:val="07D000D6"/>
    <w:rsid w:val="07D164DC"/>
    <w:rsid w:val="07D90E3B"/>
    <w:rsid w:val="07DD49A7"/>
    <w:rsid w:val="07ED0F1B"/>
    <w:rsid w:val="07ED7B83"/>
    <w:rsid w:val="08177BFB"/>
    <w:rsid w:val="0848193D"/>
    <w:rsid w:val="085F5E6F"/>
    <w:rsid w:val="086F3C10"/>
    <w:rsid w:val="087A5675"/>
    <w:rsid w:val="087F4F63"/>
    <w:rsid w:val="088445CA"/>
    <w:rsid w:val="08854BC4"/>
    <w:rsid w:val="08AD3E7A"/>
    <w:rsid w:val="08C873E5"/>
    <w:rsid w:val="08D259A6"/>
    <w:rsid w:val="09081661"/>
    <w:rsid w:val="09081819"/>
    <w:rsid w:val="091E4A80"/>
    <w:rsid w:val="091F194C"/>
    <w:rsid w:val="09256402"/>
    <w:rsid w:val="09347107"/>
    <w:rsid w:val="09492C72"/>
    <w:rsid w:val="09580489"/>
    <w:rsid w:val="0972268D"/>
    <w:rsid w:val="09745A6F"/>
    <w:rsid w:val="099A348C"/>
    <w:rsid w:val="09AB4B27"/>
    <w:rsid w:val="09B8779A"/>
    <w:rsid w:val="09BB6966"/>
    <w:rsid w:val="09CD7540"/>
    <w:rsid w:val="09E77C5F"/>
    <w:rsid w:val="09F00B1C"/>
    <w:rsid w:val="09F022C4"/>
    <w:rsid w:val="09F127BB"/>
    <w:rsid w:val="0A016221"/>
    <w:rsid w:val="0A1B2806"/>
    <w:rsid w:val="0A2A1557"/>
    <w:rsid w:val="0A39575A"/>
    <w:rsid w:val="0A3A7378"/>
    <w:rsid w:val="0A3C34DB"/>
    <w:rsid w:val="0A4B6BED"/>
    <w:rsid w:val="0A5B5145"/>
    <w:rsid w:val="0A815F93"/>
    <w:rsid w:val="0A820371"/>
    <w:rsid w:val="0A941A9B"/>
    <w:rsid w:val="0A9458FA"/>
    <w:rsid w:val="0AC92F16"/>
    <w:rsid w:val="0AD80FC2"/>
    <w:rsid w:val="0AE23FDD"/>
    <w:rsid w:val="0AEE1AA0"/>
    <w:rsid w:val="0AFD00AF"/>
    <w:rsid w:val="0B06722F"/>
    <w:rsid w:val="0B2A0ADC"/>
    <w:rsid w:val="0B2C47E2"/>
    <w:rsid w:val="0B425692"/>
    <w:rsid w:val="0B5D3FA7"/>
    <w:rsid w:val="0B663FE4"/>
    <w:rsid w:val="0B76526F"/>
    <w:rsid w:val="0B8931A1"/>
    <w:rsid w:val="0BBF0626"/>
    <w:rsid w:val="0BC1013B"/>
    <w:rsid w:val="0BE75DFE"/>
    <w:rsid w:val="0BF51C5A"/>
    <w:rsid w:val="0BF916F0"/>
    <w:rsid w:val="0C22507E"/>
    <w:rsid w:val="0C2A7A8F"/>
    <w:rsid w:val="0C2C0005"/>
    <w:rsid w:val="0C354746"/>
    <w:rsid w:val="0C434FF4"/>
    <w:rsid w:val="0C551044"/>
    <w:rsid w:val="0C574869"/>
    <w:rsid w:val="0C6D0CE8"/>
    <w:rsid w:val="0C796E65"/>
    <w:rsid w:val="0C9A1E39"/>
    <w:rsid w:val="0C9C2A71"/>
    <w:rsid w:val="0CA44A19"/>
    <w:rsid w:val="0CB845C4"/>
    <w:rsid w:val="0CCE2F16"/>
    <w:rsid w:val="0CD30297"/>
    <w:rsid w:val="0CE001F6"/>
    <w:rsid w:val="0CED42B7"/>
    <w:rsid w:val="0CF140FA"/>
    <w:rsid w:val="0CF31B3A"/>
    <w:rsid w:val="0D0D40E4"/>
    <w:rsid w:val="0D10175C"/>
    <w:rsid w:val="0D19146D"/>
    <w:rsid w:val="0D1C34D0"/>
    <w:rsid w:val="0D1D6FAA"/>
    <w:rsid w:val="0D2124C7"/>
    <w:rsid w:val="0D335085"/>
    <w:rsid w:val="0D3E0FA6"/>
    <w:rsid w:val="0D443E75"/>
    <w:rsid w:val="0D4B57BA"/>
    <w:rsid w:val="0D4F29F0"/>
    <w:rsid w:val="0D511A79"/>
    <w:rsid w:val="0D542171"/>
    <w:rsid w:val="0D543C87"/>
    <w:rsid w:val="0D677097"/>
    <w:rsid w:val="0D6913B0"/>
    <w:rsid w:val="0D7336B7"/>
    <w:rsid w:val="0D9E73BE"/>
    <w:rsid w:val="0DB2420A"/>
    <w:rsid w:val="0DB81E51"/>
    <w:rsid w:val="0DD34156"/>
    <w:rsid w:val="0DD468DC"/>
    <w:rsid w:val="0E011379"/>
    <w:rsid w:val="0E12064D"/>
    <w:rsid w:val="0E24055F"/>
    <w:rsid w:val="0E2664F1"/>
    <w:rsid w:val="0E2A3239"/>
    <w:rsid w:val="0E3B2427"/>
    <w:rsid w:val="0E3C3443"/>
    <w:rsid w:val="0E4762DC"/>
    <w:rsid w:val="0E732BB9"/>
    <w:rsid w:val="0E74101E"/>
    <w:rsid w:val="0E8B043C"/>
    <w:rsid w:val="0EB62316"/>
    <w:rsid w:val="0EBA1BDF"/>
    <w:rsid w:val="0EDD4E1E"/>
    <w:rsid w:val="0EE619C8"/>
    <w:rsid w:val="0EE75620"/>
    <w:rsid w:val="0EED39AD"/>
    <w:rsid w:val="0EF45919"/>
    <w:rsid w:val="0F0A4F0B"/>
    <w:rsid w:val="0F3E6A4C"/>
    <w:rsid w:val="0F5F6058"/>
    <w:rsid w:val="0F734708"/>
    <w:rsid w:val="0F760441"/>
    <w:rsid w:val="0F866B6F"/>
    <w:rsid w:val="0F884120"/>
    <w:rsid w:val="0F88424E"/>
    <w:rsid w:val="0F9D0225"/>
    <w:rsid w:val="0FA05331"/>
    <w:rsid w:val="0FAD2FDB"/>
    <w:rsid w:val="0FBA0991"/>
    <w:rsid w:val="0FC17DB6"/>
    <w:rsid w:val="0FCF4323"/>
    <w:rsid w:val="0FD0377A"/>
    <w:rsid w:val="0FD850C3"/>
    <w:rsid w:val="0FE14061"/>
    <w:rsid w:val="0FF14FD3"/>
    <w:rsid w:val="0FF35410"/>
    <w:rsid w:val="0FF46D31"/>
    <w:rsid w:val="101161C0"/>
    <w:rsid w:val="101358F3"/>
    <w:rsid w:val="101F4C3F"/>
    <w:rsid w:val="102B1DDB"/>
    <w:rsid w:val="102C5EBC"/>
    <w:rsid w:val="102D26D6"/>
    <w:rsid w:val="10327322"/>
    <w:rsid w:val="10394D13"/>
    <w:rsid w:val="10463305"/>
    <w:rsid w:val="1057019A"/>
    <w:rsid w:val="108E7739"/>
    <w:rsid w:val="10925802"/>
    <w:rsid w:val="109F13C8"/>
    <w:rsid w:val="10A462FC"/>
    <w:rsid w:val="10A87933"/>
    <w:rsid w:val="10B93774"/>
    <w:rsid w:val="10BF410A"/>
    <w:rsid w:val="10D67EA8"/>
    <w:rsid w:val="10DD1863"/>
    <w:rsid w:val="10F90377"/>
    <w:rsid w:val="10F974F3"/>
    <w:rsid w:val="111D4EA0"/>
    <w:rsid w:val="112A3887"/>
    <w:rsid w:val="1139537F"/>
    <w:rsid w:val="116F0DC7"/>
    <w:rsid w:val="11A4040E"/>
    <w:rsid w:val="11AC2AC8"/>
    <w:rsid w:val="11B60016"/>
    <w:rsid w:val="11BC43D5"/>
    <w:rsid w:val="11E17F41"/>
    <w:rsid w:val="11E20E4B"/>
    <w:rsid w:val="12373D7C"/>
    <w:rsid w:val="12415B32"/>
    <w:rsid w:val="12455C8F"/>
    <w:rsid w:val="12877198"/>
    <w:rsid w:val="128C6186"/>
    <w:rsid w:val="129C3353"/>
    <w:rsid w:val="12B8170E"/>
    <w:rsid w:val="131E6E81"/>
    <w:rsid w:val="13285E5F"/>
    <w:rsid w:val="13376915"/>
    <w:rsid w:val="133D4C4F"/>
    <w:rsid w:val="13424032"/>
    <w:rsid w:val="135D53D8"/>
    <w:rsid w:val="135F7841"/>
    <w:rsid w:val="13707D0F"/>
    <w:rsid w:val="137B2AD9"/>
    <w:rsid w:val="13B266FA"/>
    <w:rsid w:val="13DF7E95"/>
    <w:rsid w:val="13EF483C"/>
    <w:rsid w:val="13F51833"/>
    <w:rsid w:val="13FA31A3"/>
    <w:rsid w:val="13FE0DE6"/>
    <w:rsid w:val="13FF2080"/>
    <w:rsid w:val="142525F6"/>
    <w:rsid w:val="14262BBC"/>
    <w:rsid w:val="143B6859"/>
    <w:rsid w:val="144D6507"/>
    <w:rsid w:val="14626397"/>
    <w:rsid w:val="14670D03"/>
    <w:rsid w:val="1470197E"/>
    <w:rsid w:val="14722D5A"/>
    <w:rsid w:val="147818BD"/>
    <w:rsid w:val="14864ED2"/>
    <w:rsid w:val="14A031F7"/>
    <w:rsid w:val="14AC75D1"/>
    <w:rsid w:val="14AF15CF"/>
    <w:rsid w:val="14E50979"/>
    <w:rsid w:val="14EA44AE"/>
    <w:rsid w:val="14F84610"/>
    <w:rsid w:val="14FB33B0"/>
    <w:rsid w:val="15176E68"/>
    <w:rsid w:val="15457079"/>
    <w:rsid w:val="1560004E"/>
    <w:rsid w:val="157978A7"/>
    <w:rsid w:val="158560F0"/>
    <w:rsid w:val="158D32A4"/>
    <w:rsid w:val="158E3B60"/>
    <w:rsid w:val="15C673AA"/>
    <w:rsid w:val="15DD6AE4"/>
    <w:rsid w:val="16007076"/>
    <w:rsid w:val="16081B79"/>
    <w:rsid w:val="160A1024"/>
    <w:rsid w:val="1619180F"/>
    <w:rsid w:val="1619332D"/>
    <w:rsid w:val="162C3EA9"/>
    <w:rsid w:val="164200CB"/>
    <w:rsid w:val="16696C3A"/>
    <w:rsid w:val="168230EE"/>
    <w:rsid w:val="16B42C6D"/>
    <w:rsid w:val="16B44038"/>
    <w:rsid w:val="16B5089D"/>
    <w:rsid w:val="16CA6421"/>
    <w:rsid w:val="16E3253A"/>
    <w:rsid w:val="16FF332A"/>
    <w:rsid w:val="170F2220"/>
    <w:rsid w:val="17277D08"/>
    <w:rsid w:val="173D7F05"/>
    <w:rsid w:val="17576637"/>
    <w:rsid w:val="176A19BF"/>
    <w:rsid w:val="1786162A"/>
    <w:rsid w:val="179B7A92"/>
    <w:rsid w:val="17A9546E"/>
    <w:rsid w:val="17BD5739"/>
    <w:rsid w:val="17D145A4"/>
    <w:rsid w:val="180C6776"/>
    <w:rsid w:val="182021D4"/>
    <w:rsid w:val="18220E96"/>
    <w:rsid w:val="182512BF"/>
    <w:rsid w:val="1865122A"/>
    <w:rsid w:val="186D2733"/>
    <w:rsid w:val="187A78B1"/>
    <w:rsid w:val="187C44DF"/>
    <w:rsid w:val="18B349D2"/>
    <w:rsid w:val="18CE4126"/>
    <w:rsid w:val="18F6152C"/>
    <w:rsid w:val="18F660E1"/>
    <w:rsid w:val="18FC27B3"/>
    <w:rsid w:val="190218BC"/>
    <w:rsid w:val="19044C8D"/>
    <w:rsid w:val="19095170"/>
    <w:rsid w:val="190B3EB3"/>
    <w:rsid w:val="191047E7"/>
    <w:rsid w:val="19137BB8"/>
    <w:rsid w:val="191B12AB"/>
    <w:rsid w:val="19225D94"/>
    <w:rsid w:val="192D42F3"/>
    <w:rsid w:val="193970B7"/>
    <w:rsid w:val="193F0E28"/>
    <w:rsid w:val="194505FE"/>
    <w:rsid w:val="19457F63"/>
    <w:rsid w:val="194D2C0B"/>
    <w:rsid w:val="19522332"/>
    <w:rsid w:val="19576828"/>
    <w:rsid w:val="197410CF"/>
    <w:rsid w:val="198852F8"/>
    <w:rsid w:val="198E3481"/>
    <w:rsid w:val="199A7C9F"/>
    <w:rsid w:val="19A810CA"/>
    <w:rsid w:val="19AA32E6"/>
    <w:rsid w:val="19C1779A"/>
    <w:rsid w:val="19D743D6"/>
    <w:rsid w:val="19DD1B54"/>
    <w:rsid w:val="19E41BC5"/>
    <w:rsid w:val="19E9387A"/>
    <w:rsid w:val="19EF40C6"/>
    <w:rsid w:val="19F8389D"/>
    <w:rsid w:val="1A126FFF"/>
    <w:rsid w:val="1A3A519A"/>
    <w:rsid w:val="1A6306AB"/>
    <w:rsid w:val="1A6F52BC"/>
    <w:rsid w:val="1A7E6AE3"/>
    <w:rsid w:val="1A805353"/>
    <w:rsid w:val="1A8104CE"/>
    <w:rsid w:val="1A917E97"/>
    <w:rsid w:val="1A962D35"/>
    <w:rsid w:val="1AA63E86"/>
    <w:rsid w:val="1AB80C4F"/>
    <w:rsid w:val="1ABD2642"/>
    <w:rsid w:val="1AC014C6"/>
    <w:rsid w:val="1AC937CA"/>
    <w:rsid w:val="1AF2282B"/>
    <w:rsid w:val="1B1562B0"/>
    <w:rsid w:val="1B2714BF"/>
    <w:rsid w:val="1B332452"/>
    <w:rsid w:val="1B3542FB"/>
    <w:rsid w:val="1B372BF3"/>
    <w:rsid w:val="1B4D0258"/>
    <w:rsid w:val="1B4F322C"/>
    <w:rsid w:val="1B526935"/>
    <w:rsid w:val="1B666C5A"/>
    <w:rsid w:val="1B72638E"/>
    <w:rsid w:val="1B88418F"/>
    <w:rsid w:val="1B8E7098"/>
    <w:rsid w:val="1B9334AB"/>
    <w:rsid w:val="1B95436C"/>
    <w:rsid w:val="1BAC5DF8"/>
    <w:rsid w:val="1BC673F4"/>
    <w:rsid w:val="1BCA303C"/>
    <w:rsid w:val="1BE542F6"/>
    <w:rsid w:val="1BE61271"/>
    <w:rsid w:val="1C080823"/>
    <w:rsid w:val="1C0F3379"/>
    <w:rsid w:val="1C2633D9"/>
    <w:rsid w:val="1C2A2148"/>
    <w:rsid w:val="1C3B1844"/>
    <w:rsid w:val="1C3F0B2B"/>
    <w:rsid w:val="1C3F5535"/>
    <w:rsid w:val="1C517832"/>
    <w:rsid w:val="1C5F5C93"/>
    <w:rsid w:val="1C6918C8"/>
    <w:rsid w:val="1C853160"/>
    <w:rsid w:val="1C8614EE"/>
    <w:rsid w:val="1CA95FA5"/>
    <w:rsid w:val="1CDE50C9"/>
    <w:rsid w:val="1CDE6FC2"/>
    <w:rsid w:val="1D1F1816"/>
    <w:rsid w:val="1D241315"/>
    <w:rsid w:val="1D5337BB"/>
    <w:rsid w:val="1D5D6BFA"/>
    <w:rsid w:val="1D76469C"/>
    <w:rsid w:val="1D7A5A02"/>
    <w:rsid w:val="1D845DC6"/>
    <w:rsid w:val="1D903E12"/>
    <w:rsid w:val="1DC0717D"/>
    <w:rsid w:val="1DD40012"/>
    <w:rsid w:val="1DDC1F50"/>
    <w:rsid w:val="1DE85F85"/>
    <w:rsid w:val="1E2B70E6"/>
    <w:rsid w:val="1E334108"/>
    <w:rsid w:val="1E5109CC"/>
    <w:rsid w:val="1E52330B"/>
    <w:rsid w:val="1E656D52"/>
    <w:rsid w:val="1E6C0F09"/>
    <w:rsid w:val="1E7E3659"/>
    <w:rsid w:val="1E98461D"/>
    <w:rsid w:val="1EA67F90"/>
    <w:rsid w:val="1EB7274A"/>
    <w:rsid w:val="1ED72245"/>
    <w:rsid w:val="1EF34087"/>
    <w:rsid w:val="1EF61FE3"/>
    <w:rsid w:val="1F0D4270"/>
    <w:rsid w:val="1F165A39"/>
    <w:rsid w:val="1F2E4D87"/>
    <w:rsid w:val="1F370402"/>
    <w:rsid w:val="1F4965B4"/>
    <w:rsid w:val="1F5B1D47"/>
    <w:rsid w:val="1F657758"/>
    <w:rsid w:val="1F7A1381"/>
    <w:rsid w:val="1FA92E7A"/>
    <w:rsid w:val="1FB04EF2"/>
    <w:rsid w:val="1FC15ED6"/>
    <w:rsid w:val="1FDE3E7F"/>
    <w:rsid w:val="1FDF0BF0"/>
    <w:rsid w:val="1FF931A4"/>
    <w:rsid w:val="1FFB3074"/>
    <w:rsid w:val="200107FC"/>
    <w:rsid w:val="20216B08"/>
    <w:rsid w:val="20405B7F"/>
    <w:rsid w:val="204D10CE"/>
    <w:rsid w:val="20572904"/>
    <w:rsid w:val="207260A6"/>
    <w:rsid w:val="20757E64"/>
    <w:rsid w:val="20801DCF"/>
    <w:rsid w:val="209B4C6C"/>
    <w:rsid w:val="209F4C92"/>
    <w:rsid w:val="20AC0D84"/>
    <w:rsid w:val="20BD2964"/>
    <w:rsid w:val="20BF1892"/>
    <w:rsid w:val="20BF1B00"/>
    <w:rsid w:val="20C646ED"/>
    <w:rsid w:val="20F054FC"/>
    <w:rsid w:val="20FD1BD5"/>
    <w:rsid w:val="211232C3"/>
    <w:rsid w:val="21220770"/>
    <w:rsid w:val="212E34D3"/>
    <w:rsid w:val="213F1DD6"/>
    <w:rsid w:val="2145492B"/>
    <w:rsid w:val="21493133"/>
    <w:rsid w:val="215B2A68"/>
    <w:rsid w:val="215C64E4"/>
    <w:rsid w:val="217162CA"/>
    <w:rsid w:val="217429A0"/>
    <w:rsid w:val="21B453CD"/>
    <w:rsid w:val="21B65314"/>
    <w:rsid w:val="21CE7D40"/>
    <w:rsid w:val="21D51C02"/>
    <w:rsid w:val="2204765C"/>
    <w:rsid w:val="220B4FC1"/>
    <w:rsid w:val="220E5787"/>
    <w:rsid w:val="22261B58"/>
    <w:rsid w:val="22363ABA"/>
    <w:rsid w:val="224145D9"/>
    <w:rsid w:val="22421B7E"/>
    <w:rsid w:val="22423D4D"/>
    <w:rsid w:val="225C52DB"/>
    <w:rsid w:val="22983240"/>
    <w:rsid w:val="22A273FF"/>
    <w:rsid w:val="22A46395"/>
    <w:rsid w:val="22C2587A"/>
    <w:rsid w:val="22CE1777"/>
    <w:rsid w:val="22D23D57"/>
    <w:rsid w:val="22D51980"/>
    <w:rsid w:val="22E449E3"/>
    <w:rsid w:val="22E471BA"/>
    <w:rsid w:val="2308424D"/>
    <w:rsid w:val="23201166"/>
    <w:rsid w:val="23220A0D"/>
    <w:rsid w:val="23251A6B"/>
    <w:rsid w:val="23340988"/>
    <w:rsid w:val="23345488"/>
    <w:rsid w:val="2337565A"/>
    <w:rsid w:val="233B20A7"/>
    <w:rsid w:val="233F3F0D"/>
    <w:rsid w:val="23431403"/>
    <w:rsid w:val="234E1DDC"/>
    <w:rsid w:val="236B3B35"/>
    <w:rsid w:val="239C0FFB"/>
    <w:rsid w:val="23B54A00"/>
    <w:rsid w:val="23BF2D5B"/>
    <w:rsid w:val="23BF5B07"/>
    <w:rsid w:val="23C11C5C"/>
    <w:rsid w:val="23D44AB0"/>
    <w:rsid w:val="23D96090"/>
    <w:rsid w:val="23FA6623"/>
    <w:rsid w:val="24042E63"/>
    <w:rsid w:val="240A0711"/>
    <w:rsid w:val="24173CAA"/>
    <w:rsid w:val="24212C3A"/>
    <w:rsid w:val="24340889"/>
    <w:rsid w:val="24357CE6"/>
    <w:rsid w:val="244758B5"/>
    <w:rsid w:val="24677CF2"/>
    <w:rsid w:val="246D1F1E"/>
    <w:rsid w:val="24814E6B"/>
    <w:rsid w:val="248C507E"/>
    <w:rsid w:val="24997B76"/>
    <w:rsid w:val="24A51F50"/>
    <w:rsid w:val="24B214DF"/>
    <w:rsid w:val="24C55441"/>
    <w:rsid w:val="24CD25BB"/>
    <w:rsid w:val="24E3336C"/>
    <w:rsid w:val="24EA2442"/>
    <w:rsid w:val="24EF141E"/>
    <w:rsid w:val="250B023F"/>
    <w:rsid w:val="251972A9"/>
    <w:rsid w:val="25565941"/>
    <w:rsid w:val="25571864"/>
    <w:rsid w:val="256F3E21"/>
    <w:rsid w:val="25751D88"/>
    <w:rsid w:val="25831D72"/>
    <w:rsid w:val="259F5720"/>
    <w:rsid w:val="25A5447F"/>
    <w:rsid w:val="25A617AE"/>
    <w:rsid w:val="25B814E1"/>
    <w:rsid w:val="25E178B5"/>
    <w:rsid w:val="25F0544D"/>
    <w:rsid w:val="26082254"/>
    <w:rsid w:val="261772AA"/>
    <w:rsid w:val="263C0AC6"/>
    <w:rsid w:val="26541E80"/>
    <w:rsid w:val="26590D71"/>
    <w:rsid w:val="265B0FE1"/>
    <w:rsid w:val="26684443"/>
    <w:rsid w:val="26696967"/>
    <w:rsid w:val="266B0064"/>
    <w:rsid w:val="2671601B"/>
    <w:rsid w:val="268B074F"/>
    <w:rsid w:val="26910958"/>
    <w:rsid w:val="26946721"/>
    <w:rsid w:val="26BC42F5"/>
    <w:rsid w:val="26C51673"/>
    <w:rsid w:val="26EB3CF0"/>
    <w:rsid w:val="270E0153"/>
    <w:rsid w:val="270E40AA"/>
    <w:rsid w:val="27181169"/>
    <w:rsid w:val="271E6FB9"/>
    <w:rsid w:val="2737249E"/>
    <w:rsid w:val="27436E82"/>
    <w:rsid w:val="275A67FD"/>
    <w:rsid w:val="275F095E"/>
    <w:rsid w:val="27654608"/>
    <w:rsid w:val="27797AB1"/>
    <w:rsid w:val="278E13C2"/>
    <w:rsid w:val="279E6FF6"/>
    <w:rsid w:val="27B3359B"/>
    <w:rsid w:val="27CD1F3C"/>
    <w:rsid w:val="27CD689D"/>
    <w:rsid w:val="27E320D9"/>
    <w:rsid w:val="27E3760C"/>
    <w:rsid w:val="27EB6534"/>
    <w:rsid w:val="27EE36C4"/>
    <w:rsid w:val="27F1607E"/>
    <w:rsid w:val="280349D7"/>
    <w:rsid w:val="2817182A"/>
    <w:rsid w:val="28261BB8"/>
    <w:rsid w:val="28335EBE"/>
    <w:rsid w:val="28485A15"/>
    <w:rsid w:val="2853664C"/>
    <w:rsid w:val="28550493"/>
    <w:rsid w:val="28552D17"/>
    <w:rsid w:val="28601E8A"/>
    <w:rsid w:val="287E2C7B"/>
    <w:rsid w:val="288362E8"/>
    <w:rsid w:val="28896366"/>
    <w:rsid w:val="2895052E"/>
    <w:rsid w:val="289736D6"/>
    <w:rsid w:val="28985AC2"/>
    <w:rsid w:val="289C331B"/>
    <w:rsid w:val="28C36618"/>
    <w:rsid w:val="28E43CDE"/>
    <w:rsid w:val="28E63CF2"/>
    <w:rsid w:val="28F5126C"/>
    <w:rsid w:val="29154883"/>
    <w:rsid w:val="292D7DCD"/>
    <w:rsid w:val="29381CE9"/>
    <w:rsid w:val="294E1229"/>
    <w:rsid w:val="29521386"/>
    <w:rsid w:val="2958769B"/>
    <w:rsid w:val="296F0ADB"/>
    <w:rsid w:val="297B758F"/>
    <w:rsid w:val="297C6FB2"/>
    <w:rsid w:val="29921C14"/>
    <w:rsid w:val="29986E09"/>
    <w:rsid w:val="299D5118"/>
    <w:rsid w:val="29BE47B1"/>
    <w:rsid w:val="29CA5A85"/>
    <w:rsid w:val="29CC67D1"/>
    <w:rsid w:val="29DA6910"/>
    <w:rsid w:val="29E30BDE"/>
    <w:rsid w:val="29F217F2"/>
    <w:rsid w:val="29F808E9"/>
    <w:rsid w:val="2A012A6E"/>
    <w:rsid w:val="2A0C5DDF"/>
    <w:rsid w:val="2A2B33FF"/>
    <w:rsid w:val="2A304FCF"/>
    <w:rsid w:val="2A541BFD"/>
    <w:rsid w:val="2A5E6C51"/>
    <w:rsid w:val="2A6C52BE"/>
    <w:rsid w:val="2A703001"/>
    <w:rsid w:val="2A8074A3"/>
    <w:rsid w:val="2A8517F1"/>
    <w:rsid w:val="2A9D30F3"/>
    <w:rsid w:val="2AC72F37"/>
    <w:rsid w:val="2ADC66BD"/>
    <w:rsid w:val="2AE829DE"/>
    <w:rsid w:val="2B151A29"/>
    <w:rsid w:val="2B193FC0"/>
    <w:rsid w:val="2B2A5BCC"/>
    <w:rsid w:val="2B3214D4"/>
    <w:rsid w:val="2B5D5522"/>
    <w:rsid w:val="2B6677EB"/>
    <w:rsid w:val="2B773505"/>
    <w:rsid w:val="2B7C7736"/>
    <w:rsid w:val="2BB1692C"/>
    <w:rsid w:val="2BB172BF"/>
    <w:rsid w:val="2BB67139"/>
    <w:rsid w:val="2C053F31"/>
    <w:rsid w:val="2C3F64D6"/>
    <w:rsid w:val="2C48645E"/>
    <w:rsid w:val="2C5D5807"/>
    <w:rsid w:val="2C7C7A3B"/>
    <w:rsid w:val="2C7D1A05"/>
    <w:rsid w:val="2C85577B"/>
    <w:rsid w:val="2C8A3730"/>
    <w:rsid w:val="2C8E46BB"/>
    <w:rsid w:val="2CAD13E0"/>
    <w:rsid w:val="2CC42329"/>
    <w:rsid w:val="2CC45CC4"/>
    <w:rsid w:val="2CD51280"/>
    <w:rsid w:val="2CFE588F"/>
    <w:rsid w:val="2CFF7734"/>
    <w:rsid w:val="2D2467C2"/>
    <w:rsid w:val="2D3C71CA"/>
    <w:rsid w:val="2D5462C2"/>
    <w:rsid w:val="2D5F44D3"/>
    <w:rsid w:val="2D62568F"/>
    <w:rsid w:val="2D676C30"/>
    <w:rsid w:val="2D822A3D"/>
    <w:rsid w:val="2D951C26"/>
    <w:rsid w:val="2D993F70"/>
    <w:rsid w:val="2DA15059"/>
    <w:rsid w:val="2DA4078D"/>
    <w:rsid w:val="2DAB1B97"/>
    <w:rsid w:val="2DB955A0"/>
    <w:rsid w:val="2DC053F7"/>
    <w:rsid w:val="2DC21CCF"/>
    <w:rsid w:val="2DC82EEC"/>
    <w:rsid w:val="2DD9710F"/>
    <w:rsid w:val="2DEE7D7B"/>
    <w:rsid w:val="2E106AAA"/>
    <w:rsid w:val="2E1D524D"/>
    <w:rsid w:val="2E374561"/>
    <w:rsid w:val="2E624ED5"/>
    <w:rsid w:val="2E6B5FB9"/>
    <w:rsid w:val="2E796377"/>
    <w:rsid w:val="2E7F4945"/>
    <w:rsid w:val="2EA0058E"/>
    <w:rsid w:val="2EA23E74"/>
    <w:rsid w:val="2ECA0B93"/>
    <w:rsid w:val="2EF667B7"/>
    <w:rsid w:val="2F0B01A9"/>
    <w:rsid w:val="2F102AEF"/>
    <w:rsid w:val="2F256289"/>
    <w:rsid w:val="2F277269"/>
    <w:rsid w:val="2F3D41D5"/>
    <w:rsid w:val="2F445100"/>
    <w:rsid w:val="2F4D2A21"/>
    <w:rsid w:val="2F6A0B86"/>
    <w:rsid w:val="2F6D2FFD"/>
    <w:rsid w:val="2F7C0DC0"/>
    <w:rsid w:val="2F8640AD"/>
    <w:rsid w:val="2F881D30"/>
    <w:rsid w:val="2F8A7474"/>
    <w:rsid w:val="2F8D7E33"/>
    <w:rsid w:val="2FA22FDD"/>
    <w:rsid w:val="2FB238C3"/>
    <w:rsid w:val="2FD1710B"/>
    <w:rsid w:val="2FE504B7"/>
    <w:rsid w:val="2FEF2E6C"/>
    <w:rsid w:val="301816D1"/>
    <w:rsid w:val="302C3EDF"/>
    <w:rsid w:val="302E3742"/>
    <w:rsid w:val="30320F9B"/>
    <w:rsid w:val="303711F7"/>
    <w:rsid w:val="303A4ACA"/>
    <w:rsid w:val="305B1182"/>
    <w:rsid w:val="305D1CCE"/>
    <w:rsid w:val="305E4A0C"/>
    <w:rsid w:val="3067576B"/>
    <w:rsid w:val="30752DA6"/>
    <w:rsid w:val="308710A4"/>
    <w:rsid w:val="30912A6D"/>
    <w:rsid w:val="30966CE7"/>
    <w:rsid w:val="30AD74CF"/>
    <w:rsid w:val="30B55DD1"/>
    <w:rsid w:val="30F02BD1"/>
    <w:rsid w:val="310C0AD0"/>
    <w:rsid w:val="3114789C"/>
    <w:rsid w:val="311722F5"/>
    <w:rsid w:val="311D76D2"/>
    <w:rsid w:val="311E4A7F"/>
    <w:rsid w:val="312E26C2"/>
    <w:rsid w:val="312F6DB8"/>
    <w:rsid w:val="31375428"/>
    <w:rsid w:val="31464C62"/>
    <w:rsid w:val="3154062A"/>
    <w:rsid w:val="315B4A26"/>
    <w:rsid w:val="316505E8"/>
    <w:rsid w:val="316B5D6B"/>
    <w:rsid w:val="3171622A"/>
    <w:rsid w:val="319F31B6"/>
    <w:rsid w:val="31A94482"/>
    <w:rsid w:val="31AB370F"/>
    <w:rsid w:val="31B609AA"/>
    <w:rsid w:val="31BD6EAD"/>
    <w:rsid w:val="31D2101F"/>
    <w:rsid w:val="31F94B6A"/>
    <w:rsid w:val="31FA63F4"/>
    <w:rsid w:val="324B17FE"/>
    <w:rsid w:val="324F7BB6"/>
    <w:rsid w:val="325565F0"/>
    <w:rsid w:val="32775632"/>
    <w:rsid w:val="3283005E"/>
    <w:rsid w:val="32A3414C"/>
    <w:rsid w:val="32B34312"/>
    <w:rsid w:val="32B563C3"/>
    <w:rsid w:val="32CE6DAC"/>
    <w:rsid w:val="32D14858"/>
    <w:rsid w:val="32D3116D"/>
    <w:rsid w:val="32D46BDF"/>
    <w:rsid w:val="32DB1B8F"/>
    <w:rsid w:val="32F256B1"/>
    <w:rsid w:val="32F97CD5"/>
    <w:rsid w:val="32FA0C51"/>
    <w:rsid w:val="32FF4295"/>
    <w:rsid w:val="33101B57"/>
    <w:rsid w:val="33353669"/>
    <w:rsid w:val="334A2082"/>
    <w:rsid w:val="334D4B04"/>
    <w:rsid w:val="33521F74"/>
    <w:rsid w:val="335F1FA1"/>
    <w:rsid w:val="33634795"/>
    <w:rsid w:val="336F00EB"/>
    <w:rsid w:val="33711628"/>
    <w:rsid w:val="338A5133"/>
    <w:rsid w:val="33AB014B"/>
    <w:rsid w:val="33B230EA"/>
    <w:rsid w:val="33C86452"/>
    <w:rsid w:val="33DB6CCF"/>
    <w:rsid w:val="34066E74"/>
    <w:rsid w:val="34081E12"/>
    <w:rsid w:val="340F2BDD"/>
    <w:rsid w:val="34190852"/>
    <w:rsid w:val="34311DD7"/>
    <w:rsid w:val="343A32E7"/>
    <w:rsid w:val="344A7E45"/>
    <w:rsid w:val="344D2F56"/>
    <w:rsid w:val="34587F41"/>
    <w:rsid w:val="345D2C7E"/>
    <w:rsid w:val="34665F56"/>
    <w:rsid w:val="346F257B"/>
    <w:rsid w:val="34924FC4"/>
    <w:rsid w:val="34A02734"/>
    <w:rsid w:val="34C13400"/>
    <w:rsid w:val="34C21B8F"/>
    <w:rsid w:val="34C5119C"/>
    <w:rsid w:val="35115864"/>
    <w:rsid w:val="352132A8"/>
    <w:rsid w:val="35380BBF"/>
    <w:rsid w:val="353A5EDD"/>
    <w:rsid w:val="353E145E"/>
    <w:rsid w:val="35583F76"/>
    <w:rsid w:val="358F2980"/>
    <w:rsid w:val="35903655"/>
    <w:rsid w:val="35924F3A"/>
    <w:rsid w:val="35B939CB"/>
    <w:rsid w:val="35EC69C3"/>
    <w:rsid w:val="362A1D29"/>
    <w:rsid w:val="36432BB5"/>
    <w:rsid w:val="36446861"/>
    <w:rsid w:val="364B233B"/>
    <w:rsid w:val="365B3550"/>
    <w:rsid w:val="367F0C5B"/>
    <w:rsid w:val="36861FAD"/>
    <w:rsid w:val="369B7657"/>
    <w:rsid w:val="36AD7E4C"/>
    <w:rsid w:val="36AE490F"/>
    <w:rsid w:val="36AF3D05"/>
    <w:rsid w:val="36D45A97"/>
    <w:rsid w:val="36E8727B"/>
    <w:rsid w:val="36ED73BD"/>
    <w:rsid w:val="36F30888"/>
    <w:rsid w:val="36FE64ED"/>
    <w:rsid w:val="371A4D75"/>
    <w:rsid w:val="373108D4"/>
    <w:rsid w:val="37421881"/>
    <w:rsid w:val="3762330F"/>
    <w:rsid w:val="37AE0570"/>
    <w:rsid w:val="37AE4516"/>
    <w:rsid w:val="37B879C4"/>
    <w:rsid w:val="37C80CBF"/>
    <w:rsid w:val="37CF0BB3"/>
    <w:rsid w:val="37D451C8"/>
    <w:rsid w:val="37D9089A"/>
    <w:rsid w:val="37E0537C"/>
    <w:rsid w:val="37E1079C"/>
    <w:rsid w:val="37F04D2F"/>
    <w:rsid w:val="37F30E4E"/>
    <w:rsid w:val="37F8487A"/>
    <w:rsid w:val="37F92887"/>
    <w:rsid w:val="37FD0952"/>
    <w:rsid w:val="37FE4B49"/>
    <w:rsid w:val="38143841"/>
    <w:rsid w:val="38274777"/>
    <w:rsid w:val="38280C55"/>
    <w:rsid w:val="38282D4D"/>
    <w:rsid w:val="38411385"/>
    <w:rsid w:val="384358B1"/>
    <w:rsid w:val="3870629E"/>
    <w:rsid w:val="387D5F09"/>
    <w:rsid w:val="38972264"/>
    <w:rsid w:val="38A5428E"/>
    <w:rsid w:val="38B24BC5"/>
    <w:rsid w:val="38B94C45"/>
    <w:rsid w:val="38BC2C05"/>
    <w:rsid w:val="38D5699F"/>
    <w:rsid w:val="38D65704"/>
    <w:rsid w:val="38DC74A7"/>
    <w:rsid w:val="38E100C2"/>
    <w:rsid w:val="38E20D3F"/>
    <w:rsid w:val="390741F4"/>
    <w:rsid w:val="390A4620"/>
    <w:rsid w:val="39203F8F"/>
    <w:rsid w:val="39225E0E"/>
    <w:rsid w:val="392B4CC2"/>
    <w:rsid w:val="392C0A3B"/>
    <w:rsid w:val="39582851"/>
    <w:rsid w:val="397C648E"/>
    <w:rsid w:val="398259F2"/>
    <w:rsid w:val="39830F07"/>
    <w:rsid w:val="39905D4A"/>
    <w:rsid w:val="39D11041"/>
    <w:rsid w:val="39E34343"/>
    <w:rsid w:val="39F73541"/>
    <w:rsid w:val="3A016262"/>
    <w:rsid w:val="3A174DE2"/>
    <w:rsid w:val="3A3C3DC7"/>
    <w:rsid w:val="3A3E4582"/>
    <w:rsid w:val="3A5E3E04"/>
    <w:rsid w:val="3A926509"/>
    <w:rsid w:val="3A9740AB"/>
    <w:rsid w:val="3A986FED"/>
    <w:rsid w:val="3AE71281"/>
    <w:rsid w:val="3AEF0890"/>
    <w:rsid w:val="3AFE561F"/>
    <w:rsid w:val="3B200FE2"/>
    <w:rsid w:val="3B2B1491"/>
    <w:rsid w:val="3B3F4A55"/>
    <w:rsid w:val="3B501A8F"/>
    <w:rsid w:val="3B657F1A"/>
    <w:rsid w:val="3B682D5E"/>
    <w:rsid w:val="3B847F01"/>
    <w:rsid w:val="3B866FF0"/>
    <w:rsid w:val="3B8A0E8C"/>
    <w:rsid w:val="3BBA28BA"/>
    <w:rsid w:val="3BBE7E61"/>
    <w:rsid w:val="3BDF3B42"/>
    <w:rsid w:val="3C0123CD"/>
    <w:rsid w:val="3C0C1C5B"/>
    <w:rsid w:val="3C2E4B74"/>
    <w:rsid w:val="3C3C5CFE"/>
    <w:rsid w:val="3C4679CD"/>
    <w:rsid w:val="3C5357A3"/>
    <w:rsid w:val="3C586AFE"/>
    <w:rsid w:val="3C774586"/>
    <w:rsid w:val="3C8B5092"/>
    <w:rsid w:val="3C9E1CF4"/>
    <w:rsid w:val="3CC16A39"/>
    <w:rsid w:val="3CC80A7A"/>
    <w:rsid w:val="3CC90259"/>
    <w:rsid w:val="3CFB02FD"/>
    <w:rsid w:val="3D102D73"/>
    <w:rsid w:val="3D16557E"/>
    <w:rsid w:val="3D2008B6"/>
    <w:rsid w:val="3D25198E"/>
    <w:rsid w:val="3D2B3DE3"/>
    <w:rsid w:val="3D3E7E89"/>
    <w:rsid w:val="3D457D8D"/>
    <w:rsid w:val="3D493642"/>
    <w:rsid w:val="3D793A53"/>
    <w:rsid w:val="3D976558"/>
    <w:rsid w:val="3DBC7D0E"/>
    <w:rsid w:val="3DC76955"/>
    <w:rsid w:val="3DE0100D"/>
    <w:rsid w:val="3DE250CD"/>
    <w:rsid w:val="3DE8227C"/>
    <w:rsid w:val="3DF05082"/>
    <w:rsid w:val="3DF8596C"/>
    <w:rsid w:val="3E122CDE"/>
    <w:rsid w:val="3E3146F2"/>
    <w:rsid w:val="3E5566D4"/>
    <w:rsid w:val="3E5959DA"/>
    <w:rsid w:val="3E751487"/>
    <w:rsid w:val="3E86299B"/>
    <w:rsid w:val="3E8E68AE"/>
    <w:rsid w:val="3E8F07CB"/>
    <w:rsid w:val="3E90021E"/>
    <w:rsid w:val="3ED53889"/>
    <w:rsid w:val="3EE94729"/>
    <w:rsid w:val="3F0044FB"/>
    <w:rsid w:val="3F19736B"/>
    <w:rsid w:val="3F265BE8"/>
    <w:rsid w:val="3F2D0E1A"/>
    <w:rsid w:val="3F361F2E"/>
    <w:rsid w:val="3F3C08E5"/>
    <w:rsid w:val="3F4C71B5"/>
    <w:rsid w:val="3F5235EF"/>
    <w:rsid w:val="3F542A99"/>
    <w:rsid w:val="3FA41611"/>
    <w:rsid w:val="3FAB28A3"/>
    <w:rsid w:val="3FD37E62"/>
    <w:rsid w:val="3FDB6F47"/>
    <w:rsid w:val="3FDD0D6E"/>
    <w:rsid w:val="4024246B"/>
    <w:rsid w:val="4042124B"/>
    <w:rsid w:val="404A0617"/>
    <w:rsid w:val="404C1345"/>
    <w:rsid w:val="406202E6"/>
    <w:rsid w:val="407401D4"/>
    <w:rsid w:val="40773B80"/>
    <w:rsid w:val="407A6EF0"/>
    <w:rsid w:val="40876843"/>
    <w:rsid w:val="40896EEE"/>
    <w:rsid w:val="408F7CD8"/>
    <w:rsid w:val="409C4AF1"/>
    <w:rsid w:val="40A57752"/>
    <w:rsid w:val="40AA0BC3"/>
    <w:rsid w:val="40AB3DBD"/>
    <w:rsid w:val="40BB02E7"/>
    <w:rsid w:val="40CF4E36"/>
    <w:rsid w:val="40D02754"/>
    <w:rsid w:val="40DD5B87"/>
    <w:rsid w:val="410B53D9"/>
    <w:rsid w:val="410C54D9"/>
    <w:rsid w:val="41173547"/>
    <w:rsid w:val="41693476"/>
    <w:rsid w:val="41811624"/>
    <w:rsid w:val="41847666"/>
    <w:rsid w:val="418E1F84"/>
    <w:rsid w:val="4198423B"/>
    <w:rsid w:val="419D7174"/>
    <w:rsid w:val="41A21455"/>
    <w:rsid w:val="41A77051"/>
    <w:rsid w:val="41B96BE3"/>
    <w:rsid w:val="41E80D0F"/>
    <w:rsid w:val="41F32E35"/>
    <w:rsid w:val="41FC26D8"/>
    <w:rsid w:val="42014067"/>
    <w:rsid w:val="420D11AC"/>
    <w:rsid w:val="42257689"/>
    <w:rsid w:val="42362441"/>
    <w:rsid w:val="423E7F3E"/>
    <w:rsid w:val="42406199"/>
    <w:rsid w:val="424443C9"/>
    <w:rsid w:val="42891AF3"/>
    <w:rsid w:val="42B8599B"/>
    <w:rsid w:val="42C11AE6"/>
    <w:rsid w:val="42C247A4"/>
    <w:rsid w:val="42C7679B"/>
    <w:rsid w:val="42C8472B"/>
    <w:rsid w:val="42E00F90"/>
    <w:rsid w:val="42E46F22"/>
    <w:rsid w:val="42F979F6"/>
    <w:rsid w:val="42FB6149"/>
    <w:rsid w:val="42FD12EF"/>
    <w:rsid w:val="43051503"/>
    <w:rsid w:val="43094E58"/>
    <w:rsid w:val="430B529D"/>
    <w:rsid w:val="431D23A7"/>
    <w:rsid w:val="433841C2"/>
    <w:rsid w:val="433A730B"/>
    <w:rsid w:val="434A043B"/>
    <w:rsid w:val="434A67A6"/>
    <w:rsid w:val="434F61BB"/>
    <w:rsid w:val="43820D0B"/>
    <w:rsid w:val="43824658"/>
    <w:rsid w:val="438837DF"/>
    <w:rsid w:val="438C0A54"/>
    <w:rsid w:val="439F39E9"/>
    <w:rsid w:val="43A975CD"/>
    <w:rsid w:val="43AD01AE"/>
    <w:rsid w:val="43AF0A03"/>
    <w:rsid w:val="43DB3F23"/>
    <w:rsid w:val="440B1E39"/>
    <w:rsid w:val="44160914"/>
    <w:rsid w:val="44221CA6"/>
    <w:rsid w:val="442272B0"/>
    <w:rsid w:val="44441C7E"/>
    <w:rsid w:val="444C63B2"/>
    <w:rsid w:val="44593733"/>
    <w:rsid w:val="445F2A31"/>
    <w:rsid w:val="44671DAC"/>
    <w:rsid w:val="44705E35"/>
    <w:rsid w:val="44927BB2"/>
    <w:rsid w:val="44AE3D02"/>
    <w:rsid w:val="44B65390"/>
    <w:rsid w:val="44BC2283"/>
    <w:rsid w:val="44BF2763"/>
    <w:rsid w:val="44D82741"/>
    <w:rsid w:val="44D96CE5"/>
    <w:rsid w:val="44E528CA"/>
    <w:rsid w:val="44EB16B7"/>
    <w:rsid w:val="44ED5C79"/>
    <w:rsid w:val="44F22646"/>
    <w:rsid w:val="44F95F4B"/>
    <w:rsid w:val="450734AC"/>
    <w:rsid w:val="45084CA0"/>
    <w:rsid w:val="451A0BA6"/>
    <w:rsid w:val="453A21AF"/>
    <w:rsid w:val="457156B7"/>
    <w:rsid w:val="457E572B"/>
    <w:rsid w:val="4586246A"/>
    <w:rsid w:val="45877724"/>
    <w:rsid w:val="458C4710"/>
    <w:rsid w:val="458E7F26"/>
    <w:rsid w:val="459201EB"/>
    <w:rsid w:val="459458FA"/>
    <w:rsid w:val="45A47F8C"/>
    <w:rsid w:val="45A53A2B"/>
    <w:rsid w:val="45C0656A"/>
    <w:rsid w:val="45C641DB"/>
    <w:rsid w:val="45D53394"/>
    <w:rsid w:val="45D554C1"/>
    <w:rsid w:val="45DB181E"/>
    <w:rsid w:val="45DD2C6A"/>
    <w:rsid w:val="45F27E71"/>
    <w:rsid w:val="46056C1B"/>
    <w:rsid w:val="46065148"/>
    <w:rsid w:val="460E3E5D"/>
    <w:rsid w:val="463B5D1A"/>
    <w:rsid w:val="46503583"/>
    <w:rsid w:val="465223F7"/>
    <w:rsid w:val="46550770"/>
    <w:rsid w:val="46633D18"/>
    <w:rsid w:val="466B3126"/>
    <w:rsid w:val="467001B9"/>
    <w:rsid w:val="46707A4B"/>
    <w:rsid w:val="4690077B"/>
    <w:rsid w:val="469B050A"/>
    <w:rsid w:val="46B522AF"/>
    <w:rsid w:val="46EA58B1"/>
    <w:rsid w:val="46F73840"/>
    <w:rsid w:val="47195A34"/>
    <w:rsid w:val="47412DD5"/>
    <w:rsid w:val="47675349"/>
    <w:rsid w:val="479617D9"/>
    <w:rsid w:val="479D43B4"/>
    <w:rsid w:val="47A02CBA"/>
    <w:rsid w:val="47A95B9D"/>
    <w:rsid w:val="47CF57AA"/>
    <w:rsid w:val="47D80F2B"/>
    <w:rsid w:val="47E016ED"/>
    <w:rsid w:val="47FD07D6"/>
    <w:rsid w:val="48065BEB"/>
    <w:rsid w:val="482C011A"/>
    <w:rsid w:val="48303B9C"/>
    <w:rsid w:val="48477DBB"/>
    <w:rsid w:val="485779D7"/>
    <w:rsid w:val="48594C7C"/>
    <w:rsid w:val="48603449"/>
    <w:rsid w:val="486313D3"/>
    <w:rsid w:val="4865631E"/>
    <w:rsid w:val="48717A8C"/>
    <w:rsid w:val="48814B3B"/>
    <w:rsid w:val="488978EC"/>
    <w:rsid w:val="48904B42"/>
    <w:rsid w:val="48B75C12"/>
    <w:rsid w:val="48BF1A3C"/>
    <w:rsid w:val="48C14619"/>
    <w:rsid w:val="48C65B5D"/>
    <w:rsid w:val="48D367DD"/>
    <w:rsid w:val="48E531C2"/>
    <w:rsid w:val="48EA6EB5"/>
    <w:rsid w:val="4922114E"/>
    <w:rsid w:val="49224E17"/>
    <w:rsid w:val="49255DFC"/>
    <w:rsid w:val="492F1D3A"/>
    <w:rsid w:val="493014BE"/>
    <w:rsid w:val="493B39E1"/>
    <w:rsid w:val="49570D63"/>
    <w:rsid w:val="4957194D"/>
    <w:rsid w:val="495866F2"/>
    <w:rsid w:val="49642047"/>
    <w:rsid w:val="498905A4"/>
    <w:rsid w:val="498D3578"/>
    <w:rsid w:val="499A42F0"/>
    <w:rsid w:val="499E651A"/>
    <w:rsid w:val="49BF04D0"/>
    <w:rsid w:val="49C44B93"/>
    <w:rsid w:val="49C53687"/>
    <w:rsid w:val="49DC5897"/>
    <w:rsid w:val="49E01E0C"/>
    <w:rsid w:val="49E04D5D"/>
    <w:rsid w:val="49F217E5"/>
    <w:rsid w:val="49F512FD"/>
    <w:rsid w:val="49FE0EDF"/>
    <w:rsid w:val="4A036BAE"/>
    <w:rsid w:val="4A0D5D17"/>
    <w:rsid w:val="4A243803"/>
    <w:rsid w:val="4A3115EB"/>
    <w:rsid w:val="4A474693"/>
    <w:rsid w:val="4A4D7B08"/>
    <w:rsid w:val="4A803EAC"/>
    <w:rsid w:val="4A874012"/>
    <w:rsid w:val="4A8E4610"/>
    <w:rsid w:val="4A9401EE"/>
    <w:rsid w:val="4AA0783A"/>
    <w:rsid w:val="4AA46965"/>
    <w:rsid w:val="4AA71EC4"/>
    <w:rsid w:val="4AAE4FA0"/>
    <w:rsid w:val="4AAE7950"/>
    <w:rsid w:val="4AB22A8F"/>
    <w:rsid w:val="4AB83FB0"/>
    <w:rsid w:val="4ADD4540"/>
    <w:rsid w:val="4AE44E4E"/>
    <w:rsid w:val="4AEE1091"/>
    <w:rsid w:val="4AEF6A17"/>
    <w:rsid w:val="4AFB281A"/>
    <w:rsid w:val="4B151BB4"/>
    <w:rsid w:val="4B4B0868"/>
    <w:rsid w:val="4B626E7F"/>
    <w:rsid w:val="4B683A07"/>
    <w:rsid w:val="4B6F13A9"/>
    <w:rsid w:val="4B7D6ED4"/>
    <w:rsid w:val="4B8951B5"/>
    <w:rsid w:val="4B8C0719"/>
    <w:rsid w:val="4B8C1BDC"/>
    <w:rsid w:val="4B8F29F3"/>
    <w:rsid w:val="4BB328F5"/>
    <w:rsid w:val="4BCF0C76"/>
    <w:rsid w:val="4BE24406"/>
    <w:rsid w:val="4BEC10D6"/>
    <w:rsid w:val="4BF35B33"/>
    <w:rsid w:val="4C0364A2"/>
    <w:rsid w:val="4C083A6B"/>
    <w:rsid w:val="4C18585B"/>
    <w:rsid w:val="4C1C7E88"/>
    <w:rsid w:val="4C1D7300"/>
    <w:rsid w:val="4C26046F"/>
    <w:rsid w:val="4C28053F"/>
    <w:rsid w:val="4C4F1702"/>
    <w:rsid w:val="4C596AA6"/>
    <w:rsid w:val="4C6C11E2"/>
    <w:rsid w:val="4CAA3CF8"/>
    <w:rsid w:val="4CBF0B23"/>
    <w:rsid w:val="4CC91253"/>
    <w:rsid w:val="4CC95826"/>
    <w:rsid w:val="4CD72ECF"/>
    <w:rsid w:val="4CE80145"/>
    <w:rsid w:val="4CEB1D06"/>
    <w:rsid w:val="4CFD1026"/>
    <w:rsid w:val="4D1F4A55"/>
    <w:rsid w:val="4D20747A"/>
    <w:rsid w:val="4D3676B3"/>
    <w:rsid w:val="4D5161C7"/>
    <w:rsid w:val="4D5C0EC9"/>
    <w:rsid w:val="4D853C39"/>
    <w:rsid w:val="4DBC3DA8"/>
    <w:rsid w:val="4DBE1745"/>
    <w:rsid w:val="4DC94490"/>
    <w:rsid w:val="4DD17035"/>
    <w:rsid w:val="4DD94074"/>
    <w:rsid w:val="4DE51A95"/>
    <w:rsid w:val="4DF74D1B"/>
    <w:rsid w:val="4E1A470D"/>
    <w:rsid w:val="4E294D5A"/>
    <w:rsid w:val="4E463B41"/>
    <w:rsid w:val="4E68562C"/>
    <w:rsid w:val="4E7D7F22"/>
    <w:rsid w:val="4E89337E"/>
    <w:rsid w:val="4E8B4500"/>
    <w:rsid w:val="4E8D7FB5"/>
    <w:rsid w:val="4EAA5F5B"/>
    <w:rsid w:val="4EAC4F2B"/>
    <w:rsid w:val="4EC27EAA"/>
    <w:rsid w:val="4EC5306C"/>
    <w:rsid w:val="4EDA3A9C"/>
    <w:rsid w:val="4EEE4DAD"/>
    <w:rsid w:val="4F056692"/>
    <w:rsid w:val="4F2754BC"/>
    <w:rsid w:val="4F2834D1"/>
    <w:rsid w:val="4F2B3870"/>
    <w:rsid w:val="4F341EEA"/>
    <w:rsid w:val="4F4E204A"/>
    <w:rsid w:val="4F7E7804"/>
    <w:rsid w:val="4F8D7062"/>
    <w:rsid w:val="4FB65CCD"/>
    <w:rsid w:val="4FB972A9"/>
    <w:rsid w:val="4FBD4E00"/>
    <w:rsid w:val="4FBF73EF"/>
    <w:rsid w:val="4FC765AD"/>
    <w:rsid w:val="4FDC241B"/>
    <w:rsid w:val="4FE87180"/>
    <w:rsid w:val="4FEE4C58"/>
    <w:rsid w:val="4FF7503E"/>
    <w:rsid w:val="500C2B1D"/>
    <w:rsid w:val="500E6291"/>
    <w:rsid w:val="50130B14"/>
    <w:rsid w:val="501D1B02"/>
    <w:rsid w:val="503A58E8"/>
    <w:rsid w:val="50426F73"/>
    <w:rsid w:val="504C6E7E"/>
    <w:rsid w:val="505963C8"/>
    <w:rsid w:val="506444BC"/>
    <w:rsid w:val="50667122"/>
    <w:rsid w:val="506F336C"/>
    <w:rsid w:val="507D45CC"/>
    <w:rsid w:val="50852AB2"/>
    <w:rsid w:val="50AA556A"/>
    <w:rsid w:val="50AE34A0"/>
    <w:rsid w:val="50B045AB"/>
    <w:rsid w:val="50EE17C7"/>
    <w:rsid w:val="512E3212"/>
    <w:rsid w:val="513A3F91"/>
    <w:rsid w:val="516516EA"/>
    <w:rsid w:val="516D78D9"/>
    <w:rsid w:val="51712F79"/>
    <w:rsid w:val="51835E95"/>
    <w:rsid w:val="518439F6"/>
    <w:rsid w:val="518A1123"/>
    <w:rsid w:val="518D6E5A"/>
    <w:rsid w:val="51AE4F6C"/>
    <w:rsid w:val="51DD2D75"/>
    <w:rsid w:val="51E242A8"/>
    <w:rsid w:val="51E73F79"/>
    <w:rsid w:val="51EB4D3B"/>
    <w:rsid w:val="51F07536"/>
    <w:rsid w:val="52142B51"/>
    <w:rsid w:val="52391092"/>
    <w:rsid w:val="524C467F"/>
    <w:rsid w:val="524D493D"/>
    <w:rsid w:val="526A4BA2"/>
    <w:rsid w:val="52804F75"/>
    <w:rsid w:val="528B71DF"/>
    <w:rsid w:val="52943481"/>
    <w:rsid w:val="5297553C"/>
    <w:rsid w:val="52B8695C"/>
    <w:rsid w:val="52DE00A3"/>
    <w:rsid w:val="52DE26D4"/>
    <w:rsid w:val="52E11458"/>
    <w:rsid w:val="52E465D9"/>
    <w:rsid w:val="52E71655"/>
    <w:rsid w:val="52E7511B"/>
    <w:rsid w:val="5311687F"/>
    <w:rsid w:val="53122C69"/>
    <w:rsid w:val="53131A85"/>
    <w:rsid w:val="53182862"/>
    <w:rsid w:val="53221C47"/>
    <w:rsid w:val="532562F9"/>
    <w:rsid w:val="532E10FB"/>
    <w:rsid w:val="534E343B"/>
    <w:rsid w:val="53AB108E"/>
    <w:rsid w:val="53BF2F7A"/>
    <w:rsid w:val="53D02297"/>
    <w:rsid w:val="53DA5357"/>
    <w:rsid w:val="53E05450"/>
    <w:rsid w:val="53F8030D"/>
    <w:rsid w:val="53FD6839"/>
    <w:rsid w:val="54131AEA"/>
    <w:rsid w:val="54414D20"/>
    <w:rsid w:val="5449280C"/>
    <w:rsid w:val="54591907"/>
    <w:rsid w:val="546C5A12"/>
    <w:rsid w:val="548E2C25"/>
    <w:rsid w:val="54946172"/>
    <w:rsid w:val="54953710"/>
    <w:rsid w:val="54B06087"/>
    <w:rsid w:val="54C660D7"/>
    <w:rsid w:val="54F20E3F"/>
    <w:rsid w:val="54F773F9"/>
    <w:rsid w:val="55002C08"/>
    <w:rsid w:val="55132A8A"/>
    <w:rsid w:val="55172147"/>
    <w:rsid w:val="551D2E67"/>
    <w:rsid w:val="55271C1F"/>
    <w:rsid w:val="554A6449"/>
    <w:rsid w:val="55626EC9"/>
    <w:rsid w:val="556D77A6"/>
    <w:rsid w:val="557A014E"/>
    <w:rsid w:val="55A30DB3"/>
    <w:rsid w:val="55A92894"/>
    <w:rsid w:val="55AC0995"/>
    <w:rsid w:val="55C638F9"/>
    <w:rsid w:val="55D35E71"/>
    <w:rsid w:val="55E14425"/>
    <w:rsid w:val="560209A1"/>
    <w:rsid w:val="560C5155"/>
    <w:rsid w:val="560F7511"/>
    <w:rsid w:val="56314C40"/>
    <w:rsid w:val="56330AF6"/>
    <w:rsid w:val="5637484F"/>
    <w:rsid w:val="563D2221"/>
    <w:rsid w:val="563F2BD8"/>
    <w:rsid w:val="564207ED"/>
    <w:rsid w:val="566409F3"/>
    <w:rsid w:val="56693B75"/>
    <w:rsid w:val="56720525"/>
    <w:rsid w:val="5679539B"/>
    <w:rsid w:val="567E2150"/>
    <w:rsid w:val="568A3244"/>
    <w:rsid w:val="568B06F7"/>
    <w:rsid w:val="56BB44DE"/>
    <w:rsid w:val="56CB1014"/>
    <w:rsid w:val="56EC5CB9"/>
    <w:rsid w:val="56F1515A"/>
    <w:rsid w:val="56F651E7"/>
    <w:rsid w:val="57430DA8"/>
    <w:rsid w:val="57477DA6"/>
    <w:rsid w:val="57570875"/>
    <w:rsid w:val="57815C18"/>
    <w:rsid w:val="578F3442"/>
    <w:rsid w:val="57911D3D"/>
    <w:rsid w:val="57A3286D"/>
    <w:rsid w:val="57AD2F20"/>
    <w:rsid w:val="57CE79F7"/>
    <w:rsid w:val="57DF7856"/>
    <w:rsid w:val="57E14725"/>
    <w:rsid w:val="57E70D1E"/>
    <w:rsid w:val="57FB24E4"/>
    <w:rsid w:val="580805D6"/>
    <w:rsid w:val="5814296E"/>
    <w:rsid w:val="581C7EAE"/>
    <w:rsid w:val="584E295E"/>
    <w:rsid w:val="585A70CB"/>
    <w:rsid w:val="585C401C"/>
    <w:rsid w:val="58633250"/>
    <w:rsid w:val="5865477E"/>
    <w:rsid w:val="587D7954"/>
    <w:rsid w:val="588B432B"/>
    <w:rsid w:val="58A33730"/>
    <w:rsid w:val="58A673CC"/>
    <w:rsid w:val="58BC2BFA"/>
    <w:rsid w:val="58BD72A9"/>
    <w:rsid w:val="58BF7267"/>
    <w:rsid w:val="58C3414D"/>
    <w:rsid w:val="58E379E1"/>
    <w:rsid w:val="58F05189"/>
    <w:rsid w:val="58F93D12"/>
    <w:rsid w:val="590846E9"/>
    <w:rsid w:val="59131427"/>
    <w:rsid w:val="59377A33"/>
    <w:rsid w:val="593D3036"/>
    <w:rsid w:val="594576F1"/>
    <w:rsid w:val="595A3E8D"/>
    <w:rsid w:val="597E0EEE"/>
    <w:rsid w:val="598E5973"/>
    <w:rsid w:val="5999290C"/>
    <w:rsid w:val="599A45D3"/>
    <w:rsid w:val="599C38A9"/>
    <w:rsid w:val="59AD11E3"/>
    <w:rsid w:val="59C208D3"/>
    <w:rsid w:val="5A127C5A"/>
    <w:rsid w:val="5A170778"/>
    <w:rsid w:val="5A257CEA"/>
    <w:rsid w:val="5A551748"/>
    <w:rsid w:val="5A5578EB"/>
    <w:rsid w:val="5A647BDD"/>
    <w:rsid w:val="5A954F7C"/>
    <w:rsid w:val="5ABF2AEC"/>
    <w:rsid w:val="5ACA28A7"/>
    <w:rsid w:val="5ADC6441"/>
    <w:rsid w:val="5ADF1011"/>
    <w:rsid w:val="5AE8158A"/>
    <w:rsid w:val="5AEF4B29"/>
    <w:rsid w:val="5AF81998"/>
    <w:rsid w:val="5AFA4394"/>
    <w:rsid w:val="5B115AF1"/>
    <w:rsid w:val="5B2A3601"/>
    <w:rsid w:val="5B300758"/>
    <w:rsid w:val="5B3244A2"/>
    <w:rsid w:val="5B3F629A"/>
    <w:rsid w:val="5B411DB7"/>
    <w:rsid w:val="5B424FC7"/>
    <w:rsid w:val="5B45039B"/>
    <w:rsid w:val="5B61236E"/>
    <w:rsid w:val="5B735C64"/>
    <w:rsid w:val="5B7841B7"/>
    <w:rsid w:val="5B8A5421"/>
    <w:rsid w:val="5B8A7735"/>
    <w:rsid w:val="5B9D2507"/>
    <w:rsid w:val="5BB54D8E"/>
    <w:rsid w:val="5BB81272"/>
    <w:rsid w:val="5BD41D4F"/>
    <w:rsid w:val="5BF572D1"/>
    <w:rsid w:val="5BFE5BD6"/>
    <w:rsid w:val="5C1A183E"/>
    <w:rsid w:val="5C273FF1"/>
    <w:rsid w:val="5C280962"/>
    <w:rsid w:val="5C3013D7"/>
    <w:rsid w:val="5C4D2A65"/>
    <w:rsid w:val="5C73537A"/>
    <w:rsid w:val="5C754B8D"/>
    <w:rsid w:val="5C756E89"/>
    <w:rsid w:val="5C8B0840"/>
    <w:rsid w:val="5C964AD9"/>
    <w:rsid w:val="5C9E3C58"/>
    <w:rsid w:val="5CB63792"/>
    <w:rsid w:val="5CBD6CED"/>
    <w:rsid w:val="5CC64C09"/>
    <w:rsid w:val="5CD43B14"/>
    <w:rsid w:val="5CD517A8"/>
    <w:rsid w:val="5CDD1D84"/>
    <w:rsid w:val="5CEB3BD7"/>
    <w:rsid w:val="5CFC10D2"/>
    <w:rsid w:val="5D1042A4"/>
    <w:rsid w:val="5D145698"/>
    <w:rsid w:val="5D1523DC"/>
    <w:rsid w:val="5D276B29"/>
    <w:rsid w:val="5D326441"/>
    <w:rsid w:val="5D4171F3"/>
    <w:rsid w:val="5D4D2C30"/>
    <w:rsid w:val="5D4F4E2F"/>
    <w:rsid w:val="5D4F4F9F"/>
    <w:rsid w:val="5D4F601E"/>
    <w:rsid w:val="5D641565"/>
    <w:rsid w:val="5D785016"/>
    <w:rsid w:val="5D8004E5"/>
    <w:rsid w:val="5D841CBA"/>
    <w:rsid w:val="5D8A3A29"/>
    <w:rsid w:val="5D8C00F8"/>
    <w:rsid w:val="5D905553"/>
    <w:rsid w:val="5D920A56"/>
    <w:rsid w:val="5D9F5C95"/>
    <w:rsid w:val="5DB65E37"/>
    <w:rsid w:val="5DBA1B10"/>
    <w:rsid w:val="5DBB200B"/>
    <w:rsid w:val="5DC50E6F"/>
    <w:rsid w:val="5DC76DA7"/>
    <w:rsid w:val="5DF41277"/>
    <w:rsid w:val="5E017EE7"/>
    <w:rsid w:val="5E0A61E9"/>
    <w:rsid w:val="5E0C06DC"/>
    <w:rsid w:val="5E181564"/>
    <w:rsid w:val="5E313656"/>
    <w:rsid w:val="5E377DD2"/>
    <w:rsid w:val="5E393EDA"/>
    <w:rsid w:val="5E3E5BF0"/>
    <w:rsid w:val="5E3F64CF"/>
    <w:rsid w:val="5E53082D"/>
    <w:rsid w:val="5E6D1FB7"/>
    <w:rsid w:val="5E6E3C84"/>
    <w:rsid w:val="5E8E6757"/>
    <w:rsid w:val="5EA12A5B"/>
    <w:rsid w:val="5EA67AA0"/>
    <w:rsid w:val="5EAA1E65"/>
    <w:rsid w:val="5EBA0657"/>
    <w:rsid w:val="5EC96260"/>
    <w:rsid w:val="5ECA0FB6"/>
    <w:rsid w:val="5ED15AF4"/>
    <w:rsid w:val="5EE16876"/>
    <w:rsid w:val="5EE331B3"/>
    <w:rsid w:val="5EEA7216"/>
    <w:rsid w:val="5EF36C5E"/>
    <w:rsid w:val="5F057EA6"/>
    <w:rsid w:val="5F102188"/>
    <w:rsid w:val="5F106FD1"/>
    <w:rsid w:val="5F124EA1"/>
    <w:rsid w:val="5F170939"/>
    <w:rsid w:val="5F1D35EB"/>
    <w:rsid w:val="5F1E2FF7"/>
    <w:rsid w:val="5F221595"/>
    <w:rsid w:val="5F283117"/>
    <w:rsid w:val="5F2C52ED"/>
    <w:rsid w:val="5F4A6026"/>
    <w:rsid w:val="5F5441A0"/>
    <w:rsid w:val="5F6A464A"/>
    <w:rsid w:val="5F7637F7"/>
    <w:rsid w:val="5F836E49"/>
    <w:rsid w:val="5F87770F"/>
    <w:rsid w:val="5F8939B1"/>
    <w:rsid w:val="5F8D18E6"/>
    <w:rsid w:val="5F9A4D84"/>
    <w:rsid w:val="5FB0497B"/>
    <w:rsid w:val="5FCB425A"/>
    <w:rsid w:val="5FDB46B1"/>
    <w:rsid w:val="5FF6601A"/>
    <w:rsid w:val="60147D37"/>
    <w:rsid w:val="602844E5"/>
    <w:rsid w:val="602A0F80"/>
    <w:rsid w:val="604D64B1"/>
    <w:rsid w:val="60501329"/>
    <w:rsid w:val="6052350C"/>
    <w:rsid w:val="6057564A"/>
    <w:rsid w:val="605D2A22"/>
    <w:rsid w:val="606F55BD"/>
    <w:rsid w:val="607366D8"/>
    <w:rsid w:val="60841B82"/>
    <w:rsid w:val="60C92770"/>
    <w:rsid w:val="60C9425E"/>
    <w:rsid w:val="60D376BA"/>
    <w:rsid w:val="60DE6B61"/>
    <w:rsid w:val="60DF59BB"/>
    <w:rsid w:val="60E750C3"/>
    <w:rsid w:val="60ED1D05"/>
    <w:rsid w:val="61014D96"/>
    <w:rsid w:val="61061BA6"/>
    <w:rsid w:val="61176EE7"/>
    <w:rsid w:val="6130324B"/>
    <w:rsid w:val="614457D6"/>
    <w:rsid w:val="61471E39"/>
    <w:rsid w:val="61561BDD"/>
    <w:rsid w:val="61706C21"/>
    <w:rsid w:val="61736CA9"/>
    <w:rsid w:val="61813521"/>
    <w:rsid w:val="618970E5"/>
    <w:rsid w:val="618E7131"/>
    <w:rsid w:val="61A42FB4"/>
    <w:rsid w:val="61A8364C"/>
    <w:rsid w:val="61B3034C"/>
    <w:rsid w:val="61B32230"/>
    <w:rsid w:val="61DC0282"/>
    <w:rsid w:val="62031E6E"/>
    <w:rsid w:val="62356047"/>
    <w:rsid w:val="62395886"/>
    <w:rsid w:val="625F7EF3"/>
    <w:rsid w:val="6260107E"/>
    <w:rsid w:val="626C3AD2"/>
    <w:rsid w:val="62726C0F"/>
    <w:rsid w:val="627A10DE"/>
    <w:rsid w:val="627E2F39"/>
    <w:rsid w:val="627F48EE"/>
    <w:rsid w:val="628D3681"/>
    <w:rsid w:val="628E4D48"/>
    <w:rsid w:val="62A36DC8"/>
    <w:rsid w:val="62AD2160"/>
    <w:rsid w:val="62BD502E"/>
    <w:rsid w:val="62D056AB"/>
    <w:rsid w:val="62DF6F58"/>
    <w:rsid w:val="62DF7F84"/>
    <w:rsid w:val="62E17841"/>
    <w:rsid w:val="62E42B32"/>
    <w:rsid w:val="62F66C5A"/>
    <w:rsid w:val="62F93E29"/>
    <w:rsid w:val="63022E47"/>
    <w:rsid w:val="63111BAB"/>
    <w:rsid w:val="632C14B3"/>
    <w:rsid w:val="6331655A"/>
    <w:rsid w:val="63514256"/>
    <w:rsid w:val="63516234"/>
    <w:rsid w:val="63660AF8"/>
    <w:rsid w:val="63764F64"/>
    <w:rsid w:val="637E49AD"/>
    <w:rsid w:val="638569F4"/>
    <w:rsid w:val="639F3732"/>
    <w:rsid w:val="63C0148B"/>
    <w:rsid w:val="63C93FBE"/>
    <w:rsid w:val="63CF5E53"/>
    <w:rsid w:val="63D72CBA"/>
    <w:rsid w:val="63DE69AC"/>
    <w:rsid w:val="63E02383"/>
    <w:rsid w:val="64177AD5"/>
    <w:rsid w:val="642148BB"/>
    <w:rsid w:val="643802EE"/>
    <w:rsid w:val="6448283B"/>
    <w:rsid w:val="64562104"/>
    <w:rsid w:val="64653759"/>
    <w:rsid w:val="646F05FD"/>
    <w:rsid w:val="64746749"/>
    <w:rsid w:val="647E0B22"/>
    <w:rsid w:val="64853361"/>
    <w:rsid w:val="64A07AA2"/>
    <w:rsid w:val="64A13643"/>
    <w:rsid w:val="64A335B4"/>
    <w:rsid w:val="64A50307"/>
    <w:rsid w:val="64A55D36"/>
    <w:rsid w:val="64A66F47"/>
    <w:rsid w:val="64CA49F3"/>
    <w:rsid w:val="64CB035E"/>
    <w:rsid w:val="64E22C89"/>
    <w:rsid w:val="64FE3ED8"/>
    <w:rsid w:val="65026BA0"/>
    <w:rsid w:val="65254B7D"/>
    <w:rsid w:val="65270A2D"/>
    <w:rsid w:val="653126DD"/>
    <w:rsid w:val="65500021"/>
    <w:rsid w:val="65554CF2"/>
    <w:rsid w:val="655B39D3"/>
    <w:rsid w:val="657751B4"/>
    <w:rsid w:val="657E6E81"/>
    <w:rsid w:val="658D448B"/>
    <w:rsid w:val="65954C67"/>
    <w:rsid w:val="65A84314"/>
    <w:rsid w:val="65AB24D7"/>
    <w:rsid w:val="65B20028"/>
    <w:rsid w:val="65C12BDE"/>
    <w:rsid w:val="65D324D6"/>
    <w:rsid w:val="65E40CA8"/>
    <w:rsid w:val="65E45739"/>
    <w:rsid w:val="66192421"/>
    <w:rsid w:val="661C7073"/>
    <w:rsid w:val="66310A20"/>
    <w:rsid w:val="66520752"/>
    <w:rsid w:val="6659462E"/>
    <w:rsid w:val="666D1E03"/>
    <w:rsid w:val="667967BE"/>
    <w:rsid w:val="66856BF5"/>
    <w:rsid w:val="66C10FAA"/>
    <w:rsid w:val="66C814F3"/>
    <w:rsid w:val="66C96E18"/>
    <w:rsid w:val="66DE03E4"/>
    <w:rsid w:val="66E67791"/>
    <w:rsid w:val="66FA2AD8"/>
    <w:rsid w:val="67145898"/>
    <w:rsid w:val="6729763B"/>
    <w:rsid w:val="672B6D3E"/>
    <w:rsid w:val="674A0FC0"/>
    <w:rsid w:val="6753700F"/>
    <w:rsid w:val="6755677A"/>
    <w:rsid w:val="675D568B"/>
    <w:rsid w:val="6777502A"/>
    <w:rsid w:val="678127D9"/>
    <w:rsid w:val="678131BA"/>
    <w:rsid w:val="67894558"/>
    <w:rsid w:val="67A64922"/>
    <w:rsid w:val="67A94F4C"/>
    <w:rsid w:val="67BD3370"/>
    <w:rsid w:val="67CD752C"/>
    <w:rsid w:val="67D11217"/>
    <w:rsid w:val="67D751E9"/>
    <w:rsid w:val="67E0356A"/>
    <w:rsid w:val="67E870BE"/>
    <w:rsid w:val="67EE032A"/>
    <w:rsid w:val="67F32432"/>
    <w:rsid w:val="68110987"/>
    <w:rsid w:val="682C260C"/>
    <w:rsid w:val="682C60B1"/>
    <w:rsid w:val="684F48FD"/>
    <w:rsid w:val="687875DB"/>
    <w:rsid w:val="687B2025"/>
    <w:rsid w:val="68907DEF"/>
    <w:rsid w:val="68925915"/>
    <w:rsid w:val="68AE6D93"/>
    <w:rsid w:val="68B7230A"/>
    <w:rsid w:val="68D56032"/>
    <w:rsid w:val="68E80D06"/>
    <w:rsid w:val="68F3344C"/>
    <w:rsid w:val="68FA126D"/>
    <w:rsid w:val="68FE0797"/>
    <w:rsid w:val="69086D1C"/>
    <w:rsid w:val="69156B2E"/>
    <w:rsid w:val="691B39EB"/>
    <w:rsid w:val="69282F1F"/>
    <w:rsid w:val="694E3952"/>
    <w:rsid w:val="695A6EA6"/>
    <w:rsid w:val="69641195"/>
    <w:rsid w:val="696C260A"/>
    <w:rsid w:val="698A0D67"/>
    <w:rsid w:val="699636E2"/>
    <w:rsid w:val="69991952"/>
    <w:rsid w:val="69B32893"/>
    <w:rsid w:val="69C6464B"/>
    <w:rsid w:val="69E14647"/>
    <w:rsid w:val="69EC0E58"/>
    <w:rsid w:val="69F308DD"/>
    <w:rsid w:val="69F45014"/>
    <w:rsid w:val="6A1341FD"/>
    <w:rsid w:val="6A2D67DA"/>
    <w:rsid w:val="6A49294B"/>
    <w:rsid w:val="6A593682"/>
    <w:rsid w:val="6A5D6634"/>
    <w:rsid w:val="6A704F19"/>
    <w:rsid w:val="6A750417"/>
    <w:rsid w:val="6AB826E5"/>
    <w:rsid w:val="6ABC1B90"/>
    <w:rsid w:val="6AC66A6D"/>
    <w:rsid w:val="6AD57BEE"/>
    <w:rsid w:val="6AFB638B"/>
    <w:rsid w:val="6B005B4C"/>
    <w:rsid w:val="6B195F5E"/>
    <w:rsid w:val="6B1A1AC1"/>
    <w:rsid w:val="6B286E99"/>
    <w:rsid w:val="6B323514"/>
    <w:rsid w:val="6B4A5CE7"/>
    <w:rsid w:val="6B4D2289"/>
    <w:rsid w:val="6B510BFA"/>
    <w:rsid w:val="6B5878BC"/>
    <w:rsid w:val="6B672E75"/>
    <w:rsid w:val="6B6C1C06"/>
    <w:rsid w:val="6B7063BA"/>
    <w:rsid w:val="6B78643D"/>
    <w:rsid w:val="6B822625"/>
    <w:rsid w:val="6B8A2D5E"/>
    <w:rsid w:val="6C035EE4"/>
    <w:rsid w:val="6C0726FA"/>
    <w:rsid w:val="6C2017B1"/>
    <w:rsid w:val="6C216AE5"/>
    <w:rsid w:val="6C473C3C"/>
    <w:rsid w:val="6C474A32"/>
    <w:rsid w:val="6C495B03"/>
    <w:rsid w:val="6C4F762E"/>
    <w:rsid w:val="6C561048"/>
    <w:rsid w:val="6C8C190A"/>
    <w:rsid w:val="6C9872EB"/>
    <w:rsid w:val="6CAD2335"/>
    <w:rsid w:val="6CBB4393"/>
    <w:rsid w:val="6CBC5F45"/>
    <w:rsid w:val="6D02572A"/>
    <w:rsid w:val="6D135F70"/>
    <w:rsid w:val="6D1E4EB1"/>
    <w:rsid w:val="6D2D0346"/>
    <w:rsid w:val="6D2E23EC"/>
    <w:rsid w:val="6D443E48"/>
    <w:rsid w:val="6D453755"/>
    <w:rsid w:val="6D4B5932"/>
    <w:rsid w:val="6D80377B"/>
    <w:rsid w:val="6D8C327A"/>
    <w:rsid w:val="6D8F1E73"/>
    <w:rsid w:val="6DA92893"/>
    <w:rsid w:val="6DAB4392"/>
    <w:rsid w:val="6DB21CB6"/>
    <w:rsid w:val="6DC33DE6"/>
    <w:rsid w:val="6DC74F9B"/>
    <w:rsid w:val="6DD104F8"/>
    <w:rsid w:val="6DD421AE"/>
    <w:rsid w:val="6DE44A7F"/>
    <w:rsid w:val="6E054DDB"/>
    <w:rsid w:val="6E133DC7"/>
    <w:rsid w:val="6E360575"/>
    <w:rsid w:val="6E3E39E4"/>
    <w:rsid w:val="6E650C7A"/>
    <w:rsid w:val="6E7656F6"/>
    <w:rsid w:val="6E7C2320"/>
    <w:rsid w:val="6E865F1C"/>
    <w:rsid w:val="6E892CE9"/>
    <w:rsid w:val="6E9F4019"/>
    <w:rsid w:val="6EA760B2"/>
    <w:rsid w:val="6EB84D1B"/>
    <w:rsid w:val="6EC06D60"/>
    <w:rsid w:val="6ED00F12"/>
    <w:rsid w:val="6EE82732"/>
    <w:rsid w:val="6EFB226A"/>
    <w:rsid w:val="6F203155"/>
    <w:rsid w:val="6F4D24E7"/>
    <w:rsid w:val="6F4E701D"/>
    <w:rsid w:val="6F56531B"/>
    <w:rsid w:val="6FAC6952"/>
    <w:rsid w:val="6FAE5A25"/>
    <w:rsid w:val="6FB00B3E"/>
    <w:rsid w:val="6FB822FE"/>
    <w:rsid w:val="6FB96EE5"/>
    <w:rsid w:val="6FEE6B24"/>
    <w:rsid w:val="6FF06302"/>
    <w:rsid w:val="6FFC1E95"/>
    <w:rsid w:val="70004A37"/>
    <w:rsid w:val="70145815"/>
    <w:rsid w:val="7016507D"/>
    <w:rsid w:val="70193687"/>
    <w:rsid w:val="70224881"/>
    <w:rsid w:val="70451769"/>
    <w:rsid w:val="70696B18"/>
    <w:rsid w:val="706B600D"/>
    <w:rsid w:val="706C1141"/>
    <w:rsid w:val="706F4FF5"/>
    <w:rsid w:val="707F6C32"/>
    <w:rsid w:val="70BF1AFC"/>
    <w:rsid w:val="70DA523A"/>
    <w:rsid w:val="70DF1913"/>
    <w:rsid w:val="70F824DD"/>
    <w:rsid w:val="711204C3"/>
    <w:rsid w:val="71163705"/>
    <w:rsid w:val="71285DE2"/>
    <w:rsid w:val="712F63E6"/>
    <w:rsid w:val="71455D64"/>
    <w:rsid w:val="71595041"/>
    <w:rsid w:val="715B32AD"/>
    <w:rsid w:val="716464AF"/>
    <w:rsid w:val="71687B5B"/>
    <w:rsid w:val="716A5681"/>
    <w:rsid w:val="716B13F9"/>
    <w:rsid w:val="717604C9"/>
    <w:rsid w:val="71763D26"/>
    <w:rsid w:val="71A035E4"/>
    <w:rsid w:val="71AA7A2E"/>
    <w:rsid w:val="720F175F"/>
    <w:rsid w:val="722303A6"/>
    <w:rsid w:val="72644A41"/>
    <w:rsid w:val="726D024C"/>
    <w:rsid w:val="728C0282"/>
    <w:rsid w:val="728F7B9B"/>
    <w:rsid w:val="729B3D29"/>
    <w:rsid w:val="72A1635F"/>
    <w:rsid w:val="72AE13F3"/>
    <w:rsid w:val="72B721FA"/>
    <w:rsid w:val="72C9287B"/>
    <w:rsid w:val="72C94DF5"/>
    <w:rsid w:val="72CC6D61"/>
    <w:rsid w:val="72CD6775"/>
    <w:rsid w:val="72D412E5"/>
    <w:rsid w:val="72DF2BDC"/>
    <w:rsid w:val="72E54C89"/>
    <w:rsid w:val="72FB0609"/>
    <w:rsid w:val="730A4ECD"/>
    <w:rsid w:val="73190E04"/>
    <w:rsid w:val="734931B7"/>
    <w:rsid w:val="735633C3"/>
    <w:rsid w:val="735C21F1"/>
    <w:rsid w:val="735D6F11"/>
    <w:rsid w:val="737B7E1C"/>
    <w:rsid w:val="737E6143"/>
    <w:rsid w:val="7386464D"/>
    <w:rsid w:val="738E1CBC"/>
    <w:rsid w:val="739F08C2"/>
    <w:rsid w:val="73C80378"/>
    <w:rsid w:val="73DD3416"/>
    <w:rsid w:val="7404270E"/>
    <w:rsid w:val="740B489F"/>
    <w:rsid w:val="741B7106"/>
    <w:rsid w:val="742449DF"/>
    <w:rsid w:val="74320F36"/>
    <w:rsid w:val="7433327B"/>
    <w:rsid w:val="74374FD2"/>
    <w:rsid w:val="74471CA9"/>
    <w:rsid w:val="745C74DD"/>
    <w:rsid w:val="74653C7B"/>
    <w:rsid w:val="746E6A74"/>
    <w:rsid w:val="747607E0"/>
    <w:rsid w:val="74820F33"/>
    <w:rsid w:val="74872C81"/>
    <w:rsid w:val="7488077B"/>
    <w:rsid w:val="74946551"/>
    <w:rsid w:val="74AB4D71"/>
    <w:rsid w:val="74EF0C65"/>
    <w:rsid w:val="74F9415D"/>
    <w:rsid w:val="74FB44DA"/>
    <w:rsid w:val="753F3906"/>
    <w:rsid w:val="755C374C"/>
    <w:rsid w:val="75755E22"/>
    <w:rsid w:val="758B15F3"/>
    <w:rsid w:val="759A6122"/>
    <w:rsid w:val="75B855F0"/>
    <w:rsid w:val="75C82341"/>
    <w:rsid w:val="75D705D5"/>
    <w:rsid w:val="75DD2979"/>
    <w:rsid w:val="75DF329A"/>
    <w:rsid w:val="75E2004B"/>
    <w:rsid w:val="75E65C18"/>
    <w:rsid w:val="75E94149"/>
    <w:rsid w:val="75F4329D"/>
    <w:rsid w:val="761B2481"/>
    <w:rsid w:val="762C2C4A"/>
    <w:rsid w:val="765B6C60"/>
    <w:rsid w:val="766E7396"/>
    <w:rsid w:val="768D4E38"/>
    <w:rsid w:val="76B17FF0"/>
    <w:rsid w:val="76C47EB6"/>
    <w:rsid w:val="76D47A4A"/>
    <w:rsid w:val="76ED76A8"/>
    <w:rsid w:val="77024A53"/>
    <w:rsid w:val="77075425"/>
    <w:rsid w:val="77185723"/>
    <w:rsid w:val="77185B7F"/>
    <w:rsid w:val="77242EBC"/>
    <w:rsid w:val="7730259A"/>
    <w:rsid w:val="776A7D31"/>
    <w:rsid w:val="7774123D"/>
    <w:rsid w:val="778D0717"/>
    <w:rsid w:val="77A13816"/>
    <w:rsid w:val="77A1509D"/>
    <w:rsid w:val="77AB455C"/>
    <w:rsid w:val="77C23303"/>
    <w:rsid w:val="77EB5041"/>
    <w:rsid w:val="77EF1647"/>
    <w:rsid w:val="78774540"/>
    <w:rsid w:val="78961451"/>
    <w:rsid w:val="789D458E"/>
    <w:rsid w:val="78A22A5F"/>
    <w:rsid w:val="78C74A2E"/>
    <w:rsid w:val="78D50A4B"/>
    <w:rsid w:val="78EB2F2B"/>
    <w:rsid w:val="78ED7923"/>
    <w:rsid w:val="78EF2314"/>
    <w:rsid w:val="78FB431C"/>
    <w:rsid w:val="791D5C40"/>
    <w:rsid w:val="792C0E31"/>
    <w:rsid w:val="79303A24"/>
    <w:rsid w:val="79367CDE"/>
    <w:rsid w:val="79394779"/>
    <w:rsid w:val="793F6537"/>
    <w:rsid w:val="794709FB"/>
    <w:rsid w:val="794F4132"/>
    <w:rsid w:val="795C3B14"/>
    <w:rsid w:val="795D7F6C"/>
    <w:rsid w:val="796324AB"/>
    <w:rsid w:val="79B6434A"/>
    <w:rsid w:val="79BF6679"/>
    <w:rsid w:val="79C0491A"/>
    <w:rsid w:val="79D8186D"/>
    <w:rsid w:val="79D85D05"/>
    <w:rsid w:val="7A002417"/>
    <w:rsid w:val="7A130D12"/>
    <w:rsid w:val="7A173ECC"/>
    <w:rsid w:val="7A296460"/>
    <w:rsid w:val="7A3E1684"/>
    <w:rsid w:val="7A4153ED"/>
    <w:rsid w:val="7A523156"/>
    <w:rsid w:val="7A8F1CF2"/>
    <w:rsid w:val="7AAB456B"/>
    <w:rsid w:val="7ABB2C6E"/>
    <w:rsid w:val="7ABB61CC"/>
    <w:rsid w:val="7AC51B7A"/>
    <w:rsid w:val="7AE64082"/>
    <w:rsid w:val="7AE678F9"/>
    <w:rsid w:val="7AEC2086"/>
    <w:rsid w:val="7B15666E"/>
    <w:rsid w:val="7B18614D"/>
    <w:rsid w:val="7B1F6A9C"/>
    <w:rsid w:val="7B2B51A4"/>
    <w:rsid w:val="7B301819"/>
    <w:rsid w:val="7B3D3E06"/>
    <w:rsid w:val="7B541D66"/>
    <w:rsid w:val="7B5B3330"/>
    <w:rsid w:val="7B605044"/>
    <w:rsid w:val="7B68051B"/>
    <w:rsid w:val="7B6D1DBE"/>
    <w:rsid w:val="7B950D1B"/>
    <w:rsid w:val="7BB82541"/>
    <w:rsid w:val="7BB93E9E"/>
    <w:rsid w:val="7BC9163E"/>
    <w:rsid w:val="7BCA3CA3"/>
    <w:rsid w:val="7BCE7A19"/>
    <w:rsid w:val="7BDE0FB9"/>
    <w:rsid w:val="7BE13F9D"/>
    <w:rsid w:val="7BE219A5"/>
    <w:rsid w:val="7BE67FFA"/>
    <w:rsid w:val="7BF66D82"/>
    <w:rsid w:val="7C0602AF"/>
    <w:rsid w:val="7C0A46A1"/>
    <w:rsid w:val="7C142DB9"/>
    <w:rsid w:val="7C1F352E"/>
    <w:rsid w:val="7C220001"/>
    <w:rsid w:val="7C2A5990"/>
    <w:rsid w:val="7C396CCF"/>
    <w:rsid w:val="7C63789C"/>
    <w:rsid w:val="7C645794"/>
    <w:rsid w:val="7C85644F"/>
    <w:rsid w:val="7C9D5474"/>
    <w:rsid w:val="7C9E71B5"/>
    <w:rsid w:val="7CCB20BA"/>
    <w:rsid w:val="7CEC167B"/>
    <w:rsid w:val="7CF27A3E"/>
    <w:rsid w:val="7D090B29"/>
    <w:rsid w:val="7D0A0B7B"/>
    <w:rsid w:val="7D1D60EA"/>
    <w:rsid w:val="7D3249D2"/>
    <w:rsid w:val="7D48334D"/>
    <w:rsid w:val="7D583FF4"/>
    <w:rsid w:val="7D6671F5"/>
    <w:rsid w:val="7D7C53CD"/>
    <w:rsid w:val="7D826FFC"/>
    <w:rsid w:val="7D831032"/>
    <w:rsid w:val="7D8D44D5"/>
    <w:rsid w:val="7DB712AF"/>
    <w:rsid w:val="7DC0777E"/>
    <w:rsid w:val="7DDF4B26"/>
    <w:rsid w:val="7E195701"/>
    <w:rsid w:val="7E2331BA"/>
    <w:rsid w:val="7E37676D"/>
    <w:rsid w:val="7E416C4B"/>
    <w:rsid w:val="7E4A75BA"/>
    <w:rsid w:val="7E5A6A7D"/>
    <w:rsid w:val="7E5E42E0"/>
    <w:rsid w:val="7E5F0EBC"/>
    <w:rsid w:val="7E637C3B"/>
    <w:rsid w:val="7E6F1B20"/>
    <w:rsid w:val="7E81304E"/>
    <w:rsid w:val="7E8915D1"/>
    <w:rsid w:val="7EA30424"/>
    <w:rsid w:val="7EA41C6D"/>
    <w:rsid w:val="7ECE6E95"/>
    <w:rsid w:val="7EFA2227"/>
    <w:rsid w:val="7F05783B"/>
    <w:rsid w:val="7F09178D"/>
    <w:rsid w:val="7F227B81"/>
    <w:rsid w:val="7F7917BB"/>
    <w:rsid w:val="7F7E54A5"/>
    <w:rsid w:val="7F84355C"/>
    <w:rsid w:val="7F91198B"/>
    <w:rsid w:val="7F9C16E1"/>
    <w:rsid w:val="7FA0614C"/>
    <w:rsid w:val="7FB404FE"/>
    <w:rsid w:val="7FB90B63"/>
    <w:rsid w:val="7FBD3613"/>
    <w:rsid w:val="7FBE2E78"/>
    <w:rsid w:val="7FC95C80"/>
    <w:rsid w:val="7FEA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iPriority="0" w:semiHidden="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autoRedefine/>
    <w:qFormat/>
    <w:uiPriority w:val="99"/>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autoRedefine/>
    <w:qFormat/>
    <w:uiPriority w:val="0"/>
    <w:pPr>
      <w:keepNext/>
      <w:keepLines/>
      <w:tabs>
        <w:tab w:val="left" w:pos="720"/>
      </w:tabs>
      <w:spacing w:before="260" w:after="260" w:line="415" w:lineRule="auto"/>
      <w:outlineLvl w:val="1"/>
    </w:pPr>
    <w:rPr>
      <w:rFonts w:ascii="Arial" w:hAnsi="Arial" w:eastAsia="黑体" w:cs="Arial"/>
      <w:sz w:val="32"/>
      <w:szCs w:val="32"/>
    </w:rPr>
  </w:style>
  <w:style w:type="paragraph" w:styleId="4">
    <w:name w:val="heading 3"/>
    <w:basedOn w:val="1"/>
    <w:next w:val="1"/>
    <w:link w:val="50"/>
    <w:autoRedefine/>
    <w:unhideWhenUsed/>
    <w:qFormat/>
    <w:uiPriority w:val="0"/>
    <w:pPr>
      <w:keepNext/>
      <w:keepLines/>
      <w:numPr>
        <w:ilvl w:val="2"/>
        <w:numId w:val="2"/>
      </w:numPr>
      <w:spacing w:line="416" w:lineRule="auto"/>
      <w:outlineLvl w:val="2"/>
    </w:pPr>
    <w:rPr>
      <w:b/>
      <w:bCs/>
      <w:sz w:val="32"/>
      <w:szCs w:val="32"/>
    </w:rPr>
  </w:style>
  <w:style w:type="paragraph" w:styleId="5">
    <w:name w:val="heading 4"/>
    <w:basedOn w:val="1"/>
    <w:next w:val="1"/>
    <w:autoRedefine/>
    <w:unhideWhenUsed/>
    <w:qFormat/>
    <w:uiPriority w:val="9"/>
    <w:pPr>
      <w:keepNext/>
      <w:keepLines/>
      <w:spacing w:before="120" w:after="120" w:line="360" w:lineRule="auto"/>
      <w:outlineLvl w:val="3"/>
    </w:pPr>
    <w:rPr>
      <w:rFonts w:eastAsia="宋体" w:asciiTheme="majorHAnsi" w:hAnsiTheme="majorHAnsi" w:cstheme="majorBidi"/>
      <w:b/>
      <w:bCs/>
      <w:sz w:val="28"/>
      <w:szCs w:val="28"/>
    </w:rPr>
  </w:style>
  <w:style w:type="paragraph" w:styleId="6">
    <w:name w:val="heading 5"/>
    <w:basedOn w:val="1"/>
    <w:next w:val="1"/>
    <w:autoRedefine/>
    <w:unhideWhenUsed/>
    <w:qFormat/>
    <w:uiPriority w:val="9"/>
    <w:pPr>
      <w:keepNext/>
      <w:keepLines/>
      <w:spacing w:line="360" w:lineRule="auto"/>
      <w:outlineLvl w:val="4"/>
    </w:pPr>
    <w:rPr>
      <w:rFonts w:eastAsia="宋体" w:asciiTheme="minorHAnsi" w:hAnsiTheme="minorHAnsi"/>
      <w:sz w:val="28"/>
    </w:rPr>
  </w:style>
  <w:style w:type="paragraph" w:styleId="7">
    <w:name w:val="heading 6"/>
    <w:basedOn w:val="1"/>
    <w:next w:val="1"/>
    <w:autoRedefine/>
    <w:semiHidden/>
    <w:unhideWhenUsed/>
    <w:qFormat/>
    <w:uiPriority w:val="0"/>
    <w:pPr>
      <w:spacing w:line="17" w:lineRule="atLeast"/>
      <w:jc w:val="left"/>
      <w:outlineLvl w:val="5"/>
    </w:pPr>
    <w:rPr>
      <w:rFonts w:hint="eastAsia" w:ascii="宋体" w:hAnsi="宋体" w:eastAsia="宋体" w:cs="Times New Roman"/>
      <w:b/>
      <w:color w:val="333333"/>
      <w:kern w:val="0"/>
      <w:sz w:val="18"/>
      <w:szCs w:val="1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8">
    <w:name w:val="List Number 2"/>
    <w:basedOn w:val="1"/>
    <w:autoRedefine/>
    <w:semiHidden/>
    <w:unhideWhenUsed/>
    <w:qFormat/>
    <w:uiPriority w:val="0"/>
    <w:pPr>
      <w:numPr>
        <w:ilvl w:val="0"/>
        <w:numId w:val="3"/>
      </w:numPr>
    </w:pPr>
  </w:style>
  <w:style w:type="paragraph" w:styleId="9">
    <w:name w:val="table of authorities"/>
    <w:basedOn w:val="1"/>
    <w:next w:val="1"/>
    <w:autoRedefine/>
    <w:qFormat/>
    <w:uiPriority w:val="0"/>
    <w:pPr>
      <w:ind w:left="420" w:leftChars="200"/>
    </w:pPr>
  </w:style>
  <w:style w:type="paragraph" w:styleId="10">
    <w:name w:val="Normal Indent"/>
    <w:basedOn w:val="1"/>
    <w:next w:val="1"/>
    <w:autoRedefine/>
    <w:qFormat/>
    <w:uiPriority w:val="0"/>
    <w:pPr>
      <w:ind w:firstLine="420" w:firstLineChars="200"/>
    </w:pPr>
    <w:rPr>
      <w:rFonts w:ascii="Calibri" w:hAnsi="Calibri"/>
    </w:rPr>
  </w:style>
  <w:style w:type="paragraph" w:styleId="11">
    <w:name w:val="annotation text"/>
    <w:basedOn w:val="1"/>
    <w:link w:val="102"/>
    <w:autoRedefine/>
    <w:unhideWhenUsed/>
    <w:qFormat/>
    <w:uiPriority w:val="99"/>
    <w:pPr>
      <w:jc w:val="left"/>
    </w:pPr>
  </w:style>
  <w:style w:type="paragraph" w:styleId="12">
    <w:name w:val="Body Text"/>
    <w:basedOn w:val="1"/>
    <w:next w:val="13"/>
    <w:autoRedefine/>
    <w:qFormat/>
    <w:uiPriority w:val="0"/>
    <w:pPr>
      <w:spacing w:after="120"/>
    </w:pPr>
  </w:style>
  <w:style w:type="paragraph" w:styleId="13">
    <w:name w:val="Body Text First Indent"/>
    <w:basedOn w:val="12"/>
    <w:next w:val="14"/>
    <w:autoRedefine/>
    <w:qFormat/>
    <w:uiPriority w:val="0"/>
    <w:pPr>
      <w:spacing w:line="312" w:lineRule="auto"/>
      <w:ind w:firstLine="420"/>
    </w:pPr>
  </w:style>
  <w:style w:type="paragraph" w:styleId="14">
    <w:name w:val="toc 6"/>
    <w:basedOn w:val="1"/>
    <w:next w:val="1"/>
    <w:autoRedefine/>
    <w:qFormat/>
    <w:uiPriority w:val="0"/>
    <w:pPr>
      <w:ind w:left="1050"/>
      <w:jc w:val="left"/>
    </w:pPr>
    <w:rPr>
      <w:rFonts w:ascii="Century Gothic" w:hAnsi="Century Gothic"/>
      <w:sz w:val="18"/>
      <w:szCs w:val="18"/>
    </w:rPr>
  </w:style>
  <w:style w:type="paragraph" w:styleId="15">
    <w:name w:val="Body Text Indent"/>
    <w:basedOn w:val="1"/>
    <w:next w:val="1"/>
    <w:autoRedefine/>
    <w:qFormat/>
    <w:uiPriority w:val="99"/>
    <w:pPr>
      <w:ind w:left="420" w:leftChars="200"/>
    </w:pPr>
    <w:rPr>
      <w:kern w:val="0"/>
      <w:sz w:val="20"/>
      <w:szCs w:val="20"/>
    </w:rPr>
  </w:style>
  <w:style w:type="paragraph" w:styleId="16">
    <w:name w:val="Plain Text"/>
    <w:basedOn w:val="1"/>
    <w:next w:val="1"/>
    <w:link w:val="53"/>
    <w:autoRedefine/>
    <w:qFormat/>
    <w:uiPriority w:val="0"/>
    <w:rPr>
      <w:rFonts w:ascii="宋体" w:hAnsi="Courier New"/>
      <w:szCs w:val="20"/>
    </w:rPr>
  </w:style>
  <w:style w:type="paragraph" w:styleId="17">
    <w:name w:val="Date"/>
    <w:basedOn w:val="1"/>
    <w:next w:val="1"/>
    <w:autoRedefine/>
    <w:qFormat/>
    <w:uiPriority w:val="0"/>
    <w:pPr>
      <w:ind w:left="100" w:leftChars="2500"/>
    </w:pPr>
    <w:rPr>
      <w:szCs w:val="20"/>
    </w:rPr>
  </w:style>
  <w:style w:type="paragraph" w:styleId="18">
    <w:name w:val="Body Text Indent 2"/>
    <w:basedOn w:val="1"/>
    <w:link w:val="54"/>
    <w:autoRedefine/>
    <w:qFormat/>
    <w:uiPriority w:val="0"/>
    <w:pPr>
      <w:widowControl/>
      <w:spacing w:line="480" w:lineRule="atLeast"/>
      <w:ind w:firstLine="480"/>
    </w:pPr>
    <w:rPr>
      <w:rFonts w:ascii="宋体" w:hAnsi="Calibri"/>
      <w:kern w:val="0"/>
      <w:sz w:val="24"/>
      <w:szCs w:val="20"/>
    </w:rPr>
  </w:style>
  <w:style w:type="paragraph" w:styleId="19">
    <w:name w:val="endnote text"/>
    <w:basedOn w:val="1"/>
    <w:autoRedefine/>
    <w:unhideWhenUsed/>
    <w:qFormat/>
    <w:uiPriority w:val="0"/>
    <w:pPr>
      <w:snapToGrid w:val="0"/>
      <w:jc w:val="left"/>
    </w:pPr>
    <w:rPr>
      <w:rFonts w:ascii="宋体" w:hAnsi="宋体"/>
      <w:kern w:val="0"/>
      <w:sz w:val="28"/>
    </w:rPr>
  </w:style>
  <w:style w:type="paragraph" w:styleId="20">
    <w:name w:val="Balloon Text"/>
    <w:basedOn w:val="1"/>
    <w:link w:val="55"/>
    <w:autoRedefine/>
    <w:qFormat/>
    <w:uiPriority w:val="0"/>
    <w:rPr>
      <w:sz w:val="18"/>
      <w:szCs w:val="18"/>
    </w:rPr>
  </w:style>
  <w:style w:type="paragraph" w:styleId="21">
    <w:name w:val="footer"/>
    <w:basedOn w:val="1"/>
    <w:link w:val="52"/>
    <w:autoRedefine/>
    <w:unhideWhenUsed/>
    <w:qFormat/>
    <w:uiPriority w:val="0"/>
    <w:pPr>
      <w:tabs>
        <w:tab w:val="center" w:pos="4153"/>
        <w:tab w:val="right" w:pos="8306"/>
      </w:tabs>
      <w:snapToGrid w:val="0"/>
      <w:jc w:val="left"/>
    </w:pPr>
    <w:rPr>
      <w:sz w:val="18"/>
      <w:szCs w:val="18"/>
    </w:rPr>
  </w:style>
  <w:style w:type="paragraph" w:styleId="22">
    <w:name w:val="header"/>
    <w:basedOn w:val="1"/>
    <w:link w:val="5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pPr>
      <w:spacing w:before="120" w:after="120"/>
      <w:jc w:val="left"/>
    </w:pPr>
    <w:rPr>
      <w:rFonts w:ascii="Century Gothic" w:hAnsi="Century Gothic"/>
      <w:b/>
      <w:bCs/>
      <w:caps/>
      <w:sz w:val="20"/>
      <w:szCs w:val="20"/>
    </w:rPr>
  </w:style>
  <w:style w:type="paragraph" w:styleId="24">
    <w:name w:val="Body Text Indent 3"/>
    <w:basedOn w:val="1"/>
    <w:link w:val="56"/>
    <w:autoRedefine/>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25">
    <w:name w:val="Normal (Web)"/>
    <w:basedOn w:val="1"/>
    <w:autoRedefine/>
    <w:qFormat/>
    <w:uiPriority w:val="99"/>
    <w:pPr>
      <w:spacing w:beforeAutospacing="1" w:afterAutospacing="1"/>
      <w:jc w:val="left"/>
    </w:pPr>
    <w:rPr>
      <w:rFonts w:cs="Times New Roman"/>
      <w:kern w:val="0"/>
      <w:sz w:val="24"/>
    </w:rPr>
  </w:style>
  <w:style w:type="paragraph" w:styleId="26">
    <w:name w:val="Title"/>
    <w:basedOn w:val="1"/>
    <w:next w:val="1"/>
    <w:autoRedefine/>
    <w:qFormat/>
    <w:uiPriority w:val="0"/>
    <w:pPr>
      <w:jc w:val="center"/>
      <w:outlineLvl w:val="0"/>
    </w:pPr>
    <w:rPr>
      <w:rFonts w:ascii="Cambria" w:hAnsi="Cambria"/>
      <w:b/>
      <w:bCs/>
      <w:kern w:val="0"/>
      <w:sz w:val="32"/>
      <w:szCs w:val="32"/>
    </w:rPr>
  </w:style>
  <w:style w:type="paragraph" w:styleId="27">
    <w:name w:val="annotation subject"/>
    <w:basedOn w:val="11"/>
    <w:next w:val="11"/>
    <w:link w:val="103"/>
    <w:autoRedefine/>
    <w:semiHidden/>
    <w:unhideWhenUsed/>
    <w:qFormat/>
    <w:uiPriority w:val="0"/>
    <w:rPr>
      <w:b/>
      <w:bCs/>
    </w:rPr>
  </w:style>
  <w:style w:type="paragraph" w:styleId="28">
    <w:name w:val="Body Text First Indent 2"/>
    <w:basedOn w:val="15"/>
    <w:autoRedefine/>
    <w:unhideWhenUsed/>
    <w:qFormat/>
    <w:uiPriority w:val="99"/>
    <w:pPr>
      <w:ind w:firstLine="420" w:firstLineChars="200"/>
    </w:pPr>
  </w:style>
  <w:style w:type="table" w:styleId="30">
    <w:name w:val="Table Grid"/>
    <w:basedOn w:val="29"/>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style>
  <w:style w:type="character" w:styleId="33">
    <w:name w:val="FollowedHyperlink"/>
    <w:basedOn w:val="31"/>
    <w:autoRedefine/>
    <w:qFormat/>
    <w:uiPriority w:val="0"/>
    <w:rPr>
      <w:color w:val="4A4A4A"/>
      <w:u w:val="none"/>
    </w:rPr>
  </w:style>
  <w:style w:type="character" w:styleId="34">
    <w:name w:val="Emphasis"/>
    <w:basedOn w:val="31"/>
    <w:autoRedefine/>
    <w:qFormat/>
    <w:uiPriority w:val="0"/>
  </w:style>
  <w:style w:type="character" w:styleId="35">
    <w:name w:val="HTML Definition"/>
    <w:basedOn w:val="31"/>
    <w:autoRedefine/>
    <w:qFormat/>
    <w:uiPriority w:val="0"/>
  </w:style>
  <w:style w:type="character" w:styleId="36">
    <w:name w:val="HTML Typewriter"/>
    <w:basedOn w:val="31"/>
    <w:autoRedefine/>
    <w:qFormat/>
    <w:uiPriority w:val="0"/>
    <w:rPr>
      <w:rFonts w:hint="default" w:ascii="monospace" w:hAnsi="monospace" w:eastAsia="monospace" w:cs="monospace"/>
      <w:sz w:val="20"/>
    </w:rPr>
  </w:style>
  <w:style w:type="character" w:styleId="37">
    <w:name w:val="HTML Acronym"/>
    <w:basedOn w:val="31"/>
    <w:autoRedefine/>
    <w:qFormat/>
    <w:uiPriority w:val="0"/>
  </w:style>
  <w:style w:type="character" w:styleId="38">
    <w:name w:val="HTML Variable"/>
    <w:basedOn w:val="31"/>
    <w:autoRedefine/>
    <w:qFormat/>
    <w:uiPriority w:val="0"/>
  </w:style>
  <w:style w:type="character" w:styleId="39">
    <w:name w:val="Hyperlink"/>
    <w:basedOn w:val="31"/>
    <w:autoRedefine/>
    <w:qFormat/>
    <w:uiPriority w:val="99"/>
    <w:rPr>
      <w:rFonts w:cs="Times New Roman"/>
      <w:color w:val="0000FF"/>
      <w:u w:val="single"/>
    </w:rPr>
  </w:style>
  <w:style w:type="character" w:styleId="40">
    <w:name w:val="HTML Code"/>
    <w:basedOn w:val="31"/>
    <w:autoRedefine/>
    <w:qFormat/>
    <w:uiPriority w:val="0"/>
    <w:rPr>
      <w:rFonts w:hint="default" w:ascii="monospace" w:hAnsi="monospace" w:eastAsia="monospace" w:cs="monospace"/>
      <w:sz w:val="20"/>
    </w:rPr>
  </w:style>
  <w:style w:type="character" w:styleId="41">
    <w:name w:val="annotation reference"/>
    <w:basedOn w:val="31"/>
    <w:autoRedefine/>
    <w:semiHidden/>
    <w:unhideWhenUsed/>
    <w:qFormat/>
    <w:uiPriority w:val="0"/>
    <w:rPr>
      <w:sz w:val="21"/>
      <w:szCs w:val="21"/>
    </w:rPr>
  </w:style>
  <w:style w:type="character" w:styleId="42">
    <w:name w:val="HTML Cite"/>
    <w:basedOn w:val="31"/>
    <w:autoRedefine/>
    <w:qFormat/>
    <w:uiPriority w:val="0"/>
  </w:style>
  <w:style w:type="character" w:styleId="43">
    <w:name w:val="HTML Keyboard"/>
    <w:basedOn w:val="31"/>
    <w:autoRedefine/>
    <w:qFormat/>
    <w:uiPriority w:val="0"/>
    <w:rPr>
      <w:rFonts w:ascii="monospace" w:hAnsi="monospace" w:eastAsia="monospace" w:cs="monospace"/>
      <w:sz w:val="20"/>
    </w:rPr>
  </w:style>
  <w:style w:type="character" w:styleId="44">
    <w:name w:val="HTML Sample"/>
    <w:basedOn w:val="31"/>
    <w:autoRedefine/>
    <w:qFormat/>
    <w:uiPriority w:val="0"/>
    <w:rPr>
      <w:rFonts w:hint="default" w:ascii="monospace" w:hAnsi="monospace" w:eastAsia="monospace" w:cs="monospace"/>
    </w:rPr>
  </w:style>
  <w:style w:type="paragraph" w:customStyle="1" w:styleId="45">
    <w:name w:val="_Style 3"/>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Fließtext"/>
    <w:basedOn w:val="1"/>
    <w:autoRedefine/>
    <w:qFormat/>
    <w:uiPriority w:val="0"/>
    <w:pPr>
      <w:overflowPunct w:val="0"/>
      <w:autoSpaceDE w:val="0"/>
      <w:autoSpaceDN w:val="0"/>
      <w:adjustRightInd w:val="0"/>
      <w:textAlignment w:val="baseline"/>
    </w:pPr>
    <w:rPr>
      <w:kern w:val="28"/>
    </w:rPr>
  </w:style>
  <w:style w:type="paragraph" w:customStyle="1" w:styleId="47">
    <w:name w:val="表格文字"/>
    <w:basedOn w:val="16"/>
    <w:next w:val="12"/>
    <w:autoRedefine/>
    <w:qFormat/>
    <w:uiPriority w:val="0"/>
    <w:pPr>
      <w:jc w:val="left"/>
      <w:textAlignment w:val="top"/>
    </w:pPr>
    <w:rPr>
      <w:rFonts w:ascii="仿宋_GB2312" w:hAnsi="Calibri" w:eastAsia="宋体" w:cs="宋体"/>
      <w:b/>
      <w:color w:val="000000"/>
      <w:kern w:val="0"/>
      <w:sz w:val="18"/>
      <w:szCs w:val="21"/>
    </w:rPr>
  </w:style>
  <w:style w:type="paragraph" w:customStyle="1" w:styleId="48">
    <w:name w:val="表格文字（两侧对齐）"/>
    <w:basedOn w:val="1"/>
    <w:autoRedefine/>
    <w:qFormat/>
    <w:uiPriority w:val="0"/>
    <w:pPr>
      <w:snapToGrid w:val="0"/>
    </w:pPr>
    <w:rPr>
      <w:rFonts w:cs="Times New Roman"/>
      <w:sz w:val="20"/>
      <w:szCs w:val="20"/>
    </w:rPr>
  </w:style>
  <w:style w:type="paragraph" w:customStyle="1" w:styleId="49">
    <w:name w:val="_Style 1"/>
    <w:autoRedefine/>
    <w:qFormat/>
    <w:uiPriority w:val="99"/>
    <w:rPr>
      <w:rFonts w:ascii="Calibri" w:hAnsi="Calibri" w:eastAsia="宋体" w:cs="Times New Roman"/>
      <w:kern w:val="2"/>
      <w:sz w:val="28"/>
      <w:szCs w:val="22"/>
      <w:lang w:val="en-US" w:eastAsia="zh-CN" w:bidi="ar-SA"/>
    </w:rPr>
  </w:style>
  <w:style w:type="character" w:customStyle="1" w:styleId="50">
    <w:name w:val="标题 3 字符"/>
    <w:basedOn w:val="31"/>
    <w:link w:val="4"/>
    <w:autoRedefine/>
    <w:qFormat/>
    <w:uiPriority w:val="0"/>
    <w:rPr>
      <w:rFonts w:eastAsiaTheme="minorEastAsia" w:cstheme="minorBidi"/>
      <w:b/>
      <w:bCs/>
      <w:kern w:val="2"/>
      <w:sz w:val="32"/>
      <w:szCs w:val="32"/>
    </w:rPr>
  </w:style>
  <w:style w:type="character" w:customStyle="1" w:styleId="51">
    <w:name w:val="页眉 字符"/>
    <w:basedOn w:val="31"/>
    <w:link w:val="22"/>
    <w:autoRedefine/>
    <w:qFormat/>
    <w:uiPriority w:val="0"/>
    <w:rPr>
      <w:kern w:val="2"/>
      <w:sz w:val="18"/>
      <w:szCs w:val="18"/>
    </w:rPr>
  </w:style>
  <w:style w:type="character" w:customStyle="1" w:styleId="52">
    <w:name w:val="页脚 字符"/>
    <w:basedOn w:val="31"/>
    <w:link w:val="21"/>
    <w:autoRedefine/>
    <w:qFormat/>
    <w:uiPriority w:val="0"/>
    <w:rPr>
      <w:kern w:val="2"/>
      <w:sz w:val="18"/>
      <w:szCs w:val="18"/>
    </w:rPr>
  </w:style>
  <w:style w:type="character" w:customStyle="1" w:styleId="53">
    <w:name w:val="纯文本 字符"/>
    <w:basedOn w:val="31"/>
    <w:link w:val="16"/>
    <w:autoRedefine/>
    <w:qFormat/>
    <w:uiPriority w:val="0"/>
    <w:rPr>
      <w:rFonts w:ascii="宋体" w:hAnsi="Courier New" w:eastAsiaTheme="minorEastAsia" w:cstheme="minorBidi"/>
      <w:kern w:val="2"/>
      <w:sz w:val="21"/>
    </w:rPr>
  </w:style>
  <w:style w:type="character" w:customStyle="1" w:styleId="54">
    <w:name w:val="正文文本缩进 2 字符"/>
    <w:basedOn w:val="31"/>
    <w:link w:val="18"/>
    <w:autoRedefine/>
    <w:qFormat/>
    <w:uiPriority w:val="0"/>
    <w:rPr>
      <w:rFonts w:ascii="宋体" w:hAnsi="Calibri" w:eastAsiaTheme="minorEastAsia" w:cstheme="minorBidi"/>
      <w:sz w:val="24"/>
    </w:rPr>
  </w:style>
  <w:style w:type="character" w:customStyle="1" w:styleId="55">
    <w:name w:val="批注框文本 字符"/>
    <w:basedOn w:val="31"/>
    <w:link w:val="20"/>
    <w:autoRedefine/>
    <w:qFormat/>
    <w:uiPriority w:val="0"/>
    <w:rPr>
      <w:rFonts w:eastAsiaTheme="minorEastAsia" w:cstheme="minorBidi"/>
      <w:kern w:val="2"/>
      <w:sz w:val="18"/>
      <w:szCs w:val="18"/>
    </w:rPr>
  </w:style>
  <w:style w:type="character" w:customStyle="1" w:styleId="56">
    <w:name w:val="正文文本缩进 3 字符"/>
    <w:basedOn w:val="31"/>
    <w:link w:val="24"/>
    <w:autoRedefine/>
    <w:qFormat/>
    <w:uiPriority w:val="0"/>
    <w:rPr>
      <w:rFonts w:ascii="Calibri" w:hAnsi="Calibri" w:eastAsia="黑体" w:cstheme="minorBidi"/>
      <w:color w:val="000000"/>
      <w:kern w:val="2"/>
      <w:sz w:val="24"/>
      <w:szCs w:val="24"/>
    </w:rPr>
  </w:style>
  <w:style w:type="paragraph" w:customStyle="1" w:styleId="5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8">
    <w:name w:val="样式 标题 3 + (中文) 黑体 小四 非加粗 段前: 7.8 磅 段后: 0 磅 行距: 固定值 20 磅"/>
    <w:basedOn w:val="4"/>
    <w:autoRedefine/>
    <w:qFormat/>
    <w:uiPriority w:val="0"/>
    <w:pPr>
      <w:numPr>
        <w:ilvl w:val="0"/>
        <w:numId w:val="0"/>
      </w:numPr>
      <w:tabs>
        <w:tab w:val="clear" w:pos="720"/>
      </w:tabs>
      <w:spacing w:line="400" w:lineRule="exact"/>
    </w:pPr>
    <w:rPr>
      <w:rFonts w:eastAsia="黑体" w:cs="宋体"/>
      <w:b w:val="0"/>
      <w:bCs w:val="0"/>
      <w:sz w:val="24"/>
      <w:szCs w:val="20"/>
    </w:rPr>
  </w:style>
  <w:style w:type="paragraph" w:styleId="59">
    <w:name w:val="List Paragraph"/>
    <w:basedOn w:val="1"/>
    <w:autoRedefine/>
    <w:unhideWhenUsed/>
    <w:qFormat/>
    <w:uiPriority w:val="99"/>
    <w:pPr>
      <w:ind w:firstLine="420" w:firstLineChars="200"/>
    </w:pPr>
  </w:style>
  <w:style w:type="paragraph" w:customStyle="1" w:styleId="60">
    <w:name w:val="表内文字"/>
    <w:basedOn w:val="1"/>
    <w:autoRedefine/>
    <w:qFormat/>
    <w:uiPriority w:val="0"/>
    <w:pPr>
      <w:spacing w:line="500" w:lineRule="atLeast"/>
      <w:jc w:val="center"/>
    </w:pPr>
    <w:rPr>
      <w:rFonts w:ascii="Arial" w:hAnsi="Arial" w:eastAsia="楷体_GB2312" w:cs="Arial"/>
      <w:sz w:val="28"/>
    </w:rPr>
  </w:style>
  <w:style w:type="character" w:customStyle="1" w:styleId="61">
    <w:name w:val="纯文本 字符1"/>
    <w:basedOn w:val="31"/>
    <w:autoRedefine/>
    <w:semiHidden/>
    <w:qFormat/>
    <w:locked/>
    <w:uiPriority w:val="0"/>
    <w:rPr>
      <w:rFonts w:ascii="宋体" w:hAnsi="Courier New" w:cs="Courier New"/>
      <w:szCs w:val="21"/>
    </w:rPr>
  </w:style>
  <w:style w:type="paragraph" w:customStyle="1" w:styleId="62">
    <w:name w:val="正文段"/>
    <w:basedOn w:val="1"/>
    <w:autoRedefine/>
    <w:qFormat/>
    <w:uiPriority w:val="0"/>
    <w:pPr>
      <w:widowControl/>
      <w:snapToGrid w:val="0"/>
      <w:spacing w:afterLines="50"/>
      <w:ind w:firstLine="200" w:firstLineChars="200"/>
    </w:pPr>
    <w:rPr>
      <w:kern w:val="0"/>
      <w:sz w:val="24"/>
      <w:szCs w:val="20"/>
    </w:rPr>
  </w:style>
  <w:style w:type="character" w:customStyle="1" w:styleId="63">
    <w:name w:val="hover4"/>
    <w:basedOn w:val="31"/>
    <w:autoRedefine/>
    <w:qFormat/>
    <w:uiPriority w:val="0"/>
    <w:rPr>
      <w:color w:val="999999"/>
    </w:rPr>
  </w:style>
  <w:style w:type="paragraph" w:customStyle="1" w:styleId="64">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65">
    <w:name w:val="Plain Text1"/>
    <w:basedOn w:val="1"/>
    <w:autoRedefine/>
    <w:qFormat/>
    <w:uiPriority w:val="0"/>
    <w:rPr>
      <w:rFonts w:ascii="宋体" w:hAnsi="Courier New"/>
      <w:szCs w:val="20"/>
    </w:rPr>
  </w:style>
  <w:style w:type="paragraph" w:customStyle="1" w:styleId="66">
    <w:name w:val="正文2"/>
    <w:basedOn w:val="1"/>
    <w:autoRedefine/>
    <w:qFormat/>
    <w:uiPriority w:val="0"/>
    <w:pPr>
      <w:spacing w:before="156" w:line="360" w:lineRule="auto"/>
      <w:ind w:firstLine="510" w:firstLineChars="200"/>
    </w:pPr>
    <w:rPr>
      <w:sz w:val="24"/>
      <w:szCs w:val="20"/>
    </w:rPr>
  </w:style>
  <w:style w:type="paragraph" w:customStyle="1" w:styleId="67">
    <w:name w:val="正文1"/>
    <w:autoRedefine/>
    <w:qFormat/>
    <w:uiPriority w:val="0"/>
    <w:pPr>
      <w:jc w:val="both"/>
    </w:pPr>
    <w:rPr>
      <w:rFonts w:ascii="Calibri" w:hAnsi="Calibri" w:eastAsia="宋体" w:cs="宋体"/>
      <w:kern w:val="2"/>
      <w:sz w:val="21"/>
      <w:szCs w:val="21"/>
      <w:lang w:val="en-US" w:eastAsia="zh-CN" w:bidi="ar-SA"/>
    </w:rPr>
  </w:style>
  <w:style w:type="character" w:customStyle="1" w:styleId="68">
    <w:name w:val="font01"/>
    <w:basedOn w:val="31"/>
    <w:autoRedefine/>
    <w:qFormat/>
    <w:uiPriority w:val="0"/>
    <w:rPr>
      <w:rFonts w:hint="eastAsia" w:ascii="宋体" w:hAnsi="宋体" w:eastAsia="宋体" w:cs="宋体"/>
      <w:color w:val="000000"/>
      <w:sz w:val="22"/>
      <w:szCs w:val="22"/>
      <w:u w:val="none"/>
    </w:rPr>
  </w:style>
  <w:style w:type="paragraph" w:customStyle="1" w:styleId="69">
    <w:name w:val="[Normal]"/>
    <w:autoRedefine/>
    <w:qFormat/>
    <w:uiPriority w:val="0"/>
    <w:rPr>
      <w:rFonts w:ascii="宋体" w:hAnsi="宋体" w:eastAsia="Calibri" w:cs="Times New Roman"/>
      <w:sz w:val="24"/>
      <w:szCs w:val="22"/>
      <w:lang w:val="zh-CN" w:eastAsia="zh-CN" w:bidi="ar-SA"/>
    </w:rPr>
  </w:style>
  <w:style w:type="character" w:customStyle="1" w:styleId="70">
    <w:name w:val="font61"/>
    <w:basedOn w:val="31"/>
    <w:autoRedefine/>
    <w:qFormat/>
    <w:uiPriority w:val="0"/>
    <w:rPr>
      <w:rFonts w:ascii="Arial" w:hAnsi="Arial" w:cs="Arial"/>
      <w:color w:val="000000"/>
      <w:sz w:val="20"/>
      <w:szCs w:val="20"/>
      <w:u w:val="none"/>
    </w:rPr>
  </w:style>
  <w:style w:type="character" w:customStyle="1" w:styleId="71">
    <w:name w:val="font11"/>
    <w:basedOn w:val="31"/>
    <w:autoRedefine/>
    <w:qFormat/>
    <w:uiPriority w:val="0"/>
    <w:rPr>
      <w:rFonts w:hint="eastAsia" w:ascii="宋体" w:hAnsi="宋体" w:eastAsia="宋体" w:cs="宋体"/>
      <w:color w:val="000000"/>
      <w:sz w:val="20"/>
      <w:szCs w:val="20"/>
      <w:u w:val="none"/>
    </w:rPr>
  </w:style>
  <w:style w:type="paragraph" w:customStyle="1" w:styleId="72">
    <w:name w:val="纯文本1"/>
    <w:basedOn w:val="1"/>
    <w:autoRedefine/>
    <w:qFormat/>
    <w:uiPriority w:val="0"/>
    <w:pPr>
      <w:adjustRightInd w:val="0"/>
      <w:textAlignment w:val="baseline"/>
    </w:pPr>
    <w:rPr>
      <w:rFonts w:ascii="宋体" w:hAnsi="Courier New" w:eastAsia="楷体_GB2312"/>
      <w:sz w:val="28"/>
    </w:rPr>
  </w:style>
  <w:style w:type="character" w:customStyle="1" w:styleId="73">
    <w:name w:val="font191"/>
    <w:basedOn w:val="31"/>
    <w:autoRedefine/>
    <w:qFormat/>
    <w:uiPriority w:val="0"/>
    <w:rPr>
      <w:rFonts w:hint="eastAsia" w:ascii="宋体" w:hAnsi="宋体" w:eastAsia="宋体" w:cs="宋体"/>
      <w:color w:val="FF0000"/>
      <w:sz w:val="22"/>
      <w:szCs w:val="22"/>
      <w:u w:val="none"/>
    </w:rPr>
  </w:style>
  <w:style w:type="character" w:customStyle="1" w:styleId="74">
    <w:name w:val="font71"/>
    <w:basedOn w:val="31"/>
    <w:autoRedefine/>
    <w:qFormat/>
    <w:uiPriority w:val="0"/>
    <w:rPr>
      <w:rFonts w:hint="eastAsia" w:ascii="宋体" w:hAnsi="宋体" w:eastAsia="宋体" w:cs="宋体"/>
      <w:color w:val="000000"/>
      <w:sz w:val="22"/>
      <w:szCs w:val="22"/>
      <w:u w:val="none"/>
    </w:rPr>
  </w:style>
  <w:style w:type="character" w:customStyle="1" w:styleId="75">
    <w:name w:val="font41"/>
    <w:basedOn w:val="31"/>
    <w:autoRedefine/>
    <w:qFormat/>
    <w:uiPriority w:val="0"/>
    <w:rPr>
      <w:rFonts w:hint="eastAsia" w:ascii="宋体" w:hAnsi="宋体" w:eastAsia="宋体" w:cs="宋体"/>
      <w:color w:val="000000"/>
      <w:sz w:val="22"/>
      <w:szCs w:val="22"/>
      <w:u w:val="none"/>
    </w:rPr>
  </w:style>
  <w:style w:type="character" w:customStyle="1" w:styleId="76">
    <w:name w:val="font151"/>
    <w:basedOn w:val="31"/>
    <w:autoRedefine/>
    <w:qFormat/>
    <w:uiPriority w:val="0"/>
    <w:rPr>
      <w:rFonts w:hint="eastAsia" w:ascii="宋体" w:hAnsi="宋体" w:eastAsia="宋体" w:cs="宋体"/>
      <w:color w:val="FF0000"/>
      <w:sz w:val="22"/>
      <w:szCs w:val="22"/>
      <w:u w:val="none"/>
    </w:rPr>
  </w:style>
  <w:style w:type="character" w:customStyle="1" w:styleId="77">
    <w:name w:val="font21"/>
    <w:basedOn w:val="31"/>
    <w:autoRedefine/>
    <w:qFormat/>
    <w:uiPriority w:val="0"/>
    <w:rPr>
      <w:rFonts w:hint="eastAsia" w:ascii="宋体" w:hAnsi="宋体" w:eastAsia="宋体" w:cs="宋体"/>
      <w:color w:val="000000"/>
      <w:sz w:val="18"/>
      <w:szCs w:val="18"/>
      <w:u w:val="none"/>
    </w:rPr>
  </w:style>
  <w:style w:type="character" w:customStyle="1" w:styleId="78">
    <w:name w:val="font141"/>
    <w:basedOn w:val="31"/>
    <w:autoRedefine/>
    <w:qFormat/>
    <w:uiPriority w:val="0"/>
    <w:rPr>
      <w:rFonts w:hint="eastAsia" w:ascii="宋体" w:hAnsi="宋体" w:eastAsia="宋体" w:cs="宋体"/>
      <w:color w:val="FF0000"/>
      <w:sz w:val="18"/>
      <w:szCs w:val="18"/>
      <w:u w:val="none"/>
    </w:rPr>
  </w:style>
  <w:style w:type="character" w:customStyle="1" w:styleId="79">
    <w:name w:val="font31"/>
    <w:basedOn w:val="31"/>
    <w:autoRedefine/>
    <w:qFormat/>
    <w:uiPriority w:val="0"/>
    <w:rPr>
      <w:rFonts w:hint="eastAsia" w:ascii="宋体" w:hAnsi="宋体" w:eastAsia="宋体" w:cs="宋体"/>
      <w:color w:val="000000"/>
      <w:sz w:val="22"/>
      <w:szCs w:val="22"/>
      <w:u w:val="none"/>
    </w:rPr>
  </w:style>
  <w:style w:type="paragraph" w:customStyle="1" w:styleId="80">
    <w:name w:val="正文首行缩进 21"/>
    <w:basedOn w:val="81"/>
    <w:autoRedefine/>
    <w:qFormat/>
    <w:uiPriority w:val="0"/>
    <w:pPr>
      <w:ind w:firstLine="420"/>
    </w:pPr>
    <w:rPr>
      <w:rFonts w:eastAsia="宋体" w:cs="宋体"/>
    </w:rPr>
  </w:style>
  <w:style w:type="paragraph" w:customStyle="1" w:styleId="81">
    <w:name w:val="正文文本缩进1"/>
    <w:basedOn w:val="1"/>
    <w:next w:val="1"/>
    <w:autoRedefine/>
    <w:qFormat/>
    <w:uiPriority w:val="0"/>
    <w:pPr>
      <w:ind w:left="420" w:leftChars="200"/>
    </w:pPr>
    <w:rPr>
      <w:color w:val="000000"/>
      <w:szCs w:val="21"/>
    </w:rPr>
  </w:style>
  <w:style w:type="paragraph" w:customStyle="1" w:styleId="82">
    <w:name w:val="正文首行缩进 211"/>
    <w:basedOn w:val="1"/>
    <w:autoRedefine/>
    <w:qFormat/>
    <w:uiPriority w:val="0"/>
    <w:pPr>
      <w:spacing w:after="120"/>
      <w:ind w:left="420" w:leftChars="200" w:firstLine="420"/>
    </w:pPr>
    <w:rPr>
      <w:rFonts w:cs="宋体"/>
      <w:color w:val="000000"/>
      <w:szCs w:val="21"/>
    </w:rPr>
  </w:style>
  <w:style w:type="character" w:customStyle="1" w:styleId="83">
    <w:name w:val="font51"/>
    <w:basedOn w:val="31"/>
    <w:autoRedefine/>
    <w:qFormat/>
    <w:uiPriority w:val="0"/>
    <w:rPr>
      <w:rFonts w:ascii="宋体" w:hAnsi="宋体" w:eastAsia="宋体" w:cs="宋体"/>
      <w:color w:val="000000"/>
      <w:sz w:val="22"/>
      <w:szCs w:val="22"/>
      <w:u w:val="none"/>
    </w:rPr>
  </w:style>
  <w:style w:type="character" w:customStyle="1" w:styleId="84">
    <w:name w:val="font91"/>
    <w:basedOn w:val="31"/>
    <w:autoRedefine/>
    <w:qFormat/>
    <w:uiPriority w:val="0"/>
    <w:rPr>
      <w:rFonts w:ascii="Arial" w:hAnsi="Arial" w:cs="Arial"/>
      <w:color w:val="000000"/>
      <w:sz w:val="22"/>
      <w:szCs w:val="22"/>
      <w:u w:val="none"/>
    </w:rPr>
  </w:style>
  <w:style w:type="paragraph" w:customStyle="1" w:styleId="85">
    <w:name w:val="一级"/>
    <w:basedOn w:val="1"/>
    <w:next w:val="1"/>
    <w:autoRedefine/>
    <w:qFormat/>
    <w:uiPriority w:val="0"/>
    <w:pPr>
      <w:spacing w:before="360" w:after="360" w:line="400" w:lineRule="exact"/>
      <w:outlineLvl w:val="1"/>
    </w:pPr>
    <w:rPr>
      <w:rFonts w:eastAsia="黑体"/>
      <w:sz w:val="28"/>
      <w:szCs w:val="22"/>
    </w:rPr>
  </w:style>
  <w:style w:type="paragraph" w:customStyle="1" w:styleId="86">
    <w:name w:val="正文空格"/>
    <w:basedOn w:val="1"/>
    <w:next w:val="1"/>
    <w:autoRedefine/>
    <w:qFormat/>
    <w:uiPriority w:val="0"/>
    <w:pPr>
      <w:spacing w:line="400" w:lineRule="exact"/>
      <w:ind w:firstLine="200" w:firstLineChars="200"/>
    </w:pPr>
    <w:rPr>
      <w:sz w:val="24"/>
      <w:szCs w:val="22"/>
    </w:rPr>
  </w:style>
  <w:style w:type="paragraph" w:customStyle="1" w:styleId="87">
    <w:name w:val="图片"/>
    <w:basedOn w:val="1"/>
    <w:autoRedefine/>
    <w:qFormat/>
    <w:uiPriority w:val="0"/>
    <w:pPr>
      <w:spacing w:line="360" w:lineRule="auto"/>
      <w:jc w:val="center"/>
    </w:pPr>
    <w:rPr>
      <w:rFonts w:eastAsia="宋体" w:asciiTheme="minorEastAsia" w:hAnsiTheme="minorEastAsia"/>
      <w:sz w:val="24"/>
    </w:rPr>
  </w:style>
  <w:style w:type="paragraph" w:customStyle="1" w:styleId="88">
    <w:name w:val="图片标题"/>
    <w:basedOn w:val="89"/>
    <w:autoRedefine/>
    <w:qFormat/>
    <w:uiPriority w:val="0"/>
    <w:pPr>
      <w:numPr>
        <w:ilvl w:val="0"/>
        <w:numId w:val="4"/>
      </w:numPr>
      <w:spacing w:line="360" w:lineRule="auto"/>
      <w:jc w:val="center"/>
    </w:pPr>
    <w:rPr>
      <w:rFonts w:eastAsia="黑体"/>
      <w:b/>
    </w:rPr>
  </w:style>
  <w:style w:type="paragraph" w:customStyle="1" w:styleId="89">
    <w:name w:val="表格"/>
    <w:basedOn w:val="1"/>
    <w:autoRedefine/>
    <w:qFormat/>
    <w:uiPriority w:val="0"/>
    <w:rPr>
      <w:rFonts w:asciiTheme="minorEastAsia" w:hAnsiTheme="minorEastAsia"/>
      <w:szCs w:val="22"/>
    </w:rPr>
  </w:style>
  <w:style w:type="paragraph" w:customStyle="1" w:styleId="90">
    <w:name w:val="列表格式"/>
    <w:basedOn w:val="8"/>
    <w:autoRedefine/>
    <w:qFormat/>
    <w:uiPriority w:val="0"/>
    <w:pPr>
      <w:numPr>
        <w:numId w:val="0"/>
      </w:numPr>
      <w:tabs>
        <w:tab w:val="left" w:pos="360"/>
      </w:tabs>
      <w:spacing w:line="360" w:lineRule="auto"/>
      <w:jc w:val="left"/>
    </w:pPr>
    <w:rPr>
      <w:rFonts w:eastAsia="宋体" w:cs="Times New Roman"/>
      <w:sz w:val="24"/>
    </w:rPr>
  </w:style>
  <w:style w:type="paragraph" w:customStyle="1" w:styleId="91">
    <w:name w:val="表格标题"/>
    <w:basedOn w:val="1"/>
    <w:autoRedefine/>
    <w:qFormat/>
    <w:uiPriority w:val="0"/>
    <w:pPr>
      <w:numPr>
        <w:ilvl w:val="0"/>
        <w:numId w:val="5"/>
      </w:numPr>
      <w:ind w:left="0" w:firstLine="0"/>
      <w:jc w:val="center"/>
    </w:pPr>
    <w:rPr>
      <w:rFonts w:ascii="宋体" w:hAnsi="宋体" w:eastAsia="黑体" w:cs="Times New Roman"/>
      <w:b/>
    </w:rPr>
  </w:style>
  <w:style w:type="paragraph" w:customStyle="1" w:styleId="92">
    <w:name w:val="表格表头"/>
    <w:basedOn w:val="1"/>
    <w:autoRedefine/>
    <w:qFormat/>
    <w:uiPriority w:val="0"/>
    <w:pPr>
      <w:jc w:val="center"/>
    </w:pPr>
    <w:rPr>
      <w:rFonts w:ascii="宋体" w:hAnsi="宋体" w:eastAsia="黑体" w:cs="Times New Roman"/>
    </w:rPr>
  </w:style>
  <w:style w:type="paragraph" w:customStyle="1" w:styleId="93">
    <w:name w:val="表格正文"/>
    <w:basedOn w:val="1"/>
    <w:autoRedefine/>
    <w:qFormat/>
    <w:uiPriority w:val="0"/>
    <w:pPr>
      <w:jc w:val="left"/>
    </w:pPr>
    <w:rPr>
      <w:rFonts w:ascii="Arial" w:hAnsi="Arial" w:cs="宋体"/>
      <w:szCs w:val="20"/>
    </w:rPr>
  </w:style>
  <w:style w:type="paragraph" w:styleId="94">
    <w:name w:val="No Spacing"/>
    <w:autoRedefine/>
    <w:qFormat/>
    <w:uiPriority w:val="1"/>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customStyle="1" w:styleId="95">
    <w:name w:val="表格内容"/>
    <w:basedOn w:val="1"/>
    <w:autoRedefine/>
    <w:qFormat/>
    <w:uiPriority w:val="2"/>
    <w:pPr>
      <w:jc w:val="center"/>
    </w:pPr>
  </w:style>
  <w:style w:type="paragraph" w:customStyle="1" w:styleId="96">
    <w:name w:val="Body Text First Indent1"/>
    <w:basedOn w:val="12"/>
    <w:autoRedefine/>
    <w:qFormat/>
    <w:uiPriority w:val="0"/>
    <w:pPr>
      <w:ind w:firstLine="420" w:firstLineChars="100"/>
    </w:pPr>
    <w:rPr>
      <w:rFonts w:hint="eastAsia"/>
      <w:szCs w:val="22"/>
    </w:rPr>
  </w:style>
  <w:style w:type="paragraph" w:customStyle="1" w:styleId="97">
    <w:name w:val="普通(网站)_0"/>
    <w:basedOn w:val="98"/>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9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wbt"/>
    <w:basedOn w:val="1"/>
    <w:autoRedefine/>
    <w:qFormat/>
    <w:uiPriority w:val="0"/>
    <w:pPr>
      <w:tabs>
        <w:tab w:val="left" w:pos="720"/>
      </w:tabs>
      <w:spacing w:line="360" w:lineRule="auto"/>
      <w:ind w:left="458" w:right="-76"/>
      <w:jc w:val="center"/>
    </w:pPr>
    <w:rPr>
      <w:rFonts w:ascii="黑体" w:hAnsi="宋体" w:eastAsia="黑体"/>
      <w:sz w:val="36"/>
    </w:rPr>
  </w:style>
  <w:style w:type="paragraph" w:customStyle="1" w:styleId="100">
    <w:name w:val="BodyText1I2"/>
    <w:basedOn w:val="1"/>
    <w:autoRedefine/>
    <w:qFormat/>
    <w:uiPriority w:val="0"/>
    <w:pPr>
      <w:spacing w:after="120"/>
      <w:ind w:left="420" w:leftChars="200" w:firstLine="420" w:firstLineChars="200"/>
      <w:textAlignment w:val="baseline"/>
    </w:pPr>
    <w:rPr>
      <w:color w:val="000000"/>
    </w:rPr>
  </w:style>
  <w:style w:type="paragraph" w:customStyle="1" w:styleId="101">
    <w:name w:val="Table Paragraph"/>
    <w:basedOn w:val="1"/>
    <w:autoRedefine/>
    <w:qFormat/>
    <w:uiPriority w:val="1"/>
    <w:rPr>
      <w:rFonts w:ascii="宋体" w:hAnsi="宋体" w:eastAsia="宋体" w:cs="宋体"/>
      <w:lang w:val="zh-CN" w:bidi="zh-CN"/>
    </w:rPr>
  </w:style>
  <w:style w:type="character" w:customStyle="1" w:styleId="102">
    <w:name w:val="批注文字 字符"/>
    <w:basedOn w:val="31"/>
    <w:link w:val="11"/>
    <w:autoRedefine/>
    <w:qFormat/>
    <w:uiPriority w:val="99"/>
    <w:rPr>
      <w:rFonts w:eastAsiaTheme="minorEastAsia" w:cstheme="minorBidi"/>
      <w:kern w:val="2"/>
      <w:sz w:val="21"/>
      <w:szCs w:val="24"/>
    </w:rPr>
  </w:style>
  <w:style w:type="character" w:customStyle="1" w:styleId="103">
    <w:name w:val="批注主题 字符"/>
    <w:basedOn w:val="102"/>
    <w:link w:val="27"/>
    <w:autoRedefine/>
    <w:qFormat/>
    <w:uiPriority w:val="0"/>
    <w:rPr>
      <w:rFonts w:eastAsiaTheme="minorEastAsia" w:cstheme="minorBidi"/>
      <w:kern w:val="2"/>
      <w:sz w:val="21"/>
      <w:szCs w:val="24"/>
    </w:rPr>
  </w:style>
  <w:style w:type="paragraph" w:customStyle="1" w:styleId="104">
    <w:name w:val="修订1"/>
    <w:autoRedefine/>
    <w:hidden/>
    <w:semiHidden/>
    <w:qFormat/>
    <w:uiPriority w:val="99"/>
    <w:rPr>
      <w:rFonts w:ascii="Times New Roman" w:hAnsi="Times New Roman" w:eastAsiaTheme="minorEastAsia" w:cstheme="minorBidi"/>
      <w:kern w:val="2"/>
      <w:sz w:val="21"/>
      <w:szCs w:val="24"/>
      <w:lang w:val="en-US" w:eastAsia="zh-CN" w:bidi="ar-SA"/>
    </w:rPr>
  </w:style>
  <w:style w:type="paragraph" w:customStyle="1" w:styleId="105">
    <w:name w:val="修订2"/>
    <w:autoRedefine/>
    <w:hidden/>
    <w:semiHidden/>
    <w:qFormat/>
    <w:uiPriority w:val="99"/>
    <w:rPr>
      <w:rFonts w:ascii="Times New Roman" w:hAnsi="Times New Roman" w:eastAsiaTheme="minorEastAsia" w:cstheme="minorBidi"/>
      <w:kern w:val="2"/>
      <w:sz w:val="21"/>
      <w:szCs w:val="24"/>
      <w:lang w:val="en-US" w:eastAsia="zh-CN" w:bidi="ar-SA"/>
    </w:rPr>
  </w:style>
  <w:style w:type="paragraph" w:customStyle="1" w:styleId="10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oleObject" Target="embeddings/Document1.doc"/><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57</Pages>
  <Words>37521</Words>
  <Characters>39545</Characters>
  <Lines>337</Lines>
  <Paragraphs>95</Paragraphs>
  <TotalTime>3</TotalTime>
  <ScaleCrop>false</ScaleCrop>
  <LinksUpToDate>false</LinksUpToDate>
  <CharactersWithSpaces>48341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2023-03-17T07:07:00Z</dcterms:created>
  <dc:creator>NTKO</dc:creator>
  <cp:lastModifiedBy>张大胖</cp:lastModifiedBy>
  <cp:lastPrinted>2022-05-31T08:04:00Z</cp:lastPrinted>
  <dcterms:modified xsi:type="dcterms:W3CDTF">2024-05-29T00:34:37Z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113AC0BE97354B088572622C7E05CF5A</vt:lpwstr>
  </property>
</Properties>
</file>