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48"/>
          <w:szCs w:val="48"/>
          <w:highlight w:val="none"/>
          <w:lang w:eastAsia="zh-CN"/>
        </w:rPr>
      </w:pPr>
      <w:bookmarkStart w:id="0" w:name="_Hlt67893495"/>
      <w:bookmarkEnd w:id="0"/>
      <w:r>
        <w:rPr>
          <w:rFonts w:hint="eastAsia" w:ascii="仿宋" w:hAnsi="仿宋" w:eastAsia="仿宋" w:cs="仿宋"/>
          <w:b/>
          <w:color w:val="auto"/>
          <w:sz w:val="48"/>
          <w:szCs w:val="48"/>
          <w:highlight w:val="none"/>
          <w:lang w:eastAsia="zh-CN"/>
        </w:rPr>
        <w:t>绍兴市</w:t>
      </w:r>
      <w:r>
        <w:rPr>
          <w:rFonts w:hint="eastAsia" w:ascii="仿宋" w:hAnsi="仿宋" w:eastAsia="仿宋" w:cs="仿宋"/>
          <w:b/>
          <w:color w:val="auto"/>
          <w:sz w:val="48"/>
          <w:szCs w:val="48"/>
          <w:highlight w:val="none"/>
          <w:lang w:val="en-US" w:eastAsia="zh-CN"/>
        </w:rPr>
        <w:t>特种设备</w:t>
      </w:r>
      <w:r>
        <w:rPr>
          <w:rFonts w:hint="eastAsia" w:ascii="仿宋" w:hAnsi="仿宋" w:eastAsia="仿宋" w:cs="仿宋"/>
          <w:b/>
          <w:color w:val="auto"/>
          <w:sz w:val="48"/>
          <w:szCs w:val="48"/>
          <w:highlight w:val="none"/>
          <w:lang w:eastAsia="zh-CN"/>
        </w:rPr>
        <w:t>检测院全自动卡氏水分测定仪、非线性超声测量系统采购项目（进口）</w:t>
      </w:r>
    </w:p>
    <w:p>
      <w:pPr>
        <w:pStyle w:val="19"/>
        <w:rPr>
          <w:rFonts w:hint="eastAsia" w:ascii="仿宋" w:hAnsi="仿宋" w:eastAsia="仿宋" w:cs="仿宋"/>
          <w:b/>
          <w:color w:val="auto"/>
          <w:sz w:val="56"/>
          <w:szCs w:val="56"/>
          <w:highlight w:val="none"/>
          <w:lang w:eastAsia="zh-CN"/>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12"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spacing w:line="312" w:lineRule="auto"/>
        <w:jc w:val="center"/>
        <w:rPr>
          <w:rFonts w:hint="default" w:ascii="隶书" w:eastAsia="隶书"/>
          <w:b/>
          <w:color w:val="auto"/>
          <w:sz w:val="28"/>
          <w:szCs w:val="28"/>
          <w:highlight w:val="none"/>
          <w:lang w:val="en-US"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SXQS-202405-GK048</w:t>
      </w:r>
    </w:p>
    <w:tbl>
      <w:tblPr>
        <w:tblStyle w:val="1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after="100" w:afterAutospacing="1" w:line="440" w:lineRule="exact"/>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eastAsia="zh-CN"/>
              </w:rPr>
              <w:t>绍兴市特种设备检测院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3860033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800544968"/>
              </w:rPr>
              <w:t>监督单</w:t>
            </w:r>
            <w:r>
              <w:rPr>
                <w:rFonts w:hint="eastAsia" w:ascii="仿宋" w:hAnsi="仿宋" w:eastAsia="仿宋" w:cs="仿宋"/>
                <w:color w:val="auto"/>
                <w:spacing w:val="1"/>
                <w:kern w:val="0"/>
                <w:sz w:val="28"/>
                <w:szCs w:val="28"/>
                <w:highlight w:val="none"/>
                <w:fitText w:val="1680" w:id="1800544968"/>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pPr>
        <w:pStyle w:val="20"/>
        <w:rPr>
          <w:color w:val="auto"/>
          <w:highlight w:val="none"/>
        </w:rPr>
      </w:pPr>
    </w:p>
    <w:p>
      <w:pPr>
        <w:pStyle w:val="21"/>
        <w:ind w:left="0" w:leftChars="0" w:firstLine="0" w:firstLineChars="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start="1"/>
          <w:cols w:space="720" w:num="1"/>
          <w:titlePg/>
          <w:docGrid w:linePitch="312" w:charSpace="0"/>
        </w:sectPr>
      </w:pPr>
    </w:p>
    <w:p>
      <w:pPr>
        <w:spacing w:line="360" w:lineRule="auto"/>
        <w:jc w:val="center"/>
        <w:rPr>
          <w:rFonts w:hint="eastAsia" w:ascii="仿宋" w:hAnsi="仿宋" w:eastAsia="仿宋" w:cs="仿宋"/>
          <w:color w:val="auto"/>
          <w:sz w:val="24"/>
          <w:highlight w:val="none"/>
        </w:rPr>
      </w:pPr>
    </w:p>
    <w:p>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hint="eastAsia" w:ascii="仿宋" w:hAnsi="仿宋" w:eastAsia="仿宋" w:cs="仿宋"/>
          <w:b/>
          <w:color w:val="auto"/>
          <w:sz w:val="44"/>
          <w:szCs w:val="44"/>
          <w:highlight w:val="none"/>
        </w:rPr>
      </w:pPr>
    </w:p>
    <w:p>
      <w:pPr>
        <w:spacing w:line="360" w:lineRule="auto"/>
        <w:jc w:val="center"/>
        <w:rPr>
          <w:rFonts w:hint="eastAsia" w:ascii="仿宋" w:hAnsi="仿宋" w:eastAsia="仿宋" w:cs="仿宋"/>
          <w:color w:val="auto"/>
          <w:highlight w:val="none"/>
        </w:rPr>
      </w:pP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bookmarkEnd w:id="2"/>
    <w:p>
      <w:pPr>
        <w:adjustRightInd/>
        <w:spacing w:line="360" w:lineRule="auto"/>
        <w:outlineLvl w:val="0"/>
        <w:rPr>
          <w:rFonts w:hint="eastAsia"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07423"/>
      <w:bookmarkEnd w:id="4"/>
      <w:bookmarkStart w:id="5" w:name="_Hlt74729822"/>
      <w:bookmarkEnd w:id="5"/>
      <w:bookmarkStart w:id="6" w:name="_Hlt74728647"/>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绍兴市特种设备检测院全自动卡氏水分测定仪、非线性超声测量系统采购项目（进口）</w:t>
      </w:r>
      <w:r>
        <w:rPr>
          <w:rFonts w:hint="eastAsia" w:ascii="仿宋" w:hAnsi="仿宋" w:eastAsia="仿宋" w:cs="仿宋"/>
          <w:color w:val="auto"/>
          <w:sz w:val="24"/>
          <w:highlight w:val="none"/>
        </w:rPr>
        <w:t>的潜在投标人应在政采云平台（</w:t>
      </w:r>
      <w:r>
        <w:rPr>
          <w:rFonts w:ascii="仿宋" w:hAnsi="仿宋" w:eastAsia="仿宋" w:cs="仿宋"/>
          <w:color w:val="auto"/>
          <w:sz w:val="24"/>
          <w:highlight w:val="none"/>
        </w:rPr>
        <w:fldChar w:fldCharType="begin"/>
      </w:r>
      <w:r>
        <w:rPr>
          <w:rFonts w:ascii="仿宋" w:hAnsi="仿宋" w:eastAsia="仿宋" w:cs="仿宋"/>
          <w:color w:val="auto"/>
          <w:sz w:val="24"/>
          <w:highlight w:val="none"/>
        </w:rPr>
        <w:instrText xml:space="preserve"> </w:instrText>
      </w:r>
      <w:r>
        <w:rPr>
          <w:rFonts w:hint="eastAsia" w:ascii="仿宋" w:hAnsi="仿宋" w:eastAsia="仿宋" w:cs="仿宋"/>
          <w:color w:val="auto"/>
          <w:sz w:val="24"/>
          <w:highlight w:val="none"/>
        </w:rPr>
        <w:instrText xml:space="preserve">HYPERLINK "https://www.zcygov.cn/）获取（下载）招标文件，并于</w:instrText>
      </w:r>
      <w:r>
        <w:rPr>
          <w:rFonts w:ascii="仿宋" w:hAnsi="仿宋" w:eastAsia="仿宋" w:cs="仿宋"/>
          <w:color w:val="auto"/>
          <w:sz w:val="24"/>
          <w:highlight w:val="none"/>
        </w:rPr>
        <w:instrText xml:space="preserve">2023</w:instrText>
      </w:r>
      <w:r>
        <w:rPr>
          <w:rFonts w:hint="eastAsia" w:ascii="仿宋" w:hAnsi="仿宋" w:eastAsia="仿宋" w:cs="仿宋"/>
          <w:color w:val="auto"/>
          <w:sz w:val="24"/>
          <w:highlight w:val="none"/>
        </w:rPr>
        <w:instrText xml:space="preserve">年1</w:instrText>
      </w:r>
      <w:r>
        <w:rPr>
          <w:rFonts w:ascii="仿宋" w:hAnsi="仿宋" w:eastAsia="仿宋" w:cs="仿宋"/>
          <w:color w:val="auto"/>
          <w:sz w:val="24"/>
          <w:highlight w:val="none"/>
        </w:rPr>
        <w:instrText xml:space="preserve">1</w:instrText>
      </w:r>
      <w:r>
        <w:rPr>
          <w:rFonts w:hint="eastAsia" w:ascii="仿宋" w:hAnsi="仿宋" w:eastAsia="仿宋" w:cs="仿宋"/>
          <w:color w:val="auto"/>
          <w:sz w:val="24"/>
          <w:highlight w:val="none"/>
        </w:rPr>
        <w:instrText xml:space="preserve">月1</w:instrText>
      </w:r>
      <w:r>
        <w:rPr>
          <w:rFonts w:ascii="仿宋" w:hAnsi="仿宋" w:eastAsia="仿宋" w:cs="仿宋"/>
          <w:color w:val="auto"/>
          <w:sz w:val="24"/>
          <w:highlight w:val="none"/>
        </w:rPr>
        <w:instrText xml:space="preserve">6</w:instrText>
      </w:r>
      <w:r>
        <w:rPr>
          <w:rFonts w:hint="eastAsia" w:ascii="仿宋" w:hAnsi="仿宋" w:eastAsia="仿宋" w:cs="仿宋"/>
          <w:color w:val="auto"/>
          <w:sz w:val="24"/>
          <w:highlight w:val="none"/>
        </w:rPr>
        <w:instrText xml:space="preserve">日</w:instrText>
      </w:r>
      <w:r>
        <w:rPr>
          <w:rFonts w:ascii="仿宋" w:hAnsi="仿宋" w:eastAsia="仿宋" w:cs="仿宋"/>
          <w:color w:val="auto"/>
          <w:sz w:val="24"/>
          <w:highlight w:val="none"/>
        </w:rPr>
        <w:instrText xml:space="preserve">14</w:instrText>
      </w:r>
      <w:r>
        <w:rPr>
          <w:rFonts w:hint="eastAsia" w:ascii="仿宋" w:hAnsi="仿宋" w:eastAsia="仿宋" w:cs="仿宋"/>
          <w:color w:val="auto"/>
          <w:sz w:val="24"/>
          <w:highlight w:val="none"/>
        </w:rPr>
        <w:instrText xml:space="preserve">点</w:instrText>
      </w:r>
      <w:r>
        <w:rPr>
          <w:rFonts w:ascii="仿宋" w:hAnsi="仿宋" w:eastAsia="仿宋" w:cs="仿宋"/>
          <w:color w:val="auto"/>
          <w:sz w:val="24"/>
          <w:highlight w:val="none"/>
        </w:rPr>
        <w:instrText xml:space="preserve">30</w:instrText>
      </w:r>
      <w:r>
        <w:rPr>
          <w:rFonts w:hint="eastAsia" w:ascii="仿宋" w:hAnsi="仿宋" w:eastAsia="仿宋" w:cs="仿宋"/>
          <w:color w:val="auto"/>
          <w:sz w:val="24"/>
          <w:highlight w:val="none"/>
        </w:rPr>
        <w:instrText xml:space="preserve">分</w:instrText>
      </w:r>
      <w:r>
        <w:rPr>
          <w:rFonts w:hint="eastAsia" w:ascii="仿宋" w:hAnsi="仿宋" w:eastAsia="仿宋" w:cs="仿宋"/>
          <w:bCs/>
          <w:color w:val="auto"/>
          <w:sz w:val="24"/>
          <w:highlight w:val="none"/>
        </w:rPr>
        <w:instrText xml:space="preserve">00秒</w:instrText>
      </w:r>
      <w:r>
        <w:rPr>
          <w:rFonts w:hint="eastAsia" w:ascii="仿宋" w:hAnsi="仿宋" w:eastAsia="仿宋" w:cs="仿宋"/>
          <w:color w:val="auto"/>
          <w:sz w:val="24"/>
          <w:highlight w:val="none"/>
        </w:rPr>
        <w:instrText xml:space="preserve">"</w:instrText>
      </w:r>
      <w:r>
        <w:rPr>
          <w:rFonts w:ascii="仿宋" w:hAnsi="仿宋" w:eastAsia="仿宋" w:cs="仿宋"/>
          <w:color w:val="auto"/>
          <w:sz w:val="24"/>
          <w:highlight w:val="none"/>
        </w:rPr>
        <w:instrText xml:space="preserve"> </w:instrText>
      </w:r>
      <w:r>
        <w:rPr>
          <w:rFonts w:ascii="仿宋" w:hAnsi="仿宋" w:eastAsia="仿宋" w:cs="仿宋"/>
          <w:color w:val="auto"/>
          <w:sz w:val="24"/>
          <w:highlight w:val="none"/>
        </w:rPr>
        <w:fldChar w:fldCharType="separate"/>
      </w:r>
      <w:r>
        <w:rPr>
          <w:rStyle w:val="18"/>
          <w:rFonts w:hint="eastAsia" w:ascii="仿宋" w:hAnsi="仿宋" w:eastAsia="仿宋" w:cs="仿宋"/>
          <w:snapToGrid/>
          <w:color w:val="auto"/>
          <w:kern w:val="2"/>
          <w:sz w:val="24"/>
          <w:szCs w:val="24"/>
          <w:highlight w:val="none"/>
        </w:rPr>
        <w:t>https://www.zcygov.cn/）获取（下载）招标文件，并于</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2024年06月1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日14点00分00秒</w:t>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 xml:space="preserve">一、项目基本情况       </w:t>
      </w:r>
      <w:r>
        <w:rPr>
          <w:rFonts w:hint="eastAsia" w:ascii="仿宋" w:hAnsi="仿宋" w:eastAsia="仿宋" w:cs="仿宋"/>
          <w:bCs/>
          <w:color w:val="auto"/>
          <w:sz w:val="24"/>
          <w:highlight w:val="none"/>
        </w:rPr>
        <w:t xml:space="preserve">                                     </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项目编号：</w:t>
      </w:r>
      <w:r>
        <w:rPr>
          <w:rFonts w:hint="eastAsia" w:ascii="仿宋" w:hAnsi="仿宋" w:eastAsia="仿宋" w:cs="仿宋"/>
          <w:bCs/>
          <w:color w:val="auto"/>
          <w:sz w:val="24"/>
          <w:highlight w:val="none"/>
          <w:lang w:eastAsia="zh-CN"/>
        </w:rPr>
        <w:t>SXQS-202405-GK048</w:t>
      </w:r>
      <w:r>
        <w:rPr>
          <w:rFonts w:hint="eastAsia" w:ascii="仿宋" w:hAnsi="仿宋" w:eastAsia="仿宋" w:cs="仿宋"/>
          <w:bCs/>
          <w:color w:val="auto"/>
          <w:sz w:val="24"/>
          <w:highlight w:val="none"/>
        </w:rPr>
        <w:t>项目名称：</w:t>
      </w:r>
      <w:r>
        <w:rPr>
          <w:rFonts w:hint="eastAsia" w:ascii="仿宋" w:hAnsi="仿宋" w:eastAsia="仿宋" w:cs="仿宋"/>
          <w:bCs/>
          <w:color w:val="auto"/>
          <w:sz w:val="24"/>
          <w:highlight w:val="none"/>
          <w:lang w:eastAsia="zh-CN"/>
        </w:rPr>
        <w:t>绍兴市特种设备检测院全自动卡氏水分测定仪、非线性超声测量系统采购项目（进口）</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采购方式：公开招标</w:t>
      </w:r>
    </w:p>
    <w:p>
      <w:pP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960000.00</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最高限价（元）：</w:t>
      </w:r>
      <w:r>
        <w:rPr>
          <w:rFonts w:hint="eastAsia" w:ascii="仿宋" w:hAnsi="仿宋" w:eastAsia="仿宋" w:cs="仿宋"/>
          <w:bCs/>
          <w:color w:val="auto"/>
          <w:sz w:val="24"/>
          <w:highlight w:val="none"/>
          <w:lang w:val="en-US" w:eastAsia="zh-CN"/>
        </w:rPr>
        <w:t>160000.00,800000</w:t>
      </w:r>
      <w:r>
        <w:rPr>
          <w:rFonts w:hint="eastAsia" w:ascii="仿宋" w:hAnsi="仿宋" w:eastAsia="仿宋" w:cs="仿宋"/>
          <w:bCs/>
          <w:color w:val="auto"/>
          <w:sz w:val="24"/>
          <w:highlight w:val="none"/>
        </w:rPr>
        <w:t>.00</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:全自动卡氏水分测定仪采购项目（进口）</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数量:1套</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160</w:t>
      </w:r>
      <w:r>
        <w:rPr>
          <w:rFonts w:hint="eastAsia" w:ascii="仿宋" w:hAnsi="仿宋" w:eastAsia="仿宋" w:cs="仿宋"/>
          <w:bCs/>
          <w:color w:val="auto"/>
          <w:sz w:val="24"/>
          <w:highlight w:val="none"/>
        </w:rPr>
        <w:t>000.00</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简要规格描述或项目基本概况介绍、用途：详见采购文件。 </w:t>
      </w:r>
    </w:p>
    <w:p>
      <w:pPr>
        <w:spacing w:line="440" w:lineRule="exact"/>
        <w:ind w:firstLine="480" w:firstLineChars="200"/>
        <w:rPr>
          <w:rFonts w:hint="eastAsia" w:ascii="仿宋" w:hAnsi="仿宋" w:eastAsia="仿宋" w:cs="仿宋"/>
          <w:bCs/>
          <w:color w:val="auto"/>
          <w:sz w:val="24"/>
          <w:highlight w:val="none"/>
        </w:rPr>
      </w:pP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标项名称:非线性超声测量系统</w:t>
      </w:r>
      <w:r>
        <w:rPr>
          <w:rFonts w:hint="eastAsia" w:ascii="仿宋" w:hAnsi="仿宋" w:eastAsia="仿宋" w:cs="仿宋"/>
          <w:bCs/>
          <w:color w:val="auto"/>
          <w:sz w:val="24"/>
          <w:highlight w:val="none"/>
          <w:lang w:eastAsia="zh-CN"/>
        </w:rPr>
        <w:t>采购项目（进口）</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数量:1套</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800000</w:t>
      </w:r>
      <w:r>
        <w:rPr>
          <w:rFonts w:hint="eastAsia" w:ascii="仿宋" w:hAnsi="仿宋" w:eastAsia="仿宋" w:cs="仿宋"/>
          <w:bCs/>
          <w:color w:val="auto"/>
          <w:sz w:val="24"/>
          <w:highlight w:val="none"/>
        </w:rPr>
        <w:t>.00</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简要规格描述或项目基本概况介绍、用途：详见采购文件。</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备注：无。</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合同履约期限：按双方合同约定条款执行。</w:t>
      </w:r>
    </w:p>
    <w:p>
      <w:pPr>
        <w:pStyle w:val="22"/>
        <w:spacing w:afterLines="0" w:line="440" w:lineRule="exact"/>
        <w:ind w:firstLine="482"/>
        <w:rPr>
          <w:rFonts w:ascii="仿宋_GB2312" w:hAnsi="新宋体" w:eastAsia="仿宋_GB2312"/>
          <w:b w:val="0"/>
          <w:bCs/>
          <w:color w:val="auto"/>
          <w:szCs w:val="24"/>
          <w:highlight w:val="none"/>
        </w:rPr>
      </w:pPr>
      <w:r>
        <w:rPr>
          <w:rFonts w:hint="eastAsia" w:ascii="仿宋_GB2312" w:hAnsi="新宋体" w:eastAsia="仿宋_GB2312"/>
          <w:b w:val="0"/>
          <w:bCs/>
          <w:color w:val="auto"/>
          <w:szCs w:val="24"/>
          <w:highlight w:val="none"/>
        </w:rPr>
        <w:t>本项目接受联合体投标：</w:t>
      </w:r>
      <w:r>
        <w:rPr>
          <w:rFonts w:hint="eastAsia" w:ascii="仿宋" w:hAnsi="仿宋" w:eastAsia="仿宋" w:cs="仿宋"/>
          <w:color w:val="auto"/>
          <w:sz w:val="24"/>
          <w:highlight w:val="none"/>
          <w:lang w:eastAsia="zh-CN"/>
        </w:rPr>
        <w:t>☑</w:t>
      </w:r>
      <w:r>
        <w:rPr>
          <w:rFonts w:hint="eastAsia" w:ascii="仿宋_GB2312" w:hAnsi="新宋体" w:eastAsia="仿宋_GB2312"/>
          <w:b w:val="0"/>
          <w:bCs/>
          <w:color w:val="auto"/>
          <w:szCs w:val="24"/>
          <w:highlight w:val="none"/>
        </w:rPr>
        <w:t>是，</w:t>
      </w:r>
      <w:r>
        <w:rPr>
          <w:rFonts w:hint="eastAsia" w:ascii="仿宋" w:hAnsi="仿宋" w:eastAsia="仿宋" w:cs="仿宋"/>
          <w:color w:val="auto"/>
          <w:kern w:val="0"/>
          <w:sz w:val="24"/>
          <w:highlight w:val="none"/>
        </w:rPr>
        <w:t>☐</w:t>
      </w:r>
      <w:r>
        <w:rPr>
          <w:rFonts w:hint="eastAsia" w:ascii="仿宋_GB2312" w:hAnsi="新宋体" w:eastAsia="仿宋_GB2312"/>
          <w:b w:val="0"/>
          <w:bCs/>
          <w:color w:val="auto"/>
          <w:szCs w:val="24"/>
          <w:highlight w:val="none"/>
        </w:rPr>
        <w:t>否。</w:t>
      </w:r>
    </w:p>
    <w:p>
      <w:pPr>
        <w:spacing w:line="44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二、申请人的资格要求</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80" w:firstLineChars="200"/>
        <w:rPr>
          <w:rFonts w:hint="eastAsia" w:ascii="仿宋" w:hAnsi="仿宋" w:eastAsia="仿宋" w:cs="仿宋"/>
          <w:strike/>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无</w:t>
      </w:r>
    </w:p>
    <w:p>
      <w:pPr>
        <w:spacing w:line="440" w:lineRule="exact"/>
        <w:ind w:firstLine="480" w:firstLineChars="200"/>
        <w:rPr>
          <w:rFonts w:hint="eastAsia" w:ascii="仿宋" w:hAnsi="仿宋" w:eastAsia="仿宋" w:cs="仿宋"/>
          <w:strike w:val="0"/>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strike w:val="0"/>
          <w:color w:val="auto"/>
          <w:sz w:val="24"/>
          <w:highlight w:val="none"/>
        </w:rPr>
        <w:t>专门面向中小企业</w:t>
      </w:r>
    </w:p>
    <w:p>
      <w:pPr>
        <w:spacing w:line="440" w:lineRule="exact"/>
        <w:ind w:firstLine="897" w:firstLineChars="37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512" w:firstLineChars="200"/>
        <w:rPr>
          <w:rFonts w:hint="eastAsia" w:ascii="仿宋" w:hAnsi="仿宋" w:eastAsia="仿宋" w:cs="仿宋"/>
          <w:color w:val="auto"/>
          <w:spacing w:val="8"/>
          <w:kern w:val="0"/>
          <w:sz w:val="24"/>
          <w:highlight w:val="none"/>
          <w:lang w:val="en-US" w:eastAsia="zh-CN"/>
        </w:rPr>
      </w:pPr>
      <w:r>
        <w:rPr>
          <w:rFonts w:hint="eastAsia" w:ascii="仿宋" w:hAnsi="仿宋" w:eastAsia="仿宋" w:cs="仿宋"/>
          <w:color w:val="auto"/>
          <w:spacing w:val="8"/>
          <w:kern w:val="0"/>
          <w:sz w:val="24"/>
          <w:highlight w:val="none"/>
        </w:rPr>
        <w:t>4.本项目的特定资格要求：</w:t>
      </w:r>
      <w:r>
        <w:rPr>
          <w:rFonts w:hint="eastAsia" w:ascii="仿宋" w:hAnsi="仿宋" w:eastAsia="仿宋" w:cs="仿宋"/>
          <w:color w:val="auto"/>
          <w:spacing w:val="8"/>
          <w:kern w:val="0"/>
          <w:sz w:val="24"/>
          <w:highlight w:val="none"/>
          <w:lang w:val="en-US" w:eastAsia="zh-CN"/>
        </w:rPr>
        <w:t>无。</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Style w:val="18"/>
          <w:rFonts w:ascii="仿宋" w:hAnsi="仿宋" w:eastAsia="仿宋" w:cs="仿宋"/>
          <w:snapToGrid/>
          <w:color w:val="auto"/>
          <w:kern w:val="2"/>
          <w:sz w:val="24"/>
          <w:szCs w:val="24"/>
          <w:highlight w:val="none"/>
          <w:u w:val="single"/>
        </w:rPr>
        <w:t>202</w:t>
      </w:r>
      <w:r>
        <w:rPr>
          <w:rStyle w:val="18"/>
          <w:rFonts w:hint="eastAsia" w:ascii="仿宋" w:hAnsi="仿宋" w:eastAsia="仿宋" w:cs="仿宋"/>
          <w:snapToGrid/>
          <w:color w:val="auto"/>
          <w:kern w:val="2"/>
          <w:sz w:val="24"/>
          <w:szCs w:val="24"/>
          <w:highlight w:val="none"/>
          <w:u w:val="single"/>
          <w:lang w:val="en-US" w:eastAsia="zh-CN"/>
        </w:rPr>
        <w:t>4</w:t>
      </w:r>
      <w:r>
        <w:rPr>
          <w:rStyle w:val="18"/>
          <w:rFonts w:hint="eastAsia" w:ascii="仿宋" w:hAnsi="仿宋" w:eastAsia="仿宋" w:cs="仿宋"/>
          <w:snapToGrid/>
          <w:color w:val="auto"/>
          <w:kern w:val="2"/>
          <w:sz w:val="24"/>
          <w:szCs w:val="24"/>
          <w:highlight w:val="none"/>
          <w:u w:val="single"/>
        </w:rPr>
        <w:t>年</w:t>
      </w:r>
      <w:r>
        <w:rPr>
          <w:rStyle w:val="18"/>
          <w:rFonts w:hint="eastAsia" w:ascii="仿宋" w:hAnsi="仿宋" w:eastAsia="仿宋" w:cs="仿宋"/>
          <w:snapToGrid/>
          <w:color w:val="auto"/>
          <w:kern w:val="2"/>
          <w:sz w:val="24"/>
          <w:szCs w:val="24"/>
          <w:highlight w:val="none"/>
          <w:u w:val="single"/>
          <w:lang w:val="en-US" w:eastAsia="zh-CN"/>
        </w:rPr>
        <w:t>06</w:t>
      </w:r>
      <w:r>
        <w:rPr>
          <w:rStyle w:val="18"/>
          <w:rFonts w:hint="eastAsia" w:ascii="仿宋" w:hAnsi="仿宋" w:eastAsia="仿宋" w:cs="仿宋"/>
          <w:snapToGrid/>
          <w:color w:val="auto"/>
          <w:kern w:val="2"/>
          <w:sz w:val="24"/>
          <w:szCs w:val="24"/>
          <w:highlight w:val="none"/>
          <w:u w:val="single"/>
        </w:rPr>
        <w:t>月</w:t>
      </w:r>
      <w:r>
        <w:rPr>
          <w:rStyle w:val="18"/>
          <w:rFonts w:hint="eastAsia" w:ascii="仿宋" w:hAnsi="仿宋" w:eastAsia="仿宋" w:cs="仿宋"/>
          <w:snapToGrid/>
          <w:color w:val="auto"/>
          <w:kern w:val="2"/>
          <w:sz w:val="24"/>
          <w:szCs w:val="24"/>
          <w:highlight w:val="none"/>
          <w:u w:val="single"/>
          <w:lang w:val="en-US" w:eastAsia="zh-CN"/>
        </w:rPr>
        <w:t>13</w:t>
      </w:r>
      <w:r>
        <w:rPr>
          <w:rStyle w:val="18"/>
          <w:rFonts w:hint="eastAsia" w:ascii="仿宋" w:hAnsi="仿宋" w:eastAsia="仿宋" w:cs="仿宋"/>
          <w:snapToGrid/>
          <w:color w:val="auto"/>
          <w:kern w:val="2"/>
          <w:sz w:val="24"/>
          <w:szCs w:val="24"/>
          <w:highlight w:val="none"/>
          <w:u w:val="single"/>
        </w:rPr>
        <w:t>日</w:t>
      </w:r>
      <w:r>
        <w:rPr>
          <w:rStyle w:val="18"/>
          <w:rFonts w:hint="eastAsia" w:ascii="仿宋" w:hAnsi="仿宋" w:eastAsia="仿宋" w:cs="仿宋"/>
          <w:snapToGrid/>
          <w:color w:val="auto"/>
          <w:kern w:val="2"/>
          <w:sz w:val="24"/>
          <w:szCs w:val="24"/>
          <w:highlight w:val="none"/>
          <w:u w:val="single"/>
          <w:lang w:val="en-US" w:eastAsia="zh-CN"/>
        </w:rPr>
        <w:t>14</w:t>
      </w:r>
      <w:r>
        <w:rPr>
          <w:rStyle w:val="18"/>
          <w:rFonts w:hint="eastAsia" w:ascii="仿宋" w:hAnsi="仿宋" w:eastAsia="仿宋" w:cs="仿宋"/>
          <w:snapToGrid/>
          <w:color w:val="auto"/>
          <w:kern w:val="2"/>
          <w:sz w:val="24"/>
          <w:szCs w:val="24"/>
          <w:highlight w:val="none"/>
          <w:u w:val="single"/>
        </w:rPr>
        <w:t>点</w:t>
      </w:r>
      <w:r>
        <w:rPr>
          <w:rStyle w:val="18"/>
          <w:rFonts w:hint="eastAsia" w:ascii="仿宋" w:hAnsi="仿宋" w:eastAsia="仿宋" w:cs="仿宋"/>
          <w:snapToGrid/>
          <w:color w:val="auto"/>
          <w:kern w:val="2"/>
          <w:sz w:val="24"/>
          <w:szCs w:val="24"/>
          <w:highlight w:val="none"/>
          <w:u w:val="single"/>
          <w:lang w:val="en-US" w:eastAsia="zh-CN"/>
        </w:rPr>
        <w:t>00</w:t>
      </w:r>
      <w:r>
        <w:rPr>
          <w:rStyle w:val="18"/>
          <w:rFonts w:hint="eastAsia" w:ascii="仿宋" w:hAnsi="仿宋" w:eastAsia="仿宋" w:cs="仿宋"/>
          <w:snapToGrid/>
          <w:color w:val="auto"/>
          <w:kern w:val="2"/>
          <w:sz w:val="24"/>
          <w:szCs w:val="24"/>
          <w:highlight w:val="none"/>
          <w:u w:val="single"/>
        </w:rPr>
        <w:t>分</w:t>
      </w:r>
      <w:r>
        <w:rPr>
          <w:rStyle w:val="18"/>
          <w:rFonts w:hint="eastAsia" w:ascii="仿宋" w:hAnsi="仿宋" w:eastAsia="仿宋" w:cs="仿宋"/>
          <w:bCs/>
          <w:snapToGrid/>
          <w:color w:val="auto"/>
          <w:kern w:val="2"/>
          <w:sz w:val="24"/>
          <w:szCs w:val="24"/>
          <w:highlight w:val="none"/>
          <w:u w:val="single"/>
          <w:lang w:val="en-US" w:eastAsia="zh-CN"/>
        </w:rPr>
        <w:t>00</w:t>
      </w:r>
      <w:r>
        <w:rPr>
          <w:rStyle w:val="18"/>
          <w:rFonts w:hint="eastAsia" w:ascii="仿宋" w:hAnsi="仿宋" w:eastAsia="仿宋" w:cs="仿宋"/>
          <w:bCs/>
          <w:snapToGrid/>
          <w:color w:val="auto"/>
          <w:kern w:val="2"/>
          <w:sz w:val="24"/>
          <w:szCs w:val="24"/>
          <w:highlight w:val="none"/>
          <w:u w:val="single"/>
        </w:rPr>
        <w:t>秒</w:t>
      </w:r>
      <w:r>
        <w:rPr>
          <w:rFonts w:hint="eastAsia" w:ascii="仿宋" w:hAnsi="仿宋" w:eastAsia="仿宋" w:cs="仿宋"/>
          <w:color w:val="auto"/>
          <w:sz w:val="24"/>
          <w:highlight w:val="none"/>
        </w:rPr>
        <w:t>（北京时间）</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w:t>
      </w:r>
      <w:r>
        <w:rPr>
          <w:rStyle w:val="18"/>
          <w:rFonts w:ascii="仿宋" w:hAnsi="仿宋" w:eastAsia="仿宋" w:cs="仿宋"/>
          <w:i w:val="0"/>
          <w:iCs w:val="0"/>
          <w:snapToGrid/>
          <w:color w:val="auto"/>
          <w:kern w:val="2"/>
          <w:sz w:val="24"/>
          <w:szCs w:val="24"/>
          <w:highlight w:val="none"/>
          <w:u w:val="single"/>
        </w:rPr>
        <w:t>202</w:t>
      </w:r>
      <w:r>
        <w:rPr>
          <w:rStyle w:val="18"/>
          <w:rFonts w:hint="eastAsia" w:ascii="仿宋" w:hAnsi="仿宋" w:eastAsia="仿宋" w:cs="仿宋"/>
          <w:i w:val="0"/>
          <w:iCs w:val="0"/>
          <w:snapToGrid/>
          <w:color w:val="auto"/>
          <w:kern w:val="2"/>
          <w:sz w:val="24"/>
          <w:szCs w:val="24"/>
          <w:highlight w:val="none"/>
          <w:u w:val="single"/>
          <w:lang w:val="en-US" w:eastAsia="zh-CN"/>
        </w:rPr>
        <w:t>4</w:t>
      </w:r>
      <w:r>
        <w:rPr>
          <w:rStyle w:val="18"/>
          <w:rFonts w:hint="eastAsia" w:ascii="仿宋" w:hAnsi="仿宋" w:eastAsia="仿宋" w:cs="仿宋"/>
          <w:i w:val="0"/>
          <w:iCs w:val="0"/>
          <w:snapToGrid/>
          <w:color w:val="auto"/>
          <w:kern w:val="2"/>
          <w:sz w:val="24"/>
          <w:szCs w:val="24"/>
          <w:highlight w:val="none"/>
          <w:u w:val="single"/>
        </w:rPr>
        <w:t>年</w:t>
      </w:r>
      <w:r>
        <w:rPr>
          <w:rStyle w:val="18"/>
          <w:rFonts w:hint="eastAsia" w:ascii="仿宋" w:hAnsi="仿宋" w:eastAsia="仿宋" w:cs="仿宋"/>
          <w:i w:val="0"/>
          <w:iCs w:val="0"/>
          <w:snapToGrid/>
          <w:color w:val="auto"/>
          <w:kern w:val="2"/>
          <w:sz w:val="24"/>
          <w:szCs w:val="24"/>
          <w:highlight w:val="none"/>
          <w:u w:val="single"/>
          <w:lang w:val="en-US" w:eastAsia="zh-CN"/>
        </w:rPr>
        <w:t>06</w:t>
      </w:r>
      <w:r>
        <w:rPr>
          <w:rStyle w:val="18"/>
          <w:rFonts w:hint="eastAsia" w:ascii="仿宋" w:hAnsi="仿宋" w:eastAsia="仿宋" w:cs="仿宋"/>
          <w:i w:val="0"/>
          <w:iCs w:val="0"/>
          <w:snapToGrid/>
          <w:color w:val="auto"/>
          <w:kern w:val="2"/>
          <w:sz w:val="24"/>
          <w:szCs w:val="24"/>
          <w:highlight w:val="none"/>
          <w:u w:val="single"/>
        </w:rPr>
        <w:t>月</w:t>
      </w:r>
      <w:r>
        <w:rPr>
          <w:rStyle w:val="18"/>
          <w:rFonts w:hint="eastAsia" w:ascii="仿宋" w:hAnsi="仿宋" w:eastAsia="仿宋" w:cs="仿宋"/>
          <w:i w:val="0"/>
          <w:iCs w:val="0"/>
          <w:snapToGrid/>
          <w:color w:val="auto"/>
          <w:kern w:val="2"/>
          <w:sz w:val="24"/>
          <w:szCs w:val="24"/>
          <w:highlight w:val="none"/>
          <w:u w:val="single"/>
          <w:lang w:val="en-US" w:eastAsia="zh-CN"/>
        </w:rPr>
        <w:t>13</w:t>
      </w:r>
      <w:r>
        <w:rPr>
          <w:rStyle w:val="18"/>
          <w:rFonts w:hint="eastAsia" w:ascii="仿宋" w:hAnsi="仿宋" w:eastAsia="仿宋" w:cs="仿宋"/>
          <w:i w:val="0"/>
          <w:iCs w:val="0"/>
          <w:snapToGrid/>
          <w:color w:val="auto"/>
          <w:kern w:val="2"/>
          <w:sz w:val="24"/>
          <w:szCs w:val="24"/>
          <w:highlight w:val="none"/>
          <w:u w:val="single"/>
        </w:rPr>
        <w:t>日</w:t>
      </w:r>
      <w:r>
        <w:rPr>
          <w:rStyle w:val="18"/>
          <w:rFonts w:hint="eastAsia" w:ascii="仿宋" w:hAnsi="仿宋" w:eastAsia="仿宋" w:cs="仿宋"/>
          <w:i w:val="0"/>
          <w:iCs w:val="0"/>
          <w:snapToGrid/>
          <w:color w:val="auto"/>
          <w:kern w:val="2"/>
          <w:sz w:val="24"/>
          <w:szCs w:val="24"/>
          <w:highlight w:val="none"/>
          <w:u w:val="single"/>
          <w:lang w:val="en-US" w:eastAsia="zh-CN"/>
        </w:rPr>
        <w:t>14</w:t>
      </w:r>
      <w:r>
        <w:rPr>
          <w:rStyle w:val="18"/>
          <w:rFonts w:hint="eastAsia" w:ascii="仿宋" w:hAnsi="仿宋" w:eastAsia="仿宋" w:cs="仿宋"/>
          <w:i w:val="0"/>
          <w:iCs w:val="0"/>
          <w:snapToGrid/>
          <w:color w:val="auto"/>
          <w:kern w:val="2"/>
          <w:sz w:val="24"/>
          <w:szCs w:val="24"/>
          <w:highlight w:val="none"/>
          <w:u w:val="single"/>
        </w:rPr>
        <w:t>点</w:t>
      </w:r>
      <w:r>
        <w:rPr>
          <w:rStyle w:val="18"/>
          <w:rFonts w:hint="eastAsia" w:ascii="仿宋" w:hAnsi="仿宋" w:eastAsia="仿宋" w:cs="仿宋"/>
          <w:i w:val="0"/>
          <w:iCs w:val="0"/>
          <w:snapToGrid/>
          <w:color w:val="auto"/>
          <w:kern w:val="2"/>
          <w:sz w:val="24"/>
          <w:szCs w:val="24"/>
          <w:highlight w:val="none"/>
          <w:u w:val="single"/>
          <w:lang w:val="en-US" w:eastAsia="zh-CN"/>
        </w:rPr>
        <w:t>00</w:t>
      </w:r>
      <w:r>
        <w:rPr>
          <w:rStyle w:val="18"/>
          <w:rFonts w:hint="eastAsia" w:ascii="仿宋" w:hAnsi="仿宋" w:eastAsia="仿宋" w:cs="仿宋"/>
          <w:i w:val="0"/>
          <w:iCs w:val="0"/>
          <w:snapToGrid/>
          <w:color w:val="auto"/>
          <w:kern w:val="2"/>
          <w:sz w:val="24"/>
          <w:szCs w:val="24"/>
          <w:highlight w:val="none"/>
          <w:u w:val="single"/>
        </w:rPr>
        <w:t>分</w:t>
      </w:r>
      <w:r>
        <w:rPr>
          <w:rStyle w:val="18"/>
          <w:rFonts w:hint="eastAsia" w:ascii="仿宋" w:hAnsi="仿宋" w:eastAsia="仿宋" w:cs="仿宋"/>
          <w:bCs/>
          <w:i w:val="0"/>
          <w:iCs w:val="0"/>
          <w:snapToGrid/>
          <w:color w:val="auto"/>
          <w:kern w:val="2"/>
          <w:sz w:val="24"/>
          <w:szCs w:val="24"/>
          <w:highlight w:val="none"/>
          <w:u w:val="single"/>
          <w:lang w:val="en-US" w:eastAsia="zh-CN"/>
        </w:rPr>
        <w:t>00</w:t>
      </w:r>
      <w:r>
        <w:rPr>
          <w:rStyle w:val="18"/>
          <w:rFonts w:hint="eastAsia" w:ascii="仿宋" w:hAnsi="仿宋" w:eastAsia="仿宋" w:cs="仿宋"/>
          <w:bCs/>
          <w:i w:val="0"/>
          <w:iCs w:val="0"/>
          <w:snapToGrid/>
          <w:color w:val="auto"/>
          <w:kern w:val="2"/>
          <w:sz w:val="24"/>
          <w:szCs w:val="24"/>
          <w:highlight w:val="none"/>
          <w:u w:val="single"/>
        </w:rPr>
        <w:t>秒</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w:t>
      </w:r>
      <w:r>
        <w:rPr>
          <w:rFonts w:ascii="仿宋" w:hAnsi="仿宋" w:eastAsia="仿宋" w:cs="仿宋"/>
          <w:color w:val="auto"/>
          <w:sz w:val="24"/>
          <w:highlight w:val="none"/>
        </w:rPr>
        <w:fldChar w:fldCharType="begin"/>
      </w:r>
      <w:r>
        <w:rPr>
          <w:rFonts w:ascii="仿宋" w:hAnsi="仿宋" w:eastAsia="仿宋" w:cs="仿宋"/>
          <w:color w:val="auto"/>
          <w:sz w:val="24"/>
          <w:highlight w:val="none"/>
        </w:rPr>
        <w:instrText xml:space="preserve"> </w:instrText>
      </w:r>
      <w:r>
        <w:rPr>
          <w:rFonts w:hint="eastAsia" w:ascii="仿宋" w:hAnsi="仿宋" w:eastAsia="仿宋" w:cs="仿宋"/>
          <w:color w:val="auto"/>
          <w:sz w:val="24"/>
          <w:highlight w:val="none"/>
        </w:rPr>
        <w:instrText xml:space="preserve">HYPERLINK "https://www.zcygov.cn/"</w:instrText>
      </w:r>
      <w:r>
        <w:rPr>
          <w:rFonts w:ascii="仿宋" w:hAnsi="仿宋" w:eastAsia="仿宋" w:cs="仿宋"/>
          <w:color w:val="auto"/>
          <w:sz w:val="24"/>
          <w:highlight w:val="none"/>
        </w:rPr>
        <w:instrText xml:space="preserve"> </w:instrText>
      </w:r>
      <w:r>
        <w:rPr>
          <w:rFonts w:ascii="仿宋" w:hAnsi="仿宋" w:eastAsia="仿宋" w:cs="仿宋"/>
          <w:color w:val="auto"/>
          <w:sz w:val="24"/>
          <w:highlight w:val="none"/>
        </w:rPr>
        <w:fldChar w:fldCharType="separate"/>
      </w:r>
      <w:r>
        <w:rPr>
          <w:rStyle w:val="18"/>
          <w:rFonts w:hint="eastAsia" w:ascii="仿宋" w:hAnsi="仿宋" w:eastAsia="仿宋" w:cs="仿宋"/>
          <w:snapToGrid/>
          <w:color w:val="auto"/>
          <w:kern w:val="2"/>
          <w:sz w:val="24"/>
          <w:szCs w:val="24"/>
          <w:highlight w:val="none"/>
        </w:rPr>
        <w:t>https://www.zcygov.cn/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5"/>
        <w:spacing w:line="440" w:lineRule="exact"/>
        <w:ind w:left="0" w:firstLine="482" w:firstLineChars="200"/>
        <w:rPr>
          <w:rFonts w:hint="eastAsia" w:ascii="仿宋" w:eastAsia="仿宋" w:cs="仿宋"/>
          <w:color w:val="auto"/>
          <w:sz w:val="24"/>
          <w:szCs w:val="24"/>
          <w:highlight w:val="none"/>
        </w:rPr>
      </w:pPr>
      <w:bookmarkStart w:id="11" w:name="_Toc35393806"/>
      <w:bookmarkStart w:id="12" w:name="_Toc28359096"/>
      <w:bookmarkStart w:id="13" w:name="_Toc28359019"/>
      <w:bookmarkStart w:id="14" w:name="_Toc35393637"/>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bookmarkStart w:id="55" w:name="_GoBack"/>
      <w:bookmarkEnd w:id="55"/>
    </w:p>
    <w:p>
      <w:pPr>
        <w:pStyle w:val="22"/>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rPr>
      </w:pPr>
      <w:bookmarkStart w:id="15" w:name="_Toc35393807"/>
      <w:bookmarkStart w:id="16" w:name="_Toc35393638"/>
      <w:bookmarkStart w:id="17" w:name="_Toc28359020"/>
      <w:bookmarkStart w:id="18" w:name="_Toc28359097"/>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绍兴市特种设备检测院</w:t>
      </w:r>
      <w:r>
        <w:rPr>
          <w:rFonts w:hint="eastAsia" w:ascii="仿宋" w:hAnsi="仿宋" w:eastAsia="仿宋" w:cs="仿宋"/>
          <w:color w:val="auto"/>
          <w:szCs w:val="24"/>
          <w:highlight w:val="none"/>
        </w:rPr>
        <w:t xml:space="preserve">    </w:t>
      </w:r>
    </w:p>
    <w:p>
      <w:pPr>
        <w:pStyle w:val="22"/>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地址：绍兴市越城区世纪东街17号</w:t>
      </w:r>
    </w:p>
    <w:p>
      <w:pPr>
        <w:pStyle w:val="22"/>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pPr>
        <w:pStyle w:val="22"/>
        <w:snapToGrid/>
        <w:spacing w:after="0" w:afterLines="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项目联系人（询问）：金志军</w:t>
      </w:r>
    </w:p>
    <w:p>
      <w:pPr>
        <w:pStyle w:val="22"/>
        <w:snapToGrid/>
        <w:spacing w:after="0" w:afterLines="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项目联系方式（询问）：0575-88132262</w:t>
      </w:r>
    </w:p>
    <w:p>
      <w:pPr>
        <w:pStyle w:val="22"/>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 xml:space="preserve"> 梁嘉鸿</w:t>
      </w:r>
    </w:p>
    <w:p>
      <w:pPr>
        <w:pStyle w:val="22"/>
        <w:pageBreakBefore w:val="0"/>
        <w:kinsoku/>
        <w:wordWrap/>
        <w:overflowPunct/>
        <w:topLinePunct w:val="0"/>
        <w:autoSpaceDE/>
        <w:autoSpaceDN/>
        <w:bidi w:val="0"/>
        <w:snapToGrid/>
        <w:spacing w:after="0" w:afterLines="0" w:line="360" w:lineRule="auto"/>
        <w:ind w:firstLine="480"/>
        <w:textAlignment w:val="auto"/>
        <w:rPr>
          <w:rFonts w:hint="default" w:ascii="仿宋" w:hAnsi="仿宋" w:eastAsia="仿宋" w:cs="仿宋"/>
          <w:color w:val="auto"/>
          <w:szCs w:val="24"/>
          <w:highlight w:val="none"/>
          <w:lang w:val="en-US"/>
        </w:rPr>
      </w:pPr>
      <w:r>
        <w:rPr>
          <w:rFonts w:hint="eastAsia" w:ascii="仿宋" w:hAnsi="仿宋" w:eastAsia="仿宋" w:cs="仿宋"/>
          <w:color w:val="auto"/>
          <w:szCs w:val="24"/>
          <w:highlight w:val="none"/>
        </w:rPr>
        <w:t>质疑联系方式：0575-88132276</w:t>
      </w:r>
      <w:r>
        <w:rPr>
          <w:rFonts w:hint="eastAsia" w:ascii="仿宋" w:hAnsi="仿宋" w:eastAsia="仿宋" w:cs="仿宋"/>
          <w:color w:val="auto"/>
          <w:szCs w:val="24"/>
          <w:highlight w:val="none"/>
          <w:lang w:val="en-US" w:eastAsia="zh-CN"/>
        </w:rPr>
        <w:t xml:space="preserve"> </w:t>
      </w:r>
    </w:p>
    <w:p>
      <w:pPr>
        <w:pStyle w:val="5"/>
        <w:ind w:left="0" w:firstLine="482" w:firstLineChars="200"/>
        <w:jc w:val="both"/>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 绍兴虬实企业管理咨询有限公司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蒋丹</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17826810855</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spacing w:line="360" w:lineRule="auto"/>
        <w:ind w:firstLine="482" w:firstLineChars="200"/>
        <w:rPr>
          <w:rFonts w:ascii="仿宋" w:hAnsi="仿宋" w:eastAsia="仿宋" w:cs="仿宋"/>
          <w:b/>
          <w:color w:val="auto"/>
          <w:sz w:val="24"/>
          <w:highlight w:val="none"/>
        </w:rPr>
      </w:pPr>
      <w:bookmarkStart w:id="19" w:name="_Toc35393808"/>
      <w:bookmarkStart w:id="20" w:name="_Toc28359098"/>
      <w:bookmarkStart w:id="21" w:name="_Toc28359021"/>
      <w:bookmarkStart w:id="2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 ： 张婷婷</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 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shd w:val="clear" w:color="auto" w:fill="auto"/>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shd w:val="clear" w:color="auto" w:fill="auto"/>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（1）在标项三评标时安排每个供应商进行方案讲解演示。每个供应商时间不超过</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方式一：标项一政采云平台在线讲解演示。政采云平台在线讲解需供应商根据政采云平台操作要求做好准备工作，提前完善软硬件配置环境。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品</w:t>
            </w:r>
          </w:p>
        </w:tc>
        <w:tc>
          <w:tcPr>
            <w:tcW w:w="7515" w:type="dxa"/>
            <w:noWrap w:val="0"/>
            <w:vAlign w:val="center"/>
          </w:tcPr>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eastAsia="zh-CN"/>
              </w:rPr>
              <w:t>标项一：全自动卡氏水分测定仪</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lang w:eastAsia="zh-CN"/>
              </w:rPr>
              <w:t>标项二：非线性超声测量系统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pPr>
              <w:numPr>
                <w:ilvl w:val="0"/>
                <w:numId w:val="4"/>
              </w:numPr>
              <w:snapToGrid w:val="0"/>
              <w:spacing w:line="440" w:lineRule="exact"/>
              <w:rPr>
                <w:rFonts w:hint="eastAsia"/>
                <w:color w:val="auto"/>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标项一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4"/>
              </w:num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标项</w:t>
            </w:r>
            <w:r>
              <w:rPr>
                <w:rFonts w:hint="eastAsia" w:ascii="仿宋" w:hAnsi="仿宋" w:eastAsia="仿宋" w:cs="仿宋"/>
                <w:color w:val="auto"/>
                <w:kern w:val="0"/>
                <w:sz w:val="24"/>
                <w:highlight w:val="none"/>
                <w:u w:val="single"/>
                <w:lang w:eastAsia="zh-CN"/>
              </w:rPr>
              <w:t>二</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pStyle w:val="19"/>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spacing w:line="440" w:lineRule="exact"/>
              <w:jc w:val="center"/>
              <w:rPr>
                <w:rFonts w:hint="eastAsia" w:ascii="仿宋" w:hAnsi="仿宋" w:eastAsia="仿宋" w:cs="仿宋"/>
                <w:color w:val="auto"/>
                <w:sz w:val="24"/>
                <w:highlight w:val="none"/>
              </w:rPr>
            </w:pPr>
          </w:p>
        </w:tc>
        <w:tc>
          <w:tcPr>
            <w:tcW w:w="855" w:type="dxa"/>
            <w:vMerge w:val="continue"/>
            <w:noWrap w:val="0"/>
            <w:vAlign w:val="center"/>
          </w:tcPr>
          <w:p>
            <w:pPr>
              <w:snapToGrid w:val="0"/>
              <w:spacing w:line="440" w:lineRule="exact"/>
              <w:rPr>
                <w:rFonts w:hint="eastAsia" w:ascii="仿宋" w:hAnsi="仿宋" w:eastAsia="仿宋" w:cs="仿宋"/>
                <w:b/>
                <w:color w:val="auto"/>
                <w:sz w:val="24"/>
                <w:highlight w:val="none"/>
              </w:rPr>
            </w:pPr>
          </w:p>
        </w:tc>
        <w:tc>
          <w:tcPr>
            <w:tcW w:w="7515" w:type="dxa"/>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spacing w:line="440" w:lineRule="exact"/>
              <w:jc w:val="center"/>
              <w:rPr>
                <w:rFonts w:hint="eastAsia" w:ascii="仿宋" w:hAnsi="仿宋" w:eastAsia="仿宋" w:cs="仿宋"/>
                <w:color w:val="auto"/>
                <w:sz w:val="24"/>
                <w:highlight w:val="none"/>
              </w:rPr>
            </w:pPr>
          </w:p>
        </w:tc>
        <w:tc>
          <w:tcPr>
            <w:tcW w:w="855" w:type="dxa"/>
            <w:vMerge w:val="continue"/>
            <w:noWrap w:val="0"/>
            <w:vAlign w:val="center"/>
          </w:tcPr>
          <w:p>
            <w:pPr>
              <w:snapToGrid w:val="0"/>
              <w:spacing w:line="440" w:lineRule="exact"/>
              <w:rPr>
                <w:rFonts w:hint="eastAsia" w:ascii="仿宋" w:hAnsi="仿宋" w:eastAsia="仿宋" w:cs="仿宋"/>
                <w:b/>
                <w:color w:val="auto"/>
                <w:sz w:val="24"/>
                <w:highlight w:val="none"/>
              </w:rPr>
            </w:pPr>
          </w:p>
        </w:tc>
        <w:tc>
          <w:tcPr>
            <w:tcW w:w="7515" w:type="dxa"/>
            <w:noWrap w:val="0"/>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noWrap w:val="0"/>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noWrap w:val="0"/>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noWrap w:val="0"/>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noWrap w:val="0"/>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pPr>
              <w:spacing w:line="440" w:lineRule="exact"/>
              <w:rPr>
                <w:rFonts w:hint="eastAsia" w:ascii="仿宋" w:hAnsi="仿宋" w:eastAsia="仿宋" w:cs="仿宋"/>
                <w:color w:val="auto"/>
                <w:sz w:val="24"/>
                <w:highlight w:val="none"/>
              </w:rPr>
            </w:pPr>
          </w:p>
        </w:tc>
        <w:tc>
          <w:tcPr>
            <w:tcW w:w="8370" w:type="dxa"/>
            <w:gridSpan w:val="2"/>
            <w:noWrap w:val="0"/>
            <w:vAlign w:val="center"/>
          </w:tcPr>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noWrap w:val="0"/>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widowControl/>
              <w:shd w:val="clear" w:color="auto" w:fill="FFFFFF"/>
              <w:spacing w:line="440" w:lineRule="exact"/>
              <w:rPr>
                <w:rStyle w:val="23"/>
                <w:rFonts w:ascii="仿宋" w:hAnsi="仿宋" w:eastAsia="仿宋" w:cs="仿宋"/>
                <w:color w:val="auto"/>
                <w:sz w:val="24"/>
                <w:highlight w:val="none"/>
              </w:rPr>
            </w:pPr>
            <w:r>
              <w:rPr>
                <w:rStyle w:val="23"/>
                <w:rFonts w:hint="eastAsia" w:ascii="仿宋" w:hAnsi="仿宋" w:eastAsia="仿宋" w:cs="仿宋"/>
                <w:color w:val="auto"/>
                <w:sz w:val="24"/>
                <w:highlight w:val="none"/>
              </w:rPr>
              <w:t>①</w:t>
            </w:r>
            <w:r>
              <w:rPr>
                <w:rFonts w:hint="eastAsia" w:ascii="仿宋_GB2312" w:hAnsi="仿宋" w:eastAsia="仿宋_GB2312"/>
                <w:color w:val="auto"/>
                <w:sz w:val="24"/>
                <w:highlight w:val="none"/>
              </w:rPr>
              <w:t>收费标准：中标金额在100万以下部分为1.5%，</w:t>
            </w:r>
            <w:r>
              <w:rPr>
                <w:rFonts w:hint="eastAsia" w:ascii="仿宋_GB2312" w:hAnsi="仿宋" w:eastAsia="仿宋_GB2312"/>
                <w:color w:val="auto"/>
                <w:sz w:val="24"/>
                <w:highlight w:val="none"/>
                <w:lang w:eastAsia="zh-CN"/>
              </w:rPr>
              <w:t>各标段最低收费标准</w:t>
            </w:r>
            <w:r>
              <w:rPr>
                <w:rFonts w:hint="eastAsia" w:ascii="仿宋_GB2312" w:hAnsi="仿宋" w:eastAsia="仿宋_GB2312"/>
                <w:color w:val="auto"/>
                <w:sz w:val="24"/>
                <w:highlight w:val="none"/>
                <w:lang w:val="en-US" w:eastAsia="zh-CN"/>
              </w:rPr>
              <w:t>4000元</w:t>
            </w:r>
            <w:r>
              <w:rPr>
                <w:rFonts w:hint="eastAsia" w:ascii="仿宋_GB2312" w:hAnsi="仿宋" w:eastAsia="仿宋_GB2312"/>
                <w:color w:val="auto"/>
                <w:sz w:val="24"/>
                <w:highlight w:val="none"/>
              </w:rPr>
              <w:t>。</w:t>
            </w:r>
          </w:p>
          <w:p>
            <w:pPr>
              <w:widowControl/>
              <w:shd w:val="clear" w:color="auto" w:fill="FFFFFF"/>
              <w:spacing w:line="440" w:lineRule="exact"/>
              <w:rPr>
                <w:rStyle w:val="23"/>
                <w:rFonts w:ascii="仿宋" w:hAnsi="仿宋" w:eastAsia="仿宋" w:cs="仿宋"/>
                <w:color w:val="auto"/>
                <w:sz w:val="24"/>
                <w:highlight w:val="none"/>
              </w:rPr>
            </w:pPr>
            <w:r>
              <w:rPr>
                <w:rStyle w:val="23"/>
                <w:rFonts w:hint="eastAsia" w:ascii="仿宋" w:hAnsi="仿宋" w:eastAsia="仿宋" w:cs="仿宋"/>
                <w:color w:val="auto"/>
                <w:sz w:val="24"/>
                <w:highlight w:val="none"/>
              </w:rPr>
              <w:t>②中标服务费的交纳方式：</w:t>
            </w:r>
          </w:p>
          <w:p>
            <w:pPr>
              <w:widowControl/>
              <w:shd w:val="clear" w:color="auto" w:fill="FFFFFF"/>
              <w:spacing w:line="440" w:lineRule="exact"/>
              <w:rPr>
                <w:rStyle w:val="23"/>
                <w:rFonts w:ascii="仿宋" w:hAnsi="仿宋" w:eastAsia="仿宋" w:cs="仿宋"/>
                <w:color w:val="auto"/>
                <w:sz w:val="24"/>
                <w:highlight w:val="none"/>
              </w:rPr>
            </w:pPr>
            <w:r>
              <w:rPr>
                <w:rStyle w:val="23"/>
                <w:rFonts w:hint="eastAsia" w:ascii="仿宋" w:hAnsi="仿宋" w:eastAsia="仿宋" w:cs="仿宋"/>
                <w:color w:val="auto"/>
                <w:sz w:val="24"/>
                <w:highlight w:val="none"/>
              </w:rPr>
              <w:t>用银行支票、汇票、电汇、现金等付款方式直接交纳中标服务费。</w:t>
            </w: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pPr>
              <w:widowControl/>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账    号：2006767942000015</w:t>
            </w:r>
          </w:p>
          <w:p>
            <w:pPr>
              <w:widowControl/>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开 户 行：绍兴银行股份有限公司禹陵支行</w:t>
            </w:r>
          </w:p>
          <w:p>
            <w:pPr>
              <w:spacing w:line="288" w:lineRule="auto"/>
              <w:rPr>
                <w:rFonts w:hint="eastAsia" w:ascii="仿宋" w:hAnsi="仿宋" w:eastAsia="仿宋" w:cs="仿宋"/>
                <w:color w:val="auto"/>
                <w:kern w:val="0"/>
                <w:sz w:val="24"/>
                <w:szCs w:val="21"/>
                <w:highlight w:val="none"/>
              </w:rPr>
            </w:pPr>
            <w:r>
              <w:rPr>
                <w:rStyle w:val="23"/>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adjustRightInd/>
        <w:spacing w:line="360" w:lineRule="auto"/>
        <w:jc w:val="center"/>
        <w:outlineLvl w:val="0"/>
        <w:rPr>
          <w:rFonts w:hint="eastAsia" w:ascii="仿宋" w:hAnsi="仿宋" w:eastAsia="仿宋" w:cs="仿宋"/>
          <w:b/>
          <w:color w:val="auto"/>
          <w:sz w:val="32"/>
          <w:szCs w:val="32"/>
          <w:highlight w:val="none"/>
        </w:rPr>
      </w:pPr>
      <w:bookmarkStart w:id="23" w:name="_Hlt74714665"/>
      <w:bookmarkEnd w:id="23"/>
      <w:bookmarkStart w:id="24" w:name="_Hlt75236101"/>
      <w:bookmarkEnd w:id="24"/>
      <w:bookmarkStart w:id="25" w:name="_Hlt75236011"/>
      <w:bookmarkEnd w:id="25"/>
      <w:bookmarkStart w:id="26" w:name="_Hlt68057669"/>
      <w:bookmarkEnd w:id="26"/>
      <w:bookmarkStart w:id="27" w:name="_Hlt74707468"/>
      <w:bookmarkEnd w:id="27"/>
      <w:bookmarkStart w:id="28" w:name="_Hlt68072990"/>
      <w:bookmarkEnd w:id="28"/>
      <w:bookmarkStart w:id="29" w:name="_Hlt74730295"/>
      <w:bookmarkEnd w:id="29"/>
      <w:bookmarkStart w:id="30" w:name="_Hlt75236290"/>
      <w:bookmarkEnd w:id="30"/>
      <w:bookmarkStart w:id="31" w:name="_Hlt68403820"/>
      <w:bookmarkEnd w:id="31"/>
      <w:bookmarkStart w:id="32" w:name="_Hlt68072998"/>
      <w:bookmarkEnd w:id="32"/>
      <w:bookmarkStart w:id="33" w:name="_Hlt74729768"/>
      <w:bookmarkEnd w:id="33"/>
      <w:bookmarkStart w:id="34" w:name="_Hlt68073093"/>
      <w:bookmarkEnd w:id="34"/>
      <w:bookmarkStart w:id="35" w:name="第三部分"/>
      <w:bookmarkStart w:id="36" w:name="_Toc164416483"/>
      <w:r>
        <w:rPr>
          <w:rFonts w:hint="eastAsia" w:ascii="仿宋" w:hAnsi="仿宋" w:eastAsia="仿宋" w:cs="仿宋"/>
          <w:b/>
          <w:color w:val="auto"/>
          <w:sz w:val="32"/>
          <w:szCs w:val="32"/>
          <w:highlight w:val="none"/>
        </w:rPr>
        <w:t>一、总则</w:t>
      </w:r>
    </w:p>
    <w:p>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b/>
          <w:bCs/>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9"/>
        <w:rPr>
          <w:rFonts w:hint="eastAsia"/>
          <w:color w:val="auto"/>
          <w:highlight w:val="none"/>
        </w:rPr>
      </w:pPr>
    </w:p>
    <w:p>
      <w:pPr>
        <w:pStyle w:val="25"/>
        <w:snapToGrid w:val="0"/>
        <w:spacing w:before="0" w:line="440" w:lineRule="exact"/>
        <w:ind w:firstLine="640"/>
        <w:rPr>
          <w:rFonts w:hint="eastAsia" w:ascii="仿宋" w:hAnsi="仿宋" w:eastAsia="仿宋" w:cs="仿宋"/>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9"/>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11"/>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hint="eastAsia"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（如果有）</w:t>
      </w:r>
    </w:p>
    <w:p>
      <w:pPr>
        <w:snapToGrid w:val="0"/>
        <w:spacing w:line="440" w:lineRule="exact"/>
        <w:rPr>
          <w:rFonts w:hint="eastAsia"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napToGrid w:val="0"/>
        <w:spacing w:line="440" w:lineRule="exact"/>
        <w:ind w:firstLine="720" w:firstLineChars="300"/>
        <w:rPr>
          <w:rFonts w:hint="eastAsia"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25"/>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2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25"/>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7"/>
        <w:widowControl w:val="0"/>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7"/>
        <w:widowControl w:val="0"/>
        <w:spacing w:after="120" w:line="440" w:lineRule="exact"/>
        <w:ind w:left="0" w:firstLine="42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1"/>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auto"/>
          <w:sz w:val="32"/>
          <w:highlight w:val="none"/>
        </w:rPr>
      </w:pPr>
    </w:p>
    <w:bookmarkEnd w:id="37"/>
    <w:p>
      <w:pPr>
        <w:pStyle w:val="11"/>
        <w:spacing w:line="360" w:lineRule="auto"/>
        <w:ind w:firstLine="726"/>
        <w:jc w:val="center"/>
        <w:rPr>
          <w:rFonts w:hint="eastAsia"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pPr>
        <w:pStyle w:val="7"/>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auto"/>
          <w:kern w:val="0"/>
          <w:highlight w:val="none"/>
        </w:rPr>
        <w:sectPr>
          <w:footerReference r:id="rId14" w:type="first"/>
          <w:footerReference r:id="rId13" w:type="default"/>
          <w:pgSz w:w="11906" w:h="16838"/>
          <w:pgMar w:top="1814" w:right="1474" w:bottom="1814" w:left="1474" w:header="851" w:footer="992" w:gutter="0"/>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35"/>
    <w:bookmarkEnd w:id="36"/>
    <w:p>
      <w:pPr>
        <w:keepNext w:val="0"/>
        <w:keepLines w:val="0"/>
        <w:pageBreakBefore w:val="0"/>
        <w:kinsoku/>
        <w:wordWrap/>
        <w:overflowPunct/>
        <w:topLinePunct w:val="0"/>
        <w:autoSpaceDE/>
        <w:autoSpaceDN/>
        <w:bidi w:val="0"/>
        <w:adjustRightInd w:val="0"/>
        <w:spacing w:line="312" w:lineRule="auto"/>
        <w:ind w:right="0" w:firstLine="0" w:firstLineChars="0"/>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keepNext w:val="0"/>
        <w:keepLines w:val="0"/>
        <w:pageBreakBefore w:val="0"/>
        <w:kinsoku/>
        <w:wordWrap/>
        <w:overflowPunct/>
        <w:topLinePunct w:val="0"/>
        <w:autoSpaceDE/>
        <w:autoSpaceDN/>
        <w:bidi w:val="0"/>
        <w:adjustRightInd w:val="0"/>
        <w:snapToGrid w:val="0"/>
        <w:spacing w:line="360" w:lineRule="auto"/>
        <w:ind w:right="0" w:firstLine="0" w:firstLineChars="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22"/>
        <w:keepNext w:val="0"/>
        <w:keepLines w:val="0"/>
        <w:pageBreakBefore w:val="0"/>
        <w:widowControl w:val="0"/>
        <w:kinsoku/>
        <w:wordWrap/>
        <w:overflowPunct/>
        <w:topLinePunct w:val="0"/>
        <w:autoSpaceDE/>
        <w:autoSpaceDN/>
        <w:bidi w:val="0"/>
        <w:adjustRightInd w:val="0"/>
        <w:spacing w:after="0" w:afterLines="0" w:line="360" w:lineRule="auto"/>
        <w:ind w:right="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22"/>
        <w:keepNext w:val="0"/>
        <w:keepLines w:val="0"/>
        <w:pageBreakBefore w:val="0"/>
        <w:widowControl w:val="0"/>
        <w:kinsoku/>
        <w:wordWrap/>
        <w:overflowPunct/>
        <w:topLinePunct w:val="0"/>
        <w:autoSpaceDE/>
        <w:autoSpaceDN/>
        <w:bidi w:val="0"/>
        <w:adjustRightInd w:val="0"/>
        <w:spacing w:after="0" w:afterLines="0" w:line="360" w:lineRule="auto"/>
        <w:ind w:right="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22"/>
        <w:keepNext w:val="0"/>
        <w:keepLines w:val="0"/>
        <w:pageBreakBefore w:val="0"/>
        <w:widowControl w:val="0"/>
        <w:kinsoku/>
        <w:wordWrap/>
        <w:overflowPunct/>
        <w:topLinePunct w:val="0"/>
        <w:autoSpaceDE/>
        <w:autoSpaceDN/>
        <w:bidi w:val="0"/>
        <w:adjustRightInd w:val="0"/>
        <w:spacing w:after="0" w:afterLines="0" w:line="360" w:lineRule="auto"/>
        <w:ind w:right="0"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22"/>
        <w:keepNext w:val="0"/>
        <w:keepLines w:val="0"/>
        <w:pageBreakBefore w:val="0"/>
        <w:widowControl w:val="0"/>
        <w:kinsoku/>
        <w:wordWrap/>
        <w:overflowPunct/>
        <w:topLinePunct w:val="0"/>
        <w:autoSpaceDE/>
        <w:autoSpaceDN/>
        <w:bidi w:val="0"/>
        <w:adjustRightInd w:val="0"/>
        <w:spacing w:after="0" w:afterLines="0" w:line="360" w:lineRule="auto"/>
        <w:ind w:right="0"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22"/>
        <w:keepNext w:val="0"/>
        <w:keepLines w:val="0"/>
        <w:pageBreakBefore w:val="0"/>
        <w:widowControl w:val="0"/>
        <w:kinsoku/>
        <w:wordWrap/>
        <w:overflowPunct/>
        <w:topLinePunct w:val="0"/>
        <w:autoSpaceDE/>
        <w:autoSpaceDN/>
        <w:bidi w:val="0"/>
        <w:adjustRightInd w:val="0"/>
        <w:spacing w:after="0" w:afterLines="0" w:line="360" w:lineRule="auto"/>
        <w:ind w:right="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22"/>
        <w:keepNext w:val="0"/>
        <w:keepLines w:val="0"/>
        <w:pageBreakBefore w:val="0"/>
        <w:widowControl w:val="0"/>
        <w:kinsoku/>
        <w:wordWrap/>
        <w:overflowPunct/>
        <w:topLinePunct w:val="0"/>
        <w:autoSpaceDE/>
        <w:autoSpaceDN/>
        <w:bidi w:val="0"/>
        <w:adjustRightInd w:val="0"/>
        <w:spacing w:after="0" w:afterLines="0" w:line="360" w:lineRule="auto"/>
        <w:ind w:right="0"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keepNext w:val="0"/>
        <w:keepLines w:val="0"/>
        <w:pageBreakBefore w:val="0"/>
        <w:tabs>
          <w:tab w:val="left" w:pos="1365"/>
        </w:tabs>
        <w:kinsoku/>
        <w:wordWrap/>
        <w:overflowPunct/>
        <w:topLinePunct w:val="0"/>
        <w:autoSpaceDE/>
        <w:autoSpaceDN/>
        <w:bidi w:val="0"/>
        <w:adjustRightIn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22"/>
        <w:keepNext w:val="0"/>
        <w:keepLines w:val="0"/>
        <w:pageBreakBefore w:val="0"/>
        <w:widowControl w:val="0"/>
        <w:kinsoku/>
        <w:wordWrap/>
        <w:overflowPunct/>
        <w:topLinePunct w:val="0"/>
        <w:autoSpaceDE/>
        <w:autoSpaceDN/>
        <w:bidi w:val="0"/>
        <w:adjustRightInd w:val="0"/>
        <w:spacing w:after="0" w:afterLines="0" w:line="360" w:lineRule="auto"/>
        <w:ind w:right="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pPr>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pPr>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pPr>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4.4.4对使用者关于设备基本操作技能的培训</w:t>
      </w:r>
      <w:r>
        <w:rPr>
          <w:rFonts w:hint="eastAsia" w:ascii="仿宋" w:hAnsi="仿宋" w:eastAsia="仿宋" w:cs="仿宋"/>
          <w:color w:val="auto"/>
          <w:highlight w:val="none"/>
        </w:rPr>
        <w:t>。</w:t>
      </w:r>
    </w:p>
    <w:p>
      <w:pPr>
        <w:pStyle w:val="22"/>
        <w:keepNext w:val="0"/>
        <w:keepLines w:val="0"/>
        <w:pageBreakBefore w:val="0"/>
        <w:widowControl w:val="0"/>
        <w:kinsoku/>
        <w:wordWrap/>
        <w:overflowPunct/>
        <w:topLinePunct w:val="0"/>
        <w:autoSpaceDE/>
        <w:autoSpaceDN/>
        <w:bidi w:val="0"/>
        <w:adjustRightInd w:val="0"/>
        <w:spacing w:after="0" w:afterLines="0" w:line="360" w:lineRule="auto"/>
        <w:ind w:right="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3"/>
        <w:keepNext w:val="0"/>
        <w:keepLines w:val="0"/>
        <w:pageBreakBefore w:val="0"/>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w:t>
      </w:r>
      <w:r>
        <w:rPr>
          <w:rFonts w:hint="eastAsia" w:ascii="仿宋" w:hAnsi="仿宋" w:eastAsia="仿宋" w:cs="仿宋"/>
          <w:color w:val="auto"/>
          <w:sz w:val="24"/>
          <w:highlight w:val="none"/>
          <w:lang w:eastAsia="zh-CN"/>
        </w:rPr>
        <w:t>符合各标项</w:t>
      </w:r>
      <w:r>
        <w:rPr>
          <w:rFonts w:hint="eastAsia" w:ascii="仿宋" w:hAnsi="仿宋" w:eastAsia="仿宋" w:cs="仿宋"/>
          <w:color w:val="auto"/>
          <w:sz w:val="24"/>
          <w:highlight w:val="none"/>
        </w:rPr>
        <w:t>的质保期(投标人可根据自身实力作出更长时间的质保承诺)。在此期间，投标人应免费处理因质量发生的故障，并进行正常保养。</w:t>
      </w:r>
    </w:p>
    <w:p>
      <w:pPr>
        <w:keepNext w:val="0"/>
        <w:keepLines w:val="0"/>
        <w:pageBreakBefore w:val="0"/>
        <w:tabs>
          <w:tab w:val="left" w:pos="3870"/>
          <w:tab w:val="left" w:pos="4085"/>
        </w:tabs>
        <w:kinsoku/>
        <w:wordWrap/>
        <w:overflowPunct/>
        <w:topLinePunct w:val="0"/>
        <w:autoSpaceDE/>
        <w:autoSpaceDN/>
        <w:bidi w:val="0"/>
        <w:adjustRightInd w:val="0"/>
        <w:snapToGri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w:t>
      </w: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小时内派人赴现场处理设备质量问题。</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小时内不能修复的，则无偿提供备机或备用零件供采购人使用。</w:t>
      </w:r>
    </w:p>
    <w:p>
      <w:pPr>
        <w:keepNext w:val="0"/>
        <w:keepLines w:val="0"/>
        <w:pageBreakBefore w:val="0"/>
        <w:kinsoku/>
        <w:wordWrap/>
        <w:overflowPunct/>
        <w:topLinePunct w:val="0"/>
        <w:autoSpaceDE/>
        <w:autoSpaceDN/>
        <w:bidi w:val="0"/>
        <w:adjustRightInd w:val="0"/>
        <w:snapToGrid w:val="0"/>
        <w:spacing w:line="360" w:lineRule="auto"/>
        <w:ind w:right="0" w:firstLine="0" w:firstLineChars="0"/>
        <w:jc w:val="left"/>
        <w:textAlignment w:val="auto"/>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keepNext w:val="0"/>
        <w:keepLines w:val="0"/>
        <w:pageBreakBefore w:val="0"/>
        <w:tabs>
          <w:tab w:val="left" w:pos="3870"/>
          <w:tab w:val="left" w:pos="4085"/>
        </w:tabs>
        <w:kinsoku/>
        <w:wordWrap/>
        <w:overflowPunct/>
        <w:topLinePunct w:val="0"/>
        <w:autoSpaceDE/>
        <w:autoSpaceDN/>
        <w:bidi w:val="0"/>
        <w:adjustRightInd w:val="0"/>
        <w:snapToGri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6.1设备保修期内（各标项内已有要求的除外），如出现故障，中标人在接到电话</w:t>
      </w: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小时内到达采购人指定地点，</w:t>
      </w:r>
    </w:p>
    <w:p>
      <w:pPr>
        <w:keepNext w:val="0"/>
        <w:keepLines w:val="0"/>
        <w:pageBreakBefore w:val="0"/>
        <w:tabs>
          <w:tab w:val="left" w:pos="3870"/>
          <w:tab w:val="left" w:pos="4085"/>
        </w:tabs>
        <w:kinsoku/>
        <w:wordWrap/>
        <w:overflowPunct/>
        <w:topLinePunct w:val="0"/>
        <w:autoSpaceDE/>
        <w:autoSpaceDN/>
        <w:bidi w:val="0"/>
        <w:adjustRightInd w:val="0"/>
        <w:snapToGrid w:val="0"/>
        <w:spacing w:line="360" w:lineRule="auto"/>
        <w:ind w:right="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keepNext w:val="0"/>
        <w:keepLines w:val="0"/>
        <w:pageBreakBefore w:val="0"/>
        <w:kinsoku/>
        <w:wordWrap/>
        <w:overflowPunct/>
        <w:topLinePunct w:val="0"/>
        <w:autoSpaceDE/>
        <w:autoSpaceDN/>
        <w:bidi w:val="0"/>
        <w:adjustRightInd w:val="0"/>
        <w:snapToGrid w:val="0"/>
        <w:spacing w:line="360" w:lineRule="auto"/>
        <w:ind w:right="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keepNext w:val="0"/>
        <w:keepLines w:val="0"/>
        <w:pageBreakBefore w:val="0"/>
        <w:kinsoku/>
        <w:wordWrap/>
        <w:overflowPunct/>
        <w:topLinePunct w:val="0"/>
        <w:autoSpaceDE/>
        <w:autoSpaceDN/>
        <w:bidi w:val="0"/>
        <w:adjustRightInd w:val="0"/>
        <w:snapToGrid w:val="0"/>
        <w:spacing w:line="360" w:lineRule="auto"/>
        <w:ind w:right="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keepNext w:val="0"/>
        <w:keepLines w:val="0"/>
        <w:pageBreakBefore w:val="0"/>
        <w:numPr>
          <w:ilvl w:val="0"/>
          <w:numId w:val="5"/>
        </w:numPr>
        <w:kinsoku/>
        <w:wordWrap/>
        <w:overflowPunct/>
        <w:topLinePunct w:val="0"/>
        <w:autoSpaceDE/>
        <w:autoSpaceDN/>
        <w:bidi w:val="0"/>
        <w:adjustRightInd w:val="0"/>
        <w:spacing w:line="360" w:lineRule="auto"/>
        <w:ind w:right="0" w:firstLine="0" w:firstLineChars="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招标项目设备名称及数量：</w:t>
      </w:r>
    </w:p>
    <w:p>
      <w:pPr>
        <w:keepNext w:val="0"/>
        <w:keepLines w:val="0"/>
        <w:pageBreakBefore w:val="0"/>
        <w:numPr>
          <w:ilvl w:val="0"/>
          <w:numId w:val="0"/>
        </w:numPr>
        <w:kinsoku/>
        <w:wordWrap/>
        <w:overflowPunct/>
        <w:topLinePunct w:val="0"/>
        <w:autoSpaceDE/>
        <w:autoSpaceDN/>
        <w:bidi w:val="0"/>
        <w:spacing w:line="360" w:lineRule="auto"/>
        <w:ind w:left="0" w:leftChars="0" w:right="0" w:rightChars="0" w:firstLine="0" w:firstLineChars="0"/>
        <w:textAlignment w:val="auto"/>
        <w:rPr>
          <w:rFonts w:hint="eastAsia" w:ascii="宋体" w:hAnsi="宋体"/>
          <w:b/>
          <w:bCs/>
          <w:color w:val="auto"/>
          <w:sz w:val="24"/>
          <w:szCs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highlight w:val="none"/>
        </w:rPr>
        <w:t>全自动卡氏水分测定仪</w:t>
      </w:r>
      <w:r>
        <w:rPr>
          <w:rFonts w:hint="eastAsia" w:ascii="仿宋" w:hAnsi="仿宋" w:eastAsia="仿宋" w:cs="仿宋"/>
          <w:b/>
          <w:color w:val="auto"/>
          <w:sz w:val="24"/>
          <w:highlight w:val="none"/>
          <w:lang w:eastAsia="zh-CN"/>
        </w:rPr>
        <w:t>采购项目（进口）</w:t>
      </w:r>
      <w:r>
        <w:rPr>
          <w:rFonts w:hint="eastAsia" w:ascii="仿宋" w:hAnsi="仿宋" w:eastAsia="仿宋" w:cs="仿宋"/>
          <w:b/>
          <w:color w:val="auto"/>
          <w:sz w:val="24"/>
          <w:highlight w:val="none"/>
        </w:rPr>
        <w:t>（预算金额：</w:t>
      </w:r>
      <w:r>
        <w:rPr>
          <w:rFonts w:hint="eastAsia" w:ascii="仿宋" w:hAnsi="仿宋" w:eastAsia="仿宋" w:cs="仿宋"/>
          <w:b/>
          <w:color w:val="auto"/>
          <w:sz w:val="24"/>
          <w:highlight w:val="none"/>
          <w:lang w:val="en-US" w:eastAsia="zh-CN"/>
        </w:rPr>
        <w:t>160000</w:t>
      </w:r>
      <w:r>
        <w:rPr>
          <w:rFonts w:hint="eastAsia" w:ascii="仿宋" w:hAnsi="仿宋" w:eastAsia="仿宋" w:cs="仿宋"/>
          <w:b/>
          <w:color w:val="auto"/>
          <w:sz w:val="24"/>
          <w:highlight w:val="none"/>
        </w:rPr>
        <w:t>元）</w:t>
      </w:r>
    </w:p>
    <w:p>
      <w:pPr>
        <w:keepNext w:val="0"/>
        <w:keepLines w:val="0"/>
        <w:pageBreakBefore w:val="0"/>
        <w:numPr>
          <w:ilvl w:val="0"/>
          <w:numId w:val="0"/>
        </w:numPr>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适用范围</w:t>
      </w:r>
      <w:r>
        <w:rPr>
          <w:rFonts w:hint="eastAsia" w:ascii="仿宋" w:hAnsi="仿宋" w:eastAsia="仿宋" w:cs="仿宋"/>
          <w:b/>
          <w:color w:val="auto"/>
          <w:sz w:val="24"/>
          <w:szCs w:val="24"/>
          <w:highlight w:val="none"/>
        </w:rPr>
        <w:t>：</w:t>
      </w:r>
      <w:r>
        <w:rPr>
          <w:rFonts w:hint="eastAsia" w:ascii="仿宋" w:hAnsi="仿宋" w:eastAsia="仿宋" w:cs="仿宋"/>
          <w:color w:val="auto"/>
          <w:sz w:val="24"/>
          <w:highlight w:val="none"/>
        </w:rPr>
        <w:t>可测定液体、固体、气体和粘性物质中的水分，也可测定油品中的溴价溴指数</w:t>
      </w:r>
      <w:r>
        <w:rPr>
          <w:rFonts w:hint="eastAsia" w:ascii="仿宋" w:hAnsi="仿宋" w:eastAsia="仿宋" w:cs="仿宋"/>
          <w:color w:val="auto"/>
          <w:sz w:val="24"/>
          <w:highlight w:val="none"/>
          <w:lang w:eastAsia="zh-CN"/>
        </w:rPr>
        <w:t>。</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bCs/>
          <w:color w:val="auto"/>
          <w:sz w:val="24"/>
          <w:szCs w:val="24"/>
          <w:highlight w:val="none"/>
          <w:lang w:val="en-US" w:eastAsia="zh-CN"/>
        </w:rPr>
        <w:t>适用</w:t>
      </w:r>
      <w:r>
        <w:rPr>
          <w:rFonts w:hint="eastAsia" w:ascii="仿宋" w:hAnsi="仿宋" w:eastAsia="仿宋" w:cs="仿宋"/>
          <w:b/>
          <w:bCs/>
          <w:color w:val="auto"/>
          <w:sz w:val="24"/>
          <w:szCs w:val="24"/>
          <w:highlight w:val="none"/>
        </w:rPr>
        <w:t>标准</w:t>
      </w:r>
      <w:r>
        <w:rPr>
          <w:rFonts w:hint="eastAsia" w:ascii="仿宋" w:hAnsi="仿宋" w:eastAsia="仿宋" w:cs="仿宋"/>
          <w:b/>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GB/T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11133</w:t>
      </w:r>
    </w:p>
    <w:p>
      <w:pPr>
        <w:keepNext w:val="0"/>
        <w:keepLines w:val="0"/>
        <w:pageBreakBefore w:val="0"/>
        <w:widowControl w:val="0"/>
        <w:tabs>
          <w:tab w:val="left" w:pos="851"/>
        </w:tabs>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性能及</w:t>
      </w:r>
      <w:r>
        <w:rPr>
          <w:rFonts w:hint="eastAsia" w:ascii="仿宋" w:hAnsi="仿宋" w:eastAsia="仿宋" w:cs="仿宋"/>
          <w:b/>
          <w:color w:val="auto"/>
          <w:sz w:val="24"/>
          <w:szCs w:val="24"/>
          <w:highlight w:val="none"/>
        </w:rPr>
        <w:t>技术参数</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ab/>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1</w:t>
      </w:r>
      <w:r>
        <w:rPr>
          <w:rFonts w:hint="eastAsia" w:ascii="仿宋" w:hAnsi="仿宋" w:eastAsia="仿宋" w:cs="仿宋"/>
          <w:color w:val="auto"/>
          <w:kern w:val="0"/>
          <w:sz w:val="24"/>
          <w:szCs w:val="24"/>
          <w:highlight w:val="none"/>
        </w:rPr>
        <w:t>工作模式：库仑法卡尔费休法水分滴定、溴价溴指数测定；</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GB"/>
        </w:rPr>
        <w:t>▲</w:t>
      </w:r>
      <w:r>
        <w:rPr>
          <w:rFonts w:hint="eastAsia" w:ascii="仿宋" w:hAnsi="仿宋" w:eastAsia="仿宋" w:cs="仿宋"/>
          <w:color w:val="auto"/>
          <w:kern w:val="0"/>
          <w:sz w:val="24"/>
          <w:szCs w:val="24"/>
          <w:highlight w:val="none"/>
          <w:lang w:val="en-US" w:eastAsia="zh-CN"/>
        </w:rPr>
        <w:t>3.2</w:t>
      </w:r>
      <w:r>
        <w:rPr>
          <w:rFonts w:hint="eastAsia" w:ascii="仿宋" w:hAnsi="仿宋" w:eastAsia="仿宋" w:cs="仿宋"/>
          <w:color w:val="auto"/>
          <w:kern w:val="0"/>
          <w:sz w:val="24"/>
          <w:szCs w:val="24"/>
          <w:highlight w:val="none"/>
        </w:rPr>
        <w:t>能自动感应样品的加入，自动开始水分测定；</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GB"/>
        </w:rPr>
        <w:t>▲</w:t>
      </w:r>
      <w:r>
        <w:rPr>
          <w:rFonts w:hint="eastAsia" w:ascii="仿宋" w:hAnsi="仿宋" w:eastAsia="仿宋" w:cs="仿宋"/>
          <w:color w:val="auto"/>
          <w:kern w:val="0"/>
          <w:sz w:val="24"/>
          <w:szCs w:val="24"/>
          <w:highlight w:val="none"/>
          <w:lang w:val="en-US" w:eastAsia="zh-CN"/>
        </w:rPr>
        <w:t>3.3</w:t>
      </w:r>
      <w:r>
        <w:rPr>
          <w:rFonts w:hint="eastAsia" w:ascii="仿宋" w:hAnsi="仿宋" w:eastAsia="仿宋" w:cs="仿宋"/>
          <w:color w:val="auto"/>
          <w:kern w:val="0"/>
          <w:sz w:val="24"/>
          <w:szCs w:val="24"/>
          <w:highlight w:val="none"/>
        </w:rPr>
        <w:t>可实现自动加液与自动排液（全密闭）功能，废液瓶具备防溢出功能；</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3.4</w:t>
      </w:r>
      <w:r>
        <w:rPr>
          <w:rFonts w:hint="eastAsia" w:ascii="仿宋" w:hAnsi="仿宋" w:eastAsia="仿宋" w:cs="仿宋"/>
          <w:color w:val="auto"/>
          <w:kern w:val="0"/>
          <w:sz w:val="24"/>
          <w:szCs w:val="24"/>
          <w:highlight w:val="none"/>
        </w:rPr>
        <w:t>测量范围绝对值：10μg-200 mgH</w:t>
      </w:r>
      <w:r>
        <w:rPr>
          <w:rFonts w:hint="eastAsia" w:ascii="仿宋" w:hAnsi="仿宋" w:eastAsia="仿宋" w:cs="仿宋"/>
          <w:color w:val="auto"/>
          <w:kern w:val="0"/>
          <w:sz w:val="24"/>
          <w:szCs w:val="24"/>
          <w:highlight w:val="none"/>
          <w:vertAlign w:val="subscript"/>
        </w:rPr>
        <w:t>2</w:t>
      </w:r>
      <w:r>
        <w:rPr>
          <w:rFonts w:hint="eastAsia" w:ascii="仿宋" w:hAnsi="仿宋" w:eastAsia="仿宋" w:cs="仿宋"/>
          <w:color w:val="auto"/>
          <w:kern w:val="0"/>
          <w:sz w:val="24"/>
          <w:szCs w:val="24"/>
          <w:highlight w:val="none"/>
        </w:rPr>
        <w:t>O，最大测量极限1000mg；</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3.5</w:t>
      </w:r>
      <w:r>
        <w:rPr>
          <w:rFonts w:hint="eastAsia" w:ascii="仿宋" w:hAnsi="仿宋" w:eastAsia="仿宋" w:cs="仿宋"/>
          <w:color w:val="auto"/>
          <w:kern w:val="0"/>
          <w:sz w:val="24"/>
          <w:szCs w:val="24"/>
          <w:highlight w:val="none"/>
        </w:rPr>
        <w:t>测量重复性：含水量在10-1000ug 的样品，偏差±3ug；含水量大于1000ug 的样品，偏差小于等于0.3%；</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3.6</w:t>
      </w:r>
      <w:r>
        <w:rPr>
          <w:rFonts w:hint="eastAsia" w:ascii="仿宋" w:hAnsi="仿宋" w:eastAsia="仿宋" w:cs="仿宋"/>
          <w:color w:val="auto"/>
          <w:kern w:val="0"/>
          <w:sz w:val="24"/>
          <w:szCs w:val="24"/>
          <w:highlight w:val="none"/>
        </w:rPr>
        <w:t>分辨率：0.1μgH</w:t>
      </w:r>
      <w:r>
        <w:rPr>
          <w:rFonts w:hint="eastAsia" w:ascii="仿宋" w:hAnsi="仿宋" w:eastAsia="仿宋" w:cs="仿宋"/>
          <w:color w:val="auto"/>
          <w:kern w:val="0"/>
          <w:sz w:val="24"/>
          <w:szCs w:val="24"/>
          <w:highlight w:val="none"/>
          <w:vertAlign w:val="subscript"/>
        </w:rPr>
        <w:t>2</w:t>
      </w:r>
      <w:r>
        <w:rPr>
          <w:rFonts w:hint="eastAsia" w:ascii="仿宋" w:hAnsi="仿宋" w:eastAsia="仿宋" w:cs="仿宋"/>
          <w:color w:val="auto"/>
          <w:kern w:val="0"/>
          <w:sz w:val="24"/>
          <w:szCs w:val="24"/>
          <w:highlight w:val="none"/>
        </w:rPr>
        <w:t>O；</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GB"/>
        </w:rPr>
        <w:t>▲</w:t>
      </w:r>
      <w:r>
        <w:rPr>
          <w:rFonts w:hint="eastAsia" w:ascii="仿宋" w:hAnsi="仿宋" w:eastAsia="仿宋" w:cs="仿宋"/>
          <w:color w:val="auto"/>
          <w:kern w:val="0"/>
          <w:sz w:val="24"/>
          <w:szCs w:val="24"/>
          <w:highlight w:val="none"/>
          <w:lang w:val="en-US" w:eastAsia="zh-CN"/>
        </w:rPr>
        <w:t>3.7</w:t>
      </w:r>
      <w:r>
        <w:rPr>
          <w:rFonts w:hint="eastAsia" w:ascii="仿宋" w:hAnsi="仿宋" w:eastAsia="仿宋" w:cs="仿宋"/>
          <w:color w:val="auto"/>
          <w:kern w:val="0"/>
          <w:sz w:val="24"/>
          <w:szCs w:val="24"/>
          <w:highlight w:val="none"/>
        </w:rPr>
        <w:t>最大滴定速度：2.24 mg/min；</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szCs w:val="24"/>
          <w:highlight w:val="none"/>
          <w:lang w:val="en-US" w:eastAsia="zh-CN"/>
        </w:rPr>
        <w:t>3.8</w:t>
      </w:r>
      <w:r>
        <w:rPr>
          <w:rFonts w:hint="eastAsia" w:ascii="仿宋" w:hAnsi="仿宋" w:eastAsia="仿宋" w:cs="仿宋"/>
          <w:color w:val="auto"/>
          <w:kern w:val="0"/>
          <w:sz w:val="24"/>
          <w:szCs w:val="24"/>
          <w:highlight w:val="none"/>
        </w:rPr>
        <w:t>发生电极：100, 200, 400 mA多档可调脉冲电流，在靠近终点处可实现精细加碘；</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3.9</w:t>
      </w:r>
      <w:r>
        <w:rPr>
          <w:rFonts w:hint="eastAsia" w:ascii="仿宋" w:hAnsi="仿宋" w:eastAsia="仿宋" w:cs="仿宋"/>
          <w:color w:val="auto"/>
          <w:kern w:val="0"/>
          <w:sz w:val="24"/>
          <w:szCs w:val="24"/>
          <w:highlight w:val="none"/>
        </w:rPr>
        <w:t>指示电极极化电流：交流5, 10, 20和 30 μA   直流–125…+125 μA；</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szCs w:val="24"/>
          <w:highlight w:val="none"/>
          <w:lang w:val="en-US" w:eastAsia="zh-CN"/>
        </w:rPr>
        <w:t>3.10</w:t>
      </w:r>
      <w:r>
        <w:rPr>
          <w:rFonts w:hint="eastAsia" w:ascii="仿宋" w:hAnsi="仿宋" w:eastAsia="仿宋" w:cs="仿宋"/>
          <w:color w:val="auto"/>
          <w:kern w:val="0"/>
          <w:sz w:val="24"/>
          <w:szCs w:val="24"/>
          <w:highlight w:val="none"/>
        </w:rPr>
        <w:t>指示电极电位检测分辨率及精度：0.1 mV，±0.2 mV；</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3.11</w:t>
      </w:r>
      <w:r>
        <w:rPr>
          <w:rFonts w:hint="eastAsia" w:ascii="仿宋" w:hAnsi="仿宋" w:eastAsia="仿宋" w:cs="仿宋"/>
          <w:color w:val="auto"/>
          <w:kern w:val="0"/>
          <w:sz w:val="24"/>
          <w:szCs w:val="24"/>
          <w:highlight w:val="none"/>
        </w:rPr>
        <w:t>高分辨率彩色触摸屏，能实时显示检测曲线；</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3.12</w:t>
      </w:r>
      <w:r>
        <w:rPr>
          <w:rFonts w:hint="eastAsia" w:ascii="仿宋" w:hAnsi="仿宋" w:eastAsia="仿宋" w:cs="仿宋"/>
          <w:color w:val="auto"/>
          <w:kern w:val="0"/>
          <w:sz w:val="24"/>
          <w:szCs w:val="24"/>
          <w:highlight w:val="none"/>
        </w:rPr>
        <w:t>至少2个USB接口，可连接键盘、鼠标、U盘、打印机、读码器、样品处理器、天平等；</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3.13</w:t>
      </w:r>
      <w:r>
        <w:rPr>
          <w:rFonts w:hint="eastAsia" w:ascii="仿宋" w:hAnsi="仿宋" w:eastAsia="仿宋" w:cs="仿宋"/>
          <w:color w:val="auto"/>
          <w:kern w:val="0"/>
          <w:sz w:val="24"/>
          <w:szCs w:val="24"/>
          <w:highlight w:val="none"/>
        </w:rPr>
        <w:t>语言选择：中、英、德、法等多国语言可选，可实时切换；</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3.14</w:t>
      </w:r>
      <w:r>
        <w:rPr>
          <w:rFonts w:hint="eastAsia" w:ascii="仿宋" w:hAnsi="仿宋" w:eastAsia="仿宋" w:cs="仿宋"/>
          <w:color w:val="auto"/>
          <w:kern w:val="0"/>
          <w:sz w:val="24"/>
          <w:szCs w:val="24"/>
          <w:highlight w:val="none"/>
        </w:rPr>
        <w:t>权限管理：具备操作员/专家级别模式切换，保障核心方法、设置安全的同时，可做到各帐户针对各自不同的应用，高效不干扰；</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3.15</w:t>
      </w:r>
      <w:r>
        <w:rPr>
          <w:rFonts w:hint="eastAsia" w:ascii="仿宋" w:hAnsi="仿宋" w:eastAsia="仿宋" w:cs="仿宋"/>
          <w:color w:val="auto"/>
          <w:kern w:val="0"/>
          <w:sz w:val="24"/>
          <w:szCs w:val="24"/>
          <w:highlight w:val="none"/>
        </w:rPr>
        <w:t>结果储存量：200个，可设置自动覆盖或手动删除；</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3.16</w:t>
      </w:r>
      <w:r>
        <w:rPr>
          <w:rFonts w:hint="eastAsia" w:ascii="仿宋" w:hAnsi="仿宋" w:eastAsia="仿宋" w:cs="仿宋"/>
          <w:color w:val="auto"/>
          <w:kern w:val="0"/>
          <w:sz w:val="24"/>
          <w:szCs w:val="24"/>
          <w:highlight w:val="none"/>
        </w:rPr>
        <w:t>数据输出：测量数据可直接打印、保存到U盘、可通过网络接口连入网络进行数据存档、可直接连接LIMS系统；</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GB"/>
        </w:rPr>
        <w:t>▲</w:t>
      </w:r>
      <w:r>
        <w:rPr>
          <w:rFonts w:hint="eastAsia" w:ascii="仿宋" w:hAnsi="仿宋" w:eastAsia="仿宋" w:cs="仿宋"/>
          <w:color w:val="auto"/>
          <w:kern w:val="0"/>
          <w:sz w:val="24"/>
          <w:szCs w:val="24"/>
          <w:highlight w:val="none"/>
          <w:lang w:val="en-US" w:eastAsia="zh-CN"/>
        </w:rPr>
        <w:t>3.17</w:t>
      </w:r>
      <w:r>
        <w:rPr>
          <w:rFonts w:hint="eastAsia" w:ascii="仿宋" w:hAnsi="仿宋" w:eastAsia="仿宋" w:cs="仿宋"/>
          <w:color w:val="auto"/>
          <w:kern w:val="0"/>
          <w:sz w:val="24"/>
          <w:szCs w:val="24"/>
          <w:highlight w:val="none"/>
        </w:rPr>
        <w:t>可设置快速调用的方法图标，不少于14个；</w:t>
      </w:r>
    </w:p>
    <w:p>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3.18</w:t>
      </w:r>
      <w:r>
        <w:rPr>
          <w:rFonts w:hint="eastAsia" w:ascii="仿宋" w:hAnsi="仿宋" w:eastAsia="仿宋" w:cs="仿宋"/>
          <w:color w:val="auto"/>
          <w:kern w:val="0"/>
          <w:sz w:val="24"/>
          <w:szCs w:val="24"/>
          <w:highlight w:val="none"/>
        </w:rPr>
        <w:t>可控制卡式炉样品处理器（30个样品位），可</w:t>
      </w:r>
      <w:r>
        <w:rPr>
          <w:rFonts w:hint="eastAsia" w:ascii="仿宋" w:hAnsi="仿宋" w:eastAsia="仿宋" w:cs="仿宋"/>
          <w:color w:val="auto"/>
          <w:kern w:val="0"/>
          <w:sz w:val="24"/>
          <w:highlight w:val="none"/>
          <w:lang w:bidi="ar"/>
        </w:rPr>
        <w:t>兼容市面上各主流品牌型号的天平</w:t>
      </w:r>
      <w:r>
        <w:rPr>
          <w:rFonts w:hint="eastAsia" w:ascii="仿宋" w:hAnsi="仿宋" w:eastAsia="仿宋" w:cs="仿宋"/>
          <w:color w:val="auto"/>
          <w:kern w:val="0"/>
          <w:sz w:val="24"/>
          <w:szCs w:val="24"/>
          <w:highlight w:val="none"/>
        </w:rPr>
        <w:t>。</w:t>
      </w:r>
    </w:p>
    <w:p>
      <w:pPr>
        <w:keepNext w:val="0"/>
        <w:keepLines w:val="0"/>
        <w:pageBreakBefore w:val="0"/>
        <w:widowControl w:val="0"/>
        <w:tabs>
          <w:tab w:val="left" w:pos="851"/>
        </w:tabs>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配置</w:t>
      </w:r>
      <w:r>
        <w:rPr>
          <w:rFonts w:hint="eastAsia" w:ascii="仿宋" w:hAnsi="仿宋" w:eastAsia="仿宋" w:cs="仿宋"/>
          <w:b/>
          <w:color w:val="auto"/>
          <w:sz w:val="24"/>
          <w:szCs w:val="24"/>
          <w:highlight w:val="none"/>
        </w:rPr>
        <w:t>要求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478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序号</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类别</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卡尔费休水分仪主机</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干燥管</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干燥分子筛</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进样垫片（5片/套）</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2</w:t>
            </w:r>
            <w:r>
              <w:rPr>
                <w:rFonts w:hint="eastAsia" w:ascii="仿宋" w:hAnsi="仿宋" w:eastAsia="仿宋" w:cs="仿宋"/>
                <w:color w:val="auto"/>
                <w:kern w:val="0"/>
                <w:sz w:val="24"/>
                <w:highlight w:val="none"/>
                <w:lang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搅拌子</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250ml滴定杯</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7</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PP注射器</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8</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带鲁尔式接头的针头</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自动加排液管</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有隔膜发生电极</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11</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指示电极</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12</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中文控制软件</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13</w:t>
            </w:r>
          </w:p>
        </w:tc>
        <w:tc>
          <w:tcPr>
            <w:tcW w:w="4782" w:type="dxa"/>
            <w:noWrap w:val="0"/>
            <w:vAlign w:val="top"/>
          </w:tcPr>
          <w:p>
            <w:pPr>
              <w:adjustRightInd w:val="0"/>
              <w:snapToGrid w:val="0"/>
              <w:spacing w:line="360" w:lineRule="auto"/>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霍尼韦尔阳极液</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val="en-US" w:eastAsia="zh-CN" w:bidi="ar"/>
              </w:rPr>
              <w:t>500ml</w:t>
            </w:r>
            <w:r>
              <w:rPr>
                <w:rFonts w:hint="eastAsia" w:ascii="仿宋" w:hAnsi="仿宋" w:eastAsia="仿宋" w:cs="仿宋"/>
                <w:color w:val="auto"/>
                <w:kern w:val="0"/>
                <w:sz w:val="24"/>
                <w:highlight w:val="none"/>
                <w:lang w:eastAsia="zh-CN" w:bidi="ar"/>
              </w:rPr>
              <w:t>）</w:t>
            </w:r>
          </w:p>
        </w:tc>
        <w:tc>
          <w:tcPr>
            <w:tcW w:w="1560" w:type="dxa"/>
            <w:noWrap w:val="0"/>
            <w:vAlign w:val="top"/>
          </w:tcPr>
          <w:p>
            <w:pPr>
              <w:adjustRightInd w:val="0"/>
              <w:snapToGrid w:val="0"/>
              <w:spacing w:line="360" w:lineRule="auto"/>
              <w:jc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2瓶</w:t>
            </w:r>
          </w:p>
        </w:tc>
      </w:tr>
    </w:tbl>
    <w:p>
      <w:pPr>
        <w:pStyle w:val="19"/>
        <w:rPr>
          <w:rFonts w:hint="eastAsia"/>
          <w:color w:val="auto"/>
          <w:highlight w:val="none"/>
        </w:rPr>
      </w:pPr>
    </w:p>
    <w:p>
      <w:pPr>
        <w:pStyle w:val="30"/>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eastAsia" w:ascii="仿宋_GB2312" w:hAnsi="新宋体" w:eastAsia="仿宋_GB2312" w:cs="Arial"/>
          <w:b/>
          <w:bCs/>
          <w:color w:val="auto"/>
          <w:sz w:val="24"/>
          <w:highlight w:val="none"/>
          <w:bdr w:val="single" w:color="auto" w:sz="4" w:space="0"/>
          <w:lang w:val="en-US" w:eastAsia="zh-CN"/>
        </w:rPr>
      </w:pPr>
    </w:p>
    <w:p>
      <w:pPr>
        <w:numPr>
          <w:ilvl w:val="0"/>
          <w:numId w:val="0"/>
        </w:numPr>
        <w:adjustRightInd/>
        <w:snapToGrid/>
        <w:spacing w:line="360" w:lineRule="auto"/>
        <w:rPr>
          <w:rFonts w:hint="default" w:ascii="仿宋" w:hAnsi="仿宋" w:eastAsia="仿宋" w:cs="仿宋"/>
          <w:b/>
          <w:bCs/>
          <w:color w:val="auto"/>
          <w:sz w:val="24"/>
          <w:highlight w:val="none"/>
          <w:lang w:val="en-US" w:eastAsia="zh-CN"/>
        </w:rPr>
      </w:pPr>
      <w:bookmarkStart w:id="43" w:name="OLE_LINK2"/>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color w:val="auto"/>
          <w:sz w:val="24"/>
          <w:highlight w:val="none"/>
        </w:rPr>
        <w:t>非线性超声测量系统</w:t>
      </w:r>
      <w:r>
        <w:rPr>
          <w:rFonts w:hint="eastAsia" w:ascii="仿宋" w:hAnsi="仿宋" w:eastAsia="仿宋" w:cs="仿宋"/>
          <w:b/>
          <w:color w:val="auto"/>
          <w:sz w:val="24"/>
          <w:highlight w:val="none"/>
          <w:lang w:eastAsia="zh-CN"/>
        </w:rPr>
        <w:t>采购项目（进口）</w:t>
      </w:r>
      <w:r>
        <w:rPr>
          <w:rFonts w:hint="eastAsia" w:ascii="仿宋" w:hAnsi="仿宋" w:eastAsia="仿宋" w:cs="仿宋"/>
          <w:b/>
          <w:color w:val="auto"/>
          <w:sz w:val="24"/>
          <w:highlight w:val="none"/>
        </w:rPr>
        <w:t>（预算金额：</w:t>
      </w:r>
      <w:r>
        <w:rPr>
          <w:rFonts w:hint="eastAsia" w:ascii="仿宋" w:hAnsi="仿宋" w:eastAsia="仿宋" w:cs="仿宋"/>
          <w:b/>
          <w:color w:val="auto"/>
          <w:sz w:val="24"/>
          <w:highlight w:val="none"/>
          <w:lang w:val="en-US" w:eastAsia="zh-CN"/>
        </w:rPr>
        <w:t>800000</w:t>
      </w:r>
      <w:r>
        <w:rPr>
          <w:rFonts w:hint="eastAsia" w:ascii="仿宋" w:hAnsi="仿宋" w:eastAsia="仿宋" w:cs="仿宋"/>
          <w:b/>
          <w:color w:val="auto"/>
          <w:sz w:val="24"/>
          <w:highlight w:val="none"/>
        </w:rPr>
        <w:t>元）</w:t>
      </w:r>
    </w:p>
    <w:p>
      <w:pPr>
        <w:numPr>
          <w:ilvl w:val="0"/>
          <w:numId w:val="6"/>
        </w:numPr>
        <w:adjustRightInd w:val="0"/>
        <w:snapToGrid w:val="0"/>
        <w:spacing w:line="360" w:lineRule="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配置参数指标要求：</w:t>
      </w:r>
    </w:p>
    <w:p>
      <w:pPr>
        <w:numPr>
          <w:ilvl w:val="0"/>
          <w:numId w:val="0"/>
        </w:numPr>
        <w:adjustRightInd w:val="0"/>
        <w:snapToGrid w:val="0"/>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1.1软件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1.1.1</w:t>
      </w:r>
      <w:r>
        <w:rPr>
          <w:rFonts w:hint="default" w:ascii="仿宋" w:hAnsi="仿宋" w:eastAsia="仿宋" w:cs="仿宋"/>
          <w:b w:val="0"/>
          <w:bCs w:val="0"/>
          <w:color w:val="auto"/>
          <w:sz w:val="24"/>
          <w:highlight w:val="none"/>
          <w:lang w:val="en-US" w:eastAsia="zh-CN"/>
        </w:rPr>
        <w:t>高级控制和分析软件包；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w:t>
      </w:r>
      <w:r>
        <w:rPr>
          <w:rFonts w:hint="eastAsia" w:ascii="仿宋" w:hAnsi="仿宋" w:eastAsia="仿宋" w:cs="仿宋"/>
          <w:b w:val="0"/>
          <w:bCs w:val="0"/>
          <w:color w:val="auto"/>
          <w:sz w:val="24"/>
          <w:highlight w:val="none"/>
          <w:lang w:val="en-US" w:eastAsia="zh-CN"/>
        </w:rPr>
        <w:t>1.1.2</w:t>
      </w:r>
      <w:r>
        <w:rPr>
          <w:rFonts w:hint="default" w:ascii="仿宋" w:hAnsi="仿宋" w:eastAsia="仿宋" w:cs="仿宋"/>
          <w:b w:val="0"/>
          <w:bCs w:val="0"/>
          <w:color w:val="auto"/>
          <w:sz w:val="24"/>
          <w:highlight w:val="none"/>
          <w:lang w:val="en-US" w:eastAsia="zh-CN"/>
        </w:rPr>
        <w:t>提供LABVIEW函数库；可进一步二次拓展更多应用；</w:t>
      </w:r>
    </w:p>
    <w:p>
      <w:pPr>
        <w:numPr>
          <w:ilvl w:val="0"/>
          <w:numId w:val="0"/>
        </w:numPr>
        <w:adjustRightInd w:val="0"/>
        <w:snapToGrid w:val="0"/>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w:t>
      </w:r>
      <w:r>
        <w:rPr>
          <w:rFonts w:hint="default" w:ascii="仿宋" w:hAnsi="仿宋" w:eastAsia="仿宋" w:cs="仿宋"/>
          <w:b w:val="0"/>
          <w:bCs w:val="0"/>
          <w:color w:val="auto"/>
          <w:sz w:val="24"/>
          <w:highlight w:val="none"/>
          <w:lang w:val="en-US" w:eastAsia="zh-CN"/>
        </w:rPr>
        <w:t>发射源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★1.2.1</w:t>
      </w:r>
      <w:r>
        <w:rPr>
          <w:rFonts w:hint="default" w:ascii="仿宋" w:hAnsi="仿宋" w:eastAsia="仿宋" w:cs="仿宋"/>
          <w:b w:val="0"/>
          <w:bCs w:val="0"/>
          <w:color w:val="auto"/>
          <w:sz w:val="24"/>
          <w:highlight w:val="none"/>
          <w:lang w:val="en-US" w:eastAsia="zh-CN"/>
        </w:rPr>
        <w:t>配备2路正弦射频脉冲串</w:t>
      </w:r>
      <w:r>
        <w:rPr>
          <w:rFonts w:hint="eastAsia" w:ascii="仿宋" w:hAnsi="仿宋" w:eastAsia="仿宋" w:cs="仿宋"/>
          <w:b w:val="0"/>
          <w:bCs w:val="0"/>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★1.2.2</w:t>
      </w:r>
      <w:r>
        <w:rPr>
          <w:rFonts w:hint="default" w:ascii="仿宋" w:hAnsi="仿宋" w:eastAsia="仿宋" w:cs="仿宋"/>
          <w:b w:val="0"/>
          <w:bCs w:val="0"/>
          <w:color w:val="auto"/>
          <w:sz w:val="24"/>
          <w:highlight w:val="none"/>
          <w:lang w:val="en-US" w:eastAsia="zh-CN"/>
        </w:rPr>
        <w:t>最大输出功率：5 KW(均方根功率)，峰值功率10 KW</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w:t>
      </w:r>
      <w:r>
        <w:rPr>
          <w:rFonts w:hint="eastAsia" w:ascii="仿宋" w:hAnsi="仿宋" w:eastAsia="仿宋" w:cs="仿宋"/>
          <w:b w:val="0"/>
          <w:bCs w:val="0"/>
          <w:color w:val="auto"/>
          <w:sz w:val="24"/>
          <w:highlight w:val="none"/>
          <w:lang w:val="en-US" w:eastAsia="zh-CN"/>
        </w:rPr>
        <w:t>1.2.3</w:t>
      </w:r>
      <w:r>
        <w:rPr>
          <w:rFonts w:hint="default" w:ascii="仿宋" w:hAnsi="仿宋" w:eastAsia="仿宋" w:cs="仿宋"/>
          <w:b w:val="0"/>
          <w:bCs w:val="0"/>
          <w:color w:val="auto"/>
          <w:sz w:val="24"/>
          <w:highlight w:val="none"/>
          <w:lang w:val="en-US" w:eastAsia="zh-CN"/>
        </w:rPr>
        <w:t>优化频率范围：250 KHz</w:t>
      </w:r>
      <w:r>
        <w:rPr>
          <w:rFonts w:hint="eastAsia" w:ascii="仿宋" w:hAnsi="仿宋" w:eastAsia="仿宋" w:cs="仿宋"/>
          <w:b w:val="0"/>
          <w:bCs w:val="0"/>
          <w:color w:val="auto"/>
          <w:sz w:val="24"/>
          <w:highlight w:val="none"/>
          <w:lang w:val="en-US" w:eastAsia="zh-CN"/>
        </w:rPr>
        <w:t>-</w:t>
      </w:r>
      <w:r>
        <w:rPr>
          <w:rFonts w:hint="default" w:ascii="仿宋" w:hAnsi="仿宋" w:eastAsia="仿宋" w:cs="仿宋"/>
          <w:b w:val="0"/>
          <w:bCs w:val="0"/>
          <w:color w:val="auto"/>
          <w:sz w:val="24"/>
          <w:highlight w:val="none"/>
          <w:lang w:val="en-US" w:eastAsia="zh-CN"/>
        </w:rPr>
        <w:t>7 MHz;</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1.2.4</w:t>
      </w:r>
      <w:r>
        <w:rPr>
          <w:rFonts w:hint="default" w:ascii="仿宋" w:hAnsi="仿宋" w:eastAsia="仿宋" w:cs="仿宋"/>
          <w:b w:val="0"/>
          <w:bCs w:val="0"/>
          <w:color w:val="auto"/>
          <w:sz w:val="24"/>
          <w:highlight w:val="none"/>
          <w:lang w:val="en-US" w:eastAsia="zh-CN"/>
        </w:rPr>
        <w:t>最大脉冲宽度： 200 μs；</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1.2.5</w:t>
      </w:r>
      <w:r>
        <w:rPr>
          <w:rFonts w:hint="default" w:ascii="仿宋" w:hAnsi="仿宋" w:eastAsia="仿宋" w:cs="仿宋"/>
          <w:b w:val="0"/>
          <w:bCs w:val="0"/>
          <w:color w:val="auto"/>
          <w:sz w:val="24"/>
          <w:highlight w:val="none"/>
          <w:lang w:val="en-US" w:eastAsia="zh-CN"/>
        </w:rPr>
        <w:t>最大占空比： 0.3%;</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w:t>
      </w:r>
      <w:r>
        <w:rPr>
          <w:rFonts w:hint="eastAsia" w:ascii="仿宋" w:hAnsi="仿宋" w:eastAsia="仿宋" w:cs="仿宋"/>
          <w:b w:val="0"/>
          <w:bCs w:val="0"/>
          <w:color w:val="auto"/>
          <w:sz w:val="24"/>
          <w:highlight w:val="none"/>
          <w:lang w:val="en-US" w:eastAsia="zh-CN"/>
        </w:rPr>
        <w:t>1.2.6</w:t>
      </w:r>
      <w:r>
        <w:rPr>
          <w:rFonts w:hint="default" w:ascii="仿宋" w:hAnsi="仿宋" w:eastAsia="仿宋" w:cs="仿宋"/>
          <w:b w:val="0"/>
          <w:bCs w:val="0"/>
          <w:color w:val="auto"/>
          <w:sz w:val="24"/>
          <w:highlight w:val="none"/>
          <w:lang w:val="en-US" w:eastAsia="zh-CN"/>
        </w:rPr>
        <w:t>射频接收频率范围：100 KHz</w:t>
      </w:r>
      <w:r>
        <w:rPr>
          <w:rFonts w:hint="eastAsia" w:ascii="仿宋" w:hAnsi="仿宋" w:eastAsia="仿宋" w:cs="仿宋"/>
          <w:b w:val="0"/>
          <w:bCs w:val="0"/>
          <w:color w:val="auto"/>
          <w:sz w:val="24"/>
          <w:highlight w:val="none"/>
          <w:lang w:val="en-US" w:eastAsia="zh-CN"/>
        </w:rPr>
        <w:t>-</w:t>
      </w:r>
      <w:r>
        <w:rPr>
          <w:rFonts w:hint="default" w:ascii="仿宋" w:hAnsi="仿宋" w:eastAsia="仿宋" w:cs="仿宋"/>
          <w:b w:val="0"/>
          <w:bCs w:val="0"/>
          <w:color w:val="auto"/>
          <w:sz w:val="24"/>
          <w:highlight w:val="none"/>
          <w:lang w:val="en-US" w:eastAsia="zh-CN"/>
        </w:rPr>
        <w:t>80 MHz</w:t>
      </w:r>
      <w:r>
        <w:rPr>
          <w:rFonts w:hint="eastAsia" w:ascii="仿宋" w:hAnsi="仿宋" w:eastAsia="仿宋" w:cs="仿宋"/>
          <w:b w:val="0"/>
          <w:bCs w:val="0"/>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1.2.7</w:t>
      </w:r>
      <w:r>
        <w:rPr>
          <w:rFonts w:hint="default" w:ascii="仿宋" w:hAnsi="仿宋" w:eastAsia="仿宋" w:cs="仿宋"/>
          <w:b w:val="0"/>
          <w:bCs w:val="0"/>
          <w:color w:val="auto"/>
          <w:sz w:val="24"/>
          <w:highlight w:val="none"/>
          <w:lang w:val="en-US" w:eastAsia="zh-CN"/>
        </w:rPr>
        <w:t>输出控制：0</w:t>
      </w:r>
      <w:r>
        <w:rPr>
          <w:rFonts w:hint="eastAsia" w:ascii="仿宋" w:hAnsi="仿宋" w:eastAsia="仿宋" w:cs="仿宋"/>
          <w:b w:val="0"/>
          <w:bCs w:val="0"/>
          <w:color w:val="auto"/>
          <w:sz w:val="24"/>
          <w:highlight w:val="none"/>
          <w:lang w:val="en-US" w:eastAsia="zh-CN"/>
        </w:rPr>
        <w:t>-</w:t>
      </w:r>
      <w:r>
        <w:rPr>
          <w:rFonts w:hint="default" w:ascii="仿宋" w:hAnsi="仿宋" w:eastAsia="仿宋" w:cs="仿宋"/>
          <w:b w:val="0"/>
          <w:bCs w:val="0"/>
          <w:color w:val="auto"/>
          <w:sz w:val="24"/>
          <w:highlight w:val="none"/>
          <w:lang w:val="en-US" w:eastAsia="zh-CN"/>
        </w:rPr>
        <w:t>100，峰值电压1440Vp-p；</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1.2.8</w:t>
      </w:r>
      <w:r>
        <w:rPr>
          <w:rFonts w:hint="default" w:ascii="仿宋" w:hAnsi="仿宋" w:eastAsia="仿宋" w:cs="仿宋"/>
          <w:b w:val="0"/>
          <w:bCs w:val="0"/>
          <w:color w:val="auto"/>
          <w:sz w:val="24"/>
          <w:highlight w:val="none"/>
          <w:lang w:val="en-US" w:eastAsia="zh-CN"/>
        </w:rPr>
        <w:t>配备超外差式接收器</w:t>
      </w:r>
      <w:r>
        <w:rPr>
          <w:rFonts w:hint="eastAsia" w:ascii="仿宋" w:hAnsi="仿宋" w:eastAsia="仿宋" w:cs="仿宋"/>
          <w:b w:val="0"/>
          <w:bCs w:val="0"/>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1.2.9</w:t>
      </w:r>
      <w:r>
        <w:rPr>
          <w:rFonts w:hint="default" w:ascii="仿宋" w:hAnsi="仿宋" w:eastAsia="仿宋" w:cs="仿宋"/>
          <w:b w:val="0"/>
          <w:bCs w:val="0"/>
          <w:color w:val="auto"/>
          <w:sz w:val="24"/>
          <w:highlight w:val="none"/>
          <w:lang w:val="en-US" w:eastAsia="zh-CN"/>
        </w:rPr>
        <w:t>配备调制解调模块</w:t>
      </w:r>
      <w:r>
        <w:rPr>
          <w:rFonts w:hint="eastAsia" w:ascii="仿宋" w:hAnsi="仿宋" w:eastAsia="仿宋" w:cs="仿宋"/>
          <w:b w:val="0"/>
          <w:bCs w:val="0"/>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1.2.10</w:t>
      </w:r>
      <w:r>
        <w:rPr>
          <w:rFonts w:hint="default" w:ascii="仿宋" w:hAnsi="仿宋" w:eastAsia="仿宋" w:cs="仿宋"/>
          <w:b w:val="0"/>
          <w:bCs w:val="0"/>
          <w:color w:val="auto"/>
          <w:sz w:val="24"/>
          <w:highlight w:val="none"/>
          <w:lang w:val="en-US" w:eastAsia="zh-CN"/>
        </w:rPr>
        <w:t>配备8010输入输出板卡</w:t>
      </w:r>
      <w:r>
        <w:rPr>
          <w:rFonts w:hint="eastAsia" w:ascii="仿宋" w:hAnsi="仿宋" w:eastAsia="仿宋" w:cs="仿宋"/>
          <w:b w:val="0"/>
          <w:bCs w:val="0"/>
          <w:color w:val="auto"/>
          <w:sz w:val="24"/>
          <w:highlight w:val="none"/>
          <w:lang w:val="en-US" w:eastAsia="zh-CN"/>
        </w:rPr>
        <w:t>；</w:t>
      </w:r>
    </w:p>
    <w:p>
      <w:pPr>
        <w:numPr>
          <w:ilvl w:val="0"/>
          <w:numId w:val="0"/>
        </w:numPr>
        <w:adjustRightInd w:val="0"/>
        <w:snapToGrid w:val="0"/>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 xml:space="preserve">1.3 </w:t>
      </w:r>
      <w:r>
        <w:rPr>
          <w:rFonts w:hint="default" w:ascii="仿宋" w:hAnsi="仿宋" w:eastAsia="仿宋" w:cs="仿宋"/>
          <w:b w:val="0"/>
          <w:bCs w:val="0"/>
          <w:color w:val="auto"/>
          <w:sz w:val="24"/>
          <w:highlight w:val="none"/>
          <w:lang w:val="en-US" w:eastAsia="zh-CN"/>
        </w:rPr>
        <w:t>接收器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1.3.1</w:t>
      </w:r>
      <w:r>
        <w:rPr>
          <w:rFonts w:hint="default" w:ascii="仿宋" w:hAnsi="仿宋" w:eastAsia="仿宋" w:cs="仿宋"/>
          <w:b w:val="0"/>
          <w:bCs w:val="0"/>
          <w:color w:val="auto"/>
          <w:sz w:val="24"/>
          <w:highlight w:val="none"/>
          <w:lang w:val="en-US" w:eastAsia="zh-CN"/>
        </w:rPr>
        <w:t>总增益：22db</w:t>
      </w:r>
      <w:r>
        <w:rPr>
          <w:rFonts w:hint="eastAsia" w:ascii="仿宋" w:hAnsi="仿宋" w:eastAsia="仿宋" w:cs="仿宋"/>
          <w:b w:val="0"/>
          <w:bCs w:val="0"/>
          <w:color w:val="auto"/>
          <w:sz w:val="24"/>
          <w:highlight w:val="none"/>
          <w:lang w:val="en-US" w:eastAsia="zh-CN"/>
        </w:rPr>
        <w:t>-</w:t>
      </w:r>
      <w:r>
        <w:rPr>
          <w:rFonts w:hint="default" w:ascii="仿宋" w:hAnsi="仿宋" w:eastAsia="仿宋" w:cs="仿宋"/>
          <w:b w:val="0"/>
          <w:bCs w:val="0"/>
          <w:color w:val="auto"/>
          <w:sz w:val="24"/>
          <w:highlight w:val="none"/>
          <w:lang w:val="en-US" w:eastAsia="zh-CN"/>
        </w:rPr>
        <w:t>100db(如接外部前置放大最大可增益到140 db)</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1.3.2</w:t>
      </w:r>
      <w:r>
        <w:rPr>
          <w:rFonts w:hint="default" w:ascii="仿宋" w:hAnsi="仿宋" w:eastAsia="仿宋" w:cs="仿宋"/>
          <w:b w:val="0"/>
          <w:bCs w:val="0"/>
          <w:color w:val="auto"/>
          <w:sz w:val="24"/>
          <w:highlight w:val="none"/>
          <w:lang w:val="en-US" w:eastAsia="zh-CN"/>
        </w:rPr>
        <w:t>增益控制；78db，单步2db;</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1.3.3</w:t>
      </w:r>
      <w:r>
        <w:rPr>
          <w:rFonts w:hint="default" w:ascii="仿宋" w:hAnsi="仿宋" w:eastAsia="仿宋" w:cs="仿宋"/>
          <w:b w:val="0"/>
          <w:bCs w:val="0"/>
          <w:color w:val="auto"/>
          <w:sz w:val="24"/>
          <w:highlight w:val="none"/>
          <w:lang w:val="en-US" w:eastAsia="zh-CN"/>
        </w:rPr>
        <w:t>双端口输入接收；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1.3.4</w:t>
      </w:r>
      <w:r>
        <w:rPr>
          <w:rFonts w:hint="default" w:ascii="仿宋" w:hAnsi="仿宋" w:eastAsia="仿宋" w:cs="仿宋"/>
          <w:b w:val="0"/>
          <w:bCs w:val="0"/>
          <w:color w:val="auto"/>
          <w:sz w:val="24"/>
          <w:highlight w:val="none"/>
          <w:lang w:val="en-US" w:eastAsia="zh-CN"/>
        </w:rPr>
        <w:t>内置高通滤波器3组，0.1 MHz、1 MHz、4 MHz</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1.3.5</w:t>
      </w:r>
      <w:r>
        <w:rPr>
          <w:rFonts w:hint="default" w:ascii="仿宋" w:hAnsi="仿宋" w:eastAsia="仿宋" w:cs="仿宋"/>
          <w:b w:val="0"/>
          <w:bCs w:val="0"/>
          <w:color w:val="auto"/>
          <w:sz w:val="24"/>
          <w:highlight w:val="none"/>
          <w:lang w:val="en-US" w:eastAsia="zh-CN"/>
        </w:rPr>
        <w:t>内置低通滤波器3组，20 MHz、40 MHz、80 MHz</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w:t>
      </w:r>
      <w:r>
        <w:rPr>
          <w:rFonts w:hint="eastAsia" w:ascii="仿宋" w:hAnsi="仿宋" w:eastAsia="仿宋" w:cs="仿宋"/>
          <w:b w:val="0"/>
          <w:bCs w:val="0"/>
          <w:color w:val="auto"/>
          <w:sz w:val="24"/>
          <w:highlight w:val="none"/>
          <w:lang w:val="en-US" w:eastAsia="zh-CN"/>
        </w:rPr>
        <w:t>1.3.6</w:t>
      </w:r>
      <w:r>
        <w:rPr>
          <w:rFonts w:hint="default" w:ascii="仿宋" w:hAnsi="仿宋" w:eastAsia="仿宋" w:cs="仿宋"/>
          <w:b w:val="0"/>
          <w:bCs w:val="0"/>
          <w:color w:val="auto"/>
          <w:sz w:val="24"/>
          <w:highlight w:val="none"/>
          <w:lang w:val="en-US" w:eastAsia="zh-CN"/>
        </w:rPr>
        <w:t>接收器带宽范围：100KHz</w:t>
      </w:r>
      <w:r>
        <w:rPr>
          <w:rFonts w:hint="eastAsia" w:ascii="仿宋" w:hAnsi="仿宋" w:eastAsia="仿宋" w:cs="仿宋"/>
          <w:b w:val="0"/>
          <w:bCs w:val="0"/>
          <w:color w:val="auto"/>
          <w:sz w:val="24"/>
          <w:highlight w:val="none"/>
          <w:lang w:val="en-US" w:eastAsia="zh-CN"/>
        </w:rPr>
        <w:t>-</w:t>
      </w:r>
      <w:r>
        <w:rPr>
          <w:rFonts w:hint="default" w:ascii="仿宋" w:hAnsi="仿宋" w:eastAsia="仿宋" w:cs="仿宋"/>
          <w:b w:val="0"/>
          <w:bCs w:val="0"/>
          <w:color w:val="auto"/>
          <w:sz w:val="24"/>
          <w:highlight w:val="none"/>
          <w:lang w:val="en-US" w:eastAsia="zh-CN"/>
        </w:rPr>
        <w:t>80 MHz；</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1.3.7</w:t>
      </w:r>
      <w:r>
        <w:rPr>
          <w:rFonts w:hint="default" w:ascii="仿宋" w:hAnsi="仿宋" w:eastAsia="仿宋" w:cs="仿宋"/>
          <w:b w:val="0"/>
          <w:bCs w:val="0"/>
          <w:color w:val="auto"/>
          <w:sz w:val="24"/>
          <w:highlight w:val="none"/>
          <w:lang w:val="en-US" w:eastAsia="zh-CN"/>
        </w:rPr>
        <w:t>中频带通滤波器：3组，0.4MHz、1 MHz、4 MHz；</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1.3.8</w:t>
      </w:r>
      <w:r>
        <w:rPr>
          <w:rFonts w:hint="default" w:ascii="仿宋" w:hAnsi="仿宋" w:eastAsia="仿宋" w:cs="仿宋"/>
          <w:b w:val="0"/>
          <w:bCs w:val="0"/>
          <w:color w:val="auto"/>
          <w:sz w:val="24"/>
          <w:highlight w:val="none"/>
          <w:lang w:val="en-US" w:eastAsia="zh-CN"/>
        </w:rPr>
        <w:t>相位低通滤波器：8组，0.05, 0.1, 0.15, 0.25, 0.4, 0.7, 1, 和 2 MHz</w:t>
      </w:r>
      <w:r>
        <w:rPr>
          <w:rFonts w:hint="eastAsia" w:ascii="仿宋" w:hAnsi="仿宋" w:eastAsia="仿宋" w:cs="仿宋"/>
          <w:b w:val="0"/>
          <w:bCs w:val="0"/>
          <w:color w:val="auto"/>
          <w:sz w:val="24"/>
          <w:highlight w:val="none"/>
          <w:lang w:val="en-US" w:eastAsia="zh-CN"/>
        </w:rPr>
        <w:t>；</w:t>
      </w:r>
    </w:p>
    <w:p>
      <w:pPr>
        <w:numPr>
          <w:ilvl w:val="0"/>
          <w:numId w:val="0"/>
        </w:numPr>
        <w:adjustRightInd w:val="0"/>
        <w:snapToGrid w:val="0"/>
        <w:spacing w:line="360" w:lineRule="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w:t>
      </w:r>
      <w:r>
        <w:rPr>
          <w:rFonts w:hint="eastAsia" w:ascii="仿宋" w:hAnsi="仿宋" w:eastAsia="仿宋" w:cs="仿宋"/>
          <w:b w:val="0"/>
          <w:bCs w:val="0"/>
          <w:color w:val="auto"/>
          <w:sz w:val="24"/>
          <w:highlight w:val="none"/>
          <w:lang w:val="en-US" w:eastAsia="zh-CN"/>
        </w:rPr>
        <w:t xml:space="preserve">1.4  </w:t>
      </w:r>
      <w:r>
        <w:rPr>
          <w:rFonts w:hint="default" w:ascii="仿宋" w:hAnsi="仿宋" w:eastAsia="仿宋" w:cs="仿宋"/>
          <w:b w:val="0"/>
          <w:bCs w:val="0"/>
          <w:color w:val="auto"/>
          <w:sz w:val="24"/>
          <w:highlight w:val="none"/>
          <w:lang w:val="en-US" w:eastAsia="zh-CN"/>
        </w:rPr>
        <w:t>A/D分辨率：14位；</w:t>
      </w:r>
    </w:p>
    <w:p>
      <w:pPr>
        <w:numPr>
          <w:ilvl w:val="0"/>
          <w:numId w:val="0"/>
        </w:numPr>
        <w:adjustRightInd w:val="0"/>
        <w:snapToGrid w:val="0"/>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 xml:space="preserve">1.5  </w:t>
      </w:r>
      <w:r>
        <w:rPr>
          <w:rFonts w:hint="default" w:ascii="仿宋" w:hAnsi="仿宋" w:eastAsia="仿宋" w:cs="仿宋"/>
          <w:b w:val="0"/>
          <w:bCs w:val="0"/>
          <w:color w:val="auto"/>
          <w:sz w:val="24"/>
          <w:highlight w:val="none"/>
          <w:lang w:val="en-US" w:eastAsia="zh-CN"/>
        </w:rPr>
        <w:t>同步触发：内部、外部、计算机、手动等；</w:t>
      </w:r>
    </w:p>
    <w:p>
      <w:pPr>
        <w:numPr>
          <w:ilvl w:val="0"/>
          <w:numId w:val="0"/>
        </w:numPr>
        <w:adjustRightInd w:val="0"/>
        <w:snapToGrid w:val="0"/>
        <w:spacing w:line="360" w:lineRule="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w:t>
      </w:r>
      <w:r>
        <w:rPr>
          <w:rFonts w:hint="eastAsia" w:ascii="仿宋" w:hAnsi="仿宋" w:eastAsia="仿宋" w:cs="仿宋"/>
          <w:b w:val="0"/>
          <w:bCs w:val="0"/>
          <w:color w:val="auto"/>
          <w:sz w:val="24"/>
          <w:highlight w:val="none"/>
          <w:lang w:val="en-US" w:eastAsia="zh-CN"/>
        </w:rPr>
        <w:t xml:space="preserve">1.6  </w:t>
      </w:r>
      <w:r>
        <w:rPr>
          <w:rFonts w:hint="default" w:ascii="仿宋" w:hAnsi="仿宋" w:eastAsia="仿宋" w:cs="仿宋"/>
          <w:b w:val="0"/>
          <w:bCs w:val="0"/>
          <w:color w:val="auto"/>
          <w:sz w:val="24"/>
          <w:highlight w:val="none"/>
          <w:lang w:val="en-US" w:eastAsia="zh-CN"/>
        </w:rPr>
        <w:t>重复频率：15级可选，0.01Hz-10KHz;</w:t>
      </w:r>
    </w:p>
    <w:p>
      <w:pPr>
        <w:keepNext w:val="0"/>
        <w:keepLines w:val="0"/>
        <w:widowControl/>
        <w:numPr>
          <w:ilvl w:val="0"/>
          <w:numId w:val="0"/>
        </w:numPr>
        <w:suppressLineNumbers w:val="0"/>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
        </w:rPr>
        <w:t>1.7  系统校准实验样品</w:t>
      </w:r>
    </w:p>
    <w:bookmarkEnd w:id="43"/>
    <w:p>
      <w:pPr>
        <w:pStyle w:val="2"/>
        <w:ind w:firstLine="0" w:firstLineChars="0"/>
        <w:rPr>
          <w:rFonts w:hint="default"/>
          <w:color w:val="auto"/>
          <w:highlight w:val="none"/>
          <w:lang w:val="en-US" w:eastAsia="zh-CN"/>
        </w:rPr>
      </w:pPr>
    </w:p>
    <w:p>
      <w:pPr>
        <w:pStyle w:val="30"/>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仿宋_GB2312" w:hAnsi="新宋体" w:eastAsia="仿宋_GB2312" w:cs="Arial"/>
          <w:b/>
          <w:bCs/>
          <w:color w:val="auto"/>
          <w:sz w:val="24"/>
          <w:highlight w:val="none"/>
          <w:bdr w:val="single" w:color="auto" w:sz="4" w:space="0"/>
          <w:lang w:val="en-US" w:eastAsia="zh-CN"/>
        </w:rPr>
      </w:pPr>
    </w:p>
    <w:p>
      <w:pPr>
        <w:pStyle w:val="30"/>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仿宋_GB2312" w:hAnsi="新宋体" w:eastAsia="仿宋_GB2312" w:cs="Arial"/>
          <w:b/>
          <w:bCs/>
          <w:color w:val="auto"/>
          <w:sz w:val="24"/>
          <w:highlight w:val="none"/>
          <w:bdr w:val="single" w:color="auto" w:sz="4" w:space="0"/>
          <w:lang w:val="en-US" w:eastAsia="zh-CN"/>
        </w:rPr>
      </w:pPr>
    </w:p>
    <w:p>
      <w:pPr>
        <w:pStyle w:val="30"/>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eastAsia" w:ascii="仿宋" w:hAnsi="仿宋" w:eastAsia="仿宋" w:cs="仿宋"/>
          <w:color w:val="auto"/>
          <w:sz w:val="24"/>
          <w:highlight w:val="none"/>
        </w:rPr>
      </w:pPr>
      <w:r>
        <w:rPr>
          <w:rFonts w:hint="eastAsia" w:ascii="仿宋_GB2312" w:hAnsi="新宋体" w:eastAsia="仿宋_GB2312" w:cs="Arial"/>
          <w:b/>
          <w:bCs/>
          <w:color w:val="auto"/>
          <w:sz w:val="24"/>
          <w:highlight w:val="none"/>
          <w:bdr w:val="single" w:color="auto" w:sz="4" w:space="0"/>
          <w:lang w:val="en-US" w:eastAsia="zh-CN"/>
        </w:rPr>
        <w:t>01、</w:t>
      </w:r>
      <w:r>
        <w:rPr>
          <w:rFonts w:ascii="仿宋_GB2312" w:hAnsi="新宋体" w:eastAsia="仿宋_GB2312" w:cs="Arial"/>
          <w:b/>
          <w:bCs/>
          <w:color w:val="auto"/>
          <w:sz w:val="24"/>
          <w:highlight w:val="none"/>
          <w:bdr w:val="single" w:color="auto" w:sz="4" w:space="0"/>
        </w:rPr>
        <w:t>0</w:t>
      </w:r>
      <w:r>
        <w:rPr>
          <w:rFonts w:hint="eastAsia" w:ascii="仿宋_GB2312" w:hAnsi="新宋体" w:eastAsia="仿宋_GB2312" w:cs="Arial"/>
          <w:b/>
          <w:bCs/>
          <w:color w:val="auto"/>
          <w:sz w:val="24"/>
          <w:highlight w:val="none"/>
          <w:bdr w:val="single" w:color="auto" w:sz="4" w:space="0"/>
          <w:lang w:val="en-US" w:eastAsia="zh-CN"/>
        </w:rPr>
        <w:t>2</w:t>
      </w:r>
      <w:r>
        <w:rPr>
          <w:rFonts w:hint="eastAsia" w:ascii="仿宋_GB2312" w:hAnsi="新宋体" w:eastAsia="仿宋_GB2312" w:cs="Arial"/>
          <w:b/>
          <w:bCs/>
          <w:color w:val="auto"/>
          <w:sz w:val="24"/>
          <w:highlight w:val="none"/>
          <w:bdr w:val="single" w:color="auto" w:sz="4" w:space="0"/>
        </w:rPr>
        <w:t>标</w:t>
      </w:r>
      <w:r>
        <w:rPr>
          <w:rFonts w:hint="eastAsia" w:ascii="仿宋" w:hAnsi="仿宋" w:eastAsia="仿宋" w:cs="仿宋"/>
          <w:b/>
          <w:bCs w:val="0"/>
          <w:iCs/>
          <w:color w:val="auto"/>
          <w:kern w:val="2"/>
          <w:sz w:val="24"/>
          <w:szCs w:val="24"/>
          <w:highlight w:val="none"/>
          <w:lang w:val="en-US" w:eastAsia="zh-CN" w:bidi="ar-SA"/>
        </w:rPr>
        <w:t>商务部分共同要求</w:t>
      </w:r>
    </w:p>
    <w:p>
      <w:pPr>
        <w:widowControl/>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1</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质量保证</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供应商要求保证</w:t>
      </w:r>
      <w:r>
        <w:rPr>
          <w:rFonts w:hint="eastAsia" w:ascii="仿宋" w:hAnsi="仿宋" w:eastAsia="仿宋" w:cs="仿宋"/>
          <w:color w:val="auto"/>
          <w:kern w:val="0"/>
          <w:sz w:val="24"/>
          <w:highlight w:val="none"/>
        </w:rPr>
        <w:t>货物</w:t>
      </w:r>
      <w:r>
        <w:rPr>
          <w:rFonts w:hint="eastAsia" w:ascii="仿宋" w:hAnsi="仿宋" w:eastAsia="仿宋" w:cs="仿宋"/>
          <w:color w:val="auto"/>
          <w:kern w:val="0"/>
          <w:sz w:val="24"/>
          <w:highlight w:val="none"/>
          <w:lang w:val="en-US" w:eastAsia="zh-CN"/>
        </w:rPr>
        <w:t>应</w:t>
      </w:r>
      <w:r>
        <w:rPr>
          <w:rFonts w:hint="eastAsia" w:ascii="仿宋" w:hAnsi="仿宋" w:eastAsia="仿宋" w:cs="仿宋"/>
          <w:color w:val="auto"/>
          <w:kern w:val="0"/>
          <w:sz w:val="24"/>
          <w:highlight w:val="none"/>
        </w:rPr>
        <w:t>为全新、未拆封过的原厂原装合格正品（含配件），</w:t>
      </w:r>
      <w:r>
        <w:rPr>
          <w:rFonts w:hint="eastAsia" w:ascii="仿宋" w:hAnsi="仿宋" w:eastAsia="仿宋" w:cs="仿宋"/>
          <w:color w:val="auto"/>
          <w:kern w:val="0"/>
          <w:sz w:val="24"/>
          <w:highlight w:val="none"/>
          <w:lang w:val="en-US" w:eastAsia="zh-CN"/>
        </w:rPr>
        <w:t>并</w:t>
      </w:r>
      <w:r>
        <w:rPr>
          <w:rFonts w:hint="eastAsia" w:ascii="仿宋" w:hAnsi="仿宋" w:eastAsia="仿宋" w:cs="仿宋"/>
          <w:color w:val="auto"/>
          <w:kern w:val="0"/>
          <w:sz w:val="24"/>
          <w:highlight w:val="none"/>
        </w:rPr>
        <w:t>提供保证设备正常运行和常规保养所需的附件、专用工具。双方按合同配置逐项清点验收货物，如有缺件、漏配或损坏，</w:t>
      </w:r>
      <w:r>
        <w:rPr>
          <w:rFonts w:hint="eastAsia" w:ascii="仿宋" w:hAnsi="仿宋" w:eastAsia="仿宋" w:cs="仿宋"/>
          <w:color w:val="auto"/>
          <w:kern w:val="0"/>
          <w:sz w:val="24"/>
          <w:highlight w:val="none"/>
          <w:lang w:val="en-US" w:eastAsia="zh-CN"/>
        </w:rPr>
        <w:t>供应商</w:t>
      </w:r>
      <w:r>
        <w:rPr>
          <w:rFonts w:hint="eastAsia" w:ascii="仿宋" w:hAnsi="仿宋" w:eastAsia="仿宋" w:cs="仿宋"/>
          <w:color w:val="auto"/>
          <w:kern w:val="0"/>
          <w:sz w:val="24"/>
          <w:highlight w:val="none"/>
        </w:rPr>
        <w:t>应自收到报告之日起3周内补齐，并需负担运输费用和连带费。</w:t>
      </w:r>
    </w:p>
    <w:p>
      <w:pPr>
        <w:widowControl/>
        <w:spacing w:line="360" w:lineRule="auto"/>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2</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技术服务要求</w:t>
      </w:r>
    </w:p>
    <w:p>
      <w:pPr>
        <w:widowControl/>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kern w:val="0"/>
          <w:sz w:val="24"/>
          <w:highlight w:val="none"/>
        </w:rPr>
        <w:t>安装调试和培训</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备到货后七个工作日内，仪器的安装调试以及培训由生产厂技术人员到用户处进行，现场免费对用户的操作人员和技术管理人员提供培训，培训内容包括：设备使用和操作、软件的应用、安全防护、一般故障的排除和日常维护、保养要求等，达到用户能独立进行系统操作。</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2.2验收</w:t>
      </w:r>
    </w:p>
    <w:p>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设备调试以及培训后七个工作日内在用户和</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技术人员双方确认设备的各项功能均已达到技术要求后，双方对设备进行验收，签署验收报告。</w:t>
      </w:r>
    </w:p>
    <w:p>
      <w:pPr>
        <w:widowControl/>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kern w:val="0"/>
          <w:sz w:val="24"/>
          <w:highlight w:val="none"/>
        </w:rPr>
        <w:t>售后服务要求</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3.1质保期以设备验收通过后，用户验收签字之日起计算，提供</w:t>
      </w:r>
      <w:r>
        <w:rPr>
          <w:rFonts w:hint="eastAsia" w:ascii="仿宋" w:hAnsi="仿宋" w:eastAsia="仿宋" w:cs="仿宋"/>
          <w:color w:val="auto"/>
          <w:kern w:val="0"/>
          <w:sz w:val="24"/>
          <w:highlight w:val="none"/>
          <w:lang w:val="en-US" w:eastAsia="zh-CN"/>
        </w:rPr>
        <w:t>一</w:t>
      </w:r>
      <w:r>
        <w:rPr>
          <w:rFonts w:hint="eastAsia" w:ascii="仿宋" w:hAnsi="仿宋" w:eastAsia="仿宋" w:cs="仿宋"/>
          <w:color w:val="auto"/>
          <w:kern w:val="0"/>
          <w:sz w:val="24"/>
          <w:highlight w:val="none"/>
        </w:rPr>
        <w:t>年整机免费质保。</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3.2</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遇到使用及技术问题，供应商应在4小时内响应；电话咨询不能解决的，供应商应在48小时内到达现场进行处理，确保产品正常工作；无法在48小时内解决的，应在72小时内提供备用产品，使</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能够正常使用。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3.3在质保期内，如果供应商的产品技术升级，</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应及时通知</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，如</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有相应要求，供应商应对</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购买的产品进行升级服务。</w:t>
      </w:r>
    </w:p>
    <w:p>
      <w:pPr>
        <w:snapToGrid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4</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质保期外服务要求</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质量保证期过后，</w:t>
      </w:r>
      <w:bookmarkStart w:id="44" w:name="OLE_LINK1"/>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应同样提供免费电话咨询服务，并提供产品</w:t>
      </w:r>
      <w:bookmarkEnd w:id="44"/>
      <w:r>
        <w:rPr>
          <w:rFonts w:hint="eastAsia" w:ascii="仿宋" w:hAnsi="仿宋" w:eastAsia="仿宋" w:cs="仿宋"/>
          <w:color w:val="auto"/>
          <w:kern w:val="0"/>
          <w:sz w:val="24"/>
          <w:highlight w:val="none"/>
        </w:rPr>
        <w:t>上门维护服务。</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可以继续获得连续、及时的技术支持，以及价格优惠的消耗材料和易损件或相关配连续、及时的技术支持，以及价格优惠的消耗材料和易损件或相关配件等。</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4.5 技术资料</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提供使用说明书或操作手册2份。</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4.6 计量认证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有计量认证要求提供法定计量认证合格报告。</w:t>
      </w:r>
    </w:p>
    <w:p>
      <w:pPr>
        <w:snapToGrid w:val="0"/>
        <w:spacing w:line="360" w:lineRule="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4.7 履约保证</w:t>
      </w:r>
      <w:r>
        <w:rPr>
          <w:rFonts w:hint="eastAsia" w:ascii="仿宋" w:hAnsi="仿宋" w:eastAsia="仿宋" w:cs="仿宋"/>
          <w:color w:val="auto"/>
          <w:kern w:val="0"/>
          <w:sz w:val="24"/>
          <w:highlight w:val="none"/>
          <w:lang w:val="en-US" w:eastAsia="zh-CN"/>
        </w:rPr>
        <w:t>金</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合同签订时交纳合同金额的1%作为履约保证金给甲方，甲方支付合同款</w:t>
      </w:r>
      <w:r>
        <w:rPr>
          <w:rFonts w:hint="eastAsia" w:ascii="仿宋" w:hAnsi="仿宋" w:eastAsia="仿宋" w:cs="仿宋"/>
          <w:color w:val="auto"/>
          <w:kern w:val="0"/>
          <w:sz w:val="24"/>
          <w:highlight w:val="none"/>
          <w:lang w:eastAsia="zh-CN"/>
        </w:rPr>
        <w:t>5</w:t>
      </w:r>
      <w:r>
        <w:rPr>
          <w:rFonts w:hint="eastAsia" w:ascii="仿宋" w:hAnsi="仿宋" w:eastAsia="仿宋" w:cs="仿宋"/>
          <w:color w:val="auto"/>
          <w:kern w:val="0"/>
          <w:sz w:val="24"/>
          <w:highlight w:val="none"/>
        </w:rPr>
        <w:t>0%，货品</w:t>
      </w:r>
      <w:r>
        <w:rPr>
          <w:rFonts w:hint="eastAsia" w:ascii="仿宋" w:hAnsi="仿宋" w:eastAsia="仿宋" w:cs="仿宋"/>
          <w:color w:val="auto"/>
          <w:kern w:val="0"/>
          <w:sz w:val="24"/>
          <w:highlight w:val="none"/>
          <w:lang w:val="en-US" w:eastAsia="zh-CN"/>
        </w:rPr>
        <w:t>报关付款40%，</w:t>
      </w:r>
      <w:r>
        <w:rPr>
          <w:rFonts w:hint="eastAsia" w:ascii="仿宋" w:hAnsi="仿宋" w:eastAsia="仿宋" w:cs="仿宋"/>
          <w:color w:val="auto"/>
          <w:kern w:val="0"/>
          <w:sz w:val="24"/>
          <w:highlight w:val="none"/>
        </w:rPr>
        <w:t>验收合格、培训后支付剩余合同款项10%，同时退还履约保证金（不计息）。</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5、交货及</w:t>
      </w:r>
      <w:r>
        <w:rPr>
          <w:rFonts w:hint="eastAsia" w:ascii="仿宋" w:hAnsi="仿宋" w:eastAsia="仿宋" w:cs="仿宋"/>
          <w:b/>
          <w:bCs/>
          <w:color w:val="auto"/>
          <w:sz w:val="24"/>
          <w:highlight w:val="none"/>
        </w:rPr>
        <w:t>付款方式：</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交货日期：</w:t>
      </w:r>
      <w:r>
        <w:rPr>
          <w:rFonts w:hint="eastAsia" w:ascii="仿宋" w:hAnsi="仿宋" w:eastAsia="仿宋" w:cs="仿宋"/>
          <w:color w:val="auto"/>
          <w:sz w:val="24"/>
          <w:highlight w:val="none"/>
        </w:rPr>
        <w:t>合同签订后</w:t>
      </w:r>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rPr>
        <w:t>个月内</w:t>
      </w:r>
      <w:r>
        <w:rPr>
          <w:rFonts w:hint="eastAsia" w:ascii="仿宋" w:hAnsi="仿宋" w:eastAsia="仿宋" w:cs="仿宋"/>
          <w:color w:val="auto"/>
          <w:sz w:val="24"/>
          <w:highlight w:val="none"/>
          <w:lang w:eastAsia="zh-CN"/>
        </w:rPr>
        <w:t>。</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交货地点：采购人指定地点。</w:t>
      </w:r>
    </w:p>
    <w:p>
      <w:pPr>
        <w:keepNext w:val="0"/>
        <w:keepLines w:val="0"/>
        <w:pageBreakBefore w:val="0"/>
        <w:kinsoku/>
        <w:wordWrap/>
        <w:overflowPunct/>
        <w:topLinePunct w:val="0"/>
        <w:autoSpaceDE/>
        <w:autoSpaceDN/>
        <w:bidi w:val="0"/>
        <w:adjustRightInd/>
        <w:spacing w:line="440" w:lineRule="exact"/>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lang w:eastAsia="zh-CN"/>
        </w:rPr>
        <w:t>6、违约责任</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供应商提供的货物在质保期内因货物本身的质量问题发生故障，供应商应负责免费更换。对达不到技术要求者，根据实际情况，经双方协商，可按以下办法处理：⑴更换</w:t>
      </w:r>
      <w:r>
        <w:rPr>
          <w:rFonts w:hint="eastAsia" w:ascii="仿宋" w:hAnsi="仿宋" w:eastAsia="仿宋" w:cs="仿宋"/>
          <w:color w:val="auto"/>
          <w:sz w:val="24"/>
          <w:highlight w:val="none"/>
          <w:lang w:eastAsia="zh-CN"/>
        </w:rPr>
        <w:t>符合采购需求的设备，</w:t>
      </w:r>
      <w:r>
        <w:rPr>
          <w:rFonts w:hint="eastAsia" w:ascii="仿宋" w:hAnsi="仿宋" w:eastAsia="仿宋" w:cs="仿宋"/>
          <w:color w:val="auto"/>
          <w:sz w:val="24"/>
          <w:highlight w:val="none"/>
        </w:rPr>
        <w:t>由供应商承担所发生的全部费用。⑵贬值处理：由甲乙双方合议定价。⑶</w:t>
      </w:r>
      <w:r>
        <w:rPr>
          <w:rFonts w:hint="eastAsia" w:ascii="仿宋" w:hAnsi="仿宋" w:eastAsia="仿宋" w:cs="仿宋"/>
          <w:color w:val="auto"/>
          <w:sz w:val="24"/>
          <w:highlight w:val="none"/>
          <w:lang w:eastAsia="zh-CN"/>
        </w:rPr>
        <w:t>取消合同并作</w:t>
      </w:r>
      <w:r>
        <w:rPr>
          <w:rFonts w:hint="eastAsia" w:ascii="仿宋" w:hAnsi="仿宋" w:eastAsia="仿宋" w:cs="仿宋"/>
          <w:color w:val="auto"/>
          <w:sz w:val="24"/>
          <w:highlight w:val="none"/>
        </w:rPr>
        <w:t>退货处理：供应商应退还采购人支付的合同款，同时应承担该货物的直接费用（运输、保险、检验、货款利息及银行手续费等）。</w:t>
      </w:r>
    </w:p>
    <w:p>
      <w:pPr>
        <w:keepNext w:val="0"/>
        <w:keepLines w:val="0"/>
        <w:pageBreakBefore w:val="0"/>
        <w:kinsoku/>
        <w:wordWrap/>
        <w:overflowPunct/>
        <w:topLinePunct w:val="0"/>
        <w:autoSpaceDE/>
        <w:autoSpaceDN/>
        <w:bidi w:val="0"/>
        <w:adjustRightInd/>
        <w:spacing w:line="440" w:lineRule="exact"/>
        <w:ind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7</w:t>
      </w:r>
      <w:r>
        <w:rPr>
          <w:rFonts w:hint="eastAsia" w:ascii="仿宋" w:hAnsi="仿宋" w:eastAsia="仿宋" w:cs="仿宋"/>
          <w:color w:val="auto"/>
          <w:sz w:val="24"/>
          <w:highlight w:val="none"/>
        </w:rPr>
        <w:t>、其他</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采购的货物为进口产品时，供应商负责办理进口环节的一切手续工作（包括但不仅限于进口审批手续、进口免税手续等）；供应商应及时向采购人通报进口合同的执行情况，特别是货物备妥期、装运期、预计抵达情况，以便采购人及时了解供货进度；供应商应协助采购人完成政府主管部门履行年检、抽检及其他相关工作并提供相关检查资料。</w:t>
      </w:r>
    </w:p>
    <w:p>
      <w:pPr>
        <w:adjustRightInd/>
        <w:spacing w:line="440" w:lineRule="exac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8、付款方式：</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按《浙江省财政厅关于进一步发挥政府采购政策 功能全力推动经济稳进提质的通知》（浙财采监〔2022〕3号）等文件要求执行，具体付款方式由双方协商后在合同中明确。</w:t>
      </w: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rPr>
      </w:pP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pStyle w:val="9"/>
        <w:jc w:val="center"/>
        <w:rPr>
          <w:rFonts w:hAnsi="宋体" w:cs="宋体"/>
          <w:b/>
          <w:bCs/>
          <w:color w:val="auto"/>
          <w:spacing w:val="-20"/>
          <w:kern w:val="44"/>
          <w:sz w:val="48"/>
          <w:szCs w:val="48"/>
          <w:highlight w:val="none"/>
        </w:rPr>
      </w:pPr>
      <w:r>
        <w:rPr>
          <w:rFonts w:hint="eastAsia" w:hAnsi="宋体" w:cs="宋体"/>
          <w:b/>
          <w:bCs/>
          <w:color w:val="auto"/>
          <w:spacing w:val="-20"/>
          <w:kern w:val="44"/>
          <w:sz w:val="48"/>
          <w:szCs w:val="48"/>
          <w:highlight w:val="none"/>
        </w:rPr>
        <w:t>政府采购货物买卖合同</w:t>
      </w:r>
    </w:p>
    <w:p>
      <w:pPr>
        <w:pStyle w:val="9"/>
        <w:jc w:val="center"/>
        <w:rPr>
          <w:rFonts w:hAnsi="宋体" w:cs="宋体"/>
          <w:b/>
          <w:bCs/>
          <w:color w:val="auto"/>
          <w:spacing w:val="-20"/>
          <w:kern w:val="44"/>
          <w:sz w:val="48"/>
          <w:szCs w:val="48"/>
          <w:highlight w:val="none"/>
        </w:rPr>
      </w:pPr>
      <w:r>
        <w:rPr>
          <w:rFonts w:hint="eastAsia" w:hAnsi="宋体" w:cs="宋体"/>
          <w:b/>
          <w:bCs/>
          <w:color w:val="auto"/>
          <w:spacing w:val="-20"/>
          <w:kern w:val="44"/>
          <w:sz w:val="48"/>
          <w:szCs w:val="48"/>
          <w:highlight w:val="none"/>
        </w:rPr>
        <w:t>（试行）</w:t>
      </w:r>
    </w:p>
    <w:p>
      <w:pPr>
        <w:rPr>
          <w:rFonts w:ascii="宋体" w:hAnsi="宋体" w:cs="宋体"/>
          <w:b/>
          <w:bCs/>
          <w:color w:val="auto"/>
          <w:spacing w:val="-20"/>
          <w:kern w:val="44"/>
          <w:sz w:val="40"/>
          <w:szCs w:val="40"/>
          <w:highlight w:val="none"/>
        </w:rPr>
      </w:pPr>
    </w:p>
    <w:p>
      <w:pPr>
        <w:rPr>
          <w:rFonts w:ascii="宋体" w:hAnsi="宋体" w:cs="宋体"/>
          <w:b/>
          <w:bCs/>
          <w:color w:val="auto"/>
          <w:spacing w:val="-20"/>
          <w:kern w:val="44"/>
          <w:sz w:val="40"/>
          <w:szCs w:val="40"/>
          <w:highlight w:val="none"/>
        </w:rPr>
      </w:pPr>
    </w:p>
    <w:p>
      <w:pPr>
        <w:rPr>
          <w:rFonts w:ascii="宋体" w:hAnsi="宋体" w:cs="宋体"/>
          <w:b/>
          <w:bCs/>
          <w:color w:val="auto"/>
          <w:spacing w:val="-20"/>
          <w:kern w:val="44"/>
          <w:sz w:val="40"/>
          <w:szCs w:val="40"/>
          <w:highlight w:val="none"/>
        </w:rPr>
      </w:pPr>
    </w:p>
    <w:p>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pPr>
        <w:rPr>
          <w:color w:val="auto"/>
          <w:highlight w:val="none"/>
        </w:rPr>
      </w:pPr>
    </w:p>
    <w:p>
      <w:pPr>
        <w:rPr>
          <w:rFonts w:eastAsia="黑体"/>
          <w:color w:val="auto"/>
          <w:sz w:val="44"/>
          <w:szCs w:val="44"/>
          <w:highlight w:val="none"/>
        </w:rPr>
      </w:pPr>
      <w:r>
        <w:rPr>
          <w:rFonts w:eastAsia="黑体"/>
          <w:color w:val="auto"/>
          <w:sz w:val="44"/>
          <w:szCs w:val="44"/>
          <w:highlight w:val="none"/>
        </w:rPr>
        <w:br w:type="page"/>
      </w:r>
    </w:p>
    <w:p>
      <w:pPr>
        <w:rPr>
          <w:rFonts w:eastAsia="黑体"/>
          <w:color w:val="auto"/>
          <w:sz w:val="44"/>
          <w:szCs w:val="44"/>
          <w:highlight w:val="none"/>
        </w:rPr>
      </w:pPr>
    </w:p>
    <w:p>
      <w:pPr>
        <w:rPr>
          <w:rFonts w:eastAsia="黑体"/>
          <w:color w:val="auto"/>
          <w:sz w:val="44"/>
          <w:szCs w:val="44"/>
          <w:highlight w:val="none"/>
        </w:rPr>
      </w:pPr>
    </w:p>
    <w:p>
      <w:pPr>
        <w:jc w:val="center"/>
        <w:rPr>
          <w:rFonts w:eastAsia="黑体"/>
          <w:color w:val="auto"/>
          <w:sz w:val="44"/>
          <w:szCs w:val="44"/>
          <w:highlight w:val="none"/>
        </w:rPr>
      </w:pPr>
      <w:r>
        <w:rPr>
          <w:rFonts w:hint="eastAsia" w:eastAsia="黑体"/>
          <w:color w:val="auto"/>
          <w:sz w:val="44"/>
          <w:szCs w:val="44"/>
          <w:highlight w:val="none"/>
        </w:rPr>
        <w:t>使 用 说 明</w:t>
      </w: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1.本合同标准文本适用于购买现成货物的采购项目，不包括需要供应商定制开发、创新研发的货物采购项目。</w:t>
      </w:r>
    </w:p>
    <w:p>
      <w:pPr>
        <w:rPr>
          <w:rFonts w:eastAsia="黑体"/>
          <w:color w:val="auto"/>
          <w:sz w:val="44"/>
          <w:szCs w:val="44"/>
          <w:highlight w:val="none"/>
        </w:rPr>
      </w:pPr>
      <w:r>
        <w:rPr>
          <w:rFonts w:hint="eastAsia" w:eastAsia="黑体"/>
          <w:color w:val="auto"/>
          <w:sz w:val="44"/>
          <w:szCs w:val="44"/>
          <w:highlight w:val="none"/>
        </w:rPr>
        <w:t xml:space="preserve">   </w:t>
      </w:r>
      <w:r>
        <w:rPr>
          <w:rFonts w:hint="eastAsia" w:ascii="仿宋_GB2312" w:hAnsi="仿宋_GB2312" w:eastAsia="仿宋_GB2312" w:cs="仿宋_GB2312"/>
          <w:color w:val="auto"/>
          <w:sz w:val="32"/>
          <w:szCs w:val="32"/>
          <w:highlight w:val="none"/>
        </w:rPr>
        <w:t>2.本合同标准文本为政府采购货物买卖合同编制提供参考，可以结合采购项目具体情况，对文本作必要的调整修订后使用。</w:t>
      </w:r>
    </w:p>
    <w:p>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3.本合同标准文本各条款中，如涉及填写多家供应商、制造商，多种采购标的、分包主要内容等信息的，可根据采购项目具体情况添加信息项。</w:t>
      </w:r>
    </w:p>
    <w:p>
      <w:pPr>
        <w:ind w:firstLine="880" w:firstLineChars="200"/>
        <w:rPr>
          <w:rFonts w:eastAsia="黑体"/>
          <w:color w:val="auto"/>
          <w:sz w:val="44"/>
          <w:szCs w:val="44"/>
          <w:highlight w:val="none"/>
        </w:rPr>
        <w:sectPr>
          <w:headerReference r:id="rId15" w:type="default"/>
          <w:footerReference r:id="rId16" w:type="default"/>
          <w:pgSz w:w="11906" w:h="16838"/>
          <w:pgMar w:top="1440" w:right="1800" w:bottom="1440" w:left="1800" w:header="851" w:footer="992" w:gutter="0"/>
          <w:cols w:space="425" w:num="1"/>
          <w:docGrid w:type="lines" w:linePitch="312" w:charSpace="0"/>
        </w:sectPr>
      </w:pPr>
    </w:p>
    <w:p>
      <w:pPr>
        <w:pStyle w:val="5"/>
        <w:adjustRightInd w:val="0"/>
        <w:snapToGrid w:val="0"/>
        <w:spacing w:line="400" w:lineRule="exact"/>
        <w:jc w:val="center"/>
        <w:rPr>
          <w:rFonts w:ascii="黑体" w:hAnsi="黑体" w:eastAsia="黑体"/>
          <w:color w:val="auto"/>
          <w:sz w:val="28"/>
          <w:szCs w:val="28"/>
          <w:highlight w:val="none"/>
        </w:rPr>
      </w:pPr>
      <w:bookmarkStart w:id="45" w:name="_Toc22209"/>
    </w:p>
    <w:p>
      <w:pPr>
        <w:pStyle w:val="5"/>
        <w:adjustRightInd w:val="0"/>
        <w:snapToGrid w:val="0"/>
        <w:spacing w:line="400" w:lineRule="exact"/>
        <w:jc w:val="center"/>
        <w:rPr>
          <w:rFonts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5"/>
    </w:p>
    <w:p>
      <w:pPr>
        <w:pStyle w:val="5"/>
        <w:adjustRightInd w:val="0"/>
        <w:snapToGrid w:val="0"/>
        <w:spacing w:line="400" w:lineRule="exact"/>
        <w:jc w:val="center"/>
        <w:rPr>
          <w:rFonts w:ascii="黑体" w:hAnsi="华文中宋" w:eastAsia="黑体"/>
          <w:b w:val="0"/>
          <w:bCs w:val="0"/>
          <w:color w:val="auto"/>
          <w:sz w:val="28"/>
          <w:szCs w:val="28"/>
          <w:highlight w:val="none"/>
        </w:rPr>
      </w:pPr>
    </w:p>
    <w:p>
      <w:pPr>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（采购人、受采购人委托签订合同的单位或采购</w:t>
      </w:r>
      <w:r>
        <w:rPr>
          <w:rFonts w:hint="eastAsia" w:ascii="宋体" w:hAnsi="宋体"/>
          <w:color w:val="auto"/>
          <w:szCs w:val="21"/>
          <w:highlight w:val="none"/>
        </w:rPr>
        <w:tab/>
      </w:r>
      <w:r>
        <w:rPr>
          <w:rFonts w:hint="eastAsia" w:ascii="宋体" w:hAnsi="宋体"/>
          <w:color w:val="auto"/>
          <w:szCs w:val="21"/>
          <w:highlight w:val="none"/>
        </w:rPr>
        <w:t xml:space="preserve">                                   文件约定的合同甲方）</w:t>
      </w:r>
    </w:p>
    <w:p>
      <w:pPr>
        <w:snapToGrid w:val="0"/>
        <w:spacing w:line="400" w:lineRule="exact"/>
        <w:rPr>
          <w:rFonts w:ascii="宋体" w:hAnsi="宋体"/>
          <w:color w:val="auto"/>
          <w:szCs w:val="21"/>
          <w:highlight w:val="none"/>
        </w:rPr>
      </w:pPr>
      <w:r>
        <w:rPr>
          <w:rFonts w:hint="eastAsia" w:ascii="宋体" w:hAnsi="宋体"/>
          <w:color w:val="auto"/>
          <w:szCs w:val="21"/>
          <w:highlight w:val="none"/>
        </w:rPr>
        <w:t>乙方1（全称）：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pPr>
        <w:snapToGrid w:val="0"/>
        <w:spacing w:line="400" w:lineRule="exact"/>
        <w:rPr>
          <w:rFonts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pPr>
        <w:snapToGrid w:val="0"/>
        <w:spacing w:line="400" w:lineRule="exact"/>
        <w:rPr>
          <w:rFonts w:ascii="宋体" w:hAnsi="宋体"/>
          <w:color w:val="auto"/>
          <w:szCs w:val="21"/>
          <w:highlight w:val="none"/>
        </w:rPr>
      </w:pPr>
      <w:r>
        <w:rPr>
          <w:rFonts w:hint="eastAsia"/>
          <w:color w:val="auto"/>
          <w:highlight w:val="none"/>
        </w:rPr>
        <w:t>乙方</w:t>
      </w:r>
      <w:r>
        <w:rPr>
          <w:rFonts w:hint="eastAsia" w:ascii="宋体" w:hAnsi="宋体"/>
          <w:color w:val="auto"/>
          <w:szCs w:val="21"/>
          <w:highlight w:val="none"/>
        </w:rPr>
        <w:t>3</w:t>
      </w:r>
      <w:r>
        <w:rPr>
          <w:rFonts w:hint="eastAsia"/>
          <w:color w:val="auto"/>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pPr>
        <w:spacing w:line="400" w:lineRule="exact"/>
        <w:rPr>
          <w:color w:val="auto"/>
          <w:highlight w:val="none"/>
        </w:rPr>
      </w:pPr>
    </w:p>
    <w:p>
      <w:pPr>
        <w:pStyle w:val="2"/>
        <w:snapToGrid w:val="0"/>
        <w:spacing w:line="400" w:lineRule="exact"/>
        <w:rPr>
          <w:color w:val="auto"/>
          <w:szCs w:val="21"/>
          <w:highlight w:val="none"/>
        </w:rPr>
      </w:pPr>
      <w:r>
        <w:rPr>
          <w:rFonts w:hint="eastAsia"/>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7"/>
        </w:numPr>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pPr>
        <w:pStyle w:val="2"/>
        <w:numPr>
          <w:ilvl w:val="0"/>
          <w:numId w:val="8"/>
        </w:numPr>
        <w:snapToGrid w:val="0"/>
        <w:spacing w:line="400" w:lineRule="exact"/>
        <w:rPr>
          <w:color w:val="auto"/>
          <w:szCs w:val="21"/>
          <w:highlight w:val="none"/>
          <w:u w:val="single"/>
        </w:rPr>
      </w:pPr>
      <w:r>
        <w:rPr>
          <w:rFonts w:hint="eastAsia"/>
          <w:color w:val="auto"/>
          <w:szCs w:val="21"/>
          <w:highlight w:val="none"/>
        </w:rPr>
        <w:t>采购项目名称：</w:t>
      </w:r>
      <w:r>
        <w:rPr>
          <w:color w:val="auto"/>
          <w:szCs w:val="21"/>
          <w:highlight w:val="none"/>
          <w:u w:val="single"/>
        </w:rPr>
        <w:t xml:space="preserve">                                          </w:t>
      </w:r>
    </w:p>
    <w:p>
      <w:pPr>
        <w:pStyle w:val="2"/>
        <w:numPr>
          <w:ilvl w:val="255"/>
          <w:numId w:val="0"/>
        </w:numPr>
        <w:tabs>
          <w:tab w:val="left" w:pos="999"/>
        </w:tabs>
        <w:snapToGrid w:val="0"/>
        <w:spacing w:line="400" w:lineRule="exact"/>
        <w:rPr>
          <w:color w:val="auto"/>
          <w:szCs w:val="21"/>
          <w:highlight w:val="none"/>
        </w:rPr>
      </w:pPr>
      <w:r>
        <w:rPr>
          <w:rFonts w:hint="eastAsia"/>
          <w:color w:val="auto"/>
          <w:szCs w:val="21"/>
          <w:highlight w:val="none"/>
        </w:rPr>
        <w:t xml:space="preserve">         采购项目编号：</w:t>
      </w:r>
      <w:r>
        <w:rPr>
          <w:color w:val="auto"/>
          <w:szCs w:val="21"/>
          <w:highlight w:val="none"/>
          <w:u w:val="single"/>
        </w:rPr>
        <w:t xml:space="preserve">                                          </w:t>
      </w:r>
    </w:p>
    <w:p>
      <w:pPr>
        <w:pStyle w:val="2"/>
        <w:snapToGrid w:val="0"/>
        <w:spacing w:line="400" w:lineRule="exact"/>
        <w:rPr>
          <w:color w:val="auto"/>
          <w:szCs w:val="21"/>
          <w:highlight w:val="none"/>
        </w:rPr>
      </w:pPr>
      <w:r>
        <w:rPr>
          <w:rFonts w:hint="eastAsia"/>
          <w:color w:val="auto"/>
          <w:szCs w:val="21"/>
          <w:highlight w:val="none"/>
        </w:rPr>
        <w:t>（2）采购计划编号：</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 xml:space="preserve"> </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numPr>
          <w:ilvl w:val="255"/>
          <w:numId w:val="0"/>
        </w:numPr>
        <w:snapToGrid w:val="0"/>
        <w:spacing w:line="400" w:lineRule="exact"/>
        <w:ind w:firstLine="420" w:firstLineChars="200"/>
        <w:rPr>
          <w:rFonts w:ascii="宋体" w:hAnsi="宋体" w:cs="宋体"/>
          <w:color w:val="auto"/>
          <w:szCs w:val="21"/>
          <w:highlight w:val="none"/>
          <w:lang w:val="en"/>
        </w:rPr>
      </w:pPr>
      <w:r>
        <w:rPr>
          <w:rFonts w:hint="eastAsia" w:ascii="宋体" w:hAnsi="宋体"/>
          <w:color w:val="auto"/>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pPr>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pPr>
        <w:numPr>
          <w:ilvl w:val="255"/>
          <w:numId w:val="0"/>
        </w:numPr>
        <w:snapToGrid w:val="0"/>
        <w:spacing w:line="400" w:lineRule="exact"/>
        <w:ind w:firstLine="945" w:firstLineChars="450"/>
        <w:rPr>
          <w:rFonts w:ascii="宋体" w:hAnsi="宋体" w:cs="宋体"/>
          <w:color w:val="auto"/>
          <w:szCs w:val="21"/>
          <w:highlight w:val="none"/>
        </w:rPr>
      </w:pPr>
      <w:r>
        <w:rPr>
          <w:rFonts w:hint="eastAsia" w:ascii="汉仪书宋二S" w:hAnsi="汉仪书宋二S" w:eastAsia="汉仪书宋二S" w:cs="汉仪书宋二S"/>
          <w:color w:val="auto"/>
          <w:szCs w:val="21"/>
          <w:highlight w:val="none"/>
        </w:rPr>
        <w:t>①</w:t>
      </w:r>
      <w:r>
        <w:rPr>
          <w:rFonts w:hint="eastAsia" w:ascii="宋体" w:hAnsi="宋体" w:cs="宋体"/>
          <w:color w:val="auto"/>
          <w:szCs w:val="21"/>
          <w:highlight w:val="none"/>
        </w:rPr>
        <w:t>涉及信息类产品，请填写该产品关键部件的品牌、型号：</w:t>
      </w:r>
    </w:p>
    <w:p>
      <w:pPr>
        <w:numPr>
          <w:ilvl w:val="255"/>
          <w:numId w:val="0"/>
        </w:numPr>
        <w:snapToGrid w:val="0"/>
        <w:spacing w:line="400" w:lineRule="exact"/>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 xml:space="preserve">     标的名称：</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lang w:val="en"/>
        </w:rPr>
        <w:t xml:space="preserve">               </w:t>
      </w:r>
      <w:r>
        <w:rPr>
          <w:rFonts w:hint="eastAsia" w:ascii="宋体" w:hAnsi="宋体" w:cs="宋体"/>
          <w:color w:val="auto"/>
          <w:kern w:val="0"/>
          <w:szCs w:val="21"/>
          <w:highlight w:val="none"/>
          <w:u w:val="single"/>
        </w:rPr>
        <w:t xml:space="preserve">    </w:t>
      </w:r>
    </w:p>
    <w:p>
      <w:pPr>
        <w:numPr>
          <w:ilvl w:val="255"/>
          <w:numId w:val="0"/>
        </w:num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关键部件：</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型号：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pStyle w:val="32"/>
        <w:ind w:firstLine="42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kern w:val="2"/>
          <w:sz w:val="21"/>
          <w:highlight w:val="none"/>
        </w:rPr>
        <w:t>关键部件</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pPr>
        <w:pStyle w:val="32"/>
        <w:ind w:firstLine="420"/>
        <w:rPr>
          <w:rFonts w:ascii="宋体" w:hAnsi="宋体" w:eastAsia="宋体" w:cs="宋体"/>
          <w:color w:val="auto"/>
          <w:sz w:val="21"/>
          <w:highlight w:val="none"/>
        </w:rPr>
      </w:pPr>
      <w:r>
        <w:rPr>
          <w:rFonts w:hint="eastAsia" w:ascii="宋体" w:hAnsi="宋体" w:eastAsia="宋体" w:cs="宋体"/>
          <w:color w:val="auto"/>
          <w:sz w:val="21"/>
          <w:highlight w:val="none"/>
        </w:rPr>
        <w:t xml:space="preserve">     关键部件：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p>
    <w:p>
      <w:pPr>
        <w:pStyle w:val="32"/>
        <w:numPr>
          <w:ilvl w:val="255"/>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pPr>
        <w:pStyle w:val="32"/>
        <w:numPr>
          <w:ilvl w:val="255"/>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汉仪书宋二S" w:hAnsi="汉仪书宋二S" w:eastAsia="汉仪书宋二S" w:cs="汉仪书宋二S"/>
          <w:color w:val="auto"/>
          <w:sz w:val="21"/>
          <w:highlight w:val="none"/>
        </w:rPr>
        <w:t>②</w:t>
      </w:r>
      <w:r>
        <w:rPr>
          <w:rFonts w:hint="eastAsia" w:ascii="宋体" w:hAnsi="宋体" w:eastAsia="宋体" w:cs="宋体"/>
          <w:color w:val="auto"/>
          <w:sz w:val="21"/>
          <w:highlight w:val="none"/>
        </w:rPr>
        <w:t>涉及车辆采购，请填写是否属于新能源汽车：</w:t>
      </w:r>
    </w:p>
    <w:p>
      <w:pPr>
        <w:pStyle w:val="32"/>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是，《政府采购品目分类目录》底级品目名称：</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数量：</w:t>
      </w:r>
      <w:r>
        <w:rPr>
          <w:rFonts w:hint="eastAsia" w:asciiTheme="minorEastAsia" w:hAnsiTheme="minorEastAsia" w:eastAsiaTheme="minorEastAsia" w:cstheme="minorEastAsia"/>
          <w:color w:val="auto"/>
          <w:sz w:val="21"/>
          <w:highlight w:val="none"/>
          <w:u w:val="single"/>
        </w:rPr>
        <w:t xml:space="preserve"> </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金额：</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w:t>
      </w:r>
    </w:p>
    <w:p>
      <w:pPr>
        <w:pStyle w:val="32"/>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否</w:t>
      </w:r>
    </w:p>
    <w:p>
      <w:pPr>
        <w:pStyle w:val="32"/>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asciiTheme="minorEastAsia" w:hAnsiTheme="minorEastAsia" w:eastAsiaTheme="minorEastAsia" w:cstheme="minorEastAsia"/>
          <w:color w:val="auto"/>
          <w:sz w:val="21"/>
          <w:highlight w:val="none"/>
          <w:lang w:val="en"/>
        </w:rPr>
        <w:t>4</w:t>
      </w:r>
      <w:r>
        <w:rPr>
          <w:rFonts w:hint="eastAsia" w:asciiTheme="minorEastAsia" w:hAnsiTheme="minorEastAsia" w:eastAsiaTheme="minorEastAsia" w:cstheme="minorEastAsia"/>
          <w:color w:val="auto"/>
          <w:sz w:val="21"/>
          <w:highlight w:val="none"/>
        </w:rPr>
        <w:t>）政府采购组织形式：</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政府集中采购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部门集中采购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分散采购</w:t>
      </w:r>
    </w:p>
    <w:p>
      <w:pPr>
        <w:pStyle w:val="32"/>
        <w:numPr>
          <w:ilvl w:val="255"/>
          <w:numId w:val="0"/>
        </w:numPr>
        <w:snapToGrid w:val="0"/>
        <w:ind w:firstLine="42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w:t>
      </w:r>
      <w:r>
        <w:rPr>
          <w:rFonts w:asciiTheme="minorEastAsia" w:hAnsiTheme="minorEastAsia" w:eastAsiaTheme="minorEastAsia" w:cstheme="minorEastAsia"/>
          <w:color w:val="auto"/>
          <w:sz w:val="21"/>
          <w:highlight w:val="none"/>
          <w:lang w:val="en"/>
        </w:rPr>
        <w:t>5</w:t>
      </w:r>
      <w:r>
        <w:rPr>
          <w:rFonts w:hint="eastAsia" w:asciiTheme="minorEastAsia" w:hAnsiTheme="minorEastAsia" w:eastAsiaTheme="minorEastAsia" w:cstheme="minorEastAsia"/>
          <w:color w:val="auto"/>
          <w:sz w:val="21"/>
          <w:highlight w:val="none"/>
        </w:rPr>
        <w:t>）政府采购方式：</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公开招标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邀请招标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竞争性谈判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竞争性磋商</w:t>
      </w:r>
    </w:p>
    <w:p>
      <w:pPr>
        <w:pStyle w:val="32"/>
        <w:numPr>
          <w:ilvl w:val="255"/>
          <w:numId w:val="0"/>
        </w:numPr>
        <w:snapToGrid w:val="0"/>
        <w:ind w:firstLine="420"/>
        <w:rPr>
          <w:rFonts w:ascii="宋体" w:hAnsi="宋体" w:eastAsia="宋体" w:cs="宋体"/>
          <w:color w:val="auto"/>
          <w:sz w:val="21"/>
          <w:highlight w:val="none"/>
          <w:u w:val="single"/>
        </w:rPr>
      </w:pPr>
      <w:r>
        <w:rPr>
          <w:rFonts w:hint="eastAsia" w:ascii="宋体" w:hAnsi="宋体" w:cs="宋体"/>
          <w:color w:val="auto"/>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询价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单一来源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框架协议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其他：</w:t>
      </w:r>
      <w:r>
        <w:rPr>
          <w:rFonts w:hint="eastAsia" w:ascii="宋体" w:hAnsi="宋体" w:eastAsia="宋体" w:cs="宋体"/>
          <w:color w:val="auto"/>
          <w:sz w:val="21"/>
          <w:highlight w:val="none"/>
          <w:u w:val="single"/>
        </w:rPr>
        <w:t xml:space="preserve">          </w:t>
      </w:r>
    </w:p>
    <w:p>
      <w:pPr>
        <w:pStyle w:val="32"/>
        <w:numPr>
          <w:ilvl w:val="255"/>
          <w:numId w:val="0"/>
        </w:numPr>
        <w:snapToGrid w:val="0"/>
        <w:ind w:firstLine="420"/>
        <w:rPr>
          <w:rFonts w:ascii="宋体" w:hAnsi="宋体" w:eastAsia="宋体" w:cs="宋体"/>
          <w:color w:val="auto"/>
          <w:sz w:val="21"/>
          <w:highlight w:val="none"/>
        </w:rPr>
      </w:pPr>
      <w:r>
        <w:rPr>
          <w:rFonts w:hint="eastAsia" w:ascii="宋体" w:hAnsi="宋体" w:eastAsia="宋体" w:cs="宋体"/>
          <w:color w:val="auto"/>
          <w:sz w:val="21"/>
          <w:highlight w:val="none"/>
        </w:rPr>
        <w:t>（注：在框架协议采购的第二阶段，可选择使用该合同文本）</w:t>
      </w:r>
    </w:p>
    <w:p>
      <w:pPr>
        <w:pStyle w:val="32"/>
        <w:numPr>
          <w:ilvl w:val="255"/>
          <w:numId w:val="0"/>
        </w:numPr>
        <w:snapToGrid w:val="0"/>
        <w:ind w:firstLine="220" w:firstLineChars="100"/>
        <w:rPr>
          <w:rFonts w:ascii="宋体" w:hAnsi="宋体" w:eastAsia="宋体" w:cs="Times New Roman"/>
          <w:color w:val="auto"/>
          <w:kern w:val="2"/>
          <w:sz w:val="21"/>
          <w:highlight w:val="none"/>
        </w:rPr>
      </w:pPr>
      <w:r>
        <w:rPr>
          <w:rFonts w:hint="eastAsia" w:ascii="宋体" w:hAnsi="宋体"/>
          <w:color w:val="auto"/>
          <w:highlight w:val="none"/>
        </w:rPr>
        <w:t xml:space="preserve"> （</w:t>
      </w:r>
      <w:r>
        <w:rPr>
          <w:rFonts w:ascii="宋体" w:hAnsi="宋体"/>
          <w:color w:val="auto"/>
          <w:highlight w:val="none"/>
          <w:lang w:val="en"/>
        </w:rPr>
        <w:t>6</w:t>
      </w:r>
      <w:r>
        <w:rPr>
          <w:rFonts w:hint="eastAsia" w:ascii="宋体" w:hAnsi="宋体"/>
          <w:color w:val="auto"/>
          <w:highlight w:val="none"/>
        </w:rPr>
        <w:t>）</w:t>
      </w:r>
      <w:r>
        <w:rPr>
          <w:rFonts w:hint="eastAsia" w:ascii="宋体" w:hAnsi="宋体" w:eastAsia="宋体" w:cs="Times New Roman"/>
          <w:color w:val="auto"/>
          <w:kern w:val="2"/>
          <w:sz w:val="21"/>
          <w:highlight w:val="none"/>
        </w:rPr>
        <w:t>中标（成交）采购标的制造商是否为中小企业：</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 xml:space="preserve">是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pPr>
        <w:numPr>
          <w:ilvl w:val="255"/>
          <w:numId w:val="0"/>
        </w:numPr>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numPr>
          <w:ilvl w:val="255"/>
          <w:numId w:val="0"/>
        </w:numPr>
        <w:snapToGrid w:val="0"/>
        <w:spacing w:line="400" w:lineRule="exact"/>
        <w:rPr>
          <w:rFonts w:ascii="宋体" w:hAnsi="宋体"/>
          <w:iCs/>
          <w:color w:val="auto"/>
          <w:szCs w:val="21"/>
          <w:highlight w:val="none"/>
        </w:rPr>
      </w:pPr>
      <w:r>
        <w:rPr>
          <w:rFonts w:hint="eastAsia"/>
          <w:color w:val="auto"/>
          <w:highlight w:val="none"/>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numPr>
          <w:ilvl w:val="255"/>
          <w:numId w:val="0"/>
        </w:numPr>
        <w:snapToGrid w:val="0"/>
        <w:spacing w:line="400" w:lineRule="exact"/>
        <w:rPr>
          <w:rFonts w:ascii="宋体" w:hAnsi="宋体"/>
          <w:iCs/>
          <w:color w:val="auto"/>
          <w:szCs w:val="21"/>
          <w:highlight w:val="none"/>
        </w:rPr>
      </w:pPr>
      <w:r>
        <w:rPr>
          <w:rFonts w:hint="eastAsia"/>
          <w:color w:val="auto"/>
          <w:highlight w:val="none"/>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snapToGrid w:val="0"/>
        <w:spacing w:line="400" w:lineRule="exact"/>
        <w:rPr>
          <w:color w:val="auto"/>
          <w:highlight w:val="none"/>
        </w:rPr>
      </w:pPr>
      <w:r>
        <w:rPr>
          <w:rFonts w:hint="eastAsia"/>
          <w:color w:val="auto"/>
          <w:highlight w:val="none"/>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snapToGrid w:val="0"/>
        <w:spacing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rPr>
        <w:t xml:space="preserve"> 分包主要内容：</w:t>
      </w:r>
      <w:r>
        <w:rPr>
          <w:rFonts w:hint="eastAsia" w:ascii="宋体" w:hAnsi="宋体"/>
          <w:color w:val="auto"/>
          <w:szCs w:val="21"/>
          <w:highlight w:val="none"/>
          <w:u w:val="single"/>
        </w:rPr>
        <w:t xml:space="preserve">                                            </w:t>
      </w:r>
    </w:p>
    <w:p>
      <w:pPr>
        <w:snapToGrid w:val="0"/>
        <w:spacing w:line="400" w:lineRule="exact"/>
        <w:ind w:firstLine="840" w:firstLineChars="400"/>
        <w:rPr>
          <w:rFonts w:ascii="宋体" w:hAnsi="宋体"/>
          <w:color w:val="auto"/>
          <w:szCs w:val="21"/>
          <w:highlight w:val="none"/>
        </w:rPr>
      </w:pPr>
      <w:r>
        <w:rPr>
          <w:rFonts w:hint="eastAsia" w:ascii="宋体" w:hAnsi="宋体"/>
          <w:color w:val="auto"/>
          <w:szCs w:val="21"/>
          <w:highlight w:val="none"/>
        </w:rPr>
        <w:t xml:space="preserve"> 分包供应商/制造商名称（如供应商和制造商不同，请分别填写）：</w:t>
      </w:r>
    </w:p>
    <w:p>
      <w:pPr>
        <w:snapToGrid w:val="0"/>
        <w:spacing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pPr>
        <w:snapToGrid w:val="0"/>
        <w:spacing w:line="400" w:lineRule="exact"/>
        <w:ind w:firstLine="840" w:firstLineChars="400"/>
        <w:rPr>
          <w:rFonts w:ascii="宋体" w:hAnsi="宋体"/>
          <w:color w:val="auto"/>
          <w:szCs w:val="21"/>
          <w:highlight w:val="none"/>
        </w:rPr>
      </w:pPr>
      <w:r>
        <w:rPr>
          <w:rFonts w:hint="eastAsia" w:ascii="宋体" w:hAnsi="宋体"/>
          <w:color w:val="auto"/>
          <w:szCs w:val="21"/>
          <w:highlight w:val="none"/>
        </w:rPr>
        <w:t xml:space="preserve"> 分包供应商/制造商类型（如果供应商和制造商不同，只填写制造商类型）：</w:t>
      </w:r>
    </w:p>
    <w:p>
      <w:pPr>
        <w:snapToGrid w:val="0"/>
        <w:spacing w:line="400" w:lineRule="exact"/>
        <w:ind w:firstLine="840" w:firstLineChars="40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小微型企业  </w:t>
      </w:r>
    </w:p>
    <w:p>
      <w:pPr>
        <w:snapToGrid w:val="0"/>
        <w:spacing w:line="400" w:lineRule="exact"/>
        <w:ind w:firstLine="840" w:firstLineChars="400"/>
        <w:rPr>
          <w:rFonts w:eastAsia="华文楷体"/>
          <w:color w:val="auto"/>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pPr>
        <w:numPr>
          <w:ilvl w:val="255"/>
          <w:numId w:val="0"/>
        </w:numPr>
        <w:snapToGrid w:val="0"/>
        <w:spacing w:line="400" w:lineRule="exact"/>
        <w:rPr>
          <w:rFonts w:ascii="宋体" w:hAnsi="宋体" w:cs="宋体"/>
          <w:iCs/>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pPr>
        <w:pStyle w:val="32"/>
        <w:tabs>
          <w:tab w:val="left" w:pos="1340"/>
        </w:tabs>
        <w:ind w:firstLine="420"/>
        <w:rPr>
          <w:rFonts w:ascii="宋体" w:hAnsi="宋体" w:eastAsia="宋体" w:cs="宋体"/>
          <w:color w:val="auto"/>
          <w:sz w:val="21"/>
          <w:highlight w:val="none"/>
          <w:u w:val="single"/>
        </w:rPr>
      </w:pPr>
      <w:r>
        <w:rPr>
          <w:rFonts w:hint="eastAsia" w:ascii="宋体" w:hAnsi="宋体" w:eastAsia="宋体" w:cs="宋体"/>
          <w:color w:val="auto"/>
          <w:sz w:val="21"/>
          <w:highlight w:val="none"/>
        </w:rPr>
        <w:t xml:space="preserve">     外商投资企业类型：</w:t>
      </w:r>
      <w:r>
        <w:rPr>
          <w:rFonts w:hint="eastAsia" w:ascii="宋体" w:hAnsi="宋体" w:eastAsia="宋体" w:cs="宋体"/>
          <w:iCs/>
          <w:color w:val="auto"/>
          <w:sz w:val="21"/>
          <w:highlight w:val="none"/>
        </w:rPr>
        <w:sym w:font="Wingdings" w:char="00A8"/>
      </w:r>
      <w:r>
        <w:rPr>
          <w:rFonts w:hint="eastAsia" w:ascii="宋体" w:hAnsi="宋体" w:eastAsia="宋体" w:cs="宋体"/>
          <w:color w:val="auto"/>
          <w:sz w:val="21"/>
          <w:highlight w:val="none"/>
        </w:rPr>
        <w:t xml:space="preserve">全部由外国投资者投资  </w:t>
      </w:r>
      <w:r>
        <w:rPr>
          <w:rFonts w:hint="eastAsia" w:ascii="宋体" w:hAnsi="宋体" w:eastAsia="宋体" w:cs="宋体"/>
          <w:iCs/>
          <w:color w:val="auto"/>
          <w:sz w:val="21"/>
          <w:highlight w:val="none"/>
        </w:rPr>
        <w:sym w:font="Wingdings" w:char="00A8"/>
      </w:r>
      <w:r>
        <w:rPr>
          <w:rFonts w:hint="eastAsia" w:ascii="宋体" w:hAnsi="宋体" w:eastAsia="宋体" w:cs="宋体"/>
          <w:iCs/>
          <w:color w:val="auto"/>
          <w:sz w:val="21"/>
          <w:highlight w:val="none"/>
        </w:rPr>
        <w:t>部分由外国投资者投资</w:t>
      </w:r>
    </w:p>
    <w:p>
      <w:pPr>
        <w:numPr>
          <w:ilvl w:val="255"/>
          <w:numId w:val="0"/>
        </w:num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pPr>
        <w:numPr>
          <w:ilvl w:val="255"/>
          <w:numId w:val="0"/>
        </w:numPr>
        <w:snapToGrid w:val="0"/>
        <w:spacing w:line="400" w:lineRule="exact"/>
        <w:ind w:firstLine="840" w:firstLineChars="400"/>
        <w:rPr>
          <w:rFonts w:ascii="宋体" w:hAnsi="宋体" w:cs="宋体"/>
          <w:color w:val="auto"/>
          <w:szCs w:val="21"/>
          <w:highlight w:val="none"/>
          <w:u w:val="single"/>
        </w:rPr>
      </w:pPr>
      <w:r>
        <w:rPr>
          <w:rFonts w:hint="eastAsia" w:ascii="宋体" w:hAnsi="宋体" w:cs="宋体"/>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是，《政府采购品目分类目录》底级品目名称：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金额：</w:t>
      </w:r>
      <w:r>
        <w:rPr>
          <w:rFonts w:hint="eastAsia" w:ascii="宋体" w:hAnsi="宋体" w:cs="宋体"/>
          <w:color w:val="auto"/>
          <w:szCs w:val="21"/>
          <w:highlight w:val="none"/>
          <w:u w:val="single"/>
        </w:rPr>
        <w:t xml:space="preserve">        </w:t>
      </w:r>
    </w:p>
    <w:p>
      <w:pPr>
        <w:numPr>
          <w:ilvl w:val="255"/>
          <w:numId w:val="0"/>
        </w:numPr>
        <w:snapToGrid w:val="0"/>
        <w:spacing w:line="400" w:lineRule="exact"/>
        <w:ind w:firstLine="840" w:firstLineChars="400"/>
        <w:rPr>
          <w:rFonts w:ascii="宋体" w:hAnsi="宋体"/>
          <w:color w:val="auto"/>
          <w:szCs w:val="21"/>
          <w:highlight w:val="none"/>
        </w:rPr>
      </w:pPr>
      <w:r>
        <w:rPr>
          <w:rFonts w:hint="eastAsia" w:ascii="宋体" w:hAnsi="宋体" w:cs="宋体"/>
          <w:color w:val="auto"/>
          <w:szCs w:val="21"/>
          <w:highlight w:val="none"/>
        </w:rPr>
        <w:t xml:space="preserve">        国别：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规格型号：</w:t>
      </w:r>
      <w:r>
        <w:rPr>
          <w:rFonts w:hint="eastAsia" w:ascii="宋体" w:hAnsi="宋体" w:cs="宋体"/>
          <w:color w:val="auto"/>
          <w:szCs w:val="21"/>
          <w:highlight w:val="none"/>
          <w:u w:val="single"/>
        </w:rPr>
        <w:t xml:space="preserve">        </w:t>
      </w:r>
      <w:r>
        <w:rPr>
          <w:rFonts w:hint="eastAsia" w:ascii="宋体" w:hAnsi="宋体"/>
          <w:color w:val="auto"/>
          <w:szCs w:val="21"/>
          <w:highlight w:val="none"/>
        </w:rPr>
        <w:t xml:space="preserve">      </w:t>
      </w:r>
    </w:p>
    <w:p>
      <w:pPr>
        <w:snapToGrid w:val="0"/>
        <w:spacing w:line="400" w:lineRule="exact"/>
        <w:ind w:firstLine="840" w:firstLineChars="40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pPr>
        <w:numPr>
          <w:ilvl w:val="255"/>
          <w:numId w:val="0"/>
        </w:numPr>
        <w:tabs>
          <w:tab w:val="left" w:pos="740"/>
        </w:tabs>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0</w:t>
      </w:r>
      <w:r>
        <w:rPr>
          <w:rFonts w:hint="eastAsia" w:ascii="宋体" w:hAnsi="宋体"/>
          <w:color w:val="auto"/>
          <w:szCs w:val="21"/>
          <w:highlight w:val="none"/>
        </w:rPr>
        <w:t>）是否涉及节能产品：</w:t>
      </w:r>
    </w:p>
    <w:p>
      <w:pPr>
        <w:numPr>
          <w:ilvl w:val="255"/>
          <w:numId w:val="0"/>
        </w:numPr>
        <w:tabs>
          <w:tab w:val="left" w:pos="740"/>
        </w:tabs>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是，《节能产品政府采购品目清单》的底级品目名称：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pPr>
        <w:numPr>
          <w:ilvl w:val="255"/>
          <w:numId w:val="0"/>
        </w:numPr>
        <w:tabs>
          <w:tab w:val="left" w:pos="740"/>
        </w:tabs>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pPr>
        <w:numPr>
          <w:ilvl w:val="255"/>
          <w:numId w:val="0"/>
        </w:numPr>
        <w:tabs>
          <w:tab w:val="left" w:pos="740"/>
        </w:tabs>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pPr>
        <w:numPr>
          <w:ilvl w:val="255"/>
          <w:numId w:val="0"/>
        </w:numPr>
        <w:tabs>
          <w:tab w:val="left" w:pos="740"/>
        </w:tabs>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是否涉及环境标志产品：</w:t>
      </w:r>
    </w:p>
    <w:p>
      <w:pPr>
        <w:numPr>
          <w:ilvl w:val="255"/>
          <w:numId w:val="0"/>
        </w:numPr>
        <w:tabs>
          <w:tab w:val="left" w:pos="740"/>
        </w:tabs>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是，《环境标志产品政府采购品目清单》的底级品目名称：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pPr>
        <w:numPr>
          <w:ilvl w:val="255"/>
          <w:numId w:val="0"/>
        </w:numPr>
        <w:tabs>
          <w:tab w:val="left" w:pos="740"/>
        </w:tabs>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pPr>
        <w:numPr>
          <w:ilvl w:val="255"/>
          <w:numId w:val="0"/>
        </w:numPr>
        <w:tabs>
          <w:tab w:val="left" w:pos="740"/>
        </w:tabs>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pPr>
        <w:pStyle w:val="32"/>
        <w:numPr>
          <w:ilvl w:val="255"/>
          <w:numId w:val="0"/>
        </w:numPr>
        <w:snapToGrid w:val="0"/>
        <w:rPr>
          <w:rFonts w:ascii="宋体" w:hAnsi="宋体" w:eastAsia="宋体" w:cs="Times New Roman"/>
          <w:color w:val="auto"/>
          <w:kern w:val="2"/>
          <w:sz w:val="21"/>
          <w:highlight w:val="none"/>
        </w:rPr>
      </w:pPr>
      <w:r>
        <w:rPr>
          <w:rFonts w:hint="eastAsia" w:ascii="宋体" w:hAnsi="宋体"/>
          <w:color w:val="auto"/>
          <w:sz w:val="21"/>
          <w:highlight w:val="none"/>
        </w:rPr>
        <w:t xml:space="preserve">          </w:t>
      </w:r>
      <w:r>
        <w:rPr>
          <w:rFonts w:hint="eastAsia" w:ascii="宋体" w:hAnsi="宋体" w:eastAsia="宋体" w:cs="Times New Roman"/>
          <w:color w:val="auto"/>
          <w:kern w:val="2"/>
          <w:sz w:val="21"/>
          <w:highlight w:val="none"/>
        </w:rPr>
        <w:t xml:space="preserve">是否涉及绿色产品： </w:t>
      </w:r>
    </w:p>
    <w:p>
      <w:pPr>
        <w:pStyle w:val="32"/>
        <w:ind w:firstLine="420" w:firstLineChars="0"/>
        <w:rPr>
          <w:rFonts w:ascii="宋体" w:hAnsi="宋体" w:eastAsia="宋体"/>
          <w:color w:val="auto"/>
          <w:highlight w:val="none"/>
          <w:u w:val="singl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是，绿色产品政府采购相关政策确定的底级品目名称：</w:t>
      </w:r>
      <w:r>
        <w:rPr>
          <w:rFonts w:hint="eastAsia" w:ascii="宋体" w:hAnsi="宋体" w:eastAsia="宋体"/>
          <w:color w:val="auto"/>
          <w:highlight w:val="none"/>
          <w:u w:val="single"/>
        </w:rPr>
        <w:t xml:space="preserve">         </w:t>
      </w:r>
    </w:p>
    <w:p>
      <w:pPr>
        <w:numPr>
          <w:ilvl w:val="255"/>
          <w:numId w:val="0"/>
        </w:numPr>
        <w:tabs>
          <w:tab w:val="left" w:pos="740"/>
        </w:tabs>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pPr>
        <w:pStyle w:val="32"/>
        <w:ind w:firstLine="420" w:firstLineChars="0"/>
        <w:rPr>
          <w:rFonts w:ascii="宋体" w:hAnsi="宋体"/>
          <w:color w:val="auto"/>
          <w:sz w:val="21"/>
          <w:highlight w:val="non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pPr>
        <w:numPr>
          <w:ilvl w:val="255"/>
          <w:numId w:val="0"/>
        </w:numPr>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840" w:firstLineChars="4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 xml:space="preserve">否      </w:t>
      </w:r>
      <w:r>
        <w:rPr>
          <w:rFonts w:hint="eastAsia" w:ascii="宋体" w:hAnsi="宋体"/>
          <w:color w:val="auto"/>
          <w:szCs w:val="21"/>
          <w:highlight w:val="none"/>
        </w:rPr>
        <w:sym w:font="Wingdings" w:char="00A8"/>
      </w:r>
      <w:r>
        <w:rPr>
          <w:rFonts w:hint="eastAsia" w:ascii="宋体" w:hAnsi="宋体"/>
          <w:color w:val="auto"/>
          <w:szCs w:val="21"/>
          <w:highlight w:val="none"/>
        </w:rPr>
        <w:t>不涉及</w:t>
      </w:r>
    </w:p>
    <w:p>
      <w:pPr>
        <w:numPr>
          <w:ilvl w:val="0"/>
          <w:numId w:val="7"/>
        </w:numPr>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pPr>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pPr>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pPr>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pPr>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pPr>
        <w:numPr>
          <w:ilvl w:val="255"/>
          <w:numId w:val="0"/>
        </w:numPr>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（2）合同定价方式（采用组合定价方式的，可以勾选多项）：</w:t>
      </w:r>
    </w:p>
    <w:p>
      <w:pPr>
        <w:snapToGrid w:val="0"/>
        <w:spacing w:line="400" w:lineRule="exact"/>
        <w:ind w:firstLine="420" w:firstLineChars="200"/>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pPr>
        <w:pStyle w:val="33"/>
        <w:spacing w:line="400" w:lineRule="exact"/>
        <w:rPr>
          <w:color w:val="auto"/>
          <w:highlight w:val="none"/>
        </w:rPr>
      </w:pPr>
      <w:r>
        <w:rPr>
          <w:rFonts w:hint="eastAsia" w:ascii="宋体" w:hAnsi="宋体"/>
          <w:color w:val="auto"/>
          <w:highlight w:val="none"/>
        </w:rPr>
        <w:t>（3）付款方式（按项目实际勾选填写）：</w:t>
      </w:r>
    </w:p>
    <w:p>
      <w:pPr>
        <w:snapToGrid w:val="0"/>
        <w:spacing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（应明确一次性支付合同款项的条件）                    </w:t>
      </w:r>
    </w:p>
    <w:p>
      <w:pPr>
        <w:snapToGrid w:val="0"/>
        <w:spacing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（应明确分期支付合同款项的各期比例和支付条件，各期支付条件应与分期履约验收情况挂钩） </w:t>
      </w:r>
      <w:r>
        <w:rPr>
          <w:rFonts w:hint="eastAsia" w:ascii="宋体" w:hAnsi="宋体"/>
          <w:color w:val="auto"/>
          <w:szCs w:val="21"/>
          <w:highlight w:val="none"/>
        </w:rPr>
        <w:t>，其中涉及预付款的：</w:t>
      </w:r>
      <w:r>
        <w:rPr>
          <w:rFonts w:hint="eastAsia" w:ascii="宋体" w:hAnsi="宋体"/>
          <w:color w:val="auto"/>
          <w:szCs w:val="21"/>
          <w:highlight w:val="none"/>
          <w:u w:val="single"/>
        </w:rPr>
        <w:t xml:space="preserve"> （应明确预付款的支付比例和支付条件） </w:t>
      </w:r>
    </w:p>
    <w:p>
      <w:pPr>
        <w:snapToGrid w:val="0"/>
        <w:spacing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pPr>
        <w:snapToGrid w:val="0"/>
        <w:spacing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pPr>
        <w:numPr>
          <w:ilvl w:val="0"/>
          <w:numId w:val="7"/>
        </w:numPr>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pPr>
        <w:pStyle w:val="32"/>
        <w:rPr>
          <w:rFonts w:ascii="宋体" w:hAnsi="宋体" w:eastAsia="宋体" w:cs="宋体"/>
          <w:color w:val="auto"/>
          <w:sz w:val="21"/>
          <w:highlight w:val="none"/>
        </w:rPr>
      </w:pPr>
      <w:r>
        <w:rPr>
          <w:rFonts w:hint="eastAsia" w:ascii="宋体" w:hAnsi="宋体" w:cs="宋体"/>
          <w:bCs/>
          <w:color w:val="auto"/>
          <w:highlight w:val="none"/>
        </w:rPr>
        <w:t xml:space="preserve">  </w:t>
      </w:r>
      <w:r>
        <w:rPr>
          <w:rFonts w:hint="eastAsia" w:ascii="宋体" w:hAnsi="宋体" w:eastAsia="宋体" w:cs="宋体"/>
          <w:color w:val="auto"/>
          <w:sz w:val="21"/>
          <w:highlight w:val="none"/>
        </w:rPr>
        <w:t xml:space="preserve">  收取履约保证金形式：</w:t>
      </w:r>
      <w:r>
        <w:rPr>
          <w:rFonts w:hint="eastAsia" w:ascii="宋体" w:hAnsi="宋体" w:eastAsia="宋体" w:cs="宋体"/>
          <w:bCs/>
          <w:color w:val="auto"/>
          <w:sz w:val="21"/>
          <w:highlight w:val="none"/>
          <w:u w:val="single"/>
        </w:rPr>
        <w:t xml:space="preserve">                            </w:t>
      </w:r>
    </w:p>
    <w:p>
      <w:pPr>
        <w:pStyle w:val="32"/>
        <w:ind w:firstLine="420"/>
        <w:rPr>
          <w:rFonts w:ascii="宋体" w:hAnsi="宋体" w:eastAsia="宋体" w:cs="宋体"/>
          <w:color w:val="auto"/>
          <w:sz w:val="21"/>
          <w:highlight w:val="none"/>
        </w:rPr>
      </w:pPr>
      <w:r>
        <w:rPr>
          <w:rFonts w:hint="eastAsia" w:ascii="宋体" w:hAnsi="宋体" w:eastAsia="宋体" w:cs="宋体"/>
          <w:color w:val="auto"/>
          <w:sz w:val="21"/>
          <w:highlight w:val="none"/>
        </w:rPr>
        <w:t xml:space="preserve">    收取履约保证金金额：</w:t>
      </w:r>
      <w:r>
        <w:rPr>
          <w:rFonts w:hint="eastAsia" w:ascii="宋体" w:hAnsi="宋体" w:eastAsia="宋体" w:cs="宋体"/>
          <w:bCs/>
          <w:color w:val="auto"/>
          <w:sz w:val="21"/>
          <w:highlight w:val="none"/>
          <w:u w:val="single"/>
        </w:rPr>
        <w:t xml:space="preserve">                            </w:t>
      </w:r>
    </w:p>
    <w:p>
      <w:pPr>
        <w:snapToGrid w:val="0"/>
        <w:spacing w:line="400" w:lineRule="exact"/>
        <w:ind w:firstLine="420" w:firstLineChars="200"/>
        <w:rPr>
          <w:rFonts w:ascii="宋体" w:hAnsi="宋体" w:cs="宋体"/>
          <w:color w:val="auto"/>
          <w:highlight w:val="none"/>
        </w:rPr>
      </w:pPr>
      <w:r>
        <w:rPr>
          <w:rFonts w:hint="eastAsia" w:ascii="宋体" w:hAnsi="宋体" w:cs="宋体"/>
          <w:bCs/>
          <w:color w:val="auto"/>
          <w:szCs w:val="21"/>
          <w:highlight w:val="none"/>
        </w:rPr>
        <w:t xml:space="preserve">    履约担保期限：</w:t>
      </w:r>
      <w:r>
        <w:rPr>
          <w:rFonts w:hint="eastAsia" w:ascii="宋体" w:hAnsi="宋体" w:cs="宋体"/>
          <w:bCs/>
          <w:color w:val="auto"/>
          <w:szCs w:val="21"/>
          <w:highlight w:val="none"/>
          <w:u w:val="single"/>
        </w:rPr>
        <w:t xml:space="preserve">                                  </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p>
    <w:p>
      <w:pPr>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（5）风险处置措施和替代方案：</w:t>
      </w:r>
      <w:r>
        <w:rPr>
          <w:rFonts w:hint="eastAsia" w:ascii="宋体" w:hAnsi="宋体" w:cs="宋体"/>
          <w:color w:val="auto"/>
          <w:szCs w:val="21"/>
          <w:highlight w:val="none"/>
          <w:u w:val="single"/>
        </w:rPr>
        <w:t xml:space="preserve">                                                               </w:t>
      </w:r>
    </w:p>
    <w:p>
      <w:pPr>
        <w:numPr>
          <w:ilvl w:val="0"/>
          <w:numId w:val="7"/>
        </w:numPr>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pPr>
        <w:numPr>
          <w:ilvl w:val="0"/>
          <w:numId w:val="9"/>
        </w:numPr>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pPr>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验收主体：</w:t>
      </w:r>
      <w:r>
        <w:rPr>
          <w:rFonts w:hint="eastAsia" w:ascii="宋体" w:hAnsi="宋体"/>
          <w:bCs/>
          <w:color w:val="auto"/>
          <w:szCs w:val="21"/>
          <w:highlight w:val="none"/>
          <w:u w:val="single"/>
        </w:rPr>
        <w:t xml:space="preserve">                  </w:t>
      </w:r>
    </w:p>
    <w:p>
      <w:pPr>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是否邀请本项目的其他供应商参加验收：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pPr>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pPr>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pPr>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pPr>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是否进行抽查检测：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pPr>
        <w:snapToGrid w:val="0"/>
        <w:spacing w:line="400" w:lineRule="exact"/>
        <w:ind w:firstLine="840" w:firstLineChars="400"/>
        <w:rPr>
          <w:rFonts w:ascii="宋体" w:hAnsi="宋体"/>
          <w:bCs/>
          <w:color w:val="auto"/>
          <w:szCs w:val="21"/>
          <w:highlight w:val="none"/>
          <w:u w:val="single"/>
        </w:rPr>
      </w:pPr>
      <w:r>
        <w:rPr>
          <w:rFonts w:hint="eastAsia" w:ascii="宋体" w:hAnsi="宋体"/>
          <w:bCs/>
          <w:color w:val="auto"/>
          <w:szCs w:val="21"/>
          <w:highlight w:val="none"/>
        </w:rPr>
        <w:t>是否存在破坏性检测：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u w:val="single"/>
        </w:rPr>
        <w:t>（应明确对被破坏的检测产品的处理方式）</w:t>
      </w:r>
    </w:p>
    <w:p>
      <w:pPr>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pPr>
        <w:snapToGrid w:val="0"/>
        <w:spacing w:line="400" w:lineRule="exact"/>
        <w:ind w:firstLine="840" w:firstLineChars="400"/>
        <w:rPr>
          <w:rFonts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pPr>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 xml:space="preserve">（计划于何时验收/供应商提出验收申请之日起   日内组织验收） </w:t>
      </w:r>
    </w:p>
    <w:p>
      <w:pPr>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pPr>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（应明确分期</w:t>
      </w:r>
      <w:r>
        <w:rPr>
          <w:rFonts w:ascii="宋体" w:hAnsi="宋体"/>
          <w:bCs/>
          <w:color w:val="auto"/>
          <w:szCs w:val="21"/>
          <w:highlight w:val="none"/>
          <w:u w:val="single"/>
          <w:lang w:val="en"/>
        </w:rPr>
        <w:t>/</w:t>
      </w:r>
      <w:r>
        <w:rPr>
          <w:rFonts w:hint="eastAsia" w:ascii="宋体" w:hAnsi="宋体"/>
          <w:bCs/>
          <w:color w:val="auto"/>
          <w:szCs w:val="21"/>
          <w:highlight w:val="none"/>
          <w:u w:val="single"/>
          <w:lang w:val="en"/>
        </w:rPr>
        <w:t>分项验收的工作安排</w:t>
      </w:r>
      <w:r>
        <w:rPr>
          <w:rFonts w:hint="eastAsia" w:ascii="宋体" w:hAnsi="宋体"/>
          <w:bCs/>
          <w:color w:val="auto"/>
          <w:szCs w:val="21"/>
          <w:highlight w:val="none"/>
          <w:u w:val="single"/>
        </w:rPr>
        <w:t xml:space="preserve">）  </w:t>
      </w:r>
    </w:p>
    <w:p>
      <w:pPr>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pPr>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（应当包括每一项技术和商务要求的履约情况，特别是落实政府采购扶持中小企业，支持绿色发展和乡村振兴等政策情况）                                      </w:t>
      </w:r>
    </w:p>
    <w:p>
      <w:pPr>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pPr>
        <w:pStyle w:val="32"/>
        <w:ind w:firstLine="420"/>
        <w:rPr>
          <w:rFonts w:ascii="宋体" w:hAnsi="宋体" w:eastAsia="宋体" w:cs="宋体"/>
          <w:color w:val="auto"/>
          <w:sz w:val="21"/>
          <w:highlight w:val="none"/>
        </w:rPr>
      </w:pPr>
      <w:r>
        <w:rPr>
          <w:rFonts w:hint="eastAsia" w:ascii="宋体" w:hAnsi="宋体" w:eastAsia="宋体" w:cs="宋体"/>
          <w:bCs/>
          <w:color w:val="auto"/>
          <w:sz w:val="21"/>
          <w:highlight w:val="none"/>
        </w:rPr>
        <w:t>（7）是否以采购活动中供应商提供的样品作为参考：</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 xml:space="preserve">是  </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否</w:t>
      </w:r>
    </w:p>
    <w:p>
      <w:pPr>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（产权过户登记等）          </w:t>
      </w:r>
    </w:p>
    <w:p>
      <w:pPr>
        <w:numPr>
          <w:ilvl w:val="0"/>
          <w:numId w:val="7"/>
        </w:numPr>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（1）政府采购合同协议书及其变更、补充协议</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（2）政府采购合同专用条款</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（3）政府采购合同通用条款</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（4）中标（成交）通知书</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（5）投标（响应）文件</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pPr>
        <w:pStyle w:val="32"/>
        <w:ind w:firstLine="420"/>
        <w:rPr>
          <w:rFonts w:ascii="宋体" w:hAnsi="宋体" w:eastAsia="宋体" w:cs="宋体"/>
          <w:color w:val="auto"/>
          <w:kern w:val="2"/>
          <w:sz w:val="21"/>
          <w:highlight w:val="none"/>
        </w:rPr>
      </w:pPr>
      <w:r>
        <w:rPr>
          <w:rFonts w:hint="eastAsia" w:ascii="宋体" w:hAnsi="宋体" w:eastAsia="宋体" w:cs="宋体"/>
          <w:color w:val="auto"/>
          <w:sz w:val="21"/>
          <w:highlight w:val="none"/>
        </w:rPr>
        <w:t>（8）</w:t>
      </w:r>
      <w:r>
        <w:rPr>
          <w:rFonts w:hint="eastAsia" w:ascii="宋体" w:hAnsi="宋体" w:eastAsia="宋体" w:cs="宋体"/>
          <w:color w:val="auto"/>
          <w:kern w:val="2"/>
          <w:sz w:val="21"/>
          <w:highlight w:val="none"/>
        </w:rPr>
        <w:t>国家法律、行政法规和规章制度规定或合同约定的作为合同组成部分的其他文件</w:t>
      </w:r>
    </w:p>
    <w:p>
      <w:pPr>
        <w:numPr>
          <w:ilvl w:val="0"/>
          <w:numId w:val="7"/>
        </w:numPr>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pPr>
        <w:numPr>
          <w:ilvl w:val="0"/>
          <w:numId w:val="7"/>
        </w:numPr>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份，甲方执</w:t>
      </w:r>
      <w:r>
        <w:rPr>
          <w:rFonts w:hint="eastAsia" w:ascii="宋体" w:hAnsi="宋体"/>
          <w:color w:val="auto"/>
          <w:szCs w:val="21"/>
          <w:highlight w:val="none"/>
          <w:u w:val="single"/>
        </w:rPr>
        <w:t xml:space="preserve">    </w:t>
      </w:r>
      <w:r>
        <w:rPr>
          <w:rFonts w:hint="eastAsia" w:ascii="宋体" w:hAnsi="宋体"/>
          <w:color w:val="auto"/>
          <w:szCs w:val="21"/>
          <w:highlight w:val="none"/>
        </w:rPr>
        <w:t>份，乙方执</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pPr>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pPr>
        <w:pStyle w:val="33"/>
        <w:spacing w:line="400" w:lineRule="exact"/>
        <w:rPr>
          <w:color w:val="auto"/>
          <w:highlight w:val="none"/>
        </w:rPr>
      </w:pPr>
    </w:p>
    <w:p>
      <w:pPr>
        <w:pStyle w:val="5"/>
        <w:spacing w:line="400" w:lineRule="exact"/>
        <w:rPr>
          <w:rFonts w:ascii="宋体" w:hAnsi="宋体"/>
          <w:b w:val="0"/>
          <w:bCs w:val="0"/>
          <w:color w:val="auto"/>
          <w:sz w:val="21"/>
          <w:szCs w:val="21"/>
          <w:highlight w:val="none"/>
          <w:lang w:val="en-US"/>
        </w:rPr>
      </w:pPr>
      <w:r>
        <w:rPr>
          <w:color w:val="auto"/>
          <w:highlight w:val="none"/>
          <w:lang w:val="en"/>
        </w:rPr>
        <w:t xml:space="preserve">   </w:t>
      </w:r>
    </w:p>
    <w:p>
      <w:pPr>
        <w:rPr>
          <w:color w:val="auto"/>
          <w:highlight w:val="none"/>
        </w:rPr>
      </w:pPr>
      <w:r>
        <w:rPr>
          <w:rFonts w:hint="eastAsia"/>
          <w:color w:val="auto"/>
          <w:highlight w:val="none"/>
        </w:rPr>
        <w:br w:type="page"/>
      </w:r>
    </w:p>
    <w:p>
      <w:pPr>
        <w:pStyle w:val="33"/>
        <w:rPr>
          <w:color w:val="auto"/>
          <w:highlight w:val="none"/>
        </w:rPr>
      </w:pPr>
    </w:p>
    <w:tbl>
      <w:tblPr>
        <w:tblStyle w:val="1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rPr>
              <w:t>、受采购人委托签订合同的单位或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法定代表人</w:t>
            </w:r>
          </w:p>
          <w:p>
            <w:pPr>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法定代表人</w:t>
            </w:r>
          </w:p>
          <w:p>
            <w:pPr>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
              <w:snapToGrid w:val="0"/>
              <w:spacing w:before="120" w:beforeLines="50" w:line="360" w:lineRule="auto"/>
              <w:jc w:val="left"/>
              <w:rPr>
                <w:color w:val="auto"/>
                <w:spacing w:val="20"/>
                <w:szCs w:val="21"/>
                <w:highlight w:val="none"/>
              </w:rPr>
            </w:pPr>
            <w:r>
              <w:rPr>
                <w:rFonts w:hint="eastAsia"/>
                <w:color w:val="auto"/>
                <w:szCs w:val="21"/>
                <w:highlight w:val="none"/>
              </w:rPr>
              <w:t>注：涉及联合体或其他合同主体的信息应按上表格式加列。</w:t>
            </w:r>
          </w:p>
        </w:tc>
      </w:tr>
    </w:tbl>
    <w:p>
      <w:pPr>
        <w:pStyle w:val="5"/>
        <w:adjustRightInd w:val="0"/>
        <w:snapToGrid w:val="0"/>
        <w:spacing w:before="120"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6" w:name="_Toc27624"/>
      <w:r>
        <w:rPr>
          <w:rFonts w:hint="eastAsia" w:ascii="黑体" w:hAnsi="黑体" w:eastAsia="黑体"/>
          <w:b w:val="0"/>
          <w:bCs w:val="0"/>
          <w:color w:val="auto"/>
          <w:sz w:val="28"/>
          <w:szCs w:val="28"/>
          <w:highlight w:val="none"/>
        </w:rPr>
        <w:t>第二节 政府采购合同通用条款</w:t>
      </w:r>
      <w:bookmarkEnd w:id="46"/>
    </w:p>
    <w:p>
      <w:pPr>
        <w:tabs>
          <w:tab w:val="left" w:pos="8820"/>
          <w:tab w:val="left" w:pos="9345"/>
          <w:tab w:val="left" w:pos="9765"/>
        </w:tabs>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pPr>
        <w:tabs>
          <w:tab w:val="left" w:pos="570"/>
          <w:tab w:val="left" w:pos="9240"/>
          <w:tab w:val="left" w:pos="9555"/>
        </w:tabs>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pPr>
        <w:numPr>
          <w:ilvl w:val="0"/>
          <w:numId w:val="10"/>
        </w:numPr>
        <w:autoSpaceDE w:val="0"/>
        <w:autoSpaceDN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pPr>
        <w:autoSpaceDE w:val="0"/>
        <w:autoSpaceDN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pPr>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p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pPr>
        <w:autoSpaceDE w:val="0"/>
        <w:autoSpaceDN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p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pPr>
        <w:pStyle w:val="9"/>
        <w:spacing w:line="400" w:lineRule="exact"/>
        <w:ind w:firstLine="422" w:firstLineChars="176"/>
        <w:rPr>
          <w:rFonts w:hAnsi="宋体" w:cs="宋体"/>
          <w:color w:val="auto"/>
          <w:highlight w:val="none"/>
        </w:rPr>
      </w:pPr>
      <w:r>
        <w:rPr>
          <w:rFonts w:hint="eastAsia" w:hAnsi="宋体"/>
          <w:color w:val="auto"/>
          <w:highlight w:val="none"/>
        </w:rPr>
        <w:t>5.</w:t>
      </w:r>
      <w:r>
        <w:rPr>
          <w:rFonts w:hAnsi="宋体"/>
          <w:color w:val="auto"/>
          <w:highlight w:val="none"/>
        </w:rPr>
        <w:t>3</w:t>
      </w:r>
      <w:r>
        <w:rPr>
          <w:rFonts w:hint="eastAsia" w:hAnsi="宋体"/>
          <w:color w:val="auto"/>
          <w:highlight w:val="none"/>
        </w:rPr>
        <w:t>乙方有权</w:t>
      </w:r>
      <w:r>
        <w:rPr>
          <w:rFonts w:hint="eastAsia" w:hAnsi="宋体" w:cs="宋体"/>
          <w:color w:val="auto"/>
          <w:highlight w:val="none"/>
        </w:rPr>
        <w:t>根据合同约定向甲方收取合同价款。</w:t>
      </w:r>
    </w:p>
    <w:p>
      <w:pPr>
        <w:pStyle w:val="9"/>
        <w:spacing w:line="400" w:lineRule="exact"/>
        <w:ind w:firstLine="422" w:firstLineChars="176"/>
        <w:rPr>
          <w:rFonts w:hAnsi="宋体" w:cs="宋体"/>
          <w:color w:val="auto"/>
          <w:highlight w:val="none"/>
        </w:rPr>
      </w:pPr>
      <w:r>
        <w:rPr>
          <w:rFonts w:hint="eastAsia" w:hAnsi="宋体"/>
          <w:color w:val="auto"/>
          <w:highlight w:val="none"/>
        </w:rPr>
        <w:t>5.</w:t>
      </w:r>
      <w:r>
        <w:rPr>
          <w:rFonts w:hAnsi="宋体"/>
          <w:color w:val="auto"/>
          <w:highlight w:val="none"/>
        </w:rPr>
        <w:t>4</w:t>
      </w:r>
      <w:r>
        <w:rPr>
          <w:rFonts w:hint="eastAsia" w:hAnsi="宋体" w:cs="宋体"/>
          <w:color w:val="auto"/>
          <w:highlight w:val="none"/>
        </w:rPr>
        <w:t>国家法律法规规定</w:t>
      </w:r>
      <w:r>
        <w:rPr>
          <w:rFonts w:hint="eastAsia" w:hAnsi="宋体"/>
          <w:color w:val="auto"/>
          <w:highlight w:val="none"/>
        </w:rPr>
        <w:t>及</w:t>
      </w:r>
      <w:r>
        <w:rPr>
          <w:rFonts w:hint="eastAsia" w:hAnsi="宋体" w:cs="宋体"/>
          <w:b/>
          <w:bCs/>
          <w:color w:val="auto"/>
          <w:highlight w:val="none"/>
        </w:rPr>
        <w:t>【政府采购合同专用条款】</w:t>
      </w:r>
      <w:r>
        <w:rPr>
          <w:rFonts w:hint="eastAsia" w:hAnsi="宋体" w:cs="宋体"/>
          <w:color w:val="auto"/>
          <w:highlight w:val="none"/>
        </w:rPr>
        <w:t>约定应由乙方承担的其他义务和责任。</w:t>
      </w:r>
    </w:p>
    <w:p>
      <w:pPr>
        <w:numPr>
          <w:ilvl w:val="0"/>
          <w:numId w:val="11"/>
        </w:num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pPr>
        <w:autoSpaceDE w:val="0"/>
        <w:autoSpaceDN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pPr>
        <w:pStyle w:val="32"/>
        <w:ind w:firstLine="420"/>
        <w:rPr>
          <w:color w:val="auto"/>
          <w:sz w:val="21"/>
          <w:highlight w:val="none"/>
        </w:rPr>
      </w:pPr>
      <w:r>
        <w:rPr>
          <w:rFonts w:hint="eastAsia" w:ascii="宋体" w:hAnsi="宋体" w:eastAsia="宋体" w:cs="Times New Roman"/>
          <w:color w:val="auto"/>
          <w:kern w:val="2"/>
          <w:sz w:val="21"/>
          <w:highlight w:val="none"/>
        </w:rPr>
        <w:t>7.6 如因包装、运输问题导致货物损毁、丢失或者品质下降，甲方有权要求降价、换货、拒收部分或整批货物，由此产生的费用和损失，均由乙方承担。</w:t>
      </w:r>
    </w:p>
    <w:p>
      <w:pPr>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pPr>
        <w:pStyle w:val="11"/>
        <w:snapToGrid w:val="0"/>
        <w:spacing w:line="400" w:lineRule="exact"/>
        <w:ind w:firstLine="420" w:firstLineChars="200"/>
        <w:jc w:val="left"/>
        <w:rPr>
          <w:rFonts w:hAnsi="宋体"/>
          <w:b/>
          <w:color w:val="auto"/>
          <w:highlight w:val="none"/>
        </w:rPr>
      </w:pPr>
      <w:r>
        <w:rPr>
          <w:rFonts w:hint="eastAsia" w:hAnsi="宋体"/>
          <w:color w:val="auto"/>
          <w:highlight w:val="none"/>
        </w:rPr>
        <w:t>8.1 质量标准</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11"/>
        <w:snapToGrid w:val="0"/>
        <w:spacing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p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bookmarkStart w:id="47" w:name="_Hlk163047038"/>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7"/>
      <w:r>
        <w:rPr>
          <w:rFonts w:hint="eastAsia" w:ascii="宋体" w:hAnsi="宋体"/>
          <w:color w:val="auto"/>
          <w:szCs w:val="21"/>
          <w:highlight w:val="none"/>
        </w:rPr>
        <w:t>。</w:t>
      </w:r>
    </w:p>
    <w:p>
      <w:p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pPr>
        <w:autoSpaceDE w:val="0"/>
        <w:autoSpaceDN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p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pPr>
        <w:pStyle w:val="5"/>
        <w:spacing w:line="400" w:lineRule="exact"/>
        <w:ind w:firstLine="420" w:firstLineChars="200"/>
        <w:rPr>
          <w:rFonts w:eastAsia="宋体"/>
          <w:color w:val="auto"/>
          <w:highlight w:val="none"/>
        </w:rPr>
      </w:pPr>
      <w:r>
        <w:rPr>
          <w:rFonts w:hint="eastAsia" w:ascii="宋体" w:hAnsi="宋体"/>
          <w:b w:val="0"/>
          <w:bCs w:val="0"/>
          <w:color w:val="auto"/>
          <w:sz w:val="21"/>
          <w:szCs w:val="21"/>
          <w:highlight w:val="none"/>
          <w:lang w:val="en-US"/>
        </w:rPr>
        <w:t xml:space="preserve">12.2 </w:t>
      </w:r>
      <w:r>
        <w:rPr>
          <w:rFonts w:hint="eastAsia" w:ascii="宋体" w:hAnsi="宋体" w:eastAsia="宋体"/>
          <w:b w:val="0"/>
          <w:bCs w:val="0"/>
          <w:color w:val="auto"/>
          <w:sz w:val="21"/>
          <w:szCs w:val="21"/>
          <w:highlight w:val="none"/>
        </w:rPr>
        <w:t>对于满足合同约定支付条件的，</w:t>
      </w:r>
      <w:r>
        <w:rPr>
          <w:rFonts w:hint="eastAsia" w:ascii="宋体" w:hAnsi="宋体" w:eastAsia="宋体"/>
          <w:b w:val="0"/>
          <w:bCs w:val="0"/>
          <w:color w:val="auto"/>
          <w:sz w:val="21"/>
          <w:szCs w:val="21"/>
          <w:highlight w:val="none"/>
          <w:lang w:val="en-US"/>
        </w:rPr>
        <w:t>甲方</w:t>
      </w:r>
      <w:r>
        <w:rPr>
          <w:rFonts w:hint="eastAsia" w:ascii="宋体" w:hAnsi="宋体" w:eastAsia="宋体"/>
          <w:b w:val="0"/>
          <w:bCs w:val="0"/>
          <w:color w:val="auto"/>
          <w:sz w:val="21"/>
          <w:szCs w:val="21"/>
          <w:highlight w:val="none"/>
        </w:rPr>
        <w:t>原则上应当自收到发票后10个工作日内将资金支付到合同约定的</w:t>
      </w:r>
      <w:r>
        <w:rPr>
          <w:rFonts w:hint="eastAsia" w:ascii="宋体" w:hAnsi="宋体"/>
          <w:b w:val="0"/>
          <w:bCs w:val="0"/>
          <w:color w:val="auto"/>
          <w:sz w:val="21"/>
          <w:szCs w:val="21"/>
          <w:highlight w:val="none"/>
        </w:rPr>
        <w:t>乙方</w:t>
      </w:r>
      <w:r>
        <w:rPr>
          <w:rFonts w:hint="eastAsia" w:ascii="宋体" w:hAnsi="宋体" w:eastAsia="宋体"/>
          <w:b w:val="0"/>
          <w:bCs w:val="0"/>
          <w:color w:val="auto"/>
          <w:sz w:val="21"/>
          <w:szCs w:val="21"/>
          <w:highlight w:val="none"/>
        </w:rPr>
        <w:t>账户，不得以机构变动、人员更替、政策调整等为由迟延付款，不得将采购文件和合同中未规定的义务作为向</w:t>
      </w:r>
      <w:r>
        <w:rPr>
          <w:rFonts w:hint="eastAsia" w:ascii="宋体" w:hAnsi="宋体" w:eastAsia="宋体"/>
          <w:b w:val="0"/>
          <w:bCs w:val="0"/>
          <w:color w:val="auto"/>
          <w:sz w:val="21"/>
          <w:szCs w:val="21"/>
          <w:highlight w:val="none"/>
          <w:lang w:val="en-US"/>
        </w:rPr>
        <w:t>乙方</w:t>
      </w:r>
      <w:r>
        <w:rPr>
          <w:rFonts w:hint="eastAsia" w:ascii="宋体" w:hAnsi="宋体" w:eastAsia="宋体"/>
          <w:b w:val="0"/>
          <w:bCs w:val="0"/>
          <w:color w:val="auto"/>
          <w:sz w:val="21"/>
          <w:szCs w:val="21"/>
          <w:highlight w:val="none"/>
        </w:rPr>
        <w:t>付款的条件。具体合同价款支付时间在【</w:t>
      </w:r>
      <w:r>
        <w:rPr>
          <w:rFonts w:hint="eastAsia" w:ascii="宋体" w:hAnsi="宋体" w:eastAsia="宋体"/>
          <w:color w:val="auto"/>
          <w:sz w:val="21"/>
          <w:szCs w:val="21"/>
          <w:highlight w:val="none"/>
        </w:rPr>
        <w:t>政府采购合同专用条款</w:t>
      </w:r>
      <w:r>
        <w:rPr>
          <w:rFonts w:hint="eastAsia" w:ascii="宋体" w:hAnsi="宋体" w:eastAsia="宋体"/>
          <w:b w:val="0"/>
          <w:bCs w:val="0"/>
          <w:color w:val="auto"/>
          <w:sz w:val="21"/>
          <w:szCs w:val="21"/>
          <w:highlight w:val="none"/>
        </w:rPr>
        <w:t>】中</w:t>
      </w:r>
      <w:r>
        <w:rPr>
          <w:rFonts w:hint="eastAsia" w:ascii="宋体" w:hAnsi="宋体"/>
          <w:b w:val="0"/>
          <w:bCs w:val="0"/>
          <w:color w:val="auto"/>
          <w:sz w:val="21"/>
          <w:szCs w:val="21"/>
          <w:highlight w:val="none"/>
        </w:rPr>
        <w:t>约</w:t>
      </w:r>
      <w:r>
        <w:rPr>
          <w:rFonts w:hint="eastAsia" w:ascii="宋体" w:hAnsi="宋体" w:eastAsia="宋体"/>
          <w:b w:val="0"/>
          <w:bCs w:val="0"/>
          <w:color w:val="auto"/>
          <w:sz w:val="21"/>
          <w:szCs w:val="21"/>
          <w:highlight w:val="none"/>
        </w:rPr>
        <w:t>定。</w:t>
      </w:r>
    </w:p>
    <w:p>
      <w:pPr>
        <w:pStyle w:val="9"/>
        <w:spacing w:line="400" w:lineRule="exact"/>
        <w:rPr>
          <w:rFonts w:hAnsi="宋体"/>
          <w:b/>
          <w:bCs/>
          <w:color w:val="auto"/>
          <w:szCs w:val="24"/>
          <w:highlight w:val="none"/>
        </w:rPr>
      </w:pPr>
      <w:r>
        <w:rPr>
          <w:rFonts w:hint="eastAsia" w:hAnsi="宋体"/>
          <w:b/>
          <w:bCs/>
          <w:color w:val="auto"/>
          <w:szCs w:val="24"/>
          <w:highlight w:val="none"/>
        </w:rPr>
        <w:t>13.</w:t>
      </w:r>
      <w:r>
        <w:rPr>
          <w:rFonts w:hint="eastAsia" w:hAnsi="宋体"/>
          <w:b/>
          <w:bCs/>
          <w:color w:val="auto"/>
          <w:szCs w:val="24"/>
          <w:highlight w:val="none"/>
          <w:lang w:val="en-US"/>
        </w:rPr>
        <w:t xml:space="preserve"> </w:t>
      </w:r>
      <w:r>
        <w:rPr>
          <w:rFonts w:hint="eastAsia" w:hAnsi="宋体"/>
          <w:b/>
          <w:bCs/>
          <w:color w:val="auto"/>
          <w:szCs w:val="24"/>
          <w:highlight w:val="none"/>
        </w:rPr>
        <w:t>履约保证金</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乙方应当以支票、汇票、本票或者金融机构、担保机构出具的保函等非现金形式提交。</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pPr>
        <w:pStyle w:val="32"/>
        <w:ind w:firstLine="420"/>
        <w:rPr>
          <w:rFonts w:ascii="宋体" w:hAnsi="宋体" w:eastAsia="宋体" w:cs="宋体"/>
          <w:color w:val="auto"/>
          <w:sz w:val="21"/>
          <w:highlight w:val="none"/>
        </w:rPr>
      </w:pPr>
      <w:r>
        <w:rPr>
          <w:rFonts w:hint="eastAsia" w:ascii="宋体" w:hAnsi="宋体" w:eastAsia="宋体" w:cs="宋体"/>
          <w:color w:val="auto"/>
          <w:sz w:val="21"/>
          <w:highlight w:val="none"/>
        </w:rPr>
        <w:t>（5）依照法律、行政法规的规定或者按照</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约定，货物在有效使用年限届满后应予回收的，乙方负有自行或者委托第三人对货物予以回收的义务；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pPr>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pPr>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pPr>
        <w:autoSpaceDE w:val="0"/>
        <w:autoSpaceDN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12"/>
        </w:numPr>
        <w:autoSpaceDE w:val="0"/>
        <w:autoSpaceDN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    16.1合同的变更</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32"/>
        <w:ind w:firstLine="420"/>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pPr>
        <w:pStyle w:val="32"/>
        <w:rPr>
          <w:rFonts w:ascii="宋体" w:hAnsi="宋体"/>
          <w:color w:val="auto"/>
          <w:highlight w:val="none"/>
        </w:rPr>
      </w:pPr>
      <w:r>
        <w:rPr>
          <w:rFonts w:hint="eastAsia" w:ascii="宋体" w:hAnsi="宋体"/>
          <w:color w:val="auto"/>
          <w:highlight w:val="none"/>
        </w:rPr>
        <w:t xml:space="preserve">16.4 </w:t>
      </w:r>
      <w:r>
        <w:rPr>
          <w:rFonts w:hint="eastAsia" w:ascii="宋体" w:hAnsi="宋体" w:eastAsia="宋体" w:cs="Times New Roman"/>
          <w:color w:val="auto"/>
          <w:kern w:val="2"/>
          <w:sz w:val="21"/>
          <w:highlight w:val="none"/>
        </w:rPr>
        <w:t>涉及国家利益、社会公共利益的情形</w:t>
      </w:r>
    </w:p>
    <w:p>
      <w:pPr>
        <w:pStyle w:val="32"/>
        <w:ind w:firstLine="420"/>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pPr>
        <w:pStyle w:val="32"/>
        <w:ind w:firstLine="420"/>
        <w:jc w:val="both"/>
        <w:rPr>
          <w:rFonts w:ascii="宋体" w:hAnsi="宋体" w:eastAsia="宋体" w:cs="宋体"/>
          <w:color w:val="auto"/>
          <w:sz w:val="21"/>
          <w:highlight w:val="none"/>
        </w:rPr>
      </w:pPr>
      <w:r>
        <w:rPr>
          <w:rFonts w:hint="eastAsia" w:ascii="宋体" w:hAnsi="宋体" w:eastAsia="宋体" w:cs="宋体"/>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pPr>
        <w:pStyle w:val="32"/>
        <w:ind w:firstLine="420"/>
        <w:jc w:val="both"/>
        <w:rPr>
          <w:rFonts w:ascii="宋体" w:hAnsi="宋体" w:eastAsia="宋体" w:cs="宋体"/>
          <w:color w:val="auto"/>
          <w:sz w:val="21"/>
          <w:highlight w:val="none"/>
        </w:rPr>
      </w:pPr>
      <w:r>
        <w:rPr>
          <w:rFonts w:hint="eastAsia" w:ascii="宋体" w:hAnsi="宋体" w:eastAsia="宋体" w:cs="宋体"/>
          <w:color w:val="auto"/>
          <w:sz w:val="21"/>
          <w:highlight w:val="none"/>
        </w:rPr>
        <w:t>19.2 选择仲裁的，应在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pPr>
        <w:pStyle w:val="32"/>
        <w:ind w:firstLine="420"/>
        <w:jc w:val="both"/>
        <w:rPr>
          <w:rFonts w:ascii="宋体" w:hAnsi="宋体" w:eastAsia="宋体" w:cs="宋体"/>
          <w:color w:val="auto"/>
          <w:sz w:val="21"/>
          <w:highlight w:val="none"/>
        </w:rPr>
      </w:pPr>
      <w:r>
        <w:rPr>
          <w:rFonts w:hint="eastAsia" w:ascii="宋体" w:hAnsi="宋体" w:eastAsia="宋体" w:cs="宋体"/>
          <w:color w:val="auto"/>
          <w:sz w:val="21"/>
          <w:highlight w:val="none"/>
        </w:rPr>
        <w:t>19.3 如甲乙双方有争议的事项不影响合同其他部分的履行，在争议解决期间，合同其他部分应当继续履行。</w:t>
      </w:r>
    </w:p>
    <w:p>
      <w:pPr>
        <w:autoSpaceDE w:val="0"/>
        <w:autoSpaceDN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pPr>
        <w:autoSpaceDE w:val="0"/>
        <w:autoSpaceDN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pPr>
        <w:autoSpaceDE w:val="0"/>
        <w:autoSpaceDN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9"/>
        <w:spacing w:line="400" w:lineRule="exact"/>
        <w:ind w:firstLine="480" w:firstLineChars="200"/>
        <w:rPr>
          <w:color w:val="auto"/>
          <w:highlight w:val="none"/>
        </w:rPr>
      </w:pPr>
      <w:r>
        <w:rPr>
          <w:rFonts w:hAnsi="宋体"/>
          <w:color w:val="auto"/>
          <w:highlight w:val="none"/>
        </w:rPr>
        <w:t>2</w:t>
      </w:r>
      <w:r>
        <w:rPr>
          <w:rFonts w:hint="eastAsia" w:hAnsi="宋体"/>
          <w:color w:val="auto"/>
          <w:highlight w:val="none"/>
          <w:lang w:val="en-US"/>
        </w:rPr>
        <w:t>0</w:t>
      </w:r>
      <w:r>
        <w:rPr>
          <w:rFonts w:hint="eastAsia" w:hAnsi="宋体"/>
          <w:color w:val="auto"/>
          <w:highlight w:val="none"/>
        </w:rPr>
        <w:t>.</w:t>
      </w:r>
      <w:r>
        <w:rPr>
          <w:rFonts w:hint="eastAsia" w:hAnsi="宋体"/>
          <w:color w:val="auto"/>
          <w:highlight w:val="none"/>
          <w:lang w:val="en-US"/>
        </w:rPr>
        <w:t>3</w:t>
      </w:r>
      <w:r>
        <w:rPr>
          <w:rFonts w:hint="eastAsia" w:hAnsi="宋体"/>
          <w:color w:val="auto"/>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pPr>
        <w:pStyle w:val="32"/>
        <w:ind w:firstLine="420"/>
        <w:jc w:val="both"/>
        <w:rPr>
          <w:rFonts w:ascii="宋体" w:hAnsi="宋体" w:eastAsia="宋体" w:cs="宋体"/>
          <w:color w:val="auto"/>
          <w:sz w:val="21"/>
          <w:highlight w:val="none"/>
        </w:rPr>
      </w:pPr>
      <w:r>
        <w:rPr>
          <w:rFonts w:hint="eastAsia" w:ascii="宋体" w:hAnsi="宋体" w:eastAsia="宋体" w:cs="宋体"/>
          <w:color w:val="auto"/>
          <w:sz w:val="21"/>
          <w:highlight w:val="none"/>
        </w:rPr>
        <w:t>21.1 本合同的订立、生效、解释、履行及与本合同有关的争议解决，均适用法律、行政法规。</w:t>
      </w:r>
    </w:p>
    <w:p>
      <w:pPr>
        <w:pStyle w:val="32"/>
        <w:ind w:firstLine="420"/>
        <w:jc w:val="both"/>
        <w:rPr>
          <w:rFonts w:ascii="宋体" w:hAnsi="宋体" w:eastAsia="宋体" w:cs="宋体"/>
          <w:color w:val="auto"/>
          <w:sz w:val="21"/>
          <w:highlight w:val="none"/>
        </w:rPr>
      </w:pPr>
      <w:r>
        <w:rPr>
          <w:rFonts w:hint="eastAsia" w:ascii="宋体" w:hAnsi="宋体" w:eastAsia="宋体" w:cs="宋体"/>
          <w:color w:val="auto"/>
          <w:sz w:val="21"/>
          <w:highlight w:val="none"/>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pPr>
        <w:pStyle w:val="32"/>
        <w:ind w:firstLine="420"/>
        <w:jc w:val="both"/>
        <w:rPr>
          <w:rFonts w:ascii="宋体" w:hAnsi="宋体" w:eastAsia="宋体" w:cs="宋体"/>
          <w:color w:val="auto"/>
          <w:sz w:val="21"/>
          <w:highlight w:val="none"/>
        </w:rPr>
      </w:pPr>
      <w:r>
        <w:rPr>
          <w:rFonts w:hint="eastAsia" w:ascii="宋体" w:hAnsi="宋体" w:eastAsia="宋体" w:cs="宋体"/>
          <w:color w:val="auto"/>
          <w:sz w:val="21"/>
          <w:highlight w:val="none"/>
        </w:rPr>
        <w:t>22.1 本合同任何一方向对方发出的通知、信件、数据电文等，应当发送至本合同第一部分《政府采购合同协议书》所约定的通讯地址、联系人、联系电话或电子邮箱。</w:t>
      </w:r>
    </w:p>
    <w:p>
      <w:pPr>
        <w:pStyle w:val="32"/>
        <w:ind w:firstLine="0" w:firstLineChars="0"/>
        <w:jc w:val="both"/>
        <w:rPr>
          <w:color w:val="auto"/>
          <w:sz w:val="21"/>
          <w:highlight w:val="none"/>
        </w:rPr>
      </w:pPr>
      <w:r>
        <w:rPr>
          <w:rFonts w:hint="eastAsia" w:ascii="宋体" w:hAnsi="宋体" w:eastAsia="宋体" w:cs="宋体"/>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pP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pPr>
        <w:numPr>
          <w:ilvl w:val="0"/>
          <w:numId w:val="13"/>
        </w:numPr>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pPr>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bookmarkStart w:id="48" w:name="_Toc20313"/>
    </w:p>
    <w:p>
      <w:pPr>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p>
    <w:p>
      <w:pPr>
        <w:pStyle w:val="5"/>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8"/>
    </w:p>
    <w:tbl>
      <w:tblPr>
        <w:tblStyle w:val="1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第1.2（6）项</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联合体具体要求</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第1.2（7）项</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其他术语解释</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第4.4款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履约验收中甲方提出异议或作出说明的期限</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第4.6款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约定甲方承担的其他义务和责任</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color w:val="auto"/>
                <w:highlight w:val="none"/>
              </w:rPr>
            </w:pPr>
            <w:r>
              <w:rPr>
                <w:rFonts w:hint="eastAsia" w:ascii="宋体" w:hAnsi="宋体"/>
                <w:color w:val="auto"/>
                <w:szCs w:val="21"/>
                <w:highlight w:val="none"/>
              </w:rPr>
              <w:t>第5.4款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约定乙方承担的其他义务和责任</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第6.1款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履行合同义务的顺序</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第7.1款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包装特殊要求</w:t>
            </w:r>
          </w:p>
        </w:tc>
        <w:tc>
          <w:tcPr>
            <w:tcW w:w="5170" w:type="dxa"/>
            <w:vAlign w:val="center"/>
          </w:tcPr>
          <w:p>
            <w:pPr>
              <w:rPr>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ascii="宋体" w:hAnsi="宋体"/>
                <w:color w:val="auto"/>
                <w:szCs w:val="21"/>
                <w:highlight w:val="none"/>
              </w:rPr>
            </w:pP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指定现场</w:t>
            </w:r>
          </w:p>
        </w:tc>
        <w:tc>
          <w:tcPr>
            <w:tcW w:w="5170" w:type="dxa"/>
            <w:vAlign w:val="center"/>
          </w:tcPr>
          <w:p>
            <w:pPr>
              <w:rPr>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第7.2款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运输特殊要求</w:t>
            </w:r>
          </w:p>
        </w:tc>
        <w:tc>
          <w:tcPr>
            <w:tcW w:w="5170" w:type="dxa"/>
            <w:vAlign w:val="center"/>
          </w:tcPr>
          <w:p>
            <w:pPr>
              <w:rPr>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第7.3款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保险要求</w:t>
            </w:r>
          </w:p>
        </w:tc>
        <w:tc>
          <w:tcPr>
            <w:tcW w:w="5170" w:type="dxa"/>
            <w:vAlign w:val="center"/>
          </w:tcPr>
          <w:p>
            <w:pPr>
              <w:rPr>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第8.2（1）项</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pPr>
              <w:autoSpaceDE w:val="0"/>
              <w:autoSpaceDN w:val="0"/>
              <w:snapToGrid w:val="0"/>
              <w:ind w:firstLine="420" w:firstLineChars="20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第8.2（3）项</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货物质量缺陷</w:t>
            </w:r>
          </w:p>
          <w:p>
            <w:pPr>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第二节</w:t>
            </w:r>
          </w:p>
          <w:p>
            <w:pPr>
              <w:pStyle w:val="32"/>
              <w:ind w:firstLine="0" w:firstLineChars="0"/>
              <w:jc w:val="center"/>
              <w:rPr>
                <w:color w:val="auto"/>
                <w:highlight w:val="none"/>
              </w:rPr>
            </w:pPr>
            <w:r>
              <w:rPr>
                <w:rFonts w:hint="eastAsia" w:ascii="宋体" w:hAnsi="宋体" w:eastAsia="宋体" w:cs="宋体"/>
                <w:color w:val="auto"/>
                <w:highlight w:val="none"/>
              </w:rPr>
              <w:t>第11.1款</w:t>
            </w:r>
          </w:p>
        </w:tc>
        <w:tc>
          <w:tcPr>
            <w:tcW w:w="1742" w:type="dxa"/>
            <w:vAlign w:val="center"/>
          </w:tcPr>
          <w:p>
            <w:pPr>
              <w:snapToGrid w:val="0"/>
              <w:rPr>
                <w:rFonts w:ascii="宋体" w:hAnsi="宋体"/>
                <w:color w:val="auto"/>
                <w:szCs w:val="21"/>
                <w:highlight w:val="none"/>
              </w:rPr>
            </w:pPr>
            <w:r>
              <w:rPr>
                <w:rFonts w:hint="eastAsia" w:ascii="宋体" w:hAnsi="宋体"/>
                <w:color w:val="auto"/>
                <w:szCs w:val="21"/>
                <w:highlight w:val="none"/>
              </w:rPr>
              <w:t>其他应当保密的信息</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第12.2款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合同价款支付时间</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第13.2款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履约保证金不予退还的情形</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第13.3款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履约保证金退还时间及逾期退还的违约金</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第14.1（3）项</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运行监督、维修期限</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第14.1（5）项</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货物回收的约定</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第14.1（6）项</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第15.1款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修理、重作、更换相关具体规定</w:t>
            </w:r>
          </w:p>
        </w:tc>
        <w:tc>
          <w:tcPr>
            <w:tcW w:w="5170" w:type="dxa"/>
            <w:vAlign w:val="center"/>
          </w:tcPr>
          <w:p>
            <w:pPr>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第15.2（2）项</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pPr>
              <w:snapToGrid w:val="0"/>
              <w:jc w:val="left"/>
              <w:rPr>
                <w:rFonts w:ascii="宋体" w:hAnsi="宋体"/>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第15.3款</w:t>
            </w:r>
          </w:p>
        </w:tc>
        <w:tc>
          <w:tcPr>
            <w:tcW w:w="1742" w:type="dxa"/>
            <w:vAlign w:val="center"/>
          </w:tcPr>
          <w:p>
            <w:pPr>
              <w:snapToGrid w:val="0"/>
              <w:jc w:val="left"/>
              <w:rPr>
                <w:rFonts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pPr>
              <w:snapToGrid w:val="0"/>
              <w:jc w:val="left"/>
              <w:rPr>
                <w:rFonts w:ascii="宋体" w:hAnsi="宋体"/>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pPr>
              <w:snapToGrid w:val="0"/>
              <w:jc w:val="left"/>
              <w:rPr>
                <w:rFonts w:ascii="宋体" w:hAnsi="宋体"/>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宋体" w:hAnsi="宋体"/>
                <w:color w:val="auto"/>
                <w:szCs w:val="21"/>
                <w:highlight w:val="none"/>
              </w:rPr>
            </w:pPr>
            <w:r>
              <w:rPr>
                <w:rFonts w:hint="eastAsia" w:ascii="宋体" w:hAnsi="宋体"/>
                <w:color w:val="auto"/>
                <w:szCs w:val="21"/>
                <w:highlight w:val="none"/>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种方式解决：</w:t>
            </w:r>
          </w:p>
          <w:p>
            <w:pPr>
              <w:autoSpaceDE w:val="0"/>
              <w:autoSpaceDN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pPr>
              <w:snapToGrid w:val="0"/>
              <w:jc w:val="left"/>
              <w:rPr>
                <w:rFonts w:ascii="宋体" w:hAnsi="宋体"/>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ascii="宋体" w:hAnsi="宋体"/>
                <w:color w:val="auto"/>
                <w:szCs w:val="21"/>
                <w:highlight w:val="none"/>
              </w:rPr>
            </w:pPr>
            <w:r>
              <w:rPr>
                <w:rFonts w:hint="eastAsia" w:ascii="宋体" w:hAnsi="宋体"/>
                <w:color w:val="auto"/>
                <w:szCs w:val="21"/>
                <w:highlight w:val="none"/>
              </w:rPr>
              <w:t>第二节</w:t>
            </w:r>
          </w:p>
          <w:p>
            <w:pPr>
              <w:snapToGrid w:val="0"/>
              <w:jc w:val="center"/>
              <w:rPr>
                <w:rFonts w:ascii="宋体" w:hAnsi="宋体"/>
                <w:color w:val="auto"/>
                <w:szCs w:val="21"/>
                <w:highlight w:val="none"/>
              </w:rPr>
            </w:pPr>
            <w:r>
              <w:rPr>
                <w:rFonts w:hint="eastAsia" w:ascii="宋体" w:hAnsi="宋体"/>
                <w:color w:val="auto"/>
                <w:szCs w:val="21"/>
                <w:highlight w:val="none"/>
              </w:rPr>
              <w:t>第23.1款</w:t>
            </w:r>
          </w:p>
        </w:tc>
        <w:tc>
          <w:tcPr>
            <w:tcW w:w="1742" w:type="dxa"/>
            <w:vAlign w:val="center"/>
          </w:tcPr>
          <w:p>
            <w:pPr>
              <w:snapToGrid w:val="0"/>
              <w:jc w:val="left"/>
              <w:rPr>
                <w:rFonts w:ascii="宋体" w:hAnsi="宋体"/>
                <w:color w:val="auto"/>
                <w:szCs w:val="21"/>
                <w:highlight w:val="none"/>
              </w:rPr>
            </w:pPr>
            <w:r>
              <w:rPr>
                <w:rFonts w:hint="eastAsia" w:ascii="宋体" w:hAnsi="宋体"/>
                <w:bCs/>
                <w:color w:val="auto"/>
                <w:szCs w:val="21"/>
                <w:highlight w:val="none"/>
              </w:rPr>
              <w:t>其他专用条款</w:t>
            </w:r>
          </w:p>
        </w:tc>
        <w:tc>
          <w:tcPr>
            <w:tcW w:w="5170" w:type="dxa"/>
            <w:vAlign w:val="center"/>
          </w:tcPr>
          <w:p>
            <w:pPr>
              <w:snapToGrid w:val="0"/>
              <w:jc w:val="left"/>
              <w:rPr>
                <w:rFonts w:ascii="宋体" w:hAnsi="宋体"/>
                <w:color w:val="auto"/>
                <w:szCs w:val="21"/>
                <w:highlight w:val="none"/>
              </w:rPr>
            </w:pPr>
          </w:p>
        </w:tc>
      </w:tr>
    </w:tbl>
    <w:p>
      <w:pPr>
        <w:rPr>
          <w:color w:val="auto"/>
          <w:highlight w:val="none"/>
        </w:rPr>
      </w:pPr>
    </w:p>
    <w:p>
      <w:pPr>
        <w:spacing w:line="360" w:lineRule="auto"/>
        <w:jc w:val="center"/>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3"/>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3"/>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3"/>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color w:val="auto"/>
          <w:highlight w:val="none"/>
        </w:rPr>
      </w:pPr>
    </w:p>
    <w:p>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w:t>
      </w: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1标、02</w:t>
      </w:r>
      <w:r>
        <w:rPr>
          <w:rFonts w:hint="eastAsia" w:ascii="仿宋" w:hAnsi="仿宋" w:eastAsia="仿宋" w:cs="仿宋"/>
          <w:b/>
          <w:bCs/>
          <w:color w:val="auto"/>
          <w:sz w:val="24"/>
          <w:highlight w:val="none"/>
          <w:bdr w:val="single" w:color="auto" w:sz="4" w:space="0"/>
        </w:rPr>
        <w:t>标</w:t>
      </w:r>
      <w:r>
        <w:rPr>
          <w:rFonts w:hint="eastAsia" w:ascii="仿宋_GB2312" w:hAnsi="宋体" w:eastAsia="仿宋_GB2312"/>
          <w:b/>
          <w:color w:val="auto"/>
          <w:sz w:val="24"/>
          <w:highlight w:val="none"/>
        </w:rPr>
        <w:t>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w:t>
      </w:r>
      <w:r>
        <w:rPr>
          <w:rFonts w:hint="eastAsia" w:ascii="仿宋_GB2312" w:hAnsi="宋体" w:eastAsia="仿宋_GB2312"/>
          <w:b/>
          <w:bCs/>
          <w:iCs/>
          <w:color w:val="auto"/>
          <w:sz w:val="24"/>
          <w:highlight w:val="none"/>
        </w:rPr>
        <w:t>0分）</w:t>
      </w:r>
    </w:p>
    <w:tbl>
      <w:tblPr>
        <w:tblStyle w:val="15"/>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14"/>
        <w:gridCol w:w="1993"/>
        <w:gridCol w:w="504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7"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1993"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项目</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评分标准</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48"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1993" w:type="dxa"/>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投标设备的性能及技术指标要求</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主要设备技术参数无负偏离的得</w:t>
            </w:r>
            <w:r>
              <w:rPr>
                <w:rFonts w:hint="eastAsia" w:ascii="仿宋_GB2312" w:hAnsi="宋体" w:eastAsia="仿宋_GB2312"/>
                <w:color w:val="auto"/>
                <w:sz w:val="24"/>
                <w:highlight w:val="none"/>
                <w:lang w:val="en-US" w:eastAsia="zh-CN"/>
              </w:rPr>
              <w:t>36</w:t>
            </w:r>
            <w:r>
              <w:rPr>
                <w:rFonts w:hint="eastAsia" w:ascii="仿宋_GB2312" w:hAnsi="宋体" w:eastAsia="仿宋_GB2312"/>
                <w:color w:val="auto"/>
                <w:sz w:val="24"/>
                <w:highlight w:val="none"/>
              </w:rPr>
              <w:t xml:space="preserve">分。其中含“★”为实质性指标要求条款，如出现负偏离作废标处理；“▲” 系指主要性能指标要求条款，每负偏离一项扣 </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分；其他性能指标每负偏离一项扣2分，扣完为止。</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val="en-US" w:eastAsia="zh-CN"/>
              </w:rPr>
              <w:t>36</w:t>
            </w:r>
            <w:r>
              <w:rPr>
                <w:rFonts w:hint="eastAsia" w:ascii="仿宋_GB2312" w:hAnsi="宋体" w:eastAsia="仿宋_GB2312"/>
                <w:bCs/>
                <w:iCs/>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304"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1993" w:type="dxa"/>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销售业绩</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投标人提供自202</w:t>
            </w:r>
            <w:r>
              <w:rPr>
                <w:rFonts w:hint="eastAsia" w:ascii="仿宋_GB2312" w:hAnsi="宋体" w:eastAsia="仿宋_GB2312"/>
                <w:color w:val="auto"/>
                <w:sz w:val="24"/>
                <w:highlight w:val="none"/>
                <w:lang w:val="en-US" w:eastAsia="zh-CN"/>
              </w:rPr>
              <w:t>1</w:t>
            </w:r>
            <w:r>
              <w:rPr>
                <w:rFonts w:hint="eastAsia" w:ascii="仿宋_GB2312" w:hAnsi="宋体" w:eastAsia="仿宋_GB2312"/>
                <w:color w:val="auto"/>
                <w:sz w:val="24"/>
                <w:highlight w:val="none"/>
              </w:rPr>
              <w:t>年1月1日以来所的同类产品成功销售案例，每个案例得1分，最高得3分（提供合同复印件）。</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1993" w:type="dxa"/>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质量目标措施、安装进度、安全措施</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对质量目标措施的可行性、供货安装进度的安排合理性、现场安全措施的可行性等方面综合评定打分（6，4,2,0分）。</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val="en-US" w:eastAsia="zh-CN"/>
              </w:rPr>
              <w:t>6</w:t>
            </w:r>
            <w:r>
              <w:rPr>
                <w:rFonts w:hint="eastAsia" w:ascii="仿宋_GB2312" w:hAnsi="宋体" w:eastAsia="仿宋_GB2312"/>
                <w:bCs/>
                <w:iCs/>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1993" w:type="dxa"/>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设备稳定性、先进性</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根据投标设备的技术先进性、易用性、稳定性进行评价</w:t>
            </w:r>
            <w:r>
              <w:rPr>
                <w:rFonts w:hint="eastAsia" w:ascii="仿宋_GB2312" w:hAnsi="宋体" w:eastAsia="仿宋_GB2312"/>
                <w:color w:val="auto"/>
                <w:sz w:val="24"/>
                <w:highlight w:val="none"/>
                <w:lang w:eastAsia="zh-CN"/>
              </w:rPr>
              <w:t>等</w:t>
            </w:r>
            <w:r>
              <w:rPr>
                <w:rFonts w:hint="eastAsia" w:ascii="仿宋_GB2312" w:hAnsi="宋体" w:eastAsia="仿宋_GB2312"/>
                <w:color w:val="auto"/>
                <w:sz w:val="24"/>
                <w:highlight w:val="none"/>
              </w:rPr>
              <w:t>综合评定</w:t>
            </w:r>
            <w:r>
              <w:rPr>
                <w:rFonts w:hint="eastAsia" w:ascii="仿宋_GB2312" w:hAnsi="宋体" w:eastAsia="仿宋_GB2312"/>
                <w:color w:val="auto"/>
                <w:sz w:val="24"/>
                <w:highlight w:val="none"/>
                <w:lang w:eastAsia="zh-CN"/>
              </w:rPr>
              <w:t>打分</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val="en-US" w:eastAsia="zh-CN"/>
              </w:rPr>
              <w:t>6</w:t>
            </w:r>
            <w:r>
              <w:rPr>
                <w:rFonts w:hint="eastAsia" w:ascii="仿宋_GB2312" w:hAnsi="宋体" w:eastAsia="仿宋_GB2312"/>
                <w:bCs/>
                <w:iCs/>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5"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1993" w:type="dxa"/>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质保期</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在满足招标文件免费质保年限要求的基础上，每延长免费质保期1年得2分，最高得4分。不满足招标文件基本要求的做无效投标处理。</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96"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1993" w:type="dxa"/>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技术支持及售后服务等</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提供本地化服务方案，根据售后服务方式、故障响应修复时间</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服务机构及售后服务人员的安排</w:t>
            </w:r>
            <w:r>
              <w:rPr>
                <w:rFonts w:hint="eastAsia" w:ascii="仿宋_GB2312" w:hAnsi="宋体" w:eastAsia="仿宋_GB2312"/>
                <w:color w:val="auto"/>
                <w:sz w:val="24"/>
                <w:highlight w:val="none"/>
                <w:lang w:eastAsia="zh-CN"/>
              </w:rPr>
              <w:t>、质保期内外的服务内容</w:t>
            </w:r>
            <w:r>
              <w:rPr>
                <w:rFonts w:hint="eastAsia" w:ascii="仿宋_GB2312" w:hAnsi="宋体" w:eastAsia="仿宋_GB2312"/>
                <w:color w:val="auto"/>
                <w:sz w:val="24"/>
                <w:highlight w:val="none"/>
              </w:rPr>
              <w:t>等方面综合评定打分（6，4,2,0分）。</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val="en-US" w:eastAsia="zh-CN"/>
              </w:rPr>
              <w:t>6</w:t>
            </w:r>
            <w:r>
              <w:rPr>
                <w:rFonts w:hint="eastAsia" w:ascii="仿宋_GB2312" w:hAnsi="宋体" w:eastAsia="仿宋_GB2312"/>
                <w:bCs/>
                <w:iCs/>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1993" w:type="dxa"/>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配件及耗材优惠</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随机提供的耗材、备品配件、易损件是否齐全，保修期内外选购价格是否合理</w:t>
            </w:r>
            <w:r>
              <w:rPr>
                <w:rFonts w:hint="eastAsia" w:ascii="仿宋_GB2312" w:hAnsi="宋体" w:eastAsia="仿宋_GB2312"/>
                <w:color w:val="auto"/>
                <w:sz w:val="24"/>
                <w:highlight w:val="none"/>
                <w:lang w:eastAsia="zh-CN"/>
              </w:rPr>
              <w:t>等</w:t>
            </w:r>
            <w:r>
              <w:rPr>
                <w:rFonts w:hint="eastAsia" w:ascii="仿宋_GB2312" w:hAnsi="宋体" w:eastAsia="仿宋_GB2312"/>
                <w:color w:val="auto"/>
                <w:sz w:val="24"/>
                <w:highlight w:val="none"/>
              </w:rPr>
              <w:t>，综合评定</w:t>
            </w:r>
            <w:r>
              <w:rPr>
                <w:rFonts w:hint="eastAsia" w:ascii="仿宋_GB2312" w:hAnsi="宋体" w:eastAsia="仿宋_GB2312"/>
                <w:color w:val="auto"/>
                <w:sz w:val="24"/>
                <w:highlight w:val="none"/>
                <w:lang w:eastAsia="zh-CN"/>
              </w:rPr>
              <w:t>打分</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5</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,1,0分）。</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1993" w:type="dxa"/>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培训</w:t>
            </w:r>
          </w:p>
        </w:tc>
        <w:tc>
          <w:tcPr>
            <w:tcW w:w="5048" w:type="dxa"/>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根据提供相应产品的培训，培训方案、时间、内容、地点、人员数等，综合评定</w:t>
            </w:r>
            <w:r>
              <w:rPr>
                <w:rFonts w:hint="eastAsia" w:ascii="仿宋_GB2312" w:hAnsi="宋体" w:eastAsia="仿宋_GB2312"/>
                <w:color w:val="auto"/>
                <w:sz w:val="24"/>
                <w:highlight w:val="none"/>
                <w:lang w:eastAsia="zh-CN"/>
              </w:rPr>
              <w:t>打分</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,1,0分）。</w:t>
            </w:r>
          </w:p>
        </w:tc>
        <w:tc>
          <w:tcPr>
            <w:tcW w:w="1334" w:type="dxa"/>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4分</w:t>
            </w:r>
          </w:p>
        </w:tc>
      </w:tr>
    </w:tbl>
    <w:p>
      <w:pPr>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w:t>
      </w:r>
      <w:r>
        <w:rPr>
          <w:rFonts w:hint="eastAsia" w:ascii="仿宋_GB2312" w:hAnsi="宋体" w:eastAsia="仿宋_GB2312"/>
          <w:b/>
          <w:bCs/>
          <w:iCs/>
          <w:color w:val="auto"/>
          <w:sz w:val="24"/>
          <w:highlight w:val="none"/>
        </w:rPr>
        <w:t>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30</w:t>
      </w:r>
    </w:p>
    <w:p>
      <w:pPr>
        <w:spacing w:line="360" w:lineRule="auto"/>
        <w:outlineLvl w:val="0"/>
        <w:rPr>
          <w:rFonts w:hint="eastAsia" w:ascii="仿宋" w:hAnsi="仿宋" w:eastAsia="仿宋" w:cs="仿宋"/>
          <w:b/>
          <w:color w:val="auto"/>
          <w:sz w:val="36"/>
          <w:szCs w:val="20"/>
          <w:highlight w:val="none"/>
        </w:rPr>
      </w:pPr>
    </w:p>
    <w:bookmarkEnd w:id="41"/>
    <w:bookmarkEnd w:id="42"/>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rPr>
          <w:rFonts w:hint="eastAsia"/>
          <w:color w:val="auto"/>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19"/>
        <w:rPr>
          <w:rFonts w:hint="eastAsia"/>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28"/>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28"/>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法定代表人授权书 ………………………………………………………… （页码）</w:t>
      </w:r>
    </w:p>
    <w:p>
      <w:pPr>
        <w:pStyle w:val="28"/>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8"/>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8"/>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8"/>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8"/>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534" w:firstLineChars="1100"/>
        <w:outlineLvl w:val="0"/>
        <w:rPr>
          <w:rFonts w:hint="eastAsia" w:ascii="仿宋" w:hAnsi="仿宋" w:eastAsia="仿宋" w:cs="仿宋"/>
          <w:b/>
          <w:color w:val="auto"/>
          <w:kern w:val="0"/>
          <w:sz w:val="32"/>
          <w:szCs w:val="32"/>
          <w:highlight w:val="none"/>
        </w:rPr>
      </w:pPr>
    </w:p>
    <w:p>
      <w:pPr>
        <w:snapToGrid w:val="0"/>
        <w:spacing w:line="360" w:lineRule="auto"/>
        <w:ind w:firstLine="3534" w:firstLineChars="11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22"/>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22"/>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0"/>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22"/>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2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hint="eastAsia" w:ascii="仿宋" w:hAnsi="仿宋" w:eastAsia="仿宋" w:cs="仿宋"/>
          <w:color w:val="auto"/>
          <w:sz w:val="24"/>
          <w:highlight w:val="none"/>
        </w:rPr>
      </w:pPr>
    </w:p>
    <w:p>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pStyle w:val="4"/>
        <w:rPr>
          <w:rFonts w:hint="eastAsia" w:ascii="仿宋" w:hAnsi="仿宋" w:eastAsia="仿宋" w:cs="仿宋"/>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rPr>
          <w:rFonts w:hint="eastAsia" w:ascii="仿宋" w:hAnsi="仿宋" w:eastAsia="仿宋" w:cs="仿宋"/>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rPr>
          <w:rFonts w:hint="eastAsia" w:ascii="仿宋" w:hAnsi="仿宋" w:eastAsia="仿宋" w:cs="仿宋"/>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rPr>
          <w:rFonts w:hint="eastAsia" w:ascii="仿宋" w:hAnsi="仿宋" w:eastAsia="仿宋" w:cs="仿宋"/>
          <w:color w:val="auto"/>
          <w:kern w:val="0"/>
          <w:sz w:val="32"/>
          <w:szCs w:val="32"/>
          <w:highlight w:val="none"/>
        </w:rPr>
      </w:pPr>
    </w:p>
    <w:p>
      <w:pPr>
        <w:pStyle w:val="4"/>
        <w:ind w:left="0" w:firstLine="0"/>
        <w:rPr>
          <w:rFonts w:hint="eastAsia"/>
          <w:color w:val="auto"/>
          <w:highlight w:val="none"/>
        </w:rPr>
      </w:pPr>
    </w:p>
    <w:p>
      <w:pPr>
        <w:widowControl/>
        <w:adjustRightInd/>
        <w:jc w:val="center"/>
        <w:rPr>
          <w:rFonts w:hint="eastAsia" w:ascii="仿宋" w:hAnsi="仿宋" w:eastAsia="仿宋" w:cs="仿宋"/>
          <w:b/>
          <w:color w:val="auto"/>
          <w:sz w:val="30"/>
          <w:szCs w:val="30"/>
          <w:highlight w:val="none"/>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Ansi="仿宋_GB2312" w:cs="仿宋_GB2312"/>
          <w:color w:val="auto"/>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31" o:title=""/>
            <o:lock v:ext="edit" aspectratio="t"/>
            <w10:wrap type="none"/>
            <w10:anchorlock/>
          </v:shape>
          <o:OLEObject Type="Embed" ProgID="Package" ShapeID="_x0000_i1025" DrawAspect="Content" ObjectID="_1468075725" r:id="rId3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9"/>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9"/>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rPr>
      </w:pPr>
    </w:p>
    <w:p>
      <w:pPr>
        <w:spacing w:line="360" w:lineRule="auto"/>
        <w:rPr>
          <w:rFonts w:hint="eastAsia" w:ascii="仿宋_GB2312" w:hAnsi="仿宋_GB2312" w:eastAsia="仿宋_GB2312" w:cs="仿宋_GB2312"/>
          <w:b/>
          <w:color w:val="auto"/>
          <w:sz w:val="30"/>
          <w:szCs w:val="30"/>
          <w:highlight w:val="none"/>
        </w:rPr>
      </w:pPr>
    </w:p>
    <w:p>
      <w:pPr>
        <w:spacing w:line="360" w:lineRule="auto"/>
        <w:rPr>
          <w:rFonts w:hint="eastAsia"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1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9"/>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9"/>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4"/>
        <w:rPr>
          <w:rFonts w:hint="eastAsia"/>
          <w:color w:val="auto"/>
          <w:highlight w:val="none"/>
        </w:rPr>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rPr>
          <w:rFonts w:hint="eastAsia" w:ascii="仿宋" w:hAnsi="仿宋" w:eastAsia="仿宋" w:cs="仿宋"/>
          <w:b/>
          <w:color w:val="auto"/>
          <w:kern w:val="0"/>
          <w:sz w:val="32"/>
          <w:szCs w:val="32"/>
          <w:highlight w:val="none"/>
        </w:r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noWrap w:val="0"/>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noWrap w:val="0"/>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noWrap w:val="0"/>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9" w:name="_Hlk101259491"/>
      <w:r>
        <w:rPr>
          <w:rFonts w:hint="eastAsia" w:ascii="仿宋" w:hAnsi="仿宋" w:eastAsia="仿宋" w:cs="仿宋"/>
          <w:color w:val="auto"/>
          <w:sz w:val="32"/>
          <w:szCs w:val="32"/>
          <w:highlight w:val="none"/>
        </w:rPr>
        <w:t>（如果有）</w:t>
      </w:r>
      <w:bookmarkEnd w:id="49"/>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9"/>
        <w:rPr>
          <w:rFonts w:hint="eastAsia" w:ascii="仿宋" w:hAnsi="仿宋" w:eastAsia="仿宋" w:cs="仿宋"/>
          <w:b/>
          <w:color w:val="auto"/>
          <w:highlight w:val="none"/>
        </w:rPr>
      </w:pPr>
    </w:p>
    <w:p>
      <w:pPr>
        <w:pStyle w:val="24"/>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19"/>
        <w:rPr>
          <w:rFonts w:hint="eastAsia" w:ascii="仿宋" w:hAnsi="仿宋" w:eastAsia="仿宋" w:cs="仿宋"/>
          <w:b/>
          <w:color w:val="auto"/>
          <w:highlight w:val="none"/>
        </w:rPr>
      </w:pPr>
    </w:p>
    <w:p>
      <w:pPr>
        <w:pStyle w:val="24"/>
        <w:rPr>
          <w:rFonts w:hint="eastAsia"/>
          <w:color w:val="auto"/>
          <w:highlight w:val="none"/>
        </w:rPr>
      </w:pPr>
    </w:p>
    <w:p>
      <w:pPr>
        <w:pStyle w:val="24"/>
        <w:rPr>
          <w:rFonts w:hint="eastAsia"/>
          <w:color w:val="auto"/>
          <w:highlight w:val="none"/>
        </w:rPr>
      </w:pPr>
    </w:p>
    <w:p>
      <w:pPr>
        <w:widowControl/>
        <w:spacing w:line="360" w:lineRule="auto"/>
        <w:ind w:firstLine="161" w:firstLineChars="50"/>
        <w:jc w:val="center"/>
        <w:rPr>
          <w:rFonts w:hint="eastAsia"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19"/>
        <w:widowControl/>
        <w:spacing w:line="360" w:lineRule="auto"/>
        <w:ind w:firstLine="120" w:firstLineChars="50"/>
        <w:rPr>
          <w:rFonts w:hint="eastAsia" w:ascii="仿宋" w:hAnsi="仿宋" w:eastAsia="仿宋" w:cs="仿宋"/>
          <w:b/>
          <w:color w:val="auto"/>
          <w:highlight w:val="none"/>
        </w:rPr>
      </w:pPr>
    </w:p>
    <w:p>
      <w:pPr>
        <w:pStyle w:val="24"/>
        <w:spacing w:line="360" w:lineRule="auto"/>
        <w:ind w:left="0" w:firstLine="120" w:firstLineChars="50"/>
        <w:jc w:val="left"/>
        <w:rPr>
          <w:rFonts w:hint="eastAsia" w:ascii="仿宋" w:hAnsi="仿宋" w:eastAsia="仿宋" w:cs="仿宋"/>
          <w:b/>
          <w:color w:val="auto"/>
          <w:sz w:val="24"/>
          <w:highlight w:val="none"/>
        </w:rPr>
      </w:pPr>
    </w:p>
    <w:p>
      <w:pPr>
        <w:pStyle w:val="2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0" w:name="_Toc465665161"/>
      <w:r>
        <w:rPr>
          <w:rFonts w:hint="eastAsia" w:ascii="仿宋" w:hAnsi="仿宋" w:eastAsia="仿宋" w:cs="仿宋"/>
          <w:color w:val="auto"/>
          <w:highlight w:val="none"/>
        </w:rPr>
        <w:t>附件</w:t>
      </w:r>
      <w:bookmarkEnd w:id="50"/>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9"/>
        <w:rPr>
          <w:rFonts w:hint="eastAsia"/>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5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1"/>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ind w:left="664" w:leftChars="316"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2"/>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19"/>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19"/>
        <w:rPr>
          <w:rFonts w:hint="eastAsia" w:ascii="仿宋" w:hAnsi="仿宋" w:eastAsia="仿宋" w:cs="仿宋"/>
          <w:b/>
          <w:color w:val="auto"/>
          <w:spacing w:val="6"/>
          <w:sz w:val="32"/>
          <w:szCs w:val="32"/>
          <w:highlight w:val="none"/>
        </w:rPr>
      </w:pPr>
    </w:p>
    <w:p>
      <w:pPr>
        <w:pStyle w:val="24"/>
        <w:rPr>
          <w:rFonts w:hint="eastAsia"/>
          <w:color w:val="auto"/>
          <w:highlight w:val="none"/>
        </w:rPr>
      </w:pPr>
    </w:p>
    <w:p>
      <w:pPr>
        <w:spacing w:line="360" w:lineRule="auto"/>
        <w:rPr>
          <w:rFonts w:hint="eastAsia" w:ascii="仿宋" w:hAnsi="仿宋" w:eastAsia="仿宋" w:cs="仿宋"/>
          <w:b/>
          <w:color w:val="auto"/>
          <w:spacing w:val="6"/>
          <w:sz w:val="32"/>
          <w:szCs w:val="32"/>
          <w:highlight w:val="none"/>
        </w:rPr>
      </w:pPr>
      <w:bookmarkStart w:id="53" w:name="OLE_LINK14"/>
      <w:bookmarkStart w:id="54" w:name="OLE_LINK13"/>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3"/>
    <w:bookmarkEnd w:id="54"/>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9"/>
        <w:rPr>
          <w:rFonts w:hint="eastAsia"/>
          <w:color w:val="auto"/>
          <w:highlight w:val="none"/>
          <w:lang w:val="en-US"/>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p>
      <w:pPr>
        <w:rPr>
          <w:color w:val="auto"/>
          <w:highlight w:val="none"/>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QxGI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AEMRiOgIAAHEEAAAOAAAAAAAAAAEAIAAAAB8BAABkcnMvZTJvRG9j&#10;LnhtbFBLBQYAAAAABgAGAFkBAADL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1ek6AgAAc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bNXpOgIAAHEEAAAOAAAAAAAAAAEAIAAAAB8BAABkcnMvZTJvRG9j&#10;LnhtbFBLBQYAAAAABgAGAFkBAADL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vl6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O1tX7&#10;qnuAObQsbPWD5TFNlMrb1SFA2qR4FKhTBZ2KB0xi6lm/NXHU/zynqKd/i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nvl685AgAAcQQAAA4AAAAAAAAAAQAgAAAAHwEAAGRycy9lMm9Eb2Mu&#10;eG1sUEsFBgAAAAAGAAYAWQEAAMo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d3eo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oXd3qOgIAAHEEAAAOAAAAAAAAAAEAIAAAAB8BAABkcnMvZTJvRG9j&#10;LnhtbFBLBQYAAAAABgAGAFkBAADL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25dc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f25dc5AgAAcQQAAA4AAAAAAAAAAQAgAAAAHwEAAGRycy9lMm9Eb2Mu&#10;eG1sUEsFBgAAAAAGAAYAWQEAAMo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Er5I5AgAAc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tpb1+zq&#10;/gLm0LKw0feWxzRRKm+X+wBpk+JRoF4VdCpuMImpZ+dXE0f9z32Kevx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ZEr5I5AgAAcQQAAA4AAAAAAAAAAQAgAAAAHwEAAGRycy9lMm9Eb2Mu&#10;eG1sUEsFBgAAAAAGAAYAWQEAAMo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7"/>
      </w:rPr>
    </w:pPr>
    <w:r>
      <w:fldChar w:fldCharType="begin"/>
    </w:r>
    <w:r>
      <w:rPr>
        <w:rStyle w:val="17"/>
      </w:rPr>
      <w:instrText xml:space="preserve">PAGE  </w:instrText>
    </w:r>
    <w:r>
      <w:fldChar w:fldCharType="end"/>
    </w:r>
  </w:p>
  <w:p>
    <w:pPr>
      <w:pStyle w:val="12"/>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ScF0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WScF05AgAAcQQAAA4AAAAAAAAAAQAgAAAAHwEAAGRycy9lMm9Eb2Mu&#10;eG1sUEsFBgAAAAAGAAYAWQEAAMo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7"/>
      </w:rPr>
    </w:pPr>
    <w:r>
      <w:fldChar w:fldCharType="begin"/>
    </w:r>
    <w:r>
      <w:rPr>
        <w:rStyle w:val="17"/>
      </w:rPr>
      <w:instrText xml:space="preserve">PAGE  </w:instrText>
    </w:r>
    <w: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ijic5AgAAc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UdrKv3&#10;VfcAc2hZ2Oit5TFNlMrb5SFA2qR4FKhTBZ2KB0xi6tlla+Ko/3lOUU//FI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Gijic5AgAAcQQAAA4AAAAAAAAAAQAgAAAAHwEAAGRycy9lMm9Eb2Mu&#10;eG1sUEsFBgAAAAAGAAYAWQEAAMo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6CiY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HugomOgIAAHEEAAAOAAAAAAAAAAEAIAAAAB8BAABkcnMvZTJvRG9j&#10;LnhtbFBLBQYAAAAABgAGAFkBAADL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7"/>
      </w:rPr>
    </w:pPr>
    <w:r>
      <w:fldChar w:fldCharType="begin"/>
    </w:r>
    <w:r>
      <w:rPr>
        <w:rStyle w:val="17"/>
      </w:rPr>
      <w:instrText xml:space="preserve">PAGE  </w:instrText>
    </w:r>
    <w:r>
      <w:fldChar w:fldCharType="end"/>
    </w:r>
  </w:p>
  <w:p>
    <w:pPr>
      <w:pStyle w:val="1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IQGM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mCEBjOgIAAHEEAAAOAAAAAAAAAAEAIAAAAB8BAABkcnMvZTJvRG9j&#10;LnhtbFBLBQYAAAAABgAGAFkBAADL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en6w5AgAAc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Xen6w5AgAAcQQAAA4AAAAAAAAAAQAgAAAAHwEAAGRycy9lMm9Eb2Mu&#10;eG1sUEsFBgAAAAAGAAYAWQEAAMo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SXQS-202405-GK048</w:t>
    </w:r>
    <w:r>
      <w:rPr>
        <w:rFonts w:ascii="仿宋" w:hAnsi="仿宋" w:eastAsia="仿宋" w:cs="仿宋"/>
      </w:rPr>
      <w:t xml:space="preserve"> </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hint="eastAsia" w:ascii="仿宋_GB2312" w:eastAsia="仿宋"/>
        <w:i/>
        <w:u w:val="single"/>
        <w:lang w:eastAsia="zh-CN"/>
      </w:rPr>
    </w:pP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SXQS-202405-GK048</w:t>
    </w:r>
  </w:p>
  <w:p>
    <w:pPr>
      <w:pStyle w:val="1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rPr>
        <w:rFonts w:hint="eastAsia" w:ascii="仿宋" w:hAnsi="仿宋" w:eastAsia="仿宋" w:cs="仿宋"/>
        <w:lang w:eastAsia="zh-CN"/>
      </w:rPr>
      <w:t>绍兴虬实企业管理咨询有限公司</w:t>
    </w:r>
    <w:r>
      <w:rPr>
        <w:rFonts w:hint="eastAsia" w:ascii="仿宋" w:hAnsi="仿宋" w:eastAsia="仿宋" w:cs="仿宋"/>
      </w:rPr>
      <w:t xml:space="preserve">                                                   SXQS-202405-GK048 </w:t>
    </w:r>
    <w:r>
      <w:rPr>
        <w:rFonts w:hint="eastAsia" w:ascii="仿宋" w:hAnsi="仿宋" w:eastAsia="仿宋" w:cs="仿宋"/>
        <w:lang w:val="en-US" w:eastAsia="zh-CN"/>
      </w:rPr>
      <w:t xml:space="preserve"> </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 xml:space="preserve">  SXQS-202405-GK048</w:t>
    </w:r>
    <w:r>
      <w:rPr>
        <w:rFonts w:ascii="仿宋" w:hAnsi="仿宋" w:eastAsia="仿宋" w:cs="仿宋"/>
      </w:rPr>
      <w:t xml:space="preserve"> </w:t>
    </w:r>
    <w:r>
      <w:rPr>
        <w:rFonts w:hint="eastAsia" w:ascii="仿宋" w:hAnsi="仿宋" w:eastAsia="仿宋" w:cs="仿宋"/>
      </w:rPr>
      <w:t xml:space="preserve">      </w:t>
    </w:r>
  </w:p>
  <w:p>
    <w:pPr>
      <w:pStyle w:val="1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rPr>
        <w:rFonts w:hint="eastAsia" w:ascii="仿宋" w:hAnsi="仿宋" w:eastAsia="仿宋" w:cs="仿宋"/>
      </w:rPr>
      <w:t xml:space="preserve">绍兴虬实企管理咨询有限公司                                               </w:t>
    </w:r>
    <w:r>
      <w:rPr>
        <w:rFonts w:hint="eastAsia" w:ascii="仿宋" w:hAnsi="仿宋" w:eastAsia="仿宋" w:cs="仿宋"/>
        <w:lang w:eastAsia="zh-CN"/>
      </w:rPr>
      <w:t xml:space="preserve"> SXQS-202405-GK048</w:t>
    </w:r>
    <w:r>
      <w:rPr>
        <w:rFonts w:hint="eastAsia" w:ascii="仿宋" w:hAnsi="仿宋" w:eastAsia="仿宋" w:cs="仿宋"/>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t></w:t>
    </w: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 xml:space="preserve">  SXQS-202405-GK048</w:t>
    </w:r>
    <w:r>
      <w:rPr>
        <w:rFonts w:ascii="仿宋" w:hAnsi="仿宋" w:eastAsia="仿宋" w:cs="仿宋"/>
      </w:rPr>
      <w:t xml:space="preserve"> </w:t>
    </w: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rPr>
        <w:rFonts w:hint="eastAsia"/>
      </w:rPr>
      <w:t xml:space="preserve"> </w:t>
    </w: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SXQS-202405-GK048</w:t>
    </w:r>
    <w:r>
      <w:rPr>
        <w:rFonts w:hint="eastAsia" w:ascii="仿宋" w:hAnsi="仿宋" w:eastAsia="仿宋" w:cs="仿宋"/>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t></w:t>
    </w: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SXQS-202405-GK048       </w:t>
    </w:r>
  </w:p>
  <w:p>
    <w:pPr>
      <w:pStyle w:val="13"/>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hint="eastAsia" w:ascii="仿宋_GB2312" w:eastAsia="仿宋_GB2312"/>
        <w:i/>
        <w:u w:val="single"/>
      </w:rPr>
    </w:pPr>
    <w:r>
      <w:rPr>
        <w:rFonts w:hint="eastAsia" w:eastAsia="仿宋"/>
        <w:lang w:eastAsia="zh-CN"/>
      </w:rPr>
      <w:t>绍兴虬实企业管理咨询有限公司</w:t>
    </w:r>
    <w:r>
      <w:rPr>
        <w:rFonts w:hint="eastAsia" w:ascii="仿宋" w:hAnsi="仿宋" w:eastAsia="仿宋" w:cs="仿宋"/>
      </w:rPr>
      <w:t xml:space="preserve">                                                   SXQS-202405-GK048</w:t>
    </w:r>
    <w:r>
      <w:rPr>
        <w:rFonts w:ascii="仿宋" w:hAnsi="仿宋" w:eastAsia="仿宋" w:cs="仿宋"/>
      </w:rPr>
      <w:t xml:space="preserve"> </w:t>
    </w:r>
    <w:r>
      <w:rPr>
        <w:rFonts w:hint="eastAsia" w:ascii="仿宋" w:hAnsi="仿宋" w:eastAsia="仿宋" w:cs="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0"/>
    <w:multiLevelType w:val="singleLevel"/>
    <w:tmpl w:val="00000000"/>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106D4E0D"/>
    <w:multiLevelType w:val="singleLevel"/>
    <w:tmpl w:val="106D4E0D"/>
    <w:lvl w:ilvl="0" w:tentative="0">
      <w:start w:val="1"/>
      <w:numFmt w:val="decimal"/>
      <w:pStyle w:val="6"/>
      <w:lvlText w:val="%1."/>
      <w:lvlJc w:val="left"/>
      <w:pPr>
        <w:tabs>
          <w:tab w:val="left" w:pos="780"/>
        </w:tabs>
        <w:ind w:left="780" w:hanging="360"/>
      </w:pPr>
    </w:lvl>
  </w:abstractNum>
  <w:abstractNum w:abstractNumId="9">
    <w:nsid w:val="24EA2069"/>
    <w:multiLevelType w:val="singleLevel"/>
    <w:tmpl w:val="24EA2069"/>
    <w:lvl w:ilvl="0" w:tentative="0">
      <w:start w:val="1"/>
      <w:numFmt w:val="decimal"/>
      <w:suff w:val="nothing"/>
      <w:lvlText w:val="（%1）"/>
      <w:lvlJc w:val="left"/>
    </w:lvl>
  </w:abstractNum>
  <w:abstractNum w:abstractNumId="10">
    <w:nsid w:val="3C9A53F6"/>
    <w:multiLevelType w:val="singleLevel"/>
    <w:tmpl w:val="3C9A53F6"/>
    <w:lvl w:ilvl="0" w:tentative="0">
      <w:start w:val="1"/>
      <w:numFmt w:val="decimal"/>
      <w:pStyle w:val="10"/>
      <w:lvlText w:val="%1."/>
      <w:lvlJc w:val="left"/>
      <w:pPr>
        <w:tabs>
          <w:tab w:val="left" w:pos="1200"/>
        </w:tabs>
        <w:ind w:left="1200" w:hanging="360"/>
      </w:pPr>
    </w:lvl>
  </w:abstractNum>
  <w:abstractNum w:abstractNumId="11">
    <w:nsid w:val="4D768425"/>
    <w:multiLevelType w:val="singleLevel"/>
    <w:tmpl w:val="4D768425"/>
    <w:lvl w:ilvl="0" w:tentative="0">
      <w:start w:val="8"/>
      <w:numFmt w:val="decimal"/>
      <w:lvlText w:val="%1."/>
      <w:lvlJc w:val="left"/>
      <w:pPr>
        <w:tabs>
          <w:tab w:val="left" w:pos="312"/>
        </w:tabs>
      </w:pPr>
    </w:lvl>
  </w:abstractNum>
  <w:abstractNum w:abstractNumId="12">
    <w:nsid w:val="682F691B"/>
    <w:multiLevelType w:val="singleLevel"/>
    <w:tmpl w:val="682F691B"/>
    <w:lvl w:ilvl="0" w:tentative="0">
      <w:start w:val="1"/>
      <w:numFmt w:val="decimal"/>
      <w:lvlText w:val="%1."/>
      <w:lvlJc w:val="left"/>
      <w:pPr>
        <w:tabs>
          <w:tab w:val="left" w:pos="312"/>
        </w:tabs>
      </w:pPr>
    </w:lvl>
  </w:abstractNum>
  <w:abstractNum w:abstractNumId="13">
    <w:nsid w:val="701134F0"/>
    <w:multiLevelType w:val="singleLevel"/>
    <w:tmpl w:val="701134F0"/>
    <w:lvl w:ilvl="0" w:tentative="0">
      <w:start w:val="1"/>
      <w:numFmt w:val="decimal"/>
      <w:pStyle w:val="7"/>
      <w:lvlText w:val="%1."/>
      <w:lvlJc w:val="left"/>
      <w:pPr>
        <w:tabs>
          <w:tab w:val="left" w:pos="360"/>
        </w:tabs>
        <w:ind w:left="360" w:hanging="360"/>
      </w:pPr>
    </w:lvl>
  </w:abstractNum>
  <w:abstractNum w:abstractNumId="14">
    <w:nsid w:val="7A0F6431"/>
    <w:multiLevelType w:val="singleLevel"/>
    <w:tmpl w:val="7A0F6431"/>
    <w:lvl w:ilvl="0" w:tentative="0">
      <w:start w:val="1"/>
      <w:numFmt w:val="decimal"/>
      <w:suff w:val="space"/>
      <w:lvlText w:val="%1."/>
      <w:lvlJc w:val="left"/>
    </w:lvl>
  </w:abstractNum>
  <w:num w:numId="1">
    <w:abstractNumId w:val="8"/>
  </w:num>
  <w:num w:numId="2">
    <w:abstractNumId w:val="13"/>
  </w:num>
  <w:num w:numId="3">
    <w:abstractNumId w:val="10"/>
  </w:num>
  <w:num w:numId="4">
    <w:abstractNumId w:val="9"/>
  </w:num>
  <w:num w:numId="5">
    <w:abstractNumId w:val="11"/>
  </w:num>
  <w:num w:numId="6">
    <w:abstractNumId w:val="12"/>
  </w:num>
  <w:num w:numId="7">
    <w:abstractNumId w:val="14"/>
  </w:num>
  <w:num w:numId="8">
    <w:abstractNumId w:val="1"/>
  </w:num>
  <w:num w:numId="9">
    <w:abstractNumId w:val="5"/>
  </w:num>
  <w:num w:numId="10">
    <w:abstractNumId w:val="3"/>
  </w:num>
  <w:num w:numId="11">
    <w:abstractNumId w:val="2"/>
  </w:num>
  <w:num w:numId="12">
    <w:abstractNumId w:val="0"/>
  </w:num>
  <w:num w:numId="13">
    <w:abstractNumId w:val="4"/>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mZmJmYmM3ZmI4YzdhZjM2MjExOGEwYWVlNDI0MWMifQ=="/>
  </w:docVars>
  <w:rsids>
    <w:rsidRoot w:val="68D93349"/>
    <w:rsid w:val="007B2EA3"/>
    <w:rsid w:val="1077526D"/>
    <w:rsid w:val="110127C2"/>
    <w:rsid w:val="16BF56B1"/>
    <w:rsid w:val="16E367F4"/>
    <w:rsid w:val="1B3561AC"/>
    <w:rsid w:val="25D84AB7"/>
    <w:rsid w:val="295A5A45"/>
    <w:rsid w:val="2D8C617F"/>
    <w:rsid w:val="2DE66683"/>
    <w:rsid w:val="37123AB5"/>
    <w:rsid w:val="37C16C4A"/>
    <w:rsid w:val="39925A76"/>
    <w:rsid w:val="3B4A429F"/>
    <w:rsid w:val="3DC66EFE"/>
    <w:rsid w:val="3DDA6659"/>
    <w:rsid w:val="473209D8"/>
    <w:rsid w:val="479C6C6F"/>
    <w:rsid w:val="48D80297"/>
    <w:rsid w:val="4E5E4D9B"/>
    <w:rsid w:val="5A75689F"/>
    <w:rsid w:val="5EA1278A"/>
    <w:rsid w:val="61BD191B"/>
    <w:rsid w:val="630D2447"/>
    <w:rsid w:val="669B60C1"/>
    <w:rsid w:val="68CA7704"/>
    <w:rsid w:val="68D93349"/>
    <w:rsid w:val="6AC00592"/>
    <w:rsid w:val="6C082F69"/>
    <w:rsid w:val="6DC0044F"/>
    <w:rsid w:val="713D3157"/>
    <w:rsid w:val="74364139"/>
    <w:rsid w:val="77FE6590"/>
    <w:rsid w:val="7B1F2F5D"/>
    <w:rsid w:val="7D0A23CC"/>
    <w:rsid w:val="7EDB6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autoRedefine/>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Indent"/>
    <w:basedOn w:val="1"/>
    <w:next w:val="3"/>
    <w:autoRedefine/>
    <w:qFormat/>
    <w:uiPriority w:val="0"/>
    <w:pPr>
      <w:spacing w:line="480" w:lineRule="exact"/>
      <w:ind w:firstLine="480" w:firstLineChars="200"/>
    </w:pPr>
    <w:rPr>
      <w:rFonts w:ascii="宋体" w:hAnsi="宋体"/>
      <w:sz w:val="24"/>
    </w:rPr>
  </w:style>
  <w:style w:type="paragraph" w:styleId="3">
    <w:name w:val="Normal Indent"/>
    <w:basedOn w:val="1"/>
    <w:next w:val="1"/>
    <w:autoRedefine/>
    <w:qFormat/>
    <w:uiPriority w:val="0"/>
    <w:pPr>
      <w:widowControl/>
      <w:snapToGrid w:val="0"/>
      <w:spacing w:line="480" w:lineRule="exact"/>
      <w:ind w:firstLine="567"/>
    </w:pPr>
    <w:rPr>
      <w:rFonts w:ascii="宋体"/>
      <w:snapToGrid w:val="0"/>
      <w:color w:val="000000"/>
      <w:kern w:val="28"/>
      <w:sz w:val="28"/>
      <w:szCs w:val="20"/>
    </w:rPr>
  </w:style>
  <w:style w:type="paragraph" w:styleId="6">
    <w:name w:val="List Number 2"/>
    <w:basedOn w:val="1"/>
    <w:autoRedefine/>
    <w:qFormat/>
    <w:uiPriority w:val="0"/>
    <w:pPr>
      <w:numPr>
        <w:ilvl w:val="0"/>
        <w:numId w:val="1"/>
      </w:numPr>
    </w:pPr>
  </w:style>
  <w:style w:type="paragraph" w:styleId="7">
    <w:name w:val="List Number"/>
    <w:basedOn w:val="1"/>
    <w:autoRedefine/>
    <w:qFormat/>
    <w:uiPriority w:val="0"/>
    <w:pPr>
      <w:numPr>
        <w:ilvl w:val="0"/>
        <w:numId w:val="2"/>
      </w:numPr>
    </w:pPr>
  </w:style>
  <w:style w:type="paragraph" w:styleId="8">
    <w:name w:val="annotation text"/>
    <w:basedOn w:val="1"/>
    <w:autoRedefine/>
    <w:qFormat/>
    <w:uiPriority w:val="0"/>
    <w:pPr>
      <w:jc w:val="left"/>
    </w:pPr>
  </w:style>
  <w:style w:type="paragraph" w:styleId="9">
    <w:name w:val="Body Text"/>
    <w:basedOn w:val="1"/>
    <w:next w:val="1"/>
    <w:autoRedefine/>
    <w:qFormat/>
    <w:uiPriority w:val="0"/>
    <w:pPr>
      <w:autoSpaceDE w:val="0"/>
      <w:autoSpaceDN w:val="0"/>
      <w:spacing w:line="360" w:lineRule="auto"/>
    </w:pPr>
    <w:rPr>
      <w:rFonts w:ascii="宋体" w:hAnsi="Arial" w:cs="Arial"/>
      <w:snapToGrid w:val="0"/>
      <w:sz w:val="24"/>
      <w:szCs w:val="21"/>
      <w:lang w:val="zh-CN"/>
    </w:rPr>
  </w:style>
  <w:style w:type="paragraph" w:styleId="10">
    <w:name w:val="List Number 3"/>
    <w:basedOn w:val="1"/>
    <w:autoRedefine/>
    <w:qFormat/>
    <w:uiPriority w:val="0"/>
    <w:pPr>
      <w:numPr>
        <w:ilvl w:val="0"/>
        <w:numId w:val="3"/>
      </w:numPr>
    </w:pPr>
  </w:style>
  <w:style w:type="paragraph" w:styleId="11">
    <w:name w:val="Plain Text"/>
    <w:basedOn w:val="1"/>
    <w:autoRedefine/>
    <w:qFormat/>
    <w:uiPriority w:val="0"/>
    <w:rPr>
      <w:rFonts w:ascii="宋体" w:hAnsi="Courier New" w:cs="Arial"/>
      <w:snapToGrid w:val="0"/>
      <w:szCs w:val="21"/>
    </w:rPr>
  </w:style>
  <w:style w:type="paragraph" w:styleId="12">
    <w:name w:val="footer"/>
    <w:basedOn w:val="1"/>
    <w:autoRedefine/>
    <w:qFormat/>
    <w:uiPriority w:val="99"/>
    <w:pPr>
      <w:tabs>
        <w:tab w:val="center" w:pos="4153"/>
        <w:tab w:val="right" w:pos="8306"/>
      </w:tabs>
      <w:snapToGrid w:val="0"/>
      <w:jc w:val="left"/>
    </w:pPr>
    <w:rPr>
      <w:sz w:val="18"/>
      <w:szCs w:val="18"/>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character" w:styleId="17">
    <w:name w:val="page number"/>
    <w:autoRedefine/>
    <w:qFormat/>
    <w:uiPriority w:val="0"/>
    <w:rPr>
      <w:rFonts w:ascii="Arial" w:hAnsi="Arial" w:eastAsia="黑体" w:cs="Arial"/>
      <w:snapToGrid w:val="0"/>
      <w:kern w:val="0"/>
      <w:szCs w:val="21"/>
    </w:rPr>
  </w:style>
  <w:style w:type="character" w:styleId="18">
    <w:name w:val="Hyperlink"/>
    <w:autoRedefine/>
    <w:qFormat/>
    <w:uiPriority w:val="99"/>
    <w:rPr>
      <w:rFonts w:ascii="Arial" w:hAnsi="Arial" w:eastAsia="黑体" w:cs="Arial"/>
      <w:snapToGrid w:val="0"/>
      <w:color w:val="000000"/>
      <w:kern w:val="0"/>
      <w:sz w:val="18"/>
      <w:szCs w:val="18"/>
      <w:u w:val="none"/>
    </w:rPr>
  </w:style>
  <w:style w:type="paragraph" w:customStyle="1" w:styleId="19">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0">
    <w:name w:val="纯文本1"/>
    <w:basedOn w:val="1"/>
    <w:autoRedefine/>
    <w:qFormat/>
    <w:uiPriority w:val="0"/>
    <w:pPr>
      <w:adjustRightInd/>
    </w:pPr>
    <w:rPr>
      <w:rFonts w:ascii="宋体" w:hAnsi="Courier New"/>
      <w:kern w:val="0"/>
      <w:sz w:val="20"/>
      <w:szCs w:val="20"/>
    </w:rPr>
  </w:style>
  <w:style w:type="paragraph" w:customStyle="1" w:styleId="21">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22">
    <w:name w:val="正文段"/>
    <w:basedOn w:val="1"/>
    <w:autoRedefine/>
    <w:qFormat/>
    <w:uiPriority w:val="0"/>
    <w:pPr>
      <w:widowControl/>
      <w:snapToGrid w:val="0"/>
      <w:spacing w:after="156" w:afterLines="50"/>
      <w:ind w:firstLine="200" w:firstLineChars="200"/>
    </w:pPr>
    <w:rPr>
      <w:kern w:val="0"/>
      <w:sz w:val="24"/>
      <w:szCs w:val="20"/>
    </w:rPr>
  </w:style>
  <w:style w:type="character" w:customStyle="1" w:styleId="23">
    <w:name w:val="NormalCharacter"/>
    <w:autoRedefine/>
    <w:semiHidden/>
    <w:qFormat/>
    <w:uiPriority w:val="0"/>
  </w:style>
  <w:style w:type="paragraph" w:customStyle="1" w:styleId="24">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25">
    <w:name w:val="正文2"/>
    <w:basedOn w:val="1"/>
    <w:autoRedefine/>
    <w:qFormat/>
    <w:uiPriority w:val="0"/>
    <w:pPr>
      <w:spacing w:before="156" w:line="360" w:lineRule="auto"/>
      <w:ind w:firstLine="510" w:firstLineChars="200"/>
    </w:pPr>
    <w:rPr>
      <w:sz w:val="24"/>
      <w:szCs w:val="20"/>
    </w:rPr>
  </w:style>
  <w:style w:type="paragraph" w:customStyle="1" w:styleId="26">
    <w:name w:val="正文缩进1"/>
    <w:basedOn w:val="1"/>
    <w:next w:val="2"/>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7">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2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首行缩进"/>
    <w:basedOn w:val="1"/>
    <w:autoRedefine/>
    <w:qFormat/>
    <w:uiPriority w:val="99"/>
    <w:pPr>
      <w:spacing w:line="360" w:lineRule="auto"/>
      <w:ind w:firstLine="480" w:firstLineChars="200"/>
    </w:pPr>
    <w:rPr>
      <w:sz w:val="24"/>
      <w:szCs w:val="22"/>
      <w:lang w:val="zh-CN"/>
    </w:rPr>
  </w:style>
  <w:style w:type="paragraph" w:customStyle="1" w:styleId="31">
    <w:name w:val="标题 31"/>
    <w:basedOn w:val="1"/>
    <w:next w:val="1"/>
    <w:autoRedefine/>
    <w:qFormat/>
    <w:uiPriority w:val="9"/>
    <w:pPr>
      <w:keepNext/>
      <w:keepLines/>
      <w:spacing w:before="260" w:after="260" w:line="412" w:lineRule="auto"/>
      <w:outlineLvl w:val="2"/>
    </w:pPr>
    <w:rPr>
      <w:b/>
      <w:bCs/>
      <w:sz w:val="32"/>
      <w:szCs w:val="32"/>
    </w:rPr>
  </w:style>
  <w:style w:type="paragraph" w:customStyle="1" w:styleId="3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3">
    <w:name w:val="列出段落1"/>
    <w:basedOn w:val="1"/>
    <w:autoRedefine/>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49063</Words>
  <Characters>52162</Characters>
  <Lines>0</Lines>
  <Paragraphs>0</Paragraphs>
  <TotalTime>53</TotalTime>
  <ScaleCrop>false</ScaleCrop>
  <LinksUpToDate>false</LinksUpToDate>
  <CharactersWithSpaces>60615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2024-02-19T01:59:00Z</dcterms:created>
  <dc:creator>豆浆</dc:creator>
  <cp:lastModifiedBy>豆浆</cp:lastModifiedBy>
  <cp:lastPrinted>2024-04-12T07:30:00Z</cp:lastPrinted>
  <dcterms:modified xsi:type="dcterms:W3CDTF">2024-05-24T07:42:12Z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30BDF449D95846F98B784337F2A5FC5D_13</vt:lpwstr>
  </property>
</Properties>
</file>