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rPr>
        <w:t>绍兴市越城区市场监督管理局</w:t>
      </w:r>
    </w:p>
    <w:p>
      <w:pPr>
        <w:jc w:val="center"/>
        <w:rPr>
          <w:rFonts w:hint="eastAsia" w:ascii="仿宋" w:eastAsia="仿宋"/>
          <w:color w:val="auto"/>
          <w:sz w:val="36"/>
          <w:szCs w:val="36"/>
          <w:highlight w:val="none"/>
          <w:lang w:eastAsia="zh-CN"/>
        </w:rPr>
      </w:pPr>
      <w:r>
        <w:rPr>
          <w:rFonts w:hint="eastAsia" w:ascii="仿宋" w:eastAsia="仿宋"/>
          <w:b/>
          <w:bCs/>
          <w:color w:val="auto"/>
          <w:sz w:val="52"/>
          <w:szCs w:val="52"/>
          <w:highlight w:val="none"/>
        </w:rPr>
        <w:t>2024年度产</w:t>
      </w:r>
      <w:r>
        <w:rPr>
          <w:rFonts w:hint="eastAsia" w:ascii="仿宋" w:eastAsia="仿宋"/>
          <w:b/>
          <w:bCs/>
          <w:color w:val="auto"/>
          <w:sz w:val="52"/>
          <w:szCs w:val="52"/>
          <w:highlight w:val="none"/>
          <w:lang w:val="en-US" w:eastAsia="zh-CN"/>
        </w:rPr>
        <w:t>(商)</w:t>
      </w:r>
      <w:r>
        <w:rPr>
          <w:rFonts w:hint="eastAsia" w:ascii="仿宋" w:eastAsia="仿宋"/>
          <w:b/>
          <w:bCs/>
          <w:color w:val="auto"/>
          <w:sz w:val="52"/>
          <w:szCs w:val="52"/>
          <w:highlight w:val="none"/>
        </w:rPr>
        <w:t>品质量监督抽查</w:t>
      </w:r>
      <w:r>
        <w:rPr>
          <w:rFonts w:hint="eastAsia" w:ascii="仿宋" w:eastAsia="仿宋"/>
          <w:b/>
          <w:bCs/>
          <w:color w:val="auto"/>
          <w:sz w:val="52"/>
          <w:szCs w:val="52"/>
          <w:highlight w:val="none"/>
          <w:lang w:eastAsia="zh-CN"/>
        </w:rPr>
        <w:t>项目（</w:t>
      </w:r>
      <w:r>
        <w:rPr>
          <w:rFonts w:hint="eastAsia" w:ascii="仿宋" w:eastAsia="仿宋"/>
          <w:b/>
          <w:bCs/>
          <w:color w:val="auto"/>
          <w:sz w:val="52"/>
          <w:szCs w:val="52"/>
          <w:highlight w:val="none"/>
          <w:lang w:val="en-US" w:eastAsia="zh-CN"/>
        </w:rPr>
        <w:t>二次</w:t>
      </w:r>
      <w:r>
        <w:rPr>
          <w:rFonts w:hint="eastAsia" w:ascii="仿宋" w:eastAsia="仿宋"/>
          <w:b/>
          <w:bCs/>
          <w:color w:val="auto"/>
          <w:sz w:val="52"/>
          <w:szCs w:val="52"/>
          <w:highlight w:val="none"/>
          <w:lang w:eastAsia="zh-CN"/>
        </w:rPr>
        <w:t>重招）</w:t>
      </w:r>
    </w:p>
    <w:p>
      <w:pPr>
        <w:jc w:val="center"/>
        <w:rPr>
          <w:rFonts w:hint="eastAsia" w:ascii="仿宋" w:eastAsia="仿宋"/>
          <w:b/>
          <w:bCs/>
          <w:color w:val="auto"/>
          <w:sz w:val="72"/>
          <w:szCs w:val="72"/>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竞</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争</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性</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磋</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商</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tbl>
      <w:tblPr>
        <w:tblStyle w:val="31"/>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u w:val="single"/>
                <w:lang w:eastAsia="zh-CN"/>
              </w:rPr>
            </w:pPr>
            <w:r>
              <w:rPr>
                <w:rFonts w:hint="eastAsia" w:ascii="仿宋" w:eastAsia="仿宋"/>
                <w:color w:val="auto"/>
                <w:sz w:val="28"/>
                <w:highlight w:val="none"/>
                <w:u w:val="single"/>
                <w:lang w:eastAsia="zh-CN"/>
              </w:rPr>
              <w:t>SXQS-202405-CS020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hAnsi="Times New Roman" w:eastAsia="仿宋" w:cs="Times New Roman"/>
                <w:color w:val="auto"/>
                <w:sz w:val="28"/>
                <w:highlight w:val="none"/>
              </w:rPr>
              <w:t>绍兴市越城区市场监督管理局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绍兴虬实企业管理咨询有限公司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exact"/>
          <w:jc w:val="center"/>
        </w:trPr>
        <w:tc>
          <w:tcPr>
            <w:tcW w:w="2396"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l2br w:val="nil"/>
              <w:tr2bl w:val="nil"/>
            </w:tcBorders>
            <w:noWrap/>
          </w:tcPr>
          <w:p>
            <w:pPr>
              <w:pBdr>
                <w:top w:val="none" w:color="auto" w:sz="0" w:space="0"/>
                <w:left w:val="none" w:color="auto" w:sz="0" w:space="0"/>
                <w:bottom w:val="none" w:color="auto" w:sz="0" w:space="0"/>
                <w:right w:val="none" w:color="auto" w:sz="0" w:space="0"/>
              </w:pBdr>
              <w:jc w:val="both"/>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pPr>
        <w:jc w:val="both"/>
        <w:rPr>
          <w:rFonts w:hint="eastAsia" w:ascii="仿宋" w:eastAsia="仿宋"/>
          <w:b/>
          <w:color w:val="auto"/>
          <w:sz w:val="44"/>
          <w:szCs w:val="44"/>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lang w:val="en-US" w:eastAsia="zh-CN"/>
        </w:rPr>
        <w:t>2024</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5</w:t>
      </w:r>
      <w:r>
        <w:rPr>
          <w:rFonts w:hint="eastAsia" w:ascii="仿宋" w:eastAsia="仿宋"/>
          <w:color w:val="auto"/>
          <w:sz w:val="28"/>
          <w:highlight w:val="none"/>
        </w:rPr>
        <w:t>月</w:t>
      </w:r>
    </w:p>
    <w:p>
      <w:pPr>
        <w:jc w:val="center"/>
        <w:rPr>
          <w:rFonts w:hint="eastAsia" w:ascii="仿宋" w:eastAsia="仿宋"/>
          <w:b/>
          <w:color w:val="auto"/>
          <w:sz w:val="44"/>
          <w:szCs w:val="44"/>
          <w:highlight w:val="none"/>
        </w:rPr>
      </w:pPr>
    </w:p>
    <w:p>
      <w:pPr>
        <w:jc w:val="center"/>
        <w:rPr>
          <w:rFonts w:hint="eastAsia" w:ascii="仿宋" w:eastAsia="仿宋"/>
          <w:b/>
          <w:color w:val="auto"/>
          <w:sz w:val="44"/>
          <w:szCs w:val="44"/>
          <w:highlight w:val="none"/>
        </w:rPr>
      </w:pPr>
      <w:r>
        <w:rPr>
          <w:rFonts w:hint="eastAsia" w:ascii="仿宋" w:eastAsia="仿宋"/>
          <w:b/>
          <w:color w:val="auto"/>
          <w:sz w:val="44"/>
          <w:szCs w:val="44"/>
          <w:highlight w:val="none"/>
        </w:rPr>
        <w:t>目录</w:t>
      </w:r>
    </w:p>
    <w:p>
      <w:pPr>
        <w:jc w:val="center"/>
        <w:rPr>
          <w:rFonts w:hint="eastAsia" w:ascii="仿宋" w:eastAsia="仿宋"/>
          <w:color w:val="auto"/>
          <w:sz w:val="28"/>
          <w:szCs w:val="28"/>
          <w:highlight w:val="none"/>
        </w:rPr>
      </w:pPr>
    </w:p>
    <w:p>
      <w:pPr>
        <w:pStyle w:val="27"/>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_Toc20305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_Toc20305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_Toc26022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_Toc26022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_Toc22600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_Toc22600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_Toc13745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二、磋商文件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_Toc13745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_Toc15092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三、磋商响应文件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_Toc15092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_Toc23137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四、磋商和评审</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_Toc23137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_Toc5995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_Toc5995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_Toc21391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_Toc21391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_Toc13775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_Toc13775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_Toc14779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_Toc14779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_Toc8673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_Toc8673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_Toc29150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磋商办法及标准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_Toc29150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_Toc31756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磋商响应文件格式附件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_Toc31756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7"/>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_Toc29888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_Toc29888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_Toc29656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_Toc29656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_Toc28199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_Toc28199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_Toc16101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_Toc16101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hint="eastAsia" w:ascii="仿宋" w:hAnsi="仿宋" w:eastAsia="仿宋" w:cs="仿宋"/>
          <w:color w:val="auto"/>
          <w:sz w:val="28"/>
          <w:szCs w:val="28"/>
          <w:highlight w:val="none"/>
        </w:rPr>
        <w:sectPr>
          <w:headerReference r:id="rId3" w:type="default"/>
          <w:pgSz w:w="11907" w:h="16840"/>
          <w:pgMar w:top="1440" w:right="1463" w:bottom="1440" w:left="1803" w:header="851" w:footer="992" w:gutter="0"/>
          <w:pgNumType w:start="1"/>
          <w:cols w:space="720" w:num="1"/>
          <w:docGrid w:type="lines" w:linePitch="312" w:charSpace="0"/>
        </w:sectPr>
      </w:pPr>
      <w:r>
        <w:rPr>
          <w:rFonts w:hint="eastAsia" w:ascii="仿宋" w:hAnsi="仿宋" w:eastAsia="仿宋" w:cs="仿宋"/>
          <w:color w:val="auto"/>
          <w:sz w:val="28"/>
          <w:szCs w:val="28"/>
          <w:highlight w:val="none"/>
        </w:rPr>
        <w:fldChar w:fldCharType="end"/>
      </w:r>
    </w:p>
    <w:p>
      <w:pPr>
        <w:pStyle w:val="4"/>
        <w:numPr>
          <w:ilvl w:val="0"/>
          <w:numId w:val="0"/>
        </w:numPr>
        <w:ind w:left="0" w:firstLine="0"/>
        <w:jc w:val="center"/>
        <w:rPr>
          <w:rFonts w:hint="eastAsia" w:ascii="仿宋" w:eastAsia="仿宋"/>
          <w:color w:val="auto"/>
          <w:sz w:val="44"/>
          <w:highlight w:val="none"/>
        </w:rPr>
      </w:pPr>
      <w:bookmarkStart w:id="0" w:name="_Hlt10553106"/>
      <w:bookmarkEnd w:id="0"/>
      <w:bookmarkStart w:id="1" w:name="_Hlt10553107"/>
      <w:bookmarkEnd w:id="1"/>
      <w:bookmarkStart w:id="2" w:name="_Toc20305"/>
      <w:r>
        <w:rPr>
          <w:rFonts w:hint="eastAsia" w:ascii="仿宋" w:eastAsia="仿宋"/>
          <w:color w:val="auto"/>
          <w:sz w:val="44"/>
          <w:highlight w:val="none"/>
        </w:rPr>
        <w:t>第一章 竞争性磋商公告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hAnsi="仿宋" w:eastAsia="仿宋" w:cs="仿宋"/>
          <w:color w:val="auto"/>
          <w:sz w:val="24"/>
          <w:highlight w:val="none"/>
          <w:u w:val="single"/>
          <w:lang w:eastAsia="zh-CN"/>
        </w:rPr>
        <w:t>绍兴市越城区市场监督管理局2024年度产(商)品质量监督抽查项目（二次重招）</w:t>
      </w:r>
      <w:r>
        <w:rPr>
          <w:rFonts w:ascii="仿宋" w:eastAsia="仿宋"/>
          <w:color w:val="auto"/>
          <w:sz w:val="24"/>
          <w:szCs w:val="24"/>
          <w:highlight w:val="none"/>
        </w:rPr>
        <w:t>采购</w:t>
      </w:r>
      <w:r>
        <w:rPr>
          <w:rFonts w:hint="eastAsia" w:ascii="仿宋" w:eastAsia="仿宋"/>
          <w:color w:val="auto"/>
          <w:sz w:val="24"/>
          <w:szCs w:val="24"/>
          <w:highlight w:val="none"/>
        </w:rPr>
        <w:t>项目的潜在</w:t>
      </w:r>
      <w:r>
        <w:rPr>
          <w:rFonts w:ascii="仿宋" w:eastAsia="仿宋"/>
          <w:color w:val="auto"/>
          <w:sz w:val="24"/>
          <w:szCs w:val="24"/>
          <w:highlight w:val="none"/>
        </w:rPr>
        <w:t>供应商</w:t>
      </w:r>
      <w:r>
        <w:rPr>
          <w:rFonts w:hint="eastAsia" w:ascii="仿宋" w:eastAsia="仿宋"/>
          <w:color w:val="auto"/>
          <w:sz w:val="24"/>
          <w:szCs w:val="24"/>
          <w:highlight w:val="none"/>
        </w:rPr>
        <w:t>应在</w:t>
      </w:r>
      <w:r>
        <w:rPr>
          <w:rFonts w:hint="eastAsia" w:ascii="仿宋" w:eastAsia="仿宋"/>
          <w:bCs/>
          <w:color w:val="auto"/>
          <w:sz w:val="24"/>
          <w:szCs w:val="24"/>
          <w:highlight w:val="none"/>
        </w:rPr>
        <w:t>浙江政府采购云平台（以下简称“政采云平台”），网址</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采购</w:t>
      </w:r>
      <w:r>
        <w:rPr>
          <w:rFonts w:hint="eastAsia" w:ascii="仿宋" w:eastAsia="仿宋"/>
          <w:color w:val="auto"/>
          <w:sz w:val="24"/>
          <w:szCs w:val="24"/>
          <w:highlight w:val="none"/>
        </w:rPr>
        <w:t>文件，并于</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05</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23</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点</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分（</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（上传）响应文件</w:t>
      </w:r>
      <w:r>
        <w:rPr>
          <w:rFonts w:hint="eastAsia" w:ascii="仿宋" w:eastAsia="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3" w:name="_Toc35393621"/>
      <w:bookmarkStart w:id="4" w:name="_Toc28359079"/>
      <w:bookmarkStart w:id="5" w:name="_Toc35393790"/>
      <w:bookmarkStart w:id="6" w:name="_Toc28359002"/>
      <w:bookmarkStart w:id="7" w:name="_Hlk24379207"/>
      <w:r>
        <w:rPr>
          <w:rFonts w:hint="eastAsia" w:ascii="仿宋" w:hAnsi="仿宋" w:eastAsia="仿宋" w:cs="仿宋"/>
          <w:b/>
          <w:bCs/>
          <w:color w:val="auto"/>
          <w:sz w:val="24"/>
          <w:szCs w:val="24"/>
          <w:highlight w:val="none"/>
        </w:rPr>
        <w:t>一、项目基本情况</w:t>
      </w:r>
      <w:bookmarkEnd w:id="3"/>
      <w:bookmarkEnd w:id="4"/>
      <w:bookmarkEnd w:id="5"/>
      <w:bookmarkEnd w:id="6"/>
    </w:p>
    <w:p>
      <w:pPr>
        <w:spacing w:line="360" w:lineRule="auto"/>
        <w:ind w:firstLine="540"/>
        <w:rPr>
          <w:rFonts w:hint="eastAsia" w:ascii="仿宋" w:eastAsia="仿宋" w:cs="宋体"/>
          <w:bCs/>
          <w:color w:val="auto"/>
          <w:sz w:val="24"/>
          <w:szCs w:val="24"/>
          <w:highlight w:val="none"/>
          <w:u w:val="single"/>
        </w:rPr>
      </w:pPr>
      <w:r>
        <w:rPr>
          <w:rFonts w:hint="eastAsia" w:ascii="仿宋" w:eastAsia="仿宋" w:cs="宋体"/>
          <w:bCs/>
          <w:color w:val="auto"/>
          <w:sz w:val="24"/>
          <w:szCs w:val="24"/>
          <w:highlight w:val="none"/>
          <w:u w:val="none"/>
        </w:rPr>
        <w:t>项目编号：</w:t>
      </w:r>
      <w:r>
        <w:rPr>
          <w:rFonts w:hint="default"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SXQS-202405-CS020</w:t>
      </w:r>
      <w:r>
        <w:rPr>
          <w:rFonts w:hint="default"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u w:val="single"/>
          <w:lang w:eastAsia="zh-CN"/>
        </w:rPr>
      </w:pPr>
      <w:r>
        <w:rPr>
          <w:rFonts w:hint="eastAsia" w:ascii="仿宋" w:eastAsia="仿宋" w:cs="宋体"/>
          <w:bCs/>
          <w:color w:val="auto"/>
          <w:sz w:val="24"/>
          <w:szCs w:val="24"/>
          <w:highlight w:val="none"/>
          <w:u w:val="none"/>
        </w:rPr>
        <w:t>项目名称：</w:t>
      </w:r>
      <w:r>
        <w:rPr>
          <w:rFonts w:hint="eastAsia" w:ascii="仿宋" w:eastAsia="仿宋" w:cs="宋体"/>
          <w:bCs/>
          <w:color w:val="auto"/>
          <w:sz w:val="24"/>
          <w:szCs w:val="24"/>
          <w:highlight w:val="none"/>
          <w:u w:val="single"/>
          <w:lang w:val="en-US" w:eastAsia="zh-CN"/>
        </w:rPr>
        <w:t>绍兴市越城区市场监督管理局2024年度产(商)品质量监督抽查项目（二次重招）</w:t>
      </w:r>
    </w:p>
    <w:bookmarkEnd w:id="7"/>
    <w:p>
      <w:pPr>
        <w:spacing w:line="360" w:lineRule="auto"/>
        <w:ind w:firstLine="540"/>
        <w:rPr>
          <w:rFonts w:hint="default" w:ascii="仿宋" w:eastAsia="仿宋" w:cs="宋体"/>
          <w:bCs/>
          <w:color w:val="auto"/>
          <w:sz w:val="24"/>
          <w:szCs w:val="24"/>
          <w:highlight w:val="none"/>
          <w:u w:val="single"/>
        </w:rPr>
      </w:pPr>
      <w:r>
        <w:rPr>
          <w:rFonts w:hint="default" w:ascii="仿宋" w:eastAsia="仿宋" w:cs="宋体"/>
          <w:bCs/>
          <w:color w:val="auto"/>
          <w:sz w:val="24"/>
          <w:szCs w:val="24"/>
          <w:highlight w:val="none"/>
          <w:u w:val="none"/>
        </w:rPr>
        <w:t>采购方式：</w:t>
      </w:r>
      <w:r>
        <w:rPr>
          <w:rFonts w:hint="default" w:ascii="仿宋" w:eastAsia="仿宋" w:cs="宋体"/>
          <w:bCs/>
          <w:color w:val="auto"/>
          <w:sz w:val="24"/>
          <w:szCs w:val="24"/>
          <w:highlight w:val="none"/>
          <w:u w:val="single"/>
        </w:rPr>
        <w:t>竞争性磋商</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11</w:t>
      </w:r>
      <w:r>
        <w:rPr>
          <w:rFonts w:hint="default" w:ascii="仿宋" w:eastAsia="仿宋" w:cs="宋体"/>
          <w:bCs/>
          <w:color w:val="auto"/>
          <w:sz w:val="24"/>
          <w:szCs w:val="24"/>
          <w:highlight w:val="none"/>
          <w:u w:val="single"/>
          <w:lang w:val="en-US"/>
        </w:rPr>
        <w:t>5</w:t>
      </w:r>
      <w:r>
        <w:rPr>
          <w:rFonts w:hint="default" w:ascii="仿宋" w:eastAsia="仿宋" w:cs="宋体"/>
          <w:bCs/>
          <w:color w:val="auto"/>
          <w:sz w:val="24"/>
          <w:szCs w:val="24"/>
          <w:highlight w:val="none"/>
          <w:u w:val="single"/>
        </w:rPr>
        <w:t>0000</w:t>
      </w:r>
      <w:r>
        <w:rPr>
          <w:rFonts w:ascii="仿宋" w:eastAsia="仿宋" w:cs="宋体"/>
          <w:bCs/>
          <w:color w:val="auto"/>
          <w:sz w:val="24"/>
          <w:szCs w:val="24"/>
          <w:highlight w:val="none"/>
          <w:u w:val="single"/>
        </w:rPr>
        <w:t xml:space="preserve"> </w:t>
      </w:r>
      <w:bookmarkStart w:id="96" w:name="_GoBack"/>
      <w:bookmarkEnd w:id="96"/>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1140000</w:t>
      </w:r>
      <w:r>
        <w:rPr>
          <w:rFonts w:ascii="仿宋" w:eastAsia="仿宋" w:cs="宋体"/>
          <w:bCs/>
          <w:color w:val="auto"/>
          <w:sz w:val="24"/>
          <w:szCs w:val="24"/>
          <w:highlight w:val="none"/>
          <w:u w:val="single"/>
        </w:rPr>
        <w:t xml:space="preserve"> </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采购需求：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w:t>
      </w:r>
      <w:r>
        <w:rPr>
          <w:rFonts w:ascii="仿宋" w:eastAsia="仿宋" w:cs="宋体"/>
          <w:bCs/>
          <w:color w:val="auto"/>
          <w:sz w:val="24"/>
          <w:highlight w:val="none"/>
        </w:rPr>
        <w:t xml:space="preserve">   </w:t>
      </w: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仿宋" w:eastAsia="仿宋" w:cs="仿宋"/>
          <w:color w:val="auto"/>
          <w:sz w:val="24"/>
          <w:highlight w:val="none"/>
          <w:u w:val="single"/>
          <w:lang w:val="en-US" w:eastAsia="zh-CN"/>
        </w:rPr>
        <w:t>全区工业品和重要消费品监督抽查项目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pPr>
        <w:spacing w:line="360" w:lineRule="auto"/>
        <w:ind w:firstLine="540"/>
        <w:rPr>
          <w:rFonts w:ascii="仿宋" w:eastAsia="仿宋" w:cs="宋体"/>
          <w:bCs/>
          <w:color w:val="auto"/>
          <w:sz w:val="24"/>
          <w:szCs w:val="24"/>
          <w:highlight w:val="none"/>
          <w:u w:val="singl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7</w:t>
      </w:r>
      <w:r>
        <w:rPr>
          <w:rFonts w:hint="default" w:ascii="仿宋" w:eastAsia="仿宋" w:cs="宋体"/>
          <w:bCs/>
          <w:color w:val="auto"/>
          <w:sz w:val="24"/>
          <w:szCs w:val="24"/>
          <w:highlight w:val="none"/>
          <w:u w:val="single"/>
          <w:lang w:val="en-US"/>
        </w:rPr>
        <w:t>5</w:t>
      </w:r>
      <w:r>
        <w:rPr>
          <w:rFonts w:hint="default" w:ascii="仿宋" w:eastAsia="仿宋" w:cs="宋体"/>
          <w:bCs/>
          <w:color w:val="auto"/>
          <w:sz w:val="24"/>
          <w:szCs w:val="24"/>
          <w:highlight w:val="none"/>
          <w:u w:val="single"/>
        </w:rPr>
        <w:t>0000</w:t>
      </w:r>
      <w:r>
        <w:rPr>
          <w:rFonts w:ascii="仿宋" w:eastAsia="仿宋" w:cs="宋体"/>
          <w:bCs/>
          <w:color w:val="auto"/>
          <w:sz w:val="24"/>
          <w:szCs w:val="24"/>
          <w:highlight w:val="none"/>
          <w:u w:val="single"/>
        </w:rPr>
        <w:t xml:space="preserve">  </w:t>
      </w:r>
    </w:p>
    <w:p>
      <w:pPr>
        <w:spacing w:line="360" w:lineRule="auto"/>
        <w:ind w:firstLine="1094" w:firstLineChars="456"/>
        <w:rPr>
          <w:rFonts w:hint="eastAsia"/>
        </w:rPr>
      </w:pPr>
      <w:r>
        <w:rPr>
          <w:rFonts w:hint="eastAsia" w:ascii="仿宋" w:eastAsia="仿宋" w:cs="宋体"/>
          <w:bCs/>
          <w:color w:val="auto"/>
          <w:sz w:val="24"/>
          <w:szCs w:val="24"/>
          <w:highlight w:val="none"/>
        </w:rPr>
        <w:t>最高</w:t>
      </w:r>
      <w:r>
        <w:rPr>
          <w:rFonts w:hint="eastAsia" w:ascii="仿宋" w:eastAsia="仿宋" w:cs="宋体"/>
          <w:bCs/>
          <w:color w:val="auto"/>
          <w:sz w:val="24"/>
          <w:highlight w:val="none"/>
        </w:rPr>
        <w:t>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 xml:space="preserve"> 740000</w:t>
      </w:r>
      <w:r>
        <w:rPr>
          <w:rFonts w:ascii="仿宋" w:eastAsia="仿宋" w:cs="宋体"/>
          <w:bCs/>
          <w:color w:val="auto"/>
          <w:sz w:val="24"/>
          <w:szCs w:val="24"/>
          <w:highlight w:val="none"/>
          <w:u w:val="single"/>
        </w:rPr>
        <w:t xml:space="preserve"> </w:t>
      </w:r>
    </w:p>
    <w:p>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简要规格描述或项目基本概况介绍、用途：</w:t>
      </w:r>
      <w:r>
        <w:rPr>
          <w:rFonts w:hint="eastAsia" w:ascii="仿宋" w:hAnsi="仿宋" w:eastAsia="仿宋" w:cs="仿宋"/>
          <w:color w:val="auto"/>
          <w:sz w:val="24"/>
          <w:highlight w:val="none"/>
          <w:u w:val="single"/>
          <w:lang w:val="en-US" w:eastAsia="zh-CN"/>
        </w:rPr>
        <w:t>2024年越城区生产及流通领域工业品和重要消费品监督抽查，</w:t>
      </w:r>
      <w:r>
        <w:rPr>
          <w:rFonts w:hint="eastAsia" w:ascii="仿宋" w:hAnsi="仿宋" w:eastAsia="仿宋" w:cs="仿宋"/>
          <w:color w:val="auto"/>
          <w:sz w:val="24"/>
          <w:highlight w:val="none"/>
          <w:u w:val="single"/>
        </w:rPr>
        <w:t>预计抽检批次为</w:t>
      </w:r>
      <w:r>
        <w:rPr>
          <w:rFonts w:hint="eastAsia" w:ascii="仿宋" w:hAnsi="仿宋" w:eastAsia="仿宋" w:cs="仿宋"/>
          <w:color w:val="auto"/>
          <w:sz w:val="24"/>
          <w:highlight w:val="none"/>
          <w:u w:val="single"/>
          <w:lang w:val="en-US" w:eastAsia="zh-CN"/>
        </w:rPr>
        <w:t>275</w:t>
      </w:r>
      <w:r>
        <w:rPr>
          <w:rFonts w:hint="eastAsia" w:ascii="仿宋" w:hAnsi="仿宋" w:eastAsia="仿宋" w:cs="仿宋"/>
          <w:color w:val="auto"/>
          <w:sz w:val="24"/>
          <w:highlight w:val="none"/>
          <w:u w:val="single"/>
        </w:rPr>
        <w:t>批次</w:t>
      </w:r>
      <w:r>
        <w:rPr>
          <w:rFonts w:ascii="仿宋" w:eastAsia="仿宋" w:cs="宋体"/>
          <w:bCs/>
          <w:color w:val="auto"/>
          <w:sz w:val="24"/>
          <w:highlight w:val="none"/>
          <w:u w:val="single"/>
        </w:rPr>
        <w:t>。</w:t>
      </w:r>
    </w:p>
    <w:p>
      <w:pPr>
        <w:spacing w:after="120" w:line="360" w:lineRule="auto"/>
        <w:ind w:left="420" w:leftChars="200" w:firstLine="540"/>
        <w:jc w:val="both"/>
        <w:rPr>
          <w:color w:val="auto"/>
          <w:highlight w:val="none"/>
        </w:rPr>
      </w:pPr>
      <w:r>
        <w:rPr>
          <w:rFonts w:hint="default" w:ascii="仿宋" w:hAnsi="Times New Roman" w:eastAsia="仿宋" w:cs="宋体"/>
          <w:b w:val="0"/>
          <w:bCs w:val="0"/>
          <w:i w:val="0"/>
          <w:iCs w:val="0"/>
          <w:color w:val="auto"/>
          <w:kern w:val="2"/>
          <w:sz w:val="24"/>
          <w:szCs w:val="24"/>
          <w:highlight w:val="none"/>
          <w:vertAlign w:val="baseline"/>
          <w:lang w:val="en-US" w:eastAsia="zh-CN" w:bidi="ar-SA"/>
        </w:rPr>
        <w:t>备注：本项目分3个标段，允许供应商单独参加1个标段或同时参加3个标段的投标，开标时按先开01标再开02标的顺序，01标的中标单位可继续参与02标的评审，以此类推。</w:t>
      </w:r>
    </w:p>
    <w:p>
      <w:pPr>
        <w:spacing w:line="360" w:lineRule="auto"/>
        <w:ind w:firstLine="1094" w:firstLineChars="456"/>
        <w:rPr>
          <w:rFonts w:hint="eastAsia" w:ascii="仿宋" w:eastAsia="仿宋" w:cs="宋体"/>
          <w:bCs/>
          <w:color w:val="auto"/>
          <w:sz w:val="24"/>
          <w:highlight w:val="none"/>
        </w:rPr>
      </w:pPr>
      <w:r>
        <w:rPr>
          <w:rFonts w:hint="eastAsia" w:ascii="仿宋" w:eastAsia="仿宋" w:cs="宋体"/>
          <w:bCs/>
          <w:color w:val="auto"/>
          <w:sz w:val="24"/>
          <w:highlight w:val="none"/>
        </w:rPr>
        <w:t>标项</w:t>
      </w:r>
      <w:r>
        <w:rPr>
          <w:rFonts w:hint="eastAsia" w:ascii="仿宋" w:eastAsia="仿宋" w:cs="宋体"/>
          <w:bCs/>
          <w:color w:val="auto"/>
          <w:sz w:val="24"/>
          <w:highlight w:val="none"/>
          <w:lang w:val="en-US"/>
        </w:rPr>
        <w:t>二</w:t>
      </w:r>
      <w:r>
        <w:rPr>
          <w:rFonts w:hint="eastAsia"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u w:val="singl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仿宋" w:eastAsia="仿宋" w:cs="仿宋"/>
          <w:color w:val="auto"/>
          <w:sz w:val="24"/>
          <w:highlight w:val="none"/>
          <w:u w:val="single"/>
          <w:lang w:val="en-US" w:eastAsia="zh-CN"/>
        </w:rPr>
        <w:t>全区重点监管产品专项监督抽查项目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w:t>
      </w:r>
      <w:r>
        <w:rPr>
          <w:rFonts w:ascii="仿宋" w:eastAsia="仿宋" w:cs="宋体"/>
          <w:bCs/>
          <w:color w:val="auto"/>
          <w:sz w:val="24"/>
          <w:szCs w:val="24"/>
          <w:highlight w:val="none"/>
          <w:u w:val="single"/>
        </w:rPr>
        <w:t xml:space="preserve">  </w:t>
      </w:r>
    </w:p>
    <w:p>
      <w:pPr>
        <w:spacing w:line="360" w:lineRule="auto"/>
        <w:ind w:firstLine="540"/>
        <w:rPr>
          <w:rFonts w:ascii="仿宋" w:eastAsia="仿宋" w:cs="宋体"/>
          <w:bCs/>
          <w:color w:val="auto"/>
          <w:sz w:val="24"/>
          <w:szCs w:val="24"/>
          <w:highlight w:val="none"/>
          <w:u w:val="singl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300000</w:t>
      </w:r>
      <w:r>
        <w:rPr>
          <w:rFonts w:ascii="仿宋" w:eastAsia="仿宋" w:cs="宋体"/>
          <w:bCs/>
          <w:color w:val="auto"/>
          <w:sz w:val="24"/>
          <w:szCs w:val="24"/>
          <w:highlight w:val="none"/>
          <w:u w:val="single"/>
        </w:rPr>
        <w:t xml:space="preserve">  </w:t>
      </w:r>
    </w:p>
    <w:p>
      <w:pPr>
        <w:spacing w:line="360" w:lineRule="auto"/>
        <w:ind w:firstLine="1094" w:firstLineChars="456"/>
        <w:rPr>
          <w:rFonts w:hint="eastAsia"/>
        </w:rPr>
      </w:pPr>
      <w:r>
        <w:rPr>
          <w:rFonts w:hint="eastAsia" w:ascii="仿宋" w:eastAsia="仿宋" w:cs="宋体"/>
          <w:bCs/>
          <w:color w:val="auto"/>
          <w:sz w:val="24"/>
          <w:szCs w:val="24"/>
          <w:highlight w:val="none"/>
        </w:rPr>
        <w:t>最高</w:t>
      </w:r>
      <w:r>
        <w:rPr>
          <w:rFonts w:hint="eastAsia" w:ascii="仿宋" w:eastAsia="仿宋" w:cs="宋体"/>
          <w:bCs/>
          <w:color w:val="auto"/>
          <w:sz w:val="24"/>
          <w:highlight w:val="none"/>
        </w:rPr>
        <w:t>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 xml:space="preserve"> 300000</w:t>
      </w:r>
      <w:r>
        <w:rPr>
          <w:rFonts w:ascii="仿宋" w:eastAsia="仿宋" w:cs="宋体"/>
          <w:bCs/>
          <w:color w:val="auto"/>
          <w:sz w:val="24"/>
          <w:szCs w:val="24"/>
          <w:highlight w:val="none"/>
          <w:u w:val="single"/>
        </w:rPr>
        <w:t xml:space="preserve"> </w:t>
      </w:r>
    </w:p>
    <w:p>
      <w:pPr>
        <w:spacing w:line="360" w:lineRule="auto"/>
        <w:ind w:firstLine="960" w:firstLineChars="400"/>
        <w:rPr>
          <w:rFonts w:hint="eastAsia" w:ascii="仿宋" w:eastAsia="仿宋" w:cs="宋体"/>
          <w:bCs/>
          <w:color w:val="auto"/>
          <w:sz w:val="24"/>
          <w:highlight w:val="none"/>
          <w:u w:val="single"/>
          <w:lang w:eastAsia="zh-CN"/>
        </w:rPr>
      </w:pPr>
      <w:r>
        <w:rPr>
          <w:rFonts w:hint="eastAsia" w:ascii="仿宋" w:eastAsia="仿宋" w:cs="宋体"/>
          <w:bCs/>
          <w:color w:val="auto"/>
          <w:sz w:val="24"/>
          <w:highlight w:val="none"/>
          <w:u w:val="none"/>
          <w:lang w:val="en-US" w:eastAsia="zh-CN"/>
        </w:rPr>
        <w:t>简要规格描述或项目基本概况介绍、用途：</w:t>
      </w:r>
      <w:r>
        <w:rPr>
          <w:rFonts w:hint="eastAsia" w:ascii="仿宋" w:eastAsia="仿宋" w:cs="宋体"/>
          <w:bCs/>
          <w:color w:val="auto"/>
          <w:sz w:val="24"/>
          <w:highlight w:val="none"/>
          <w:u w:val="single"/>
          <w:lang w:val="en-US" w:eastAsia="zh-CN"/>
        </w:rPr>
        <w:t>2024年越城区重点监管产品专项监督抽查，</w:t>
      </w:r>
      <w:r>
        <w:rPr>
          <w:rFonts w:hint="eastAsia" w:ascii="仿宋" w:eastAsia="仿宋" w:cs="宋体"/>
          <w:bCs/>
          <w:color w:val="auto"/>
          <w:sz w:val="24"/>
          <w:highlight w:val="none"/>
          <w:u w:val="single"/>
        </w:rPr>
        <w:t>预计抽检批次为1</w:t>
      </w:r>
      <w:r>
        <w:rPr>
          <w:rFonts w:hint="eastAsia" w:ascii="仿宋" w:eastAsia="仿宋" w:cs="宋体"/>
          <w:bCs/>
          <w:color w:val="auto"/>
          <w:sz w:val="24"/>
          <w:highlight w:val="none"/>
          <w:u w:val="single"/>
          <w:lang w:val="en-US" w:eastAsia="zh-CN"/>
        </w:rPr>
        <w:t>05</w:t>
      </w:r>
      <w:r>
        <w:rPr>
          <w:rFonts w:hint="eastAsia" w:ascii="仿宋" w:eastAsia="仿宋" w:cs="宋体"/>
          <w:bCs/>
          <w:color w:val="auto"/>
          <w:sz w:val="24"/>
          <w:highlight w:val="none"/>
          <w:u w:val="single"/>
        </w:rPr>
        <w:t>批次</w:t>
      </w:r>
      <w:r>
        <w:rPr>
          <w:rFonts w:hint="eastAsia" w:ascii="仿宋" w:eastAsia="仿宋" w:cs="宋体"/>
          <w:bCs/>
          <w:color w:val="auto"/>
          <w:sz w:val="24"/>
          <w:highlight w:val="none"/>
          <w:u w:val="single"/>
          <w:lang w:eastAsia="zh-CN"/>
        </w:rPr>
        <w:t>。</w:t>
      </w:r>
    </w:p>
    <w:p>
      <w:pPr>
        <w:spacing w:after="120" w:line="360" w:lineRule="auto"/>
        <w:ind w:left="420" w:leftChars="200" w:firstLine="540"/>
        <w:jc w:val="both"/>
        <w:rPr>
          <w:color w:val="auto"/>
          <w:highlight w:val="none"/>
        </w:rPr>
      </w:pPr>
      <w:r>
        <w:rPr>
          <w:rFonts w:hint="default" w:ascii="仿宋" w:hAnsi="Times New Roman" w:eastAsia="仿宋" w:cs="宋体"/>
          <w:b w:val="0"/>
          <w:bCs w:val="0"/>
          <w:i w:val="0"/>
          <w:iCs w:val="0"/>
          <w:color w:val="auto"/>
          <w:kern w:val="2"/>
          <w:sz w:val="24"/>
          <w:szCs w:val="24"/>
          <w:highlight w:val="none"/>
          <w:vertAlign w:val="baseline"/>
          <w:lang w:val="en-US" w:eastAsia="zh-CN" w:bidi="ar-SA"/>
        </w:rPr>
        <w:t>备注：本项目分3个标段，允许供应商单独参加1个标段或同时参加3个标段的投标，开标时按先开01标再开02标的顺序，01标的中标单位可继续参与02标的评审，以此类推。</w:t>
      </w:r>
    </w:p>
    <w:p>
      <w:pPr>
        <w:pStyle w:val="2"/>
        <w:rPr>
          <w:rFonts w:hint="eastAsia"/>
          <w:b/>
          <w:bCs w:val="0"/>
          <w:color w:val="auto"/>
          <w:highlight w:val="none"/>
        </w:rPr>
      </w:pPr>
    </w:p>
    <w:p>
      <w:pPr>
        <w:spacing w:line="360" w:lineRule="auto"/>
        <w:ind w:firstLine="960" w:firstLineChars="400"/>
        <w:rPr>
          <w:rFonts w:hint="eastAsia" w:ascii="仿宋" w:eastAsia="仿宋" w:cs="宋体"/>
          <w:bCs/>
          <w:color w:val="auto"/>
          <w:sz w:val="24"/>
          <w:highlight w:val="none"/>
        </w:rPr>
      </w:pPr>
      <w:r>
        <w:rPr>
          <w:rFonts w:hint="eastAsia" w:ascii="仿宋" w:eastAsia="仿宋" w:cs="宋体"/>
          <w:bCs/>
          <w:color w:val="auto"/>
          <w:sz w:val="24"/>
          <w:highlight w:val="none"/>
        </w:rPr>
        <w:t>标项</w:t>
      </w:r>
      <w:r>
        <w:rPr>
          <w:rFonts w:hint="eastAsia" w:ascii="仿宋" w:eastAsia="仿宋" w:cs="宋体"/>
          <w:bCs/>
          <w:color w:val="auto"/>
          <w:sz w:val="24"/>
          <w:highlight w:val="none"/>
          <w:lang w:val="en-US"/>
        </w:rPr>
        <w:t>三</w:t>
      </w:r>
      <w:r>
        <w:rPr>
          <w:rFonts w:ascii="仿宋" w:eastAsia="仿宋" w:cs="宋体"/>
          <w:bCs/>
          <w:color w:val="auto"/>
          <w:sz w:val="24"/>
          <w:highlight w:val="none"/>
        </w:rPr>
        <w:t>：</w:t>
      </w:r>
    </w:p>
    <w:p>
      <w:pPr>
        <w:kinsoku/>
        <w:overflowPunct/>
        <w:topLinePunct w:val="0"/>
        <w:bidi w:val="0"/>
        <w:spacing w:line="240" w:lineRule="auto"/>
        <w:ind w:firstLine="480" w:firstLineChars="200"/>
        <w:jc w:val="left"/>
        <w:rPr>
          <w:rFonts w:hint="eastAsia" w:ascii="仿宋" w:eastAsia="仿宋" w:cs="宋体"/>
          <w:bCs/>
          <w:color w:val="auto"/>
          <w:sz w:val="24"/>
          <w:highlight w:val="none"/>
          <w:u w:val="singl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仿宋" w:eastAsia="仿宋" w:cs="仿宋"/>
          <w:color w:val="auto"/>
          <w:sz w:val="24"/>
          <w:highlight w:val="none"/>
          <w:u w:val="single"/>
          <w:lang w:val="en-US" w:eastAsia="zh-CN"/>
        </w:rPr>
        <w:t>全区纺织消费品产品质量监督抽查项目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w:t>
      </w:r>
      <w:r>
        <w:rPr>
          <w:rFonts w:ascii="仿宋" w:eastAsia="仿宋" w:cs="宋体"/>
          <w:bCs/>
          <w:color w:val="auto"/>
          <w:sz w:val="24"/>
          <w:szCs w:val="24"/>
          <w:highlight w:val="none"/>
          <w:u w:val="single"/>
        </w:rPr>
        <w:t xml:space="preserve">  </w:t>
      </w:r>
    </w:p>
    <w:p>
      <w:pPr>
        <w:spacing w:line="360" w:lineRule="auto"/>
        <w:ind w:firstLine="540"/>
        <w:rPr>
          <w:rFonts w:ascii="仿宋" w:eastAsia="仿宋" w:cs="宋体"/>
          <w:bCs/>
          <w:color w:val="auto"/>
          <w:sz w:val="24"/>
          <w:szCs w:val="24"/>
          <w:highlight w:val="none"/>
          <w:u w:val="singl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eastAsia="仿宋" w:cs="宋体"/>
          <w:bCs/>
          <w:color w:val="auto"/>
          <w:sz w:val="24"/>
          <w:szCs w:val="24"/>
          <w:highlight w:val="none"/>
          <w:u w:val="single"/>
        </w:rPr>
        <w:t>100000</w:t>
      </w:r>
      <w:r>
        <w:rPr>
          <w:rFonts w:ascii="仿宋" w:eastAsia="仿宋" w:cs="宋体"/>
          <w:bCs/>
          <w:color w:val="auto"/>
          <w:sz w:val="24"/>
          <w:szCs w:val="24"/>
          <w:highlight w:val="none"/>
          <w:u w:val="single"/>
        </w:rPr>
        <w:t xml:space="preserve">  </w:t>
      </w:r>
    </w:p>
    <w:p>
      <w:pPr>
        <w:spacing w:line="360" w:lineRule="auto"/>
        <w:ind w:firstLine="1094" w:firstLineChars="456"/>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w:t>
      </w:r>
      <w:r>
        <w:rPr>
          <w:rFonts w:hint="eastAsia" w:ascii="仿宋" w:eastAsia="仿宋" w:cs="宋体"/>
          <w:bCs/>
          <w:color w:val="auto"/>
          <w:sz w:val="24"/>
          <w:highlight w:val="none"/>
        </w:rPr>
        <w:t>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 xml:space="preserve"> 100000</w:t>
      </w:r>
      <w:r>
        <w:rPr>
          <w:rFonts w:ascii="仿宋" w:eastAsia="仿宋" w:cs="宋体"/>
          <w:bCs/>
          <w:color w:val="auto"/>
          <w:sz w:val="24"/>
          <w:szCs w:val="24"/>
          <w:highlight w:val="none"/>
          <w:u w:val="single"/>
        </w:rPr>
        <w:t xml:space="preserve"> </w:t>
      </w:r>
    </w:p>
    <w:p>
      <w:pPr>
        <w:pStyle w:val="2"/>
        <w:rPr>
          <w:rFonts w:hint="eastAsia"/>
        </w:rPr>
      </w:pPr>
    </w:p>
    <w:p>
      <w:pPr>
        <w:spacing w:line="360" w:lineRule="auto"/>
        <w:ind w:firstLine="540"/>
        <w:rPr>
          <w:rFonts w:hint="eastAsia" w:ascii="仿宋" w:eastAsia="仿宋" w:cs="宋体"/>
          <w:bCs/>
          <w:color w:val="auto"/>
          <w:sz w:val="24"/>
          <w:highlight w:val="none"/>
          <w:u w:val="single"/>
          <w:lang w:val="en-US" w:eastAsia="zh-CN"/>
        </w:rPr>
      </w:pPr>
      <w:r>
        <w:rPr>
          <w:rFonts w:hint="eastAsia" w:ascii="仿宋" w:eastAsia="仿宋" w:cs="宋体"/>
          <w:bCs/>
          <w:color w:val="auto"/>
          <w:sz w:val="24"/>
          <w:highlight w:val="none"/>
          <w:u w:val="none"/>
          <w:lang w:val="en-US" w:eastAsia="zh-CN"/>
        </w:rPr>
        <w:t xml:space="preserve">    简要规格描述或项目基本概况介绍、用途：</w:t>
      </w:r>
      <w:r>
        <w:rPr>
          <w:rFonts w:hint="eastAsia" w:ascii="仿宋" w:eastAsia="仿宋" w:cs="宋体"/>
          <w:bCs/>
          <w:color w:val="auto"/>
          <w:sz w:val="24"/>
          <w:highlight w:val="none"/>
          <w:u w:val="single"/>
          <w:lang w:val="en-US" w:eastAsia="zh-CN"/>
        </w:rPr>
        <w:t>2024年越城区纺织消费品产品质量监督抽查，预计抽检批次为50批次。</w:t>
      </w:r>
    </w:p>
    <w:p>
      <w:pPr>
        <w:spacing w:after="120" w:line="360" w:lineRule="auto"/>
        <w:ind w:left="420" w:leftChars="200" w:firstLine="540"/>
        <w:jc w:val="both"/>
        <w:rPr>
          <w:color w:val="auto"/>
          <w:highlight w:val="none"/>
        </w:rPr>
      </w:pPr>
      <w:r>
        <w:rPr>
          <w:rFonts w:hint="default" w:ascii="仿宋" w:hAnsi="Times New Roman" w:eastAsia="仿宋" w:cs="宋体"/>
          <w:b w:val="0"/>
          <w:bCs w:val="0"/>
          <w:i w:val="0"/>
          <w:iCs w:val="0"/>
          <w:color w:val="auto"/>
          <w:kern w:val="2"/>
          <w:sz w:val="24"/>
          <w:szCs w:val="24"/>
          <w:highlight w:val="none"/>
          <w:vertAlign w:val="baseline"/>
          <w:lang w:val="en-US" w:eastAsia="zh-CN" w:bidi="ar-SA"/>
        </w:rPr>
        <w:t>备注：本项目分3个标段，允许供应商单独参加1个标段或同时参加3个标段的投标，开标时按先开01标再开02标的顺序，01标的中标单位可继续参与02标的评审，以此类推。</w:t>
      </w:r>
    </w:p>
    <w:p>
      <w:pPr>
        <w:pStyle w:val="2"/>
        <w:rPr>
          <w:rFonts w:hint="eastAsia"/>
          <w:b/>
          <w:bCs w:val="0"/>
          <w:color w:val="auto"/>
          <w:highlight w:val="none"/>
          <w:lang w:val="en-US" w:eastAsia="zh-CN"/>
        </w:rPr>
      </w:pP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按双方合同约定条款执行</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w:t>
      </w:r>
      <w:r>
        <w:rPr>
          <w:rFonts w:ascii="仿宋" w:eastAsia="仿宋" w:cs="宋体"/>
          <w:bCs/>
          <w:color w:val="auto"/>
          <w:sz w:val="24"/>
          <w:szCs w:val="24"/>
          <w:highlight w:val="none"/>
        </w:rPr>
        <w:t>磋商</w:t>
      </w:r>
      <w:r>
        <w:rPr>
          <w:rFonts w:hint="eastAsia" w:ascii="仿宋" w:eastAsia="仿宋"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8" w:name="_Toc35393791"/>
      <w:bookmarkStart w:id="9" w:name="_Toc35393622"/>
      <w:bookmarkStart w:id="10" w:name="_Toc28359003"/>
      <w:bookmarkStart w:id="11" w:name="_Toc28359080"/>
      <w:r>
        <w:rPr>
          <w:rFonts w:hint="eastAsia" w:ascii="仿宋" w:hAnsi="仿宋" w:eastAsia="仿宋" w:cs="仿宋"/>
          <w:b/>
          <w:bCs/>
          <w:color w:val="auto"/>
          <w:sz w:val="24"/>
          <w:szCs w:val="24"/>
          <w:highlight w:val="none"/>
        </w:rPr>
        <w:t>二、申请人的资格要求：</w:t>
      </w:r>
      <w:bookmarkEnd w:id="8"/>
      <w:bookmarkEnd w:id="9"/>
      <w:bookmarkEnd w:id="10"/>
      <w:bookmarkEnd w:id="11"/>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rPr>
      </w:pPr>
      <w:bookmarkStart w:id="12" w:name="_Toc28359004"/>
      <w:bookmarkStart w:id="13"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highlight w:val="none"/>
          <w:u w:val="single"/>
          <w:lang w:val="en-US"/>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 xml:space="preserve"> </w:t>
      </w:r>
      <w:r>
        <w:rPr>
          <w:rFonts w:hint="eastAsia" w:ascii="仿宋" w:eastAsia="仿宋" w:cs="宋体"/>
          <w:bCs/>
          <w:caps w:val="0"/>
          <w:smallCaps w:val="0"/>
          <w:snapToGrid/>
          <w:vanish w:val="0"/>
          <w:color w:val="auto"/>
          <w:sz w:val="24"/>
          <w:szCs w:val="24"/>
          <w:highlight w:val="none"/>
          <w:u w:val="single"/>
          <w:vertAlign w:val="baseline"/>
          <w:lang w:val="en-US" w:eastAsia="zh-CN"/>
        </w:rPr>
        <w:t xml:space="preserve">无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14" w:name="_Toc35393623"/>
      <w:bookmarkStart w:id="15" w:name="_Toc35393792"/>
      <w:r>
        <w:rPr>
          <w:rFonts w:hint="eastAsia" w:ascii="仿宋" w:hAnsi="仿宋" w:eastAsia="仿宋" w:cs="仿宋"/>
          <w:b/>
          <w:bCs/>
          <w:color w:val="auto"/>
          <w:sz w:val="24"/>
          <w:szCs w:val="24"/>
          <w:highlight w:val="none"/>
        </w:rPr>
        <w:t>三、获取（下载）采购文件</w:t>
      </w:r>
      <w:bookmarkEnd w:id="12"/>
      <w:bookmarkEnd w:id="13"/>
      <w:bookmarkEnd w:id="14"/>
      <w:bookmarkEnd w:id="15"/>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05</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23</w:t>
      </w:r>
      <w:r>
        <w:rPr>
          <w:rFonts w:hint="eastAsia" w:ascii="仿宋" w:eastAsia="仿宋"/>
          <w:bCs/>
          <w:color w:val="auto"/>
          <w:sz w:val="24"/>
          <w:szCs w:val="24"/>
          <w:highlight w:val="none"/>
          <w:u w:val="single"/>
        </w:rPr>
        <w:t>日</w:t>
      </w:r>
      <w:r>
        <w:rPr>
          <w:rFonts w:ascii="仿宋" w:eastAsia="仿宋" w:cs="宋体"/>
          <w:color w:val="auto"/>
          <w:sz w:val="24"/>
          <w:szCs w:val="24"/>
          <w:highlight w:val="none"/>
          <w:u w:val="single"/>
        </w:rPr>
        <w:t xml:space="preserve"> </w:t>
      </w:r>
      <w:r>
        <w:rPr>
          <w:rFonts w:ascii="仿宋" w:eastAsia="仿宋" w:cs="宋体"/>
          <w:color w:val="auto"/>
          <w:sz w:val="24"/>
          <w:szCs w:val="24"/>
          <w:highlight w:val="none"/>
        </w:rPr>
        <w:t>，每天上午00:00至12:00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供应商登陆政采云平台https://www.zcygov.cn/在线申请获取磋商文件（进入“项目采购”应用，在获取采购文件菜单中选择项目，申请获取磋商文件） </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16" w:name="_Toc28359082"/>
      <w:bookmarkStart w:id="17" w:name="_Toc35393793"/>
      <w:bookmarkStart w:id="18" w:name="_Toc35393624"/>
      <w:bookmarkStart w:id="19" w:name="_Toc28359005"/>
      <w:r>
        <w:rPr>
          <w:rFonts w:hint="eastAsia" w:ascii="仿宋" w:hAnsi="仿宋" w:eastAsia="仿宋" w:cs="仿宋"/>
          <w:b/>
          <w:bCs/>
          <w:color w:val="auto"/>
          <w:sz w:val="24"/>
          <w:szCs w:val="24"/>
          <w:highlight w:val="none"/>
        </w:rPr>
        <w:t>四、</w:t>
      </w:r>
      <w:bookmarkEnd w:id="16"/>
      <w:bookmarkEnd w:id="17"/>
      <w:bookmarkEnd w:id="18"/>
      <w:bookmarkEnd w:id="19"/>
      <w:r>
        <w:rPr>
          <w:rFonts w:hint="eastAsia" w:ascii="仿宋" w:hAnsi="仿宋" w:eastAsia="仿宋" w:cs="仿宋"/>
          <w:b/>
          <w:bCs/>
          <w:color w:val="auto"/>
          <w:sz w:val="24"/>
          <w:szCs w:val="24"/>
          <w:highlight w:val="none"/>
        </w:rPr>
        <w:t>响应文件提交（上传）</w:t>
      </w:r>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截止时间：</w:t>
      </w:r>
      <w:r>
        <w:rPr>
          <w:rFonts w:hint="eastAsia" w:ascii="仿宋" w:eastAsia="仿宋"/>
          <w:bCs/>
          <w:color w:val="auto"/>
          <w:sz w:val="24"/>
          <w:szCs w:val="24"/>
          <w:highlight w:val="none"/>
          <w:u w:val="single"/>
        </w:rPr>
        <w:t xml:space="preserve"> </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05</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23</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点</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分</w:t>
      </w:r>
      <w:r>
        <w:rPr>
          <w:rFonts w:hint="eastAsia" w:ascii="仿宋" w:eastAsia="仿宋"/>
          <w:bCs/>
          <w:color w:val="auto"/>
          <w:sz w:val="24"/>
          <w:szCs w:val="24"/>
          <w:highlight w:val="none"/>
        </w:rPr>
        <w:t>（北京时间）</w:t>
      </w:r>
    </w:p>
    <w:p>
      <w:pPr>
        <w:spacing w:line="360" w:lineRule="auto"/>
        <w:ind w:firstLine="480" w:firstLineChars="200"/>
        <w:rPr>
          <w:rFonts w:ascii="仿宋" w:eastAsia="仿宋"/>
          <w:b w:val="0"/>
          <w:bCs w:val="0"/>
          <w:i w:val="0"/>
          <w:iCs w:val="0"/>
          <w:caps w:val="0"/>
          <w:smallCaps w:val="0"/>
          <w:color w:val="auto"/>
          <w:spacing w:val="0"/>
          <w:sz w:val="24"/>
          <w:szCs w:val="24"/>
          <w:highlight w:val="none"/>
        </w:rPr>
      </w:pP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w:t>
      </w:r>
      <w:r>
        <w:rPr>
          <w:rStyle w:val="36"/>
          <w:rFonts w:hint="eastAsia" w:ascii="仿宋" w:eastAsia="仿宋"/>
          <w:b w:val="0"/>
          <w:bCs w:val="0"/>
          <w:i w:val="0"/>
          <w:iCs w:val="0"/>
          <w:caps w:val="0"/>
          <w:smallCaps w:val="0"/>
          <w:color w:val="auto"/>
          <w:spacing w:val="0"/>
          <w:sz w:val="24"/>
          <w:szCs w:val="24"/>
          <w:highlight w:val="none"/>
        </w:rPr>
        <w:fldChar w:fldCharType="begin"/>
      </w:r>
      <w:r>
        <w:rPr>
          <w:color w:val="auto"/>
          <w:highlight w:val="none"/>
        </w:rPr>
        <w:instrText xml:space="preserve">HYPERLINK "http://www.zcygov.cn/"</w:instrText>
      </w:r>
      <w:r>
        <w:rPr>
          <w:rStyle w:val="36"/>
          <w:rFonts w:hint="eastAsia" w:ascii="仿宋" w:eastAsia="仿宋"/>
          <w:b w:val="0"/>
          <w:bCs w:val="0"/>
          <w:i w:val="0"/>
          <w:iCs w:val="0"/>
          <w:caps w:val="0"/>
          <w:smallCaps w:val="0"/>
          <w:color w:val="auto"/>
          <w:spacing w:val="0"/>
          <w:sz w:val="24"/>
          <w:szCs w:val="24"/>
          <w:highlight w:val="none"/>
        </w:rPr>
        <w:fldChar w:fldCharType="separate"/>
      </w:r>
      <w:r>
        <w:rPr>
          <w:rStyle w:val="36"/>
          <w:rFonts w:hint="eastAsia" w:ascii="仿宋" w:eastAsia="仿宋"/>
          <w:b w:val="0"/>
          <w:bCs w:val="0"/>
          <w:i w:val="0"/>
          <w:iCs w:val="0"/>
          <w:caps w:val="0"/>
          <w:smallCaps w:val="0"/>
          <w:color w:val="auto"/>
          <w:spacing w:val="0"/>
          <w:sz w:val="24"/>
          <w:szCs w:val="24"/>
          <w:highlight w:val="none"/>
        </w:rPr>
        <w:t>http://www.zcygov.cn/</w:t>
      </w:r>
      <w:r>
        <w:rPr>
          <w:rStyle w:val="36"/>
          <w:rFonts w:hint="eastAsia" w:ascii="仿宋" w:eastAsia="仿宋"/>
          <w:b w:val="0"/>
          <w:bCs w:val="0"/>
          <w:i w:val="0"/>
          <w:iCs w:val="0"/>
          <w:caps w:val="0"/>
          <w:smallCaps w:val="0"/>
          <w:color w:val="auto"/>
          <w:spacing w:val="0"/>
          <w:sz w:val="24"/>
          <w:szCs w:val="24"/>
          <w:highlight w:val="none"/>
        </w:rPr>
        <w:fldChar w:fldCharType="end"/>
      </w:r>
      <w:r>
        <w:rPr>
          <w:rFonts w:ascii="仿宋" w:eastAsia="仿宋"/>
          <w:b w:val="0"/>
          <w:bCs w:val="0"/>
          <w:i w:val="0"/>
          <w:iCs w:val="0"/>
          <w:caps w:val="0"/>
          <w:smallCaps w:val="0"/>
          <w:color w:val="auto"/>
          <w:spacing w:val="0"/>
          <w:sz w:val="24"/>
          <w:szCs w:val="24"/>
          <w:highlight w:val="none"/>
        </w:rPr>
        <w:t xml:space="preserve">  </w:t>
      </w:r>
      <w:r>
        <w:rPr>
          <w:rFonts w:hint="eastAsia" w:ascii="仿宋" w:eastAsia="仿宋"/>
          <w:b w:val="0"/>
          <w:bCs w:val="0"/>
          <w:i w:val="0"/>
          <w:iCs w:val="0"/>
          <w:caps w:val="0"/>
          <w:smallCaps w:val="0"/>
          <w:color w:val="auto"/>
          <w:spacing w:val="0"/>
          <w:sz w:val="24"/>
          <w:szCs w:val="24"/>
          <w:highlight w:val="none"/>
        </w:rPr>
        <w:t>在线递交</w:t>
      </w:r>
      <w:r>
        <w:rPr>
          <w:rFonts w:ascii="仿宋" w:eastAsia="仿宋"/>
          <w:b w:val="0"/>
          <w:bCs w:val="0"/>
          <w:i w:val="0"/>
          <w:iCs w:val="0"/>
          <w:caps w:val="0"/>
          <w:smallCaps w:val="0"/>
          <w:color w:val="auto"/>
          <w:spacing w:val="0"/>
          <w:sz w:val="24"/>
          <w:szCs w:val="24"/>
          <w:highlight w:val="none"/>
        </w:rPr>
        <w:t>，不接收纸质响应文件。</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五、响应文件开启</w:t>
      </w:r>
    </w:p>
    <w:p>
      <w:pPr>
        <w:spacing w:line="360" w:lineRule="auto"/>
        <w:ind w:firstLine="480" w:firstLineChars="200"/>
        <w:rPr>
          <w:rFonts w:hint="eastAsia" w:ascii="仿宋" w:eastAsia="仿宋"/>
          <w:bCs/>
          <w:color w:val="auto"/>
          <w:sz w:val="24"/>
          <w:szCs w:val="24"/>
          <w:highlight w:val="none"/>
          <w:u w:val="single"/>
        </w:rPr>
      </w:pPr>
      <w:r>
        <w:rPr>
          <w:rFonts w:ascii="仿宋" w:eastAsia="仿宋"/>
          <w:color w:val="auto"/>
          <w:sz w:val="24"/>
          <w:szCs w:val="24"/>
          <w:highlight w:val="none"/>
        </w:rPr>
        <w:t>开启时间：</w:t>
      </w:r>
      <w:r>
        <w:rPr>
          <w:rFonts w:hint="eastAsia" w:ascii="仿宋" w:eastAsia="仿宋"/>
          <w:color w:val="auto"/>
          <w:sz w:val="24"/>
          <w:szCs w:val="24"/>
          <w:highlight w:val="none"/>
          <w:u w:val="single"/>
          <w:lang w:val="en-US" w:eastAsia="zh-CN"/>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05</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23</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hint="eastAsia" w:ascii="仿宋" w:eastAsia="仿宋"/>
          <w:bCs/>
          <w:color w:val="auto"/>
          <w:sz w:val="24"/>
          <w:szCs w:val="24"/>
          <w:highlight w:val="none"/>
          <w:u w:val="single"/>
        </w:rPr>
        <w:t>点</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single"/>
        </w:rPr>
        <w:t>分</w:t>
      </w:r>
    </w:p>
    <w:p>
      <w:pPr>
        <w:spacing w:line="360" w:lineRule="auto"/>
        <w:ind w:firstLine="480" w:firstLineChars="200"/>
        <w:rPr>
          <w:rFonts w:ascii="仿宋" w:eastAsia="仿宋"/>
          <w:b w:val="0"/>
          <w:bCs w:val="0"/>
          <w:i w:val="0"/>
          <w:iCs w:val="0"/>
          <w:caps w:val="0"/>
          <w:smallCaps w:val="0"/>
          <w:color w:val="auto"/>
          <w:spacing w:val="0"/>
          <w:sz w:val="24"/>
          <w:szCs w:val="24"/>
          <w:highlight w:val="none"/>
          <w:u w:val="single"/>
        </w:rPr>
      </w:pPr>
      <w:r>
        <w:rPr>
          <w:rFonts w:ascii="仿宋" w:eastAsia="仿宋"/>
          <w:color w:val="auto"/>
          <w:sz w:val="24"/>
          <w:szCs w:val="24"/>
          <w:highlight w:val="none"/>
        </w:rPr>
        <w:t>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；现场地点：</w:t>
      </w:r>
      <w:r>
        <w:rPr>
          <w:rFonts w:hint="eastAsia" w:ascii="仿宋" w:eastAsia="仿宋"/>
          <w:b w:val="0"/>
          <w:bCs w:val="0"/>
          <w:i w:val="0"/>
          <w:iCs w:val="0"/>
          <w:caps w:val="0"/>
          <w:smallCaps w:val="0"/>
          <w:color w:val="auto"/>
          <w:spacing w:val="0"/>
          <w:sz w:val="24"/>
          <w:szCs w:val="24"/>
          <w:highlight w:val="none"/>
          <w:u w:val="single"/>
        </w:rPr>
        <w:t>绍兴市越城区迪荡街道龙湖大厦17楼SP1703室。</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20" w:name="_Toc35393794"/>
      <w:bookmarkStart w:id="21" w:name="_Toc28359084"/>
      <w:bookmarkStart w:id="22" w:name="_Toc28359007"/>
      <w:bookmarkStart w:id="23" w:name="_Toc35393625"/>
      <w:r>
        <w:rPr>
          <w:rFonts w:hint="eastAsia" w:ascii="仿宋" w:hAnsi="仿宋" w:eastAsia="仿宋" w:cs="仿宋"/>
          <w:b/>
          <w:bCs/>
          <w:color w:val="auto"/>
          <w:sz w:val="24"/>
          <w:szCs w:val="24"/>
          <w:highlight w:val="none"/>
        </w:rPr>
        <w:t>六、公告期限</w:t>
      </w:r>
      <w:bookmarkEnd w:id="20"/>
      <w:bookmarkEnd w:id="21"/>
      <w:bookmarkEnd w:id="22"/>
      <w:bookmarkEnd w:id="23"/>
    </w:p>
    <w:p>
      <w:pPr>
        <w:ind w:firstLine="480" w:firstLineChars="200"/>
        <w:rPr>
          <w:rFonts w:hint="eastAsia"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w:t>
      </w:r>
      <w:r>
        <w:rPr>
          <w:rFonts w:ascii="仿宋" w:eastAsia="仿宋" w:cs="宋体"/>
          <w:color w:val="auto"/>
          <w:kern w:val="0"/>
          <w:sz w:val="24"/>
          <w:szCs w:val="24"/>
          <w:highlight w:val="none"/>
        </w:rPr>
        <w:t>3</w:t>
      </w:r>
      <w:r>
        <w:rPr>
          <w:rFonts w:hint="eastAsia" w:ascii="仿宋" w:eastAsia="仿宋" w:cs="宋体"/>
          <w:color w:val="auto"/>
          <w:kern w:val="0"/>
          <w:sz w:val="24"/>
          <w:szCs w:val="24"/>
          <w:highlight w:val="none"/>
        </w:rPr>
        <w:t>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24" w:name="_Toc35393795"/>
      <w:bookmarkStart w:id="25" w:name="_Toc35393626"/>
      <w:r>
        <w:rPr>
          <w:rFonts w:hint="eastAsia" w:ascii="仿宋" w:hAnsi="仿宋" w:eastAsia="仿宋" w:cs="仿宋"/>
          <w:b/>
          <w:bCs/>
          <w:color w:val="auto"/>
          <w:sz w:val="24"/>
          <w:szCs w:val="24"/>
          <w:highlight w:val="none"/>
        </w:rPr>
        <w:t>七、其他补充事宜</w:t>
      </w:r>
      <w:bookmarkEnd w:id="24"/>
      <w:bookmarkEnd w:id="25"/>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bCs/>
          <w:color w:val="auto"/>
          <w:sz w:val="24"/>
          <w:szCs w:val="24"/>
          <w:highlight w:val="none"/>
        </w:rPr>
      </w:pPr>
      <w:bookmarkStart w:id="26" w:name="_Toc35393796"/>
      <w:bookmarkStart w:id="27" w:name="_Toc28359008"/>
      <w:bookmarkStart w:id="28" w:name="_Toc28359085"/>
      <w:bookmarkStart w:id="29" w:name="_Toc35393627"/>
      <w:r>
        <w:rPr>
          <w:rFonts w:hint="eastAsia" w:ascii="仿宋" w:hAnsi="仿宋" w:eastAsia="仿宋" w:cs="仿宋"/>
          <w:b/>
          <w:bCs/>
          <w:color w:val="auto"/>
          <w:sz w:val="24"/>
          <w:szCs w:val="24"/>
          <w:highlight w:val="none"/>
        </w:rPr>
        <w:t>八、凡对本次磋商提出询问、质疑、投诉，请按以下方式联系</w:t>
      </w:r>
      <w:bookmarkEnd w:id="26"/>
      <w:bookmarkEnd w:id="27"/>
      <w:bookmarkEnd w:id="28"/>
      <w:bookmarkEnd w:id="29"/>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绍兴市越城区市场监督管理局</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绍兴市越城区稽山街道延安东路301号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bookmarkStart w:id="30" w:name="_Toc28359009"/>
      <w:bookmarkStart w:id="31" w:name="_Toc28359086"/>
    </w:p>
    <w:p>
      <w:pPr>
        <w:spacing w:line="360" w:lineRule="auto"/>
        <w:ind w:left="1079" w:leftChars="371" w:hanging="300" w:hangingChars="125"/>
        <w:jc w:val="left"/>
        <w:rPr>
          <w:rFonts w:hint="eastAsia" w:ascii="仿宋" w:eastAsia="仿宋"/>
          <w:color w:val="auto"/>
          <w:sz w:val="24"/>
          <w:szCs w:val="24"/>
          <w:highlight w:val="none"/>
          <w:u w:val="single"/>
          <w:lang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eastAsia="zh-CN"/>
        </w:rPr>
        <w:t>凌先生</w:t>
      </w:r>
    </w:p>
    <w:p>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0575-85129993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 w:eastAsia="仿宋"/>
          <w:color w:val="auto"/>
          <w:sz w:val="24"/>
          <w:szCs w:val="24"/>
          <w:highlight w:val="none"/>
          <w:lang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eastAsia="zh-CN"/>
        </w:rPr>
        <w:t>方先生</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0575-85087307</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30"/>
      <w:bookmarkEnd w:id="31"/>
    </w:p>
    <w:p>
      <w:pPr>
        <w:spacing w:line="360" w:lineRule="auto"/>
        <w:ind w:left="1079" w:leftChars="371" w:hanging="300" w:hangingChars="125"/>
        <w:jc w:val="left"/>
        <w:rPr>
          <w:rFonts w:ascii="仿宋" w:eastAsia="仿宋"/>
          <w:color w:val="auto"/>
          <w:sz w:val="24"/>
          <w:szCs w:val="24"/>
          <w:highlight w:val="none"/>
        </w:rPr>
      </w:pPr>
      <w:bookmarkStart w:id="32" w:name="_Toc28359087"/>
      <w:bookmarkStart w:id="33"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绍兴虬实企业管理咨询有限公司</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绍兴市越城区迪荡街道龙湖大厦17楼SP1703室</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pPr>
        <w:spacing w:line="360" w:lineRule="auto"/>
        <w:ind w:left="1079" w:leftChars="371" w:hanging="300" w:hangingChars="125"/>
        <w:jc w:val="left"/>
        <w:rPr>
          <w:rFonts w:hint="eastAsia" w:ascii="仿宋" w:eastAsia="仿宋"/>
          <w:color w:val="auto"/>
          <w:sz w:val="24"/>
          <w:szCs w:val="24"/>
          <w:highlight w:val="none"/>
          <w:u w:val="single"/>
          <w:lang w:val="en-US" w:eastAsia="zh-CN"/>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蒋丹</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17826810855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金琼洁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0575-85352613　　　 </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2"/>
      <w:bookmarkEnd w:id="33"/>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20"/>
        <w:spacing w:line="360" w:lineRule="auto"/>
        <w:ind w:firstLine="720" w:firstLineChars="300"/>
        <w:rPr>
          <w:rFonts w:hint="default" w:ascii="仿宋" w:eastAsia="仿宋"/>
          <w:color w:val="auto"/>
          <w:sz w:val="24"/>
          <w:szCs w:val="24"/>
          <w:highlight w:val="none"/>
          <w:u w:val="single"/>
          <w:lang w:val="en-US" w:eastAsia="zh-CN"/>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lang w:val="en-US" w:eastAsia="zh-CN"/>
        </w:rPr>
        <w:t xml:space="preserve">        </w:t>
      </w:r>
      <w:r>
        <w:rPr>
          <w:rFonts w:ascii="仿宋" w:eastAsia="仿宋"/>
          <w:color w:val="auto"/>
          <w:sz w:val="24"/>
          <w:szCs w:val="24"/>
          <w:highlight w:val="none"/>
          <w:u w:val="single"/>
        </w:rPr>
        <w:t>季</w:t>
      </w:r>
      <w:r>
        <w:rPr>
          <w:rFonts w:hint="eastAsia" w:ascii="仿宋" w:eastAsia="仿宋"/>
          <w:color w:val="auto"/>
          <w:sz w:val="24"/>
          <w:szCs w:val="24"/>
          <w:highlight w:val="none"/>
          <w:u w:val="single"/>
          <w:lang w:val="en-US" w:eastAsia="zh-CN"/>
        </w:rPr>
        <w:t xml:space="preserve"> </w:t>
      </w:r>
      <w:r>
        <w:rPr>
          <w:rFonts w:ascii="仿宋" w:eastAsia="仿宋"/>
          <w:color w:val="auto"/>
          <w:sz w:val="24"/>
          <w:szCs w:val="24"/>
          <w:highlight w:val="none"/>
          <w:u w:val="single"/>
        </w:rPr>
        <w:t>扬</w:t>
      </w:r>
      <w:r>
        <w:rPr>
          <w:rFonts w:hint="eastAsia" w:ascii="仿宋" w:eastAsia="仿宋"/>
          <w:color w:val="auto"/>
          <w:sz w:val="24"/>
          <w:szCs w:val="24"/>
          <w:highlight w:val="none"/>
          <w:u w:val="single"/>
          <w:lang w:val="en-US" w:eastAsia="zh-CN"/>
        </w:rPr>
        <w:t xml:space="preserve">            </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采购组织类型：</w:t>
      </w:r>
      <w:r>
        <w:rPr>
          <w:rFonts w:hint="eastAsia" w:ascii="仿宋" w:eastAsia="仿宋" w:cs="Arial"/>
          <w:bCs/>
          <w:color w:val="auto"/>
          <w:sz w:val="24"/>
          <w:highlight w:val="none"/>
          <w:u w:val="single"/>
        </w:rPr>
        <w:t xml:space="preserve">   </w:t>
      </w:r>
      <w:r>
        <w:rPr>
          <w:rFonts w:hint="eastAsia" w:ascii="仿宋" w:eastAsia="仿宋" w:cs="Arial"/>
          <w:bCs/>
          <w:color w:val="auto"/>
          <w:sz w:val="24"/>
          <w:highlight w:val="none"/>
          <w:u w:val="single"/>
          <w:lang w:val="en-US" w:eastAsia="zh-CN"/>
        </w:rPr>
        <w:t>分散采购</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r>
        <w:rPr>
          <w:rFonts w:ascii="仿宋" w:eastAsia="仿宋" w:cs="Arial"/>
          <w:bCs/>
          <w:color w:val="auto"/>
          <w:sz w:val="24"/>
          <w:highlight w:val="none"/>
        </w:rPr>
        <w:t xml:space="preserve">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w:t>
      </w:r>
      <w:r>
        <w:rPr>
          <w:rFonts w:ascii="仿宋" w:eastAsia="仿宋" w:cs="宋体"/>
          <w:color w:val="auto"/>
          <w:kern w:val="0"/>
          <w:sz w:val="24"/>
          <w:highlight w:val="none"/>
        </w:rPr>
        <w:t>磋商</w:t>
      </w:r>
      <w:r>
        <w:rPr>
          <w:rFonts w:hint="eastAsia" w:ascii="仿宋" w:eastAsia="仿宋" w:cs="宋体"/>
          <w:color w:val="auto"/>
          <w:kern w:val="0"/>
          <w:sz w:val="24"/>
          <w:highlight w:val="none"/>
        </w:rPr>
        <w:t>。</w:t>
      </w:r>
    </w:p>
    <w:p>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请供应商务必认真学习网上相关培训课程。电子化交易准备工作详见</w:t>
      </w:r>
      <w:r>
        <w:rPr>
          <w:rStyle w:val="36"/>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6"/>
          <w:rFonts w:hint="eastAsia" w:ascii="仿宋" w:eastAsia="仿宋"/>
          <w:color w:val="auto"/>
          <w:spacing w:val="-4"/>
          <w:sz w:val="24"/>
          <w:highlight w:val="none"/>
        </w:rPr>
        <w:fldChar w:fldCharType="separate"/>
      </w:r>
      <w:r>
        <w:rPr>
          <w:rStyle w:val="36"/>
          <w:rFonts w:hint="eastAsia" w:ascii="仿宋" w:eastAsia="仿宋"/>
          <w:color w:val="auto"/>
          <w:spacing w:val="-4"/>
          <w:sz w:val="24"/>
          <w:highlight w:val="none"/>
        </w:rPr>
        <w:t>http://www.sxyc.gov.cn/art/2019/9/11/art_1559761_38044415.html</w:t>
      </w:r>
      <w:r>
        <w:rPr>
          <w:rStyle w:val="36"/>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6"/>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、CA申领需要时间，请各潜在供应商及时办理和绑定。</w:t>
      </w:r>
    </w:p>
    <w:p>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w:t>
      </w:r>
      <w:r>
        <w:rPr>
          <w:rFonts w:ascii="仿宋" w:eastAsia="仿宋" w:cs="Arial"/>
          <w:bCs/>
          <w:color w:val="auto"/>
          <w:sz w:val="24"/>
          <w:highlight w:val="none"/>
        </w:rPr>
        <w:t>磋商</w:t>
      </w:r>
      <w:r>
        <w:rPr>
          <w:rFonts w:hint="eastAsia" w:ascii="仿宋" w:eastAsia="仿宋" w:cs="Arial"/>
          <w:bCs/>
          <w:color w:val="auto"/>
          <w:sz w:val="24"/>
          <w:highlight w:val="none"/>
        </w:rPr>
        <w:t>的供应商，须向采购代理机构提供书面说明。</w:t>
      </w:r>
    </w:p>
    <w:p>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w:t>
      </w:r>
      <w:r>
        <w:rPr>
          <w:rFonts w:ascii="仿宋" w:eastAsia="仿宋"/>
          <w:b/>
          <w:bCs/>
          <w:color w:val="auto"/>
          <w:sz w:val="24"/>
          <w:highlight w:val="none"/>
        </w:rPr>
        <w:t>磋商响应</w:t>
      </w:r>
      <w:r>
        <w:rPr>
          <w:rFonts w:hint="eastAsia" w:ascii="仿宋" w:eastAsia="仿宋"/>
          <w:b/>
          <w:bCs/>
          <w:color w:val="auto"/>
          <w:sz w:val="24"/>
          <w:highlight w:val="none"/>
        </w:rPr>
        <w:t>文件（建议提前一天，供应商解密电子</w:t>
      </w:r>
      <w:r>
        <w:rPr>
          <w:rFonts w:ascii="仿宋" w:eastAsia="仿宋"/>
          <w:b/>
          <w:bCs/>
          <w:color w:val="auto"/>
          <w:sz w:val="24"/>
          <w:highlight w:val="none"/>
        </w:rPr>
        <w:t>磋商响应</w:t>
      </w:r>
      <w:r>
        <w:rPr>
          <w:rFonts w:hint="eastAsia" w:ascii="仿宋" w:eastAsia="仿宋"/>
          <w:b/>
          <w:bCs/>
          <w:color w:val="auto"/>
          <w:sz w:val="24"/>
          <w:highlight w:val="none"/>
        </w:rPr>
        <w:t>文件前处于加密状态）。</w:t>
      </w:r>
    </w:p>
    <w:p>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五</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六</w:t>
      </w:r>
      <w:r>
        <w:rPr>
          <w:rFonts w:hint="eastAsia" w:ascii="仿宋" w:eastAsia="仿宋"/>
          <w:b/>
          <w:color w:val="auto"/>
          <w:sz w:val="24"/>
          <w:highlight w:val="none"/>
        </w:rPr>
        <w:t>、供应商入驻：</w:t>
      </w:r>
    </w:p>
    <w:p>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spacing w:line="380" w:lineRule="exact"/>
        <w:rPr>
          <w:rFonts w:hint="eastAsia" w:ascii="仿宋" w:eastAsia="仿宋"/>
          <w:color w:val="auto"/>
          <w:highlight w:val="none"/>
        </w:rPr>
      </w:pPr>
      <w:r>
        <w:rPr>
          <w:rFonts w:ascii="仿宋" w:eastAsia="仿宋"/>
          <w:color w:val="auto"/>
          <w:highlight w:val="none"/>
        </w:rPr>
        <w:t>（无需提交纸质资料现场审核）</w:t>
      </w:r>
    </w:p>
    <w:p>
      <w:pPr>
        <w:wordWrap w:val="0"/>
        <w:spacing w:line="360" w:lineRule="exact"/>
        <w:jc w:val="right"/>
        <w:rPr>
          <w:rFonts w:hint="eastAsia" w:ascii="仿宋" w:eastAsia="仿宋"/>
          <w:color w:val="auto"/>
          <w:sz w:val="24"/>
          <w:highlight w:val="none"/>
        </w:rPr>
      </w:pPr>
    </w:p>
    <w:p>
      <w:pPr>
        <w:pStyle w:val="4"/>
        <w:numPr>
          <w:ilvl w:val="0"/>
          <w:numId w:val="0"/>
        </w:numPr>
        <w:ind w:left="0" w:firstLine="0"/>
        <w:jc w:val="center"/>
        <w:rPr>
          <w:rFonts w:hint="eastAsia" w:ascii="仿宋" w:eastAsia="仿宋"/>
          <w:color w:val="auto"/>
          <w:sz w:val="44"/>
          <w:highlight w:val="none"/>
        </w:rPr>
      </w:pPr>
      <w:bookmarkStart w:id="34" w:name="_Toc26022"/>
      <w:r>
        <w:rPr>
          <w:rFonts w:hint="eastAsia" w:ascii="仿宋" w:eastAsia="仿宋"/>
          <w:color w:val="auto"/>
          <w:sz w:val="44"/>
          <w:highlight w:val="none"/>
        </w:rPr>
        <w:t>第二章 供应商须知</w:t>
      </w:r>
      <w:bookmarkEnd w:id="34"/>
    </w:p>
    <w:p>
      <w:pPr>
        <w:pStyle w:val="5"/>
        <w:rPr>
          <w:rFonts w:hint="eastAsia" w:ascii="仿宋"/>
          <w:color w:val="auto"/>
          <w:highlight w:val="none"/>
        </w:rPr>
      </w:pPr>
      <w:bookmarkStart w:id="35" w:name="_Toc22600"/>
      <w:r>
        <w:rPr>
          <w:rFonts w:hint="eastAsia" w:ascii="仿宋"/>
          <w:color w:val="auto"/>
          <w:highlight w:val="none"/>
        </w:rPr>
        <w:t>一、前附表</w:t>
      </w:r>
      <w:bookmarkEnd w:id="35"/>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before="156" w:beforeLines="50" w:after="94" w:afterLines="30" w:line="360" w:lineRule="auto"/>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before="156" w:beforeLines="50" w:after="94" w:afterLines="30" w:line="360" w:lineRule="auto"/>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eastAsia="仿宋" w:cs="宋体"/>
                <w:b/>
                <w:color w:val="auto"/>
                <w:kern w:val="0"/>
                <w:sz w:val="24"/>
                <w:highlight w:val="none"/>
                <w:u w:val="single"/>
                <w:lang w:eastAsia="zh-CN"/>
              </w:rPr>
            </w:pPr>
            <w:r>
              <w:rPr>
                <w:rFonts w:hint="eastAsia" w:ascii="仿宋" w:eastAsia="仿宋"/>
                <w:b/>
                <w:color w:val="auto"/>
                <w:sz w:val="24"/>
                <w:highlight w:val="none"/>
              </w:rPr>
              <w:t>磋商项目名称：</w:t>
            </w:r>
            <w:r>
              <w:rPr>
                <w:rFonts w:hint="eastAsia" w:ascii="仿宋" w:hAnsi="仿宋" w:eastAsia="仿宋" w:cs="仿宋"/>
                <w:color w:val="auto"/>
                <w:sz w:val="24"/>
                <w:highlight w:val="none"/>
                <w:u w:val="single"/>
                <w:lang w:eastAsia="zh-CN"/>
              </w:rPr>
              <w:t>绍兴市越城区市场监督管理局2024年度产(商)品质量监督抽查项目（二次重招）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360" w:lineRule="auto"/>
              <w:textAlignment w:val="bottom"/>
              <w:rPr>
                <w:rFonts w:hint="eastAsia" w:ascii="仿宋" w:eastAsia="仿宋"/>
                <w:color w:val="auto"/>
                <w:sz w:val="24"/>
                <w:highlight w:val="none"/>
              </w:rPr>
            </w:pPr>
            <w:r>
              <w:rPr>
                <w:rFonts w:hint="eastAsia" w:ascii="仿宋" w:eastAsia="仿宋"/>
                <w:b/>
                <w:color w:val="auto"/>
                <w:sz w:val="24"/>
                <w:highlight w:val="none"/>
              </w:rPr>
              <w:t>磋商有效期：</w:t>
            </w:r>
            <w:r>
              <w:rPr>
                <w:rFonts w:hint="eastAsia" w:ascii="仿宋" w:eastAsia="仿宋"/>
                <w:color w:val="auto"/>
                <w:sz w:val="24"/>
                <w:highlight w:val="none"/>
              </w:rPr>
              <w:t>自磋商截止日起45天。如采购人认为必要，可延长至总计最长不超过60天。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无</w:t>
            </w:r>
            <w:r>
              <w:rPr>
                <w:rFonts w:hint="eastAsia" w:ascii="仿宋" w:eastAsia="仿宋"/>
                <w:color w:val="auto"/>
                <w:sz w:val="24"/>
                <w:highlight w:val="none"/>
                <w:u w:val="single"/>
              </w:rPr>
              <w:t xml:space="preserve">   </w:t>
            </w:r>
            <w:r>
              <w:rPr>
                <w:rFonts w:hint="eastAsia" w:ascii="仿宋" w:eastAsia="仿宋"/>
                <w:b/>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hint="default" w:ascii="仿宋" w:eastAsia="仿宋"/>
                <w:b/>
                <w:color w:val="auto"/>
                <w:sz w:val="24"/>
                <w:highlight w:val="none"/>
                <w:lang w:val="en-US" w:eastAsia="zh-CN"/>
              </w:rPr>
            </w:pPr>
            <w:r>
              <w:rPr>
                <w:rFonts w:hint="eastAsia" w:ascii="仿宋" w:eastAsia="仿宋"/>
                <w:b/>
                <w:color w:val="auto"/>
                <w:sz w:val="24"/>
                <w:highlight w:val="none"/>
              </w:rPr>
              <w:t>现场踏勘：</w:t>
            </w:r>
            <w:r>
              <w:rPr>
                <w:rFonts w:hint="eastAsia" w:ascii="仿宋" w:eastAsia="仿宋"/>
                <w:caps w:val="0"/>
                <w:smallCaps w:val="0"/>
                <w:snapToGrid/>
                <w:vanish w:val="0"/>
                <w:color w:val="auto"/>
                <w:sz w:val="24"/>
                <w:szCs w:val="24"/>
                <w:highlight w:val="none"/>
                <w:u w:val="single"/>
                <w:vertAlign w:val="baseline"/>
              </w:rPr>
              <w:t xml:space="preserve">    </w:t>
            </w:r>
            <w:r>
              <w:rPr>
                <w:rFonts w:hint="eastAsia" w:ascii="仿宋" w:eastAsia="仿宋"/>
                <w:caps w:val="0"/>
                <w:smallCaps w:val="0"/>
                <w:snapToGrid/>
                <w:vanish w:val="0"/>
                <w:color w:val="auto"/>
                <w:sz w:val="24"/>
                <w:szCs w:val="24"/>
                <w:highlight w:val="none"/>
                <w:u w:val="single"/>
                <w:vertAlign w:val="baseline"/>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eastAsia="仿宋"/>
                <w:color w:val="auto"/>
                <w:sz w:val="24"/>
                <w:highlight w:val="none"/>
              </w:rPr>
            </w:pPr>
            <w:r>
              <w:rPr>
                <w:rFonts w:hint="eastAsia" w:ascii="仿宋" w:eastAsia="仿宋"/>
                <w:b/>
                <w:color w:val="auto"/>
                <w:sz w:val="24"/>
                <w:highlight w:val="none"/>
              </w:rPr>
              <w:t>磋商响应文件份数：</w:t>
            </w:r>
            <w:r>
              <w:rPr>
                <w:rFonts w:hint="eastAsia" w:ascii="仿宋" w:eastAsia="仿宋"/>
                <w:b/>
                <w:bCs/>
                <w:color w:val="auto"/>
                <w:sz w:val="24"/>
                <w:highlight w:val="none"/>
              </w:rPr>
              <w:t>上传加密电子磋商响应文件一份，准备备份加密电子磋商响应文件一份。</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w:t>
            </w:r>
            <w:r>
              <w:rPr>
                <w:rFonts w:ascii="仿宋" w:eastAsia="仿宋"/>
                <w:b/>
                <w:color w:val="auto"/>
                <w:sz w:val="24"/>
                <w:highlight w:val="none"/>
              </w:rPr>
              <w:t>时间</w:t>
            </w:r>
            <w:r>
              <w:rPr>
                <w:rFonts w:hint="eastAsia" w:ascii="仿宋" w:eastAsia="仿宋"/>
                <w:b/>
                <w:color w:val="auto"/>
                <w:sz w:val="24"/>
                <w:highlight w:val="none"/>
              </w:rPr>
              <w:t>：</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p>
            <w:pPr>
              <w:spacing w:line="360" w:lineRule="auto"/>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32"/>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default" w:ascii="仿宋" w:eastAsia="仿宋"/>
                      <w:b w:val="0"/>
                      <w:bCs w:val="0"/>
                      <w:color w:val="auto"/>
                      <w:sz w:val="24"/>
                      <w:highlight w:val="none"/>
                      <w:vertAlign w:val="baseline"/>
                      <w:lang w:val="en-US" w:eastAsia="zh-CN"/>
                    </w:rPr>
                    <w:t>全区工业品和重要消费品监督抽查</w:t>
                  </w:r>
                </w:p>
              </w:tc>
              <w:tc>
                <w:tcPr>
                  <w:tcW w:w="4078"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eastAsia="仿宋"/>
                      <w:b w:val="0"/>
                      <w:bCs w:val="0"/>
                      <w:color w:val="auto"/>
                      <w:sz w:val="24"/>
                      <w:highlight w:val="none"/>
                      <w:vertAlign w:val="baseline"/>
                      <w:lang w:val="en-US" w:eastAsia="zh-CN"/>
                    </w:rPr>
                    <w:t>专业技术服务行业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kinsoku/>
                    <w:overflowPunct/>
                    <w:topLinePunct w:val="0"/>
                    <w:bidi w:val="0"/>
                    <w:spacing w:line="240" w:lineRule="auto"/>
                    <w:ind w:firstLine="480" w:firstLineChars="200"/>
                    <w:jc w:val="left"/>
                    <w:rPr>
                      <w:rFonts w:hint="default" w:ascii="仿宋" w:eastAsia="仿宋"/>
                      <w:b w:val="0"/>
                      <w:bCs w:val="0"/>
                      <w:color w:val="auto"/>
                      <w:sz w:val="24"/>
                      <w:highlight w:val="none"/>
                      <w:vertAlign w:val="baseline"/>
                      <w:lang w:val="en-US" w:eastAsia="zh-CN"/>
                    </w:rPr>
                  </w:pPr>
                  <w:r>
                    <w:rPr>
                      <w:rFonts w:hint="eastAsia" w:ascii="仿宋" w:hAnsi="仿宋" w:eastAsia="仿宋" w:cs="仿宋"/>
                      <w:b w:val="0"/>
                      <w:bCs w:val="0"/>
                      <w:color w:val="auto"/>
                      <w:sz w:val="24"/>
                      <w:highlight w:val="none"/>
                      <w:lang w:val="en-US" w:eastAsia="zh-CN"/>
                    </w:rPr>
                    <w:t>全区重点监管产品专项监督抽查</w:t>
                  </w:r>
                </w:p>
              </w:tc>
              <w:tc>
                <w:tcPr>
                  <w:tcW w:w="4078"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eastAsia="仿宋"/>
                      <w:b w:val="0"/>
                      <w:bCs w:val="0"/>
                      <w:color w:val="auto"/>
                      <w:sz w:val="24"/>
                      <w:highlight w:val="none"/>
                      <w:vertAlign w:val="baseline"/>
                      <w:lang w:val="en-US" w:eastAsia="zh-CN"/>
                    </w:rPr>
                    <w:t>专业技术服务行业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hAnsi="仿宋" w:eastAsia="仿宋" w:cs="仿宋"/>
                      <w:b w:val="0"/>
                      <w:bCs w:val="0"/>
                      <w:color w:val="auto"/>
                      <w:sz w:val="24"/>
                      <w:highlight w:val="none"/>
                      <w:lang w:val="en-US" w:eastAsia="zh-CN"/>
                    </w:rPr>
                    <w:t>全区纺织消费品产品质量监督抽查</w:t>
                  </w:r>
                </w:p>
              </w:tc>
              <w:tc>
                <w:tcPr>
                  <w:tcW w:w="4078" w:type="dxa"/>
                  <w:vAlign w:val="center"/>
                </w:tcPr>
                <w:p>
                  <w:pPr>
                    <w:snapToGrid w:val="0"/>
                    <w:jc w:val="center"/>
                    <w:rPr>
                      <w:rFonts w:hint="default" w:ascii="仿宋" w:eastAsia="仿宋"/>
                      <w:b w:val="0"/>
                      <w:bCs w:val="0"/>
                      <w:color w:val="auto"/>
                      <w:sz w:val="24"/>
                      <w:highlight w:val="none"/>
                      <w:vertAlign w:val="baseline"/>
                      <w:lang w:val="en-US" w:eastAsia="zh-CN"/>
                    </w:rPr>
                  </w:pPr>
                  <w:r>
                    <w:rPr>
                      <w:rFonts w:hint="eastAsia" w:ascii="仿宋" w:eastAsia="仿宋"/>
                      <w:b w:val="0"/>
                      <w:bCs w:val="0"/>
                      <w:color w:val="auto"/>
                      <w:sz w:val="24"/>
                      <w:highlight w:val="none"/>
                      <w:vertAlign w:val="baseline"/>
                      <w:lang w:val="en-US" w:eastAsia="zh-CN"/>
                    </w:rPr>
                    <w:t>专业技术服务行业</w:t>
                  </w:r>
                </w:p>
              </w:tc>
            </w:tr>
          </w:tbl>
          <w:p>
            <w:pPr>
              <w:autoSpaceDE w:val="0"/>
              <w:autoSpaceDN w:val="0"/>
              <w:spacing w:line="360" w:lineRule="auto"/>
              <w:jc w:val="left"/>
              <w:textAlignment w:val="bottom"/>
              <w:rPr>
                <w:rFonts w:hint="eastAsia" w:asci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采购方</w:t>
            </w:r>
            <w:r>
              <w:rPr>
                <w:rFonts w:hint="eastAsia" w:ascii="仿宋_GB2312" w:hAnsi="仿宋" w:eastAsia="仿宋_GB2312"/>
                <w:color w:val="auto"/>
                <w:sz w:val="24"/>
                <w:highlight w:val="none"/>
              </w:rPr>
              <w:t>须向招标代理机构交纳代理服务费：</w:t>
            </w:r>
          </w:p>
          <w:p>
            <w:pPr>
              <w:pStyle w:val="2"/>
              <w:numPr>
                <w:ilvl w:val="0"/>
                <w:numId w:val="0"/>
              </w:numPr>
              <w:rPr>
                <w:rFonts w:hint="default" w:eastAsia="宋体"/>
                <w:color w:val="auto"/>
                <w:highlight w:val="none"/>
                <w:lang w:val="en-US" w:eastAsia="zh-CN"/>
              </w:rPr>
            </w:pPr>
            <w:r>
              <w:rPr>
                <w:rFonts w:hint="eastAsia"/>
                <w:color w:val="auto"/>
                <w:highlight w:val="none"/>
                <w:lang w:eastAsia="zh-CN"/>
              </w:rPr>
              <w:t>（</w:t>
            </w:r>
            <w:r>
              <w:rPr>
                <w:rFonts w:hint="eastAsia" w:ascii="仿宋_GB2312" w:hAnsi="仿宋" w:eastAsia="仿宋_GB2312" w:cs="Times New Roman"/>
                <w:color w:val="auto"/>
                <w:kern w:val="2"/>
                <w:sz w:val="24"/>
                <w:szCs w:val="24"/>
                <w:highlight w:val="none"/>
                <w:lang w:val="en-US" w:eastAsia="zh-CN" w:bidi="ar-SA"/>
              </w:rPr>
              <w:t>1）收费金额：9800元。</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（2）代理服务费的交纳方式：</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用银行支票、汇票、电汇、现金等付款方式直接交纳代理服务费。</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公司名称：绍兴虬实企业管理咨询有限公司</w:t>
            </w:r>
          </w:p>
          <w:p>
            <w:pPr>
              <w:snapToGrid w:val="0"/>
              <w:spacing w:line="440" w:lineRule="exact"/>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账    号：2006767942000015</w:t>
            </w:r>
          </w:p>
          <w:p>
            <w:pPr>
              <w:snapToGrid w:val="0"/>
              <w:spacing w:line="440" w:lineRule="exact"/>
              <w:jc w:val="left"/>
              <w:rPr>
                <w:rFonts w:ascii="仿宋" w:eastAsia="仿宋" w:cs="仿宋_GB2312"/>
                <w:b/>
                <w:bCs/>
                <w:color w:val="auto"/>
                <w:sz w:val="24"/>
                <w:highlight w:val="none"/>
              </w:rPr>
            </w:pPr>
            <w:r>
              <w:rPr>
                <w:rFonts w:hint="eastAsia" w:ascii="仿宋_GB2312" w:hAnsi="仿宋" w:eastAsia="仿宋_GB2312"/>
                <w:color w:val="auto"/>
                <w:sz w:val="24"/>
                <w:highlight w:val="none"/>
              </w:rPr>
              <w:t>开 户 行：绍兴银行股份有限公司禹陵支行</w:t>
            </w:r>
          </w:p>
        </w:tc>
      </w:tr>
    </w:tbl>
    <w:p>
      <w:pPr>
        <w:pStyle w:val="5"/>
        <w:jc w:val="center"/>
        <w:rPr>
          <w:rFonts w:hint="eastAsia" w:ascii="仿宋"/>
          <w:color w:val="auto"/>
          <w:highlight w:val="none"/>
        </w:rPr>
      </w:pPr>
      <w:bookmarkStart w:id="36" w:name="_Toc13745"/>
      <w:r>
        <w:rPr>
          <w:rFonts w:hint="eastAsia" w:ascii="仿宋"/>
          <w:color w:val="auto"/>
          <w:highlight w:val="none"/>
        </w:rPr>
        <w:t>二、磋商文件</w:t>
      </w:r>
      <w:bookmarkEnd w:id="36"/>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磋商文件效力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1.1本磋商文件适用于本次所述项目的磋商、合同签订及履约、付款等全过程（法律法规另有规定的从其规定）。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供应商对本磋商文件如有异议，均应在法定时间内提出质疑或投诉，否则即被视为认可磋商文件的全部内容。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w:t>
      </w:r>
      <w:r>
        <w:rPr>
          <w:rFonts w:hint="eastAsia" w:ascii="仿宋" w:eastAsia="仿宋"/>
          <w:color w:val="auto"/>
          <w:sz w:val="24"/>
          <w:szCs w:val="24"/>
          <w:highlight w:val="none"/>
          <w:u w:val="none"/>
        </w:rPr>
        <w:t>绍兴市越城区公共资源交易中心</w:t>
      </w:r>
      <w:r>
        <w:rPr>
          <w:rFonts w:hint="eastAsia" w:ascii="仿宋" w:eastAsia="仿宋" w:cs="仿宋_GB2312"/>
          <w:color w:val="auto"/>
          <w:sz w:val="24"/>
          <w:highlight w:val="none"/>
        </w:rPr>
        <w:t>，分散采购项目的采购代理机构为社会中介代理机构。采购代理机构按照与采购人的采购代理合同约定行使采购活动组织等事宜。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”系指供方按磋商文件规定，经合法途径取得的，须向采购人提供的一切产品、保险、税金、安装、施工、调试、备品备件、工具、手册及其他有关技术资料和材料。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”系指磋商文件规定供应商须承担的安装、调试、技术协助、校准、培训、技术指导以及其他类似的义务。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供应商</w:t>
      </w:r>
      <w:r>
        <w:rPr>
          <w:rFonts w:hint="eastAsia" w:ascii="仿宋" w:eastAsia="仿宋"/>
          <w:color w:val="auto"/>
          <w:sz w:val="24"/>
          <w:highlight w:val="none"/>
        </w:rPr>
        <w:t>”指已经按采购公告要求获取磋商文件的磋商供应商。“</w:t>
      </w:r>
      <w:r>
        <w:rPr>
          <w:rFonts w:hint="eastAsia" w:ascii="仿宋" w:eastAsia="仿宋"/>
          <w:b/>
          <w:bCs/>
          <w:color w:val="auto"/>
          <w:sz w:val="24"/>
          <w:highlight w:val="none"/>
        </w:rPr>
        <w:t>潜在供应商</w:t>
      </w:r>
      <w:r>
        <w:rPr>
          <w:rFonts w:hint="eastAsia" w:ascii="仿宋" w:eastAsia="仿宋"/>
          <w:color w:val="auto"/>
          <w:sz w:val="24"/>
          <w:highlight w:val="none"/>
        </w:rPr>
        <w:t>”指未按采购公告要求获取磋商文件的供应商。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供应商代表</w:t>
      </w:r>
      <w:r>
        <w:rPr>
          <w:rFonts w:hint="eastAsia" w:ascii="仿宋" w:eastAsia="仿宋"/>
          <w:color w:val="auto"/>
          <w:sz w:val="24"/>
          <w:highlight w:val="none"/>
        </w:rPr>
        <w:t>”，指受供应商的法定代表人委托，办理本项目磋商、质疑投诉、合同签订等整个采购活动的被授权委托人。个体工商户参与磋商的，经营者等同于法定代表人。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”：供应商必须响应的条款，未响应的作无效磋商响应处理。在本磋商文件中，实质性响应条款前标注“★”符号。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供应商公章</w:t>
      </w:r>
      <w:r>
        <w:rPr>
          <w:rFonts w:hint="eastAsia" w:ascii="仿宋" w:eastAsia="仿宋"/>
          <w:color w:val="auto"/>
          <w:sz w:val="24"/>
          <w:highlight w:val="none"/>
        </w:rPr>
        <w:t>”指供应商法定名称章（或其CA电子签章）。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磋商有效期</w:t>
      </w:r>
      <w:r>
        <w:rPr>
          <w:rFonts w:hint="eastAsia" w:ascii="仿宋" w:eastAsia="仿宋"/>
          <w:color w:val="auto"/>
          <w:sz w:val="24"/>
          <w:highlight w:val="none"/>
        </w:rPr>
        <w:t>”指磋商文件中规定的一个适当时间，磋商有效期内需完成磋商以及与成交供应商签订合同的事宜。</w:t>
      </w:r>
    </w:p>
    <w:p>
      <w:pPr>
        <w:snapToGrid w:val="0"/>
        <w:spacing w:line="440" w:lineRule="exact"/>
        <w:jc w:val="left"/>
        <w:rPr>
          <w:rFonts w:hint="eastAsia" w:ascii="仿宋" w:eastAsia="仿宋"/>
          <w:b/>
          <w:bCs/>
          <w:color w:val="auto"/>
          <w:sz w:val="24"/>
          <w:highlight w:val="none"/>
        </w:rPr>
      </w:pPr>
      <w:bookmarkStart w:id="37" w:name="_Toc84325981"/>
      <w:bookmarkStart w:id="38" w:name="_Toc81372787"/>
      <w:bookmarkStart w:id="39" w:name="_Toc81372964"/>
      <w:bookmarkStart w:id="40" w:name="_Toc80157775"/>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限额标准以上的产品应当提供本国生产的产品，否则作无效磋商处理。</w:t>
      </w:r>
      <w:r>
        <w:rPr>
          <w:rFonts w:hint="eastAsia" w:ascii="仿宋" w:eastAsia="仿宋"/>
          <w:color w:val="auto"/>
          <w:sz w:val="24"/>
          <w:highlight w:val="none"/>
        </w:rPr>
        <w:t>采购进口产品的，不得限制潜在国产的同类产品参与磋商。</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r>
        <w:rPr>
          <w:rFonts w:ascii="仿宋" w:eastAsia="仿宋"/>
          <w:b/>
          <w:bCs/>
          <w:color w:val="auto"/>
          <w:sz w:val="24"/>
          <w:highlight w:val="none"/>
        </w:rPr>
        <w:t>（专门面向中小企业采购的项目除外）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lang w:eastAsia="zh-CN"/>
        </w:rPr>
        <w:t>本项目依据</w:t>
      </w:r>
      <w:r>
        <w:rPr>
          <w:rFonts w:ascii="仿宋" w:eastAsia="仿宋" w:cs="仿宋_GB2312"/>
          <w:color w:val="auto"/>
          <w:sz w:val="24"/>
          <w:highlight w:val="non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
        <w:t>〔202</w:t>
      </w:r>
      <w:r>
        <w:rPr>
          <w:rFonts w:ascii="楷体" w:eastAsia="楷体"/>
          <w:b w:val="0"/>
          <w:bCs w:val="0"/>
          <w:i w:val="0"/>
          <w:iCs w:val="0"/>
          <w:caps w:val="0"/>
          <w:smallCaps w:val="0"/>
          <w:color w:val="auto"/>
          <w:spacing w:val="0"/>
          <w:sz w:val="24"/>
          <w:szCs w:val="24"/>
          <w:highlight w:val="none"/>
          <w:shd w:val="clear" w:color="auto" w:fill="FFFFFF"/>
        </w:rPr>
        <w:t>2</w:t>
      </w:r>
      <w:r>
        <w:rPr>
          <w:rFonts w:hint="eastAsia" w:ascii="楷体" w:eastAsia="楷体"/>
          <w:b w:val="0"/>
          <w:bCs w:val="0"/>
          <w:i w:val="0"/>
          <w:iCs w:val="0"/>
          <w:caps w:val="0"/>
          <w:smallCaps w:val="0"/>
          <w:color w:val="auto"/>
          <w:spacing w:val="0"/>
          <w:sz w:val="24"/>
          <w:szCs w:val="24"/>
          <w:highlight w:val="none"/>
          <w:shd w:val="clear" w:color="auto" w:fill="FFFFFF"/>
        </w:rPr>
        <w:t>〕</w:t>
      </w:r>
      <w:r>
        <w:rPr>
          <w:rFonts w:ascii="楷体" w:eastAsia="楷体"/>
          <w:b w:val="0"/>
          <w:bCs w:val="0"/>
          <w:i w:val="0"/>
          <w:iCs w:val="0"/>
          <w:caps w:val="0"/>
          <w:smallCaps w:val="0"/>
          <w:color w:val="auto"/>
          <w:spacing w:val="0"/>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w:t>
      </w:r>
      <w:r>
        <w:rPr>
          <w:rFonts w:hint="eastAsia" w:ascii="仿宋" w:eastAsia="仿宋" w:cs="仿宋_GB2312"/>
          <w:color w:val="auto"/>
          <w:sz w:val="24"/>
          <w:highlight w:val="none"/>
          <w:lang w:eastAsia="zh-CN"/>
        </w:rPr>
        <w:t>，</w:t>
      </w:r>
      <w:r>
        <w:rPr>
          <w:rFonts w:hint="eastAsia" w:ascii="仿宋" w:eastAsia="仿宋" w:cs="仿宋_GB2312"/>
          <w:b w:val="0"/>
          <w:bCs w:val="0"/>
          <w:color w:val="auto"/>
          <w:sz w:val="24"/>
          <w:highlight w:val="none"/>
          <w:lang w:eastAsia="zh-CN"/>
        </w:rPr>
        <w:t>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的服务部分（不含货物部分，详见前附表）全部</w:t>
      </w:r>
      <w:r>
        <w:rPr>
          <w:rFonts w:hint="eastAsia" w:ascii="仿宋" w:eastAsia="仿宋" w:cs="仿宋_GB2312"/>
          <w:b w:val="0"/>
          <w:bCs w:val="0"/>
          <w:color w:val="auto"/>
          <w:sz w:val="24"/>
          <w:highlight w:val="none"/>
        </w:rPr>
        <w:t>为</w:t>
      </w:r>
      <w:r>
        <w:rPr>
          <w:rFonts w:hint="eastAsia" w:ascii="仿宋" w:eastAsia="仿宋" w:cs="仿宋_GB2312"/>
          <w:b w:val="0"/>
          <w:bCs w:val="0"/>
          <w:color w:val="auto"/>
          <w:sz w:val="24"/>
          <w:highlight w:val="none"/>
          <w:lang w:eastAsia="zh-CN"/>
        </w:rPr>
        <w:t>小微</w:t>
      </w:r>
      <w:r>
        <w:rPr>
          <w:rFonts w:hint="eastAsia" w:ascii="仿宋" w:eastAsia="仿宋" w:cs="仿宋_GB2312"/>
          <w:b w:val="0"/>
          <w:bCs w:val="0"/>
          <w:color w:val="auto"/>
          <w:sz w:val="24"/>
          <w:highlight w:val="none"/>
        </w:rPr>
        <w:t>企业</w:t>
      </w:r>
      <w:r>
        <w:rPr>
          <w:rFonts w:hint="eastAsia" w:ascii="仿宋" w:eastAsia="仿宋" w:cs="仿宋_GB2312"/>
          <w:b w:val="0"/>
          <w:bCs w:val="0"/>
          <w:color w:val="auto"/>
          <w:sz w:val="24"/>
          <w:highlight w:val="none"/>
          <w:lang w:eastAsia="zh-CN"/>
        </w:rPr>
        <w:t>承接的，</w:t>
      </w:r>
      <w:r>
        <w:rPr>
          <w:rFonts w:ascii="仿宋" w:eastAsia="仿宋" w:cs="仿宋_GB2312"/>
          <w:color w:val="auto"/>
          <w:sz w:val="24"/>
          <w:highlight w:val="none"/>
        </w:rPr>
        <w:t>对</w:t>
      </w:r>
      <w:r>
        <w:rPr>
          <w:rFonts w:hint="eastAsia" w:ascii="仿宋" w:eastAsia="仿宋" w:cs="仿宋_GB2312"/>
          <w:color w:val="auto"/>
          <w:sz w:val="24"/>
          <w:highlight w:val="none"/>
          <w:lang w:eastAsia="zh-CN"/>
        </w:rPr>
        <w:t>投标</w:t>
      </w:r>
      <w:r>
        <w:rPr>
          <w:rFonts w:hint="eastAsia" w:ascii="仿宋" w:eastAsia="仿宋" w:cs="仿宋_GB2312"/>
          <w:b w:val="0"/>
          <w:bCs w:val="0"/>
          <w:color w:val="auto"/>
          <w:sz w:val="24"/>
          <w:highlight w:val="none"/>
        </w:rPr>
        <w:t>报价给予</w:t>
      </w:r>
      <w:r>
        <w:rPr>
          <w:rFonts w:hint="eastAsia" w:ascii="仿宋" w:eastAsia="仿宋" w:cs="仿宋_GB2312"/>
          <w:b w:val="0"/>
          <w:bCs w:val="0"/>
          <w:color w:val="auto"/>
          <w:sz w:val="24"/>
          <w:highlight w:val="none"/>
          <w:lang w:val="en-US" w:eastAsia="zh-CN"/>
        </w:rPr>
        <w:t>1</w:t>
      </w:r>
      <w:r>
        <w:rPr>
          <w:rFonts w:ascii="仿宋" w:eastAsia="仿宋" w:cs="仿宋_GB2312"/>
          <w:b w:val="0"/>
          <w:bCs w:val="0"/>
          <w:color w:val="auto"/>
          <w:sz w:val="24"/>
          <w:highlight w:val="none"/>
        </w:rPr>
        <w:t>0</w:t>
      </w:r>
      <w:r>
        <w:rPr>
          <w:rFonts w:hint="eastAsia" w:ascii="仿宋" w:eastAsia="仿宋" w:cs="仿宋_GB2312"/>
          <w:b w:val="0"/>
          <w:bCs w:val="0"/>
          <w:color w:val="auto"/>
          <w:sz w:val="24"/>
          <w:highlight w:val="none"/>
        </w:rPr>
        <w:t>%</w:t>
      </w:r>
      <w:r>
        <w:rPr>
          <w:rFonts w:hint="eastAsia" w:ascii="仿宋" w:eastAsia="仿宋" w:cs="仿宋_GB2312"/>
          <w:color w:val="auto"/>
          <w:sz w:val="24"/>
          <w:highlight w:val="none"/>
        </w:rPr>
        <w:t>的扣除，用扣除后的价格参加评审。</w:t>
      </w:r>
    </w:p>
    <w:p>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b w:val="0"/>
          <w:bCs w:val="0"/>
          <w:color w:val="auto"/>
          <w:sz w:val="24"/>
          <w:highlight w:val="none"/>
          <w:lang w:eastAsia="zh-CN"/>
        </w:rPr>
        <w:t>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或分包方式参与政府采购活动的，</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或分包方</w:t>
      </w:r>
      <w:r>
        <w:rPr>
          <w:rFonts w:hint="eastAsia" w:ascii="仿宋" w:eastAsia="仿宋" w:cs="仿宋_GB2312"/>
          <w:b w:val="0"/>
          <w:bCs w:val="0"/>
          <w:color w:val="auto"/>
          <w:sz w:val="24"/>
          <w:highlight w:val="none"/>
        </w:rPr>
        <w:t>中</w:t>
      </w:r>
      <w:r>
        <w:rPr>
          <w:rFonts w:hint="eastAsia" w:ascii="仿宋" w:eastAsia="仿宋" w:cs="仿宋_GB2312"/>
          <w:b w:val="0"/>
          <w:bCs w:val="0"/>
          <w:color w:val="auto"/>
          <w:sz w:val="24"/>
          <w:highlight w:val="none"/>
          <w:lang w:eastAsia="zh-CN"/>
        </w:rPr>
        <w:t>任意</w:t>
      </w:r>
      <w:r>
        <w:rPr>
          <w:rFonts w:hint="eastAsia" w:ascii="仿宋" w:eastAsia="仿宋" w:cs="仿宋_GB2312"/>
          <w:b w:val="0"/>
          <w:bCs w:val="0"/>
          <w:color w:val="auto"/>
          <w:sz w:val="24"/>
          <w:highlight w:val="none"/>
        </w:rPr>
        <w:t>一方</w:t>
      </w:r>
      <w:r>
        <w:rPr>
          <w:rFonts w:hint="eastAsia" w:ascii="仿宋" w:eastAsia="仿宋" w:cs="仿宋_GB2312"/>
          <w:b w:val="0"/>
          <w:bCs w:val="0"/>
          <w:color w:val="auto"/>
          <w:sz w:val="24"/>
          <w:highlight w:val="none"/>
          <w:lang w:eastAsia="zh-CN"/>
        </w:rPr>
        <w:t>（或多方）所</w:t>
      </w:r>
      <w:r>
        <w:rPr>
          <w:rFonts w:hint="eastAsia" w:ascii="仿宋" w:eastAsia="仿宋" w:cs="仿宋_GB2312"/>
          <w:b w:val="0"/>
          <w:bCs w:val="0"/>
          <w:color w:val="auto"/>
          <w:sz w:val="24"/>
          <w:highlight w:val="none"/>
        </w:rPr>
        <w:t>提供的全部</w:t>
      </w:r>
      <w:r>
        <w:rPr>
          <w:rFonts w:hint="eastAsia" w:ascii="仿宋" w:eastAsia="仿宋" w:cs="仿宋_GB2312"/>
          <w:b w:val="0"/>
          <w:bCs w:val="0"/>
          <w:color w:val="auto"/>
          <w:sz w:val="24"/>
          <w:highlight w:val="none"/>
          <w:lang w:eastAsia="zh-CN"/>
        </w:rPr>
        <w:t>服务</w:t>
      </w:r>
      <w:r>
        <w:rPr>
          <w:rFonts w:hint="eastAsia" w:ascii="仿宋" w:eastAsia="仿宋" w:cs="仿宋_GB2312"/>
          <w:b w:val="0"/>
          <w:bCs w:val="0"/>
          <w:color w:val="auto"/>
          <w:sz w:val="24"/>
          <w:highlight w:val="none"/>
        </w:rPr>
        <w:t>为小微企业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则这一方（或多方）视为小微企业，其在联合体协议或分包意向协议中约定的</w:t>
      </w:r>
      <w:r>
        <w:rPr>
          <w:rFonts w:hint="eastAsia" w:ascii="仿宋" w:eastAsia="仿宋" w:cs="仿宋_GB2312"/>
          <w:b w:val="0"/>
          <w:bCs w:val="0"/>
          <w:color w:val="auto"/>
          <w:sz w:val="24"/>
          <w:highlight w:val="none"/>
        </w:rPr>
        <w:t>合同份额占到合同总金额30%以上的，可按规定享受</w:t>
      </w:r>
      <w:r>
        <w:rPr>
          <w:rFonts w:hint="eastAsia" w:ascii="仿宋" w:eastAsia="仿宋" w:cs="仿宋_GB2312"/>
          <w:b w:val="0"/>
          <w:bCs w:val="0"/>
          <w:color w:val="auto"/>
          <w:sz w:val="24"/>
          <w:highlight w:val="none"/>
          <w:lang w:val="en-US" w:eastAsia="zh-CN"/>
        </w:rPr>
        <w:t>4</w:t>
      </w:r>
      <w:r>
        <w:rPr>
          <w:rFonts w:hint="eastAsia" w:ascii="仿宋" w:eastAsia="仿宋" w:cs="仿宋_GB2312"/>
          <w:b w:val="0"/>
          <w:bCs w:val="0"/>
          <w:color w:val="auto"/>
          <w:sz w:val="24"/>
          <w:highlight w:val="none"/>
        </w:rPr>
        <w:t>%的价格扣除。</w:t>
      </w:r>
    </w:p>
    <w:p>
      <w:pPr>
        <w:snapToGrid w:val="0"/>
        <w:spacing w:line="420" w:lineRule="exact"/>
        <w:ind w:firstLine="480" w:firstLineChars="200"/>
        <w:rPr>
          <w:rFonts w:hint="eastAsia" w:ascii="仿宋" w:eastAsia="仿宋" w:cs="仿宋_GB2312"/>
          <w:b w:val="0"/>
          <w:bCs w:val="0"/>
          <w:color w:val="auto"/>
          <w:sz w:val="24"/>
          <w:highlight w:val="none"/>
        </w:rPr>
      </w:pPr>
      <w:r>
        <w:rPr>
          <w:rFonts w:hint="eastAsia" w:ascii="仿宋" w:eastAsia="仿宋" w:cs="仿宋_GB2312"/>
          <w:color w:val="auto"/>
          <w:sz w:val="24"/>
          <w:highlight w:val="none"/>
          <w:lang w:eastAsia="zh-CN"/>
        </w:rPr>
        <w:t>供应商</w:t>
      </w:r>
      <w:r>
        <w:rPr>
          <w:rFonts w:hint="eastAsia" w:ascii="仿宋" w:eastAsia="仿宋" w:cs="仿宋_GB2312"/>
          <w:b w:val="0"/>
          <w:bCs w:val="0"/>
          <w:color w:val="auto"/>
          <w:sz w:val="24"/>
          <w:highlight w:val="none"/>
        </w:rPr>
        <w:t>应当在</w:t>
      </w:r>
      <w:r>
        <w:rPr>
          <w:rFonts w:hint="eastAsia" w:ascii="仿宋" w:eastAsia="仿宋" w:cs="仿宋_GB2312"/>
          <w:b w:val="0"/>
          <w:bCs w:val="0"/>
          <w:color w:val="auto"/>
          <w:sz w:val="24"/>
          <w:highlight w:val="none"/>
          <w:lang w:eastAsia="zh-CN"/>
        </w:rPr>
        <w:t>联合体协议或分包意向协议中约定各方承担的货物和服务内容以及各方的合同份额，并在</w:t>
      </w:r>
      <w:r>
        <w:rPr>
          <w:rFonts w:hint="eastAsia" w:ascii="仿宋" w:eastAsia="仿宋" w:cs="仿宋_GB2312"/>
          <w:b w:val="0"/>
          <w:bCs w:val="0"/>
          <w:color w:val="auto"/>
          <w:sz w:val="24"/>
          <w:highlight w:val="none"/>
        </w:rPr>
        <w:t>《中小企业声明函》</w:t>
      </w:r>
      <w:r>
        <w:rPr>
          <w:rFonts w:hint="eastAsia" w:ascii="仿宋" w:eastAsia="仿宋" w:cs="仿宋_GB2312"/>
          <w:b w:val="0"/>
          <w:bCs w:val="0"/>
          <w:color w:val="auto"/>
          <w:sz w:val="24"/>
          <w:highlight w:val="none"/>
          <w:lang w:eastAsia="zh-CN"/>
        </w:rPr>
        <w:t>中</w:t>
      </w:r>
      <w:r>
        <w:rPr>
          <w:rFonts w:hint="eastAsia" w:ascii="仿宋" w:eastAsia="仿宋" w:cs="仿宋_GB2312"/>
          <w:b w:val="0"/>
          <w:bCs w:val="0"/>
          <w:color w:val="auto"/>
          <w:sz w:val="24"/>
          <w:highlight w:val="none"/>
        </w:rPr>
        <w:t>填写</w:t>
      </w:r>
      <w:r>
        <w:rPr>
          <w:rFonts w:hint="eastAsia" w:ascii="仿宋" w:eastAsia="仿宋" w:cs="仿宋_GB2312"/>
          <w:b w:val="0"/>
          <w:bCs w:val="0"/>
          <w:color w:val="auto"/>
          <w:sz w:val="24"/>
          <w:highlight w:val="none"/>
          <w:lang w:eastAsia="zh-CN"/>
        </w:rPr>
        <w:t>服务承接商</w:t>
      </w:r>
      <w:r>
        <w:rPr>
          <w:rFonts w:hint="eastAsia" w:ascii="仿宋" w:eastAsia="仿宋" w:cs="仿宋_GB2312"/>
          <w:b w:val="0"/>
          <w:bCs w:val="0"/>
          <w:color w:val="auto"/>
          <w:sz w:val="24"/>
          <w:highlight w:val="none"/>
        </w:rPr>
        <w:t>的小微企业相关信息</w:t>
      </w:r>
      <w:r>
        <w:rPr>
          <w:rFonts w:hint="eastAsia" w:ascii="仿宋" w:eastAsia="仿宋" w:cs="仿宋_GB2312"/>
          <w:b w:val="0"/>
          <w:bCs w:val="0"/>
          <w:color w:val="auto"/>
          <w:sz w:val="24"/>
          <w:highlight w:val="none"/>
          <w:lang w:eastAsia="zh-CN"/>
        </w:rPr>
        <w:t>，否则不予享受价格扣除</w:t>
      </w:r>
      <w:r>
        <w:rPr>
          <w:rFonts w:hint="eastAsia" w:ascii="仿宋" w:eastAsia="仿宋" w:cs="仿宋_GB2312"/>
          <w:b w:val="0"/>
          <w:bCs w:val="0"/>
          <w:color w:val="auto"/>
          <w:sz w:val="24"/>
          <w:highlight w:val="none"/>
        </w:rPr>
        <w:t>。</w:t>
      </w:r>
    </w:p>
    <w:p>
      <w:pPr>
        <w:snapToGrid w:val="0"/>
        <w:spacing w:line="420" w:lineRule="exact"/>
        <w:ind w:left="0"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b w:val="0"/>
          <w:bCs w:val="0"/>
          <w:color w:val="auto"/>
          <w:sz w:val="24"/>
          <w:highlight w:val="none"/>
        </w:rPr>
        <w:t>供应商</w:t>
      </w:r>
      <w:r>
        <w:rPr>
          <w:rFonts w:hint="eastAsia" w:ascii="仿宋" w:eastAsia="仿宋" w:cs="仿宋_GB2312"/>
          <w:b w:val="0"/>
          <w:bCs w:val="0"/>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3.3节能环保政策（服务项目除外）</w:t>
      </w:r>
    </w:p>
    <w:p>
      <w:pPr>
        <w:snapToGrid w:val="0"/>
        <w:spacing w:line="420" w:lineRule="exact"/>
        <w:ind w:left="0"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磋商响应产品若属于节能（环境标志）产品的，请提供参与实施政府采购节能（环境标志）产品认证机构出具的认证证书或证书发布平台的磋商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磋商处理。</w:t>
      </w:r>
    </w:p>
    <w:p>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4.磋商文件的澄清与修改</w:t>
      </w:r>
    </w:p>
    <w:p>
      <w:pPr>
        <w:pStyle w:val="8"/>
        <w:widowControl w:val="0"/>
        <w:tabs>
          <w:tab w:val="clear" w:pos="360"/>
        </w:tabs>
        <w:spacing w:after="0" w:line="440" w:lineRule="exact"/>
        <w:ind w:left="0" w:firstLine="0"/>
        <w:rPr>
          <w:rFonts w:hint="eastAsia" w:ascii="仿宋" w:eastAsia="仿宋"/>
          <w:color w:val="auto"/>
          <w:sz w:val="24"/>
          <w:highlight w:val="none"/>
        </w:rPr>
      </w:pPr>
      <w:r>
        <w:rPr>
          <w:rFonts w:hint="eastAsia" w:ascii="仿宋" w:eastAsia="仿宋"/>
          <w:color w:val="auto"/>
          <w:sz w:val="24"/>
          <w:highlight w:val="none"/>
        </w:rPr>
        <w:t>4.1采购人如对磋商文件进行澄清、补充、变更的，或者在磋商截止时间前规定时间内，采购人需要对磋商文件进行补充或修改的，采购人将会通过浙江省政府采购网（</w:t>
      </w:r>
      <w:r>
        <w:rPr>
          <w:rFonts w:hint="eastAsia" w:ascii="仿宋" w:eastAsia="仿宋" w:cs="Arial"/>
          <w:color w:val="auto"/>
          <w:sz w:val="24"/>
          <w:highlight w:val="none"/>
        </w:rPr>
        <w:t>http://zfcg.czt.zj.gov.cn/</w:t>
      </w:r>
      <w:r>
        <w:rPr>
          <w:rFonts w:hint="eastAsia" w:ascii="仿宋" w:eastAsia="仿宋"/>
          <w:color w:val="auto"/>
          <w:sz w:val="24"/>
          <w:highlight w:val="none"/>
        </w:rPr>
        <w:t>）和绍兴市越城区人民政府网站公共资源交易采购公告版块（http://www.sxyc.gov.cn）以更正公告的形式发布，公告中没有注明更改磋商截止时间的视为截止时间不变。更正公告作为磋商文件的补充和组成部分，对所有供应商均有约束力。供应商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4.2为使供应商有足够的时间按更正公告要求修改磋商响应文件，采购人可酌情推迟磋商截止时间和磋商时间，并将此变更以更正公告的形式通过上述途径通知供应商。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磋商文件如涉及各类品牌、型号，则所述品牌、型号是结合实际现有情况的推荐性参考方案，供应商也可根据磋商文件的要求推荐性能相当或高于、服务条款相等或高于、符合采购人实际业务需求其他同档次优质品牌的产品，进行方案优化，但需详细说明并提供相关证明材料。</w:t>
      </w:r>
    </w:p>
    <w:p>
      <w:pPr>
        <w:pStyle w:val="5"/>
        <w:spacing w:line="415" w:lineRule="auto"/>
        <w:jc w:val="center"/>
        <w:rPr>
          <w:rFonts w:hint="eastAsia" w:ascii="仿宋"/>
          <w:color w:val="auto"/>
          <w:highlight w:val="none"/>
        </w:rPr>
      </w:pPr>
      <w:bookmarkStart w:id="41" w:name="_Toc643610529"/>
      <w:bookmarkStart w:id="42" w:name="_Toc15092"/>
      <w:r>
        <w:rPr>
          <w:rFonts w:hint="eastAsia" w:ascii="仿宋"/>
          <w:color w:val="auto"/>
          <w:highlight w:val="none"/>
        </w:rPr>
        <w:t>三、磋商响应文件</w:t>
      </w:r>
      <w:bookmarkEnd w:id="41"/>
      <w:bookmarkEnd w:id="42"/>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磋商响应文件的语言及货币单位</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1.1磋商响应文件以及有关磋商事宜的所有来往函电均应以中文书写，专业术语和外文证明材料除外。</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1.2磋商响应文件以人民币元报价或以下浮率（优惠率）报价，具体详见《磋商一览表》。</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磋商响应文件的组成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本项目磋商响应文件由“资格文件”、“商务和技术文件”、“报价文件”三部分组成：</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2.1.1磋商声明函；</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法定代表人授权委托书（个体工商户需经营者参与磋商，不得授权）</w:t>
      </w:r>
      <w:r>
        <w:rPr>
          <w:rFonts w:hint="eastAsia" w:ascii="仿宋" w:eastAsia="仿宋" w:cs="Arial"/>
          <w:bCs/>
          <w:color w:val="auto"/>
          <w:sz w:val="24"/>
          <w:highlight w:val="none"/>
          <w:lang w:bidi="ar-SA"/>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 xml:space="preserve"> 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磋商</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均为原件扫描件或彩色图片，</w:t>
      </w:r>
      <w:r>
        <w:rPr>
          <w:rFonts w:ascii="仿宋" w:eastAsia="仿宋"/>
          <w:b/>
          <w:bCs/>
          <w:color w:val="auto"/>
          <w:sz w:val="32"/>
          <w:szCs w:val="32"/>
          <w:highlight w:val="none"/>
          <w:u w:val="single"/>
        </w:rPr>
        <w:t>未按磋商文件要求签字、盖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供应商在技术响应表中，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供应商在技术响应表中注明无偏离或正偏离，评标结束后、签订采购合同前又认为其实际产品与磋商技术需求不一致的，视为供应商在磋商有效期内对其磋商响应文件进行了实质性修改，其磋商将被追认为无效，采购机构将把这一情况报送采购监管部门。</w:t>
      </w:r>
      <w:r>
        <w:rPr>
          <w:rFonts w:hint="eastAsia" w:ascii="仿宋" w:eastAsia="仿宋"/>
          <w:color w:val="auto"/>
          <w:sz w:val="24"/>
          <w:highlight w:val="none"/>
        </w:rPr>
        <w:t>）；</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2.2.3商务响应表（需对磋商文件中付款方式、供货期限等商务要求进行逐一答复、说明和解释，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54"/>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pStyle w:val="54"/>
        <w:spacing w:line="360" w:lineRule="auto"/>
        <w:ind w:firstLine="0" w:firstLineChars="0"/>
        <w:jc w:val="left"/>
        <w:rPr>
          <w:rFonts w:ascii="仿宋" w:eastAsia="仿宋"/>
          <w:color w:val="auto"/>
          <w:sz w:val="24"/>
          <w:szCs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54"/>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其他供应商认为需要提供的材料，如供应商简介等，格式自拟。</w:t>
      </w:r>
    </w:p>
    <w:p>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注：“商务和技术文件”可在磋商文件格式的基础上</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，以使内容更加完备。供应商自有的各类证书、业绩等证明材料均为原件扫描件或彩色图片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.1磋商一览表；</w:t>
      </w:r>
    </w:p>
    <w:p>
      <w:pPr>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lang w:val="en-US" w:eastAsia="zh-CN"/>
        </w:rPr>
        <w:t>3.2</w:t>
      </w:r>
      <w:r>
        <w:rPr>
          <w:rFonts w:hint="eastAsia" w:ascii="仿宋" w:eastAsia="仿宋"/>
          <w:color w:val="auto"/>
          <w:sz w:val="24"/>
          <w:highlight w:val="none"/>
        </w:rPr>
        <w:t>中小企业声明函（如有）；</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3.3</w:t>
      </w:r>
      <w:r>
        <w:rPr>
          <w:rFonts w:hint="eastAsia" w:ascii="仿宋" w:eastAsia="仿宋"/>
          <w:color w:val="auto"/>
          <w:sz w:val="24"/>
          <w:highlight w:val="none"/>
        </w:rPr>
        <w:t>残疾人福利性单位声明函（如有）；</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磋商一览表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磋商</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未按磋商文件要求签字、盖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作无效磋商处理</w:t>
      </w:r>
      <w:r>
        <w:rPr>
          <w:rFonts w:ascii="仿宋" w:eastAsia="仿宋"/>
          <w:b/>
          <w:bCs/>
          <w:color w:val="auto"/>
          <w:sz w:val="32"/>
          <w:szCs w:val="32"/>
          <w:highlight w:val="none"/>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磋商响应文件的制作要求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3.1电子磋商响应文件，按“供应商-政府采购项目电子交易操作指南”（https://help.zcygov.cn/web/site_2/2018/12-28/2573.html?utm=a0017.1b5152f3.cl12.1.6a74a560d9dd11e9943b71555d71591e）及本磋商文件要求制作、加密并上传，</w:t>
      </w:r>
      <w:r>
        <w:rPr>
          <w:rFonts w:hint="eastAsia" w:ascii="仿宋" w:eastAsia="仿宋"/>
          <w:b/>
          <w:bCs/>
          <w:color w:val="auto"/>
          <w:spacing w:val="-4"/>
          <w:sz w:val="24"/>
          <w:highlight w:val="none"/>
        </w:rPr>
        <w:t>未按“政采云”平台电子磋商工具（政府采购电子交易客户端）制作将无法上传和解密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3.2磋商响应文件须为PDF格式文档。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3.3磋商响应文件需做好“标书关联”（即设置关联点），未设置关联点而导致失分或作无效磋商处理的风险由供应商承担。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3.4供应商需在上传加密电子磋商响应文件的同时，准备备份加密电子磋商响应文件，以便在上传的加密电子磋商响应文件解密失败后启用备份加密磋商响应文件。备份加密电子磋商</w:t>
      </w:r>
      <w:r>
        <w:rPr>
          <w:rFonts w:ascii="仿宋" w:eastAsia="仿宋"/>
          <w:b/>
          <w:bCs/>
          <w:color w:val="auto"/>
          <w:spacing w:val="-4"/>
          <w:sz w:val="24"/>
          <w:highlight w:val="none"/>
        </w:rPr>
        <w:t>响应</w:t>
      </w:r>
      <w:r>
        <w:rPr>
          <w:rFonts w:hint="eastAsia" w:ascii="仿宋" w:eastAsia="仿宋"/>
          <w:b/>
          <w:bCs/>
          <w:color w:val="auto"/>
          <w:spacing w:val="-4"/>
          <w:sz w:val="24"/>
          <w:highlight w:val="none"/>
        </w:rPr>
        <w:t>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3.5个体工商户参与磋商的，法定代表人或授权代表签字（盖章）处由个体工商户经营者签署（盖章）。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友情提醒：在生成加密电子磋商响应文件过程中，花费时间较长，预计需要10-20分钟时间，请供应商耐心等待，不要关闭电子交易客户端。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磋商响应文件的补充和修改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磋商截止时间前，供应商可以通过替换加密电子磋商响应文件的形式以对磋商响应文件进行补充和修改，补充和修改将以磋商截止时间后的最终加密电子磋商响应文件为准，磋商截止时间前未完成上传的，视为磋商响应文件撤回。不接受其他途径的补充和修改。</w:t>
      </w:r>
    </w:p>
    <w:p>
      <w:pPr>
        <w:pStyle w:val="8"/>
        <w:tabs>
          <w:tab w:val="clear" w:pos="360"/>
        </w:tabs>
        <w:spacing w:after="0" w:line="440" w:lineRule="atLeast"/>
        <w:rPr>
          <w:rFonts w:hint="eastAsia" w:ascii="仿宋" w:eastAsia="仿宋"/>
          <w:b/>
          <w:color w:val="auto"/>
          <w:kern w:val="0"/>
          <w:sz w:val="24"/>
          <w:highlight w:val="none"/>
        </w:rPr>
      </w:pPr>
      <w:r>
        <w:rPr>
          <w:rFonts w:hint="eastAsia" w:ascii="仿宋" w:eastAsia="仿宋"/>
          <w:b/>
          <w:color w:val="auto"/>
          <w:kern w:val="0"/>
          <w:sz w:val="24"/>
          <w:highlight w:val="none"/>
        </w:rPr>
        <w:t>5.磋商响应文件的有效期</w:t>
      </w:r>
    </w:p>
    <w:p>
      <w:pPr>
        <w:pStyle w:val="8"/>
        <w:tabs>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5.1磋商响应文件有效期详见前附表。磋商有效期内，供应商不得撤销或更换磋商响应文件。</w:t>
      </w:r>
    </w:p>
    <w:p>
      <w:pPr>
        <w:pStyle w:val="8"/>
        <w:tabs>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5.2磋商有效期内未完成开评标及与成交供应商签订合同的，采购人需与供应商书面协商延长磋商响应文件的有效期。</w:t>
      </w:r>
    </w:p>
    <w:p>
      <w:pPr>
        <w:pStyle w:val="8"/>
        <w:tabs>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5.3供应商可拒绝接受延期要求。同意延长有效期的供应商不能修改磋商响应文件。</w:t>
      </w:r>
    </w:p>
    <w:p>
      <w:pPr>
        <w:pStyle w:val="8"/>
        <w:tabs>
          <w:tab w:val="clear" w:pos="360"/>
        </w:tabs>
        <w:spacing w:after="0" w:line="440" w:lineRule="atLeast"/>
        <w:rPr>
          <w:rFonts w:hint="eastAsia" w:ascii="仿宋" w:eastAsia="仿宋"/>
          <w:color w:val="auto"/>
          <w:kern w:val="0"/>
          <w:sz w:val="24"/>
          <w:highlight w:val="none"/>
        </w:rPr>
      </w:pPr>
      <w:r>
        <w:rPr>
          <w:rFonts w:hint="eastAsia" w:ascii="仿宋" w:eastAsia="仿宋"/>
          <w:color w:val="auto"/>
          <w:kern w:val="0"/>
          <w:sz w:val="24"/>
          <w:highlight w:val="none"/>
        </w:rPr>
        <w:t>5.4磋商响应文件不予退还。</w:t>
      </w:r>
    </w:p>
    <w:p>
      <w:pPr>
        <w:pStyle w:val="8"/>
        <w:tabs>
          <w:tab w:val="left" w:pos="454"/>
        </w:tabs>
        <w:spacing w:line="440" w:lineRule="atLeast"/>
        <w:rPr>
          <w:rFonts w:hint="eastAsia" w:ascii="仿宋" w:eastAsia="仿宋"/>
          <w:b/>
          <w:bCs/>
          <w:color w:val="auto"/>
          <w:kern w:val="0"/>
          <w:sz w:val="24"/>
          <w:highlight w:val="none"/>
        </w:rPr>
      </w:pPr>
      <w:r>
        <w:rPr>
          <w:rFonts w:hint="eastAsia" w:ascii="仿宋" w:eastAsia="仿宋"/>
          <w:b/>
          <w:bCs/>
          <w:color w:val="auto"/>
          <w:kern w:val="0"/>
          <w:sz w:val="24"/>
          <w:highlight w:val="none"/>
        </w:rPr>
        <w:t>6.磋商响应文件的保密</w:t>
      </w:r>
    </w:p>
    <w:p>
      <w:pPr>
        <w:ind w:left="0"/>
        <w:jc w:val="left"/>
        <w:rPr>
          <w:rFonts w:hint="eastAsia" w:ascii="仿宋" w:eastAsia="仿宋"/>
          <w:color w:val="auto"/>
          <w:kern w:val="0"/>
          <w:sz w:val="24"/>
          <w:highlight w:val="none"/>
        </w:rPr>
      </w:pPr>
      <w:r>
        <w:rPr>
          <w:rFonts w:hint="eastAsia" w:ascii="仿宋" w:eastAsia="仿宋"/>
          <w:color w:val="auto"/>
          <w:kern w:val="0"/>
          <w:sz w:val="24"/>
          <w:highlight w:val="none"/>
        </w:rPr>
        <w:t>6.1备份电子磋商响应文件在解密前处于保密状态。</w:t>
      </w:r>
    </w:p>
    <w:p>
      <w:pPr>
        <w:ind w:left="0"/>
        <w:jc w:val="left"/>
        <w:rPr>
          <w:rFonts w:hint="eastAsia" w:ascii="仿宋" w:eastAsia="仿宋"/>
          <w:color w:val="auto"/>
          <w:kern w:val="0"/>
          <w:sz w:val="24"/>
          <w:highlight w:val="none"/>
        </w:rPr>
      </w:pPr>
      <w:r>
        <w:rPr>
          <w:rFonts w:hint="eastAsia" w:ascii="仿宋" w:eastAsia="仿宋"/>
          <w:color w:val="auto"/>
          <w:kern w:val="0"/>
          <w:sz w:val="24"/>
          <w:highlight w:val="none"/>
        </w:rPr>
        <w:t>6.2解密成功后，“资格文件”、“商务和技术文件”、“报价文件”各自处于数据隔离状态，各部分信息只有在相关环节评审时可见，不受解密影响。</w:t>
      </w:r>
    </w:p>
    <w:p>
      <w:pPr>
        <w:pStyle w:val="5"/>
        <w:spacing w:line="415" w:lineRule="auto"/>
        <w:jc w:val="center"/>
        <w:rPr>
          <w:rFonts w:hint="eastAsia" w:ascii="仿宋"/>
          <w:color w:val="auto"/>
          <w:highlight w:val="none"/>
        </w:rPr>
      </w:pPr>
      <w:bookmarkStart w:id="43" w:name="_Toc643610530"/>
      <w:bookmarkStart w:id="44" w:name="_Toc23137"/>
      <w:r>
        <w:rPr>
          <w:rFonts w:hint="eastAsia" w:ascii="仿宋"/>
          <w:color w:val="auto"/>
          <w:highlight w:val="none"/>
        </w:rPr>
        <w:t>四、</w:t>
      </w:r>
      <w:bookmarkEnd w:id="43"/>
      <w:r>
        <w:rPr>
          <w:rFonts w:hint="eastAsia" w:ascii="仿宋"/>
          <w:color w:val="auto"/>
          <w:highlight w:val="none"/>
        </w:rPr>
        <w:t>磋商和评审</w:t>
      </w:r>
      <w:bookmarkEnd w:id="44"/>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1．磋商出席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供应商法定代表人或其授权代表或个体工商户经营者需准时通过“政采云平台”在线参加磋商，否则将导致磋商响应文件无法按时解密、无法在线询标等。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1.2供应商自主选择是否出席现场磋商，但除电子交易技术指导外，现场不接受任何与磋商有关的资料。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2．磋商程序</w:t>
      </w:r>
    </w:p>
    <w:p>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磋商由采购代理机构主持：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2.1主持人宣布磋商开始，介绍到会单位和人员。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2.2采购人依法组建磋商小组，对磋商响应文件进行评估和比较。</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2.3宣读完成加密电子磋商响应文件上传的供应商名单。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2.4组织各供应商法定代表人或其授权代表或个体工商户经营者签署《政府采购活动现场确认声明书》（视情）。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2.5采购代理机构通过政采云平台和上传电子磋商响应文件时登记的手机号发出解密指令，供应商对加密电子磋商响应文件进行在线解密。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w:t>
      </w:r>
      <w:r>
        <w:rPr>
          <w:rFonts w:hint="eastAsia" w:ascii="仿宋" w:eastAsia="仿宋"/>
          <w:color w:val="auto"/>
          <w:sz w:val="24"/>
          <w:highlight w:val="none"/>
          <w:lang w:eastAsia="zh-CN"/>
        </w:rPr>
        <w:t>磋商响应</w:t>
      </w:r>
      <w:r>
        <w:rPr>
          <w:rFonts w:hint="eastAsia" w:ascii="仿宋" w:eastAsia="仿宋"/>
          <w:color w:val="auto"/>
          <w:sz w:val="24"/>
          <w:highlight w:val="none"/>
        </w:rPr>
        <w:t>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解密成功的，备份加密电子磋商响应文件自动失效。若在规定时间内无法解密或解密失败，上传备份电子加密磋商响应文件并解密。</w:t>
      </w:r>
    </w:p>
    <w:p>
      <w:pPr>
        <w:snapToGrid w:val="0"/>
        <w:spacing w:line="480" w:lineRule="exact"/>
        <w:jc w:val="left"/>
        <w:rPr>
          <w:rFonts w:ascii="仿宋" w:eastAsia="仿宋"/>
          <w:b/>
          <w:bCs/>
          <w:color w:val="auto"/>
          <w:spacing w:val="-4"/>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制作电子磋商响应文件和解密磋商响应文件的需为同一把CA。解密时间截止后仍未解密成功的，视为撤回磋商响应文件，放弃磋商。</w:t>
      </w:r>
    </w:p>
    <w:p>
      <w:pPr>
        <w:snapToGrid w:val="0"/>
        <w:spacing w:line="480" w:lineRule="exact"/>
        <w:jc w:val="left"/>
        <w:rPr>
          <w:rFonts w:hint="eastAsia" w:ascii="仿宋" w:eastAsia="仿宋"/>
          <w:b/>
          <w:bCs/>
          <w:color w:val="auto"/>
          <w:sz w:val="24"/>
          <w:highlight w:val="none"/>
          <w:u w:val="single"/>
        </w:rPr>
      </w:pPr>
      <w:r>
        <w:rPr>
          <w:rFonts w:ascii="仿宋" w:eastAsia="仿宋"/>
          <w:color w:val="auto"/>
          <w:sz w:val="24"/>
          <w:highlight w:val="none"/>
        </w:rPr>
        <w:t>2.6采购机构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2.6磋商小组对“商务和技术文件”进行评审，发布评审结果。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磋商小组与单一供应商分别进行线上磋商。（磋商时供应商的技术资料、价格和其他信息在评审、磋商过程中保密）。磋商内容包括采购需求中的技术、服务要求以及合同草案条款，但不得变动磋商文件中的其他内容。</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2.8磋商小组要求所有实质性响应的供应商在规定时间内提交最后报价（第一次报价不公开）</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2.9磋商小组对报价文件进行评审，计算价格分。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2.10汇总技术商务分、价格分，根据总得分排序确定成交候选人，公布评审结果。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3.磋商小组的组成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磋商小组由采购单位依法组建，负责磋商及协助处理质疑投诉。</w:t>
      </w:r>
      <w:r>
        <w:rPr>
          <w:rFonts w:hint="eastAsia" w:ascii="仿宋" w:eastAsia="仿宋"/>
          <w:color w:val="auto"/>
          <w:sz w:val="24"/>
          <w:highlight w:val="none"/>
        </w:rPr>
        <w:t>参与本项目进口论证的专家不得作为采购评审专家参与同一项目的磋商工作。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3.2磋商小组由采购人代表和有关方面的专家组成，成员人数为三人及以上单数；预算金额达到公开招标限额的，成员人数为五人及以上单数。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3.3采购人代表不担任磋商组长。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3.4经采购监督部门同意，由于专家库无相应专业专家或技术复杂等原因允许采购人自行组建或推荐抽取磋商小组中的评审专家，相关操作规则需符合法律规定。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依据法律、法规和磋商文件规定，对磋商响应文件中“资格文件”等进行审查，以确定供应商是否具备磋商资格。</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评定每份磋商响应文件是否在实质上响应了磋商文件要求，审查范围包括实质性响应条款、磋商文件规定的无效磋商条款、违反法律法规的行为以及磋商小组认为的对磋商文件构成重大偏差的内容。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4.1.5报价评分：根据评审价格和价格分计算公式计算各供应商价格分。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4.2磋商小组不负责解释供应商的得分高低和失分情况。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4.3磋商小组不得依据磋商响应文件（包括样品、演示）以外的资料评分。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磋商响应文件中含义不明确、同类问题表述不一致或者有明显文字和计算错误的内容，磋商小组将在政采云平台中要求供应商作出必要的澄清、说明或者补正。供应商的澄清、说明或者补正应当在政采云平台中完成。供应商的澄清、说明或者补正不得超出磋商响应文件的范围或者改变磋商响应文件的实质性内容。</w:t>
      </w:r>
      <w:r>
        <w:rPr>
          <w:rFonts w:hint="eastAsia" w:ascii="仿宋" w:eastAsia="仿宋"/>
          <w:b/>
          <w:bCs/>
          <w:color w:val="auto"/>
          <w:sz w:val="24"/>
          <w:highlight w:val="none"/>
        </w:rPr>
        <w:t>不接受供应商提出的主动澄清。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4.5磋商小组不向落标方解释落标的原因，不退还磋商响应文件。</w:t>
      </w:r>
    </w:p>
    <w:p>
      <w:pPr>
        <w:widowControl/>
        <w:snapToGrid w:val="0"/>
        <w:spacing w:line="480" w:lineRule="exact"/>
        <w:rPr>
          <w:rFonts w:hint="eastAsia" w:ascii="仿宋" w:eastAsia="仿宋" w:cs="宋体"/>
          <w:color w:val="auto"/>
          <w:sz w:val="24"/>
          <w:highlight w:val="none"/>
        </w:rPr>
      </w:pPr>
      <w:r>
        <w:rPr>
          <w:rFonts w:hint="eastAsia" w:ascii="仿宋" w:eastAsia="仿宋"/>
          <w:color w:val="auto"/>
          <w:sz w:val="24"/>
          <w:highlight w:val="none"/>
        </w:rPr>
        <w:t>4.6如某一标项实质性磋商响应文件的供应商不足三家时，由采购人重新组织开展采购活动或按有关规定实施，政府购买服务项目（含政府和社会资本合作项目）除外。</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5.1磋商响应文件中磋商一览表（报价表）内容与磋商响应文件中相应内容不一致的，以磋商一览表（报价表）为准；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5.3单价金额小数点或者百分比有明显错位的，以磋商一览表的总价为准，并修改单价；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《政府采购货物和服务招标磋商管理办法》</w:t>
      </w:r>
      <w:r>
        <w:rPr>
          <w:rFonts w:hint="eastAsia" w:ascii="仿宋" w:eastAsia="仿宋" w:cs="宋体"/>
          <w:color w:val="auto"/>
          <w:sz w:val="24"/>
          <w:highlight w:val="none"/>
        </w:rPr>
        <w:t>第五十一条第二款的规定经供应商确认后产生约束力，供应商不确认的，其磋商无效。</w:t>
      </w:r>
    </w:p>
    <w:p>
      <w:pPr>
        <w:pStyle w:val="20"/>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6．无效磋商的情形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磋商响应文件有下列情形之一的作无效磋商处理：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6.1单位负责人为同一人或者存在直接控股、管理关系的不同供应商参加同一合同项（标项）下的政府采购活动的（双方均作无效磋商处理）；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6.3供应商不具备磋商文件中规定的资格要求的（供应商未按磋商文件要求提供资格文件的，视为供应商不具备磋商文件中规定的资格要求）；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color w:val="auto"/>
          <w:kern w:val="0"/>
          <w:sz w:val="24"/>
          <w:highlight w:val="none"/>
        </w:rPr>
      </w:pPr>
      <w:r>
        <w:rPr>
          <w:rFonts w:hint="eastAsia" w:ascii="仿宋" w:eastAsia="仿宋"/>
          <w:color w:val="auto"/>
          <w:kern w:val="0"/>
          <w:sz w:val="24"/>
          <w:highlight w:val="none"/>
        </w:rPr>
        <w:t>6.4</w:t>
      </w:r>
      <w:r>
        <w:rPr>
          <w:rFonts w:hint="eastAsia" w:ascii="仿宋" w:eastAsia="仿宋"/>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color w:val="auto"/>
          <w:kern w:val="0"/>
          <w:sz w:val="24"/>
          <w:highlight w:val="none"/>
        </w:rPr>
        <w:t>；</w:t>
      </w:r>
    </w:p>
    <w:p>
      <w:pPr>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6.5磋商响应文件制作出现如下情况：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6.5.1未按磋商文件要求制作“资格文件”的；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6.5.2报价一经涂改，未在涂改处加盖磋商单位公章或者未经法定代表人或其授权代表签字或盖章的；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6.5.3“资格文件”或“商务和技术文件”部分中出现用于价格分评审的磋商报价的（磋商文件另有规定的参与“商务和技术文件”评审的报价除外）；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6.5.4对磋商</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内容不全、有缺失的,经磋商小组认定为无法评审的；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6.5.5关键信息填写不完整或字迹不能辨认或有漏项的，经磋商小组认定属于重大偏差的；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6.5.6未按磋商文件规定要求签署盖章的。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《磋商一览表》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供应商递交的磋商响应文件与项目不符或内容严重不全的；</w:t>
      </w:r>
    </w:p>
    <w:p>
      <w:pPr>
        <w:pStyle w:val="20"/>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6.7重要信息前后不一致，经磋商小组询标后仍然无法评审的；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磋商响应文件含有采购人不能接受的附加条件；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，但未能在报价文件中详细阐述不影响产品质量或者诚信履约的具体原因或具体原因未被磋商小组认可的；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6.10报价超过磋商文件中规定的预算金额或最高限价（包括单价限价等磋商文件规定的各类限价）的；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6.11采购人拟采购的产品属于政府强制采购的节能产品品目清单范围的，供应商未按采购文件要求提供国家确定的认证机构出具的、处于有效期之内的节能产品认证证书的；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磋商小组认定有重大偏差或实质性不响应磋商文件要求的；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6.13供应商对根据修正原则修正后的报价不确认的；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6.14供应商提供虚假材料磋商的（包括但不限于以下情节）：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6.15供应商串通磋商的。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有下列情形之一的，视为供应商串通磋商，其磋商无效：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6.15.1不同供应商的磋商响应文件由同一单位或者个人编制；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6.15.2不同供应商委托同一单位或者个人办理磋商事宜；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6.15.3不同供应商的磋商响应文件载明的项目管理成员或者联系人员为同一人；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6.15.4不同供应商的磋商响应文件异常一致或者磋商报价呈规律性差异；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6.15.5不同供应商的磋商响应文件相互混装；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6.15.6法律规定的其他串通磋商情形。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6.16属于《中华人民共和国政府采购法实施条例》第七十四条规定的恶意串通情形的，其磋商无效；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6.17联合体磋商的，联合体各方在同一磋商项目中以自己名义单独磋商或者参加其他联合体磋商的，相关磋商均无效；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违反法律、法规及本磋商文件规定的其他无效磋商情形。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7.1采购人在收到评审报告之日起5个工作日内在评审报告推荐的成交候选供应商中按排序由高到低的原则确定成交供应商。</w:t>
      </w:r>
    </w:p>
    <w:p>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7.2采购代理机构在采购人确认成交或成交供应商后2个工作日内发布成交公告。成交公告与磋商公告发布网址一致。成交公告期限为一个工作日。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8.成交通知书的申领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电子版成交通知书</w:t>
      </w:r>
      <w:r>
        <w:rPr>
          <w:rFonts w:hint="eastAsia" w:ascii="仿宋" w:eastAsia="仿宋"/>
          <w:color w:val="auto"/>
          <w:kern w:val="0"/>
          <w:sz w:val="24"/>
          <w:highlight w:val="none"/>
        </w:rPr>
        <w:t>，成交供应商在政采云平台中登陆后领取（社会中介代理机构组织的政府采购项目另行规定）。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8.2成交通知书在成交公告发布的同时发出。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8.3成交通知书发出后，采购人不得违法改变成交结果，成交供应商无正当理由不得放弃成交。</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8.4成交通知书的领取不妨碍相关质疑投诉的提出和处置，成交结果在法定情形内允许改变。在处理完针对成交结果的质疑或投诉前，原则上不签订采购合同。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pPr>
        <w:pStyle w:val="5"/>
        <w:spacing w:line="415" w:lineRule="auto"/>
        <w:jc w:val="center"/>
        <w:rPr>
          <w:rFonts w:hint="eastAsia" w:ascii="仿宋"/>
          <w:color w:val="auto"/>
          <w:highlight w:val="none"/>
        </w:rPr>
      </w:pPr>
      <w:bookmarkStart w:id="45" w:name="_Toc643610531"/>
      <w:bookmarkStart w:id="46" w:name="_Toc5995"/>
      <w:r>
        <w:rPr>
          <w:rFonts w:hint="eastAsia" w:ascii="仿宋"/>
          <w:color w:val="auto"/>
          <w:highlight w:val="none"/>
        </w:rPr>
        <w:t>五、合同签订及履约</w:t>
      </w:r>
      <w:bookmarkEnd w:id="45"/>
      <w:bookmarkEnd w:id="46"/>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成交供应商应当在成交通知书发出之日起30日内（投诉处理等原因导致签订合同延误的除外），按照磋商文件和成交供应商磋商响应文件的规定，签订书面合同。所签订的合同不得对磋商文件确定的事项和成交供应商磋商响应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1.2采购人和成交供应商不得向对方提出任何不合理的要求作为签订合同的条件。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1.3采购人和成交供应商需在磋商有效期内签订采购合同。磋商有效期允许延长，但需征得成交供应商同意。</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2.1采购合同签订的同时，成交供应商应当以支票、汇票、本票或者金融机构、担保机构出具的保函等非现金形式交纳履约保证金。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3.1成交供应商应当自采购合同签订之日起3个工作日内，将采购合同原件报采购代理机构备案存档。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hint="eastAsia" w:ascii="仿宋" w:eastAsia="仿宋"/>
          <w:color w:val="auto"/>
          <w:sz w:val="24"/>
          <w:highlight w:val="none"/>
        </w:rPr>
        <w:t xml:space="preserve"> </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rPr>
          <w:rFonts w:hint="eastAsia" w:ascii="仿宋" w:eastAsia="仿宋"/>
          <w:color w:val="auto"/>
          <w:highlight w:val="none"/>
        </w:rPr>
        <w:sectPr>
          <w:footerReference r:id="rId4" w:type="default"/>
          <w:pgSz w:w="11907" w:h="16840"/>
          <w:pgMar w:top="1440" w:right="1463" w:bottom="1440" w:left="1803" w:header="851" w:footer="992" w:gutter="0"/>
          <w:pgNumType w:start="1"/>
          <w:cols w:space="0" w:num="1"/>
          <w:rtlGutter w:val="0"/>
          <w:docGrid w:type="lines" w:linePitch="320" w:charSpace="0"/>
        </w:sectPr>
      </w:pPr>
      <w:bookmarkStart w:id="47" w:name="_Toc643610532"/>
      <w:bookmarkStart w:id="48" w:name="_Toc21391"/>
    </w:p>
    <w:p>
      <w:pPr>
        <w:pStyle w:val="4"/>
        <w:numPr>
          <w:ilvl w:val="0"/>
          <w:numId w:val="0"/>
        </w:numPr>
        <w:tabs>
          <w:tab w:val="left" w:pos="3538"/>
          <w:tab w:val="center" w:pos="7039"/>
        </w:tabs>
        <w:ind w:left="0" w:firstLine="0"/>
        <w:jc w:val="center"/>
        <w:rPr>
          <w:rFonts w:hint="eastAsia" w:ascii="仿宋" w:hAnsi="仿宋" w:eastAsia="仿宋" w:cs="仿宋"/>
          <w:b/>
          <w:color w:val="auto"/>
          <w:sz w:val="44"/>
          <w:szCs w:val="44"/>
          <w:highlight w:val="none"/>
          <w:lang w:eastAsia="zh-CN"/>
        </w:rPr>
      </w:pPr>
      <w:r>
        <w:rPr>
          <w:rFonts w:hint="eastAsia" w:ascii="仿宋" w:eastAsia="仿宋"/>
          <w:color w:val="auto"/>
          <w:sz w:val="44"/>
          <w:szCs w:val="44"/>
          <w:highlight w:val="none"/>
        </w:rPr>
        <w:t>第三章  采购需求</w:t>
      </w:r>
      <w:bookmarkEnd w:id="47"/>
      <w:bookmarkEnd w:id="48"/>
      <w:bookmarkStart w:id="49" w:name="_Toc643610533"/>
      <w:bookmarkStart w:id="50" w:name="_Toc1377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一、服务清单及要求</w:t>
      </w:r>
      <w:bookmarkEnd w:id="49"/>
      <w:bookmarkEnd w:id="50"/>
    </w:p>
    <w:p>
      <w:pPr>
        <w:pStyle w:val="6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bookmarkStart w:id="51" w:name="_Toc643610534"/>
      <w:bookmarkStart w:id="52" w:name="_Toc14779"/>
      <w:r>
        <w:rPr>
          <w:rFonts w:hint="eastAsia" w:ascii="仿宋" w:hAnsi="仿宋" w:eastAsia="仿宋" w:cs="仿宋"/>
          <w:b/>
          <w:bCs/>
          <w:color w:val="auto"/>
          <w:kern w:val="2"/>
          <w:sz w:val="24"/>
          <w:szCs w:val="24"/>
          <w:highlight w:val="none"/>
          <w:lang w:val="en-US" w:eastAsia="zh-CN" w:bidi="ar-SA"/>
        </w:rPr>
        <w:t>1.采购内容</w:t>
      </w:r>
    </w:p>
    <w:p>
      <w:pPr>
        <w:pStyle w:val="6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本次采购内容为绍兴市越城区市场监督管理局2024年度产(商)品质量监督抽查，包括但不限于提供运输服务，配套车辆设备，配备服务人员，检测等全部工作。</w:t>
      </w:r>
    </w:p>
    <w:p>
      <w:pPr>
        <w:pStyle w:val="6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2.项目检测清单</w:t>
      </w:r>
    </w:p>
    <w:p>
      <w:pPr>
        <w:pStyle w:val="6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根据《产品质量法》、《浙江省市场监督管理局关于印发浙江省产品质量安全分级分类监管工作指引的通知》要求，检测产品如下（包括但不限于）：</w:t>
      </w:r>
    </w:p>
    <w:p>
      <w:pPr>
        <w:pStyle w:val="6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标项一：全区工业品和重要消费品监督抽查项目</w:t>
      </w:r>
    </w:p>
    <w:tbl>
      <w:tblPr>
        <w:tblStyle w:val="31"/>
        <w:tblW w:w="13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78"/>
        <w:gridCol w:w="1025"/>
        <w:gridCol w:w="1750"/>
        <w:gridCol w:w="3722"/>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78"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sz w:val="22"/>
                <w:szCs w:val="22"/>
                <w:highlight w:val="none"/>
                <w:lang w:eastAsia="zh-CN"/>
              </w:rPr>
              <w:t>序号</w:t>
            </w:r>
          </w:p>
        </w:tc>
        <w:tc>
          <w:tcPr>
            <w:tcW w:w="102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rPr>
              <w:t>产品名称</w:t>
            </w:r>
          </w:p>
        </w:tc>
        <w:tc>
          <w:tcPr>
            <w:tcW w:w="175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检测费</w:t>
            </w:r>
          </w:p>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rPr>
              <w:t>批/元(最高限价)</w:t>
            </w:r>
          </w:p>
        </w:tc>
        <w:tc>
          <w:tcPr>
            <w:tcW w:w="3722"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val="en-US" w:eastAsia="zh-CN"/>
              </w:rPr>
              <w:t>检验依据</w:t>
            </w:r>
          </w:p>
        </w:tc>
        <w:tc>
          <w:tcPr>
            <w:tcW w:w="663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rPr>
              <w:t>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c>
          <w:tcPr>
            <w:tcW w:w="102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内墙涂料</w:t>
            </w:r>
          </w:p>
        </w:tc>
        <w:tc>
          <w:tcPr>
            <w:tcW w:w="17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2800</w:t>
            </w:r>
          </w:p>
        </w:tc>
        <w:tc>
          <w:tcPr>
            <w:tcW w:w="3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GB/T 9756-2018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低温稳定性、耐碱性、对比率、耐洗刷性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175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3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 18582-2020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挥发性有机化合物、甲醛、苯系物总和、总铅（Pb）含量、重金属含量（铅、镉、铬、汞）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外墙涂料</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3100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GB/T 9755-2014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低温稳定性、耐碱性、透水性、对比率、耐洗刷性、耐人工气候老化性、耐沾污性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175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 18582-2020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挥发性有机化合物、甲醛、苯系物总和、总铅（Pb）含量、重金属含量（铅、镉、铬、汞）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活性染料</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HG/T 3965-2020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强度和色光、水分的质量分数、水不溶物的质量分散、pH值、溶解度、防尘性、固色率、有害芳香胺、重金属元素、耐摩擦色牢度、耐皂洗色牢度、耐汗渍色牢度、耐热压色牢度、耐光色牢度、耐氯化水氯色牢度、耐汗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HG/T 4422-2012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色光和强度、水分、水不溶物、溶解度、防尘性、有害芳香胺、重金属元素、耐摩擦色牢度、耐洗色牢度、耐汗渍色牢度、耐水色牢度、耐热压色牢度、耐光色牢度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HG/T 4423-2012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色光和强度、水分、水不溶物、溶解度、防尘性、有害芳香胺、重金属元素、耐摩擦色牢度、耐洗色牢度、耐汗渍色牢度、耐水色牢度、耐热压色牢度、耐光色牢度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分散染料</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2110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HG/T 3893-2014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外观、色光和强度、扩散性能、分散性、高温分散稳定性、上色率、提升力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HG/T 3894-2014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外观、色光和强度、扩散性能、分散性、高温分散稳定性、上色率、提升力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荧光增白剂</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2110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10661-2010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外观、荧光强度、增白强度和色光、细度、不溶于水的杂质含量、水分、有害芳香胺、重金属元素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HG/T 2556-2009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外观、紫外吸收、增白强度和色光、有害芳香胺、重金属元素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HG/T 2555-2010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外观、增白强度和色光、水分、颗粒细度、有害芳香胺、重金属元素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铜管</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1350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1527-2017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化学成分(Cu,Ag,P,Bi,Sb,As,Fe,Ni,Pb,Sn,S,Zn,O,Cd)、外形尺寸、 拉伸、布氏硬度、维氏硬度、压扁、扩口、涡流探伤、晶粒度、残余应力、耐脱锌腐蚀性能、表面质量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20928-2020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化学成分(Cu,Ag,P,Bi,Sb,As,Fe,Ni,Pb,Sn,S,Zn,O,Cd)、外形尺寸、 抗拉强度、扩口试验、晶粒度、表面质量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17791-2017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化学成分(Cu,Ag,P,Bi,Sb,As,Fe,Ni, Pb,Sn,S,Zn,O,Cd)、尺寸、拉伸、扩口、压扁、晶粒度、表面质量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YS/T 650-2020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化学成分(Cu,Ag,P,Bi,Sb,As,Fe,Ni, Pb,Sn,S,Zn,O,Cd)、尺寸、拉伸试验、维氏硬度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7</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制冷用阀门</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3500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QC/T 663-2019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外观、开度迟滞、静态过热度、阀口泄漏、平衡部泄漏、气密性、耐压强度、破坏强度、耐振动性、耐冷热冲击性、耐高温性、耐低温性、耐腐蚀性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JB/T 10302-2013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外观和标志、气密性、最高动作压差、最低动作压差、内部泄漏量、流量、噪声、线圈温度、耐振动、耐压强度、绝缘电阻、电气强度、匝间绝缘、恒定湿热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JB/T 10212-2016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外观、开阀脉冲、泄漏量、最大动作压差、逆向开阀压差、气密性、噪声、线圈温度、耐振动、液压强度、破坏强度、绝缘电阻、电气强度、恒定湿热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JB/T 10648-2017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外观要求、清洁度要求、密封性、耐压强度、破坏强度、耐高温、耐低温、耐冷热循环、耐振动、耐冲击、破坏力矩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电线电缆</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5023.3-2008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导体、绝缘、导体电阻、2500V电压试验、70℃时绝缘电阻、结构检查、绝缘厚度测量、外径测量、老化前拉力测试、老化后拉力测试、不延燃试验、热稳定试验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5023.4-2008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导体、绝缘、绝缘线芯成缆、内护层、护套、导体电阻、绝缘线芯2000V电压试验、成品电缆2000V电压试验、70℃时绝缘电阻、结构检查、绝缘厚度测量、护套厚度测量、外径测量、绝缘老化前拉力测试、绝缘老化后拉力测试、护套老化前拉力测试、护套老化后拉力测试、不延燃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5023.5-2008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导体、绝缘、绝缘线芯和填充（若有）成缆、护套、导体电阻、绝缘线芯电压试验、成品电缆电压试验、绝缘电阻、结构检查、绝缘厚度测量、护套厚度测量、外形尺寸测量、绝缘老化前拉力测试、绝缘老化后拉力测试、不延燃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JB/T 8734.2-2016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导体、绝缘、绝缘线芯成缆、护套、导体电阻、绝缘线芯电压试验、成品电缆电压试验、绝缘电阻、结构检查、绝缘厚度测量、护套厚度测量、外径或外形尺寸测量、椭圆度、绝缘老化前拉力测试、绝缘老化后拉力测试、绝缘失重试验、护套老化前拉力测试、护套老化后拉力测试、不延燃试验、标志耐擦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JB/T 8734.3-2016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导体、绝缘、绝缘线芯绞合、护套导体电阻、护套、导体电阻、绝缘线芯电压试验、成品电缆电压试验、绝缘电阻、结构检查、绝缘厚度测量、护套厚度测量、外径或外形尺寸测量、椭圆度、绝缘老化前拉力测试、绝缘老化后拉力测试、绝缘失重试验、护套老化前拉力测试、护套老化后拉力测试、不延燃试验、标志耐擦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JB/T 8734.4-2016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导体、绝缘、绝缘线芯成缆、护套、导体电阻、绝缘线芯电压试验、成品电缆电压试验、绝缘电阻、结构检查、导体导通试验、绝缘厚度测量、护套厚度测量、外径或外形尺寸测量、椭圆度、绝缘老化前拉力测试、绝缘老化后拉力测试、护套老化前拉力测试、护套老化后拉力测试、不延燃试验、标志耐擦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给水用聚乙烯（PE）管材管件</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13663.3-2018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标志、外观、颜色、壁厚、熔接端平均外径、不圆度、最小通径、常规管状长度、承口平均内径、最大不圆度、最小通径、承口参考长度、承口加热长度、管材插入深度、静液压强度(20℃ 、100h)、静液压强度(80℃ 、165h)、氧化诱导时间、灰分、卫生性能(镉) 、卫生性能(铅)、卫生性能(高锰酸钾消耗量)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建筑排水用硬聚氯乙烯（PVC-U）管材</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5836.1-2018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外观、颜色、规格尺寸(平均外径)、规格尺寸(壁厚)、规格尺寸(承口平均内径)、规格尺寸(最小承口深度)、规格尺寸(最小承口平均内径)、规格尺寸(最小接合长度)、密度、维卡软化温度、纵向回缩率、拉伸屈服应力、断裂伸长率、落锤冲击试验、铅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冷热水用聚丙烯管材管件</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3515</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18742.2-2017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标志、颜色、外观、规格尺寸(平均外径)、规格尺寸(壁厚)、静液压强度(20℃ 、1h)、静液压强度(95℃ 、22h)、静液压强度(95℃ 、165h)、灰分、熔融温度、氧化诱导时间、颜料分散、纵向回缩率、简支梁冲击试验、、卫生性能(镉) 、卫生性能(铅)、卫生性能(高锰酸钾消耗量)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18742.3-2017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标志、颜色、外观、规格尺寸(壁厚)、规格尺寸(承口平均内径)、规格尺寸(最大不圆度)、规格尺寸(最小通径)、规格尺寸(承口深度)、规格尺寸(承插深度)、静液压强度(20℃ 、1h)、灰分、熔融温度、氧化诱导时间、颜料分散、卫生性能(镉)、卫生性能(铅) 、卫生性能(高锰酸钾消耗量)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12</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冷热水用分集水器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29730-2013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外观、气密性、压力强度、水力平衡性能、流量调节性能、抗弯性能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13</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水泥包装袋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9774-2020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外观、袋型、复膜塑编袋、纸塑复合袋的物理力学性能、适用温度、牢固度、制袋材料对水泥强度的影响、防潮性能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14</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预拌砂浆</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9000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25181-2019、GB 6566-2010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外观、保塑时间、稠度、压力泌水率、保水率、凝结时间、稠度损失率、拉伸粘结强度、收缩、抗压强度、抗冻性、抗渗压力、内照射指数、外照射指数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15</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水泥</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2190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175-2007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烧失量、氧化镁、三氧化硫、氯离子、碱含量、凝结时间、安定性、强度、细度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2015-2017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三氧化硫、水溶性六价铬 (Ⅵ)、氯离子、碱含量、细度、沸煮法安定性、凝结时间、强度、放射性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3183-2017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三氧化硫、氯离子、水泥中水溶性铬(Ⅵ)、细度、凝结时间、沸煮法安定性、保水率、强度、放射性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16</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新型墙体材料（砖和砌块）</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11945-2019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尺寸偏差和外观、颜色、抗压强度和抗折强度、抗冻性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5101-2017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尺寸偏差、外观质量、强度等级、抗风化性能、泛霜、石灰爆裂、欠火砖、酥砖和螺旋纹砖、配砖、放射性核素限量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13544-2011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尺寸允许偏差、外观质量、密度等级、强度等级、孔型孔结构及孔洞率、泛霜、石灰爆裂、抗风化性能、欠火砖、酥砖、放射性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21144-2007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尺寸偏差、外观质量、密度等级、强度等级、最大吸水率、干燥收缩率和相对含水量、抗冻性、碳化系数、软化系数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13545-2014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尺寸偏差、外观质量、强度等级、密度等级、孔洞排列及其结构、泛霜、石灰爆裂、抗风化性能、欠火砖、酥砖、放射性核素限量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11968-2020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尺寸允许偏差和外观质量、抗压强度、干密度、干燥收缩、抗冻性、导热系数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29060-2012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外观质量、尺寸允许偏差、表观密度、抗压强度、断裂荷载、抗折强度、连接强度、传热系数、抗渗性、抗冻性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预拌混凝土</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2750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14902-2012、GB 6566-2010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强度、坍落度和坍落度经时损失、扩展度、含气量、水溶性氯离子含量、耐久性、内照射指数、外照射指数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18</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热轧带肋钢筋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1499.2-2018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化学成分（C，Si，Mn，P，S）、拉伸、弯曲、反向弯曲、晶粒度、表面质量、尺寸、外形、重量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实木地板</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18103-2022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浸渍剥离、静曲强度、弹性模量、含水率、漆膜附着力、漆膜表面耐磨、漆膜硬度、表面耐污染、甲醛释放量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木塑家具板材</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JC/T 2436-2018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质量、规格尺寸及偏差、抗弯强度、抗弯弹性模量、尺寸稳定性、板面握螺钉力、邵氏硬度、吸水厚度膨胀率、表面耐污染腐蚀、漆膜附着力、表面耐划痕、表面耐磨性、甲醛释放量、重金属含量(可溶性铅)、重金属含量(可溶性镉)、重金属含量(可溶性铬)、重金属含量(可溶性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21</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木家具</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1951.1-2010</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漆膜耐液性、漆膜耐湿热、漆膜耐干热、漆膜附着力、漆膜耐冷热温差、漆膜耐磨性、漆膜抗冲击、漆膜耐香烟灼烧、软、硬质覆面耐冷热循环、软、硬质覆面耐干热、软、硬质覆面耐划痕、软、硬质覆面耐液性、软、硬质覆面表面耐磨性、软、硬质覆面耐香烟着烧、软、硬质覆面抗冲击性、软、硬质覆面耐光色牢度、表面胶合强度、金属拉手耐腐蚀性、桌类强度和耐久性、椅凳类稳定性、椅凳类强度和耐久性、柜类稳定性、柜类强度和耐久性、单层床强度和耐久性、桌类稳定性、有害物质限量(可溶性铅)、有害物质限量(可溶性镉)、有害物质限量(可溶性铬)、有害物质限量(可溶性汞)、有害物质限量（甲醛释放量）、阻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22</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小功率电动机</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12350-2022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标志与说明、机座与外壳、机械装配与零件、连接件、内部布线、电气间隙和爬电距离、接地、温升试验、绝缘电阻和电气强度、工作温度下的泄漏电流、湿热试验、起动、噪声测定、其他要求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23</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纺织机械</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17780.1-2012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常见危险的安全要求和/或措施、纺织机械特殊零部件的主要危险及其相应的安全要求和/或措施、安全要求和/或措施的检验、机器的使用说明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电除尘器</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JB/T 5910-2013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总体要求、基本要求、整体性能要求、主要零部件要求、电气部分要求、噪声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JB/T 6407-2017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电除尘器设计、调试、运行、维护（防滑措施、设备整洁度及照明、围栏及盖板、隔离护网、高压安全警告、通风防尘、消防要求、照明电源电压、接地电阻）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家用和类似用途插头插座</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2099.1-2021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额定值、分类、标志、尺寸的检查、防触电保护、接地措施、端子、固定式插座的结构、插头和移动式插座的结构、联锁插座、耐老化、防有害进水和防潮、绝缘电阻和电气强度、接地触头的工作、温升、分断容量、正常操作、拔出插头所需的力、软缆及其连接、机械强度、螺钉、载流部件及其连接、爬电距离、电气间隙和通过密封胶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2099.2-2012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额定值、分类、标志、尺寸的检查、防触电保护、接地措施、端子、固定式插座的结构、插头和移动式插座的结构、联锁插座、耐老化、防有害进水和防潮、绝缘电阻和电气强度、接地触头的工作、温升、分断容量、正常操作、拔出插头所需的力、软缆及其连接、机械强度、螺钉、载流部件及其连接、爬电距离、电气间隙和通过密封胶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2099.7-2015</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额定值、分类、标志、尺寸的检查、防触电保护、接地措施、端子、固定式插座的结构、插头和移动式插座的结构、联锁插座、耐老化、防有害进水和防潮、绝缘电阻和电气强度、接地触头的工作、温升、分断容量、正常操作、拔出插头所需的力、软缆及其连接、机械强度、螺钉、载流部件及其连接、爬电距离、电气间隙和通过密封胶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26</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电热暖手器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5000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4706.99-2009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分类、标志和说明、对触及带电部件的防护、输入功率和电流、发热、工作温度下的泄漏电流和电气强度、瞬态过电流 、耐潮湿、泄漏电流和电气强度、变压器和相关电路的过载保护、非正常工作、稳定性和机械危险、机械强度、结构、内部布线、元件、电源连接和外部软线、外部导线用接线端子、接地措施、螺钉和连接、电气间隙、爬电距离和固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室内加热器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5000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4706.23-2007</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分类、标志和说明、对触及带电部件的防护、输入功率和电流、发热、工作温度下的泄漏电流和电气强度、瞬态过电流、耐潮湿、泄漏电流和电气强度、变压器和相关电路的过载保护、非正常工作、稳定性和机械危险、机械强度、结构、内部布线、元件、电源连接和外部软线、外部导线用接线端子、接地措施、螺钉和连接、电气间隙、爬电距离和固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28</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室内空气</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18883-2022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氨、甲醛、苯、甲苯、二甲苯、总挥发性有机化合物、氡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弹簧软床垫</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1952.2-2011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尺寸偏差、床垫铺面对角线偏差、其他外观或感官检验、复合面料耐干色牢度、铺垫料强度、泡沫塑料回弹性、泡沫塑料拉伸强度、异味、弹簧安全性、甲醛释放量、家用弹簧软床垫阻燃性能、公共场所用弹簧软床垫阻燃性能、弹簧要求、耐久性、产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配装眼镜</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13511.1-2011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镜片顶焦度、镜片厚度、镜片色泽、镜片表面质量、光透射性、镜架外观质量、光学中心水平距离偏差、水平光学中心与眼瞳的单侧偏差、光学中心垂直互差、柱镜轴位偏差、处方棱镜度偏差、多焦点镜片的位置、装配质量、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31</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机动车驾驶员专用眼镜</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2659-2021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镜片表面或内在疵病、镜架外观质量、顶焦度、棱镜度互差、装配质量、耐疲劳强度、鼻梁变形和镜片夹持力、包覆层结合力、光透射比、光透射比的均匀性、光谱透射比、信号灯识别、紫外性能、抗冲击性能、阻燃性、偏振方向、标志、抗汗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32</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卫生纸</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20810-2018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定量、D65亮度、横向吸液高度、抗张指数、柔软度、可迁移性荧光物质、灰分、球形耐破度、可分散性、掉粉率、洞眼、尘埃度、交货水分、铅、砷、细菌菌落总数、大肠菌群、金黄色葡萄球菌、溶血性链球菌、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4509-2013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定量、亮度、荧光性物质、灰分、横向吸液高度、抗张指数、纵向湿抗张强度、柔软度、洞眼、尘埃度、交货水分、细菌菌落总数、大肠菌群、绿脓杆菌、金黄色葡萄球菌、溶血性链球菌、真菌菌落总数、尺寸偏差、偏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33</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纸巾纸</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20808-2011、GB 15979-2002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定量、亮度(白度)、可迁移性荧光增白剂、灰分、横向吸液高度、横向抗张指数、纵向湿抗张强度、柔软度纵横向平均、洞眼、尘埃度、交货水分、内装量、细菌菌落总数、大肠菌群、绿脓杆菌、金黄色葡萄球菌、溶血性链球菌、真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20808-2022、GB 15979-2002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定量、亮度(白度)、可迁移性荧光增白剂、灰分、横向吸液高度、横向抗张指数、纵向湿抗张强度、柔软度、洞眼、尘埃度、交货水分、内装量短缺量、微生物（细菌菌落总数、大肠菌群、绿脓杆菌、金黄色葡萄球菌、溶血性链球菌、真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4509-2013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定量、亮度、荧光性物质、灰分、横向吸液高度、抗张指数、纵向湿抗张强度、柔软度、洞眼、尘埃度、交货水分、细菌菌落总数、大肠菌群、绿脓杆菌、金黄色葡萄球菌、溶血性链球菌、真菌菌落总数、尺寸偏差、偏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商品条码</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500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12904-2008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编码、条码表示、条码符号的设计、条码符号选用、条码符号的放置、条码符号质量的评价和要求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14257-2009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商品条码符号放置通则、零售商品条码符号的放置、储运包装商品上条码符号的放置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35</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户外休闲家具</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28478-2012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边和角、使用时可接触到的管件、孔和间隙、放置和折叠时的剪切和挤压点、金属件(铅含量)、金属件(耐盐雾)、木制件、藤条、板带、非弹性面料(塑性变形率)、非弹性面料(撕裂强力)、普通纺织面料(阻燃性)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36</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折叠椅</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4458-2013</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含水率、塑料部件耐老化、喷涂件(表面涂层含铅量)、喷涂件(耐腐蚀)、电镀件耐腐蚀、衬垫料、面料耐干、耐湿色牢度、面料耐酸汗渍、耐碱汗渍色牢度、面料PH、可分解致癌芳香胺染料、甲醛含量、甲醛释放量、塑料折叠椅有害物质限量（可溶性铅）、塑料折叠椅有害物质限量（可溶性镉）、塑料折叠椅有害物质限量（可溶性铬）、塑料折叠椅有害物质限量（可溶性汞）、尺寸极限偏差、安全要求、力学性能-椅类强度和耐久性、力学性能-椅类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非复合膜袋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4806.7-2016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感官要求、总迁移量、高锰酸钾消耗量、重金属（以Pb计）、脱色试验、标签标识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38</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复合膜袋</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4806.7-2016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感官要求、总迁移量、高锰酸钾消耗量、重金属（以Pb计）、脱色试验、标签标识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9683-1988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感官指标、甲苯二胺、蒸发残渣（4%乙酸）、蒸发残渣（正己烷）、蒸发残渣（65%乙醇）、高锰酸钾消耗量、重金属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纸杯</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27590-2022</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标签标识、感官指标、容量偏差、渗漏性能、杯身挺度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塑料购物袋</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10000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38082-2019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标识、厚度及偏差、宽度偏差、长度偏差、感官、提吊试验、跌落试验、漏水性、热合强度、落镖冲击、有机成分、生物分解率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41</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一次性餐饮具</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18006.1-2009</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签标识、感官、容积偏差、负重试验、跌落试验、盖体对折试验、耐温试验、漏水性、耐微波炉试验、淀粉含量、含水量、感官指标、总迁移量、高锰酸钾消耗量、重金属（以Pb计）、脱色试验、大肠菌群、沙门氏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4806.7-2016、GB 14934-2016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感官要求、总迁移量、高锰酸钾消耗量、重金属（以Pb计）、脱色试验、标签标识、大肠菌群、沙门氏菌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42</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羽绒服装</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GB/T 14272-2011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充绒量、含绒量、绒子含量、蓬松度、耗氧量、残脂率、清洁度、气味、纤维含量、甲醛含量、pH值、可分解致癌芳香胺染料、异味、耐皂洗色牢度、耐水色牢度、耐摩擦色牢度、耐光色牢度、儿童上衣拉带安全规格、童装绳索和拉带安全要求、婴幼儿服装的纽扣等不可拆卸附件拉力、防钻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GB/T 14272-2021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充绒量测定、羽绒品质测定、婴幼儿及儿童服装安全性能、烷基酚和烷基酚聚氧乙烯醚、耐皂洗色牢度、耐光色牢度、拼接互染色牢度、钻绒值、其他理化性能项目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FZ/T 73053-2015</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甲醛含量、pH值、异味、可分解芳香胺染料、耐汗渍色牢度、耐皂洗色牢度、  耐水色牢度、耐摩擦色牢度、耐光色牢度、纤维含量、防钻绒性、起球、儿童上衣拉带安全规格、童装绳索和拉带安全要求、残留金属针、充绒量、含绒量、绒子含量、蓬松度、耗氧量、残脂率、清洁度、气味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43</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湿巾</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27728-2011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偏差、含液量、横向抗张强度、包装密封性能、pH、可迁移性荧光增白剂、尘埃度、内装量、细菌菌落总数、大肠菌群、绿脓杆菌、金黄色葡球球菌、溶血性链球菌、真菌菌落总数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44</w:t>
            </w:r>
          </w:p>
        </w:tc>
        <w:tc>
          <w:tcPr>
            <w:tcW w:w="102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纸尿裤（片、垫）</w:t>
            </w:r>
          </w:p>
        </w:tc>
        <w:tc>
          <w:tcPr>
            <w:tcW w:w="17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28004-2011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全长、全宽、条质量偏差、渗透性能、pH值、交货水分、卫生指标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28004.1-2021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条质量偏差、渗透性能 、面层附着物、pH、杂质、重金属、可迁移荧光物质、丙烯酰胺含量、甲醛含量、邻苯二甲酸酯、可分解致癌芳香胺染料、卫生指标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vMerge w:val="continue"/>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p>
        </w:tc>
        <w:tc>
          <w:tcPr>
            <w:tcW w:w="1025"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1750" w:type="dxa"/>
            <w:vMerge w:val="continue"/>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28004.2-2021</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条质量偏差、渗透性能、面层附着物、pH、杂质、甲醛含量、可迁移荧光物质、吸收倍率、饱和吸收量、卫生指标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45</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拉链</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QB/T 2173-2014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平拉强力、拉合轻滑度、拉头拉片结合强力、拉头拉片抗扭力矩、拉头抗张强力、耐摩擦色牢度、耐皂洗色牢、拉链洗涤和干燥后外观变化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46</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豆浆机</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7000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4706.1-2005</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和说明、对触及带电部件的防护、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47</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食品用塑料容器</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4806.7-2016</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感官要求、总迁移量、高锰酸钾消耗量、重金属（以Pb计）、脱色试验、标签标识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48</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工业和商用电热食品加工设备</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7000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4706.36-2014</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和说明、对触及带电部件的防护、电动器具的启动、输入功率和电流、发热、工作温度下的泄漏电流和电气强度、瞬态过电压、耐潮湿、泄漏电流和电气强度、变压器和相关电路的过载保护、非正常工作、稳定性和机械危险、机械强度、结构、内部布线、元件、电源连接和外部软线、外部导线用接线端子、接地措施、螺钉和连接、电气间隙、爬电距离和固体绝缘、耐热和耐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49</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商用燃气灶</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35848-2018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警示、使用说明书、材料、通用结构、燃气系统零部件、燃具特殊结构、外观、燃气系统密封性、热负荷、准确度、燃烧工况、熄火保护装置、点火性能、稳压性能、预清扫、B型燃具安全装置、表面温升、电气性能、辅助能源、能源合理利用、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578" w:type="dxa"/>
            <w:shd w:val="clear" w:color="auto" w:fill="auto"/>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50</w:t>
            </w:r>
          </w:p>
        </w:tc>
        <w:tc>
          <w:tcPr>
            <w:tcW w:w="10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瓦楞纸箱</w:t>
            </w:r>
          </w:p>
        </w:tc>
        <w:tc>
          <w:tcPr>
            <w:tcW w:w="1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1000</w:t>
            </w:r>
          </w:p>
        </w:tc>
        <w:tc>
          <w:tcPr>
            <w:tcW w:w="372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6543-2008</w:t>
            </w:r>
          </w:p>
        </w:tc>
        <w:tc>
          <w:tcPr>
            <w:tcW w:w="663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厚度、金属钉线、尺寸公差、接合、钉合、粘合、压痕线、切断部及棱、箱面印刷图字、摇盖耐折、抗压能力、耐破强度、粘合强度、边压强度</w:t>
            </w:r>
          </w:p>
        </w:tc>
      </w:tr>
    </w:tbl>
    <w:p>
      <w:pPr>
        <w:pStyle w:val="60"/>
        <w:ind w:left="0" w:leftChars="0" w:firstLine="0" w:firstLineChars="0"/>
        <w:rPr>
          <w:rFonts w:hint="eastAsia" w:ascii="仿宋" w:hAnsi="仿宋" w:eastAsia="仿宋" w:cs="仿宋"/>
          <w:color w:val="auto"/>
          <w:kern w:val="2"/>
          <w:sz w:val="21"/>
          <w:szCs w:val="21"/>
          <w:highlight w:val="none"/>
          <w:lang w:val="en-US" w:eastAsia="zh-CN" w:bidi="ar-SA"/>
        </w:rPr>
      </w:pPr>
    </w:p>
    <w:p>
      <w:pPr>
        <w:pStyle w:val="60"/>
        <w:ind w:left="0" w:leftChars="0"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标项二：全区重点监管产品专项监督抽查项目</w:t>
      </w:r>
    </w:p>
    <w:tbl>
      <w:tblPr>
        <w:tblStyle w:val="31"/>
        <w:tblpPr w:leftFromText="180" w:rightFromText="180" w:vertAnchor="text" w:horzAnchor="page" w:tblpX="1255" w:tblpY="380"/>
        <w:tblOverlap w:val="never"/>
        <w:tblW w:w="13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0"/>
        <w:gridCol w:w="1753"/>
        <w:gridCol w:w="2132"/>
        <w:gridCol w:w="2200"/>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 w:hRule="atLeast"/>
        </w:trPr>
        <w:tc>
          <w:tcPr>
            <w:tcW w:w="99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sz w:val="22"/>
                <w:szCs w:val="22"/>
                <w:highlight w:val="none"/>
                <w:lang w:eastAsia="zh-CN"/>
              </w:rPr>
              <w:t>序号</w:t>
            </w:r>
          </w:p>
        </w:tc>
        <w:tc>
          <w:tcPr>
            <w:tcW w:w="1753"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rPr>
              <w:t>产品名称</w:t>
            </w:r>
          </w:p>
        </w:tc>
        <w:tc>
          <w:tcPr>
            <w:tcW w:w="2132"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检测费</w:t>
            </w:r>
          </w:p>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rPr>
              <w:t>批/元(最高限价)</w:t>
            </w:r>
          </w:p>
        </w:tc>
        <w:tc>
          <w:tcPr>
            <w:tcW w:w="2200"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lang w:val="en-US" w:eastAsia="zh-CN"/>
              </w:rPr>
              <w:t>检验依据</w:t>
            </w:r>
          </w:p>
        </w:tc>
        <w:tc>
          <w:tcPr>
            <w:tcW w:w="663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bCs/>
                <w:color w:val="auto"/>
                <w:kern w:val="0"/>
                <w:sz w:val="22"/>
                <w:szCs w:val="22"/>
                <w:highlight w:val="none"/>
              </w:rPr>
              <w:t>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车用汽油</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4000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17930-2016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研究法辛烷值、抗爆指数、铅含量、馏程、胶质含量、硫含量、硫醇、铜片腐蚀、水溶性酸及碱、机械杂质及水分、苯、芳烃、烯烃、密度、铁含量、锰含量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车用柴油</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5000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19147-2016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硫含量、酸度、10%蒸余物残炭、灰分、铜片腐蚀、水分、机械杂质、运动黏度、凝点、冷滤点、闪点（闭口）、十六烷值、十六烷指数、馏程、密度、多环芳烃含量、总污染物含量、脂肪酸甲酯含量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尿素水溶液</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4000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29518-2013</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尿素含量、密度、折光率、杂质含量(碱度)、杂质含量(缩二脲)、杂质含量(醛类)、杂质含量(不溶物)、杂质含量(磷酸盐)、杂质含量(钙)、杂质含量(铁)、杂质含量(铜)、杂质含量(锌)、杂质含量(铬)、杂质含量(镍)、杂质含量(铝)、杂质含量(镁)、杂质含量(钠)、杂质含量(钾)、一致性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家用燃气灶</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16410-2020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气密性、热负荷、燃烧工况、温升、耐热冲击、耐重力冲击、安全装置、电点火装置、使用性能、电气性能、耐振动性能、耐跌落性能、包装承压性能、集成灶吸排油烟装置要求、结构的一般要求、灶结构、集成灶结构、使用交流电源灶具结构的特殊要求、材料的一般要求、密封材料、保温材料、导电材料、燃气导管及点火燃烧器导管、旋塞阀、喷嘴、喷嘴座、空气调节器（风门）、燃烧器、锅支架、盛液盘、熄火保护装置火焰检测器、集成灶、标志、包装、安装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GB/T 17626.3-2016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射频电磁场辐射抗扰度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可燃气体探测器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4500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15322.1-2019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报警动作值试验、方位试验、绝缘电阻试验、电气强度试验、电快速瞬变脉冲群抗扰度试验、高温（运行）试验、跌落试验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15322.2-2019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报警动作值试验、方位试验、绝缘电阻试验、电气强度试验、电快速瞬变脉冲群抗扰度试验(不适用于仅以电池供电的试样)、高温（运行）试验、跌落试验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15322.3-2019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报警动作值试验、方位试验、报警重复性试验、高速气流试验、高温（运行）试验、跌落试验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瓶装液化石油气调压器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CJ/T 50-2008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金属零部件、橡胶件耐液化石油气性能、塑料件耐液化石油气性能、防止改变状态措施、进口过滤网、呼吸孔、手轮螺纹及尺寸、出气口尺寸、表面处理、多功能调压器、多出气口调压器的出气口阀门、气密性、关闭压力、出口压力、调压静特性、强度、耐低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35844-2018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金属零部件、非金属零部件、一般要求、感压组件、调压组件、承压组件、接头组件、气密性、调压静特性、机械强度、压力或流量安全装置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7</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燃气用具连接用软管</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CJ/T 490-2016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软管耐压性、软管气密性、软管摆动弯曲试验、接头耐安装性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41317-2022</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软管耐压性、软管气密性、软管弯曲性、软管接头耐安装性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CJ/T 197-2010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软管耐压性、软管气密性、软管弯曲性、软管接头耐安装性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26002-2010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软管弯曲性、软管气密性、软管耐压性、管件气密性、管件耐压性、管件通气性、管件耐应力腐蚀性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CJ/T 491-2016</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气密性、耐压性、弯曲性能耐拉伸性、拔出力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29993-2013</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老化性能、气密性、验证压力试验、软管的拉断性能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灭火器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4351.1-2005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质量、最小有效喷射时间、最小喷射距离、使用温度范围、结构要求、灭火剂、标志、颜色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4351.2-2005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化学成分(C,Mn ，Si，S ，P,Cr,Mo)、低倍组织、瓶体制造公差、瓶体壁厚、拉伸试验、冲击试验、冷弯试验、压扁试验、硬度、脱碳层深度、瓶体底部解剖、超声波探伤、瓶口螺纹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8109-2005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灭火剂、使用温度范围、有效喷射时间、喷射距离、使用温度范围内的喷射性能、结构要求、标志、颜色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消防接口</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12514.1-2005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基本尺寸、外观质量、操作力和操作力矩、密封性能、水压性能、抗跌落性能、耐腐蚀性能、标志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消防水带</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6246-2011</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外观质量、内径、长度、设计工作压力、试验压力、最小爆破压力、单位长度质量、延伸率、膨胀率、扭转方向、可弯曲性、衬里（或外覆层）物理力学性能、标志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消防水枪</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8181-2005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基本参数、表面质量 、密封性能、耐水压强度、抗跌落性能、耐腐蚀性能、标志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12</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湿法硬质纤维板</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12626.2-2009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厚度偏差、长度和宽度偏差、垂直度、板内密度偏差、含水率、外观质量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13</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电动自行车</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5000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 17761-2018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整车质量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7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13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 42295-2022</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互认协同充电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7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13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 17761-2018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充电器与蓄电池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p>
        </w:tc>
        <w:tc>
          <w:tcPr>
            <w:tcW w:w="1753"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132"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GB 17761-2018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防火性能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14</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电动自行车用充电器</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36944-2018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充电参数、机械性能、电气性能、环境适用性能、其他要求、外观、标志、说明书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2947.1-2008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对触及带电部件的防护、输入功率和电流、空载直流输出电压、发热、工作温度下的泄漏电流和电气强度、过载保护、机械强度、布线、输入、输出线及插头、安全标志、说明书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4706.18-2014</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分类、标志和说明、对触及带电部件的防护、输入功率和电流、发热、工作温度下的泄漏电流和电气强度、瞬态过电流、耐潮湿、泄漏电流和电气强度、变压器和相关电路的过载保护、非正常工作、稳定性和机械危险、机械强度、结构、内部布线、元件、电源连接和外部软线、外部导线用接线端子、接地措施、螺钉和连接、电气间隙、爬电距离和固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15</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电动自行车用蓄电池</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2947.1-2008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对触及带电部件的防护、输入功率和电流、空载直流输出电压、发热、工作温度下的泄漏电流和电气强度、过载保护、机械强度、布线、输入、输出线及插头、安全标志、说明书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16</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应急照明灯具</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7000.2-2008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标记、结构、爬电距离和电气间隙、接地规定、接线端子、外部接线和内部接线、防触电保护、绝缘电阻和电气强度、安全功能、转换操作、高温操作、自容式应急灯具的蓄电池充电器、应急工作试验装置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17</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聚乙烯吹塑农用地面覆盖薄膜</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13735-2017</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厚度、厚度偏差、宽度极限偏差、净质量极限偏差、外观、拉伸负荷、断裂伸长率、直角撕裂负荷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18</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复混肥料(复合肥料)</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15063-2020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总养分、水溶性磷占有效磷百分率、硝态氮、水分、粒度、氯离子、单一中量元素（有效钙）、单一中量元素（有效镁）、单一中量元素（总硫）、单一微量元素（铜、铁、锰、锌、硼、钼）、缩二脲含量、肥料中有毒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19</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尿素</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2440-2017</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外观、总氮、缩二脲、水分、亚甲基二脲、粒度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20</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太阳镜</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39552.1-2020</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结构与材料、透射比、透射比的均匀性、行路及驾驶用太阳镜、散射光、偏振镜片和偏振太阳镜、蓝光吸收率和透射比、紫外光谱吸收率和透射比、球镜度、散光度和棱镜度、太阳镜镜片尺寸、标志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21</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野营帐篷</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5000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GB/Z 27735-2022</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拉绳系统的拉伸力、帐篷支架和金属孔眼的耐腐蚀、拉链的平拉强力、抗褪色、部件测试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22</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儿童少年矫正眼镜</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WS 219-2015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眼镜镜片、眼镜架、镜片顶焦度允差、柱镜轴位允许偏差、光学中心水平偏差、光学中心垂直互差、光学中心高度、棱镜度允许偏差、棱镜基底取向允许偏差、镜片色泽互差、镜片厚度、镜片表面质量及内在疵病、眼镜装配质量和整形要求、透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23</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玩具</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6675.4-2014、GB/T 22048-2015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特定元素迁移(铅、镉、铬、钡、口锑、砷、硒、汞)、塑料附件中特定邻苯二甲酸酯增塑剂的测定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24</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儿童书写台灯</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7000.4-2007</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标记、结构、爬电距离和电气间隙、接地规定、接线端子、外部和内部接线、防触电保护、防尘和防潮、绝缘电阻和电气强度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过滤式消防自救呼吸器</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3500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21976.7-2012</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结构、佩戴质量测定、金属材料表面质量、橡塑材料老化性能、材料阻燃性能、一氧化碳防护性能、滤烟性能、连接强度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990" w:type="dxa"/>
            <w:vMerge w:val="restart"/>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26</w:t>
            </w:r>
          </w:p>
        </w:tc>
        <w:tc>
          <w:tcPr>
            <w:tcW w:w="1753"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老视成镜</w:t>
            </w:r>
          </w:p>
        </w:tc>
        <w:tc>
          <w:tcPr>
            <w:tcW w:w="2132"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13511.1-2011</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标志、顶焦度偏差、光学中心水平距离偏差、光学中心单侧水平偏差、光学中心垂直互差、两镜片顶焦度互差、镜片的材料和表面的质量、装配质量、透射比要求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990"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1753"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32" w:type="dxa"/>
            <w:vMerge w:val="continue"/>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13511.3-2019</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标志、顶焦度偏差、镜片的材料和表面质量、镜片的光透射比性能、镜架外观质量、镜片和镜圈的几何形状、顶焦度范围、两镜片顶焦度互差、光学中心水平偏差、光学中心单侧水平偏差、光学中心垂直互差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5"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27</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反应深蓝</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HG/T 3963-2007</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外观、色光和强度、水、水不溶物、含量、溶解度、pH值、固色率、防尘性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28</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醇溶染料</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GB/T 12680-2008</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相对强度和色光、在乙醇中不溶物含量、在乙醇中溶解度、耐光性、耐热性、灰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29</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对氨基苯酚</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GB/T 21892-2015</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外观、对氨基苯酚的质量数、对氨基苯酚的纯度、透光率、干燥失重的质量数、灰的质量数、铁的质量数、镍的质量数、焦亚硫酸钠的质量数、熔程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30</w:t>
            </w:r>
          </w:p>
        </w:tc>
        <w:tc>
          <w:tcPr>
            <w:tcW w:w="175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邻、对硝基氯苯</w:t>
            </w:r>
          </w:p>
        </w:tc>
        <w:tc>
          <w:tcPr>
            <w:tcW w:w="213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2500</w:t>
            </w:r>
          </w:p>
        </w:tc>
        <w:tc>
          <w:tcPr>
            <w:tcW w:w="22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GB/T 1653-2013</w:t>
            </w:r>
          </w:p>
        </w:tc>
        <w:tc>
          <w:tcPr>
            <w:tcW w:w="663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外观、干品结晶点、邻硝基氯苯、低沸物、间硝基氯苯、对硝基氯苯、高沸物、2 ，4-二硝基氯苯、水</w:t>
            </w:r>
          </w:p>
        </w:tc>
      </w:tr>
    </w:tbl>
    <w:p>
      <w:pPr>
        <w:pStyle w:val="15"/>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60"/>
        <w:ind w:left="0" w:leftChars="0" w:firstLine="422" w:firstLineChars="20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标项三：全区纺织消费品产品质量监督抽查项目</w:t>
      </w:r>
    </w:p>
    <w:tbl>
      <w:tblPr>
        <w:tblStyle w:val="31"/>
        <w:tblW w:w="13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2"/>
        <w:gridCol w:w="1755"/>
        <w:gridCol w:w="2175"/>
        <w:gridCol w:w="2160"/>
        <w:gridCol w:w="6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宋体" w:hAnsi="宋体" w:cs="宋体"/>
                <w:b/>
                <w:bCs/>
                <w:color w:val="auto"/>
                <w:sz w:val="22"/>
                <w:szCs w:val="22"/>
                <w:highlight w:val="none"/>
                <w:lang w:eastAsia="zh-CN"/>
              </w:rPr>
              <w:t>序号</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宋体" w:hAnsi="宋体" w:cs="宋体"/>
                <w:b/>
                <w:bCs/>
                <w:color w:val="auto"/>
                <w:kern w:val="0"/>
                <w:sz w:val="22"/>
                <w:szCs w:val="22"/>
                <w:highlight w:val="none"/>
              </w:rPr>
              <w:t>产品名称</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检测费</w:t>
            </w:r>
          </w:p>
          <w:p>
            <w:pPr>
              <w:widowControl/>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宋体" w:hAnsi="宋体" w:cs="宋体"/>
                <w:b/>
                <w:bCs/>
                <w:color w:val="auto"/>
                <w:kern w:val="0"/>
                <w:sz w:val="22"/>
                <w:szCs w:val="22"/>
                <w:highlight w:val="none"/>
              </w:rPr>
              <w:t>批/元(最高限价)</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宋体" w:hAnsi="宋体" w:eastAsia="宋体" w:cs="宋体"/>
                <w:b/>
                <w:bCs/>
                <w:color w:val="auto"/>
                <w:kern w:val="0"/>
                <w:sz w:val="22"/>
                <w:szCs w:val="22"/>
                <w:highlight w:val="none"/>
                <w:lang w:val="en-US" w:eastAsia="zh-CN"/>
              </w:rPr>
              <w:t>检验依据</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1"/>
                <w:szCs w:val="21"/>
                <w:highlight w:val="none"/>
                <w:u w:val="none"/>
                <w:lang w:val="en-US" w:eastAsia="zh-CN"/>
              </w:rPr>
            </w:pPr>
            <w:r>
              <w:rPr>
                <w:rFonts w:hint="eastAsia" w:ascii="宋体" w:hAnsi="宋体" w:cs="宋体"/>
                <w:b/>
                <w:bCs/>
                <w:color w:val="auto"/>
                <w:kern w:val="0"/>
                <w:sz w:val="22"/>
                <w:szCs w:val="22"/>
                <w:highlight w:val="none"/>
              </w:rPr>
              <w:t>检测项目明细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衬衫</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2660-2017</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耐皂洗色牢度、耐干洗色牢度、耐水色牢度、耐摩擦色牢度、耐光色牢度、耐汗渍色牢度、撕破强力、甲醛含量、pH值、异味、可分解芳香胺染料、纤维含量、残留金属针或金属锐利物、儿童服装安全性能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73043-2020</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纤维含量、甲醛含量、pH值、异味、可分解致癌芳香胺染料、顶破强力、起球、耐光、汗色牢度、耐光色牢度、耐水色牢度、耐皂洗色牢度、耐干洗色牢度、耐汗渍色牢度、耐摩擦色牢度、拼接互染程度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2</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成人服装</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8878-2014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顶破强力、纤维含量、甲醛含量、pH值、异味、可分解致癌芳香胺染料、耐水色牢度、耐皂洗色牢度、 耐汗渍色牢度、耐摩擦色牢度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22849-2014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纤维含量、甲醛含量、pH值、异味、可分解致癌芳香胺染料、顶破强力、起球、耐光、汗色牢度、耐人造光色牢度、耐皂洗色牢度、印(烫)花耐皂洗色牢度、耐水色牢度、耐汗渍色牢度、耐摩擦色牢度、印(烫)花色牢度、拼接互染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22853-2019</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起球、耐皂洗色牢度、印(烫)花耐皂洗色牢度、耐水色牢度、耐汗渍色牢度、耐摩擦色牢度、印(烫)花色牢度、耐光色牢度、耐光、汗复合色牢度、拼接互染色牢度、甲醛含量、 顶破强力、pH值、异味、可分解致癌芳香胺染料、纤维含量、色差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73017-2014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顶破强力、 纤维含量、甲醛含量、pH值、异味、可分解致癌芳香胺染料、耐皂洗色牢度、耐水色牢度、耐汗渍色牢度、耐摩擦色牢度、拼接互染程度、起球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81007-2022</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纤维含量、甲醛含量、pH值、可分解芳香胺染料、异味、耐干洗色牢度、耐皂洗色牢度、耐摩擦色牢度、耐光色牢度、耐汗渍色牢度、耐水色牢度、拼接互染色牢度、起球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81006-2017</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耐皂洗色牢度、耐光色牢度、耐摩擦色牢度、耐水色牢度、耐汗渍色牢度、耐唾液色牢度、耐磨性能、甲醛含量、pH值、异味可分解致癌芳香胺染料、纤维含量、钮扣附着强力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81010-2018</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儿童服装安全性能、耐皂洗色牢度、耐干洗色牢度、耐光色牢度、耐热压色牢度、拼接互染色牢度、附件尖端和边缘的锐利性、纤维含量、甲醛含量、pH值、异味、可分解芳香胺染料、耐汗渍色牢度、耐水色牢度、耐摩擦色牢度、染料迁移性能、酚黄化色牢度、起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3</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儿童及婴幼儿服装</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31900-2015</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耐皂洗色牢度、儿童上衣拉带安全规格、童装绳索和拉带安全要求、其他理化性能项目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33271-2016</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纤维成分和含量、甲醛含量、pH值、异味、可分解致癌芳香胺染料、可萃取重金属、汞、砷、耐摩擦色牢度、耐洗色牢度、耐汗渍色牢度、耐水色牢度、耐唾液色牢度、衣带缝纫强力、附件拉力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22853-2019</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起球、耐皂洗色牢度、印(烫)花耐皂洗色牢度、耐水色牢度、耐汗渍色牢度、耐摩擦色牢度、印(烫)花色牢度、耐光色牢度、耐光、汗复合色牢度、拼接互染色牢度、甲醛含量、顶破强力、pH值、异味、可分解致癌芳香胺染料、纤维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39508-2020</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纤维含量、甲醛含量、pH值、异味、可分解致癌芳香胺染料、顶破强力、起球、耐唾液色牢度、耐水色牢度、耐汗渍色牢度、耐皂洗色牢度、耐摩擦色牢度、耐干洗色牢度、耐光色牢度、耐光、汗复合色牢度、拼接互染色牢度、衣带抗拉强力、可萃取重金属、重金属含量、邻苯二甲酸酯含量、燃烧性能、附件及填充物、残留金属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73025-2019</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纤维含量、甲醛含量、pH值、异味、重金属、邻苯二甲酸酯、燃烧性能、附件、填充物、可分解致癌芳香胺染料、可萃取重金属、起球、衣带抗拉强力、耐水色牢度、耐皂洗色牢度、耐汗渍色牢度、耐摩擦色牢度、耐唾液色牢度、拼接互染程度、残留金属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73045-2013</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顶破强力、耐皂洗色牢度、印(烫)花耐皂洗色牢度、耐汗渍色牢度、耐水色牢度、耐摩擦色牢度、印(烫)花色牢度、耐光色牢度、耐光、汗复合色牢度、起球、甲醛含量、pH值、异味、可分解致癌芳香胺染料、纤维含量、拼接互染程度、童装绳索和拉带安全要求、残留金属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FZ/T 81014-2008</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纤维成分和含量、甲醛含量 、pH值、异味、可分解致癌芳香胺染料、可萃取重金属、汞、砷 、耐摩擦色牢度、耐洗色牢度、耐汗渍色牢度、耐水色牢度、耐唾液色牢度、衣带缝纫强力、附件拉力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4</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童鞋</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30585-2014</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锐利边缘测定、锐利尖点测定、断针检测、小附件抗拉强力、异味、皮革和毛皮中六价铬含量、可分解有害芳香胺、甲醛含量、重金属总含量、富马酸二甲酯含量、亚硝酸含量、邻苯二甲酸盐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4331-2021</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帮底剥离强度或底墙与帮面剥离强度、成鞋耐折性能、外底耐磨性能、帮面材料低温屈挠指标、衬里和内垫耐摩擦色牢度、外底硬度 、外底和外中底粘合强度、异味、纺织品中可分解致癌芳香胺染料含量、皮革中可致分解癌芳香胺染料含量、 纺织品中甲醛含量、皮革中甲醛含量、重金属总含量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2880-2016</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耐折性能、耐磨性能、剥离强度、硬度、粘合强度、鞋帮拉出强度、耐摩擦色牢度、低温耐折性能、锐利边缘测定、锐利尖点测定、断针检测、小附件抗拉强力、异味、皮革和毛皮中六价铬含量、可分解有害芳香胺、甲醛含量、重金属总含量、富马酸二甲酯含量、亚硝酸含量、邻苯二甲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5</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旅游休闲鞋</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 xml:space="preserve">GB/T 15107-2013   </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帮底剥离强度或底墙与帮面剥离强度、成鞋耐折性能、外底耐磨性能、外底与外中底粘合强度、可分解致癌芳香胺染料、游离或可部分水解的甲醛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highlight w:val="none"/>
                <w:u w:val="none"/>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 xml:space="preserve">QB/T 2955-2017  </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耐折性能、外底耐磨性能、剥离强度、鞋帮拉出强度、外底与外中底粘合强度、可分解有害芳香胺、游离或可部分水解的甲醛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皮凉鞋</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GB/T 22756-2017</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rPr>
            </w:pPr>
            <w:r>
              <w:rPr>
                <w:rFonts w:hint="eastAsia" w:ascii="仿宋" w:hAnsi="仿宋" w:eastAsia="仿宋" w:cs="仿宋"/>
                <w:i w:val="0"/>
                <w:color w:val="auto"/>
                <w:kern w:val="0"/>
                <w:sz w:val="21"/>
                <w:szCs w:val="21"/>
                <w:highlight w:val="none"/>
                <w:u w:val="none"/>
                <w:lang w:val="en-US" w:eastAsia="zh-CN"/>
              </w:rPr>
              <w:t>耐折性能、外底耐磨性能、帮底剥离强度、帮带拉出强度、成型底鞋跟硬度、外底与外中底粘合强度、鞋跟结合力、勾心纵向刚度、勾心硬度、勾心长度、勾心弯曲性能、中底纵向刚度、跟面耐磨性能、可分解有害芳香胺染料、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皮鞋</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 xml:space="preserve">QB/T 1002-2015  </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帮底剥离强度、外底与外中底黏合强度、鞋帮拉出强度、成鞋耐折性能、外底耐磨性能、跟面耐磨性能、鞋跟结合力、成型底鞋跟硬度、衬里和内垫材料的耐摩擦色牢度、勾心纵向刚度、勾心硬度、勾心长度、勾心弯曲性能、中底纵向刚度、游离或可部分水解的甲醛、可分解有害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背提包</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QB/T 1333—2018</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振荡冲击性能、缝合强度、游离甲醛含量、可分解有害芳香胺染料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伞类产品安全通用技术条件</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31892-2015</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伞帽或伞顶尖（套）、珠尾、使用安全要求、甲醛含量、可分解有害芳香胺染料、伞面防紫外线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tblHeader/>
        </w:trPr>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CN"/>
              </w:rPr>
              <w:t>10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儿童伞安全技术要求</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2000</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GB 28477-2012</w:t>
            </w:r>
          </w:p>
        </w:tc>
        <w:tc>
          <w:tcPr>
            <w:tcW w:w="6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rPr>
              <w:t>使用安全要求、伞帽或伞顶尖（套）、珠尾、部件结合牢度、甲醛含量、可分解有害芳香胺染料、冲击强度、伞带扣拉力、饰件</w:t>
            </w:r>
          </w:p>
        </w:tc>
      </w:tr>
    </w:tbl>
    <w:p>
      <w:pPr>
        <w:pStyle w:val="60"/>
        <w:ind w:left="0" w:lef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备注：</w:t>
      </w:r>
    </w:p>
    <w:p>
      <w:pPr>
        <w:pStyle w:val="60"/>
        <w:ind w:left="0" w:leftChars="0"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1.1如上述三个标项检测标准与现行有效检测标准不符，以最新现行有效检测标准为准。</w:t>
      </w:r>
    </w:p>
    <w:p>
      <w:pPr>
        <w:pStyle w:val="60"/>
        <w:ind w:left="0" w:leftChars="0"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1.2本项目报价以单项检测费为上限价，投标人按折扣率（折扣率90%即打九折）报价。</w:t>
      </w:r>
    </w:p>
    <w:p>
      <w:pPr>
        <w:pStyle w:val="60"/>
        <w:ind w:left="0" w:leftChars="0"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1.3下述内容及商务要求为标项一、标项二、标项三共同部分要求</w:t>
      </w:r>
    </w:p>
    <w:p>
      <w:pPr>
        <w:outlineLvl w:val="0"/>
        <w:rPr>
          <w:rFonts w:hint="eastAsia" w:ascii="仿宋" w:hAnsi="仿宋" w:eastAsia="仿宋" w:cs="仿宋"/>
          <w:b/>
          <w:color w:val="auto"/>
          <w:sz w:val="24"/>
          <w:szCs w:val="24"/>
          <w:highlight w:val="none"/>
          <w:lang w:eastAsia="zh-CN"/>
        </w:rPr>
        <w:sectPr>
          <w:pgSz w:w="16840" w:h="11907" w:orient="landscape"/>
          <w:pgMar w:top="1803" w:right="1440" w:bottom="1463" w:left="1440" w:header="851" w:footer="992" w:gutter="0"/>
          <w:pgNumType w:start="1"/>
          <w:cols w:space="0" w:num="1"/>
          <w:rtlGutter w:val="0"/>
          <w:docGrid w:type="lines" w:linePitch="320" w:charSpace="0"/>
        </w:sectPr>
      </w:pPr>
    </w:p>
    <w:p>
      <w:pPr>
        <w:pageBreakBefore w:val="0"/>
        <w:kinsoku/>
        <w:wordWrap/>
        <w:overflowPunct/>
        <w:topLinePunct w:val="0"/>
        <w:bidi w:val="0"/>
        <w:spacing w:line="336" w:lineRule="auto"/>
        <w:textAlignment w:val="auto"/>
        <w:outlineLvl w:val="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、工作要求</w:t>
      </w:r>
    </w:p>
    <w:p>
      <w:pPr>
        <w:keepNext w:val="0"/>
        <w:keepLines w:val="0"/>
        <w:pageBreakBefore w:val="0"/>
        <w:widowControl w:val="0"/>
        <w:numPr>
          <w:ilvl w:val="0"/>
          <w:numId w:val="0"/>
        </w:numPr>
        <w:tabs>
          <w:tab w:val="left" w:pos="9135"/>
        </w:tabs>
        <w:kinsoku/>
        <w:wordWrap/>
        <w:overflowPunct/>
        <w:topLinePunct w:val="0"/>
        <w:autoSpaceDE w:val="0"/>
        <w:autoSpaceDN w:val="0"/>
        <w:bidi w:val="0"/>
        <w:adjustRightInd w:val="0"/>
        <w:snapToGrid/>
        <w:spacing w:line="336" w:lineRule="auto"/>
        <w:ind w:leftChars="0"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3.1抽检范围：绍兴市越城区行政区域范围内的相关产品生产单位和经营单位，投标报价时应考虑全部的风险因素。</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3.2完成期限：本项目的抽检任务应在采购人要求期限内完成，整个服务在2024年12月31日前完成。</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3.3严格按照《产品质量法》、《产品质量监督抽查管理暂行办法》、《浙江省产品质量监督管理条例》、《浙江省检验机构管理条例》、《浙江省产品质量监督抽查工作实施办法（试行）》、任务下达文件（委托书）等相关要求开展监督抽查中的产品采样、企业信息调查、检验检测、质量分析、报告寄送、信息录入维护（浙江省产品质量智慧监管平台，包括抽检数据、企业信息等）等，确保监督抽查公正性和有效性。</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3.4本次招标针对本项目产品技术服务进行采购，涉及费用包括抽样技术服务费、检验技术服务费，抽样技术服务费包括抽样人员差旅费、样品的购置费、销毁样品的处置费、抽查文书和样品（含检毕样品）邮递费；检验技术服务费为样品检验费（含复检、复查检验费用）。采购人按合同约定支付费用。上述全部费用包含在本项目的预算中，费用报价不得高于对应的预算金额。</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3.5中标供应商应具有相应的承担产品质量监督抽检的保障能力，包括但不限于人员（抽样和检测）、车辆交通、检测设备、检测场所等。</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3.6中标供应商应具有能全部覆盖所投产品检验项目的检验能力，且不得以任何方式转包、分包。检验机构若因设备损坏等影响任务完成时间等客观原因，在征得采购人同意的前提下，方可进行产品中部分检测项目分包。</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3.7中标供应商对采购人所有服务信息应当保密，未经采购人同意不得外泄外传、内部使用；采购人因工作原因，需要获取抽样、检测等过程相关信息时，抽检单位、承检机构应当及时提供。</w:t>
      </w:r>
    </w:p>
    <w:p>
      <w:pPr>
        <w:keepNext w:val="0"/>
        <w:keepLines w:val="0"/>
        <w:pageBreakBefore w:val="0"/>
        <w:widowControl w:val="0"/>
        <w:kinsoku/>
        <w:wordWrap/>
        <w:overflowPunct/>
        <w:topLinePunct w:val="0"/>
        <w:autoSpaceDE w:val="0"/>
        <w:autoSpaceDN w:val="0"/>
        <w:bidi w:val="0"/>
        <w:adjustRightInd w:val="0"/>
        <w:snapToGrid/>
        <w:spacing w:line="336" w:lineRule="auto"/>
        <w:ind w:firstLine="480" w:firstLineChars="200"/>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3.8抽样过程需全程录像，录像内容由抽样机构自行保管，保管期限为合同期满后6个月，到期后方可删除。保管期限内采购人有权随时调取录像视频并拷贝。</w:t>
      </w:r>
    </w:p>
    <w:p>
      <w:pPr>
        <w:pageBreakBefore w:val="0"/>
        <w:kinsoku/>
        <w:wordWrap/>
        <w:overflowPunct/>
        <w:topLinePunct w:val="0"/>
        <w:bidi w:val="0"/>
        <w:spacing w:line="336" w:lineRule="auto"/>
        <w:textAlignment w:val="auto"/>
        <w:outlineLvl w:val="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、服务质量要求</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4.1抽样</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（1）抽样时间：按照采购人实际需求确定的任务，中标供应商在接到采购人抽样计划通知后，在规定要求时间内完成抽样。</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（2）抽样地点：根据采购人实际工作要求，由采购人确定具体抽样地点进行抽样，如果改变抽样地点必须经采购人同意。</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3）抽样条件：每次抽样时，中标供应商至少安排2名以上技术娴熟的专业人员现场抽样，并自行配齐交通、采样器具、贮存设施等采样工具；同时根据采购人的紧急抽样工作要求，中标供应商应当至少同时出动2组以上（4名技术以上娴熟的专业抽样人员）承担抽样任务；整个抽样过程必须全程录像，并确保视频资料清晰完整。</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（4）抽检分离：中标供应商必须满足抽检分离的要求，除现场检验外，抽样人员不得承担其抽样产品的检验工作。</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Style w:val="58"/>
          <w:rFonts w:hint="eastAsia" w:ascii="仿宋" w:hAnsi="仿宋" w:eastAsia="仿宋" w:cs="仿宋"/>
          <w:color w:val="auto"/>
          <w:kern w:val="0"/>
          <w:sz w:val="24"/>
          <w:szCs w:val="24"/>
          <w:highlight w:val="none"/>
          <w:lang w:val="en-US" w:eastAsia="zh-CN" w:bidi="ar-SA"/>
        </w:rPr>
        <w:t>（5）抽样办法：</w:t>
      </w:r>
      <w:r>
        <w:rPr>
          <w:rFonts w:hint="eastAsia" w:ascii="仿宋" w:hAnsi="仿宋" w:eastAsia="仿宋" w:cs="仿宋"/>
          <w:color w:val="auto"/>
          <w:kern w:val="0"/>
          <w:sz w:val="24"/>
          <w:szCs w:val="24"/>
          <w:highlight w:val="none"/>
        </w:rPr>
        <w:t>抽样人员应当核对被抽样经营者的营业执照、许可证等资质证明文件。抽样人员应按照相关安全法律法规规定的采样方法抽取样品，抽样数量原则上应当满足检验和复检的要求。</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样品费用支付：需要购买样品的产品，抽样人员应按规定向被抽检人支付监督抽检的样品购买费。</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确认样品：样品须按照法律法规和相关国家安全标准、行业标准、地方标准的规定，分为检验样品和复检备份样品。抽样人员应当采取有效的防拆封措施，对复检备份样品单独封样由抽样人员、被抽检人或其依法指定的代表签字或者盖章确认、加贴封条。</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文书记录：抽样人员应当使用规范的抽样文书，准确、详细、客观地记录抽样信息，认真填写《抽样单》，须与被抽检人或其依法指定的代表在《抽样单》上签名（盖章），应尽量通过拍照、录像、留存购物票据等方式保存抽样信息。中标供应商对抽样过程及《抽样单》记录内容的合法性、真实性负责，《抽样单》等抽样记录材料保存期限不得少于2年。</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8"/>
          <w:rFonts w:hint="eastAsia" w:ascii="仿宋" w:hAnsi="仿宋" w:eastAsia="仿宋" w:cs="仿宋"/>
          <w:color w:val="auto"/>
          <w:kern w:val="0"/>
          <w:sz w:val="24"/>
          <w:szCs w:val="24"/>
          <w:highlight w:val="none"/>
          <w:lang w:val="en-US" w:eastAsia="zh-CN" w:bidi="ar-SA"/>
        </w:rPr>
      </w:pPr>
      <w:r>
        <w:rPr>
          <w:rStyle w:val="58"/>
          <w:rFonts w:hint="eastAsia" w:ascii="仿宋" w:hAnsi="仿宋" w:eastAsia="仿宋" w:cs="仿宋"/>
          <w:color w:val="auto"/>
          <w:kern w:val="0"/>
          <w:sz w:val="24"/>
          <w:szCs w:val="24"/>
          <w:highlight w:val="none"/>
          <w:lang w:val="en-US" w:eastAsia="zh-CN" w:bidi="ar-SA"/>
        </w:rPr>
        <w:t>（9）样品贮存运输：样品抽样、运输以及检验过程中的贮存必须符合国家相关产品安全标准或产品的保存属性要求，确保样品安全有效。</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)样品保管：由</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负责，接收监督抽检的样品时，应当查验、记录样品的外观、状态、封条有无破损以及其他可能对对检验结果或者综合判定产生影响的情况，并确认样品与抽样文书的记录相符，对检验样品和复检备份样品分别加贴相应标识后，依照法律法规和相关安全标准规定及商品标签要求的方式、条件保存，确保样品不遗失、不调换、不损坏，并按照</w:t>
      </w:r>
      <w:r>
        <w:rPr>
          <w:rFonts w:hint="eastAsia" w:ascii="仿宋" w:hAnsi="仿宋" w:eastAsia="仿宋" w:cs="仿宋"/>
          <w:color w:val="auto"/>
          <w:kern w:val="0"/>
          <w:sz w:val="24"/>
          <w:szCs w:val="24"/>
          <w:highlight w:val="none"/>
          <w:lang w:eastAsia="zh-CN"/>
        </w:rPr>
        <w:t>相关规定</w:t>
      </w:r>
      <w:r>
        <w:rPr>
          <w:rFonts w:hint="eastAsia" w:ascii="仿宋" w:hAnsi="仿宋" w:eastAsia="仿宋" w:cs="仿宋"/>
          <w:color w:val="auto"/>
          <w:kern w:val="0"/>
          <w:sz w:val="24"/>
          <w:szCs w:val="24"/>
          <w:highlight w:val="none"/>
        </w:rPr>
        <w:t>进行销毁等处理。检验发现样品抽取不规范或有其他问题的，应及时向采购人报告，按采购人的意见处置。</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应及时报告产品质量监督抽查情况，并</w:t>
      </w:r>
      <w:r>
        <w:rPr>
          <w:rFonts w:hint="eastAsia" w:ascii="仿宋" w:hAnsi="仿宋" w:eastAsia="仿宋" w:cs="仿宋"/>
          <w:color w:val="auto"/>
          <w:kern w:val="0"/>
          <w:sz w:val="24"/>
          <w:szCs w:val="24"/>
          <w:highlight w:val="none"/>
          <w:lang w:eastAsia="zh-CN"/>
        </w:rPr>
        <w:t>定期整理</w:t>
      </w:r>
      <w:r>
        <w:rPr>
          <w:rFonts w:hint="eastAsia" w:ascii="仿宋" w:hAnsi="仿宋" w:eastAsia="仿宋" w:cs="仿宋"/>
          <w:color w:val="auto"/>
          <w:kern w:val="0"/>
          <w:sz w:val="24"/>
          <w:szCs w:val="24"/>
          <w:highlight w:val="none"/>
        </w:rPr>
        <w:t>将汇总表报送采购人，计划内无法抽到样品的，要说明原因。</w:t>
      </w:r>
    </w:p>
    <w:p>
      <w:pPr>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jc w:val="both"/>
        <w:textAlignment w:val="auto"/>
        <w:rPr>
          <w:rStyle w:val="58"/>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要建立监督抽查样品的管理规范，应有样品登记、编号等流转记录，配备必要的设备设施，在规定条件下保存备样，确保备样的有效性。对检验结论为不合格的产品，其备样应保留至被抽查单位不合格后处理工作结束后方可处置。</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4.2</w:t>
      </w:r>
      <w:r>
        <w:rPr>
          <w:rFonts w:hint="eastAsia" w:ascii="仿宋" w:hAnsi="仿宋" w:eastAsia="仿宋" w:cs="仿宋"/>
          <w:b w:val="0"/>
          <w:bCs/>
          <w:color w:val="auto"/>
          <w:kern w:val="0"/>
          <w:sz w:val="24"/>
          <w:szCs w:val="24"/>
          <w:highlight w:val="none"/>
        </w:rPr>
        <w:t>检验及结果报告</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（1）检验实验室：所有样品必须在响应文件中明确的承担本项目检测的实验室中进行检测。</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（2）检验依据：依照法律法规和相关国家安全标准、行业标准、地方标准、备案有效的企业标准。</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（3）检验方法：</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当对检验工作负责，须按照法律法规、国家安全标准、行业标准、地方标准、备案有效的企业标准和检验技术要求开展检验工作，如实、准确、完整、及时地填写检验原始记录，保证检验工作的科学、独立、客观和规范。</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（4）结果判定：</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应根据国家相关标准进行判定检测项目是否合格并出具检查结果，同时</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要对检测结果进行综合评价和原因分析，并作出消费</w:t>
      </w:r>
      <w:r>
        <w:rPr>
          <w:rFonts w:hint="eastAsia" w:ascii="仿宋" w:hAnsi="仿宋" w:eastAsia="仿宋" w:cs="仿宋"/>
          <w:color w:val="auto"/>
          <w:kern w:val="0"/>
          <w:sz w:val="24"/>
          <w:szCs w:val="24"/>
          <w:highlight w:val="none"/>
          <w:lang w:eastAsia="zh-CN"/>
        </w:rPr>
        <w:t>警示</w:t>
      </w:r>
      <w:r>
        <w:rPr>
          <w:rFonts w:hint="eastAsia" w:ascii="仿宋" w:hAnsi="仿宋" w:eastAsia="仿宋" w:cs="仿宋"/>
          <w:color w:val="auto"/>
          <w:kern w:val="0"/>
          <w:sz w:val="24"/>
          <w:szCs w:val="24"/>
          <w:highlight w:val="none"/>
        </w:rPr>
        <w:t>。</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出具结果：中标供应商须在收到样品之日起25个工作日内出具检测报告，特殊项目检测周期较长的可适当延长检测时间，出具的检验报告应具有相关执法效力。在出具检测报告之日起五个工作日内，并将相关抽样单、检验报告抽查和检验情况汇总表等资料严格按照《浙江省产品质量监督抽查工作实施办法（试行）》要求进行寄送和报送。中标供应商负责核查销售者、生产者和标称生产者的检验结果送达情况，并汇总《企业检验结果送达表》报送采购人。</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应对检测结果做出抽查检验情况分析报告（应包括不合格项目原因分析和消费</w:t>
      </w:r>
      <w:r>
        <w:rPr>
          <w:rFonts w:hint="eastAsia" w:ascii="仿宋" w:hAnsi="仿宋" w:eastAsia="仿宋" w:cs="仿宋"/>
          <w:color w:val="auto"/>
          <w:kern w:val="0"/>
          <w:sz w:val="24"/>
          <w:szCs w:val="24"/>
          <w:highlight w:val="none"/>
          <w:lang w:eastAsia="zh-CN"/>
        </w:rPr>
        <w:t>警示</w:t>
      </w:r>
      <w:r>
        <w:rPr>
          <w:rFonts w:hint="eastAsia" w:ascii="仿宋" w:hAnsi="仿宋" w:eastAsia="仿宋" w:cs="仿宋"/>
          <w:color w:val="auto"/>
          <w:kern w:val="0"/>
          <w:sz w:val="24"/>
          <w:szCs w:val="24"/>
          <w:highlight w:val="none"/>
        </w:rPr>
        <w:t>等）并报送给采购人，应及时将检测数据录入“浙江省产品质量智慧监管平台”。</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（7）若需要复检的，则应由采购人指定的具有复检资质的第三方机构进行复检，初检机构应配合复检机构完成样品交接等复检工作，并承担合理的备样寄送费用。</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val="0"/>
          <w:bCs/>
          <w:color w:val="auto"/>
          <w:kern w:val="0"/>
          <w:sz w:val="24"/>
          <w:szCs w:val="24"/>
          <w:highlight w:val="none"/>
        </w:rPr>
        <w:t>3、抽检质量要求</w:t>
      </w:r>
    </w:p>
    <w:p>
      <w:pPr>
        <w:keepNext w:val="0"/>
        <w:keepLines w:val="0"/>
        <w:pageBreakBefore w:val="0"/>
        <w:widowControl/>
        <w:shd w:val="clear" w:color="auto" w:fill="FFFFFF"/>
        <w:kinsoku/>
        <w:wordWrap/>
        <w:overflowPunct/>
        <w:topLinePunct w:val="0"/>
        <w:autoSpaceDE/>
        <w:autoSpaceDN/>
        <w:bidi w:val="0"/>
        <w:adjustRightInd/>
        <w:snapToGrid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）检验与结果判定：中标供应商</w:t>
      </w:r>
      <w:r>
        <w:rPr>
          <w:rFonts w:hint="eastAsia" w:ascii="仿宋" w:hAnsi="仿宋" w:eastAsia="仿宋" w:cs="仿宋"/>
          <w:color w:val="auto"/>
          <w:kern w:val="0"/>
          <w:sz w:val="24"/>
          <w:szCs w:val="24"/>
          <w:highlight w:val="none"/>
          <w:lang w:val="en-US" w:eastAsia="zh-CN"/>
        </w:rPr>
        <w:t>实施产品检验检测时，必须按照采购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lang w:val="en-US" w:eastAsia="zh-CN"/>
        </w:rPr>
        <w:t>抽检（专项）方案中明确的省级监督抽查评价规则或</w:t>
      </w:r>
      <w:r>
        <w:rPr>
          <w:rFonts w:hint="eastAsia" w:ascii="仿宋" w:hAnsi="仿宋" w:eastAsia="仿宋" w:cs="仿宋"/>
          <w:color w:val="auto"/>
          <w:kern w:val="0"/>
          <w:sz w:val="24"/>
          <w:szCs w:val="24"/>
          <w:highlight w:val="none"/>
          <w:lang w:eastAsia="zh-CN"/>
        </w:rPr>
        <w:t>采购人发布的评价细则要求的</w:t>
      </w:r>
      <w:r>
        <w:rPr>
          <w:rFonts w:hint="eastAsia" w:ascii="仿宋" w:hAnsi="仿宋" w:eastAsia="仿宋" w:cs="仿宋"/>
          <w:color w:val="auto"/>
          <w:kern w:val="0"/>
          <w:sz w:val="24"/>
          <w:szCs w:val="24"/>
          <w:highlight w:val="none"/>
          <w:lang w:val="en-US" w:eastAsia="zh-CN"/>
        </w:rPr>
        <w:t>检测</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检验方法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判定依据</w:t>
      </w:r>
      <w:r>
        <w:rPr>
          <w:rFonts w:hint="eastAsia" w:ascii="仿宋" w:hAnsi="仿宋" w:eastAsia="仿宋" w:cs="仿宋"/>
          <w:color w:val="auto"/>
          <w:kern w:val="0"/>
          <w:sz w:val="24"/>
          <w:szCs w:val="24"/>
          <w:highlight w:val="none"/>
          <w:lang w:val="en-US" w:eastAsia="zh-CN"/>
        </w:rPr>
        <w:t>进行检验和判定。</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（2）质控管理：</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具有完善的检测规范和检测</w:t>
      </w:r>
      <w:r>
        <w:rPr>
          <w:rFonts w:hint="eastAsia" w:ascii="仿宋" w:hAnsi="仿宋" w:eastAsia="仿宋" w:cs="仿宋"/>
          <w:color w:val="auto"/>
          <w:kern w:val="0"/>
          <w:sz w:val="24"/>
          <w:szCs w:val="24"/>
          <w:highlight w:val="none"/>
          <w:lang w:eastAsia="zh-CN"/>
        </w:rPr>
        <w:t>质量</w:t>
      </w:r>
      <w:r>
        <w:rPr>
          <w:rFonts w:hint="eastAsia" w:ascii="仿宋" w:hAnsi="仿宋" w:eastAsia="仿宋" w:cs="仿宋"/>
          <w:color w:val="auto"/>
          <w:kern w:val="0"/>
          <w:sz w:val="24"/>
          <w:szCs w:val="24"/>
          <w:highlight w:val="none"/>
        </w:rPr>
        <w:t>管理制度，有良好的检测信誉。严格遵守国家法律、法规，严格按照国家标准、检测技术规范执行，保证和维护检测工作的科学性、公正性、诚实性、判断独立性，确保向社会提供高质量的服务。</w:t>
      </w:r>
    </w:p>
    <w:p>
      <w:pPr>
        <w:keepNext w:val="0"/>
        <w:keepLines w:val="0"/>
        <w:pageBreakBefore w:val="0"/>
        <w:kinsoku/>
        <w:wordWrap/>
        <w:overflowPunct/>
        <w:topLinePunct w:val="0"/>
        <w:autoSpaceDE w:val="0"/>
        <w:autoSpaceDN w:val="0"/>
        <w:bidi w:val="0"/>
        <w:spacing w:line="336" w:lineRule="auto"/>
        <w:ind w:left="0" w:leftChars="0" w:firstLine="480" w:firstLineChars="200"/>
        <w:textAlignment w:val="auto"/>
        <w:rPr>
          <w:rFonts w:hint="eastAsia" w:ascii="仿宋"/>
          <w:color w:val="auto"/>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其他质量保证要求：</w:t>
      </w:r>
      <w:r>
        <w:rPr>
          <w:rFonts w:hint="eastAsia" w:ascii="仿宋" w:hAnsi="仿宋" w:eastAsia="仿宋" w:cs="仿宋"/>
          <w:color w:val="auto"/>
          <w:kern w:val="0"/>
          <w:sz w:val="24"/>
          <w:szCs w:val="24"/>
          <w:highlight w:val="none"/>
          <w:lang w:eastAsia="zh-CN"/>
        </w:rPr>
        <w:t>中标供应商必须满足采购人对抽样和检验检测其他相关质量保证的要求。</w:t>
      </w:r>
    </w:p>
    <w:p>
      <w:pPr>
        <w:pStyle w:val="5"/>
        <w:keepNext/>
        <w:keepLines/>
        <w:pageBreakBefore w:val="0"/>
        <w:widowControl w:val="0"/>
        <w:suppressLineNumbers w:val="0"/>
        <w:suppressAutoHyphens w:val="0"/>
        <w:kinsoku/>
        <w:wordWrap/>
        <w:overflowPunct/>
        <w:topLinePunct w:val="0"/>
        <w:bidi w:val="0"/>
        <w:spacing w:before="0" w:after="0" w:line="336" w:lineRule="auto"/>
        <w:textAlignment w:val="auto"/>
        <w:rPr>
          <w:rFonts w:hint="eastAsia" w:ascii="仿宋"/>
          <w:color w:val="auto"/>
          <w:highlight w:val="none"/>
        </w:rPr>
      </w:pPr>
      <w:r>
        <w:rPr>
          <w:rFonts w:hint="eastAsia" w:ascii="仿宋"/>
          <w:color w:val="auto"/>
          <w:highlight w:val="none"/>
        </w:rPr>
        <w:t>二、商务要求</w:t>
      </w:r>
      <w:bookmarkEnd w:id="51"/>
      <w:bookmarkEnd w:id="52"/>
    </w:p>
    <w:p>
      <w:pPr>
        <w:pageBreakBefore w:val="0"/>
        <w:widowControl/>
        <w:kinsoku/>
        <w:wordWrap/>
        <w:overflowPunct/>
        <w:topLinePunct w:val="0"/>
        <w:bidi w:val="0"/>
        <w:snapToGrid w:val="0"/>
        <w:spacing w:line="336" w:lineRule="auto"/>
        <w:ind w:firstLine="0"/>
        <w:textAlignment w:val="auto"/>
        <w:rPr>
          <w:rFonts w:hint="eastAsia" w:ascii="仿宋" w:eastAsia="仿宋"/>
          <w:b/>
          <w:bCs/>
          <w:color w:val="auto"/>
          <w:kern w:val="0"/>
          <w:sz w:val="24"/>
          <w:highlight w:val="none"/>
        </w:rPr>
      </w:pPr>
      <w:bookmarkStart w:id="53" w:name="_Toc643610535"/>
      <w:r>
        <w:rPr>
          <w:rFonts w:hint="eastAsia" w:ascii="仿宋" w:eastAsia="仿宋"/>
          <w:b/>
          <w:bCs/>
          <w:color w:val="auto"/>
          <w:kern w:val="0"/>
          <w:sz w:val="24"/>
          <w:highlight w:val="none"/>
        </w:rPr>
        <w:t>★</w:t>
      </w:r>
      <w:r>
        <w:rPr>
          <w:rFonts w:hint="eastAsia" w:ascii="仿宋" w:eastAsia="仿宋"/>
          <w:b/>
          <w:bCs/>
          <w:color w:val="auto"/>
          <w:kern w:val="0"/>
          <w:sz w:val="24"/>
          <w:highlight w:val="none"/>
          <w:lang w:val="en-US" w:eastAsia="zh-CN"/>
        </w:rPr>
        <w:t>1</w:t>
      </w:r>
      <w:r>
        <w:rPr>
          <w:rFonts w:hint="eastAsia" w:ascii="仿宋" w:eastAsia="仿宋"/>
          <w:b/>
          <w:bCs/>
          <w:color w:val="auto"/>
          <w:kern w:val="0"/>
          <w:sz w:val="24"/>
          <w:highlight w:val="none"/>
          <w:lang w:eastAsia="zh-CN"/>
        </w:rPr>
        <w:t>、</w:t>
      </w:r>
      <w:r>
        <w:rPr>
          <w:rFonts w:hint="eastAsia" w:ascii="仿宋" w:eastAsia="仿宋"/>
          <w:b/>
          <w:bCs/>
          <w:color w:val="auto"/>
          <w:kern w:val="0"/>
          <w:sz w:val="24"/>
          <w:highlight w:val="none"/>
        </w:rPr>
        <w:t>服务期限</w:t>
      </w:r>
    </w:p>
    <w:p>
      <w:pPr>
        <w:keepNext w:val="0"/>
        <w:keepLines w:val="0"/>
        <w:pageBreakBefore w:val="0"/>
        <w:widowControl w:val="0"/>
        <w:suppressLineNumbers w:val="0"/>
        <w:suppressAutoHyphens w:val="0"/>
        <w:kinsoku/>
        <w:wordWrap/>
        <w:overflowPunct/>
        <w:topLinePunct w:val="0"/>
        <w:bidi w:val="0"/>
        <w:spacing w:line="336" w:lineRule="auto"/>
        <w:ind w:firstLine="480" w:firstLineChars="200"/>
        <w:textAlignment w:val="auto"/>
        <w:rPr>
          <w:rFonts w:hint="eastAsia" w:ascii="仿宋" w:eastAsia="仿宋"/>
          <w:color w:val="auto"/>
          <w:sz w:val="24"/>
          <w:szCs w:val="24"/>
          <w:highlight w:val="none"/>
        </w:rPr>
      </w:pPr>
      <w:r>
        <w:rPr>
          <w:rFonts w:hint="eastAsia" w:ascii="仿宋" w:eastAsia="仿宋"/>
          <w:color w:val="auto"/>
          <w:sz w:val="24"/>
          <w:szCs w:val="24"/>
          <w:highlight w:val="none"/>
        </w:rPr>
        <w:t>采购合同签订生效之日起至2024年12月31日止。</w:t>
      </w:r>
    </w:p>
    <w:p>
      <w:pPr>
        <w:pageBreakBefore w:val="0"/>
        <w:widowControl/>
        <w:kinsoku/>
        <w:wordWrap/>
        <w:overflowPunct/>
        <w:topLinePunct w:val="0"/>
        <w:bidi w:val="0"/>
        <w:snapToGrid w:val="0"/>
        <w:spacing w:line="336" w:lineRule="auto"/>
        <w:ind w:firstLine="0"/>
        <w:textAlignment w:val="auto"/>
        <w:rPr>
          <w:rFonts w:hint="eastAsia" w:ascii="仿宋" w:eastAsia="仿宋"/>
          <w:b/>
          <w:bCs/>
          <w:color w:val="auto"/>
          <w:kern w:val="0"/>
          <w:sz w:val="24"/>
          <w:highlight w:val="none"/>
        </w:rPr>
      </w:pPr>
      <w:r>
        <w:rPr>
          <w:rFonts w:hint="eastAsia" w:ascii="仿宋" w:eastAsia="仿宋"/>
          <w:b/>
          <w:bCs/>
          <w:color w:val="auto"/>
          <w:kern w:val="0"/>
          <w:sz w:val="24"/>
          <w:highlight w:val="none"/>
          <w:lang w:val="en-US" w:eastAsia="zh-CN"/>
        </w:rPr>
        <w:t>2</w:t>
      </w:r>
      <w:r>
        <w:rPr>
          <w:rFonts w:hint="eastAsia" w:ascii="仿宋" w:eastAsia="仿宋"/>
          <w:b/>
          <w:bCs/>
          <w:color w:val="auto"/>
          <w:kern w:val="0"/>
          <w:sz w:val="24"/>
          <w:highlight w:val="none"/>
          <w:lang w:eastAsia="zh-CN"/>
        </w:rPr>
        <w:t>、</w:t>
      </w:r>
      <w:r>
        <w:rPr>
          <w:rFonts w:hint="eastAsia" w:ascii="仿宋" w:eastAsia="仿宋"/>
          <w:b/>
          <w:bCs/>
          <w:color w:val="auto"/>
          <w:kern w:val="0"/>
          <w:sz w:val="24"/>
          <w:highlight w:val="none"/>
        </w:rPr>
        <w:t>技术培训</w:t>
      </w:r>
    </w:p>
    <w:p>
      <w:pPr>
        <w:pageBreakBefore w:val="0"/>
        <w:widowControl/>
        <w:kinsoku/>
        <w:wordWrap/>
        <w:overflowPunct/>
        <w:topLinePunct w:val="0"/>
        <w:bidi w:val="0"/>
        <w:snapToGrid w:val="0"/>
        <w:spacing w:line="336" w:lineRule="auto"/>
        <w:ind w:left="0"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供应商需在任务开始前完成</w:t>
      </w:r>
      <w:r>
        <w:rPr>
          <w:rFonts w:hint="eastAsia" w:ascii="仿宋" w:eastAsia="仿宋"/>
          <w:color w:val="auto"/>
          <w:kern w:val="0"/>
          <w:sz w:val="24"/>
          <w:highlight w:val="none"/>
          <w:lang w:eastAsia="zh-CN"/>
        </w:rPr>
        <w:t>抽查</w:t>
      </w:r>
      <w:r>
        <w:rPr>
          <w:rFonts w:hint="eastAsia" w:ascii="仿宋" w:eastAsia="仿宋"/>
          <w:color w:val="auto"/>
          <w:kern w:val="0"/>
          <w:sz w:val="24"/>
          <w:highlight w:val="none"/>
        </w:rPr>
        <w:t>人员的培训，抽查人员需熟悉</w:t>
      </w:r>
      <w:r>
        <w:rPr>
          <w:rFonts w:hint="eastAsia" w:ascii="仿宋" w:eastAsia="仿宋"/>
          <w:color w:val="auto"/>
          <w:kern w:val="0"/>
          <w:sz w:val="24"/>
          <w:highlight w:val="none"/>
          <w:lang w:eastAsia="zh-CN"/>
        </w:rPr>
        <w:t>产（商）品</w:t>
      </w:r>
      <w:r>
        <w:rPr>
          <w:rFonts w:hint="eastAsia" w:ascii="仿宋" w:eastAsia="仿宋"/>
          <w:color w:val="auto"/>
          <w:kern w:val="0"/>
          <w:sz w:val="24"/>
          <w:highlight w:val="none"/>
        </w:rPr>
        <w:t>抽检各大类及细类划分，能对常见及易混淆产品进行划分，能准确理解</w:t>
      </w:r>
      <w:r>
        <w:rPr>
          <w:rFonts w:hint="eastAsia" w:ascii="仿宋" w:eastAsia="仿宋"/>
          <w:color w:val="auto"/>
          <w:kern w:val="0"/>
          <w:sz w:val="24"/>
          <w:highlight w:val="none"/>
          <w:lang w:eastAsia="zh-CN"/>
        </w:rPr>
        <w:t>相关法律法规的</w:t>
      </w:r>
      <w:r>
        <w:rPr>
          <w:rFonts w:hint="eastAsia" w:ascii="仿宋" w:eastAsia="仿宋"/>
          <w:color w:val="auto"/>
          <w:kern w:val="0"/>
          <w:sz w:val="24"/>
          <w:highlight w:val="none"/>
        </w:rPr>
        <w:t>各项要求及相关抽检文件等材料，确保抽样工作顺利进行。</w:t>
      </w:r>
    </w:p>
    <w:p>
      <w:pPr>
        <w:pageBreakBefore w:val="0"/>
        <w:widowControl/>
        <w:kinsoku/>
        <w:wordWrap/>
        <w:overflowPunct/>
        <w:topLinePunct w:val="0"/>
        <w:bidi w:val="0"/>
        <w:snapToGrid w:val="0"/>
        <w:spacing w:line="336" w:lineRule="auto"/>
        <w:ind w:left="0"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在服务期内，中标人必须接受越城区市场监督管理局及相关部门的管理与考核,并免费提供专业知识培训和</w:t>
      </w:r>
      <w:r>
        <w:rPr>
          <w:rFonts w:hint="eastAsia" w:ascii="仿宋" w:eastAsia="仿宋"/>
          <w:color w:val="auto"/>
          <w:kern w:val="0"/>
          <w:sz w:val="24"/>
          <w:highlight w:val="none"/>
          <w:lang w:eastAsia="zh-CN"/>
        </w:rPr>
        <w:t>产（商）品</w:t>
      </w:r>
      <w:r>
        <w:rPr>
          <w:rFonts w:hint="eastAsia" w:ascii="仿宋" w:eastAsia="仿宋"/>
          <w:color w:val="auto"/>
          <w:kern w:val="0"/>
          <w:sz w:val="24"/>
          <w:highlight w:val="none"/>
        </w:rPr>
        <w:t>安全宣传活动。</w:t>
      </w:r>
    </w:p>
    <w:p>
      <w:pPr>
        <w:pageBreakBefore w:val="0"/>
        <w:widowControl/>
        <w:kinsoku/>
        <w:wordWrap/>
        <w:overflowPunct/>
        <w:topLinePunct w:val="0"/>
        <w:bidi w:val="0"/>
        <w:snapToGrid w:val="0"/>
        <w:spacing w:line="336" w:lineRule="auto"/>
        <w:ind w:left="0"/>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3</w:t>
      </w:r>
      <w:r>
        <w:rPr>
          <w:rFonts w:hint="eastAsia" w:ascii="仿宋" w:eastAsia="仿宋"/>
          <w:b/>
          <w:bCs/>
          <w:color w:val="auto"/>
          <w:sz w:val="24"/>
          <w:highlight w:val="none"/>
          <w:lang w:eastAsia="zh-CN"/>
        </w:rPr>
        <w:t>、</w:t>
      </w:r>
      <w:r>
        <w:rPr>
          <w:rFonts w:hint="eastAsia" w:ascii="仿宋" w:eastAsia="仿宋"/>
          <w:b/>
          <w:bCs/>
          <w:color w:val="auto"/>
          <w:sz w:val="24"/>
          <w:highlight w:val="none"/>
        </w:rPr>
        <w:t>数量调整</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供应商应对服务类别明细报价，按磋商响应单价不变的前提下进行调整，双方不得拒绝。如遇本次采购没有涉及的设备或服务时，由成交供应商提供申请，采购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pPr>
        <w:pageBreakBefore w:val="0"/>
        <w:widowControl/>
        <w:kinsoku/>
        <w:wordWrap/>
        <w:overflowPunct/>
        <w:topLinePunct w:val="0"/>
        <w:bidi w:val="0"/>
        <w:snapToGrid w:val="0"/>
        <w:spacing w:line="336" w:lineRule="auto"/>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4</w:t>
      </w:r>
      <w:r>
        <w:rPr>
          <w:rFonts w:hint="eastAsia" w:ascii="仿宋" w:eastAsia="仿宋"/>
          <w:b/>
          <w:bCs/>
          <w:color w:val="auto"/>
          <w:sz w:val="24"/>
          <w:highlight w:val="none"/>
          <w:lang w:eastAsia="zh-CN"/>
        </w:rPr>
        <w:t>、</w:t>
      </w:r>
      <w:r>
        <w:rPr>
          <w:rFonts w:hint="eastAsia" w:ascii="仿宋" w:eastAsia="仿宋"/>
          <w:b/>
          <w:bCs/>
          <w:color w:val="auto"/>
          <w:sz w:val="24"/>
          <w:highlight w:val="none"/>
        </w:rPr>
        <w:t>履约要求</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sz w:val="24"/>
          <w:highlight w:val="none"/>
          <w:lang w:val="en-US" w:eastAsia="zh-CN"/>
        </w:rPr>
        <w:t>4.1</w:t>
      </w:r>
      <w:r>
        <w:rPr>
          <w:rFonts w:hint="eastAsia" w:ascii="仿宋" w:eastAsia="仿宋"/>
          <w:color w:val="auto"/>
          <w:sz w:val="24"/>
          <w:highlight w:val="none"/>
        </w:rPr>
        <w:t>报告真</w:t>
      </w:r>
      <w:r>
        <w:rPr>
          <w:rFonts w:hint="eastAsia" w:ascii="仿宋" w:eastAsia="仿宋"/>
          <w:color w:val="auto"/>
          <w:kern w:val="0"/>
          <w:sz w:val="24"/>
          <w:highlight w:val="none"/>
          <w:u w:val="none"/>
        </w:rPr>
        <w:t>实：中标供应商对检验结果的真实性负责，伪造检验检测数据或提供虚假、错误检验检测数据或者结论以及出具虚假报告给采购人、被抽样单位（个人）、产品生产制造商造成损失、带来影响的，采购人有权终止合同取消其承检资格，并由成交供应商承担相应法律责任。</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4.2</w:t>
      </w:r>
      <w:r>
        <w:rPr>
          <w:rFonts w:hint="eastAsia" w:ascii="仿宋" w:eastAsia="仿宋"/>
          <w:color w:val="auto"/>
          <w:kern w:val="0"/>
          <w:sz w:val="24"/>
          <w:highlight w:val="none"/>
          <w:u w:val="none"/>
        </w:rPr>
        <w:t>质量事件：由于中标供应商发生抽样或检验质量事件被采购人约谈3次及以上的采购人有权终止合同取消其抽样任务或承检资格停检半年。</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4.3</w:t>
      </w:r>
      <w:r>
        <w:rPr>
          <w:rFonts w:hint="eastAsia" w:ascii="仿宋" w:eastAsia="仿宋"/>
          <w:color w:val="auto"/>
          <w:kern w:val="0"/>
          <w:sz w:val="24"/>
          <w:highlight w:val="none"/>
          <w:u w:val="none"/>
        </w:rPr>
        <w:t>剩余检样处理：中标供应商不得擅自处理剩余检样，必须经采购人同意后进行监督处理或授权处理，授权处理的上报处理清单、数量并对处理过程进行全程摄像。</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1.1</w:t>
      </w:r>
      <w:r>
        <w:rPr>
          <w:rFonts w:hint="eastAsia" w:ascii="仿宋" w:eastAsia="仿宋"/>
          <w:color w:val="auto"/>
          <w:kern w:val="0"/>
          <w:sz w:val="24"/>
          <w:highlight w:val="none"/>
          <w:u w:val="none"/>
        </w:rPr>
        <w:t>其他要求：中标供应商必须动态满足采购人对质量保证和履约新规定新要求，保证采购人产品抽样检验任务完成。</w:t>
      </w:r>
    </w:p>
    <w:p>
      <w:pPr>
        <w:pageBreakBefore w:val="0"/>
        <w:widowControl/>
        <w:kinsoku/>
        <w:wordWrap/>
        <w:overflowPunct/>
        <w:topLinePunct w:val="0"/>
        <w:bidi w:val="0"/>
        <w:snapToGrid w:val="0"/>
        <w:spacing w:line="336" w:lineRule="auto"/>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lang w:val="en-US" w:eastAsia="zh-CN"/>
        </w:rPr>
        <w:t>5</w:t>
      </w:r>
      <w:r>
        <w:rPr>
          <w:rFonts w:hint="eastAsia" w:ascii="仿宋" w:eastAsia="仿宋"/>
          <w:b/>
          <w:bCs/>
          <w:color w:val="auto"/>
          <w:kern w:val="0"/>
          <w:sz w:val="24"/>
          <w:highlight w:val="none"/>
          <w:u w:val="none"/>
        </w:rPr>
        <w:t>、其他需求</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5.1</w:t>
      </w:r>
      <w:r>
        <w:rPr>
          <w:rFonts w:hint="eastAsia" w:ascii="仿宋" w:eastAsia="仿宋"/>
          <w:color w:val="auto"/>
          <w:kern w:val="0"/>
          <w:sz w:val="24"/>
          <w:highlight w:val="none"/>
          <w:u w:val="none"/>
        </w:rPr>
        <w:t>产品种类和抽检批次数可以根据实际情况由业主进行调整，费用按实结算，最高不超过预算价。</w:t>
      </w:r>
    </w:p>
    <w:p>
      <w:pPr>
        <w:pageBreakBefore w:val="0"/>
        <w:widowControl/>
        <w:kinsoku/>
        <w:wordWrap/>
        <w:overflowPunct/>
        <w:topLinePunct w:val="0"/>
        <w:bidi w:val="0"/>
        <w:snapToGrid w:val="0"/>
        <w:spacing w:line="336" w:lineRule="auto"/>
        <w:ind w:left="0" w:firstLine="479"/>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lang w:val="en-US" w:eastAsia="zh-CN"/>
        </w:rPr>
        <w:t>5.2</w:t>
      </w:r>
      <w:r>
        <w:rPr>
          <w:rFonts w:hint="eastAsia" w:ascii="仿宋" w:eastAsia="仿宋"/>
          <w:color w:val="auto"/>
          <w:kern w:val="0"/>
          <w:sz w:val="24"/>
          <w:highlight w:val="none"/>
          <w:u w:val="none"/>
        </w:rPr>
        <w:t>若采购人有临时增加的检测任务且报价清单中没有的检测类别或检测产品，单项检测费用在不高于行业或市场收费标准的前提下双方可协商确定。（采购人可以个性化表述，增减内容）</w:t>
      </w:r>
    </w:p>
    <w:p>
      <w:pPr>
        <w:pageBreakBefore w:val="0"/>
        <w:widowControl/>
        <w:kinsoku/>
        <w:wordWrap/>
        <w:overflowPunct/>
        <w:topLinePunct w:val="0"/>
        <w:bidi w:val="0"/>
        <w:snapToGrid w:val="0"/>
        <w:spacing w:line="336" w:lineRule="auto"/>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lang w:val="en-US" w:eastAsia="zh-CN"/>
        </w:rPr>
        <w:t>6</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rPr>
        <w:t>验收</w:t>
      </w:r>
    </w:p>
    <w:p>
      <w:pPr>
        <w:pageBreakBefore w:val="0"/>
        <w:widowControl/>
        <w:kinsoku/>
        <w:wordWrap/>
        <w:overflowPunct/>
        <w:topLinePunct w:val="0"/>
        <w:bidi w:val="0"/>
        <w:snapToGrid w:val="0"/>
        <w:spacing w:line="336"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pPr>
        <w:pageBreakBefore w:val="0"/>
        <w:widowControl/>
        <w:kinsoku/>
        <w:wordWrap/>
        <w:overflowPunct/>
        <w:topLinePunct w:val="0"/>
        <w:bidi w:val="0"/>
        <w:snapToGrid w:val="0"/>
        <w:spacing w:line="336" w:lineRule="auto"/>
        <w:ind w:firstLine="480" w:firstLineChars="200"/>
        <w:textAlignment w:val="auto"/>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采购人保留邀请参加本项目的其他磋商供应商或者第三方机构或相关技术专家参与验收的权利。参与验收的磋商供应商或者第三方机构的意见作为验收书的参考资料一并存档。</w:t>
      </w:r>
    </w:p>
    <w:p>
      <w:pPr>
        <w:pageBreakBefore w:val="0"/>
        <w:widowControl/>
        <w:kinsoku/>
        <w:wordWrap/>
        <w:overflowPunct/>
        <w:topLinePunct w:val="0"/>
        <w:bidi w:val="0"/>
        <w:snapToGrid w:val="0"/>
        <w:spacing w:line="336" w:lineRule="auto"/>
        <w:ind w:left="0"/>
        <w:textAlignment w:val="auto"/>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lang w:val="en-US" w:eastAsia="zh-CN"/>
        </w:rPr>
        <w:t>7</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rPr>
        <w:t>付款方式</w:t>
      </w:r>
    </w:p>
    <w:p>
      <w:pPr>
        <w:pageBreakBefore w:val="0"/>
        <w:widowControl/>
        <w:kinsoku/>
        <w:wordWrap/>
        <w:overflowPunct/>
        <w:topLinePunct w:val="0"/>
        <w:bidi w:val="0"/>
        <w:snapToGrid w:val="0"/>
        <w:spacing w:line="336" w:lineRule="auto"/>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u w:val="none"/>
        </w:rPr>
        <w:t>半年度完成当季任务并提交相应的检验报告、分析材料等，由绍兴市越城区市场监督管理局验收通过后，支付该季度的相关费</w:t>
      </w:r>
      <w:r>
        <w:rPr>
          <w:rFonts w:hint="eastAsia" w:ascii="仿宋" w:eastAsia="仿宋"/>
          <w:color w:val="auto"/>
          <w:kern w:val="0"/>
          <w:sz w:val="24"/>
          <w:highlight w:val="none"/>
        </w:rPr>
        <w:t>用。</w:t>
      </w:r>
    </w:p>
    <w:p>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bookmarkStart w:id="54" w:name="_Toc8673"/>
    </w:p>
    <w:p>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r>
        <w:rPr>
          <w:rFonts w:hint="eastAsia" w:ascii="仿宋" w:eastAsia="仿宋"/>
          <w:color w:val="auto"/>
          <w:highlight w:val="none"/>
        </w:rPr>
        <w:t>第四章  拟签订合同的主要条款</w:t>
      </w:r>
      <w:bookmarkEnd w:id="53"/>
      <w:bookmarkEnd w:id="54"/>
    </w:p>
    <w:p>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（合同按磋商文件及成交供应商磋商响应文件的内容制定，以下仅为部分主要条款）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single"/>
          <w:lang w:val="en-US" w:eastAsia="zh-CN"/>
        </w:rPr>
        <w:t xml:space="preserve">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lang w:val="en-US" w:eastAsia="zh-CN"/>
        </w:rPr>
        <w:t xml:space="preserve">           </w:t>
      </w:r>
      <w:r>
        <w:rPr>
          <w:rFonts w:hint="eastAsia" w:ascii="仿宋" w:eastAsia="仿宋"/>
          <w:color w:val="auto"/>
          <w:kern w:val="0"/>
          <w:sz w:val="24"/>
          <w:highlight w:val="none"/>
          <w:u w:val="none"/>
        </w:rPr>
        <w:t>项目的政府采购交易结果，签署本合同。</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（按采购需求及磋商响应文件的内容填写）</w:t>
      </w:r>
    </w:p>
    <w:p>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3.采购文件、磋商响应文件与本合同具有同等法律效力。</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pPr>
        <w:widowControl/>
        <w:snapToGrid w:val="0"/>
        <w:spacing w:line="480" w:lineRule="exact"/>
        <w:rPr>
          <w:rFonts w:hint="eastAsia" w:ascii="仿宋" w:eastAsia="仿宋"/>
          <w:color w:val="auto"/>
          <w:kern w:val="0"/>
          <w:sz w:val="24"/>
          <w:highlight w:val="none"/>
          <w:u w:val="none"/>
        </w:rPr>
      </w:pP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pPr>
        <w:widowControl/>
        <w:snapToGrid w:val="0"/>
        <w:spacing w:line="480" w:lineRule="exact"/>
        <w:ind w:firstLine="480" w:firstLineChars="200"/>
        <w:rPr>
          <w:rFonts w:hint="eastAsia" w:ascii="仿宋" w:hAnsi="仿宋" w:eastAsia="仿宋" w:cs="仿宋"/>
          <w:b/>
          <w:color w:val="auto"/>
          <w:sz w:val="36"/>
          <w:szCs w:val="36"/>
          <w:highlight w:val="none"/>
        </w:rPr>
      </w:pPr>
      <w:r>
        <w:rPr>
          <w:rFonts w:hint="eastAsia" w:ascii="仿宋" w:eastAsia="仿宋"/>
          <w:color w:val="auto"/>
          <w:kern w:val="0"/>
          <w:sz w:val="24"/>
          <w:highlight w:val="none"/>
          <w:u w:val="none"/>
        </w:rPr>
        <w:t>签名日期：      年   月   日</w:t>
      </w:r>
    </w:p>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Start w:id="55" w:name="第四部分"/>
      <w:r>
        <w:rPr>
          <w:rFonts w:hint="eastAsia" w:ascii="仿宋" w:hAnsi="仿宋" w:eastAsia="仿宋" w:cs="仿宋"/>
          <w:b/>
          <w:color w:val="auto"/>
          <w:sz w:val="36"/>
          <w:szCs w:val="36"/>
          <w:highlight w:val="none"/>
        </w:rPr>
        <w:t>评审方法及评审标准</w:t>
      </w:r>
    </w:p>
    <w:bookmarkEnd w:id="55"/>
    <w:p>
      <w:pPr>
        <w:keepNext w:val="0"/>
        <w:keepLines w:val="0"/>
        <w:pageBreakBefore w:val="0"/>
        <w:kinsoku/>
        <w:wordWrap/>
        <w:overflowPunct/>
        <w:topLinePunct w:val="0"/>
        <w:autoSpaceDE/>
        <w:autoSpaceDN/>
        <w:bidi w:val="0"/>
        <w:adjustRightInd/>
        <w:spacing w:line="336" w:lineRule="auto"/>
        <w:ind w:left="0" w:leftChars="0" w:right="0" w:rightChars="0"/>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1、磋商方法：</w:t>
      </w:r>
    </w:p>
    <w:p>
      <w:pPr>
        <w:keepNext w:val="0"/>
        <w:keepLines w:val="0"/>
        <w:pageBreakBefore w:val="0"/>
        <w:kinsoku/>
        <w:wordWrap/>
        <w:overflowPunct/>
        <w:topLinePunct w:val="0"/>
        <w:autoSpaceDE/>
        <w:autoSpaceDN/>
        <w:bidi w:val="0"/>
        <w:adjustRightInd/>
        <w:spacing w:line="336" w:lineRule="auto"/>
        <w:ind w:left="0" w:leftChars="0" w:right="0" w:righ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keepNext w:val="0"/>
        <w:keepLines w:val="0"/>
        <w:pageBreakBefore w:val="0"/>
        <w:kinsoku/>
        <w:wordWrap/>
        <w:overflowPunct/>
        <w:topLinePunct w:val="0"/>
        <w:autoSpaceDE/>
        <w:autoSpaceDN/>
        <w:bidi w:val="0"/>
        <w:adjustRightInd/>
        <w:spacing w:line="336" w:lineRule="auto"/>
        <w:ind w:left="0" w:leftChars="0" w:right="0" w:rightChars="0" w:firstLine="472" w:firstLineChars="196"/>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pPr>
        <w:keepNext w:val="0"/>
        <w:keepLines w:val="0"/>
        <w:pageBreakBefore w:val="0"/>
        <w:kinsoku/>
        <w:wordWrap/>
        <w:overflowPunct/>
        <w:topLinePunct w:val="0"/>
        <w:autoSpaceDE/>
        <w:autoSpaceDN/>
        <w:bidi w:val="0"/>
        <w:adjustRightInd/>
        <w:spacing w:line="336" w:lineRule="auto"/>
        <w:ind w:left="0" w:leftChars="0" w:right="0" w:rightChars="0" w:firstLine="482" w:firstLineChars="200"/>
        <w:jc w:val="lef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非单一产品采购项目，采购人应当根据采购项目技术构成、产品价格比重等合理确定核心产品，并在磋商文件中载明。多家供应商提供的核心产品品牌相同的，按前款规定处理。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bCs/>
          <w:iCs/>
          <w:color w:val="auto"/>
          <w:sz w:val="24"/>
          <w:highlight w:val="none"/>
          <w:lang w:eastAsia="zh-CN"/>
        </w:rPr>
        <w:t>标项一、标项二、标项三</w:t>
      </w:r>
      <w:r>
        <w:rPr>
          <w:rFonts w:hint="eastAsia" w:ascii="仿宋" w:hAnsi="仿宋" w:eastAsia="仿宋" w:cs="仿宋"/>
          <w:b/>
          <w:color w:val="auto"/>
          <w:sz w:val="24"/>
          <w:highlight w:val="none"/>
        </w:rPr>
        <w:t>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分。评分依下述所列为评审打分依据，分值如下（计算分值时，按其算术平均值保留小数2位）。</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outlineLvl w:val="1"/>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rPr>
        <w:t>90</w:t>
      </w:r>
      <w:r>
        <w:rPr>
          <w:rFonts w:hint="eastAsia" w:ascii="仿宋" w:hAnsi="仿宋" w:eastAsia="仿宋" w:cs="仿宋"/>
          <w:b/>
          <w:bCs/>
          <w:iCs/>
          <w:color w:val="auto"/>
          <w:sz w:val="24"/>
          <w:highlight w:val="none"/>
        </w:rPr>
        <w:t>分）</w:t>
      </w:r>
    </w:p>
    <w:tbl>
      <w:tblPr>
        <w:tblStyle w:val="3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87"/>
        <w:gridCol w:w="651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387"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评审内容</w:t>
            </w:r>
          </w:p>
        </w:tc>
        <w:tc>
          <w:tcPr>
            <w:tcW w:w="6510"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blHeader/>
          <w:jc w:val="center"/>
        </w:trPr>
        <w:tc>
          <w:tcPr>
            <w:tcW w:w="825"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1</w:t>
            </w:r>
          </w:p>
        </w:tc>
        <w:tc>
          <w:tcPr>
            <w:tcW w:w="1387" w:type="dxa"/>
            <w:vAlign w:val="center"/>
          </w:tcPr>
          <w:p>
            <w:pPr>
              <w:pStyle w:val="20"/>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项目实施方案</w:t>
            </w:r>
          </w:p>
        </w:tc>
        <w:tc>
          <w:tcPr>
            <w:tcW w:w="6510" w:type="dxa"/>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根据具体实施方案的合理性、科学性及针对性进行评审：</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eastAsia="zh-CN"/>
              </w:rPr>
            </w:pPr>
            <w:bookmarkStart w:id="56" w:name="_Toc21993"/>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对本项目系统总体要求的理解</w:t>
            </w:r>
            <w:bookmarkEnd w:id="56"/>
            <w:bookmarkStart w:id="57" w:name="_Toc7414"/>
            <w:r>
              <w:rPr>
                <w:rFonts w:hint="eastAsia" w:ascii="仿宋" w:hAnsi="仿宋" w:eastAsia="仿宋" w:cs="仿宋"/>
                <w:color w:val="auto"/>
                <w:kern w:val="0"/>
                <w:sz w:val="24"/>
                <w:szCs w:val="24"/>
                <w:highlight w:val="none"/>
                <w:lang w:eastAsia="zh-CN"/>
              </w:rPr>
              <w:t>（结合项目地产业状况及历年监督抽检数据等进行阐述）（</w:t>
            </w:r>
            <w:r>
              <w:rPr>
                <w:rFonts w:hint="eastAsia" w:ascii="仿宋" w:hAnsi="仿宋" w:eastAsia="仿宋" w:cs="仿宋"/>
                <w:color w:val="auto"/>
                <w:kern w:val="0"/>
                <w:sz w:val="24"/>
                <w:szCs w:val="24"/>
                <w:highlight w:val="none"/>
                <w:lang w:val="en-US" w:eastAsia="zh-CN"/>
              </w:rPr>
              <w:t>3分</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重难点分析</w:t>
            </w:r>
            <w:bookmarkEnd w:id="57"/>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3分</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抽样安排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样品物流安排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检验工作安排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异议复检安排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检毕样品处置安排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2分</w:t>
            </w:r>
            <w:r>
              <w:rPr>
                <w:rFonts w:hint="eastAsia" w:ascii="仿宋" w:hAnsi="仿宋" w:eastAsia="仿宋" w:cs="仿宋"/>
                <w:color w:val="auto"/>
                <w:kern w:val="0"/>
                <w:sz w:val="24"/>
                <w:szCs w:val="24"/>
                <w:highlight w:val="none"/>
                <w:lang w:eastAsia="zh-CN"/>
              </w:rPr>
              <w:t>）</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blHeader/>
          <w:jc w:val="center"/>
        </w:trPr>
        <w:tc>
          <w:tcPr>
            <w:tcW w:w="825"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2</w:t>
            </w:r>
          </w:p>
        </w:tc>
        <w:tc>
          <w:tcPr>
            <w:tcW w:w="1387" w:type="dxa"/>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质量保障措施</w:t>
            </w:r>
          </w:p>
        </w:tc>
        <w:tc>
          <w:tcPr>
            <w:tcW w:w="6510" w:type="dxa"/>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是否具有完善的质量控制方案、安全检验工作制度、检验责任追究制度、检验档案管理制度、实验室信息化管理等，</w:t>
            </w:r>
            <w:r>
              <w:rPr>
                <w:rStyle w:val="58"/>
                <w:rFonts w:hint="eastAsia" w:ascii="仿宋" w:hAnsi="仿宋" w:eastAsia="仿宋" w:cs="仿宋"/>
                <w:color w:val="auto"/>
                <w:sz w:val="24"/>
                <w:szCs w:val="24"/>
                <w:highlight w:val="none"/>
              </w:rPr>
              <w:t>由评委综合评价打分。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（1）方案完善并符合本项目实际情况，</w:t>
            </w:r>
            <w:r>
              <w:rPr>
                <w:rFonts w:hint="eastAsia" w:ascii="仿宋" w:hAnsi="仿宋" w:eastAsia="仿宋" w:cs="仿宋"/>
                <w:color w:val="auto"/>
                <w:kern w:val="0"/>
                <w:sz w:val="24"/>
                <w:szCs w:val="24"/>
                <w:highlight w:val="none"/>
                <w:lang w:val="en-US" w:eastAsia="zh-CN"/>
              </w:rPr>
              <w:t>保障措施</w:t>
            </w:r>
            <w:r>
              <w:rPr>
                <w:rFonts w:hint="eastAsia" w:ascii="仿宋" w:hAnsi="仿宋" w:eastAsia="仿宋" w:cs="仿宋"/>
                <w:color w:val="auto"/>
                <w:kern w:val="0"/>
                <w:sz w:val="24"/>
                <w:szCs w:val="24"/>
                <w:highlight w:val="none"/>
              </w:rPr>
              <w:t>科学合理的得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（2）方案内容简单，阐述片面，缺乏可行性的得0.1-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（3）未提及此项不得分。</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blHeader/>
          <w:jc w:val="center"/>
        </w:trPr>
        <w:tc>
          <w:tcPr>
            <w:tcW w:w="825" w:type="dxa"/>
            <w:vMerge w:val="restart"/>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3</w:t>
            </w:r>
          </w:p>
        </w:tc>
        <w:tc>
          <w:tcPr>
            <w:tcW w:w="1387" w:type="dxa"/>
            <w:vMerge w:val="restart"/>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服务质量保证</w:t>
            </w:r>
          </w:p>
        </w:tc>
        <w:tc>
          <w:tcPr>
            <w:tcW w:w="6510" w:type="dxa"/>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抽检有效性、业务培训、质量分析、工作纪律管理制度等，</w:t>
            </w:r>
            <w:r>
              <w:rPr>
                <w:rStyle w:val="58"/>
                <w:rFonts w:hint="eastAsia" w:ascii="仿宋" w:hAnsi="仿宋" w:eastAsia="仿宋" w:cs="仿宋"/>
                <w:color w:val="auto"/>
                <w:sz w:val="24"/>
                <w:szCs w:val="24"/>
                <w:highlight w:val="none"/>
              </w:rPr>
              <w:t>由评委综合评价打分。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（1）方案完善并符合本项目实际情况，</w:t>
            </w:r>
            <w:r>
              <w:rPr>
                <w:rFonts w:hint="eastAsia" w:ascii="仿宋" w:hAnsi="仿宋" w:eastAsia="仿宋" w:cs="仿宋"/>
                <w:color w:val="auto"/>
                <w:kern w:val="0"/>
                <w:sz w:val="24"/>
                <w:szCs w:val="24"/>
                <w:highlight w:val="none"/>
                <w:lang w:val="en-US" w:eastAsia="zh-CN"/>
              </w:rPr>
              <w:t>服务工作</w:t>
            </w:r>
            <w:r>
              <w:rPr>
                <w:rFonts w:hint="eastAsia" w:ascii="仿宋" w:hAnsi="仿宋" w:eastAsia="仿宋" w:cs="仿宋"/>
                <w:color w:val="auto"/>
                <w:kern w:val="0"/>
                <w:sz w:val="24"/>
                <w:szCs w:val="24"/>
                <w:highlight w:val="none"/>
              </w:rPr>
              <w:t>科学合理的得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（2）方案内容简单，阐述片面，缺乏可行性的得0.1-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（3）未提及此项不得分。</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blHeader/>
          <w:jc w:val="center"/>
        </w:trPr>
        <w:tc>
          <w:tcPr>
            <w:tcW w:w="825" w:type="dxa"/>
            <w:vMerge w:val="continue"/>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rPr>
            </w:pPr>
          </w:p>
        </w:tc>
        <w:tc>
          <w:tcPr>
            <w:tcW w:w="6510" w:type="dxa"/>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突发应急响应及时率</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供应商承诺接到采购方通知后能迅速响应，承诺</w:t>
            </w:r>
            <w:r>
              <w:rPr>
                <w:rFonts w:hint="eastAsia" w:ascii="仿宋" w:hAnsi="仿宋" w:eastAsia="仿宋" w:cs="仿宋"/>
                <w:color w:val="auto"/>
                <w:kern w:val="0"/>
                <w:sz w:val="24"/>
                <w:szCs w:val="24"/>
                <w:highlight w:val="none"/>
                <w:lang w:val="en-US" w:eastAsia="zh-CN"/>
              </w:rPr>
              <w:t>响</w:t>
            </w:r>
            <w:r>
              <w:rPr>
                <w:rFonts w:hint="eastAsia" w:ascii="仿宋" w:hAnsi="仿宋" w:eastAsia="仿宋" w:cs="仿宋"/>
                <w:color w:val="auto"/>
                <w:kern w:val="0"/>
                <w:sz w:val="24"/>
                <w:szCs w:val="24"/>
                <w:highlight w:val="none"/>
                <w:lang w:val="zh-CN"/>
              </w:rPr>
              <w:t>应时间≤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小时的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分</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小时&lt;响应时间≤</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小时内的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分；</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小时&lt;响应时间≤</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小时内的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分；其它时间不得分。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注：须提供保障响应时间的解决方案。</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blHeader/>
          <w:jc w:val="center"/>
        </w:trPr>
        <w:tc>
          <w:tcPr>
            <w:tcW w:w="825"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4</w:t>
            </w:r>
          </w:p>
        </w:tc>
        <w:tc>
          <w:tcPr>
            <w:tcW w:w="1387" w:type="dxa"/>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检测能力覆盖范围</w:t>
            </w:r>
          </w:p>
        </w:tc>
        <w:tc>
          <w:tcPr>
            <w:tcW w:w="6510" w:type="dxa"/>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自身具有满足本</w:t>
            </w:r>
            <w:r>
              <w:rPr>
                <w:rFonts w:hint="eastAsia" w:ascii="仿宋" w:hAnsi="仿宋" w:eastAsia="仿宋" w:cs="仿宋"/>
                <w:color w:val="auto"/>
                <w:kern w:val="0"/>
                <w:sz w:val="24"/>
                <w:szCs w:val="24"/>
                <w:highlight w:val="none"/>
                <w:lang w:eastAsia="zh-CN"/>
              </w:rPr>
              <w:t>标项</w:t>
            </w:r>
            <w:r>
              <w:rPr>
                <w:rFonts w:hint="eastAsia" w:ascii="仿宋" w:hAnsi="仿宋" w:eastAsia="仿宋" w:cs="仿宋"/>
                <w:color w:val="auto"/>
                <w:kern w:val="0"/>
                <w:sz w:val="24"/>
                <w:szCs w:val="24"/>
                <w:highlight w:val="none"/>
              </w:rPr>
              <w:t>确定的产品和检测项目明细的全项检验能力。具备全项检验能力的，得</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分；不具备能力的，每个产品扣</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产品中涉及的检验依据能力不全的，</w:t>
            </w:r>
            <w:r>
              <w:rPr>
                <w:rFonts w:hint="eastAsia" w:ascii="仿宋" w:hAnsi="仿宋" w:eastAsia="仿宋" w:cs="仿宋"/>
                <w:color w:val="auto"/>
                <w:kern w:val="0"/>
                <w:sz w:val="24"/>
                <w:szCs w:val="24"/>
                <w:highlight w:val="none"/>
                <w:lang w:eastAsia="zh-CN"/>
              </w:rPr>
              <w:t>按比例予以扣分，直到扣完为止（如：标项一第</w:t>
            </w:r>
            <w:r>
              <w:rPr>
                <w:rFonts w:hint="eastAsia" w:ascii="仿宋" w:hAnsi="仿宋" w:eastAsia="仿宋" w:cs="仿宋"/>
                <w:color w:val="auto"/>
                <w:kern w:val="0"/>
                <w:sz w:val="24"/>
                <w:szCs w:val="24"/>
                <w:highlight w:val="none"/>
                <w:lang w:val="en-US" w:eastAsia="zh-CN"/>
              </w:rPr>
              <w:t>41项“一次性餐饮具”，如不具备GB/T 18006.1-2009，但具备GB 4806.7-2016、GB 14934-2016的，扣1分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资质</w:t>
            </w:r>
            <w:r>
              <w:rPr>
                <w:rFonts w:hint="eastAsia" w:ascii="仿宋" w:hAnsi="仿宋" w:eastAsia="仿宋" w:cs="仿宋"/>
                <w:color w:val="auto"/>
                <w:kern w:val="0"/>
                <w:sz w:val="24"/>
                <w:szCs w:val="24"/>
                <w:highlight w:val="none"/>
                <w:lang w:val="en-US" w:eastAsia="zh-CN"/>
              </w:rPr>
              <w:t>认定</w:t>
            </w:r>
            <w:r>
              <w:rPr>
                <w:rFonts w:hint="eastAsia" w:ascii="仿宋" w:hAnsi="仿宋" w:eastAsia="仿宋" w:cs="仿宋"/>
                <w:color w:val="auto"/>
                <w:kern w:val="0"/>
                <w:sz w:val="24"/>
                <w:szCs w:val="24"/>
                <w:highlight w:val="none"/>
              </w:rPr>
              <w:t>证书应当为省级及以上相关部门颁发的CMA资质证书，资料中还需提供资质认定证书相对应的</w:t>
            </w:r>
            <w:r>
              <w:rPr>
                <w:rFonts w:hint="eastAsia" w:ascii="仿宋" w:hAnsi="仿宋" w:eastAsia="仿宋" w:cs="仿宋"/>
                <w:color w:val="auto"/>
                <w:kern w:val="0"/>
                <w:sz w:val="24"/>
                <w:szCs w:val="24"/>
                <w:highlight w:val="none"/>
                <w:lang w:val="en-US" w:eastAsia="zh-CN"/>
              </w:rPr>
              <w:t>产品</w:t>
            </w:r>
            <w:r>
              <w:rPr>
                <w:rFonts w:hint="eastAsia" w:ascii="仿宋" w:hAnsi="仿宋" w:eastAsia="仿宋" w:cs="仿宋"/>
                <w:color w:val="auto"/>
                <w:kern w:val="0"/>
                <w:sz w:val="24"/>
                <w:szCs w:val="24"/>
                <w:highlight w:val="none"/>
              </w:rPr>
              <w:t>检测项目</w:t>
            </w:r>
            <w:r>
              <w:rPr>
                <w:rFonts w:hint="eastAsia" w:ascii="仿宋" w:hAnsi="仿宋" w:eastAsia="仿宋" w:cs="仿宋"/>
                <w:color w:val="auto"/>
                <w:kern w:val="0"/>
                <w:sz w:val="24"/>
                <w:szCs w:val="24"/>
                <w:highlight w:val="none"/>
                <w:lang w:val="en-US" w:eastAsia="zh-CN"/>
              </w:rPr>
              <w:t>附表证明文件</w:t>
            </w:r>
            <w:r>
              <w:rPr>
                <w:rFonts w:hint="eastAsia" w:ascii="仿宋" w:hAnsi="仿宋" w:eastAsia="仿宋" w:cs="仿宋"/>
                <w:color w:val="auto"/>
                <w:kern w:val="0"/>
                <w:sz w:val="24"/>
                <w:szCs w:val="24"/>
                <w:highlight w:val="none"/>
              </w:rPr>
              <w:t>并加盖公章，不提供者不得分。</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5</w:t>
            </w:r>
          </w:p>
        </w:tc>
        <w:tc>
          <w:tcPr>
            <w:tcW w:w="1387" w:type="dxa"/>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人员配置</w:t>
            </w:r>
          </w:p>
        </w:tc>
        <w:tc>
          <w:tcPr>
            <w:tcW w:w="6510" w:type="dxa"/>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拥有承担本项目所需的专业技术人员及抽样人员：</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项目负责人：</w:t>
            </w:r>
            <w:r>
              <w:rPr>
                <w:rFonts w:hint="eastAsia" w:ascii="仿宋" w:hAnsi="仿宋" w:eastAsia="仿宋" w:cs="仿宋"/>
                <w:color w:val="auto"/>
                <w:kern w:val="0"/>
                <w:sz w:val="24"/>
                <w:szCs w:val="24"/>
                <w:highlight w:val="none"/>
              </w:rPr>
              <w:t>具有正高级职称</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分，具有副高级职称的得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分，其他不得分。本项累计最高不超过</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）项目检验人员：</w:t>
            </w:r>
            <w:r>
              <w:rPr>
                <w:rFonts w:hint="eastAsia" w:ascii="仿宋" w:hAnsi="仿宋" w:eastAsia="仿宋" w:cs="仿宋"/>
                <w:color w:val="auto"/>
                <w:kern w:val="0"/>
                <w:sz w:val="24"/>
                <w:szCs w:val="24"/>
                <w:highlight w:val="none"/>
                <w:lang w:eastAsia="zh-CN"/>
              </w:rPr>
              <w:t>根据投入本项目的检测人员配备数量、职称等级、分工安排等进行综合评分。</w:t>
            </w:r>
            <w:r>
              <w:rPr>
                <w:rFonts w:hint="eastAsia" w:ascii="仿宋" w:hAnsi="仿宋" w:eastAsia="仿宋" w:cs="仿宋"/>
                <w:color w:val="auto"/>
                <w:kern w:val="0"/>
                <w:sz w:val="24"/>
                <w:szCs w:val="24"/>
                <w:highlight w:val="none"/>
              </w:rPr>
              <w:t>本项累计最高不超过</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）项目抽样人员：</w:t>
            </w:r>
            <w:r>
              <w:rPr>
                <w:rFonts w:hint="eastAsia" w:ascii="仿宋" w:hAnsi="仿宋" w:eastAsia="仿宋" w:cs="仿宋"/>
                <w:color w:val="auto"/>
                <w:kern w:val="0"/>
                <w:sz w:val="24"/>
                <w:szCs w:val="24"/>
                <w:highlight w:val="none"/>
                <w:lang w:eastAsia="zh-CN"/>
              </w:rPr>
              <w:t>采样人员数量6-9人的得2分，10人及以上的得3分，其他不得分。</w:t>
            </w:r>
            <w:r>
              <w:rPr>
                <w:rFonts w:hint="eastAsia" w:ascii="仿宋" w:hAnsi="仿宋" w:eastAsia="仿宋" w:cs="仿宋"/>
                <w:color w:val="auto"/>
                <w:kern w:val="0"/>
                <w:sz w:val="24"/>
                <w:szCs w:val="24"/>
                <w:highlight w:val="none"/>
              </w:rPr>
              <w:t>本项累计最高不超过</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rPr>
              <w:t>注：</w:t>
            </w:r>
            <w:r>
              <w:rPr>
                <w:rFonts w:hint="eastAsia" w:ascii="仿宋" w:hAnsi="仿宋" w:eastAsia="仿宋" w:cs="仿宋"/>
                <w:color w:val="auto"/>
                <w:kern w:val="0"/>
                <w:sz w:val="24"/>
                <w:szCs w:val="24"/>
                <w:highlight w:val="none"/>
              </w:rPr>
              <w:t>提供相关证明材料，人员名单及岗位配置，</w:t>
            </w:r>
            <w:r>
              <w:rPr>
                <w:rFonts w:hint="eastAsia" w:ascii="仿宋" w:hAnsi="仿宋" w:eastAsia="仿宋" w:cs="仿宋"/>
                <w:color w:val="auto"/>
                <w:kern w:val="0"/>
                <w:sz w:val="24"/>
                <w:szCs w:val="24"/>
                <w:highlight w:val="none"/>
                <w:lang w:eastAsia="zh-CN"/>
              </w:rPr>
              <w:t>相关证书复印件和供应商为其缴纳的近期社保证明并加盖公章，未提供或不符合要求的不得分。</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Merge w:val="restart"/>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rPr>
              <w:t>6</w:t>
            </w:r>
          </w:p>
        </w:tc>
        <w:tc>
          <w:tcPr>
            <w:tcW w:w="1387" w:type="dxa"/>
            <w:vMerge w:val="restart"/>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rPr>
              <w:t>设备配置</w:t>
            </w:r>
          </w:p>
        </w:tc>
        <w:tc>
          <w:tcPr>
            <w:tcW w:w="6510"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1、</w:t>
            </w:r>
            <w:r>
              <w:rPr>
                <w:rFonts w:hint="eastAsia" w:ascii="仿宋" w:hAnsi="仿宋" w:eastAsia="仿宋" w:cs="仿宋"/>
                <w:bCs/>
                <w:iCs/>
                <w:color w:val="auto"/>
                <w:sz w:val="24"/>
                <w:szCs w:val="24"/>
                <w:highlight w:val="none"/>
                <w:lang w:val="zh-CN" w:eastAsia="zh-CN"/>
              </w:rPr>
              <w:t>供应商配备满足本项目产品检测的仪器设备，性能先进优越的，种类能充分满足检测需求，保障项目实施质量的得</w:t>
            </w:r>
            <w:r>
              <w:rPr>
                <w:rFonts w:hint="eastAsia" w:ascii="仿宋" w:hAnsi="仿宋" w:eastAsia="仿宋" w:cs="仿宋"/>
                <w:bCs/>
                <w:iCs/>
                <w:color w:val="auto"/>
                <w:sz w:val="24"/>
                <w:szCs w:val="24"/>
                <w:highlight w:val="none"/>
                <w:lang w:val="en-US" w:eastAsia="zh-CN"/>
              </w:rPr>
              <w:t>1.5-3分；明显欠缺或不足的得0.1-1.5分；不提供或严重欠缺不足的不得分。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bCs/>
                <w:iCs/>
                <w:color w:val="auto"/>
                <w:sz w:val="24"/>
                <w:szCs w:val="24"/>
                <w:highlight w:val="none"/>
              </w:rPr>
              <w:t>注：</w:t>
            </w:r>
            <w:r>
              <w:rPr>
                <w:rFonts w:hint="eastAsia" w:ascii="仿宋" w:hAnsi="仿宋" w:eastAsia="仿宋" w:cs="仿宋"/>
                <w:bCs/>
                <w:iCs/>
                <w:color w:val="auto"/>
                <w:sz w:val="24"/>
                <w:szCs w:val="24"/>
                <w:highlight w:val="none"/>
                <w:lang w:val="zh-CN"/>
              </w:rPr>
              <w:t>提供设备清单、照片、购置发票等相关证明材料。</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Merge w:val="continue"/>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6510"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配备抽样现场信息记录仪器，能够确保完整记录抽样现场有声视频、音频及清晰照片以证明抽样工作的公正、合规的，每台0.</w:t>
            </w:r>
            <w:r>
              <w:rPr>
                <w:rFonts w:hint="eastAsia" w:ascii="仿宋" w:hAnsi="仿宋" w:eastAsia="仿宋" w:cs="仿宋"/>
                <w:bCs/>
                <w:iCs/>
                <w:color w:val="auto"/>
                <w:sz w:val="24"/>
                <w:szCs w:val="24"/>
                <w:highlight w:val="none"/>
                <w:lang w:val="en-US" w:eastAsia="zh-CN"/>
              </w:rPr>
              <w:t>5</w:t>
            </w:r>
            <w:r>
              <w:rPr>
                <w:rFonts w:hint="eastAsia" w:ascii="仿宋" w:hAnsi="仿宋" w:eastAsia="仿宋" w:cs="仿宋"/>
                <w:bCs/>
                <w:iCs/>
                <w:color w:val="auto"/>
                <w:sz w:val="24"/>
                <w:szCs w:val="24"/>
                <w:highlight w:val="none"/>
              </w:rPr>
              <w:t>分，最高不超过2分。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注：</w:t>
            </w:r>
            <w:r>
              <w:rPr>
                <w:rFonts w:hint="eastAsia" w:ascii="仿宋" w:hAnsi="仿宋" w:eastAsia="仿宋" w:cs="仿宋"/>
                <w:bCs/>
                <w:iCs/>
                <w:color w:val="auto"/>
                <w:sz w:val="24"/>
                <w:szCs w:val="24"/>
                <w:highlight w:val="none"/>
                <w:lang w:val="zh-CN"/>
              </w:rPr>
              <w:t>提供设备清单、照片、购置发票等相关证明材料。</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Merge w:val="continue"/>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6510"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lang w:eastAsia="zh-CN"/>
              </w:rPr>
              <w:t>配备</w:t>
            </w:r>
            <w:r>
              <w:rPr>
                <w:rFonts w:hint="eastAsia" w:ascii="仿宋" w:hAnsi="仿宋" w:eastAsia="仿宋" w:cs="仿宋"/>
                <w:bCs/>
                <w:iCs/>
                <w:color w:val="auto"/>
                <w:sz w:val="24"/>
                <w:szCs w:val="24"/>
                <w:highlight w:val="none"/>
              </w:rPr>
              <w:t>本项目的采样车数量情况,每辆得</w:t>
            </w:r>
            <w:r>
              <w:rPr>
                <w:rFonts w:hint="eastAsia" w:ascii="仿宋" w:hAnsi="仿宋" w:eastAsia="仿宋" w:cs="仿宋"/>
                <w:bCs/>
                <w:iCs/>
                <w:color w:val="auto"/>
                <w:sz w:val="24"/>
                <w:szCs w:val="24"/>
                <w:highlight w:val="none"/>
                <w:lang w:val="en-US" w:eastAsia="zh-CN"/>
              </w:rPr>
              <w:t>0.5</w:t>
            </w:r>
            <w:r>
              <w:rPr>
                <w:rFonts w:hint="eastAsia" w:ascii="仿宋" w:hAnsi="仿宋" w:eastAsia="仿宋" w:cs="仿宋"/>
                <w:bCs/>
                <w:iCs/>
                <w:color w:val="auto"/>
                <w:sz w:val="24"/>
                <w:szCs w:val="24"/>
                <w:highlight w:val="none"/>
              </w:rPr>
              <w:t>分，最高不超过</w:t>
            </w: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rPr>
              <w:t>注：提供车辆</w:t>
            </w:r>
            <w:r>
              <w:rPr>
                <w:rFonts w:hint="eastAsia" w:ascii="仿宋" w:hAnsi="仿宋" w:eastAsia="仿宋" w:cs="仿宋"/>
                <w:bCs/>
                <w:iCs/>
                <w:color w:val="auto"/>
                <w:sz w:val="24"/>
                <w:szCs w:val="24"/>
                <w:highlight w:val="none"/>
                <w:lang w:eastAsia="zh-CN"/>
              </w:rPr>
              <w:t>信息、</w:t>
            </w:r>
            <w:r>
              <w:rPr>
                <w:rFonts w:hint="eastAsia" w:ascii="仿宋" w:hAnsi="仿宋" w:eastAsia="仿宋" w:cs="仿宋"/>
                <w:bCs/>
                <w:iCs/>
                <w:color w:val="auto"/>
                <w:sz w:val="24"/>
                <w:szCs w:val="24"/>
                <w:highlight w:val="none"/>
              </w:rPr>
              <w:t>照片</w:t>
            </w:r>
            <w:r>
              <w:rPr>
                <w:rFonts w:hint="eastAsia" w:ascii="仿宋" w:hAnsi="仿宋" w:eastAsia="仿宋" w:cs="仿宋"/>
                <w:bCs/>
                <w:iCs/>
                <w:color w:val="auto"/>
                <w:sz w:val="24"/>
                <w:szCs w:val="24"/>
                <w:highlight w:val="none"/>
                <w:lang w:eastAsia="zh-CN"/>
              </w:rPr>
              <w:t>、</w:t>
            </w:r>
            <w:r>
              <w:rPr>
                <w:rFonts w:hint="eastAsia" w:ascii="仿宋" w:hAnsi="仿宋" w:eastAsia="仿宋" w:cs="仿宋"/>
                <w:bCs/>
                <w:iCs/>
                <w:color w:val="auto"/>
                <w:sz w:val="24"/>
                <w:szCs w:val="24"/>
                <w:highlight w:val="none"/>
              </w:rPr>
              <w:t>行驶证（车辆租赁的另须提供租赁证明）</w:t>
            </w:r>
            <w:r>
              <w:rPr>
                <w:rFonts w:hint="eastAsia" w:ascii="仿宋" w:hAnsi="仿宋" w:eastAsia="仿宋" w:cs="仿宋"/>
                <w:bCs/>
                <w:iCs/>
                <w:color w:val="auto"/>
                <w:sz w:val="24"/>
                <w:szCs w:val="24"/>
                <w:highlight w:val="none"/>
                <w:lang w:eastAsia="zh-CN"/>
              </w:rPr>
              <w:t>、保险单等相关证明材料</w:t>
            </w:r>
            <w:r>
              <w:rPr>
                <w:rFonts w:hint="eastAsia" w:ascii="仿宋" w:hAnsi="仿宋" w:eastAsia="仿宋" w:cs="仿宋"/>
                <w:bCs/>
                <w:iCs/>
                <w:color w:val="auto"/>
                <w:sz w:val="24"/>
                <w:szCs w:val="24"/>
                <w:highlight w:val="none"/>
              </w:rPr>
              <w:t>。</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jc w:val="center"/>
        </w:trPr>
        <w:tc>
          <w:tcPr>
            <w:tcW w:w="825" w:type="dxa"/>
            <w:vMerge w:val="restart"/>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7</w:t>
            </w:r>
          </w:p>
        </w:tc>
        <w:tc>
          <w:tcPr>
            <w:tcW w:w="1387" w:type="dxa"/>
            <w:vMerge w:val="restart"/>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检验检测场地情况</w:t>
            </w:r>
          </w:p>
        </w:tc>
        <w:tc>
          <w:tcPr>
            <w:tcW w:w="6510"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bCs/>
                <w:iCs/>
                <w:color w:val="auto"/>
                <w:sz w:val="24"/>
                <w:szCs w:val="24"/>
                <w:highlight w:val="none"/>
                <w:lang w:val="zh-CN" w:eastAsia="zh-CN"/>
              </w:rPr>
              <w:t>1、</w:t>
            </w:r>
            <w:r>
              <w:rPr>
                <w:rFonts w:hint="eastAsia" w:ascii="仿宋" w:hAnsi="仿宋" w:eastAsia="仿宋" w:cs="仿宋"/>
                <w:bCs/>
                <w:iCs/>
                <w:color w:val="auto"/>
                <w:kern w:val="2"/>
                <w:sz w:val="24"/>
                <w:szCs w:val="24"/>
                <w:highlight w:val="none"/>
                <w:lang w:val="zh-CN" w:eastAsia="zh-CN" w:bidi="ar-SA"/>
              </w:rPr>
              <w:t>供应商</w:t>
            </w:r>
            <w:r>
              <w:rPr>
                <w:rFonts w:hint="eastAsia" w:ascii="仿宋" w:hAnsi="仿宋" w:eastAsia="仿宋" w:cs="仿宋"/>
                <w:bCs/>
                <w:iCs/>
                <w:color w:val="auto"/>
                <w:sz w:val="24"/>
                <w:szCs w:val="24"/>
                <w:highlight w:val="none"/>
                <w:lang w:val="zh-CN" w:eastAsia="zh-CN"/>
              </w:rPr>
              <w:t>配有与本项目业务相匹配的固定经营或样品仓储相关场所的得</w:t>
            </w:r>
            <w:r>
              <w:rPr>
                <w:rFonts w:hint="eastAsia" w:ascii="仿宋" w:hAnsi="仿宋" w:eastAsia="仿宋" w:cs="仿宋"/>
                <w:bCs/>
                <w:iCs/>
                <w:color w:val="auto"/>
                <w:sz w:val="24"/>
                <w:szCs w:val="24"/>
                <w:highlight w:val="none"/>
                <w:lang w:val="en-US" w:eastAsia="zh-CN"/>
              </w:rPr>
              <w:t>3</w:t>
            </w:r>
            <w:r>
              <w:rPr>
                <w:rFonts w:hint="eastAsia" w:ascii="仿宋" w:hAnsi="仿宋" w:eastAsia="仿宋" w:cs="仿宋"/>
                <w:bCs/>
                <w:iCs/>
                <w:color w:val="auto"/>
                <w:sz w:val="24"/>
                <w:szCs w:val="24"/>
                <w:highlight w:val="none"/>
                <w:lang w:val="zh-CN" w:eastAsia="zh-CN"/>
              </w:rPr>
              <w:t>分，没有不得分。</w:t>
            </w:r>
          </w:p>
          <w:p>
            <w:pPr>
              <w:keepNext w:val="0"/>
              <w:keepLines w:val="0"/>
              <w:pageBreakBefore w:val="0"/>
              <w:kinsoku/>
              <w:wordWrap/>
              <w:overflowPunct/>
              <w:topLinePunct w:val="0"/>
              <w:autoSpaceDE/>
              <w:autoSpaceDN/>
              <w:bidi w:val="0"/>
              <w:adjustRightInd/>
              <w:spacing w:line="336" w:lineRule="auto"/>
              <w:ind w:left="0" w:leftChars="0" w:right="0" w:rightChars="0"/>
              <w:jc w:val="both"/>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bCs/>
                <w:iCs/>
                <w:color w:val="auto"/>
                <w:sz w:val="24"/>
                <w:szCs w:val="24"/>
                <w:highlight w:val="none"/>
                <w:lang w:val="zh-CN" w:eastAsia="zh-CN"/>
              </w:rPr>
              <w:t>注：提供挂牌场所实地照片，自有</w:t>
            </w:r>
            <w:r>
              <w:rPr>
                <w:rFonts w:hint="eastAsia" w:ascii="仿宋" w:hAnsi="仿宋" w:eastAsia="仿宋" w:cs="仿宋"/>
                <w:bCs/>
                <w:iCs/>
                <w:color w:val="auto"/>
                <w:sz w:val="24"/>
                <w:szCs w:val="24"/>
                <w:highlight w:val="none"/>
                <w:lang w:eastAsia="zh-CN"/>
              </w:rPr>
              <w:t>场地的提供房产证复印件；租用场地的提供房屋租赁合同清晰复印件或原件扫描件。</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825" w:type="dxa"/>
            <w:vMerge w:val="continue"/>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sz w:val="24"/>
                <w:szCs w:val="24"/>
                <w:highlight w:val="none"/>
              </w:rPr>
            </w:pPr>
          </w:p>
        </w:tc>
        <w:tc>
          <w:tcPr>
            <w:tcW w:w="1387" w:type="dxa"/>
            <w:vMerge w:val="continue"/>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rPr>
            </w:pPr>
          </w:p>
        </w:tc>
        <w:tc>
          <w:tcPr>
            <w:tcW w:w="6510" w:type="dxa"/>
            <w:vAlign w:val="center"/>
          </w:tcPr>
          <w:p>
            <w:pPr>
              <w:pStyle w:val="59"/>
              <w:keepNext w:val="0"/>
              <w:keepLines w:val="0"/>
              <w:pageBreakBefore w:val="0"/>
              <w:widowControl w:val="0"/>
              <w:numPr>
                <w:ilvl w:val="0"/>
                <w:numId w:val="0"/>
              </w:numPr>
              <w:kinsoku/>
              <w:wordWrap/>
              <w:overflowPunct/>
              <w:topLinePunct w:val="0"/>
              <w:autoSpaceDE/>
              <w:autoSpaceDN/>
              <w:bidi w:val="0"/>
              <w:adjustRightInd/>
              <w:spacing w:line="336" w:lineRule="auto"/>
              <w:ind w:left="0" w:leftChars="0" w:right="0" w:rightChars="0" w:firstLine="0" w:firstLineChars="0"/>
              <w:jc w:val="both"/>
              <w:textAlignment w:val="auto"/>
              <w:rPr>
                <w:rFonts w:hint="eastAsia" w:ascii="仿宋" w:hAnsi="仿宋" w:eastAsia="仿宋" w:cs="仿宋"/>
                <w:bCs/>
                <w:iCs/>
                <w:color w:val="auto"/>
                <w:kern w:val="2"/>
                <w:sz w:val="24"/>
                <w:szCs w:val="24"/>
                <w:highlight w:val="none"/>
                <w:lang w:val="zh-CN" w:eastAsia="zh-CN" w:bidi="ar-SA"/>
              </w:rPr>
            </w:pPr>
            <w:r>
              <w:rPr>
                <w:rFonts w:hint="eastAsia" w:ascii="仿宋" w:hAnsi="仿宋" w:eastAsia="仿宋" w:cs="仿宋"/>
                <w:bCs/>
                <w:iCs/>
                <w:color w:val="auto"/>
                <w:kern w:val="2"/>
                <w:sz w:val="24"/>
                <w:szCs w:val="24"/>
                <w:highlight w:val="none"/>
                <w:lang w:val="en-US" w:eastAsia="zh-CN" w:bidi="ar-SA"/>
              </w:rPr>
              <w:t>2、</w:t>
            </w:r>
            <w:r>
              <w:rPr>
                <w:rFonts w:hint="eastAsia" w:ascii="仿宋" w:hAnsi="仿宋" w:eastAsia="仿宋" w:cs="仿宋"/>
                <w:bCs/>
                <w:iCs/>
                <w:color w:val="auto"/>
                <w:kern w:val="2"/>
                <w:sz w:val="24"/>
                <w:szCs w:val="24"/>
                <w:highlight w:val="none"/>
                <w:lang w:val="zh-CN" w:eastAsia="zh-CN" w:bidi="ar-SA"/>
              </w:rPr>
              <w:t>供应商具有满足检测工作需要的、独立的、固定的检测场所，检测场所布局合理，优于项目需要的得</w:t>
            </w:r>
            <w:r>
              <w:rPr>
                <w:rFonts w:hint="eastAsia" w:ascii="仿宋" w:hAnsi="仿宋" w:eastAsia="仿宋" w:cs="仿宋"/>
                <w:bCs/>
                <w:iCs/>
                <w:color w:val="auto"/>
                <w:kern w:val="2"/>
                <w:sz w:val="24"/>
                <w:szCs w:val="24"/>
                <w:highlight w:val="none"/>
                <w:lang w:val="en-US" w:eastAsia="zh-CN" w:bidi="ar-SA"/>
              </w:rPr>
              <w:t>1.1-2分，有欠缺或不足的得0.1-1分，不提供不得分。注：提供整个实验室平面布局图，自有场地的提供房产证复印件；租用场地的提供房屋租赁合同清晰复印件或原件扫描件。</w:t>
            </w:r>
          </w:p>
        </w:tc>
        <w:tc>
          <w:tcPr>
            <w:tcW w:w="846" w:type="dxa"/>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kern w:val="2"/>
                <w:sz w:val="24"/>
                <w:szCs w:val="24"/>
                <w:highlight w:val="none"/>
                <w:lang w:val="en-US" w:eastAsia="zh-CN" w:bidi="ar-S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25"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bCs/>
                <w:iCs/>
                <w:color w:val="auto"/>
                <w:kern w:val="2"/>
                <w:sz w:val="24"/>
                <w:szCs w:val="24"/>
                <w:highlight w:val="none"/>
                <w:lang w:val="en-US" w:eastAsia="zh-CN" w:bidi="ar-SA"/>
              </w:rPr>
            </w:pPr>
            <w:r>
              <w:rPr>
                <w:rFonts w:hint="eastAsia" w:ascii="仿宋" w:hAnsi="仿宋" w:eastAsia="仿宋" w:cs="仿宋"/>
                <w:bCs/>
                <w:iCs/>
                <w:color w:val="auto"/>
                <w:sz w:val="24"/>
                <w:szCs w:val="24"/>
                <w:highlight w:val="none"/>
              </w:rPr>
              <w:t>8</w:t>
            </w:r>
          </w:p>
        </w:tc>
        <w:tc>
          <w:tcPr>
            <w:tcW w:w="1387" w:type="dxa"/>
            <w:vAlign w:val="center"/>
          </w:tcPr>
          <w:p>
            <w:pPr>
              <w:keepNext w:val="0"/>
              <w:keepLines w:val="0"/>
              <w:pageBreakBefore w:val="0"/>
              <w:kinsoku/>
              <w:wordWrap/>
              <w:overflowPunct/>
              <w:topLinePunct w:val="0"/>
              <w:autoSpaceDE/>
              <w:autoSpaceDN/>
              <w:bidi w:val="0"/>
              <w:adjustRightInd/>
              <w:snapToGrid w:val="0"/>
              <w:spacing w:line="336"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应急处置能力</w:t>
            </w:r>
          </w:p>
        </w:tc>
        <w:tc>
          <w:tcPr>
            <w:tcW w:w="6510" w:type="dxa"/>
            <w:vAlign w:val="center"/>
          </w:tcPr>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供应商提供</w:t>
            </w:r>
            <w:r>
              <w:rPr>
                <w:rFonts w:hint="eastAsia" w:ascii="仿宋" w:hAnsi="仿宋" w:eastAsia="仿宋" w:cs="仿宋"/>
                <w:color w:val="auto"/>
                <w:kern w:val="0"/>
                <w:sz w:val="24"/>
                <w:szCs w:val="24"/>
                <w:highlight w:val="none"/>
              </w:rPr>
              <w:t>项目服务过程中的</w:t>
            </w:r>
            <w:r>
              <w:rPr>
                <w:rFonts w:hint="eastAsia" w:ascii="仿宋" w:hAnsi="仿宋" w:eastAsia="仿宋" w:cs="仿宋"/>
                <w:color w:val="auto"/>
                <w:kern w:val="0"/>
                <w:sz w:val="24"/>
                <w:szCs w:val="24"/>
                <w:highlight w:val="none"/>
                <w:lang w:val="zh-CN"/>
              </w:rPr>
              <w:t>相关应急预案，预案应针对可能出现的产品质量突发性、应急性等事件，设置应对</w:t>
            </w:r>
            <w:r>
              <w:rPr>
                <w:rFonts w:hint="eastAsia" w:ascii="仿宋" w:hAnsi="仿宋" w:eastAsia="仿宋" w:cs="仿宋"/>
                <w:color w:val="auto"/>
                <w:kern w:val="0"/>
                <w:sz w:val="24"/>
                <w:szCs w:val="24"/>
                <w:highlight w:val="none"/>
              </w:rPr>
              <w:t>机构、人员及</w:t>
            </w:r>
            <w:r>
              <w:rPr>
                <w:rFonts w:hint="eastAsia" w:ascii="仿宋" w:hAnsi="仿宋" w:eastAsia="仿宋" w:cs="仿宋"/>
                <w:color w:val="auto"/>
                <w:kern w:val="0"/>
                <w:sz w:val="24"/>
                <w:szCs w:val="24"/>
                <w:highlight w:val="none"/>
                <w:lang w:val="zh-CN"/>
              </w:rPr>
              <w:t>措施，提供有效保障等内容。</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）应急预案内容要素完整，方案合理、可行，完全满足采购需求的，得</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）预案基本可行，</w:t>
            </w:r>
            <w:r>
              <w:rPr>
                <w:rFonts w:hint="eastAsia" w:ascii="仿宋" w:hAnsi="仿宋" w:eastAsia="仿宋" w:cs="仿宋"/>
                <w:color w:val="auto"/>
                <w:kern w:val="0"/>
                <w:sz w:val="24"/>
                <w:szCs w:val="24"/>
                <w:highlight w:val="none"/>
              </w:rPr>
              <w:t>部分内容稍有不足的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336" w:lineRule="auto"/>
              <w:ind w:left="0" w:leftChars="0" w:right="0" w:rightChars="0"/>
              <w:jc w:val="both"/>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未提及此项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不得分。</w:t>
            </w:r>
          </w:p>
        </w:tc>
        <w:tc>
          <w:tcPr>
            <w:tcW w:w="846" w:type="dxa"/>
            <w:vAlign w:val="center"/>
          </w:tcPr>
          <w:p>
            <w:pPr>
              <w:keepNext w:val="0"/>
              <w:keepLines w:val="0"/>
              <w:pageBreakBefore w:val="0"/>
              <w:kinsoku/>
              <w:wordWrap/>
              <w:overflowPunct/>
              <w:topLinePunct w:val="0"/>
              <w:autoSpaceDE/>
              <w:autoSpaceDN/>
              <w:bidi w:val="0"/>
              <w:adjustRightInd/>
              <w:spacing w:line="336"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color w:val="auto"/>
          <w:highlight w:val="none"/>
        </w:rPr>
      </w:pP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注：1.本项目招标文件内对开标现场原件核验不作要求，招标单位有权在标后对中标候选人进行原件核验，投标人对所提供的全部资料的真实性承担法律责任。 </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2.所有的证书及检测报告必须在有效期内，不在有效期内的不得分。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2.2价格分（10分）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2.2.1评标基准价：即满足招标文件要求且投标折扣</w:t>
      </w:r>
      <w:r>
        <w:rPr>
          <w:rFonts w:hint="eastAsia" w:ascii="仿宋" w:hAnsi="仿宋" w:eastAsia="仿宋" w:cs="仿宋"/>
          <w:color w:val="auto"/>
          <w:sz w:val="24"/>
          <w:highlight w:val="none"/>
          <w:lang w:eastAsia="zh-CN"/>
        </w:rPr>
        <w:t>率（折扣）</w:t>
      </w:r>
      <w:r>
        <w:rPr>
          <w:rFonts w:hint="eastAsia" w:ascii="仿宋" w:hAnsi="仿宋" w:eastAsia="仿宋" w:cs="仿宋"/>
          <w:color w:val="auto"/>
          <w:sz w:val="24"/>
          <w:highlight w:val="none"/>
        </w:rPr>
        <w:t>最低的投标报价为评标基准价，其价格分为满分。</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2.2.2其他投标人的价格分统一按照下列公式计算：</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投标报价得分=(评标基准价／投标报价)×价格权值×100</w:t>
      </w:r>
    </w:p>
    <w:p>
      <w:pPr>
        <w:keepNext w:val="0"/>
        <w:keepLines w:val="0"/>
        <w:pageBreakBefore w:val="0"/>
        <w:kinsoku/>
        <w:wordWrap/>
        <w:overflowPunct/>
        <w:topLinePunct w:val="0"/>
        <w:autoSpaceDE/>
        <w:autoSpaceDN/>
        <w:bidi w:val="0"/>
        <w:adjustRightInd/>
        <w:spacing w:line="336"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即：投标报价得分=(评标基准价／投标报价)×</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w:t>
      </w: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p>
      <w:pPr>
        <w:widowControl/>
        <w:snapToGrid w:val="0"/>
        <w:spacing w:line="480" w:lineRule="exact"/>
        <w:ind w:left="0"/>
        <w:rPr>
          <w:rFonts w:hint="eastAsia" w:ascii="仿宋" w:eastAsia="仿宋"/>
          <w:bCs/>
          <w:iCs/>
          <w:color w:val="auto"/>
          <w:sz w:val="24"/>
          <w:highlight w:val="none"/>
          <w:u w:val="single"/>
          <w:lang w:eastAsia="zh-CN"/>
        </w:rPr>
      </w:pPr>
    </w:p>
    <w:bookmarkEnd w:id="37"/>
    <w:bookmarkEnd w:id="38"/>
    <w:bookmarkEnd w:id="39"/>
    <w:bookmarkEnd w:id="40"/>
    <w:p>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bookmarkStart w:id="58" w:name="_Toc31756"/>
      <w:bookmarkStart w:id="59" w:name="_Toc643610537"/>
      <w:r>
        <w:rPr>
          <w:rFonts w:hint="eastAsia" w:ascii="仿宋" w:eastAsia="仿宋"/>
          <w:color w:val="auto"/>
          <w:highlight w:val="none"/>
        </w:rPr>
        <w:t>第六章  磋商响应文件格式附件</w:t>
      </w:r>
      <w:bookmarkEnd w:id="58"/>
      <w:bookmarkEnd w:id="59"/>
    </w:p>
    <w:p>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磋商响应文件制作请按照本磋商文件“第二章 供应商须知”第三部分“磋商响应文件”的规定制作，有关格式附件如下：</w:t>
      </w: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pStyle w:val="2"/>
        <w:rPr>
          <w:rFonts w:hint="eastAsia" w:ascii="仿宋" w:eastAsia="仿宋"/>
          <w:b/>
          <w:bCs/>
          <w:color w:val="auto"/>
          <w:sz w:val="30"/>
          <w:szCs w:val="30"/>
          <w:highlight w:val="none"/>
        </w:rPr>
      </w:pPr>
    </w:p>
    <w:p>
      <w:pPr>
        <w:pStyle w:val="3"/>
        <w:rPr>
          <w:rFonts w:hint="eastAsia" w:ascii="仿宋" w:eastAsia="仿宋"/>
          <w:b/>
          <w:bCs/>
          <w:color w:val="auto"/>
          <w:sz w:val="30"/>
          <w:szCs w:val="30"/>
          <w:highlight w:val="none"/>
        </w:rPr>
      </w:pPr>
    </w:p>
    <w:p>
      <w:pPr>
        <w:pStyle w:val="3"/>
        <w:rPr>
          <w:rFonts w:hint="eastAsia" w:ascii="仿宋" w:eastAsia="仿宋"/>
          <w:b/>
          <w:bCs/>
          <w:color w:val="auto"/>
          <w:sz w:val="30"/>
          <w:szCs w:val="30"/>
          <w:highlight w:val="none"/>
        </w:rPr>
      </w:pPr>
    </w:p>
    <w:p>
      <w:pPr>
        <w:pStyle w:val="3"/>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both"/>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bookmarkStart w:id="60" w:name="_Toc64369786"/>
      <w:r>
        <w:rPr>
          <w:rFonts w:hint="eastAsia" w:ascii="仿宋" w:eastAsia="仿宋" w:cs="仿宋_GB2312"/>
          <w:color w:val="auto"/>
          <w:sz w:val="30"/>
          <w:szCs w:val="30"/>
          <w:highlight w:val="none"/>
        </w:rPr>
        <w:t>目 录</w:t>
      </w:r>
      <w:bookmarkEnd w:id="60"/>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1.磋商声明函 ……………………………………………………………………（页码）</w:t>
      </w:r>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pPr>
        <w:pStyle w:val="54"/>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pPr>
        <w:pStyle w:val="54"/>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pPr>
        <w:pStyle w:val="54"/>
        <w:spacing w:line="360" w:lineRule="auto"/>
        <w:ind w:firstLine="240" w:firstLineChars="100"/>
        <w:jc w:val="left"/>
        <w:rPr>
          <w:rFonts w:hint="eastAsia" w:ascii="仿宋" w:eastAsia="仿宋" w:cs="仿宋_GB2312"/>
          <w:color w:val="auto"/>
          <w:highlight w:val="none"/>
        </w:rPr>
      </w:pPr>
      <w:bookmarkStart w:id="61"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61"/>
    </w:p>
    <w:p>
      <w:pPr>
        <w:pStyle w:val="54"/>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62" w:name="_Toc64369788"/>
      <w:r>
        <w:rPr>
          <w:rFonts w:hint="eastAsia" w:ascii="仿宋" w:eastAsia="仿宋" w:cs="仿宋_GB2312"/>
          <w:color w:val="auto"/>
          <w:highlight w:val="none"/>
        </w:rPr>
        <w:t>特定资格条件的有关证明材料（如有）…………………………………（页码）</w:t>
      </w:r>
      <w:bookmarkEnd w:id="62"/>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注：以上文件按磋商文件提供的格式制作，磋商供应商根据内容做好加密电子磋商响应文件的关联点设置。</w:t>
      </w:r>
    </w:p>
    <w:p>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附件3：磋商声明函</w:t>
      </w:r>
    </w:p>
    <w:p>
      <w:pPr>
        <w:pStyle w:val="37"/>
        <w:spacing w:after="5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7"/>
        <w:spacing w:after="5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（填写供应商全称；联合体磋商的写全部联合体成员）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（填写项目名称）（项目编号：    ）</w:t>
      </w:r>
      <w:r>
        <w:rPr>
          <w:rFonts w:hint="eastAsia" w:ascii="仿宋" w:eastAsia="仿宋"/>
          <w:color w:val="auto"/>
          <w:szCs w:val="24"/>
          <w:highlight w:val="none"/>
        </w:rPr>
        <w:t>的磋商，为此，我方就本次磋商有关事项郑重声明如下：</w:t>
      </w:r>
    </w:p>
    <w:p>
      <w:pPr>
        <w:pStyle w:val="37"/>
        <w:spacing w:after="5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1.我方已详细审查全部磋商文件，同意磋商文件的各项要求。</w:t>
      </w:r>
    </w:p>
    <w:p>
      <w:pPr>
        <w:pStyle w:val="7"/>
        <w:tabs>
          <w:tab w:val="clear" w:pos="780"/>
        </w:tabs>
        <w:spacing w:after="50" w:line="440" w:lineRule="exact"/>
        <w:ind w:left="0"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2.若我方成交，承诺按磋商文件、磋商响应文件和合同的规定履行责任和义务。</w:t>
      </w:r>
    </w:p>
    <w:p>
      <w:pPr>
        <w:pStyle w:val="37"/>
        <w:spacing w:after="5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pPr>
        <w:pStyle w:val="37"/>
        <w:spacing w:after="50" w:line="440" w:lineRule="exact"/>
        <w:rPr>
          <w:rFonts w:hint="eastAsia" w:ascii="仿宋" w:eastAsia="仿宋"/>
          <w:color w:val="auto"/>
          <w:szCs w:val="24"/>
          <w:highlight w:val="none"/>
        </w:rPr>
      </w:pPr>
      <w:r>
        <w:rPr>
          <w:rFonts w:hint="eastAsia" w:ascii="仿宋" w:eastAsia="仿宋"/>
          <w:color w:val="auto"/>
          <w:highlight w:val="none"/>
        </w:rPr>
        <w:t>4.我方磋商响应文件中填列的技术参数、配置、服务、数量等相关内容都是真实、准确的。保证在本次项目中所提供的资料全部真实和合法。同意向采购代理机构提供可能另外要求的与磋商有关且合法的任何数据或资料。</w:t>
      </w:r>
    </w:p>
    <w:p>
      <w:pPr>
        <w:pStyle w:val="37"/>
        <w:spacing w:after="5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5.我方保证所供货物质量符合国家强制性规范和标准，达到磋商文件规定的要求；</w:t>
      </w:r>
    </w:p>
    <w:p>
      <w:pPr>
        <w:pStyle w:val="37"/>
        <w:spacing w:after="50" w:line="440" w:lineRule="exact"/>
        <w:rPr>
          <w:rFonts w:hint="eastAsia" w:ascii="仿宋" w:eastAsia="仿宋"/>
          <w:color w:val="auto"/>
          <w:szCs w:val="24"/>
          <w:highlight w:val="none"/>
        </w:rPr>
      </w:pPr>
      <w:r>
        <w:rPr>
          <w:rFonts w:hint="eastAsia" w:ascii="仿宋" w:eastAsia="仿宋"/>
          <w:color w:val="auto"/>
          <w:szCs w:val="24"/>
          <w:highlight w:val="none"/>
        </w:rPr>
        <w:t>6.我方承诺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7"/>
        <w:spacing w:after="5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7"/>
        <w:spacing w:after="50" w:line="440" w:lineRule="exact"/>
        <w:rPr>
          <w:rFonts w:hint="eastAsia" w:ascii="仿宋" w:eastAsia="仿宋"/>
          <w:color w:val="auto"/>
          <w:szCs w:val="24"/>
          <w:highlight w:val="none"/>
        </w:rPr>
      </w:pPr>
    </w:p>
    <w:p>
      <w:pPr>
        <w:pStyle w:val="37"/>
        <w:spacing w:after="5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7"/>
        <w:spacing w:after="50" w:line="440" w:lineRule="exact"/>
        <w:rPr>
          <w:rFonts w:hint="eastAsia" w:ascii="仿宋" w:eastAsia="仿宋"/>
          <w:color w:val="auto"/>
          <w:szCs w:val="24"/>
          <w:highlight w:val="none"/>
        </w:rPr>
      </w:pPr>
    </w:p>
    <w:p>
      <w:pPr>
        <w:pStyle w:val="37"/>
        <w:spacing w:after="50" w:line="440" w:lineRule="exact"/>
        <w:rPr>
          <w:rFonts w:hint="eastAsia" w:ascii="仿宋" w:eastAsia="仿宋"/>
          <w:color w:val="auto"/>
          <w:szCs w:val="24"/>
          <w:highlight w:val="none"/>
        </w:rPr>
      </w:pPr>
      <w:r>
        <w:rPr>
          <w:rFonts w:hint="eastAsia" w:ascii="仿宋" w:eastAsia="仿宋"/>
          <w:color w:val="auto"/>
          <w:szCs w:val="24"/>
          <w:highlight w:val="none"/>
        </w:rPr>
        <w:t xml:space="preserve">磋商供应商(盖章)：　　　　　　　　　　　　　　　　　　日期：     </w:t>
      </w:r>
    </w:p>
    <w:p>
      <w:pPr>
        <w:pStyle w:val="37"/>
        <w:spacing w:after="50" w:line="440" w:lineRule="exact"/>
        <w:rPr>
          <w:rFonts w:ascii="仿宋" w:eastAsia="仿宋"/>
          <w:color w:val="auto"/>
          <w:szCs w:val="24"/>
          <w:highlight w:val="none"/>
        </w:rPr>
      </w:pPr>
    </w:p>
    <w:p>
      <w:pPr>
        <w:pStyle w:val="37"/>
        <w:spacing w:after="50" w:line="440" w:lineRule="exact"/>
        <w:rPr>
          <w:rFonts w:hint="eastAsia" w:ascii="仿宋" w:eastAsia="仿宋"/>
          <w:color w:val="auto"/>
          <w:szCs w:val="24"/>
          <w:highlight w:val="none"/>
        </w:rPr>
      </w:pPr>
    </w:p>
    <w:p>
      <w:pPr>
        <w:pStyle w:val="37"/>
        <w:spacing w:after="5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9"/>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的采购活动联合进行磋商之事宜，达成如下协议：</w:t>
      </w:r>
    </w:p>
    <w:p>
      <w:pPr>
        <w:pStyle w:val="9"/>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9"/>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为联合体牵头人，负责包括但不仅限于磋商、配合处理质疑投诉等一切和采购活动相关的事宜。</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三、联合体各方对磋商响应文件及磋商过程中的各种书面承诺、澄清等均予以认可，对联合体各方均产生约束力。</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四、如果成交，联合体各方共同与采购人签订采购合同，共同履行对采购人所负有的全部义务并就采购合同约定的事项对采购人承担连带责任。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五、联合体各方不再单独参加或与其他供应商另外组成联合体参加同一标项（项目）的政府采购活动，否则均被视为无效磋商。</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六、如果成交，联合体各方在项目实施过程中承担的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9"/>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八、本协议签约各方各持一份，并作为磋商响应文件的一部分。</w:t>
      </w:r>
    </w:p>
    <w:p>
      <w:pPr>
        <w:pStyle w:val="9"/>
        <w:overflowPunct w:val="0"/>
        <w:spacing w:line="460" w:lineRule="exact"/>
        <w:ind w:firstLine="513" w:firstLineChars="214"/>
        <w:rPr>
          <w:rFonts w:hint="eastAsia" w:ascii="仿宋" w:eastAsia="仿宋"/>
          <w:color w:val="auto"/>
          <w:sz w:val="24"/>
          <w:szCs w:val="24"/>
          <w:highlight w:val="none"/>
        </w:rPr>
      </w:pPr>
    </w:p>
    <w:p>
      <w:pPr>
        <w:pStyle w:val="9"/>
        <w:overflowPunct w:val="0"/>
        <w:spacing w:line="460" w:lineRule="exact"/>
        <w:ind w:firstLine="513" w:firstLineChars="214"/>
        <w:rPr>
          <w:rFonts w:hint="eastAsia" w:ascii="仿宋" w:eastAsia="仿宋"/>
          <w:color w:val="auto"/>
          <w:sz w:val="24"/>
          <w:szCs w:val="24"/>
          <w:highlight w:val="none"/>
        </w:rPr>
      </w:pPr>
    </w:p>
    <w:tbl>
      <w:tblPr>
        <w:tblStyle w:val="31"/>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7"/>
        <w:snapToGrid w:val="0"/>
        <w:spacing w:after="5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pPr>
        <w:pStyle w:val="9"/>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pPr>
        <w:pStyle w:val="9"/>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pPr>
        <w:pStyle w:val="9"/>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pPr>
        <w:pStyle w:val="9"/>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pPr>
        <w:pStyle w:val="9"/>
        <w:overflowPunct w:val="0"/>
        <w:spacing w:line="460" w:lineRule="exact"/>
        <w:ind w:firstLine="513" w:firstLineChars="214"/>
        <w:rPr>
          <w:rFonts w:hint="eastAsia" w:ascii="仿宋" w:hAnsi="Calibri" w:eastAsia="仿宋"/>
          <w:color w:val="auto"/>
          <w:sz w:val="24"/>
          <w:szCs w:val="24"/>
          <w:highlight w:val="none"/>
          <w:lang w:val="zh-CN"/>
        </w:rPr>
      </w:pP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pPr>
        <w:pStyle w:val="9"/>
        <w:overflowPunct w:val="0"/>
        <w:spacing w:line="460" w:lineRule="exact"/>
        <w:ind w:firstLine="513" w:firstLineChars="214"/>
        <w:rPr>
          <w:rFonts w:hint="eastAsia" w:ascii="仿宋" w:hAnsi="Calibri" w:eastAsia="仿宋"/>
          <w:color w:val="auto"/>
          <w:sz w:val="24"/>
          <w:szCs w:val="24"/>
          <w:highlight w:val="none"/>
          <w:lang w:val="zh-CN"/>
        </w:rPr>
      </w:pPr>
    </w:p>
    <w:p>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pPr>
        <w:pStyle w:val="9"/>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pPr>
        <w:pStyle w:val="37"/>
        <w:spacing w:after="5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hint="eastAsia" w:ascii="仿宋" w:eastAsia="仿宋"/>
          <w:bCs/>
          <w:color w:val="auto"/>
          <w:sz w:val="24"/>
          <w:szCs w:val="24"/>
          <w:highlight w:val="none"/>
          <w:u w:val="single"/>
        </w:rPr>
        <w:t>（填写采购人或采购代理机构名称）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（磋商供应商或联合体牵头人全称）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的磋商活动，并代表我方全权办理针对上述项目的磋商、评审、签约等具体事务和签署相关文件。我方对授权代表的签名事项负全部认可并承担责任。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供应商全称（盖公章）：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1、请仔细核对身份证号码，若填写错误，作无效磋商处理。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2、联合体磋商的，需提供联合体牵头人的法定代表人授权委托书，否则作无效磋商处理。</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7"/>
        <w:spacing w:after="5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pPr>
        <w:pStyle w:val="37"/>
        <w:spacing w:after="50" w:line="440" w:lineRule="exact"/>
        <w:ind w:left="0" w:firstLine="0" w:firstLineChars="0"/>
        <w:rPr>
          <w:rFonts w:hint="eastAsia" w:ascii="仿宋" w:eastAsia="仿宋"/>
          <w:b/>
          <w:bCs/>
          <w:color w:val="auto"/>
          <w:sz w:val="28"/>
          <w:szCs w:val="28"/>
          <w:highlight w:val="none"/>
        </w:rPr>
      </w:pPr>
    </w:p>
    <w:p>
      <w:pPr>
        <w:pStyle w:val="37"/>
        <w:spacing w:after="50" w:line="440" w:lineRule="exact"/>
        <w:ind w:left="0" w:firstLine="0" w:firstLineChars="0"/>
        <w:rPr>
          <w:rFonts w:hint="eastAsia" w:ascii="仿宋" w:eastAsia="仿宋"/>
          <w:b/>
          <w:bCs/>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7"/>
        <w:numPr>
          <w:ilvl w:val="0"/>
          <w:numId w:val="7"/>
        </w:numPr>
        <w:spacing w:after="5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提供身份证原件正反两面的彩色图片，内容清晰可辨，加盖单位CA签章，否则视为无效磋商。</w:t>
      </w:r>
    </w:p>
    <w:p>
      <w:pPr>
        <w:pStyle w:val="37"/>
        <w:numPr>
          <w:ilvl w:val="0"/>
          <w:numId w:val="7"/>
        </w:numPr>
        <w:spacing w:after="5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联合体磋商的，提供联合体牵头人的法定代表人及其授权代表身份证。</w:t>
      </w:r>
    </w:p>
    <w:p>
      <w:pPr>
        <w:pStyle w:val="37"/>
        <w:numPr>
          <w:ilvl w:val="0"/>
          <w:numId w:val="7"/>
        </w:numPr>
        <w:spacing w:after="5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个体工商户参与磋商的提供经营者本人的身份证。</w:t>
      </w: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pStyle w:val="37"/>
        <w:spacing w:after="50" w:line="440" w:lineRule="exact"/>
        <w:ind w:left="0" w:firstLine="0" w:firstLineChars="0"/>
        <w:rPr>
          <w:rFonts w:hint="eastAsia" w:ascii="仿宋" w:eastAsia="仿宋"/>
          <w:color w:val="auto"/>
          <w:sz w:val="28"/>
          <w:szCs w:val="28"/>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54"/>
        <w:spacing w:line="360" w:lineRule="auto"/>
        <w:ind w:firstLine="0" w:firstLineChars="0"/>
        <w:jc w:val="left"/>
        <w:rPr>
          <w:rFonts w:hint="eastAsia" w:ascii="仿宋" w:eastAsia="仿宋" w:cs="仿宋_GB2312"/>
          <w:color w:val="auto"/>
          <w:highlight w:val="none"/>
        </w:rPr>
      </w:pPr>
      <w:bookmarkStart w:id="63"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3"/>
    </w:p>
    <w:p>
      <w:pPr>
        <w:pStyle w:val="54"/>
        <w:spacing w:line="360" w:lineRule="auto"/>
        <w:ind w:firstLine="0" w:firstLineChars="0"/>
        <w:jc w:val="left"/>
        <w:rPr>
          <w:rFonts w:hint="eastAsia" w:ascii="仿宋" w:eastAsia="仿宋" w:cs="仿宋_GB2312"/>
          <w:color w:val="auto"/>
          <w:highlight w:val="none"/>
        </w:rPr>
      </w:pPr>
      <w:bookmarkStart w:id="64" w:name="_Toc64369790"/>
      <w:r>
        <w:rPr>
          <w:rFonts w:hint="eastAsia" w:ascii="仿宋" w:eastAsia="仿宋" w:cs="仿宋_GB2312"/>
          <w:color w:val="auto"/>
          <w:highlight w:val="none"/>
        </w:rPr>
        <w:t>2.技术响应表……………………………………………………………………（页码）</w:t>
      </w:r>
      <w:bookmarkEnd w:id="64"/>
    </w:p>
    <w:p>
      <w:pPr>
        <w:pStyle w:val="54"/>
        <w:spacing w:line="360" w:lineRule="auto"/>
        <w:ind w:firstLine="0" w:firstLineChars="0"/>
        <w:jc w:val="left"/>
        <w:rPr>
          <w:rFonts w:hint="eastAsia" w:ascii="仿宋" w:eastAsia="仿宋" w:cs="仿宋_GB2312"/>
          <w:color w:val="auto"/>
          <w:highlight w:val="none"/>
        </w:rPr>
      </w:pPr>
      <w:bookmarkStart w:id="65" w:name="_Toc64369791"/>
      <w:r>
        <w:rPr>
          <w:rFonts w:hint="eastAsia" w:ascii="仿宋" w:eastAsia="仿宋" w:cs="仿宋_GB2312"/>
          <w:color w:val="auto"/>
          <w:highlight w:val="none"/>
        </w:rPr>
        <w:t>3.商务响应表……………………………………………………………………（页码）</w:t>
      </w:r>
      <w:bookmarkEnd w:id="65"/>
    </w:p>
    <w:p>
      <w:pPr>
        <w:pStyle w:val="54"/>
        <w:spacing w:line="360" w:lineRule="auto"/>
        <w:ind w:firstLine="0" w:firstLineChars="0"/>
        <w:jc w:val="left"/>
        <w:rPr>
          <w:rFonts w:hint="eastAsia" w:ascii="仿宋" w:eastAsia="仿宋" w:cs="仿宋_GB2312"/>
          <w:color w:val="auto"/>
          <w:highlight w:val="none"/>
        </w:rPr>
      </w:pPr>
      <w:bookmarkStart w:id="66"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6"/>
    </w:p>
    <w:p>
      <w:pPr>
        <w:pStyle w:val="54"/>
        <w:spacing w:line="360" w:lineRule="auto"/>
        <w:ind w:firstLine="0" w:firstLineChars="0"/>
        <w:jc w:val="left"/>
        <w:rPr>
          <w:rFonts w:hint="eastAsia" w:ascii="仿宋" w:eastAsia="仿宋" w:cs="仿宋_GB2312"/>
          <w:color w:val="auto"/>
          <w:highlight w:val="none"/>
        </w:rPr>
      </w:pPr>
      <w:bookmarkStart w:id="67"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7"/>
    </w:p>
    <w:p>
      <w:pPr>
        <w:pStyle w:val="54"/>
        <w:spacing w:line="360" w:lineRule="auto"/>
        <w:ind w:firstLine="0" w:firstLineChars="0"/>
        <w:jc w:val="left"/>
        <w:rPr>
          <w:rFonts w:hint="eastAsia" w:ascii="仿宋" w:eastAsia="仿宋" w:cs="仿宋_GB2312"/>
          <w:color w:val="auto"/>
          <w:highlight w:val="none"/>
        </w:rPr>
      </w:pPr>
      <w:bookmarkStart w:id="68" w:name="_Toc64369794"/>
      <w:r>
        <w:rPr>
          <w:rFonts w:hint="eastAsia" w:ascii="仿宋" w:eastAsia="仿宋" w:cs="仿宋_GB2312"/>
          <w:color w:val="auto"/>
          <w:highlight w:val="none"/>
          <w:lang w:val="zh-CN"/>
        </w:rPr>
        <w:t>6.</w:t>
      </w:r>
      <w:bookmarkEnd w:id="68"/>
      <w:bookmarkStart w:id="69" w:name="_Toc64369796"/>
      <w:r>
        <w:rPr>
          <w:rFonts w:hint="eastAsia" w:ascii="仿宋" w:eastAsia="仿宋" w:cs="仿宋_GB2312"/>
          <w:color w:val="auto"/>
          <w:highlight w:val="none"/>
        </w:rPr>
        <w:t>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9"/>
    </w:p>
    <w:p>
      <w:pPr>
        <w:pStyle w:val="54"/>
        <w:spacing w:line="360" w:lineRule="auto"/>
        <w:ind w:firstLine="0" w:firstLineChars="0"/>
        <w:jc w:val="left"/>
        <w:rPr>
          <w:rFonts w:hint="eastAsia" w:ascii="仿宋" w:eastAsia="仿宋" w:cs="仿宋_GB2312"/>
          <w:color w:val="auto"/>
          <w:highlight w:val="none"/>
        </w:rPr>
      </w:pPr>
      <w:bookmarkStart w:id="70" w:name="_Toc64369797"/>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0"/>
    </w:p>
    <w:p>
      <w:pPr>
        <w:pStyle w:val="54"/>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54"/>
        <w:spacing w:line="360" w:lineRule="auto"/>
        <w:ind w:firstLine="0" w:firstLineChars="0"/>
        <w:jc w:val="left"/>
        <w:rPr>
          <w:rFonts w:hint="eastAsia" w:ascii="仿宋" w:eastAsia="仿宋" w:cs="仿宋_GB2312"/>
          <w:color w:val="auto"/>
          <w:highlight w:val="none"/>
        </w:rPr>
      </w:pPr>
      <w:bookmarkStart w:id="71"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71"/>
    </w:p>
    <w:p>
      <w:pPr>
        <w:pStyle w:val="55"/>
        <w:numPr>
          <w:ilvl w:val="0"/>
          <w:numId w:val="0"/>
        </w:numPr>
        <w:spacing w:line="240" w:lineRule="auto"/>
        <w:ind w:left="0" w:firstLine="0"/>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注：以上文件供应商可以在本磋商文件提供的格式范本基础上适当微调，使得内容更加完备。制作加密电子磋商响应文件时做好关联点设置。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7"/>
        <w:spacing w:after="5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11"/>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供应商全称（公章）：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31"/>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pStyle w:val="11"/>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31"/>
        <w:tblW w:w="88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40"/>
        <w:gridCol w:w="818"/>
        <w:gridCol w:w="1249"/>
        <w:gridCol w:w="1384"/>
        <w:gridCol w:w="2172"/>
        <w:gridCol w:w="1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38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17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5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z w:val="32"/>
          <w:szCs w:val="32"/>
          <w:highlight w:val="none"/>
        </w:rPr>
      </w:pPr>
    </w:p>
    <w:p>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1"/>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2" w:name="_Toc64369800"/>
            <w:r>
              <w:rPr>
                <w:rFonts w:hint="eastAsia" w:ascii="仿宋" w:eastAsia="仿宋"/>
                <w:color w:val="auto"/>
                <w:spacing w:val="20"/>
                <w:sz w:val="24"/>
                <w:szCs w:val="24"/>
                <w:highlight w:val="none"/>
              </w:rPr>
              <w:t>序号</w:t>
            </w:r>
            <w:bookmarkEnd w:id="72"/>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3" w:name="_Toc64369801"/>
            <w:bookmarkStart w:id="74" w:name="_Toc64369802"/>
            <w:r>
              <w:rPr>
                <w:rFonts w:hint="eastAsia" w:ascii="仿宋" w:eastAsia="仿宋"/>
                <w:color w:val="auto"/>
                <w:spacing w:val="20"/>
                <w:sz w:val="24"/>
                <w:szCs w:val="24"/>
                <w:highlight w:val="none"/>
              </w:rPr>
              <w:t>磋商文件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3"/>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磋商响应文件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4"/>
            <w:r>
              <w:rPr>
                <w:rFonts w:hint="eastAsia" w:ascii="仿宋" w:eastAsia="仿宋"/>
                <w:color w:val="auto"/>
                <w:spacing w:val="20"/>
                <w:sz w:val="24"/>
                <w:szCs w:val="24"/>
                <w:highlight w:val="none"/>
              </w:rPr>
              <w:t>情况</w:t>
            </w:r>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bookmarkStart w:id="75" w:name="_Toc64369803"/>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bookmarkStart w:id="7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76"/>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磋商文件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磋商响应文件</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响应情况</w:t>
            </w: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偏离</w:t>
            </w:r>
          </w:p>
          <w:p>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color w:val="auto"/>
                <w:spacing w:val="20"/>
                <w:sz w:val="24"/>
                <w:szCs w:val="24"/>
                <w:highlight w:val="none"/>
              </w:rPr>
            </w:pPr>
          </w:p>
        </w:tc>
      </w:tr>
    </w:tbl>
    <w:p>
      <w:pPr>
        <w:pStyle w:val="13"/>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注：1、供应商应对照磋商文件要求和磋商响应文件响应情况在“偏离情况”栏注明“正偏离”、“负偏离”或“无偏离”。若正偏离的，需详细说明或提供证明材料。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2、“磋商文件要求”一列按采购需求中的“服务清单及要求”填写。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156" w:beforeLines="50"/>
        <w:rPr>
          <w:rFonts w:hint="eastAsia" w:ascii="仿宋" w:eastAsia="仿宋"/>
          <w:color w:val="auto"/>
          <w:sz w:val="24"/>
          <w:szCs w:val="24"/>
          <w:highlight w:val="none"/>
        </w:rPr>
      </w:pPr>
    </w:p>
    <w:p>
      <w:pPr>
        <w:snapToGrid w:val="0"/>
        <w:spacing w:before="156" w:beforeLines="50"/>
        <w:rPr>
          <w:rFonts w:hint="eastAsia" w:ascii="仿宋" w:eastAsia="仿宋"/>
          <w:color w:val="auto"/>
          <w:sz w:val="24"/>
          <w:szCs w:val="24"/>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1"/>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bookmarkStart w:id="77" w:name="_Toc64369824"/>
            <w:bookmarkEnd w:id="77"/>
            <w:bookmarkStart w:id="78" w:name="_Toc64369815"/>
            <w:r>
              <w:rPr>
                <w:rFonts w:hint="eastAsia" w:ascii="仿宋" w:eastAsia="仿宋" w:cs="仿宋_GB2312"/>
                <w:color w:val="auto"/>
                <w:spacing w:val="20"/>
                <w:sz w:val="28"/>
                <w:szCs w:val="28"/>
                <w:highlight w:val="none"/>
              </w:rPr>
              <w:t>类别</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79" w:name="_Toc64369816"/>
            <w:r>
              <w:rPr>
                <w:rFonts w:hint="eastAsia" w:ascii="仿宋" w:eastAsia="仿宋" w:cs="仿宋_GB2312"/>
                <w:color w:val="auto"/>
                <w:sz w:val="30"/>
                <w:szCs w:val="30"/>
                <w:highlight w:val="none"/>
              </w:rPr>
              <w:t>磋商文件要求</w:t>
            </w:r>
            <w:bookmarkEnd w:id="79"/>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80" w:name="_Toc64369817"/>
            <w:r>
              <w:rPr>
                <w:rFonts w:hint="eastAsia" w:ascii="仿宋" w:eastAsia="仿宋" w:cs="仿宋_GB2312"/>
                <w:color w:val="auto"/>
                <w:sz w:val="30"/>
                <w:szCs w:val="30"/>
                <w:highlight w:val="none"/>
              </w:rPr>
              <w:t>磋商响应文件响应</w:t>
            </w:r>
            <w:bookmarkEnd w:id="80"/>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bookmarkStart w:id="81" w:name="_Toc64369818"/>
            <w:r>
              <w:rPr>
                <w:rFonts w:hint="eastAsia" w:ascii="仿宋" w:eastAsia="仿宋" w:cs="仿宋_GB2312"/>
                <w:color w:val="auto"/>
                <w:sz w:val="30"/>
                <w:szCs w:val="30"/>
                <w:highlight w:val="none"/>
              </w:rPr>
              <w:t>偏离情况</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bookmarkStart w:id="82" w:name="_Toc64369823"/>
            <w:bookmarkStart w:id="83" w:name="_Toc64369819"/>
            <w:r>
              <w:rPr>
                <w:rFonts w:hint="eastAsia" w:ascii="仿宋" w:eastAsia="仿宋"/>
                <w:color w:val="auto"/>
                <w:spacing w:val="20"/>
                <w:sz w:val="28"/>
                <w:szCs w:val="28"/>
                <w:highlight w:val="none"/>
              </w:rPr>
              <w:t>付款方式</w:t>
            </w:r>
            <w:bookmarkEnd w:id="82"/>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20"/>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line="240" w:lineRule="auto"/>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20"/>
              <w:snapToGrid w:val="0"/>
              <w:spacing w:before="120" w:after="120"/>
              <w:outlineLvl w:val="0"/>
              <w:rPr>
                <w:rFonts w:hint="eastAsia" w:ascii="仿宋" w:eastAsia="仿宋"/>
                <w:color w:val="auto"/>
                <w:sz w:val="28"/>
                <w:szCs w:val="28"/>
                <w:highlight w:val="none"/>
              </w:rPr>
            </w:pPr>
          </w:p>
        </w:tc>
      </w:tr>
    </w:tbl>
    <w:p>
      <w:pPr>
        <w:pStyle w:val="13"/>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注：1、供应商应对照磋商文件要求和磋商响应文件的响应情况在“偏离情况”栏注明“正偏离”、“负偏离”或“无偏离”。若正偏离的，需详细说明或提供证明材料。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2、“类别”一栏按磋商文件第三章中“商务要求”的分类填写。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供应商全称（公章）：</w:t>
      </w:r>
      <w:r>
        <w:rPr>
          <w:rFonts w:hint="eastAsia" w:ascii="仿宋" w:eastAsia="仿宋"/>
          <w:color w:val="auto"/>
          <w:sz w:val="28"/>
          <w:szCs w:val="28"/>
          <w:highlight w:val="none"/>
          <w:u w:val="single"/>
        </w:rPr>
        <w:t xml:space="preserve">                           </w:t>
      </w:r>
    </w:p>
    <w:p>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31"/>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22"/>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注：在填写时，如本表格不适合供应商的实际情况，可根据本表格式自行划表填写。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156" w:afterLines="50" w:line="460" w:lineRule="exact"/>
        <w:jc w:val="left"/>
        <w:rPr>
          <w:rFonts w:hint="eastAsia" w:ascii="仿宋" w:eastAsia="仿宋"/>
          <w:color w:val="auto"/>
          <w:sz w:val="28"/>
          <w:szCs w:val="28"/>
          <w:highlight w:val="none"/>
        </w:rPr>
      </w:pPr>
    </w:p>
    <w:p>
      <w:pPr>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1"/>
        <w:snapToGrid w:val="0"/>
        <w:rPr>
          <w:rFonts w:hint="eastAsia" w:ascii="仿宋" w:eastAsia="仿宋"/>
          <w:color w:val="auto"/>
          <w:sz w:val="24"/>
          <w:szCs w:val="24"/>
          <w:highlight w:val="none"/>
        </w:rPr>
      </w:pPr>
      <w:r>
        <w:rPr>
          <w:rFonts w:hint="eastAsia" w:ascii="仿宋" w:eastAsia="仿宋"/>
          <w:color w:val="auto"/>
          <w:sz w:val="24"/>
          <w:szCs w:val="24"/>
          <w:highlight w:val="none"/>
        </w:rPr>
        <w:t>供应商全称（公章）：</w:t>
      </w:r>
      <w:r>
        <w:rPr>
          <w:rFonts w:hint="eastAsia" w:ascii="仿宋" w:eastAsia="仿宋"/>
          <w:color w:val="auto"/>
          <w:sz w:val="24"/>
          <w:szCs w:val="24"/>
          <w:highlight w:val="none"/>
          <w:u w:val="single"/>
        </w:rPr>
        <w:t xml:space="preserve">                           </w:t>
      </w:r>
    </w:p>
    <w:p>
      <w:pPr>
        <w:pStyle w:val="11"/>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31"/>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pPr>
        <w:snapToGrid w:val="0"/>
        <w:spacing w:line="440" w:lineRule="exact"/>
        <w:ind w:left="0"/>
        <w:jc w:val="left"/>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pPr>
        <w:numPr>
          <w:ilvl w:val="0"/>
          <w:numId w:val="8"/>
        </w:numPr>
        <w:snapToGrid w:val="0"/>
        <w:spacing w:line="440" w:lineRule="exact"/>
        <w:jc w:val="left"/>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pPr>
        <w:numPr>
          <w:ilvl w:val="0"/>
          <w:numId w:val="8"/>
        </w:num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rPr>
          <w:rFonts w:hint="eastAsia" w:ascii="仿宋" w:eastAsia="仿宋"/>
          <w:color w:val="auto"/>
          <w:kern w:val="2"/>
          <w:sz w:val="24"/>
          <w:szCs w:val="20"/>
          <w:highlight w:val="none"/>
          <w:u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hint="eastAsia" w:ascii="仿宋" w:eastAsia="仿宋"/>
          <w:color w:val="auto"/>
          <w:kern w:val="2"/>
          <w:sz w:val="24"/>
          <w:szCs w:val="20"/>
          <w:highlight w:val="none"/>
          <w:u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20"/>
        <w:spacing w:line="360" w:lineRule="auto"/>
        <w:rPr>
          <w:rFonts w:hint="eastAsia" w:ascii="仿宋" w:eastAsia="仿宋"/>
          <w:b/>
          <w:bCs/>
          <w:color w:val="auto"/>
          <w:sz w:val="24"/>
          <w:szCs w:val="24"/>
          <w:highlight w:val="none"/>
        </w:rPr>
      </w:pPr>
      <w:r>
        <w:rPr>
          <w:rFonts w:ascii="仿宋" w:eastAsia="仿宋"/>
          <w:b/>
          <w:bCs/>
          <w:color w:val="auto"/>
          <w:sz w:val="24"/>
          <w:szCs w:val="24"/>
          <w:highlight w:val="none"/>
        </w:rPr>
        <w:t>供应商</w:t>
      </w:r>
      <w:r>
        <w:rPr>
          <w:rFonts w:hint="eastAsia" w:ascii="仿宋" w:eastAsia="仿宋"/>
          <w:b/>
          <w:bCs/>
          <w:color w:val="auto"/>
          <w:sz w:val="24"/>
          <w:szCs w:val="24"/>
          <w:highlight w:val="none"/>
        </w:rPr>
        <w:t>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31"/>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57"/>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7"/>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w:t>
      </w:r>
      <w:r>
        <w:rPr>
          <w:rFonts w:ascii="仿宋" w:eastAsia="仿宋"/>
          <w:color w:val="auto"/>
          <w:sz w:val="24"/>
          <w:szCs w:val="24"/>
          <w:highlight w:val="none"/>
        </w:rPr>
        <w:t>磋商</w:t>
      </w:r>
      <w:r>
        <w:rPr>
          <w:rFonts w:hint="eastAsia" w:ascii="仿宋" w:eastAsia="仿宋"/>
          <w:color w:val="auto"/>
          <w:sz w:val="24"/>
          <w:szCs w:val="24"/>
          <w:highlight w:val="none"/>
        </w:rPr>
        <w:t>一览表》、《项目明细清单》中的相应产品一致。</w:t>
      </w:r>
    </w:p>
    <w:p>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w:t>
      </w:r>
      <w:r>
        <w:rPr>
          <w:rFonts w:ascii="仿宋" w:eastAsia="仿宋"/>
          <w:color w:val="auto"/>
          <w:sz w:val="24"/>
          <w:szCs w:val="24"/>
          <w:highlight w:val="none"/>
        </w:rPr>
        <w:t>供应商</w:t>
      </w:r>
      <w:r>
        <w:rPr>
          <w:rFonts w:hint="eastAsia" w:ascii="仿宋" w:eastAsia="仿宋"/>
          <w:color w:val="auto"/>
          <w:sz w:val="24"/>
          <w:szCs w:val="24"/>
          <w:highlight w:val="none"/>
        </w:rPr>
        <w:t>须知”第</w:t>
      </w:r>
      <w:r>
        <w:rPr>
          <w:rFonts w:ascii="仿宋" w:eastAsia="仿宋"/>
          <w:color w:val="auto"/>
          <w:sz w:val="24"/>
          <w:szCs w:val="24"/>
          <w:highlight w:val="none"/>
        </w:rPr>
        <w:t>二</w:t>
      </w:r>
      <w:r>
        <w:rPr>
          <w:rFonts w:hint="eastAsia" w:ascii="仿宋" w:eastAsia="仿宋"/>
          <w:color w:val="auto"/>
          <w:sz w:val="24"/>
          <w:szCs w:val="24"/>
          <w:highlight w:val="none"/>
        </w:rPr>
        <w:t>部分“</w:t>
      </w:r>
      <w:r>
        <w:rPr>
          <w:rFonts w:ascii="仿宋" w:eastAsia="仿宋"/>
          <w:color w:val="auto"/>
          <w:sz w:val="24"/>
          <w:szCs w:val="24"/>
          <w:highlight w:val="none"/>
        </w:rPr>
        <w:t>磋商</w:t>
      </w:r>
      <w:r>
        <w:rPr>
          <w:rFonts w:hint="eastAsia" w:ascii="仿宋" w:eastAsia="仿宋"/>
          <w:color w:val="auto"/>
          <w:sz w:val="24"/>
          <w:szCs w:val="24"/>
          <w:highlight w:val="none"/>
        </w:rPr>
        <w:t>文件”，否则不予认可。</w:t>
      </w:r>
    </w:p>
    <w:p>
      <w:pPr>
        <w:pStyle w:val="20"/>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特别提示：供应商务必仔细阅读采购文件“政府采购政策性规定”中关于无效磋商的内容。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rPr>
          <w:rFonts w:ascii="仿宋" w:eastAsia="仿宋"/>
          <w:color w:val="auto"/>
          <w:spacing w:val="20"/>
          <w:sz w:val="24"/>
          <w:szCs w:val="24"/>
          <w:highlight w:val="none"/>
          <w:u w:val="singl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供应商名称（盖章）：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kern w:val="2"/>
          <w:sz w:val="24"/>
          <w:szCs w:val="20"/>
          <w:highlight w:val="none"/>
          <w:u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：报价文件目录</w:t>
      </w:r>
    </w:p>
    <w:p>
      <w:pPr>
        <w:snapToGrid w:val="0"/>
        <w:spacing w:before="156" w:beforeLines="50" w:after="50"/>
        <w:jc w:val="left"/>
        <w:rPr>
          <w:rFonts w:hint="eastAsia" w:ascii="仿宋" w:eastAsia="仿宋"/>
          <w:color w:val="auto"/>
          <w:sz w:val="30"/>
          <w:szCs w:val="30"/>
          <w:highlight w:val="none"/>
        </w:rPr>
      </w:pPr>
    </w:p>
    <w:p>
      <w:pPr>
        <w:pStyle w:val="54"/>
        <w:spacing w:line="360" w:lineRule="auto"/>
        <w:ind w:firstLine="0" w:firstLineChars="0"/>
        <w:jc w:val="center"/>
        <w:rPr>
          <w:rFonts w:hint="eastAsia" w:ascii="仿宋" w:eastAsia="仿宋" w:cs="仿宋_GB2312"/>
          <w:color w:val="auto"/>
          <w:highlight w:val="none"/>
        </w:rPr>
      </w:pPr>
      <w:bookmarkStart w:id="84" w:name="_Toc64369825"/>
      <w:r>
        <w:rPr>
          <w:rFonts w:hint="eastAsia" w:ascii="仿宋" w:eastAsia="仿宋" w:cs="仿宋_GB2312"/>
          <w:color w:val="auto"/>
          <w:highlight w:val="none"/>
        </w:rPr>
        <w:t>目 录</w:t>
      </w:r>
      <w:bookmarkEnd w:id="84"/>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1、磋商一览表 …………………………………………………………………（页码）</w:t>
      </w:r>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中小企业声明函（如有）……………………………………………………（页码）</w:t>
      </w:r>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残疾人福利性单位声明函（如有）…………………………………………（页码）</w:t>
      </w:r>
    </w:p>
    <w:p>
      <w:pPr>
        <w:pStyle w:val="54"/>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（如有）：</w:t>
      </w:r>
    </w:p>
    <w:p>
      <w:pPr>
        <w:snapToGrid w:val="0"/>
        <w:spacing w:before="50" w:after="50" w:line="480" w:lineRule="auto"/>
        <w:jc w:val="center"/>
        <w:rPr>
          <w:rFonts w:ascii="仿宋" w:eastAsia="仿宋"/>
          <w:b/>
          <w:color w:val="auto"/>
          <w:sz w:val="32"/>
          <w:szCs w:val="32"/>
          <w:highlight w:val="none"/>
        </w:rPr>
      </w:pPr>
      <w:bookmarkStart w:id="85" w:name="_Hlk523382353"/>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（采购文件中明确的所属行业）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（采购文件中明确的所属行业）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hint="eastAsia"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line="360" w:lineRule="auto"/>
        <w:ind w:firstLine="480" w:firstLineChars="200"/>
        <w:jc w:val="left"/>
        <w:rPr>
          <w:rFonts w:hint="eastAsia" w:ascii="仿宋" w:eastAsia="仿宋"/>
          <w:color w:val="auto"/>
          <w:sz w:val="24"/>
          <w:szCs w:val="24"/>
          <w:highlight w:val="none"/>
        </w:rPr>
      </w:pPr>
    </w:p>
    <w:p>
      <w:pPr>
        <w:snapToGrid w:val="0"/>
        <w:spacing w:before="50" w:after="50" w:line="360" w:lineRule="auto"/>
        <w:ind w:firstLine="480" w:firstLineChars="200"/>
        <w:jc w:val="left"/>
        <w:rPr>
          <w:rFonts w:hint="eastAsia" w:ascii="仿宋" w:eastAsia="仿宋"/>
          <w:color w:val="auto"/>
          <w:sz w:val="24"/>
          <w:szCs w:val="24"/>
          <w:highlight w:val="none"/>
        </w:rPr>
      </w:pPr>
    </w:p>
    <w:p>
      <w:pPr>
        <w:snapToGrid w:val="0"/>
        <w:spacing w:before="50" w:after="50" w:line="360" w:lineRule="auto"/>
        <w:ind w:firstLine="480" w:firstLineChars="200"/>
        <w:jc w:val="left"/>
        <w:rPr>
          <w:rFonts w:hint="eastAsia" w:ascii="仿宋" w:eastAsia="仿宋"/>
          <w:color w:val="auto"/>
          <w:sz w:val="24"/>
          <w:szCs w:val="24"/>
          <w:highlight w:val="none"/>
        </w:rPr>
      </w:pPr>
    </w:p>
    <w:p>
      <w:p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numPr>
          <w:ilvl w:val="0"/>
          <w:numId w:val="9"/>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9"/>
        </w:numPr>
        <w:snapToGrid w:val="0"/>
        <w:spacing w:before="50" w:after="50" w:line="240" w:lineRule="auto"/>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lang w:eastAsia="zh-CN"/>
        </w:rPr>
        <w:t>“标的名称”、“所属行业”按前附表所列填写，否则不予享受价格扣除。</w:t>
      </w:r>
    </w:p>
    <w:p>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19</w:t>
      </w:r>
      <w:r>
        <w:rPr>
          <w:rFonts w:hint="eastAsia" w:ascii="仿宋" w:eastAsia="仿宋"/>
          <w:b/>
          <w:color w:val="auto"/>
          <w:spacing w:val="6"/>
          <w:sz w:val="30"/>
          <w:szCs w:val="30"/>
          <w:highlight w:val="none"/>
        </w:rPr>
        <w:t>（如有）：</w:t>
      </w:r>
    </w:p>
    <w:bookmarkEnd w:id="85"/>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snapToGrid w:val="0"/>
        <w:spacing w:before="50" w:after="50"/>
        <w:jc w:val="left"/>
        <w:rPr>
          <w:rFonts w:hint="eastAsia" w:ascii="仿宋" w:eastAsia="仿宋"/>
          <w:b/>
          <w:color w:val="auto"/>
          <w:sz w:val="36"/>
          <w:szCs w:val="36"/>
          <w:highlight w:val="none"/>
        </w:rPr>
        <w:sectPr>
          <w:pgSz w:w="11907" w:h="16840"/>
          <w:pgMar w:top="1440" w:right="1463" w:bottom="1440" w:left="1803" w:header="851" w:footer="992" w:gutter="0"/>
          <w:cols w:space="0" w:num="1"/>
          <w:rtlGutter w:val="0"/>
          <w:docGrid w:type="lines" w:linePitch="320"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磋商一览表</w:t>
      </w:r>
    </w:p>
    <w:p>
      <w:pPr>
        <w:spacing w:line="400" w:lineRule="exact"/>
        <w:rPr>
          <w:rFonts w:hint="eastAsia" w:ascii="仿宋" w:eastAsia="仿宋"/>
          <w:color w:val="auto"/>
          <w:sz w:val="24"/>
          <w:highlight w:val="none"/>
        </w:rPr>
      </w:pPr>
      <w:r>
        <w:rPr>
          <w:rFonts w:hint="eastAsia" w:ascii="仿宋" w:eastAsia="仿宋"/>
          <w:color w:val="auto"/>
          <w:sz w:val="24"/>
          <w:highlight w:val="none"/>
        </w:rPr>
        <w:t>供应商名称：</w:t>
      </w:r>
      <w:r>
        <w:rPr>
          <w:rFonts w:hint="eastAsia" w:ascii="仿宋" w:eastAsia="仿宋"/>
          <w:color w:val="auto"/>
          <w:sz w:val="24"/>
          <w:highlight w:val="none"/>
          <w:u w:val="single"/>
        </w:rPr>
        <w:t xml:space="preserve">                                    </w:t>
      </w:r>
      <w:r>
        <w:rPr>
          <w:rFonts w:hint="eastAsia" w:ascii="仿宋" w:eastAsia="仿宋"/>
          <w:color w:val="auto"/>
          <w:sz w:val="24"/>
          <w:highlight w:val="none"/>
        </w:rPr>
        <w:t>供应商地址：</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31"/>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653"/>
        <w:gridCol w:w="10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926" w:type="dxa"/>
            <w:vAlign w:val="center"/>
          </w:tcPr>
          <w:p>
            <w:pPr>
              <w:jc w:val="center"/>
              <w:rPr>
                <w:rFonts w:eastAsia="仿宋"/>
                <w:color w:val="auto"/>
                <w:sz w:val="24"/>
                <w:highlight w:val="none"/>
              </w:rPr>
            </w:pPr>
            <w:r>
              <w:rPr>
                <w:rFonts w:hint="eastAsia" w:eastAsia="仿宋"/>
                <w:color w:val="auto"/>
                <w:sz w:val="24"/>
                <w:highlight w:val="none"/>
              </w:rPr>
              <w:t>标项名称</w:t>
            </w:r>
          </w:p>
        </w:tc>
        <w:tc>
          <w:tcPr>
            <w:tcW w:w="12233" w:type="dxa"/>
            <w:gridSpan w:val="2"/>
            <w:vAlign w:val="center"/>
          </w:tcPr>
          <w:p>
            <w:pPr>
              <w:jc w:val="center"/>
              <w:rPr>
                <w:rFonts w:eastAsia="仿宋"/>
                <w:color w:val="auto"/>
                <w:sz w:val="24"/>
                <w:highlight w:val="none"/>
              </w:rPr>
            </w:pPr>
            <w:r>
              <w:rPr>
                <w:rFonts w:hint="eastAsia" w:eastAsia="仿宋"/>
                <w:color w:val="auto"/>
                <w:sz w:val="24"/>
                <w:highlight w:val="none"/>
              </w:rPr>
              <w:t>投标</w:t>
            </w:r>
            <w:r>
              <w:rPr>
                <w:rFonts w:hint="eastAsia" w:eastAsia="仿宋"/>
                <w:color w:val="auto"/>
                <w:sz w:val="24"/>
                <w:highlight w:val="none"/>
                <w:lang w:eastAsia="zh-CN"/>
              </w:rPr>
              <w:t>折扣率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折扣</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8" w:hRule="atLeast"/>
          <w:jc w:val="center"/>
        </w:trPr>
        <w:tc>
          <w:tcPr>
            <w:tcW w:w="1926" w:type="dxa"/>
            <w:vMerge w:val="restart"/>
            <w:vAlign w:val="center"/>
          </w:tcPr>
          <w:p>
            <w:pPr>
              <w:jc w:val="center"/>
              <w:rPr>
                <w:rFonts w:eastAsia="仿宋"/>
                <w:color w:val="auto"/>
                <w:sz w:val="24"/>
                <w:highlight w:val="none"/>
              </w:rPr>
            </w:pPr>
            <w:r>
              <w:rPr>
                <w:rFonts w:hint="eastAsia" w:eastAsia="仿宋"/>
                <w:color w:val="auto"/>
                <w:sz w:val="24"/>
                <w:highlight w:val="none"/>
              </w:rPr>
              <w:t>标项（一/二</w:t>
            </w:r>
            <w:r>
              <w:rPr>
                <w:rFonts w:hint="eastAsia" w:eastAsia="仿宋"/>
                <w:color w:val="auto"/>
                <w:sz w:val="24"/>
                <w:highlight w:val="none"/>
                <w:lang w:val="en-US" w:eastAsia="zh-CN"/>
              </w:rPr>
              <w:t>/三</w:t>
            </w:r>
            <w:r>
              <w:rPr>
                <w:rFonts w:hint="eastAsia" w:eastAsia="仿宋"/>
                <w:color w:val="auto"/>
                <w:sz w:val="24"/>
                <w:highlight w:val="none"/>
              </w:rPr>
              <w:t>）</w:t>
            </w:r>
          </w:p>
          <w:p>
            <w:pPr>
              <w:jc w:val="center"/>
              <w:rPr>
                <w:rFonts w:eastAsia="仿宋"/>
                <w:color w:val="auto"/>
                <w:sz w:val="24"/>
                <w:highlight w:val="none"/>
              </w:rPr>
            </w:pPr>
          </w:p>
        </w:tc>
        <w:tc>
          <w:tcPr>
            <w:tcW w:w="1653" w:type="dxa"/>
            <w:vAlign w:val="center"/>
          </w:tcPr>
          <w:p>
            <w:pPr>
              <w:jc w:val="center"/>
              <w:rPr>
                <w:rFonts w:eastAsia="仿宋"/>
                <w:color w:val="auto"/>
                <w:sz w:val="24"/>
                <w:highlight w:val="none"/>
              </w:rPr>
            </w:pPr>
            <w:r>
              <w:rPr>
                <w:rFonts w:hint="eastAsia" w:eastAsia="仿宋"/>
                <w:color w:val="auto"/>
                <w:sz w:val="24"/>
                <w:highlight w:val="none"/>
              </w:rPr>
              <w:t>小写：</w:t>
            </w:r>
          </w:p>
        </w:tc>
        <w:tc>
          <w:tcPr>
            <w:tcW w:w="10580" w:type="dxa"/>
            <w:vAlign w:val="center"/>
          </w:tcPr>
          <w:p>
            <w:pPr>
              <w:rPr>
                <w:rFonts w:eastAsia="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926" w:type="dxa"/>
            <w:vMerge w:val="continue"/>
            <w:vAlign w:val="center"/>
          </w:tcPr>
          <w:p>
            <w:pPr>
              <w:jc w:val="center"/>
              <w:rPr>
                <w:rFonts w:eastAsia="仿宋"/>
                <w:color w:val="auto"/>
                <w:sz w:val="24"/>
                <w:highlight w:val="none"/>
              </w:rPr>
            </w:pPr>
          </w:p>
        </w:tc>
        <w:tc>
          <w:tcPr>
            <w:tcW w:w="1653" w:type="dxa"/>
            <w:vAlign w:val="center"/>
          </w:tcPr>
          <w:p>
            <w:pPr>
              <w:jc w:val="center"/>
              <w:rPr>
                <w:rFonts w:eastAsia="仿宋"/>
                <w:color w:val="auto"/>
                <w:sz w:val="24"/>
                <w:highlight w:val="none"/>
              </w:rPr>
            </w:pPr>
            <w:r>
              <w:rPr>
                <w:rFonts w:hint="eastAsia" w:eastAsia="仿宋"/>
                <w:color w:val="auto"/>
                <w:sz w:val="24"/>
                <w:highlight w:val="none"/>
              </w:rPr>
              <w:t>大写：</w:t>
            </w:r>
          </w:p>
        </w:tc>
        <w:tc>
          <w:tcPr>
            <w:tcW w:w="10580" w:type="dxa"/>
            <w:vAlign w:val="center"/>
          </w:tcPr>
          <w:p>
            <w:pPr>
              <w:rPr>
                <w:rFonts w:eastAsia="仿宋"/>
                <w:color w:val="auto"/>
                <w:sz w:val="24"/>
                <w:highlight w:val="none"/>
              </w:rPr>
            </w:pPr>
          </w:p>
        </w:tc>
      </w:tr>
    </w:tbl>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1.报价一经涂改，应在涂改处加盖单位公章或者由法定代表人或其授权代表签字或盖章，否则其磋商作无效磋商处理。</w:t>
      </w:r>
    </w:p>
    <w:p>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3.有关本项目的磋商及项目实施所涉及的一切费用均计入磋商报价。</w:t>
      </w: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特别提示：采购机构将在成交公告中公布成交供应商的《磋商一览表》，接受社会监督。</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rPr>
      </w:pPr>
      <w:bookmarkStart w:id="86" w:name="_Toc64369826"/>
      <w:r>
        <w:rPr>
          <w:rFonts w:hint="eastAsia" w:ascii="仿宋" w:eastAsia="仿宋"/>
          <w:color w:val="auto"/>
          <w:sz w:val="24"/>
          <w:highlight w:val="none"/>
        </w:rPr>
        <w:t xml:space="preserve">法定代表人或其授权代表签字（或盖章）：            </w:t>
      </w:r>
      <w:bookmarkEnd w:id="86"/>
    </w:p>
    <w:p>
      <w:pPr>
        <w:spacing w:line="360" w:lineRule="auto"/>
        <w:jc w:val="left"/>
        <w:outlineLvl w:val="0"/>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bookmarkStart w:id="87" w:name="_Toc64369827"/>
      <w:r>
        <w:rPr>
          <w:rFonts w:hint="eastAsia" w:ascii="仿宋" w:eastAsia="仿宋"/>
          <w:color w:val="auto"/>
          <w:sz w:val="24"/>
          <w:highlight w:val="none"/>
        </w:rPr>
        <w:t>日期：    年   月   日</w:t>
      </w:r>
      <w:bookmarkEnd w:id="87"/>
    </w:p>
    <w:p>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4"/>
        <w:keepNext/>
        <w:keepLines/>
        <w:pageBreakBefore w:val="0"/>
        <w:widowControl w:val="0"/>
        <w:numPr>
          <w:ilvl w:val="0"/>
          <w:numId w:val="0"/>
        </w:numPr>
        <w:suppressLineNumbers w:val="0"/>
        <w:suppressAutoHyphens w:val="0"/>
        <w:spacing w:line="578" w:lineRule="auto"/>
        <w:ind w:left="0" w:firstLine="0"/>
        <w:jc w:val="center"/>
        <w:rPr>
          <w:rFonts w:hint="eastAsia" w:ascii="仿宋" w:eastAsia="仿宋"/>
          <w:color w:val="auto"/>
          <w:highlight w:val="none"/>
        </w:rPr>
      </w:pPr>
      <w:bookmarkStart w:id="88" w:name="_Toc29888"/>
      <w:bookmarkStart w:id="89" w:name="_Toc643610538"/>
      <w:r>
        <w:rPr>
          <w:rFonts w:hint="eastAsia" w:ascii="仿宋" w:eastAsia="仿宋"/>
          <w:color w:val="auto"/>
          <w:highlight w:val="none"/>
        </w:rPr>
        <w:t>第七章  询问、质疑及投诉</w:t>
      </w:r>
      <w:bookmarkEnd w:id="88"/>
      <w:bookmarkEnd w:id="89"/>
    </w:p>
    <w:p>
      <w:pPr>
        <w:pStyle w:val="2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5"/>
        <w:spacing w:line="415" w:lineRule="auto"/>
        <w:jc w:val="center"/>
        <w:rPr>
          <w:rFonts w:hint="eastAsia" w:ascii="仿宋"/>
          <w:color w:val="auto"/>
          <w:highlight w:val="none"/>
        </w:rPr>
      </w:pPr>
      <w:bookmarkStart w:id="90" w:name="_Toc643610539"/>
      <w:bookmarkStart w:id="91" w:name="_Toc29656"/>
      <w:r>
        <w:rPr>
          <w:rFonts w:hint="eastAsia" w:ascii="仿宋"/>
          <w:color w:val="auto"/>
          <w:highlight w:val="none"/>
        </w:rPr>
        <w:t>一、供应商询问</w:t>
      </w:r>
      <w:bookmarkEnd w:id="90"/>
      <w:bookmarkEnd w:id="91"/>
    </w:p>
    <w:p>
      <w:pPr>
        <w:pStyle w:val="20"/>
        <w:spacing w:line="360" w:lineRule="auto"/>
        <w:ind w:left="0"/>
        <w:rPr>
          <w:rFonts w:hint="eastAsia" w:ascii="仿宋" w:eastAsia="仿宋"/>
          <w:color w:val="auto"/>
          <w:sz w:val="24"/>
          <w:highlight w:val="none"/>
        </w:rPr>
      </w:pPr>
      <w:bookmarkStart w:id="92" w:name="_Toc643610540"/>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20"/>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5"/>
        <w:spacing w:line="415" w:lineRule="auto"/>
        <w:jc w:val="center"/>
        <w:rPr>
          <w:rFonts w:hint="eastAsia" w:ascii="仿宋"/>
          <w:color w:val="auto"/>
          <w:highlight w:val="none"/>
        </w:rPr>
      </w:pPr>
      <w:bookmarkStart w:id="93" w:name="_Toc28199"/>
      <w:r>
        <w:rPr>
          <w:rFonts w:hint="eastAsia" w:ascii="仿宋"/>
          <w:color w:val="auto"/>
          <w:highlight w:val="none"/>
        </w:rPr>
        <w:t>二、供应商质疑</w:t>
      </w:r>
      <w:bookmarkEnd w:id="92"/>
      <w:bookmarkEnd w:id="93"/>
    </w:p>
    <w:p>
      <w:pPr>
        <w:pStyle w:val="20"/>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20"/>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20"/>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2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磋商文件提出质疑的，质疑期限为供应商获得磋商文件之日或者招标公告期限届满之日起计算，但磋商文件在招标公告期限届满之日后获得的，应当自招标公告截止之日起计算，且应当在磋商响应截止时间之前提出。</w:t>
      </w:r>
    </w:p>
    <w:p>
      <w:pPr>
        <w:pStyle w:val="20"/>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r>
        <w:rPr>
          <w:rFonts w:hint="eastAsia" w:ascii="仿宋" w:eastAsia="仿宋"/>
          <w:b/>
          <w:bCs/>
          <w:color w:val="auto"/>
          <w:sz w:val="24"/>
          <w:highlight w:val="none"/>
        </w:rPr>
        <w:t>供应商的法定代表人或其授权代表或个体工商户经营者未参加磋商会议的，事后不得对采购相关人员、磋商过程和磋商结果提出质疑。</w:t>
      </w:r>
    </w:p>
    <w:p>
      <w:pPr>
        <w:pStyle w:val="2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2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20"/>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20"/>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20"/>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20"/>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2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采购机构将在收到供应商的书面质疑后七个工作日内作出答复，但答复的内容不得涉及商业秘密。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pPr>
        <w:pStyle w:val="20"/>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20"/>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5"/>
        <w:keepNext/>
        <w:keepLines/>
        <w:pageBreakBefore w:val="0"/>
        <w:widowControl w:val="0"/>
        <w:suppressLineNumbers w:val="0"/>
        <w:suppressAutoHyphens w:val="0"/>
        <w:spacing w:line="415" w:lineRule="auto"/>
        <w:rPr>
          <w:rFonts w:hint="eastAsia" w:ascii="仿宋"/>
          <w:color w:val="auto"/>
          <w:highlight w:val="none"/>
        </w:rPr>
      </w:pPr>
      <w:bookmarkStart w:id="94" w:name="_Toc643610541"/>
      <w:bookmarkStart w:id="95" w:name="_Toc16101"/>
      <w:r>
        <w:rPr>
          <w:rFonts w:hint="eastAsia" w:ascii="仿宋"/>
          <w:color w:val="auto"/>
          <w:highlight w:val="none"/>
        </w:rPr>
        <w:t>三、供应商投诉</w:t>
      </w:r>
      <w:bookmarkEnd w:id="94"/>
      <w:bookmarkEnd w:id="95"/>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磋商文件获取日期：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磋商供应商签章：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仿宋"/>
          <w:color w:val="auto"/>
          <w:sz w:val="24"/>
          <w:szCs w:val="24"/>
          <w:highlight w:val="none"/>
        </w:rPr>
      </w:pPr>
    </w:p>
    <w:p>
      <w:pPr>
        <w:pStyle w:val="2"/>
        <w:spacing w:line="360" w:lineRule="auto"/>
        <w:ind w:left="0" w:leftChars="0"/>
        <w:jc w:val="center"/>
        <w:rPr>
          <w:rFonts w:hint="eastAsia" w:ascii="仿宋" w:eastAsia="仿宋"/>
          <w:color w:val="auto"/>
          <w:sz w:val="24"/>
          <w:highlight w:val="none"/>
        </w:rPr>
      </w:pPr>
    </w:p>
    <w:sectPr>
      <w:footerReference r:id="rId5" w:type="default"/>
      <w:footerReference r:id="rId6"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4"/>
      </w:rPr>
    </w:pPr>
    <w:r>
      <w:rPr>
        <w:rStyle w:val="34"/>
      </w:rPr>
      <w:fldChar w:fldCharType="begin"/>
    </w:r>
    <w:r>
      <w:rPr>
        <w:rStyle w:val="34"/>
      </w:rPr>
      <w:instrText xml:space="preserve">PAGE  </w:instrText>
    </w:r>
    <w:r>
      <w:fldChar w:fldCharType="separate"/>
    </w:r>
    <w:r>
      <w:t xml:space="preserve"> </w:t>
    </w:r>
    <w: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4"/>
      <w:suff w:val="space"/>
      <w:lvlText w:val="第 %1 章"/>
      <w:lvlJc w:val="left"/>
      <w:pPr>
        <w:tabs>
          <w:tab w:val="left" w:pos="0"/>
        </w:tabs>
        <w:ind w:left="425" w:hanging="425"/>
      </w:pPr>
      <w:rPr>
        <w:rFonts w:hint="eastAsia"/>
      </w:rPr>
    </w:lvl>
    <w:lvl w:ilvl="1" w:tentative="0">
      <w:start w:val="1"/>
      <w:numFmt w:val="decimal"/>
      <w:lvlText w:val="%1.%2 "/>
      <w:lvlJc w:val="left"/>
      <w:pPr>
        <w:tabs>
          <w:tab w:val="left" w:pos="0"/>
        </w:tabs>
        <w:ind w:left="992" w:hanging="567"/>
      </w:pPr>
      <w:rPr>
        <w:rFonts w:hint="eastAsia"/>
      </w:rPr>
    </w:lvl>
    <w:lvl w:ilvl="2" w:tentative="0">
      <w:start w:val="1"/>
      <w:numFmt w:val="decimal"/>
      <w:lvlText w:val="〔%3〕、"/>
      <w:lvlJc w:val="left"/>
      <w:pPr>
        <w:tabs>
          <w:tab w:val="left" w:pos="0"/>
        </w:tabs>
        <w:ind w:left="1418" w:hanging="567"/>
      </w:pPr>
      <w:rPr>
        <w:rFonts w:hint="eastAsia"/>
      </w:rPr>
    </w:lvl>
    <w:lvl w:ilvl="3" w:tentative="0">
      <w:start w:val="1"/>
      <w:numFmt w:val="none"/>
      <w:lvlText w:val=""/>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1"/>
    <w:multiLevelType w:val="multilevel"/>
    <w:tmpl w:val="00000001"/>
    <w:lvl w:ilvl="0" w:tentative="0">
      <w:start w:val="1"/>
      <w:numFmt w:val="chineseCountingThousand"/>
      <w:lvlText w:val="%1、"/>
      <w:lvlJc w:val="left"/>
      <w:pPr>
        <w:ind w:left="960" w:hanging="48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2"/>
    <w:multiLevelType w:val="multilevel"/>
    <w:tmpl w:val="00000002"/>
    <w:lvl w:ilvl="0" w:tentative="0">
      <w:start w:val="1"/>
      <w:numFmt w:val="decimal"/>
      <w:lvlText w:val="%1."/>
      <w:lvlJc w:val="left"/>
      <w:pPr>
        <w:ind w:left="425" w:hanging="425"/>
      </w:pPr>
    </w:lvl>
    <w:lvl w:ilvl="1" w:tentative="0">
      <w:start w:val="1"/>
      <w:numFmt w:val="decimal"/>
      <w:pStyle w:val="5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0000003"/>
    <w:multiLevelType w:val="multilevel"/>
    <w:tmpl w:val="00000003"/>
    <w:lvl w:ilvl="0" w:tentative="0">
      <w:start w:val="1"/>
      <w:numFmt w:val="chineseCountingThousand"/>
      <w:lvlText w:val="%1、"/>
      <w:lvlJc w:val="left"/>
      <w:pPr>
        <w:ind w:left="961" w:hanging="481"/>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4"/>
    <w:multiLevelType w:val="multilevel"/>
    <w:tmpl w:val="00000004"/>
    <w:lvl w:ilvl="0" w:tentative="0">
      <w:start w:val="1"/>
      <w:numFmt w:val="chineseCountingThousand"/>
      <w:lvlText w:val="%1、"/>
      <w:lvlJc w:val="left"/>
      <w:pPr>
        <w:ind w:left="1174" w:hanging="532"/>
      </w:pPr>
    </w:lvl>
    <w:lvl w:ilvl="1" w:tentative="0">
      <w:start w:val="1"/>
      <w:numFmt w:val="lowerLetter"/>
      <w:lvlText w:val="%2)"/>
      <w:lvlJc w:val="left"/>
      <w:pPr>
        <w:ind w:left="1482" w:hanging="420"/>
      </w:pPr>
    </w:lvl>
    <w:lvl w:ilvl="2" w:tentative="0">
      <w:start w:val="1"/>
      <w:numFmt w:val="lowerRoman"/>
      <w:lvlText w:val="%3."/>
      <w:lvlJc w:val="right"/>
      <w:pPr>
        <w:ind w:left="1902" w:hanging="420"/>
      </w:pPr>
    </w:lvl>
    <w:lvl w:ilvl="3" w:tentative="0">
      <w:start w:val="1"/>
      <w:numFmt w:val="decimal"/>
      <w:lvlText w:val="%4."/>
      <w:lvlJc w:val="left"/>
      <w:pPr>
        <w:ind w:left="2322" w:hanging="420"/>
      </w:pPr>
    </w:lvl>
    <w:lvl w:ilvl="4" w:tentative="0">
      <w:start w:val="1"/>
      <w:numFmt w:val="lowerLetter"/>
      <w:lvlText w:val="%5)"/>
      <w:lvlJc w:val="left"/>
      <w:pPr>
        <w:ind w:left="2742" w:hanging="420"/>
      </w:pPr>
    </w:lvl>
    <w:lvl w:ilvl="5" w:tentative="0">
      <w:start w:val="1"/>
      <w:numFmt w:val="lowerRoman"/>
      <w:lvlText w:val="%6."/>
      <w:lvlJc w:val="right"/>
      <w:pPr>
        <w:ind w:left="3162" w:hanging="420"/>
      </w:pPr>
    </w:lvl>
    <w:lvl w:ilvl="6" w:tentative="0">
      <w:start w:val="1"/>
      <w:numFmt w:val="decimal"/>
      <w:lvlText w:val="%7."/>
      <w:lvlJc w:val="left"/>
      <w:pPr>
        <w:ind w:left="3582" w:hanging="420"/>
      </w:pPr>
    </w:lvl>
    <w:lvl w:ilvl="7" w:tentative="0">
      <w:start w:val="1"/>
      <w:numFmt w:val="lowerLetter"/>
      <w:lvlText w:val="%8)"/>
      <w:lvlJc w:val="left"/>
      <w:pPr>
        <w:ind w:left="4002" w:hanging="420"/>
      </w:pPr>
    </w:lvl>
    <w:lvl w:ilvl="8" w:tentative="0">
      <w:start w:val="1"/>
      <w:numFmt w:val="lowerRoman"/>
      <w:lvlText w:val="%9."/>
      <w:lvlJc w:val="right"/>
      <w:pPr>
        <w:ind w:left="4422" w:hanging="420"/>
      </w:pPr>
    </w:lvl>
  </w:abstractNum>
  <w:abstractNum w:abstractNumId="5">
    <w:nsid w:val="00000005"/>
    <w:multiLevelType w:val="multilevel"/>
    <w:tmpl w:val="00000005"/>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6"/>
    <w:multiLevelType w:val="multilevel"/>
    <w:tmpl w:val="00000006"/>
    <w:lvl w:ilvl="0" w:tentative="0">
      <w:start w:val="1"/>
      <w:numFmt w:val="decimal"/>
      <w:lvlText w:val="%1、"/>
      <w:lvlJc w:val="left"/>
      <w:pPr>
        <w:ind w:left="432" w:hanging="432"/>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08"/>
    <w:multiLevelType w:val="multilevel"/>
    <w:tmpl w:val="00000008"/>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readOnly"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OGQwMDRiMzkzM2M5YjU1MDMwNmFlNjI3ZTA0MzYifQ=="/>
  </w:docVars>
  <w:rsids>
    <w:rsidRoot w:val="00000000"/>
    <w:rsid w:val="2DD55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autoRedefine/>
    <w:qFormat/>
    <w:uiPriority w:val="0"/>
    <w:pPr>
      <w:keepNext/>
      <w:keepLines/>
      <w:numPr>
        <w:ilvl w:val="0"/>
        <w:numId w:val="1"/>
      </w:numPr>
      <w:spacing w:before="340" w:after="330" w:line="578" w:lineRule="auto"/>
      <w:outlineLvl w:val="0"/>
    </w:pPr>
    <w:rPr>
      <w:rFonts w:ascii="Times New Roman" w:hAnsi="Times New Roman" w:eastAsia="仿宋_GB2312" w:cs="Times New Roman"/>
      <w:b/>
      <w:kern w:val="44"/>
      <w:sz w:val="28"/>
      <w:szCs w:val="20"/>
      <w:lang w:val="en-US" w:eastAsia="zh-CN" w:bidi="ar-SA"/>
    </w:rPr>
  </w:style>
  <w:style w:type="paragraph" w:styleId="5">
    <w:name w:val="heading 2"/>
    <w:next w:val="1"/>
    <w:autoRedefine/>
    <w:qFormat/>
    <w:uiPriority w:val="0"/>
    <w:pPr>
      <w:keepNext/>
      <w:keepLines/>
      <w:widowControl w:val="0"/>
      <w:spacing w:before="260" w:after="260" w:line="415" w:lineRule="auto"/>
      <w:jc w:val="center"/>
      <w:outlineLvl w:val="1"/>
    </w:pPr>
    <w:rPr>
      <w:rFonts w:ascii="Arial" w:hAnsi="Arial" w:eastAsia="仿宋" w:cs="Times New Roman"/>
      <w:b/>
      <w:kern w:val="2"/>
      <w:sz w:val="32"/>
      <w:szCs w:val="20"/>
      <w:lang w:val="en-US" w:eastAsia="zh-CN" w:bidi="ar-SA"/>
    </w:rPr>
  </w:style>
  <w:style w:type="paragraph" w:styleId="6">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33">
    <w:name w:val="Default Paragraph Font"/>
    <w:autoRedefine/>
    <w:qFormat/>
    <w:uiPriority w:val="0"/>
  </w:style>
  <w:style w:type="table" w:default="1" w:styleId="31">
    <w:name w:val="Normal Table"/>
    <w:autoRedefine/>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200" w:leftChars="200"/>
    </w:pPr>
  </w:style>
  <w:style w:type="paragraph" w:styleId="3">
    <w:name w:val="Body Text First Indent 2"/>
    <w:basedOn w:val="2"/>
    <w:autoRedefine/>
    <w:qFormat/>
    <w:uiPriority w:val="99"/>
    <w:pPr>
      <w:ind w:firstLine="420" w:firstLineChars="200"/>
    </w:pPr>
  </w:style>
  <w:style w:type="paragraph" w:styleId="7">
    <w:name w:val="List Number 2"/>
    <w:basedOn w:val="1"/>
    <w:autoRedefine/>
    <w:qFormat/>
    <w:uiPriority w:val="0"/>
    <w:pPr>
      <w:tabs>
        <w:tab w:val="left" w:pos="780"/>
      </w:tabs>
      <w:ind w:left="780" w:hanging="360"/>
    </w:pPr>
  </w:style>
  <w:style w:type="paragraph" w:styleId="8">
    <w:name w:val="List Number"/>
    <w:basedOn w:val="1"/>
    <w:qFormat/>
    <w:uiPriority w:val="0"/>
    <w:pPr>
      <w:tabs>
        <w:tab w:val="left" w:pos="360"/>
      </w:tabs>
      <w:ind w:left="360" w:hanging="360"/>
    </w:pPr>
  </w:style>
  <w:style w:type="paragraph" w:styleId="9">
    <w:name w:val="Normal Indent"/>
    <w:next w:val="10"/>
    <w:autoRedefine/>
    <w:qFormat/>
    <w:uiPriority w:val="0"/>
    <w:pPr>
      <w:widowControl w:val="0"/>
      <w:ind w:firstLine="420"/>
      <w:jc w:val="both"/>
    </w:pPr>
    <w:rPr>
      <w:rFonts w:ascii="Calibri" w:hAnsi="Calibri" w:eastAsia="宋体" w:cs="Times New Roman"/>
      <w:kern w:val="2"/>
      <w:sz w:val="21"/>
      <w:szCs w:val="20"/>
      <w:lang w:val="en-US" w:eastAsia="zh-CN" w:bidi="ar-SA"/>
    </w:rPr>
  </w:style>
  <w:style w:type="paragraph" w:customStyle="1" w:styleId="10">
    <w:name w:val="p0"/>
    <w:basedOn w:val="1"/>
    <w:autoRedefine/>
    <w:qFormat/>
    <w:uiPriority w:val="0"/>
    <w:pPr>
      <w:widowControl/>
    </w:pPr>
    <w:rPr>
      <w:kern w:val="0"/>
      <w:szCs w:val="21"/>
    </w:rPr>
  </w:style>
  <w:style w:type="paragraph" w:styleId="11">
    <w:name w:val="caption"/>
    <w:next w:val="1"/>
    <w:autoRedefine/>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autoRedefine/>
    <w:qFormat/>
    <w:uiPriority w:val="0"/>
    <w:pPr>
      <w:jc w:val="left"/>
    </w:pPr>
  </w:style>
  <w:style w:type="paragraph" w:styleId="13">
    <w:name w:val="Body Text 3"/>
    <w:next w:val="14"/>
    <w:autoRedefine/>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customStyle="1" w:styleId="14">
    <w:name w:val="列出段落1"/>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styleId="15">
    <w:name w:val="Body Text"/>
    <w:basedOn w:val="1"/>
    <w:next w:val="16"/>
    <w:autoRedefine/>
    <w:qFormat/>
    <w:uiPriority w:val="0"/>
    <w:pPr>
      <w:spacing w:line="360" w:lineRule="auto"/>
    </w:pPr>
    <w:rPr>
      <w:rFonts w:eastAsia="仿宋_GB2312"/>
      <w:sz w:val="28"/>
    </w:rPr>
  </w:style>
  <w:style w:type="paragraph" w:styleId="16">
    <w:name w:val="Body Text First Indent"/>
    <w:basedOn w:val="15"/>
    <w:next w:val="1"/>
    <w:autoRedefine/>
    <w:qFormat/>
    <w:uiPriority w:val="99"/>
    <w:pPr>
      <w:ind w:firstLine="420"/>
    </w:pPr>
    <w:rPr>
      <w:rFonts w:hAnsi="Times New Roman" w:cs="Times New Roman"/>
      <w:szCs w:val="20"/>
    </w:rPr>
  </w:style>
  <w:style w:type="paragraph" w:styleId="17">
    <w:name w:val="List Number 3"/>
    <w:basedOn w:val="1"/>
    <w:autoRedefine/>
    <w:qFormat/>
    <w:uiPriority w:val="0"/>
    <w:pPr>
      <w:tabs>
        <w:tab w:val="left" w:pos="1200"/>
      </w:tabs>
      <w:ind w:left="1200" w:hanging="360"/>
    </w:pPr>
  </w:style>
  <w:style w:type="paragraph" w:styleId="18">
    <w:name w:val="toc 5"/>
    <w:basedOn w:val="1"/>
    <w:next w:val="1"/>
    <w:autoRedefine/>
    <w:qFormat/>
    <w:uiPriority w:val="0"/>
    <w:pPr>
      <w:ind w:left="1680"/>
    </w:pPr>
  </w:style>
  <w:style w:type="paragraph" w:styleId="19">
    <w:name w:val="toc 3"/>
    <w:basedOn w:val="1"/>
    <w:next w:val="1"/>
    <w:autoRedefine/>
    <w:qFormat/>
    <w:uiPriority w:val="0"/>
    <w:pPr>
      <w:ind w:left="840"/>
    </w:pPr>
  </w:style>
  <w:style w:type="paragraph" w:styleId="20">
    <w:name w:val="Plain Text"/>
    <w:basedOn w:val="1"/>
    <w:next w:val="21"/>
    <w:autoRedefine/>
    <w:qFormat/>
    <w:uiPriority w:val="0"/>
    <w:rPr>
      <w:rFonts w:ascii="宋体"/>
      <w:szCs w:val="20"/>
    </w:rPr>
  </w:style>
  <w:style w:type="paragraph" w:styleId="21">
    <w:name w:val="toc 2"/>
    <w:basedOn w:val="1"/>
    <w:next w:val="1"/>
    <w:autoRedefine/>
    <w:qFormat/>
    <w:uiPriority w:val="0"/>
    <w:pPr>
      <w:ind w:left="420"/>
    </w:pPr>
  </w:style>
  <w:style w:type="paragraph" w:styleId="22">
    <w:name w:val="Date"/>
    <w:next w:val="1"/>
    <w:autoRedefine/>
    <w:qFormat/>
    <w:uiPriority w:val="0"/>
    <w:pPr>
      <w:widowControl w:val="0"/>
      <w:spacing w:line="240" w:lineRule="auto"/>
      <w:ind w:left="2500" w:leftChars="2500"/>
      <w:jc w:val="both"/>
    </w:pPr>
    <w:rPr>
      <w:rFonts w:ascii="Times New Roman" w:hAnsi="Times New Roman" w:eastAsia="宋体" w:cs="Times New Roman"/>
      <w:kern w:val="2"/>
      <w:sz w:val="21"/>
      <w:szCs w:val="20"/>
      <w:lang w:val="en-US" w:eastAsia="zh-CN" w:bidi="ar-SA"/>
    </w:rPr>
  </w:style>
  <w:style w:type="paragraph" w:styleId="23">
    <w:name w:val="Body Text Indent 2"/>
    <w:basedOn w:val="1"/>
    <w:autoRedefine/>
    <w:qFormat/>
    <w:uiPriority w:val="0"/>
    <w:pPr>
      <w:spacing w:after="120" w:line="480" w:lineRule="auto"/>
      <w:ind w:left="200" w:leftChars="200"/>
    </w:pPr>
  </w:style>
  <w:style w:type="paragraph" w:styleId="24">
    <w:name w:val="Balloon Text"/>
    <w:basedOn w:val="1"/>
    <w:autoRedefine/>
    <w:qFormat/>
    <w:uiPriority w:val="0"/>
    <w:rPr>
      <w:sz w:val="18"/>
      <w:szCs w:val="18"/>
    </w:rPr>
  </w:style>
  <w:style w:type="paragraph" w:styleId="25">
    <w:name w:val="footer"/>
    <w:basedOn w:val="1"/>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style>
  <w:style w:type="paragraph" w:styleId="28">
    <w:name w:val="toc 4"/>
    <w:basedOn w:val="1"/>
    <w:next w:val="1"/>
    <w:autoRedefine/>
    <w:qFormat/>
    <w:uiPriority w:val="0"/>
    <w:pPr>
      <w:ind w:left="1260"/>
    </w:pPr>
  </w:style>
  <w:style w:type="paragraph" w:styleId="29">
    <w:name w:val="Body Text Indent 3"/>
    <w:basedOn w:val="1"/>
    <w:autoRedefine/>
    <w:qFormat/>
    <w:uiPriority w:val="0"/>
    <w:pPr>
      <w:spacing w:after="120"/>
      <w:ind w:left="200" w:leftChars="200"/>
    </w:pPr>
    <w:rPr>
      <w:sz w:val="16"/>
      <w:szCs w:val="16"/>
    </w:rPr>
  </w:style>
  <w:style w:type="paragraph" w:styleId="30">
    <w:name w:val="Body Text 2"/>
    <w:basedOn w:val="1"/>
    <w:autoRedefine/>
    <w:qFormat/>
    <w:uiPriority w:val="0"/>
    <w:pPr>
      <w:widowControl/>
      <w:spacing w:after="50" w:afterLines="50" w:line="216" w:lineRule="auto"/>
      <w:jc w:val="center"/>
    </w:pPr>
    <w:rPr>
      <w:rFonts w:ascii="隶书" w:eastAsia="隶书"/>
      <w:bCs/>
      <w:kern w:val="0"/>
      <w:sz w:val="72"/>
      <w:szCs w:val="84"/>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FollowedHyperlink"/>
    <w:basedOn w:val="33"/>
    <w:autoRedefine/>
    <w:qFormat/>
    <w:uiPriority w:val="0"/>
    <w:rPr>
      <w:color w:val="800080"/>
      <w:u w:val="single"/>
    </w:rPr>
  </w:style>
  <w:style w:type="character" w:styleId="36">
    <w:name w:val="Hyperlink"/>
    <w:autoRedefine/>
    <w:qFormat/>
    <w:uiPriority w:val="0"/>
    <w:rPr>
      <w:color w:val="0000FF"/>
      <w:u w:val="single"/>
    </w:rPr>
  </w:style>
  <w:style w:type="paragraph" w:customStyle="1" w:styleId="37">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38">
    <w:name w:val="正文2"/>
    <w:basedOn w:val="1"/>
    <w:autoRedefine/>
    <w:qFormat/>
    <w:uiPriority w:val="0"/>
    <w:pPr>
      <w:spacing w:before="156" w:line="360" w:lineRule="auto"/>
      <w:ind w:firstLine="200" w:firstLineChars="200"/>
    </w:pPr>
    <w:rPr>
      <w:sz w:val="24"/>
      <w:szCs w:val="20"/>
    </w:rPr>
  </w:style>
  <w:style w:type="paragraph" w:customStyle="1" w:styleId="39">
    <w:name w:val="表正文"/>
    <w:basedOn w:val="1"/>
    <w:next w:val="20"/>
    <w:autoRedefine/>
    <w:qFormat/>
    <w:uiPriority w:val="0"/>
    <w:rPr>
      <w:rFonts w:ascii="宋体"/>
      <w:szCs w:val="20"/>
    </w:rPr>
  </w:style>
  <w:style w:type="paragraph" w:styleId="40">
    <w:name w:val="List Paragraph"/>
    <w:basedOn w:val="1"/>
    <w:autoRedefine/>
    <w:qFormat/>
    <w:uiPriority w:val="0"/>
    <w:pPr>
      <w:ind w:firstLine="200" w:firstLineChars="200"/>
    </w:pPr>
  </w:style>
  <w:style w:type="paragraph" w:customStyle="1" w:styleId="41">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4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47">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4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49">
    <w:name w:val="xl7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50">
    <w:name w:val="xl77"/>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cs="宋体"/>
      <w:kern w:val="0"/>
      <w:sz w:val="24"/>
    </w:rPr>
  </w:style>
  <w:style w:type="paragraph" w:customStyle="1" w:styleId="51">
    <w:name w:val="xl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2">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3">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cs="宋体"/>
      <w:color w:val="000000"/>
      <w:kern w:val="0"/>
      <w:sz w:val="24"/>
    </w:rPr>
  </w:style>
  <w:style w:type="paragraph" w:customStyle="1" w:styleId="54">
    <w:name w:val="样式5"/>
    <w:next w:val="55"/>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5">
    <w:name w:val="正文文字 8"/>
    <w:next w:val="1"/>
    <w:autoRedefine/>
    <w:qFormat/>
    <w:uiPriority w:val="0"/>
    <w:pPr>
      <w:widowControl w:val="0"/>
      <w:numPr>
        <w:ilvl w:val="1"/>
        <w:numId w:val="2"/>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56">
    <w:name w:val="Proposals body"/>
    <w:next w:val="1"/>
    <w:autoRedefine/>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57">
    <w:name w:val="正文_13"/>
    <w:next w:val="3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NormalCharacter"/>
    <w:autoRedefine/>
    <w:qFormat/>
    <w:uiPriority w:val="0"/>
  </w:style>
  <w:style w:type="paragraph" w:customStyle="1" w:styleId="59">
    <w:name w:val="[Normal]"/>
    <w:autoRedefine/>
    <w:qFormat/>
    <w:uiPriority w:val="0"/>
    <w:rPr>
      <w:rFonts w:ascii="宋体" w:hAnsi="宋体" w:eastAsia="宋体" w:cs="Times New Roman"/>
      <w:sz w:val="24"/>
      <w:lang w:val="zh-CN" w:eastAsia="zh-CN" w:bidi="ar-SA"/>
    </w:rPr>
  </w:style>
  <w:style w:type="paragraph" w:customStyle="1" w:styleId="60">
    <w:name w:val="Body Text First Indent 2_6f85280e-aabd-49f1-855b-a8013f949587"/>
    <w:basedOn w:val="61"/>
    <w:autoRedefine/>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61">
    <w:name w:val="Body Text Indent_7b0cfb1d-d56b-43b6-990f-6796b1231ac1"/>
    <w:basedOn w:val="1"/>
    <w:next w:val="1"/>
    <w:autoRedefine/>
    <w:qFormat/>
    <w:uiPriority w:val="0"/>
    <w:pPr>
      <w:spacing w:after="120"/>
      <w:ind w:left="420" w:leftChars="200"/>
    </w:pPr>
    <w:rPr>
      <w:color w:val="000000"/>
      <w:sz w:val="21"/>
      <w:szCs w:val="21"/>
    </w:rPr>
  </w:style>
  <w:style w:type="paragraph" w:customStyle="1" w:styleId="62">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77</Pages>
  <Words>40056</Words>
  <Characters>44370</Characters>
  <Paragraphs>2467</Paragraphs>
  <TotalTime>1</TotalTime>
  <ScaleCrop>false</ScaleCrop>
  <LinksUpToDate>false</LinksUpToDate>
  <CharactersWithSpaces>46931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2019-11-11T15:41:00Z</dcterms:created>
  <dc:creator>Administrator</dc:creator>
  <cp:lastModifiedBy>L3151005</cp:lastModifiedBy>
  <cp:lastPrinted>2020-01-08T17:15:00Z</cp:lastPrinted>
  <dcterms:modified xsi:type="dcterms:W3CDTF">2024-05-08T13:43:34Z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E06EE5C8B883423E95EE69D8E7E11905_13</vt:lpwstr>
  </property>
</Properties>
</file>